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1940" w14:textId="4BE6BEF3" w:rsidR="0261E3B4" w:rsidRPr="002E19F8" w:rsidRDefault="0261E3B4" w:rsidP="5F0FCDAC">
      <w:pPr>
        <w:spacing w:after="0" w:line="240" w:lineRule="auto"/>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Massachusetts Department of Public Health</w:t>
      </w:r>
    </w:p>
    <w:p w14:paraId="01EE9A8F" w14:textId="417EE4BF" w:rsidR="0261E3B4" w:rsidRPr="002E19F8" w:rsidRDefault="0261E3B4" w:rsidP="5F0FCDAC">
      <w:pPr>
        <w:spacing w:after="0" w:line="240" w:lineRule="auto"/>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Bureau of Infectious Disease and Laboratory Sciences</w:t>
      </w:r>
    </w:p>
    <w:p w14:paraId="4ADC1115" w14:textId="35432EFB" w:rsidR="009E7EA1" w:rsidRPr="002E19F8" w:rsidRDefault="009E7EA1" w:rsidP="009E7EA1">
      <w:pPr>
        <w:spacing w:after="0" w:line="240" w:lineRule="auto"/>
        <w:rPr>
          <w:b/>
          <w:sz w:val="24"/>
          <w:szCs w:val="24"/>
        </w:rPr>
      </w:pPr>
      <w:r w:rsidRPr="002E19F8">
        <w:rPr>
          <w:b/>
          <w:sz w:val="24"/>
          <w:szCs w:val="24"/>
        </w:rPr>
        <w:t>Surveillance Data Overview of Sexually Transmitted Infections, Massachusetts, 2000-202</w:t>
      </w:r>
      <w:r w:rsidR="0031719F">
        <w:rPr>
          <w:b/>
          <w:sz w:val="24"/>
          <w:szCs w:val="24"/>
        </w:rPr>
        <w:t>3</w:t>
      </w:r>
    </w:p>
    <w:p w14:paraId="4728EC5C" w14:textId="77777777" w:rsidR="009E7EA1" w:rsidRPr="002E19F8" w:rsidRDefault="009E7EA1" w:rsidP="009E7EA1">
      <w:pPr>
        <w:spacing w:after="0" w:line="240" w:lineRule="auto"/>
        <w:rPr>
          <w:sz w:val="24"/>
          <w:szCs w:val="24"/>
        </w:rPr>
      </w:pPr>
    </w:p>
    <w:p w14:paraId="30304130" w14:textId="77777777" w:rsidR="009E7EA1" w:rsidRPr="002E19F8" w:rsidRDefault="009E7EA1" w:rsidP="009E7EA1">
      <w:pPr>
        <w:spacing w:after="0" w:line="240" w:lineRule="auto"/>
        <w:rPr>
          <w:i/>
          <w:sz w:val="24"/>
          <w:szCs w:val="24"/>
        </w:rPr>
      </w:pPr>
      <w:r w:rsidRPr="002E19F8">
        <w:rPr>
          <w:i/>
          <w:sz w:val="24"/>
          <w:szCs w:val="24"/>
        </w:rPr>
        <w:t>Please note that while the content of this report is the same as the pdf version, the format and pagination have been modified significantly to optimize use with screen readers to ensure access for blind or visually impaired audiences.</w:t>
      </w:r>
    </w:p>
    <w:p w14:paraId="1341C8C5" w14:textId="77777777" w:rsidR="009E7EA1" w:rsidRPr="002E19F8" w:rsidRDefault="009E7EA1" w:rsidP="009E7EA1">
      <w:pPr>
        <w:spacing w:after="0" w:line="240" w:lineRule="auto"/>
        <w:rPr>
          <w:i/>
          <w:sz w:val="24"/>
          <w:szCs w:val="24"/>
        </w:rPr>
      </w:pPr>
    </w:p>
    <w:p w14:paraId="6B7E4349" w14:textId="77777777" w:rsidR="009E7EA1" w:rsidRPr="002E19F8" w:rsidRDefault="009E7EA1" w:rsidP="009E7EA1">
      <w:pPr>
        <w:spacing w:after="0" w:line="240" w:lineRule="auto"/>
        <w:rPr>
          <w:sz w:val="24"/>
          <w:szCs w:val="24"/>
        </w:rPr>
      </w:pPr>
      <w:r w:rsidRPr="002E19F8">
        <w:rPr>
          <w:sz w:val="24"/>
          <w:szCs w:val="24"/>
        </w:rPr>
        <w:t>Massachusetts Department of Public Health</w:t>
      </w:r>
    </w:p>
    <w:p w14:paraId="65E846E5" w14:textId="77777777" w:rsidR="009E7EA1" w:rsidRPr="002E19F8" w:rsidRDefault="009E7EA1" w:rsidP="009E7EA1">
      <w:pPr>
        <w:spacing w:after="0" w:line="240" w:lineRule="auto"/>
        <w:rPr>
          <w:sz w:val="24"/>
          <w:szCs w:val="24"/>
        </w:rPr>
      </w:pPr>
      <w:r w:rsidRPr="002E19F8">
        <w:rPr>
          <w:sz w:val="24"/>
          <w:szCs w:val="24"/>
        </w:rPr>
        <w:t>Bureau of Infectious Disease and Laboratory Sciences</w:t>
      </w:r>
    </w:p>
    <w:p w14:paraId="50CF532E" w14:textId="2BC8453F" w:rsidR="009E7EA1" w:rsidRPr="002E19F8" w:rsidRDefault="009E7EA1" w:rsidP="009E7EA1">
      <w:pPr>
        <w:spacing w:after="0" w:line="240" w:lineRule="auto"/>
        <w:rPr>
          <w:sz w:val="24"/>
          <w:szCs w:val="24"/>
        </w:rPr>
      </w:pPr>
      <w:r w:rsidRPr="002E19F8">
        <w:rPr>
          <w:sz w:val="24"/>
          <w:szCs w:val="24"/>
        </w:rPr>
        <w:t>Division of STD Prevention and HIV Surveillance</w:t>
      </w:r>
    </w:p>
    <w:p w14:paraId="1AF4B74E" w14:textId="2B17A452" w:rsidR="009E7EA1" w:rsidRPr="002E19F8" w:rsidRDefault="009E7EA1" w:rsidP="009E7EA1">
      <w:pPr>
        <w:spacing w:after="0" w:line="240" w:lineRule="auto"/>
        <w:rPr>
          <w:sz w:val="24"/>
          <w:szCs w:val="24"/>
        </w:rPr>
      </w:pPr>
      <w:r w:rsidRPr="002E19F8">
        <w:rPr>
          <w:sz w:val="24"/>
          <w:szCs w:val="24"/>
        </w:rPr>
        <w:t>March 2024</w:t>
      </w:r>
    </w:p>
    <w:p w14:paraId="640E8E22" w14:textId="77777777" w:rsidR="009E7EA1" w:rsidRPr="002E19F8" w:rsidRDefault="009E7EA1" w:rsidP="009E7EA1">
      <w:pPr>
        <w:spacing w:after="0" w:line="240" w:lineRule="auto"/>
        <w:rPr>
          <w:sz w:val="24"/>
          <w:szCs w:val="24"/>
        </w:rPr>
      </w:pPr>
    </w:p>
    <w:p w14:paraId="6284DABF" w14:textId="77777777" w:rsidR="009E7EA1" w:rsidRPr="002E19F8" w:rsidRDefault="009E7EA1" w:rsidP="009E7EA1">
      <w:pPr>
        <w:spacing w:after="0" w:line="240" w:lineRule="auto"/>
        <w:rPr>
          <w:b/>
          <w:sz w:val="24"/>
          <w:szCs w:val="24"/>
        </w:rPr>
      </w:pPr>
      <w:r w:rsidRPr="002E19F8">
        <w:rPr>
          <w:b/>
          <w:sz w:val="24"/>
          <w:szCs w:val="24"/>
        </w:rPr>
        <w:t>Bureau of Infectious Disease and Laboratory Sciences</w:t>
      </w:r>
    </w:p>
    <w:p w14:paraId="0CA26856" w14:textId="4797845D" w:rsidR="009E7EA1" w:rsidRPr="002E19F8" w:rsidRDefault="009E7EA1" w:rsidP="009E7EA1">
      <w:pPr>
        <w:spacing w:after="0" w:line="240" w:lineRule="auto"/>
        <w:rPr>
          <w:b/>
          <w:sz w:val="24"/>
          <w:szCs w:val="24"/>
        </w:rPr>
      </w:pPr>
      <w:r w:rsidRPr="002E19F8">
        <w:rPr>
          <w:b/>
          <w:sz w:val="24"/>
          <w:szCs w:val="24"/>
        </w:rPr>
        <w:t>Division of STD Prevention and HIV Surveillance</w:t>
      </w:r>
      <w:r w:rsidRPr="002E19F8">
        <w:rPr>
          <w:sz w:val="24"/>
          <w:szCs w:val="24"/>
        </w:rPr>
        <w:br/>
      </w:r>
      <w:r w:rsidRPr="002E19F8">
        <w:rPr>
          <w:b/>
          <w:sz w:val="24"/>
          <w:szCs w:val="24"/>
        </w:rPr>
        <w:t>Massachusetts Department of Public Health</w:t>
      </w:r>
    </w:p>
    <w:p w14:paraId="281A52C9" w14:textId="77777777" w:rsidR="009E7EA1" w:rsidRPr="002E19F8" w:rsidRDefault="009E7EA1" w:rsidP="009E7EA1">
      <w:pPr>
        <w:spacing w:after="0" w:line="240" w:lineRule="auto"/>
        <w:rPr>
          <w:sz w:val="24"/>
          <w:szCs w:val="24"/>
        </w:rPr>
      </w:pPr>
    </w:p>
    <w:p w14:paraId="4D8967B5" w14:textId="77777777" w:rsidR="009E7EA1" w:rsidRPr="002E19F8" w:rsidRDefault="009E7EA1" w:rsidP="009E7EA1">
      <w:pPr>
        <w:spacing w:after="0" w:line="240" w:lineRule="auto"/>
        <w:rPr>
          <w:sz w:val="24"/>
          <w:szCs w:val="24"/>
        </w:rPr>
      </w:pPr>
      <w:r w:rsidRPr="002E19F8">
        <w:rPr>
          <w:b/>
          <w:sz w:val="24"/>
          <w:szCs w:val="24"/>
        </w:rPr>
        <w:t>Jamaica Plain Campus/State Public Health Laboratory</w:t>
      </w:r>
    </w:p>
    <w:p w14:paraId="2B5C7B00" w14:textId="77777777" w:rsidR="009E7EA1" w:rsidRPr="002E19F8" w:rsidRDefault="009E7EA1" w:rsidP="009E7EA1">
      <w:pPr>
        <w:spacing w:after="0" w:line="240" w:lineRule="auto"/>
        <w:rPr>
          <w:sz w:val="24"/>
          <w:szCs w:val="24"/>
        </w:rPr>
      </w:pPr>
      <w:r w:rsidRPr="002E19F8">
        <w:rPr>
          <w:sz w:val="24"/>
          <w:szCs w:val="24"/>
        </w:rPr>
        <w:t>305 South Street</w:t>
      </w:r>
      <w:r w:rsidRPr="002E19F8">
        <w:rPr>
          <w:sz w:val="24"/>
          <w:szCs w:val="24"/>
        </w:rPr>
        <w:br/>
        <w:t>Jamaica Plain, MA 02130</w:t>
      </w:r>
    </w:p>
    <w:p w14:paraId="12B25B2C" w14:textId="77777777" w:rsidR="009E7EA1" w:rsidRPr="002E19F8" w:rsidRDefault="009E7EA1" w:rsidP="009E7EA1">
      <w:pPr>
        <w:spacing w:after="0" w:line="240" w:lineRule="auto"/>
        <w:rPr>
          <w:sz w:val="24"/>
          <w:szCs w:val="24"/>
        </w:rPr>
      </w:pPr>
    </w:p>
    <w:p w14:paraId="15E7663A" w14:textId="77777777" w:rsidR="009E7EA1" w:rsidRPr="002E19F8" w:rsidRDefault="009E7EA1" w:rsidP="009E7EA1">
      <w:pPr>
        <w:spacing w:line="240" w:lineRule="auto"/>
        <w:rPr>
          <w:sz w:val="24"/>
          <w:szCs w:val="24"/>
        </w:rPr>
      </w:pPr>
      <w:r w:rsidRPr="002E19F8">
        <w:rPr>
          <w:b/>
          <w:sz w:val="24"/>
          <w:szCs w:val="24"/>
        </w:rPr>
        <w:t>Questions about this report</w:t>
      </w:r>
    </w:p>
    <w:p w14:paraId="69496D86" w14:textId="38D0F1A7" w:rsidR="009E7EA1" w:rsidRPr="002E19F8" w:rsidRDefault="009E7EA1" w:rsidP="009E7EA1">
      <w:pPr>
        <w:spacing w:after="0" w:line="240" w:lineRule="auto"/>
        <w:rPr>
          <w:sz w:val="24"/>
          <w:szCs w:val="24"/>
        </w:rPr>
      </w:pPr>
      <w:r w:rsidRPr="002E19F8">
        <w:rPr>
          <w:sz w:val="24"/>
          <w:szCs w:val="24"/>
        </w:rPr>
        <w:t>Tel: (617) 983-6490</w:t>
      </w:r>
    </w:p>
    <w:p w14:paraId="575A9AB2" w14:textId="77777777" w:rsidR="009E7EA1" w:rsidRPr="002E19F8" w:rsidRDefault="009E7EA1" w:rsidP="009E7EA1">
      <w:pPr>
        <w:spacing w:after="0" w:line="240" w:lineRule="auto"/>
        <w:rPr>
          <w:sz w:val="24"/>
          <w:szCs w:val="24"/>
        </w:rPr>
      </w:pPr>
    </w:p>
    <w:p w14:paraId="10773A08" w14:textId="77777777" w:rsidR="009E7EA1" w:rsidRPr="002E19F8" w:rsidRDefault="009E7EA1" w:rsidP="52C804C8">
      <w:pPr>
        <w:spacing w:line="240" w:lineRule="auto"/>
        <w:rPr>
          <w:rFonts w:eastAsia="Calibri"/>
          <w:b/>
          <w:sz w:val="24"/>
          <w:szCs w:val="24"/>
          <w:lang w:val="en"/>
        </w:rPr>
      </w:pPr>
      <w:r w:rsidRPr="002E19F8">
        <w:rPr>
          <w:rFonts w:eastAsia="Calibri"/>
          <w:b/>
          <w:sz w:val="24"/>
          <w:szCs w:val="24"/>
          <w:lang w:val="en"/>
        </w:rPr>
        <w:t>To reach the Reporting and Partner Services Line</w:t>
      </w:r>
      <w:r w:rsidRPr="002E19F8">
        <w:rPr>
          <w:rStyle w:val="FootnoteReference"/>
          <w:rFonts w:eastAsia="Calibri"/>
          <w:b/>
          <w:sz w:val="24"/>
          <w:szCs w:val="24"/>
          <w:lang w:val="en"/>
        </w:rPr>
        <w:footnoteReference w:id="2"/>
      </w:r>
    </w:p>
    <w:p w14:paraId="48FA0AE4" w14:textId="77777777" w:rsidR="009E7EA1" w:rsidRPr="002E19F8" w:rsidRDefault="009E7EA1" w:rsidP="52C804C8">
      <w:pPr>
        <w:spacing w:line="240" w:lineRule="auto"/>
        <w:rPr>
          <w:rFonts w:eastAsia="Calibri"/>
          <w:sz w:val="24"/>
          <w:szCs w:val="24"/>
          <w:lang w:val="en"/>
        </w:rPr>
      </w:pPr>
      <w:r w:rsidRPr="002E19F8">
        <w:rPr>
          <w:rFonts w:eastAsia="Calibri"/>
          <w:sz w:val="24"/>
          <w:szCs w:val="24"/>
          <w:lang w:val="en"/>
        </w:rPr>
        <w:t>Tel: (617) 983-6999</w:t>
      </w:r>
    </w:p>
    <w:sdt>
      <w:sdtPr>
        <w:rPr>
          <w:rFonts w:asciiTheme="minorHAnsi" w:eastAsiaTheme="minorEastAsia" w:hAnsiTheme="minorHAnsi" w:cstheme="minorBidi"/>
          <w:color w:val="auto"/>
          <w:kern w:val="2"/>
          <w:sz w:val="22"/>
          <w:szCs w:val="22"/>
          <w14:ligatures w14:val="standardContextual"/>
        </w:rPr>
        <w:id w:val="524298058"/>
        <w:docPartObj>
          <w:docPartGallery w:val="Table of Contents"/>
          <w:docPartUnique/>
        </w:docPartObj>
      </w:sdtPr>
      <w:sdtEndPr>
        <w:rPr>
          <w:b/>
          <w:bCs/>
        </w:rPr>
      </w:sdtEndPr>
      <w:sdtContent>
        <w:p w14:paraId="7FF388BE" w14:textId="77777777" w:rsidR="00794DA2" w:rsidRDefault="00794DA2">
          <w:pPr>
            <w:pStyle w:val="TOCHeading"/>
            <w:rPr>
              <w:rFonts w:asciiTheme="minorHAnsi" w:eastAsiaTheme="minorEastAsia" w:hAnsiTheme="minorHAnsi" w:cstheme="minorBidi"/>
              <w:color w:val="auto"/>
              <w:kern w:val="2"/>
              <w:sz w:val="22"/>
              <w:szCs w:val="22"/>
              <w14:ligatures w14:val="standardContextual"/>
            </w:rPr>
          </w:pPr>
        </w:p>
        <w:p w14:paraId="0178C1FD" w14:textId="77777777" w:rsidR="00794DA2" w:rsidRDefault="00794DA2">
          <w:pPr>
            <w:pStyle w:val="TOCHeading"/>
          </w:pPr>
        </w:p>
        <w:p w14:paraId="0E6EC6F0" w14:textId="36B96587" w:rsidR="00936F51" w:rsidRDefault="00936F51">
          <w:pPr>
            <w:pStyle w:val="TOCHeading"/>
          </w:pPr>
          <w:r>
            <w:t>Contents</w:t>
          </w:r>
        </w:p>
        <w:p w14:paraId="771F4C82" w14:textId="1775B612" w:rsidR="002C1BAF" w:rsidRDefault="00936F51">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4132212" w:history="1">
            <w:r w:rsidR="002C1BAF" w:rsidRPr="000C1102">
              <w:rPr>
                <w:rStyle w:val="Hyperlink"/>
                <w:b/>
                <w:noProof/>
              </w:rPr>
              <w:t>Slide 1</w:t>
            </w:r>
            <w:r w:rsidR="002C1BAF" w:rsidRPr="000C1102">
              <w:rPr>
                <w:rStyle w:val="Hyperlink"/>
                <w:noProof/>
              </w:rPr>
              <w:t xml:space="preserve"> </w:t>
            </w:r>
            <w:r w:rsidR="002C1BAF" w:rsidRPr="000C1102">
              <w:rPr>
                <w:rStyle w:val="Hyperlink"/>
                <w:b/>
                <w:noProof/>
              </w:rPr>
              <w:t>(title page)</w:t>
            </w:r>
            <w:r w:rsidR="002C1BAF" w:rsidRPr="000C1102">
              <w:rPr>
                <w:rStyle w:val="Hyperlink"/>
                <w:noProof/>
              </w:rPr>
              <w:t xml:space="preserve"> - Surveillance Data Overview of Sexually Transmitted Infections, Massachusetts, 2000-2023</w:t>
            </w:r>
            <w:r w:rsidR="002C1BAF">
              <w:rPr>
                <w:noProof/>
                <w:webHidden/>
              </w:rPr>
              <w:tab/>
            </w:r>
            <w:r w:rsidR="002C1BAF">
              <w:rPr>
                <w:noProof/>
                <w:webHidden/>
              </w:rPr>
              <w:fldChar w:fldCharType="begin"/>
            </w:r>
            <w:r w:rsidR="002C1BAF">
              <w:rPr>
                <w:noProof/>
                <w:webHidden/>
              </w:rPr>
              <w:instrText xml:space="preserve"> PAGEREF _Toc184132212 \h </w:instrText>
            </w:r>
            <w:r w:rsidR="002C1BAF">
              <w:rPr>
                <w:noProof/>
                <w:webHidden/>
              </w:rPr>
            </w:r>
            <w:r w:rsidR="002C1BAF">
              <w:rPr>
                <w:noProof/>
                <w:webHidden/>
              </w:rPr>
              <w:fldChar w:fldCharType="separate"/>
            </w:r>
            <w:r w:rsidR="002C1BAF">
              <w:rPr>
                <w:noProof/>
                <w:webHidden/>
              </w:rPr>
              <w:t>4</w:t>
            </w:r>
            <w:r w:rsidR="002C1BAF">
              <w:rPr>
                <w:noProof/>
                <w:webHidden/>
              </w:rPr>
              <w:fldChar w:fldCharType="end"/>
            </w:r>
          </w:hyperlink>
        </w:p>
        <w:p w14:paraId="06C71842" w14:textId="3286C187" w:rsidR="002C1BAF" w:rsidRDefault="002C1BAF">
          <w:pPr>
            <w:pStyle w:val="TOC1"/>
            <w:tabs>
              <w:tab w:val="right" w:leader="dot" w:pos="9350"/>
            </w:tabs>
            <w:rPr>
              <w:rFonts w:eastAsiaTheme="minorEastAsia"/>
              <w:noProof/>
              <w:sz w:val="24"/>
              <w:szCs w:val="24"/>
            </w:rPr>
          </w:pPr>
          <w:hyperlink w:anchor="_Toc184132213" w:history="1">
            <w:r w:rsidRPr="000C1102">
              <w:rPr>
                <w:rStyle w:val="Hyperlink"/>
                <w:noProof/>
              </w:rPr>
              <w:t>Slide 2 - Outline</w:t>
            </w:r>
            <w:r>
              <w:rPr>
                <w:noProof/>
                <w:webHidden/>
              </w:rPr>
              <w:tab/>
            </w:r>
            <w:r>
              <w:rPr>
                <w:noProof/>
                <w:webHidden/>
              </w:rPr>
              <w:fldChar w:fldCharType="begin"/>
            </w:r>
            <w:r>
              <w:rPr>
                <w:noProof/>
                <w:webHidden/>
              </w:rPr>
              <w:instrText xml:space="preserve"> PAGEREF _Toc184132213 \h </w:instrText>
            </w:r>
            <w:r>
              <w:rPr>
                <w:noProof/>
                <w:webHidden/>
              </w:rPr>
            </w:r>
            <w:r>
              <w:rPr>
                <w:noProof/>
                <w:webHidden/>
              </w:rPr>
              <w:fldChar w:fldCharType="separate"/>
            </w:r>
            <w:r>
              <w:rPr>
                <w:noProof/>
                <w:webHidden/>
              </w:rPr>
              <w:t>4</w:t>
            </w:r>
            <w:r>
              <w:rPr>
                <w:noProof/>
                <w:webHidden/>
              </w:rPr>
              <w:fldChar w:fldCharType="end"/>
            </w:r>
          </w:hyperlink>
        </w:p>
        <w:p w14:paraId="1EFA475D" w14:textId="1D3B1BDA" w:rsidR="002C1BAF" w:rsidRDefault="002C1BAF">
          <w:pPr>
            <w:pStyle w:val="TOC1"/>
            <w:tabs>
              <w:tab w:val="right" w:leader="dot" w:pos="9350"/>
            </w:tabs>
            <w:rPr>
              <w:rFonts w:eastAsiaTheme="minorEastAsia"/>
              <w:noProof/>
              <w:sz w:val="24"/>
              <w:szCs w:val="24"/>
            </w:rPr>
          </w:pPr>
          <w:hyperlink w:anchor="_Toc184132214" w:history="1">
            <w:r w:rsidRPr="000C1102">
              <w:rPr>
                <w:rStyle w:val="Hyperlink"/>
                <w:noProof/>
              </w:rPr>
              <w:t>Slide 3 (title page) - Chlamydia, Gonorrhea, and Infectious Syphilis: Years 2000 to 2022</w:t>
            </w:r>
            <w:r>
              <w:rPr>
                <w:noProof/>
                <w:webHidden/>
              </w:rPr>
              <w:tab/>
            </w:r>
            <w:r>
              <w:rPr>
                <w:noProof/>
                <w:webHidden/>
              </w:rPr>
              <w:fldChar w:fldCharType="begin"/>
            </w:r>
            <w:r>
              <w:rPr>
                <w:noProof/>
                <w:webHidden/>
              </w:rPr>
              <w:instrText xml:space="preserve"> PAGEREF _Toc184132214 \h </w:instrText>
            </w:r>
            <w:r>
              <w:rPr>
                <w:noProof/>
                <w:webHidden/>
              </w:rPr>
            </w:r>
            <w:r>
              <w:rPr>
                <w:noProof/>
                <w:webHidden/>
              </w:rPr>
              <w:fldChar w:fldCharType="separate"/>
            </w:r>
            <w:r>
              <w:rPr>
                <w:noProof/>
                <w:webHidden/>
              </w:rPr>
              <w:t>4</w:t>
            </w:r>
            <w:r>
              <w:rPr>
                <w:noProof/>
                <w:webHidden/>
              </w:rPr>
              <w:fldChar w:fldCharType="end"/>
            </w:r>
          </w:hyperlink>
        </w:p>
        <w:p w14:paraId="029074C9" w14:textId="11C3740E" w:rsidR="002C1BAF" w:rsidRDefault="002C1BAF">
          <w:pPr>
            <w:pStyle w:val="TOC1"/>
            <w:tabs>
              <w:tab w:val="right" w:leader="dot" w:pos="9350"/>
            </w:tabs>
            <w:rPr>
              <w:rFonts w:eastAsiaTheme="minorEastAsia"/>
              <w:noProof/>
              <w:sz w:val="24"/>
              <w:szCs w:val="24"/>
            </w:rPr>
          </w:pPr>
          <w:hyperlink w:anchor="_Toc184132215" w:history="1">
            <w:r w:rsidRPr="000C1102">
              <w:rPr>
                <w:rStyle w:val="Hyperlink"/>
                <w:noProof/>
              </w:rPr>
              <w:t>Slide 4 - Rate of Confirmed Chlamydia Cases, Massachusetts, 2000 to 2023</w:t>
            </w:r>
            <w:r w:rsidRPr="000C1102">
              <w:rPr>
                <w:rStyle w:val="Hyperlink"/>
                <w:noProof/>
                <w:vertAlign w:val="superscript"/>
              </w:rPr>
              <w:t>1</w:t>
            </w:r>
            <w:r>
              <w:rPr>
                <w:noProof/>
                <w:webHidden/>
              </w:rPr>
              <w:tab/>
            </w:r>
            <w:r>
              <w:rPr>
                <w:noProof/>
                <w:webHidden/>
              </w:rPr>
              <w:fldChar w:fldCharType="begin"/>
            </w:r>
            <w:r>
              <w:rPr>
                <w:noProof/>
                <w:webHidden/>
              </w:rPr>
              <w:instrText xml:space="preserve"> PAGEREF _Toc184132215 \h </w:instrText>
            </w:r>
            <w:r>
              <w:rPr>
                <w:noProof/>
                <w:webHidden/>
              </w:rPr>
            </w:r>
            <w:r>
              <w:rPr>
                <w:noProof/>
                <w:webHidden/>
              </w:rPr>
              <w:fldChar w:fldCharType="separate"/>
            </w:r>
            <w:r>
              <w:rPr>
                <w:noProof/>
                <w:webHidden/>
              </w:rPr>
              <w:t>5</w:t>
            </w:r>
            <w:r>
              <w:rPr>
                <w:noProof/>
                <w:webHidden/>
              </w:rPr>
              <w:fldChar w:fldCharType="end"/>
            </w:r>
          </w:hyperlink>
        </w:p>
        <w:p w14:paraId="7ADCE6C2" w14:textId="3F1F3DDB" w:rsidR="002C1BAF" w:rsidRDefault="002C1BAF">
          <w:pPr>
            <w:pStyle w:val="TOC2"/>
            <w:tabs>
              <w:tab w:val="right" w:leader="dot" w:pos="9350"/>
            </w:tabs>
            <w:rPr>
              <w:rFonts w:eastAsiaTheme="minorEastAsia"/>
              <w:noProof/>
              <w:sz w:val="24"/>
              <w:szCs w:val="24"/>
            </w:rPr>
          </w:pPr>
          <w:hyperlink w:anchor="_Toc184132216" w:history="1">
            <w:r w:rsidRPr="000C1102">
              <w:rPr>
                <w:rStyle w:val="Hyperlink"/>
                <w:noProof/>
              </w:rPr>
              <w:t>Slide 5 - Rate of Confirmed Chlamydia Cases by Gender</w:t>
            </w:r>
            <w:r w:rsidRPr="000C1102">
              <w:rPr>
                <w:rStyle w:val="Hyperlink"/>
                <w:noProof/>
                <w:vertAlign w:val="superscript"/>
              </w:rPr>
              <w:t>1</w:t>
            </w:r>
            <w:r w:rsidRPr="000C1102">
              <w:rPr>
                <w:rStyle w:val="Hyperlink"/>
                <w:noProof/>
              </w:rPr>
              <w:t>,</w:t>
            </w:r>
            <w:r w:rsidRPr="000C1102">
              <w:rPr>
                <w:rStyle w:val="Hyperlink"/>
                <w:noProof/>
                <w:vertAlign w:val="superscript"/>
              </w:rPr>
              <w:t xml:space="preserve"> </w:t>
            </w:r>
            <w:r w:rsidRPr="000C1102">
              <w:rPr>
                <w:rStyle w:val="Hyperlink"/>
                <w:noProof/>
              </w:rPr>
              <w:t>Massachusetts, 2010 to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_Toc184132216 \h </w:instrText>
            </w:r>
            <w:r>
              <w:rPr>
                <w:noProof/>
                <w:webHidden/>
              </w:rPr>
            </w:r>
            <w:r>
              <w:rPr>
                <w:noProof/>
                <w:webHidden/>
              </w:rPr>
              <w:fldChar w:fldCharType="separate"/>
            </w:r>
            <w:r>
              <w:rPr>
                <w:noProof/>
                <w:webHidden/>
              </w:rPr>
              <w:t>6</w:t>
            </w:r>
            <w:r>
              <w:rPr>
                <w:noProof/>
                <w:webHidden/>
              </w:rPr>
              <w:fldChar w:fldCharType="end"/>
            </w:r>
          </w:hyperlink>
        </w:p>
        <w:p w14:paraId="078D92F9" w14:textId="72981355" w:rsidR="002C1BAF" w:rsidRDefault="002C1BAF">
          <w:pPr>
            <w:pStyle w:val="TOC2"/>
            <w:tabs>
              <w:tab w:val="right" w:leader="dot" w:pos="9350"/>
            </w:tabs>
            <w:rPr>
              <w:rFonts w:eastAsiaTheme="minorEastAsia"/>
              <w:noProof/>
              <w:sz w:val="24"/>
              <w:szCs w:val="24"/>
            </w:rPr>
          </w:pPr>
          <w:hyperlink w:anchor="_Toc184132217" w:history="1">
            <w:r w:rsidRPr="000C1102">
              <w:rPr>
                <w:rStyle w:val="Hyperlink"/>
                <w:noProof/>
              </w:rPr>
              <w:t>Slide 6 - Chlamydia among Individuals of Transgender Experience,</w:t>
            </w:r>
            <w:r w:rsidRPr="000C1102">
              <w:rPr>
                <w:rStyle w:val="Hyperlink"/>
                <w:noProof/>
                <w:vertAlign w:val="superscript"/>
              </w:rPr>
              <w:t>1,2</w:t>
            </w:r>
            <w:r w:rsidRPr="000C1102">
              <w:rPr>
                <w:rStyle w:val="Hyperlink"/>
                <w:noProof/>
              </w:rPr>
              <w:t xml:space="preserve"> Massachusetts, 2015 to 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_Toc184132217 \h </w:instrText>
            </w:r>
            <w:r>
              <w:rPr>
                <w:noProof/>
                <w:webHidden/>
              </w:rPr>
            </w:r>
            <w:r>
              <w:rPr>
                <w:noProof/>
                <w:webHidden/>
              </w:rPr>
              <w:fldChar w:fldCharType="separate"/>
            </w:r>
            <w:r>
              <w:rPr>
                <w:noProof/>
                <w:webHidden/>
              </w:rPr>
              <w:t>7</w:t>
            </w:r>
            <w:r>
              <w:rPr>
                <w:noProof/>
                <w:webHidden/>
              </w:rPr>
              <w:fldChar w:fldCharType="end"/>
            </w:r>
          </w:hyperlink>
        </w:p>
        <w:p w14:paraId="5D4C13A0" w14:textId="62790B2D" w:rsidR="002C1BAF" w:rsidRDefault="002C1BAF">
          <w:pPr>
            <w:pStyle w:val="TOC2"/>
            <w:tabs>
              <w:tab w:val="right" w:leader="dot" w:pos="9350"/>
            </w:tabs>
            <w:rPr>
              <w:rFonts w:eastAsiaTheme="minorEastAsia"/>
              <w:noProof/>
              <w:sz w:val="24"/>
              <w:szCs w:val="24"/>
            </w:rPr>
          </w:pPr>
          <w:hyperlink w:anchor="_Toc184132218" w:history="1">
            <w:r w:rsidRPr="000C1102">
              <w:rPr>
                <w:rStyle w:val="Hyperlink"/>
                <w:noProof/>
              </w:rPr>
              <w:t>Slide 7 - Confirmed Chlamydia Rates by County and Statewide,</w:t>
            </w:r>
            <w:r w:rsidRPr="000C1102">
              <w:rPr>
                <w:rStyle w:val="Hyperlink"/>
                <w:noProof/>
                <w:vertAlign w:val="superscript"/>
              </w:rPr>
              <w:t xml:space="preserve"> </w:t>
            </w:r>
            <w:r w:rsidRPr="000C1102">
              <w:rPr>
                <w:rStyle w:val="Hyperlink"/>
                <w:noProof/>
              </w:rPr>
              <w:t>Massachusetts, 2020-2023</w:t>
            </w:r>
            <w:r w:rsidRPr="000C1102">
              <w:rPr>
                <w:rStyle w:val="Hyperlink"/>
                <w:noProof/>
                <w:vertAlign w:val="superscript"/>
              </w:rPr>
              <w:t>1</w:t>
            </w:r>
            <w:r>
              <w:rPr>
                <w:noProof/>
                <w:webHidden/>
              </w:rPr>
              <w:tab/>
            </w:r>
            <w:r>
              <w:rPr>
                <w:noProof/>
                <w:webHidden/>
              </w:rPr>
              <w:fldChar w:fldCharType="begin"/>
            </w:r>
            <w:r>
              <w:rPr>
                <w:noProof/>
                <w:webHidden/>
              </w:rPr>
              <w:instrText xml:space="preserve"> PAGEREF _Toc184132218 \h </w:instrText>
            </w:r>
            <w:r>
              <w:rPr>
                <w:noProof/>
                <w:webHidden/>
              </w:rPr>
            </w:r>
            <w:r>
              <w:rPr>
                <w:noProof/>
                <w:webHidden/>
              </w:rPr>
              <w:fldChar w:fldCharType="separate"/>
            </w:r>
            <w:r>
              <w:rPr>
                <w:noProof/>
                <w:webHidden/>
              </w:rPr>
              <w:t>9</w:t>
            </w:r>
            <w:r>
              <w:rPr>
                <w:noProof/>
                <w:webHidden/>
              </w:rPr>
              <w:fldChar w:fldCharType="end"/>
            </w:r>
          </w:hyperlink>
        </w:p>
        <w:p w14:paraId="4A99D1AB" w14:textId="6DCC80A8" w:rsidR="002C1BAF" w:rsidRDefault="002C1BAF">
          <w:pPr>
            <w:pStyle w:val="TOC2"/>
            <w:tabs>
              <w:tab w:val="right" w:leader="dot" w:pos="9350"/>
            </w:tabs>
            <w:rPr>
              <w:rFonts w:eastAsiaTheme="minorEastAsia"/>
              <w:noProof/>
              <w:sz w:val="24"/>
              <w:szCs w:val="24"/>
            </w:rPr>
          </w:pPr>
          <w:hyperlink w:anchor="_Toc184132219" w:history="1">
            <w:r w:rsidRPr="000C1102">
              <w:rPr>
                <w:rStyle w:val="Hyperlink"/>
                <w:noProof/>
              </w:rPr>
              <w:t>Slide 8 - Average Age of Confirmed Chlamydia Cases by Gender</w:t>
            </w:r>
            <w:r w:rsidRPr="000C1102">
              <w:rPr>
                <w:rStyle w:val="Hyperlink"/>
                <w:noProof/>
                <w:vertAlign w:val="superscript"/>
              </w:rPr>
              <w:t>1</w:t>
            </w:r>
            <w:r w:rsidRPr="000C1102">
              <w:rPr>
                <w:rStyle w:val="Hyperlink"/>
                <w:noProof/>
              </w:rPr>
              <w:t>, Massachusetts, 2012 to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_Toc184132219 \h </w:instrText>
            </w:r>
            <w:r>
              <w:rPr>
                <w:noProof/>
                <w:webHidden/>
              </w:rPr>
            </w:r>
            <w:r>
              <w:rPr>
                <w:noProof/>
                <w:webHidden/>
              </w:rPr>
              <w:fldChar w:fldCharType="separate"/>
            </w:r>
            <w:r>
              <w:rPr>
                <w:noProof/>
                <w:webHidden/>
              </w:rPr>
              <w:t>10</w:t>
            </w:r>
            <w:r>
              <w:rPr>
                <w:noProof/>
                <w:webHidden/>
              </w:rPr>
              <w:fldChar w:fldCharType="end"/>
            </w:r>
          </w:hyperlink>
        </w:p>
        <w:p w14:paraId="0A0D6038" w14:textId="7FCDC324" w:rsidR="002C1BAF" w:rsidRDefault="002C1BAF">
          <w:pPr>
            <w:pStyle w:val="TOC2"/>
            <w:tabs>
              <w:tab w:val="right" w:leader="dot" w:pos="9350"/>
            </w:tabs>
            <w:rPr>
              <w:rFonts w:eastAsiaTheme="minorEastAsia"/>
              <w:noProof/>
              <w:sz w:val="24"/>
              <w:szCs w:val="24"/>
            </w:rPr>
          </w:pPr>
          <w:hyperlink w:anchor="_Toc184132220" w:history="1">
            <w:r w:rsidRPr="000C1102">
              <w:rPr>
                <w:rStyle w:val="Hyperlink"/>
                <w:noProof/>
              </w:rPr>
              <w:t>Slide 9 - Rate of Confirmed Gonorrhea Cases, Massachusetts, 2000 to 2023</w:t>
            </w:r>
            <w:r w:rsidRPr="000C1102">
              <w:rPr>
                <w:rStyle w:val="Hyperlink"/>
                <w:noProof/>
                <w:vertAlign w:val="superscript"/>
              </w:rPr>
              <w:t>1</w:t>
            </w:r>
            <w:r>
              <w:rPr>
                <w:noProof/>
                <w:webHidden/>
              </w:rPr>
              <w:tab/>
            </w:r>
            <w:r>
              <w:rPr>
                <w:noProof/>
                <w:webHidden/>
              </w:rPr>
              <w:fldChar w:fldCharType="begin"/>
            </w:r>
            <w:r>
              <w:rPr>
                <w:noProof/>
                <w:webHidden/>
              </w:rPr>
              <w:instrText xml:space="preserve"> PAGEREF _Toc184132220 \h </w:instrText>
            </w:r>
            <w:r>
              <w:rPr>
                <w:noProof/>
                <w:webHidden/>
              </w:rPr>
            </w:r>
            <w:r>
              <w:rPr>
                <w:noProof/>
                <w:webHidden/>
              </w:rPr>
              <w:fldChar w:fldCharType="separate"/>
            </w:r>
            <w:r>
              <w:rPr>
                <w:noProof/>
                <w:webHidden/>
              </w:rPr>
              <w:t>11</w:t>
            </w:r>
            <w:r>
              <w:rPr>
                <w:noProof/>
                <w:webHidden/>
              </w:rPr>
              <w:fldChar w:fldCharType="end"/>
            </w:r>
          </w:hyperlink>
        </w:p>
        <w:p w14:paraId="3E3108AE" w14:textId="2B2ED45E" w:rsidR="002C1BAF" w:rsidRDefault="002C1BAF">
          <w:pPr>
            <w:pStyle w:val="TOC2"/>
            <w:tabs>
              <w:tab w:val="right" w:leader="dot" w:pos="9350"/>
            </w:tabs>
            <w:rPr>
              <w:rFonts w:eastAsiaTheme="minorEastAsia"/>
              <w:noProof/>
              <w:sz w:val="24"/>
              <w:szCs w:val="24"/>
            </w:rPr>
          </w:pPr>
          <w:hyperlink w:anchor="_Toc184132221" w:history="1">
            <w:r w:rsidRPr="000C1102">
              <w:rPr>
                <w:rStyle w:val="Hyperlink"/>
                <w:noProof/>
              </w:rPr>
              <w:t>Slide 10 - Rate of Confirmed Gonorrhea Cases by Gender</w:t>
            </w:r>
            <w:r w:rsidRPr="000C1102">
              <w:rPr>
                <w:rStyle w:val="Hyperlink"/>
                <w:noProof/>
                <w:vertAlign w:val="superscript"/>
              </w:rPr>
              <w:t>1</w:t>
            </w:r>
            <w:r w:rsidRPr="000C1102">
              <w:rPr>
                <w:rStyle w:val="Hyperlink"/>
                <w:noProof/>
              </w:rPr>
              <w:t>,</w:t>
            </w:r>
            <w:r w:rsidRPr="000C1102">
              <w:rPr>
                <w:rStyle w:val="Hyperlink"/>
                <w:noProof/>
                <w:vertAlign w:val="superscript"/>
              </w:rPr>
              <w:t xml:space="preserve"> </w:t>
            </w:r>
            <w:r w:rsidRPr="000C1102">
              <w:rPr>
                <w:rStyle w:val="Hyperlink"/>
                <w:noProof/>
              </w:rPr>
              <w:t>Massachusetts, 2010-2023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_Toc184132221 \h </w:instrText>
            </w:r>
            <w:r>
              <w:rPr>
                <w:noProof/>
                <w:webHidden/>
              </w:rPr>
            </w:r>
            <w:r>
              <w:rPr>
                <w:noProof/>
                <w:webHidden/>
              </w:rPr>
              <w:fldChar w:fldCharType="separate"/>
            </w:r>
            <w:r>
              <w:rPr>
                <w:noProof/>
                <w:webHidden/>
              </w:rPr>
              <w:t>12</w:t>
            </w:r>
            <w:r>
              <w:rPr>
                <w:noProof/>
                <w:webHidden/>
              </w:rPr>
              <w:fldChar w:fldCharType="end"/>
            </w:r>
          </w:hyperlink>
        </w:p>
        <w:p w14:paraId="7A26C7DC" w14:textId="06BD69F2" w:rsidR="002C1BAF" w:rsidRDefault="002C1BAF">
          <w:pPr>
            <w:pStyle w:val="TOC2"/>
            <w:tabs>
              <w:tab w:val="right" w:leader="dot" w:pos="9350"/>
            </w:tabs>
            <w:rPr>
              <w:rFonts w:eastAsiaTheme="minorEastAsia"/>
              <w:noProof/>
              <w:sz w:val="24"/>
              <w:szCs w:val="24"/>
            </w:rPr>
          </w:pPr>
          <w:hyperlink w:anchor="_Toc184132222" w:history="1">
            <w:r w:rsidRPr="000C1102">
              <w:rPr>
                <w:rStyle w:val="Hyperlink"/>
                <w:noProof/>
              </w:rPr>
              <w:t>Slide 11: Gonorrhea Among Individuals of Transgender Experience</w:t>
            </w:r>
            <w:r w:rsidRPr="000C1102">
              <w:rPr>
                <w:rStyle w:val="Hyperlink"/>
                <w:noProof/>
                <w:vertAlign w:val="superscript"/>
              </w:rPr>
              <w:t>1</w:t>
            </w:r>
            <w:r w:rsidRPr="000C1102">
              <w:rPr>
                <w:rStyle w:val="Hyperlink"/>
                <w:noProof/>
              </w:rPr>
              <w:t>, Massachusetts, 2015 to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_Toc184132222 \h </w:instrText>
            </w:r>
            <w:r>
              <w:rPr>
                <w:noProof/>
                <w:webHidden/>
              </w:rPr>
            </w:r>
            <w:r>
              <w:rPr>
                <w:noProof/>
                <w:webHidden/>
              </w:rPr>
              <w:fldChar w:fldCharType="separate"/>
            </w:r>
            <w:r>
              <w:rPr>
                <w:noProof/>
                <w:webHidden/>
              </w:rPr>
              <w:t>14</w:t>
            </w:r>
            <w:r>
              <w:rPr>
                <w:noProof/>
                <w:webHidden/>
              </w:rPr>
              <w:fldChar w:fldCharType="end"/>
            </w:r>
          </w:hyperlink>
        </w:p>
        <w:p w14:paraId="3CCE3C28" w14:textId="45553A87" w:rsidR="002C1BAF" w:rsidRDefault="002C1BAF">
          <w:pPr>
            <w:pStyle w:val="TOC2"/>
            <w:tabs>
              <w:tab w:val="right" w:leader="dot" w:pos="9350"/>
            </w:tabs>
            <w:rPr>
              <w:rFonts w:eastAsiaTheme="minorEastAsia"/>
              <w:noProof/>
              <w:sz w:val="24"/>
              <w:szCs w:val="24"/>
            </w:rPr>
          </w:pPr>
          <w:hyperlink w:anchor="_Toc184132223" w:history="1">
            <w:r w:rsidRPr="000C1102">
              <w:rPr>
                <w:rStyle w:val="Hyperlink"/>
                <w:noProof/>
              </w:rPr>
              <w:t>Slide 12: Confirmed Gonorrhea Rates by County and Statewide,</w:t>
            </w:r>
            <w:r w:rsidRPr="000C1102">
              <w:rPr>
                <w:rStyle w:val="Hyperlink"/>
                <w:noProof/>
                <w:vertAlign w:val="superscript"/>
              </w:rPr>
              <w:t xml:space="preserve"> </w:t>
            </w:r>
            <w:r w:rsidRPr="000C1102">
              <w:rPr>
                <w:rStyle w:val="Hyperlink"/>
                <w:noProof/>
              </w:rPr>
              <w:t>Massachusetts, 2020-2023</w:t>
            </w:r>
            <w:r w:rsidRPr="000C1102">
              <w:rPr>
                <w:rStyle w:val="Hyperlink"/>
                <w:noProof/>
                <w:vertAlign w:val="superscript"/>
              </w:rPr>
              <w:t>1</w:t>
            </w:r>
            <w:r>
              <w:rPr>
                <w:noProof/>
                <w:webHidden/>
              </w:rPr>
              <w:tab/>
            </w:r>
            <w:r>
              <w:rPr>
                <w:noProof/>
                <w:webHidden/>
              </w:rPr>
              <w:fldChar w:fldCharType="begin"/>
            </w:r>
            <w:r>
              <w:rPr>
                <w:noProof/>
                <w:webHidden/>
              </w:rPr>
              <w:instrText xml:space="preserve"> PAGEREF _Toc184132223 \h </w:instrText>
            </w:r>
            <w:r>
              <w:rPr>
                <w:noProof/>
                <w:webHidden/>
              </w:rPr>
            </w:r>
            <w:r>
              <w:rPr>
                <w:noProof/>
                <w:webHidden/>
              </w:rPr>
              <w:fldChar w:fldCharType="separate"/>
            </w:r>
            <w:r>
              <w:rPr>
                <w:noProof/>
                <w:webHidden/>
              </w:rPr>
              <w:t>15</w:t>
            </w:r>
            <w:r>
              <w:rPr>
                <w:noProof/>
                <w:webHidden/>
              </w:rPr>
              <w:fldChar w:fldCharType="end"/>
            </w:r>
          </w:hyperlink>
        </w:p>
        <w:p w14:paraId="4EE6A079" w14:textId="595F64FB" w:rsidR="002C1BAF" w:rsidRDefault="002C1BAF">
          <w:pPr>
            <w:pStyle w:val="TOC2"/>
            <w:tabs>
              <w:tab w:val="right" w:leader="dot" w:pos="9350"/>
            </w:tabs>
            <w:rPr>
              <w:rFonts w:eastAsiaTheme="minorEastAsia"/>
              <w:noProof/>
              <w:sz w:val="24"/>
              <w:szCs w:val="24"/>
            </w:rPr>
          </w:pPr>
          <w:hyperlink w:anchor="_Toc184132224" w:history="1">
            <w:r w:rsidRPr="000C1102">
              <w:rPr>
                <w:rStyle w:val="Hyperlink"/>
                <w:noProof/>
              </w:rPr>
              <w:t>Slide 13: Rate of Confirmed and Probable Infectious Syphilis1 Cases by Gender,2 Massachusetts, 2010-20233</w:t>
            </w:r>
            <w:r>
              <w:rPr>
                <w:noProof/>
                <w:webHidden/>
              </w:rPr>
              <w:tab/>
            </w:r>
            <w:r>
              <w:rPr>
                <w:noProof/>
                <w:webHidden/>
              </w:rPr>
              <w:fldChar w:fldCharType="begin"/>
            </w:r>
            <w:r>
              <w:rPr>
                <w:noProof/>
                <w:webHidden/>
              </w:rPr>
              <w:instrText xml:space="preserve"> PAGEREF _Toc184132224 \h </w:instrText>
            </w:r>
            <w:r>
              <w:rPr>
                <w:noProof/>
                <w:webHidden/>
              </w:rPr>
            </w:r>
            <w:r>
              <w:rPr>
                <w:noProof/>
                <w:webHidden/>
              </w:rPr>
              <w:fldChar w:fldCharType="separate"/>
            </w:r>
            <w:r>
              <w:rPr>
                <w:noProof/>
                <w:webHidden/>
              </w:rPr>
              <w:t>16</w:t>
            </w:r>
            <w:r>
              <w:rPr>
                <w:noProof/>
                <w:webHidden/>
              </w:rPr>
              <w:fldChar w:fldCharType="end"/>
            </w:r>
          </w:hyperlink>
        </w:p>
        <w:p w14:paraId="00A728EA" w14:textId="546BD427" w:rsidR="002C1BAF" w:rsidRDefault="002C1BAF">
          <w:pPr>
            <w:pStyle w:val="TOC1"/>
            <w:tabs>
              <w:tab w:val="right" w:leader="dot" w:pos="9350"/>
            </w:tabs>
            <w:rPr>
              <w:rFonts w:eastAsiaTheme="minorEastAsia"/>
              <w:noProof/>
              <w:sz w:val="24"/>
              <w:szCs w:val="24"/>
            </w:rPr>
          </w:pPr>
          <w:hyperlink w:anchor="_Toc184132225" w:history="1">
            <w:r>
              <w:rPr>
                <w:noProof/>
                <w:webHidden/>
              </w:rPr>
              <w:tab/>
            </w:r>
            <w:r>
              <w:rPr>
                <w:noProof/>
                <w:webHidden/>
              </w:rPr>
              <w:fldChar w:fldCharType="begin"/>
            </w:r>
            <w:r>
              <w:rPr>
                <w:noProof/>
                <w:webHidden/>
              </w:rPr>
              <w:instrText xml:space="preserve"> PAGEREF _Toc184132225 \h </w:instrText>
            </w:r>
            <w:r>
              <w:rPr>
                <w:noProof/>
                <w:webHidden/>
              </w:rPr>
            </w:r>
            <w:r>
              <w:rPr>
                <w:noProof/>
                <w:webHidden/>
              </w:rPr>
              <w:fldChar w:fldCharType="separate"/>
            </w:r>
            <w:r>
              <w:rPr>
                <w:noProof/>
                <w:webHidden/>
              </w:rPr>
              <w:t>16</w:t>
            </w:r>
            <w:r>
              <w:rPr>
                <w:noProof/>
                <w:webHidden/>
              </w:rPr>
              <w:fldChar w:fldCharType="end"/>
            </w:r>
          </w:hyperlink>
        </w:p>
        <w:p w14:paraId="27D93C27" w14:textId="0A3EB22D" w:rsidR="002C1BAF" w:rsidRDefault="002C1BAF">
          <w:pPr>
            <w:pStyle w:val="TOC2"/>
            <w:tabs>
              <w:tab w:val="right" w:leader="dot" w:pos="9350"/>
            </w:tabs>
            <w:rPr>
              <w:rFonts w:eastAsiaTheme="minorEastAsia"/>
              <w:noProof/>
              <w:sz w:val="24"/>
              <w:szCs w:val="24"/>
            </w:rPr>
          </w:pPr>
          <w:hyperlink w:anchor="_Toc184132226" w:history="1">
            <w:r w:rsidRPr="000C1102">
              <w:rPr>
                <w:rStyle w:val="Hyperlink"/>
                <w:noProof/>
              </w:rPr>
              <w:t>Slide 14: Rate of Confirmed and Probable Infectious Syphilis</w:t>
            </w:r>
            <w:r w:rsidRPr="000C1102">
              <w:rPr>
                <w:rStyle w:val="Hyperlink"/>
                <w:noProof/>
                <w:vertAlign w:val="superscript"/>
              </w:rPr>
              <w:t>1</w:t>
            </w:r>
            <w:r w:rsidRPr="000C1102">
              <w:rPr>
                <w:rStyle w:val="Hyperlink"/>
                <w:noProof/>
              </w:rPr>
              <w:t> Cases by Gender,</w:t>
            </w:r>
            <w:r w:rsidRPr="000C1102">
              <w:rPr>
                <w:rStyle w:val="Hyperlink"/>
                <w:noProof/>
                <w:vertAlign w:val="superscript"/>
              </w:rPr>
              <w:t xml:space="preserve">2 </w:t>
            </w:r>
            <w:r w:rsidRPr="000C1102">
              <w:rPr>
                <w:rStyle w:val="Hyperlink"/>
                <w:noProof/>
              </w:rPr>
              <w:t>Massachusetts, 2010-2023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_Toc184132226 \h </w:instrText>
            </w:r>
            <w:r>
              <w:rPr>
                <w:noProof/>
                <w:webHidden/>
              </w:rPr>
            </w:r>
            <w:r>
              <w:rPr>
                <w:noProof/>
                <w:webHidden/>
              </w:rPr>
              <w:fldChar w:fldCharType="separate"/>
            </w:r>
            <w:r>
              <w:rPr>
                <w:noProof/>
                <w:webHidden/>
              </w:rPr>
              <w:t>18</w:t>
            </w:r>
            <w:r>
              <w:rPr>
                <w:noProof/>
                <w:webHidden/>
              </w:rPr>
              <w:fldChar w:fldCharType="end"/>
            </w:r>
          </w:hyperlink>
        </w:p>
        <w:p w14:paraId="53E55EE9" w14:textId="625BB81D" w:rsidR="002C1BAF" w:rsidRDefault="002C1BAF">
          <w:pPr>
            <w:pStyle w:val="TOC2"/>
            <w:tabs>
              <w:tab w:val="right" w:leader="dot" w:pos="9350"/>
            </w:tabs>
            <w:rPr>
              <w:rFonts w:eastAsiaTheme="minorEastAsia"/>
              <w:noProof/>
              <w:sz w:val="24"/>
              <w:szCs w:val="24"/>
            </w:rPr>
          </w:pPr>
          <w:hyperlink w:anchor="_Toc184132227" w:history="1">
            <w:r w:rsidRPr="000C1102">
              <w:rPr>
                <w:rStyle w:val="Hyperlink"/>
                <w:noProof/>
              </w:rPr>
              <w:t>Slide 15: Infectious Syphilis</w:t>
            </w:r>
            <w:r w:rsidRPr="000C1102">
              <w:rPr>
                <w:rStyle w:val="Hyperlink"/>
                <w:noProof/>
                <w:vertAlign w:val="superscript"/>
              </w:rPr>
              <w:t>1</w:t>
            </w:r>
            <w:r w:rsidRPr="000C1102">
              <w:rPr>
                <w:rStyle w:val="Hyperlink"/>
                <w:noProof/>
              </w:rPr>
              <w:t xml:space="preserve"> Reported Cases by Race/Ethnicity</w:t>
            </w:r>
            <w:r w:rsidRPr="000C1102">
              <w:rPr>
                <w:rStyle w:val="Hyperlink"/>
                <w:noProof/>
                <w:vertAlign w:val="superscript"/>
              </w:rPr>
              <w:t>2</w:t>
            </w:r>
            <w:r w:rsidRPr="000C1102">
              <w:rPr>
                <w:rStyle w:val="Hyperlink"/>
                <w:noProof/>
              </w:rPr>
              <w:t>, Massachusetts, 2015-2023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_Toc184132227 \h </w:instrText>
            </w:r>
            <w:r>
              <w:rPr>
                <w:noProof/>
                <w:webHidden/>
              </w:rPr>
            </w:r>
            <w:r>
              <w:rPr>
                <w:noProof/>
                <w:webHidden/>
              </w:rPr>
              <w:fldChar w:fldCharType="separate"/>
            </w:r>
            <w:r>
              <w:rPr>
                <w:noProof/>
                <w:webHidden/>
              </w:rPr>
              <w:t>20</w:t>
            </w:r>
            <w:r>
              <w:rPr>
                <w:noProof/>
                <w:webHidden/>
              </w:rPr>
              <w:fldChar w:fldCharType="end"/>
            </w:r>
          </w:hyperlink>
        </w:p>
        <w:p w14:paraId="21770593" w14:textId="073F08EA" w:rsidR="002C1BAF" w:rsidRDefault="002C1BAF">
          <w:pPr>
            <w:pStyle w:val="TOC2"/>
            <w:tabs>
              <w:tab w:val="right" w:leader="dot" w:pos="9350"/>
            </w:tabs>
            <w:rPr>
              <w:rFonts w:eastAsiaTheme="minorEastAsia"/>
              <w:noProof/>
              <w:sz w:val="24"/>
              <w:szCs w:val="24"/>
            </w:rPr>
          </w:pPr>
          <w:hyperlink w:anchor="_Toc184132228" w:history="1">
            <w:r w:rsidRPr="000C1102">
              <w:rPr>
                <w:rStyle w:val="Hyperlink"/>
                <w:noProof/>
              </w:rPr>
              <w:t>Slide 16: Confirmed and Probable Infectious Syphilis</w:t>
            </w:r>
            <w:r w:rsidRPr="000C1102">
              <w:rPr>
                <w:rStyle w:val="Hyperlink"/>
                <w:noProof/>
                <w:vertAlign w:val="superscript"/>
              </w:rPr>
              <w:t>1</w:t>
            </w:r>
            <w:r w:rsidRPr="000C1102">
              <w:rPr>
                <w:rStyle w:val="Hyperlink"/>
                <w:noProof/>
              </w:rPr>
              <w:t xml:space="preserve"> Among Individuals of Transgender Experience</w:t>
            </w:r>
            <w:r w:rsidRPr="000C1102">
              <w:rPr>
                <w:rStyle w:val="Hyperlink"/>
                <w:noProof/>
                <w:vertAlign w:val="superscript"/>
              </w:rPr>
              <w:t>2</w:t>
            </w:r>
            <w:r w:rsidRPr="000C1102">
              <w:rPr>
                <w:rStyle w:val="Hyperlink"/>
                <w:noProof/>
              </w:rPr>
              <w:t>, Massachusetts, 2015 to 2023</w:t>
            </w:r>
            <w:r w:rsidRPr="000C1102">
              <w:rPr>
                <w:rStyle w:val="Hyperlink"/>
                <w:noProof/>
                <w:vertAlign w:val="superscript"/>
              </w:rPr>
              <w:t>3, 4</w:t>
            </w:r>
            <w:r>
              <w:rPr>
                <w:noProof/>
                <w:webHidden/>
              </w:rPr>
              <w:tab/>
            </w:r>
            <w:r>
              <w:rPr>
                <w:noProof/>
                <w:webHidden/>
              </w:rPr>
              <w:fldChar w:fldCharType="begin"/>
            </w:r>
            <w:r>
              <w:rPr>
                <w:noProof/>
                <w:webHidden/>
              </w:rPr>
              <w:instrText xml:space="preserve"> PAGEREF _Toc184132228 \h </w:instrText>
            </w:r>
            <w:r>
              <w:rPr>
                <w:noProof/>
                <w:webHidden/>
              </w:rPr>
            </w:r>
            <w:r>
              <w:rPr>
                <w:noProof/>
                <w:webHidden/>
              </w:rPr>
              <w:fldChar w:fldCharType="separate"/>
            </w:r>
            <w:r>
              <w:rPr>
                <w:noProof/>
                <w:webHidden/>
              </w:rPr>
              <w:t>21</w:t>
            </w:r>
            <w:r>
              <w:rPr>
                <w:noProof/>
                <w:webHidden/>
              </w:rPr>
              <w:fldChar w:fldCharType="end"/>
            </w:r>
          </w:hyperlink>
        </w:p>
        <w:p w14:paraId="6E1D8A01" w14:textId="63B6F277" w:rsidR="002C1BAF" w:rsidRDefault="002C1BAF">
          <w:pPr>
            <w:pStyle w:val="TOC2"/>
            <w:tabs>
              <w:tab w:val="right" w:leader="dot" w:pos="9350"/>
            </w:tabs>
            <w:rPr>
              <w:rFonts w:eastAsiaTheme="minorEastAsia"/>
              <w:noProof/>
              <w:sz w:val="24"/>
              <w:szCs w:val="24"/>
            </w:rPr>
          </w:pPr>
          <w:hyperlink w:anchor="_Toc184132229" w:history="1">
            <w:r w:rsidRPr="000C1102">
              <w:rPr>
                <w:rStyle w:val="Hyperlink"/>
                <w:noProof/>
              </w:rPr>
              <w:t>Slide 17: Confirmed and Probable Infectious Syphilis</w:t>
            </w:r>
            <w:r w:rsidRPr="000C1102">
              <w:rPr>
                <w:rStyle w:val="Hyperlink"/>
                <w:noProof/>
                <w:vertAlign w:val="superscript"/>
              </w:rPr>
              <w:t>1</w:t>
            </w:r>
            <w:r w:rsidRPr="000C1102">
              <w:rPr>
                <w:rStyle w:val="Hyperlink"/>
                <w:noProof/>
              </w:rPr>
              <w:t xml:space="preserve"> Rates by County and Statewide,</w:t>
            </w:r>
            <w:r w:rsidRPr="000C1102">
              <w:rPr>
                <w:rStyle w:val="Hyperlink"/>
                <w:noProof/>
                <w:vertAlign w:val="superscript"/>
              </w:rPr>
              <w:t xml:space="preserve"> </w:t>
            </w:r>
            <w:r w:rsidRPr="000C1102">
              <w:rPr>
                <w:rStyle w:val="Hyperlink"/>
                <w:noProof/>
              </w:rPr>
              <w:t>Massachusetts, 2020-2023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_Toc184132229 \h </w:instrText>
            </w:r>
            <w:r>
              <w:rPr>
                <w:noProof/>
                <w:webHidden/>
              </w:rPr>
            </w:r>
            <w:r>
              <w:rPr>
                <w:noProof/>
                <w:webHidden/>
              </w:rPr>
              <w:fldChar w:fldCharType="separate"/>
            </w:r>
            <w:r>
              <w:rPr>
                <w:noProof/>
                <w:webHidden/>
              </w:rPr>
              <w:t>22</w:t>
            </w:r>
            <w:r>
              <w:rPr>
                <w:noProof/>
                <w:webHidden/>
              </w:rPr>
              <w:fldChar w:fldCharType="end"/>
            </w:r>
          </w:hyperlink>
        </w:p>
        <w:p w14:paraId="7E442BA4" w14:textId="1A0ACE49" w:rsidR="002C1BAF" w:rsidRDefault="002C1BAF">
          <w:pPr>
            <w:pStyle w:val="TOC2"/>
            <w:tabs>
              <w:tab w:val="right" w:leader="dot" w:pos="9350"/>
            </w:tabs>
            <w:rPr>
              <w:rFonts w:eastAsiaTheme="minorEastAsia"/>
              <w:noProof/>
              <w:sz w:val="24"/>
              <w:szCs w:val="24"/>
            </w:rPr>
          </w:pPr>
          <w:hyperlink w:anchor="_Toc184132230" w:history="1">
            <w:r w:rsidRPr="000C1102">
              <w:rPr>
                <w:rStyle w:val="Hyperlink"/>
                <w:noProof/>
              </w:rPr>
              <w:t>Slide 18 – Confirmed and Probable Infectious Syphilis</w:t>
            </w:r>
            <w:r w:rsidRPr="000C1102">
              <w:rPr>
                <w:rStyle w:val="Hyperlink"/>
                <w:noProof/>
                <w:vertAlign w:val="superscript"/>
              </w:rPr>
              <w:t>1</w:t>
            </w:r>
            <w:r w:rsidRPr="000C1102">
              <w:rPr>
                <w:rStyle w:val="Hyperlink"/>
                <w:noProof/>
              </w:rPr>
              <w:t xml:space="preserve"> Rates by Stage of Infection, Massachusetts, 2010–2023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_Toc184132230 \h </w:instrText>
            </w:r>
            <w:r>
              <w:rPr>
                <w:noProof/>
                <w:webHidden/>
              </w:rPr>
            </w:r>
            <w:r>
              <w:rPr>
                <w:noProof/>
                <w:webHidden/>
              </w:rPr>
              <w:fldChar w:fldCharType="separate"/>
            </w:r>
            <w:r>
              <w:rPr>
                <w:noProof/>
                <w:webHidden/>
              </w:rPr>
              <w:t>24</w:t>
            </w:r>
            <w:r>
              <w:rPr>
                <w:noProof/>
                <w:webHidden/>
              </w:rPr>
              <w:fldChar w:fldCharType="end"/>
            </w:r>
          </w:hyperlink>
        </w:p>
        <w:p w14:paraId="184B2658" w14:textId="7EB0BE3A" w:rsidR="002C1BAF" w:rsidRDefault="002C1BAF">
          <w:pPr>
            <w:pStyle w:val="TOC2"/>
            <w:tabs>
              <w:tab w:val="right" w:leader="dot" w:pos="9350"/>
            </w:tabs>
            <w:rPr>
              <w:rFonts w:eastAsiaTheme="minorEastAsia"/>
              <w:noProof/>
              <w:sz w:val="24"/>
              <w:szCs w:val="24"/>
            </w:rPr>
          </w:pPr>
          <w:hyperlink w:anchor="_Toc184132231" w:history="1">
            <w:r w:rsidRPr="000C1102">
              <w:rPr>
                <w:rStyle w:val="Hyperlink"/>
                <w:noProof/>
              </w:rPr>
              <w:t>Slide 19 – Infectious Syphilis</w:t>
            </w:r>
            <w:r w:rsidRPr="000C1102">
              <w:rPr>
                <w:rStyle w:val="Hyperlink"/>
                <w:noProof/>
                <w:vertAlign w:val="superscript"/>
              </w:rPr>
              <w:t xml:space="preserve">1 </w:t>
            </w:r>
            <w:r w:rsidRPr="000C1102">
              <w:rPr>
                <w:rStyle w:val="Hyperlink"/>
                <w:noProof/>
              </w:rPr>
              <w:t>Reported Cases by Gender of Sex Partners, Massachusetts, 2015-2023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_Toc184132231 \h </w:instrText>
            </w:r>
            <w:r>
              <w:rPr>
                <w:noProof/>
                <w:webHidden/>
              </w:rPr>
            </w:r>
            <w:r>
              <w:rPr>
                <w:noProof/>
                <w:webHidden/>
              </w:rPr>
              <w:fldChar w:fldCharType="separate"/>
            </w:r>
            <w:r>
              <w:rPr>
                <w:noProof/>
                <w:webHidden/>
              </w:rPr>
              <w:t>26</w:t>
            </w:r>
            <w:r>
              <w:rPr>
                <w:noProof/>
                <w:webHidden/>
              </w:rPr>
              <w:fldChar w:fldCharType="end"/>
            </w:r>
          </w:hyperlink>
        </w:p>
        <w:p w14:paraId="160AC9E0" w14:textId="3A049D68" w:rsidR="002C1BAF" w:rsidRDefault="002C1BAF">
          <w:pPr>
            <w:pStyle w:val="TOC2"/>
            <w:tabs>
              <w:tab w:val="right" w:leader="dot" w:pos="9350"/>
            </w:tabs>
            <w:rPr>
              <w:rFonts w:eastAsiaTheme="minorEastAsia"/>
              <w:noProof/>
              <w:sz w:val="24"/>
              <w:szCs w:val="24"/>
            </w:rPr>
          </w:pPr>
          <w:hyperlink w:anchor="_Toc184132232" w:history="1">
            <w:r w:rsidRPr="000C1102">
              <w:rPr>
                <w:rStyle w:val="Hyperlink"/>
                <w:noProof/>
              </w:rPr>
              <w:t>Slide 20 - Congenital Syphilis Cases and Rate of Confirmed and Probable Infectious Syphilis</w:t>
            </w:r>
            <w:r w:rsidRPr="000C1102">
              <w:rPr>
                <w:rStyle w:val="Hyperlink"/>
                <w:noProof/>
                <w:vertAlign w:val="superscript"/>
              </w:rPr>
              <w:t>1</w:t>
            </w:r>
            <w:r w:rsidRPr="000C1102">
              <w:rPr>
                <w:rStyle w:val="Hyperlink"/>
                <w:noProof/>
              </w:rPr>
              <w:t xml:space="preserve"> Among Persons of Reproductive Potential Ages 15 to 49 Years, Massachusetts, 2010-2023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_Toc184132232 \h </w:instrText>
            </w:r>
            <w:r>
              <w:rPr>
                <w:noProof/>
                <w:webHidden/>
              </w:rPr>
            </w:r>
            <w:r>
              <w:rPr>
                <w:noProof/>
                <w:webHidden/>
              </w:rPr>
              <w:fldChar w:fldCharType="separate"/>
            </w:r>
            <w:r>
              <w:rPr>
                <w:noProof/>
                <w:webHidden/>
              </w:rPr>
              <w:t>27</w:t>
            </w:r>
            <w:r>
              <w:rPr>
                <w:noProof/>
                <w:webHidden/>
              </w:rPr>
              <w:fldChar w:fldCharType="end"/>
            </w:r>
          </w:hyperlink>
        </w:p>
        <w:p w14:paraId="36EF49ED" w14:textId="18C5868C" w:rsidR="002C1BAF" w:rsidRDefault="002C1BAF">
          <w:pPr>
            <w:pStyle w:val="TOC2"/>
            <w:tabs>
              <w:tab w:val="right" w:leader="dot" w:pos="9350"/>
            </w:tabs>
            <w:rPr>
              <w:rFonts w:eastAsiaTheme="minorEastAsia"/>
              <w:noProof/>
              <w:sz w:val="24"/>
              <w:szCs w:val="24"/>
            </w:rPr>
          </w:pPr>
          <w:hyperlink w:anchor="_Toc184132233" w:history="1">
            <w:r w:rsidRPr="000C1102">
              <w:rPr>
                <w:rStyle w:val="Hyperlink"/>
                <w:noProof/>
              </w:rPr>
              <w:t>Slide 21 (title page) - Comparison of Pregnant Person with All Stage Syphilis and Reportable Congenital Syphilis with Proportion of Congenital Cases Averted, Massachusetts, 2019 – 2023</w:t>
            </w:r>
            <w:r>
              <w:rPr>
                <w:noProof/>
                <w:webHidden/>
              </w:rPr>
              <w:tab/>
            </w:r>
            <w:r>
              <w:rPr>
                <w:noProof/>
                <w:webHidden/>
              </w:rPr>
              <w:fldChar w:fldCharType="begin"/>
            </w:r>
            <w:r>
              <w:rPr>
                <w:noProof/>
                <w:webHidden/>
              </w:rPr>
              <w:instrText xml:space="preserve"> PAGEREF _Toc184132233 \h </w:instrText>
            </w:r>
            <w:r>
              <w:rPr>
                <w:noProof/>
                <w:webHidden/>
              </w:rPr>
            </w:r>
            <w:r>
              <w:rPr>
                <w:noProof/>
                <w:webHidden/>
              </w:rPr>
              <w:fldChar w:fldCharType="separate"/>
            </w:r>
            <w:r>
              <w:rPr>
                <w:noProof/>
                <w:webHidden/>
              </w:rPr>
              <w:t>28</w:t>
            </w:r>
            <w:r>
              <w:rPr>
                <w:noProof/>
                <w:webHidden/>
              </w:rPr>
              <w:fldChar w:fldCharType="end"/>
            </w:r>
          </w:hyperlink>
        </w:p>
        <w:p w14:paraId="14F3E1BE" w14:textId="3686F6A7" w:rsidR="002C1BAF" w:rsidRDefault="002C1BAF">
          <w:pPr>
            <w:pStyle w:val="TOC2"/>
            <w:tabs>
              <w:tab w:val="right" w:leader="dot" w:pos="9350"/>
            </w:tabs>
            <w:rPr>
              <w:rFonts w:eastAsiaTheme="minorEastAsia"/>
              <w:noProof/>
              <w:sz w:val="24"/>
              <w:szCs w:val="24"/>
            </w:rPr>
          </w:pPr>
          <w:hyperlink w:anchor="_Toc184132234" w:history="1">
            <w:r w:rsidRPr="000C1102">
              <w:rPr>
                <w:rStyle w:val="Hyperlink"/>
                <w:noProof/>
              </w:rPr>
              <w:t>Slide 22 (title page) - Chlamydia, Gonorrhea, and Infectious Syphilis: Years 2018 to 2023</w:t>
            </w:r>
            <w:r>
              <w:rPr>
                <w:noProof/>
                <w:webHidden/>
              </w:rPr>
              <w:tab/>
            </w:r>
            <w:r>
              <w:rPr>
                <w:noProof/>
                <w:webHidden/>
              </w:rPr>
              <w:fldChar w:fldCharType="begin"/>
            </w:r>
            <w:r>
              <w:rPr>
                <w:noProof/>
                <w:webHidden/>
              </w:rPr>
              <w:instrText xml:space="preserve"> PAGEREF _Toc184132234 \h </w:instrText>
            </w:r>
            <w:r>
              <w:rPr>
                <w:noProof/>
                <w:webHidden/>
              </w:rPr>
            </w:r>
            <w:r>
              <w:rPr>
                <w:noProof/>
                <w:webHidden/>
              </w:rPr>
              <w:fldChar w:fldCharType="separate"/>
            </w:r>
            <w:r>
              <w:rPr>
                <w:noProof/>
                <w:webHidden/>
              </w:rPr>
              <w:t>29</w:t>
            </w:r>
            <w:r>
              <w:rPr>
                <w:noProof/>
                <w:webHidden/>
              </w:rPr>
              <w:fldChar w:fldCharType="end"/>
            </w:r>
          </w:hyperlink>
        </w:p>
        <w:p w14:paraId="6B27E4ED" w14:textId="2E9882A7" w:rsidR="002C1BAF" w:rsidRDefault="002C1BAF">
          <w:pPr>
            <w:pStyle w:val="TOC2"/>
            <w:tabs>
              <w:tab w:val="right" w:leader="dot" w:pos="9350"/>
            </w:tabs>
            <w:rPr>
              <w:rFonts w:eastAsiaTheme="minorEastAsia"/>
              <w:noProof/>
              <w:sz w:val="24"/>
              <w:szCs w:val="24"/>
            </w:rPr>
          </w:pPr>
          <w:hyperlink w:anchor="_Toc184132235" w:history="1">
            <w:r w:rsidRPr="000C1102">
              <w:rPr>
                <w:rStyle w:val="Hyperlink"/>
                <w:noProof/>
              </w:rPr>
              <w:t>Slide 23 - Social Vulnerability Index</w:t>
            </w:r>
            <w:r>
              <w:rPr>
                <w:noProof/>
                <w:webHidden/>
              </w:rPr>
              <w:tab/>
            </w:r>
            <w:r>
              <w:rPr>
                <w:noProof/>
                <w:webHidden/>
              </w:rPr>
              <w:fldChar w:fldCharType="begin"/>
            </w:r>
            <w:r>
              <w:rPr>
                <w:noProof/>
                <w:webHidden/>
              </w:rPr>
              <w:instrText xml:space="preserve"> PAGEREF _Toc184132235 \h </w:instrText>
            </w:r>
            <w:r>
              <w:rPr>
                <w:noProof/>
                <w:webHidden/>
              </w:rPr>
            </w:r>
            <w:r>
              <w:rPr>
                <w:noProof/>
                <w:webHidden/>
              </w:rPr>
              <w:fldChar w:fldCharType="separate"/>
            </w:r>
            <w:r>
              <w:rPr>
                <w:noProof/>
                <w:webHidden/>
              </w:rPr>
              <w:t>29</w:t>
            </w:r>
            <w:r>
              <w:rPr>
                <w:noProof/>
                <w:webHidden/>
              </w:rPr>
              <w:fldChar w:fldCharType="end"/>
            </w:r>
          </w:hyperlink>
        </w:p>
        <w:p w14:paraId="74864D0F" w14:textId="12C1C7EB" w:rsidR="002C1BAF" w:rsidRDefault="002C1BAF">
          <w:pPr>
            <w:pStyle w:val="TOC2"/>
            <w:tabs>
              <w:tab w:val="right" w:leader="dot" w:pos="9350"/>
            </w:tabs>
            <w:rPr>
              <w:rFonts w:eastAsiaTheme="minorEastAsia"/>
              <w:noProof/>
              <w:sz w:val="24"/>
              <w:szCs w:val="24"/>
            </w:rPr>
          </w:pPr>
          <w:hyperlink w:anchor="_Toc184132236" w:history="1">
            <w:r w:rsidRPr="000C1102">
              <w:rPr>
                <w:rStyle w:val="Hyperlink"/>
                <w:noProof/>
              </w:rPr>
              <w:t>Slide 24 - Confirmed Chlamydia Case Percentages by Social Vulnerability Index, Massachusetts, 2018-2023</w:t>
            </w:r>
            <w:r w:rsidRPr="000C1102">
              <w:rPr>
                <w:rStyle w:val="Hyperlink"/>
                <w:noProof/>
                <w:vertAlign w:val="superscript"/>
              </w:rPr>
              <w:t>1</w:t>
            </w:r>
            <w:r>
              <w:rPr>
                <w:noProof/>
                <w:webHidden/>
              </w:rPr>
              <w:tab/>
            </w:r>
            <w:r>
              <w:rPr>
                <w:noProof/>
                <w:webHidden/>
              </w:rPr>
              <w:fldChar w:fldCharType="begin"/>
            </w:r>
            <w:r>
              <w:rPr>
                <w:noProof/>
                <w:webHidden/>
              </w:rPr>
              <w:instrText xml:space="preserve"> PAGEREF _Toc184132236 \h </w:instrText>
            </w:r>
            <w:r>
              <w:rPr>
                <w:noProof/>
                <w:webHidden/>
              </w:rPr>
            </w:r>
            <w:r>
              <w:rPr>
                <w:noProof/>
                <w:webHidden/>
              </w:rPr>
              <w:fldChar w:fldCharType="separate"/>
            </w:r>
            <w:r>
              <w:rPr>
                <w:noProof/>
                <w:webHidden/>
              </w:rPr>
              <w:t>31</w:t>
            </w:r>
            <w:r>
              <w:rPr>
                <w:noProof/>
                <w:webHidden/>
              </w:rPr>
              <w:fldChar w:fldCharType="end"/>
            </w:r>
          </w:hyperlink>
        </w:p>
        <w:p w14:paraId="5F47271E" w14:textId="46304120" w:rsidR="002C1BAF" w:rsidRDefault="002C1BAF">
          <w:pPr>
            <w:pStyle w:val="TOC2"/>
            <w:tabs>
              <w:tab w:val="right" w:leader="dot" w:pos="9350"/>
            </w:tabs>
            <w:rPr>
              <w:rFonts w:eastAsiaTheme="minorEastAsia"/>
              <w:noProof/>
              <w:sz w:val="24"/>
              <w:szCs w:val="24"/>
            </w:rPr>
          </w:pPr>
          <w:hyperlink w:anchor="_Toc184132237" w:history="1">
            <w:r w:rsidRPr="000C1102">
              <w:rPr>
                <w:rStyle w:val="Hyperlink"/>
                <w:noProof/>
              </w:rPr>
              <w:t>Slides 25- Confirmed Chlamydia Case Percentages by Social Vulnerability Index and Gender, Massachusetts, 2018- 2023</w:t>
            </w:r>
            <w:r w:rsidRPr="000C1102">
              <w:rPr>
                <w:rStyle w:val="Hyperlink"/>
                <w:noProof/>
                <w:vertAlign w:val="superscript"/>
              </w:rPr>
              <w:t>1,2</w:t>
            </w:r>
            <w:r>
              <w:rPr>
                <w:noProof/>
                <w:webHidden/>
              </w:rPr>
              <w:tab/>
            </w:r>
            <w:r>
              <w:rPr>
                <w:noProof/>
                <w:webHidden/>
              </w:rPr>
              <w:fldChar w:fldCharType="begin"/>
            </w:r>
            <w:r>
              <w:rPr>
                <w:noProof/>
                <w:webHidden/>
              </w:rPr>
              <w:instrText xml:space="preserve"> PAGEREF _Toc184132237 \h </w:instrText>
            </w:r>
            <w:r>
              <w:rPr>
                <w:noProof/>
                <w:webHidden/>
              </w:rPr>
            </w:r>
            <w:r>
              <w:rPr>
                <w:noProof/>
                <w:webHidden/>
              </w:rPr>
              <w:fldChar w:fldCharType="separate"/>
            </w:r>
            <w:r>
              <w:rPr>
                <w:noProof/>
                <w:webHidden/>
              </w:rPr>
              <w:t>32</w:t>
            </w:r>
            <w:r>
              <w:rPr>
                <w:noProof/>
                <w:webHidden/>
              </w:rPr>
              <w:fldChar w:fldCharType="end"/>
            </w:r>
          </w:hyperlink>
        </w:p>
        <w:p w14:paraId="47B48EAD" w14:textId="3E8759A3" w:rsidR="002C1BAF" w:rsidRDefault="002C1BAF">
          <w:pPr>
            <w:pStyle w:val="TOC2"/>
            <w:tabs>
              <w:tab w:val="right" w:leader="dot" w:pos="9350"/>
            </w:tabs>
            <w:rPr>
              <w:rFonts w:eastAsiaTheme="minorEastAsia"/>
              <w:noProof/>
              <w:sz w:val="24"/>
              <w:szCs w:val="24"/>
            </w:rPr>
          </w:pPr>
          <w:hyperlink w:anchor="_Toc184132238" w:history="1">
            <w:r w:rsidRPr="000C1102">
              <w:rPr>
                <w:rStyle w:val="Hyperlink"/>
                <w:noProof/>
              </w:rPr>
              <w:t>Slide 26: Confirmed Gonorrhea Case Percentages by Social Vulnerability Index, Massachusetts, 2018-2023</w:t>
            </w:r>
            <w:r w:rsidRPr="000C1102">
              <w:rPr>
                <w:rStyle w:val="Hyperlink"/>
                <w:noProof/>
                <w:vertAlign w:val="superscript"/>
              </w:rPr>
              <w:t>1</w:t>
            </w:r>
            <w:r>
              <w:rPr>
                <w:noProof/>
                <w:webHidden/>
              </w:rPr>
              <w:tab/>
            </w:r>
            <w:r>
              <w:rPr>
                <w:noProof/>
                <w:webHidden/>
              </w:rPr>
              <w:fldChar w:fldCharType="begin"/>
            </w:r>
            <w:r>
              <w:rPr>
                <w:noProof/>
                <w:webHidden/>
              </w:rPr>
              <w:instrText xml:space="preserve"> PAGEREF _Toc184132238 \h </w:instrText>
            </w:r>
            <w:r>
              <w:rPr>
                <w:noProof/>
                <w:webHidden/>
              </w:rPr>
            </w:r>
            <w:r>
              <w:rPr>
                <w:noProof/>
                <w:webHidden/>
              </w:rPr>
              <w:fldChar w:fldCharType="separate"/>
            </w:r>
            <w:r>
              <w:rPr>
                <w:noProof/>
                <w:webHidden/>
              </w:rPr>
              <w:t>33</w:t>
            </w:r>
            <w:r>
              <w:rPr>
                <w:noProof/>
                <w:webHidden/>
              </w:rPr>
              <w:fldChar w:fldCharType="end"/>
            </w:r>
          </w:hyperlink>
        </w:p>
        <w:p w14:paraId="74D26873" w14:textId="0B6B1875" w:rsidR="002C1BAF" w:rsidRDefault="002C1BAF">
          <w:pPr>
            <w:pStyle w:val="TOC2"/>
            <w:tabs>
              <w:tab w:val="right" w:leader="dot" w:pos="9350"/>
            </w:tabs>
            <w:rPr>
              <w:rFonts w:eastAsiaTheme="minorEastAsia"/>
              <w:noProof/>
              <w:sz w:val="24"/>
              <w:szCs w:val="24"/>
            </w:rPr>
          </w:pPr>
          <w:hyperlink w:anchor="_Toc184132239" w:history="1">
            <w:r w:rsidRPr="000C1102">
              <w:rPr>
                <w:rStyle w:val="Hyperlink"/>
                <w:noProof/>
              </w:rPr>
              <w:t>Slide 27: Confirmed Gonorrhea Case Percentages by Social Vulnerability Index and Gender, Massachusetts, 2018-2023</w:t>
            </w:r>
            <w:r w:rsidRPr="000C1102">
              <w:rPr>
                <w:rStyle w:val="Hyperlink"/>
                <w:noProof/>
                <w:vertAlign w:val="superscript"/>
              </w:rPr>
              <w:t>1,2</w:t>
            </w:r>
            <w:r>
              <w:rPr>
                <w:noProof/>
                <w:webHidden/>
              </w:rPr>
              <w:tab/>
            </w:r>
            <w:r>
              <w:rPr>
                <w:noProof/>
                <w:webHidden/>
              </w:rPr>
              <w:fldChar w:fldCharType="begin"/>
            </w:r>
            <w:r>
              <w:rPr>
                <w:noProof/>
                <w:webHidden/>
              </w:rPr>
              <w:instrText xml:space="preserve"> PAGEREF _Toc184132239 \h </w:instrText>
            </w:r>
            <w:r>
              <w:rPr>
                <w:noProof/>
                <w:webHidden/>
              </w:rPr>
            </w:r>
            <w:r>
              <w:rPr>
                <w:noProof/>
                <w:webHidden/>
              </w:rPr>
              <w:fldChar w:fldCharType="separate"/>
            </w:r>
            <w:r>
              <w:rPr>
                <w:noProof/>
                <w:webHidden/>
              </w:rPr>
              <w:t>34</w:t>
            </w:r>
            <w:r>
              <w:rPr>
                <w:noProof/>
                <w:webHidden/>
              </w:rPr>
              <w:fldChar w:fldCharType="end"/>
            </w:r>
          </w:hyperlink>
        </w:p>
        <w:p w14:paraId="46FDE94E" w14:textId="753047DE" w:rsidR="002C1BAF" w:rsidRDefault="002C1BAF">
          <w:pPr>
            <w:pStyle w:val="TOC2"/>
            <w:tabs>
              <w:tab w:val="right" w:leader="dot" w:pos="9350"/>
            </w:tabs>
            <w:rPr>
              <w:rFonts w:eastAsiaTheme="minorEastAsia"/>
              <w:noProof/>
              <w:sz w:val="24"/>
              <w:szCs w:val="24"/>
            </w:rPr>
          </w:pPr>
          <w:hyperlink w:anchor="_Toc184132240" w:history="1">
            <w:r w:rsidRPr="000C1102">
              <w:rPr>
                <w:rStyle w:val="Hyperlink"/>
                <w:noProof/>
              </w:rPr>
              <w:t>Slide 28: Confirmed and Probably Infectious Syphilis</w:t>
            </w:r>
            <w:r w:rsidRPr="000C1102">
              <w:rPr>
                <w:rStyle w:val="Hyperlink"/>
                <w:noProof/>
                <w:vertAlign w:val="superscript"/>
              </w:rPr>
              <w:t>1</w:t>
            </w:r>
            <w:r w:rsidRPr="000C1102">
              <w:rPr>
                <w:rStyle w:val="Hyperlink"/>
                <w:noProof/>
              </w:rPr>
              <w:t xml:space="preserve"> Case Percentages by Social Vulnerability Index, Massachusetts, 2018- 2023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_Toc184132240 \h </w:instrText>
            </w:r>
            <w:r>
              <w:rPr>
                <w:noProof/>
                <w:webHidden/>
              </w:rPr>
            </w:r>
            <w:r>
              <w:rPr>
                <w:noProof/>
                <w:webHidden/>
              </w:rPr>
              <w:fldChar w:fldCharType="separate"/>
            </w:r>
            <w:r>
              <w:rPr>
                <w:noProof/>
                <w:webHidden/>
              </w:rPr>
              <w:t>35</w:t>
            </w:r>
            <w:r>
              <w:rPr>
                <w:noProof/>
                <w:webHidden/>
              </w:rPr>
              <w:fldChar w:fldCharType="end"/>
            </w:r>
          </w:hyperlink>
        </w:p>
        <w:p w14:paraId="15EC33F9" w14:textId="248EFF79" w:rsidR="002C1BAF" w:rsidRDefault="002C1BAF">
          <w:pPr>
            <w:pStyle w:val="TOC2"/>
            <w:tabs>
              <w:tab w:val="right" w:leader="dot" w:pos="9350"/>
            </w:tabs>
            <w:rPr>
              <w:rFonts w:eastAsiaTheme="minorEastAsia"/>
              <w:noProof/>
              <w:sz w:val="24"/>
              <w:szCs w:val="24"/>
            </w:rPr>
          </w:pPr>
          <w:hyperlink w:anchor="_Toc184132241" w:history="1">
            <w:r w:rsidRPr="000C1102">
              <w:rPr>
                <w:rStyle w:val="Hyperlink"/>
                <w:noProof/>
              </w:rPr>
              <w:t>Slide 29: Confirmed and Probable Infectious Syphilis</w:t>
            </w:r>
            <w:r w:rsidRPr="000C1102">
              <w:rPr>
                <w:rStyle w:val="Hyperlink"/>
                <w:noProof/>
                <w:vertAlign w:val="superscript"/>
              </w:rPr>
              <w:t>1</w:t>
            </w:r>
            <w:r w:rsidRPr="000C1102">
              <w:rPr>
                <w:rStyle w:val="Hyperlink"/>
                <w:noProof/>
              </w:rPr>
              <w:t xml:space="preserve"> Case Percentages by Social Vulnerability Index and Gender</w:t>
            </w:r>
            <w:r w:rsidRPr="000C1102">
              <w:rPr>
                <w:rStyle w:val="Hyperlink"/>
                <w:noProof/>
                <w:vertAlign w:val="superscript"/>
              </w:rPr>
              <w:t>2</w:t>
            </w:r>
            <w:r w:rsidRPr="000C1102">
              <w:rPr>
                <w:rStyle w:val="Hyperlink"/>
                <w:noProof/>
              </w:rPr>
              <w:t>, Massachusetts, 2018-2023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_Toc184132241 \h </w:instrText>
            </w:r>
            <w:r>
              <w:rPr>
                <w:noProof/>
                <w:webHidden/>
              </w:rPr>
            </w:r>
            <w:r>
              <w:rPr>
                <w:noProof/>
                <w:webHidden/>
              </w:rPr>
              <w:fldChar w:fldCharType="separate"/>
            </w:r>
            <w:r>
              <w:rPr>
                <w:noProof/>
                <w:webHidden/>
              </w:rPr>
              <w:t>36</w:t>
            </w:r>
            <w:r>
              <w:rPr>
                <w:noProof/>
                <w:webHidden/>
              </w:rPr>
              <w:fldChar w:fldCharType="end"/>
            </w:r>
          </w:hyperlink>
        </w:p>
        <w:p w14:paraId="21929ABF" w14:textId="218AB697" w:rsidR="002C1BAF" w:rsidRDefault="002C1BAF">
          <w:pPr>
            <w:pStyle w:val="TOC2"/>
            <w:tabs>
              <w:tab w:val="right" w:leader="dot" w:pos="9350"/>
            </w:tabs>
            <w:rPr>
              <w:rFonts w:eastAsiaTheme="minorEastAsia"/>
              <w:noProof/>
              <w:sz w:val="24"/>
              <w:szCs w:val="24"/>
            </w:rPr>
          </w:pPr>
          <w:hyperlink w:anchor="_Toc184132242" w:history="1">
            <w:r w:rsidRPr="000C1102">
              <w:rPr>
                <w:rStyle w:val="Hyperlink"/>
                <w:noProof/>
              </w:rPr>
              <w:t>Slide 30: Confirmed and Probable Infectious Syphilis</w:t>
            </w:r>
            <w:r w:rsidRPr="000C1102">
              <w:rPr>
                <w:rStyle w:val="Hyperlink"/>
                <w:noProof/>
                <w:vertAlign w:val="superscript"/>
              </w:rPr>
              <w:t>1</w:t>
            </w:r>
            <w:r w:rsidRPr="000C1102">
              <w:rPr>
                <w:rStyle w:val="Hyperlink"/>
                <w:noProof/>
              </w:rPr>
              <w:t xml:space="preserve"> Case Percentages by Social Vulnerability Index and Race, Massachusetts, 2018- 2023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_Toc184132242 \h </w:instrText>
            </w:r>
            <w:r>
              <w:rPr>
                <w:noProof/>
                <w:webHidden/>
              </w:rPr>
            </w:r>
            <w:r>
              <w:rPr>
                <w:noProof/>
                <w:webHidden/>
              </w:rPr>
              <w:fldChar w:fldCharType="separate"/>
            </w:r>
            <w:r>
              <w:rPr>
                <w:noProof/>
                <w:webHidden/>
              </w:rPr>
              <w:t>37</w:t>
            </w:r>
            <w:r>
              <w:rPr>
                <w:noProof/>
                <w:webHidden/>
              </w:rPr>
              <w:fldChar w:fldCharType="end"/>
            </w:r>
          </w:hyperlink>
        </w:p>
        <w:p w14:paraId="10474936" w14:textId="3BD70365" w:rsidR="002C1BAF" w:rsidRDefault="002C1BAF">
          <w:pPr>
            <w:pStyle w:val="TOC2"/>
            <w:tabs>
              <w:tab w:val="right" w:leader="dot" w:pos="9350"/>
            </w:tabs>
            <w:rPr>
              <w:rFonts w:eastAsiaTheme="minorEastAsia"/>
              <w:noProof/>
              <w:sz w:val="24"/>
              <w:szCs w:val="24"/>
            </w:rPr>
          </w:pPr>
          <w:hyperlink w:anchor="_Toc184132243" w:history="1">
            <w:r w:rsidRPr="000C1102">
              <w:rPr>
                <w:rStyle w:val="Hyperlink"/>
                <w:noProof/>
              </w:rPr>
              <w:t>Slide 31: Section Break, Description of 2023 STI Cases</w:t>
            </w:r>
            <w:r>
              <w:rPr>
                <w:noProof/>
                <w:webHidden/>
              </w:rPr>
              <w:tab/>
            </w:r>
            <w:r>
              <w:rPr>
                <w:noProof/>
                <w:webHidden/>
              </w:rPr>
              <w:fldChar w:fldCharType="begin"/>
            </w:r>
            <w:r>
              <w:rPr>
                <w:noProof/>
                <w:webHidden/>
              </w:rPr>
              <w:instrText xml:space="preserve"> PAGEREF _Toc184132243 \h </w:instrText>
            </w:r>
            <w:r>
              <w:rPr>
                <w:noProof/>
                <w:webHidden/>
              </w:rPr>
            </w:r>
            <w:r>
              <w:rPr>
                <w:noProof/>
                <w:webHidden/>
              </w:rPr>
              <w:fldChar w:fldCharType="separate"/>
            </w:r>
            <w:r>
              <w:rPr>
                <w:noProof/>
                <w:webHidden/>
              </w:rPr>
              <w:t>38</w:t>
            </w:r>
            <w:r>
              <w:rPr>
                <w:noProof/>
                <w:webHidden/>
              </w:rPr>
              <w:fldChar w:fldCharType="end"/>
            </w:r>
          </w:hyperlink>
        </w:p>
        <w:p w14:paraId="19D05C75" w14:textId="7CC9C16C" w:rsidR="002C1BAF" w:rsidRDefault="002C1BAF">
          <w:pPr>
            <w:pStyle w:val="TOC2"/>
            <w:tabs>
              <w:tab w:val="right" w:leader="dot" w:pos="9350"/>
            </w:tabs>
            <w:rPr>
              <w:rFonts w:eastAsiaTheme="minorEastAsia"/>
              <w:noProof/>
              <w:sz w:val="24"/>
              <w:szCs w:val="24"/>
            </w:rPr>
          </w:pPr>
          <w:hyperlink w:anchor="_Toc184132244" w:history="1">
            <w:r w:rsidRPr="000C1102">
              <w:rPr>
                <w:rStyle w:val="Hyperlink"/>
                <w:noProof/>
              </w:rPr>
              <w:t>Slide 32: Incident Rate of Confirmed Chlamydia Cases, per 100,000 Persons</w:t>
            </w:r>
            <w:r w:rsidRPr="000C1102">
              <w:rPr>
                <w:rStyle w:val="Hyperlink"/>
                <w:noProof/>
                <w:vertAlign w:val="superscript"/>
              </w:rPr>
              <w:t>1</w:t>
            </w:r>
            <w:r w:rsidRPr="000C1102">
              <w:rPr>
                <w:rStyle w:val="Hyperlink"/>
                <w:noProof/>
              </w:rPr>
              <w:t xml:space="preserve"> by City/Town</w:t>
            </w:r>
            <w:r w:rsidRPr="000C1102">
              <w:rPr>
                <w:rStyle w:val="Hyperlink"/>
                <w:noProof/>
                <w:vertAlign w:val="superscript"/>
              </w:rPr>
              <w:t>2</w:t>
            </w:r>
            <w:r w:rsidRPr="000C1102">
              <w:rPr>
                <w:rStyle w:val="Hyperlink"/>
                <w:noProof/>
              </w:rPr>
              <w:t>, Massachusetts, 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_Toc184132244 \h </w:instrText>
            </w:r>
            <w:r>
              <w:rPr>
                <w:noProof/>
                <w:webHidden/>
              </w:rPr>
            </w:r>
            <w:r>
              <w:rPr>
                <w:noProof/>
                <w:webHidden/>
              </w:rPr>
              <w:fldChar w:fldCharType="separate"/>
            </w:r>
            <w:r>
              <w:rPr>
                <w:noProof/>
                <w:webHidden/>
              </w:rPr>
              <w:t>38</w:t>
            </w:r>
            <w:r>
              <w:rPr>
                <w:noProof/>
                <w:webHidden/>
              </w:rPr>
              <w:fldChar w:fldCharType="end"/>
            </w:r>
          </w:hyperlink>
        </w:p>
        <w:p w14:paraId="6977C50D" w14:textId="5A968D67" w:rsidR="002C1BAF" w:rsidRDefault="002C1BAF">
          <w:pPr>
            <w:pStyle w:val="TOC2"/>
            <w:tabs>
              <w:tab w:val="right" w:leader="dot" w:pos="9350"/>
            </w:tabs>
            <w:rPr>
              <w:rFonts w:eastAsiaTheme="minorEastAsia"/>
              <w:noProof/>
              <w:sz w:val="24"/>
              <w:szCs w:val="24"/>
            </w:rPr>
          </w:pPr>
          <w:hyperlink w:anchor="_Toc184132245" w:history="1">
            <w:r w:rsidRPr="000C1102">
              <w:rPr>
                <w:rStyle w:val="Hyperlink"/>
                <w:noProof/>
              </w:rPr>
              <w:t>Slide 33: Absolute Rate Difference</w:t>
            </w:r>
            <w:r w:rsidRPr="000C1102">
              <w:rPr>
                <w:rStyle w:val="Hyperlink"/>
                <w:noProof/>
                <w:vertAlign w:val="superscript"/>
              </w:rPr>
              <w:t>1</w:t>
            </w:r>
            <w:r w:rsidRPr="000C1102">
              <w:rPr>
                <w:rStyle w:val="Hyperlink"/>
                <w:noProof/>
              </w:rPr>
              <w:t xml:space="preserve"> Comparing 2023 to 2019 for Confirmed Chlamydia Cases, per 100,000 Persons</w:t>
            </w:r>
            <w:r w:rsidRPr="000C1102">
              <w:rPr>
                <w:rStyle w:val="Hyperlink"/>
                <w:noProof/>
                <w:vertAlign w:val="superscript"/>
              </w:rPr>
              <w:t>2</w:t>
            </w:r>
            <w:r w:rsidRPr="000C1102">
              <w:rPr>
                <w:rStyle w:val="Hyperlink"/>
                <w:noProof/>
              </w:rPr>
              <w:t xml:space="preserve"> by City/Town, Massachusetts</w:t>
            </w:r>
            <w:r>
              <w:rPr>
                <w:noProof/>
                <w:webHidden/>
              </w:rPr>
              <w:tab/>
            </w:r>
            <w:r>
              <w:rPr>
                <w:noProof/>
                <w:webHidden/>
              </w:rPr>
              <w:fldChar w:fldCharType="begin"/>
            </w:r>
            <w:r>
              <w:rPr>
                <w:noProof/>
                <w:webHidden/>
              </w:rPr>
              <w:instrText xml:space="preserve"> PAGEREF _Toc184132245 \h </w:instrText>
            </w:r>
            <w:r>
              <w:rPr>
                <w:noProof/>
                <w:webHidden/>
              </w:rPr>
            </w:r>
            <w:r>
              <w:rPr>
                <w:noProof/>
                <w:webHidden/>
              </w:rPr>
              <w:fldChar w:fldCharType="separate"/>
            </w:r>
            <w:r>
              <w:rPr>
                <w:noProof/>
                <w:webHidden/>
              </w:rPr>
              <w:t>39</w:t>
            </w:r>
            <w:r>
              <w:rPr>
                <w:noProof/>
                <w:webHidden/>
              </w:rPr>
              <w:fldChar w:fldCharType="end"/>
            </w:r>
          </w:hyperlink>
        </w:p>
        <w:p w14:paraId="32CF67AE" w14:textId="67A007FB" w:rsidR="002C1BAF" w:rsidRDefault="002C1BAF">
          <w:pPr>
            <w:pStyle w:val="TOC2"/>
            <w:tabs>
              <w:tab w:val="right" w:leader="dot" w:pos="9350"/>
            </w:tabs>
            <w:rPr>
              <w:rFonts w:eastAsiaTheme="minorEastAsia"/>
              <w:noProof/>
              <w:sz w:val="24"/>
              <w:szCs w:val="24"/>
            </w:rPr>
          </w:pPr>
          <w:hyperlink w:anchor="_Toc184132246" w:history="1">
            <w:r w:rsidRPr="000C1102">
              <w:rPr>
                <w:rStyle w:val="Hyperlink"/>
                <w:noProof/>
              </w:rPr>
              <w:t>Slide 34: Confirmed Chlamydia Case Rates per 100,000 Population by Gender</w:t>
            </w:r>
            <w:r w:rsidRPr="000C1102">
              <w:rPr>
                <w:rStyle w:val="Hyperlink"/>
                <w:noProof/>
                <w:vertAlign w:val="superscript"/>
              </w:rPr>
              <w:t>1</w:t>
            </w:r>
            <w:r w:rsidRPr="000C1102">
              <w:rPr>
                <w:rStyle w:val="Hyperlink"/>
                <w:noProof/>
              </w:rPr>
              <w:t xml:space="preserve"> and Age, Massachusetts,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_Toc184132246 \h </w:instrText>
            </w:r>
            <w:r>
              <w:rPr>
                <w:noProof/>
                <w:webHidden/>
              </w:rPr>
            </w:r>
            <w:r>
              <w:rPr>
                <w:noProof/>
                <w:webHidden/>
              </w:rPr>
              <w:fldChar w:fldCharType="separate"/>
            </w:r>
            <w:r>
              <w:rPr>
                <w:noProof/>
                <w:webHidden/>
              </w:rPr>
              <w:t>40</w:t>
            </w:r>
            <w:r>
              <w:rPr>
                <w:noProof/>
                <w:webHidden/>
              </w:rPr>
              <w:fldChar w:fldCharType="end"/>
            </w:r>
          </w:hyperlink>
        </w:p>
        <w:p w14:paraId="59C93D86" w14:textId="1FBF14F7" w:rsidR="002C1BAF" w:rsidRDefault="002C1BAF">
          <w:pPr>
            <w:pStyle w:val="TOC2"/>
            <w:tabs>
              <w:tab w:val="right" w:leader="dot" w:pos="9350"/>
            </w:tabs>
            <w:rPr>
              <w:rFonts w:eastAsiaTheme="minorEastAsia"/>
              <w:noProof/>
              <w:sz w:val="24"/>
              <w:szCs w:val="24"/>
            </w:rPr>
          </w:pPr>
          <w:hyperlink w:anchor="_Toc184132247" w:history="1">
            <w:r w:rsidRPr="000C1102">
              <w:rPr>
                <w:rStyle w:val="Hyperlink"/>
                <w:noProof/>
              </w:rPr>
              <w:t>Slide 35: Incident Rate of Confirmed Gonorrhea Cases, per 100,000 Persons</w:t>
            </w:r>
            <w:r w:rsidRPr="000C1102">
              <w:rPr>
                <w:rStyle w:val="Hyperlink"/>
                <w:noProof/>
                <w:vertAlign w:val="superscript"/>
              </w:rPr>
              <w:t>1</w:t>
            </w:r>
            <w:r w:rsidRPr="000C1102">
              <w:rPr>
                <w:rStyle w:val="Hyperlink"/>
                <w:noProof/>
              </w:rPr>
              <w:t xml:space="preserve"> by City/Town</w:t>
            </w:r>
            <w:r w:rsidRPr="000C1102">
              <w:rPr>
                <w:rStyle w:val="Hyperlink"/>
                <w:noProof/>
                <w:vertAlign w:val="superscript"/>
              </w:rPr>
              <w:t>2</w:t>
            </w:r>
            <w:r w:rsidRPr="000C1102">
              <w:rPr>
                <w:rStyle w:val="Hyperlink"/>
                <w:noProof/>
              </w:rPr>
              <w:t>, Massachusetts, 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_Toc184132247 \h </w:instrText>
            </w:r>
            <w:r>
              <w:rPr>
                <w:noProof/>
                <w:webHidden/>
              </w:rPr>
            </w:r>
            <w:r>
              <w:rPr>
                <w:noProof/>
                <w:webHidden/>
              </w:rPr>
              <w:fldChar w:fldCharType="separate"/>
            </w:r>
            <w:r>
              <w:rPr>
                <w:noProof/>
                <w:webHidden/>
              </w:rPr>
              <w:t>41</w:t>
            </w:r>
            <w:r>
              <w:rPr>
                <w:noProof/>
                <w:webHidden/>
              </w:rPr>
              <w:fldChar w:fldCharType="end"/>
            </w:r>
          </w:hyperlink>
        </w:p>
        <w:p w14:paraId="184A2A2E" w14:textId="26E98784" w:rsidR="002C1BAF" w:rsidRDefault="002C1BAF">
          <w:pPr>
            <w:pStyle w:val="TOC2"/>
            <w:tabs>
              <w:tab w:val="right" w:leader="dot" w:pos="9350"/>
            </w:tabs>
            <w:rPr>
              <w:rFonts w:eastAsiaTheme="minorEastAsia"/>
              <w:noProof/>
              <w:sz w:val="24"/>
              <w:szCs w:val="24"/>
            </w:rPr>
          </w:pPr>
          <w:hyperlink w:anchor="_Toc184132248" w:history="1">
            <w:r w:rsidRPr="000C1102">
              <w:rPr>
                <w:rStyle w:val="Hyperlink"/>
                <w:noProof/>
              </w:rPr>
              <w:t>Slide 36: Absolute Rate Difference</w:t>
            </w:r>
            <w:r w:rsidRPr="000C1102">
              <w:rPr>
                <w:rStyle w:val="Hyperlink"/>
                <w:noProof/>
                <w:vertAlign w:val="superscript"/>
              </w:rPr>
              <w:t>1</w:t>
            </w:r>
            <w:r w:rsidRPr="000C1102">
              <w:rPr>
                <w:rStyle w:val="Hyperlink"/>
                <w:noProof/>
              </w:rPr>
              <w:t xml:space="preserve"> Comparing 2023 to 2019 for Confirmed Gonorrhea Cases, per 100,000 Persons</w:t>
            </w:r>
            <w:r w:rsidRPr="000C1102">
              <w:rPr>
                <w:rStyle w:val="Hyperlink"/>
                <w:noProof/>
                <w:vertAlign w:val="superscript"/>
              </w:rPr>
              <w:t>2</w:t>
            </w:r>
            <w:r w:rsidRPr="000C1102">
              <w:rPr>
                <w:rStyle w:val="Hyperlink"/>
                <w:noProof/>
              </w:rPr>
              <w:t xml:space="preserve"> by City/Town, Massachusetts</w:t>
            </w:r>
            <w:r>
              <w:rPr>
                <w:noProof/>
                <w:webHidden/>
              </w:rPr>
              <w:tab/>
            </w:r>
            <w:r>
              <w:rPr>
                <w:noProof/>
                <w:webHidden/>
              </w:rPr>
              <w:fldChar w:fldCharType="begin"/>
            </w:r>
            <w:r>
              <w:rPr>
                <w:noProof/>
                <w:webHidden/>
              </w:rPr>
              <w:instrText xml:space="preserve"> PAGEREF _Toc184132248 \h </w:instrText>
            </w:r>
            <w:r>
              <w:rPr>
                <w:noProof/>
                <w:webHidden/>
              </w:rPr>
            </w:r>
            <w:r>
              <w:rPr>
                <w:noProof/>
                <w:webHidden/>
              </w:rPr>
              <w:fldChar w:fldCharType="separate"/>
            </w:r>
            <w:r>
              <w:rPr>
                <w:noProof/>
                <w:webHidden/>
              </w:rPr>
              <w:t>42</w:t>
            </w:r>
            <w:r>
              <w:rPr>
                <w:noProof/>
                <w:webHidden/>
              </w:rPr>
              <w:fldChar w:fldCharType="end"/>
            </w:r>
          </w:hyperlink>
        </w:p>
        <w:p w14:paraId="7040DAC9" w14:textId="1FCCFC8D" w:rsidR="002C1BAF" w:rsidRDefault="002C1BAF">
          <w:pPr>
            <w:pStyle w:val="TOC2"/>
            <w:tabs>
              <w:tab w:val="right" w:leader="dot" w:pos="9350"/>
            </w:tabs>
            <w:rPr>
              <w:rFonts w:eastAsiaTheme="minorEastAsia"/>
              <w:noProof/>
              <w:sz w:val="24"/>
              <w:szCs w:val="24"/>
            </w:rPr>
          </w:pPr>
          <w:hyperlink w:anchor="_Toc184132249" w:history="1">
            <w:r w:rsidRPr="000C1102">
              <w:rPr>
                <w:rStyle w:val="Hyperlink"/>
                <w:noProof/>
              </w:rPr>
              <w:t>Slide 37: Confirmed Gonorrhea Case Rates per 100,000 Population by Gender</w:t>
            </w:r>
            <w:r w:rsidRPr="000C1102">
              <w:rPr>
                <w:rStyle w:val="Hyperlink"/>
                <w:noProof/>
                <w:vertAlign w:val="superscript"/>
              </w:rPr>
              <w:t>1</w:t>
            </w:r>
            <w:r w:rsidRPr="000C1102">
              <w:rPr>
                <w:rStyle w:val="Hyperlink"/>
                <w:noProof/>
              </w:rPr>
              <w:t xml:space="preserve"> and Age, Massachusetts, 2023</w:t>
            </w:r>
            <w:r w:rsidRPr="000C1102">
              <w:rPr>
                <w:rStyle w:val="Hyperlink"/>
                <w:noProof/>
                <w:vertAlign w:val="superscript"/>
              </w:rPr>
              <w:t>2</w:t>
            </w:r>
            <w:r>
              <w:rPr>
                <w:noProof/>
                <w:webHidden/>
              </w:rPr>
              <w:tab/>
            </w:r>
            <w:r>
              <w:rPr>
                <w:noProof/>
                <w:webHidden/>
              </w:rPr>
              <w:fldChar w:fldCharType="begin"/>
            </w:r>
            <w:r>
              <w:rPr>
                <w:noProof/>
                <w:webHidden/>
              </w:rPr>
              <w:instrText xml:space="preserve"> PAGEREF _Toc184132249 \h </w:instrText>
            </w:r>
            <w:r>
              <w:rPr>
                <w:noProof/>
                <w:webHidden/>
              </w:rPr>
            </w:r>
            <w:r>
              <w:rPr>
                <w:noProof/>
                <w:webHidden/>
              </w:rPr>
              <w:fldChar w:fldCharType="separate"/>
            </w:r>
            <w:r>
              <w:rPr>
                <w:noProof/>
                <w:webHidden/>
              </w:rPr>
              <w:t>43</w:t>
            </w:r>
            <w:r>
              <w:rPr>
                <w:noProof/>
                <w:webHidden/>
              </w:rPr>
              <w:fldChar w:fldCharType="end"/>
            </w:r>
          </w:hyperlink>
        </w:p>
        <w:p w14:paraId="03163414" w14:textId="64C555DD" w:rsidR="002C1BAF" w:rsidRDefault="002C1BAF">
          <w:pPr>
            <w:pStyle w:val="TOC2"/>
            <w:tabs>
              <w:tab w:val="right" w:leader="dot" w:pos="9350"/>
            </w:tabs>
            <w:rPr>
              <w:rFonts w:eastAsiaTheme="minorEastAsia"/>
              <w:noProof/>
              <w:sz w:val="24"/>
              <w:szCs w:val="24"/>
            </w:rPr>
          </w:pPr>
          <w:hyperlink w:anchor="_Toc184132250" w:history="1">
            <w:r w:rsidRPr="000C1102">
              <w:rPr>
                <w:rStyle w:val="Hyperlink"/>
                <w:noProof/>
              </w:rPr>
              <w:t>Slide 38: Incident Rate of Infectious Syphilis</w:t>
            </w:r>
            <w:r w:rsidRPr="000C1102">
              <w:rPr>
                <w:rStyle w:val="Hyperlink"/>
                <w:noProof/>
                <w:vertAlign w:val="superscript"/>
              </w:rPr>
              <w:t>1</w:t>
            </w:r>
            <w:r w:rsidRPr="000C1102">
              <w:rPr>
                <w:rStyle w:val="Hyperlink"/>
                <w:noProof/>
              </w:rPr>
              <w:t xml:space="preserve"> Cases, per 100,000 Persons</w:t>
            </w:r>
            <w:r w:rsidRPr="000C1102">
              <w:rPr>
                <w:rStyle w:val="Hyperlink"/>
                <w:noProof/>
                <w:vertAlign w:val="superscript"/>
              </w:rPr>
              <w:t>2</w:t>
            </w:r>
            <w:r w:rsidRPr="000C1102">
              <w:rPr>
                <w:rStyle w:val="Hyperlink"/>
                <w:noProof/>
              </w:rPr>
              <w:t xml:space="preserve"> by City/Town, Massachusetts, 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_Toc184132250 \h </w:instrText>
            </w:r>
            <w:r>
              <w:rPr>
                <w:noProof/>
                <w:webHidden/>
              </w:rPr>
            </w:r>
            <w:r>
              <w:rPr>
                <w:noProof/>
                <w:webHidden/>
              </w:rPr>
              <w:fldChar w:fldCharType="separate"/>
            </w:r>
            <w:r>
              <w:rPr>
                <w:noProof/>
                <w:webHidden/>
              </w:rPr>
              <w:t>44</w:t>
            </w:r>
            <w:r>
              <w:rPr>
                <w:noProof/>
                <w:webHidden/>
              </w:rPr>
              <w:fldChar w:fldCharType="end"/>
            </w:r>
          </w:hyperlink>
        </w:p>
        <w:p w14:paraId="05D89BD7" w14:textId="4A8A8528" w:rsidR="002C1BAF" w:rsidRDefault="002C1BAF">
          <w:pPr>
            <w:pStyle w:val="TOC2"/>
            <w:tabs>
              <w:tab w:val="right" w:leader="dot" w:pos="9350"/>
            </w:tabs>
            <w:rPr>
              <w:rFonts w:eastAsiaTheme="minorEastAsia"/>
              <w:noProof/>
              <w:sz w:val="24"/>
              <w:szCs w:val="24"/>
            </w:rPr>
          </w:pPr>
          <w:hyperlink w:anchor="_Toc184132251" w:history="1">
            <w:r w:rsidRPr="000C1102">
              <w:rPr>
                <w:rStyle w:val="Hyperlink"/>
                <w:noProof/>
              </w:rPr>
              <w:t>Slide 39: Absolute Rate Difference</w:t>
            </w:r>
            <w:r w:rsidRPr="000C1102">
              <w:rPr>
                <w:rStyle w:val="Hyperlink"/>
                <w:noProof/>
                <w:vertAlign w:val="superscript"/>
              </w:rPr>
              <w:t>1</w:t>
            </w:r>
            <w:r w:rsidRPr="000C1102">
              <w:rPr>
                <w:rStyle w:val="Hyperlink"/>
                <w:noProof/>
              </w:rPr>
              <w:t xml:space="preserve"> Comparing 2023 to 2019 for Infectious Syphilis</w:t>
            </w:r>
            <w:r w:rsidRPr="000C1102">
              <w:rPr>
                <w:rStyle w:val="Hyperlink"/>
                <w:noProof/>
                <w:vertAlign w:val="superscript"/>
              </w:rPr>
              <w:t>2</w:t>
            </w:r>
            <w:r w:rsidRPr="000C1102">
              <w:rPr>
                <w:rStyle w:val="Hyperlink"/>
                <w:noProof/>
              </w:rPr>
              <w:t xml:space="preserve"> Cases, per 100,000 Persons</w:t>
            </w:r>
            <w:r w:rsidRPr="000C1102">
              <w:rPr>
                <w:rStyle w:val="Hyperlink"/>
                <w:noProof/>
                <w:vertAlign w:val="superscript"/>
              </w:rPr>
              <w:t>3</w:t>
            </w:r>
            <w:r w:rsidRPr="000C1102">
              <w:rPr>
                <w:rStyle w:val="Hyperlink"/>
                <w:noProof/>
              </w:rPr>
              <w:t xml:space="preserve"> by City/Town, Massachusetts</w:t>
            </w:r>
            <w:r>
              <w:rPr>
                <w:noProof/>
                <w:webHidden/>
              </w:rPr>
              <w:tab/>
            </w:r>
            <w:r>
              <w:rPr>
                <w:noProof/>
                <w:webHidden/>
              </w:rPr>
              <w:fldChar w:fldCharType="begin"/>
            </w:r>
            <w:r>
              <w:rPr>
                <w:noProof/>
                <w:webHidden/>
              </w:rPr>
              <w:instrText xml:space="preserve"> PAGEREF _Toc184132251 \h </w:instrText>
            </w:r>
            <w:r>
              <w:rPr>
                <w:noProof/>
                <w:webHidden/>
              </w:rPr>
            </w:r>
            <w:r>
              <w:rPr>
                <w:noProof/>
                <w:webHidden/>
              </w:rPr>
              <w:fldChar w:fldCharType="separate"/>
            </w:r>
            <w:r>
              <w:rPr>
                <w:noProof/>
                <w:webHidden/>
              </w:rPr>
              <w:t>45</w:t>
            </w:r>
            <w:r>
              <w:rPr>
                <w:noProof/>
                <w:webHidden/>
              </w:rPr>
              <w:fldChar w:fldCharType="end"/>
            </w:r>
          </w:hyperlink>
        </w:p>
        <w:p w14:paraId="61DF3FE7" w14:textId="6BA03343" w:rsidR="002C1BAF" w:rsidRDefault="002C1BAF">
          <w:pPr>
            <w:pStyle w:val="TOC2"/>
            <w:tabs>
              <w:tab w:val="right" w:leader="dot" w:pos="9350"/>
            </w:tabs>
            <w:rPr>
              <w:rFonts w:eastAsiaTheme="minorEastAsia"/>
              <w:noProof/>
              <w:sz w:val="24"/>
              <w:szCs w:val="24"/>
            </w:rPr>
          </w:pPr>
          <w:hyperlink w:anchor="_Toc184132252" w:history="1">
            <w:r w:rsidRPr="000C1102">
              <w:rPr>
                <w:rStyle w:val="Hyperlink"/>
                <w:noProof/>
              </w:rPr>
              <w:t>Slide 40: Confirmed and Probable Infectious Syphilis</w:t>
            </w:r>
            <w:r w:rsidRPr="000C1102">
              <w:rPr>
                <w:rStyle w:val="Hyperlink"/>
                <w:noProof/>
                <w:vertAlign w:val="superscript"/>
              </w:rPr>
              <w:t>1</w:t>
            </w:r>
            <w:r w:rsidRPr="000C1102">
              <w:rPr>
                <w:rStyle w:val="Hyperlink"/>
                <w:noProof/>
              </w:rPr>
              <w:t xml:space="preserve"> Cases per 100,000 Population by Gender</w:t>
            </w:r>
            <w:r w:rsidRPr="000C1102">
              <w:rPr>
                <w:rStyle w:val="Hyperlink"/>
                <w:noProof/>
                <w:vertAlign w:val="superscript"/>
              </w:rPr>
              <w:t>2</w:t>
            </w:r>
            <w:r w:rsidRPr="000C1102">
              <w:rPr>
                <w:rStyle w:val="Hyperlink"/>
                <w:noProof/>
              </w:rPr>
              <w:t xml:space="preserve"> and Age, Massachusetts, 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_Toc184132252 \h </w:instrText>
            </w:r>
            <w:r>
              <w:rPr>
                <w:noProof/>
                <w:webHidden/>
              </w:rPr>
            </w:r>
            <w:r>
              <w:rPr>
                <w:noProof/>
                <w:webHidden/>
              </w:rPr>
              <w:fldChar w:fldCharType="separate"/>
            </w:r>
            <w:r>
              <w:rPr>
                <w:noProof/>
                <w:webHidden/>
              </w:rPr>
              <w:t>46</w:t>
            </w:r>
            <w:r>
              <w:rPr>
                <w:noProof/>
                <w:webHidden/>
              </w:rPr>
              <w:fldChar w:fldCharType="end"/>
            </w:r>
          </w:hyperlink>
        </w:p>
        <w:p w14:paraId="4CA3659D" w14:textId="4E6C901E" w:rsidR="002C1BAF" w:rsidRDefault="002C1BAF">
          <w:pPr>
            <w:pStyle w:val="TOC1"/>
            <w:tabs>
              <w:tab w:val="right" w:leader="dot" w:pos="9350"/>
            </w:tabs>
            <w:rPr>
              <w:rFonts w:eastAsiaTheme="minorEastAsia"/>
              <w:noProof/>
              <w:sz w:val="24"/>
              <w:szCs w:val="24"/>
            </w:rPr>
          </w:pPr>
          <w:hyperlink w:anchor="_Toc184132253" w:history="1">
            <w:r w:rsidRPr="000C1102">
              <w:rPr>
                <w:rStyle w:val="Hyperlink"/>
                <w:noProof/>
              </w:rPr>
              <w:t>Slide 41: Comparison of the Rate of Confirmed and Probable Infectious Syphilis</w:t>
            </w:r>
            <w:r w:rsidRPr="000C1102">
              <w:rPr>
                <w:rStyle w:val="Hyperlink"/>
                <w:noProof/>
                <w:vertAlign w:val="superscript"/>
              </w:rPr>
              <w:t>1</w:t>
            </w:r>
            <w:r w:rsidRPr="000C1102">
              <w:rPr>
                <w:rStyle w:val="Hyperlink"/>
                <w:noProof/>
              </w:rPr>
              <w:t xml:space="preserve"> Cases by Gender</w:t>
            </w:r>
            <w:r w:rsidRPr="000C1102">
              <w:rPr>
                <w:rStyle w:val="Hyperlink"/>
                <w:noProof/>
                <w:vertAlign w:val="superscript"/>
              </w:rPr>
              <w:t>2</w:t>
            </w:r>
            <w:r w:rsidRPr="000C1102">
              <w:rPr>
                <w:rStyle w:val="Hyperlink"/>
                <w:noProof/>
              </w:rPr>
              <w:t xml:space="preserve"> and Race and Ethnicity</w:t>
            </w:r>
            <w:r w:rsidRPr="000C1102">
              <w:rPr>
                <w:rStyle w:val="Hyperlink"/>
                <w:noProof/>
                <w:vertAlign w:val="superscript"/>
              </w:rPr>
              <w:t>3</w:t>
            </w:r>
            <w:r w:rsidRPr="000C1102">
              <w:rPr>
                <w:rStyle w:val="Hyperlink"/>
                <w:noProof/>
              </w:rPr>
              <w:t>, Massachusetts, 2023</w:t>
            </w:r>
            <w:r w:rsidRPr="000C1102">
              <w:rPr>
                <w:rStyle w:val="Hyperlink"/>
                <w:noProof/>
                <w:vertAlign w:val="superscript"/>
              </w:rPr>
              <w:t>4</w:t>
            </w:r>
            <w:r>
              <w:rPr>
                <w:noProof/>
                <w:webHidden/>
              </w:rPr>
              <w:tab/>
            </w:r>
            <w:r>
              <w:rPr>
                <w:noProof/>
                <w:webHidden/>
              </w:rPr>
              <w:fldChar w:fldCharType="begin"/>
            </w:r>
            <w:r>
              <w:rPr>
                <w:noProof/>
                <w:webHidden/>
              </w:rPr>
              <w:instrText xml:space="preserve"> PAGEREF _Toc184132253 \h </w:instrText>
            </w:r>
            <w:r>
              <w:rPr>
                <w:noProof/>
                <w:webHidden/>
              </w:rPr>
            </w:r>
            <w:r>
              <w:rPr>
                <w:noProof/>
                <w:webHidden/>
              </w:rPr>
              <w:fldChar w:fldCharType="separate"/>
            </w:r>
            <w:r>
              <w:rPr>
                <w:noProof/>
                <w:webHidden/>
              </w:rPr>
              <w:t>47</w:t>
            </w:r>
            <w:r>
              <w:rPr>
                <w:noProof/>
                <w:webHidden/>
              </w:rPr>
              <w:fldChar w:fldCharType="end"/>
            </w:r>
          </w:hyperlink>
        </w:p>
        <w:p w14:paraId="337E0763" w14:textId="6B06D491" w:rsidR="002C1BAF" w:rsidRDefault="002C1BAF">
          <w:pPr>
            <w:pStyle w:val="TOC1"/>
            <w:tabs>
              <w:tab w:val="right" w:leader="dot" w:pos="9350"/>
            </w:tabs>
            <w:rPr>
              <w:rFonts w:eastAsiaTheme="minorEastAsia"/>
              <w:noProof/>
              <w:sz w:val="24"/>
              <w:szCs w:val="24"/>
            </w:rPr>
          </w:pPr>
          <w:hyperlink w:anchor="_Toc184132254" w:history="1">
            <w:r w:rsidRPr="000C1102">
              <w:rPr>
                <w:rStyle w:val="Hyperlink"/>
                <w:noProof/>
              </w:rPr>
              <w:t>Slide 42: Section Break, HIV Co-infection</w:t>
            </w:r>
            <w:r>
              <w:rPr>
                <w:noProof/>
                <w:webHidden/>
              </w:rPr>
              <w:tab/>
            </w:r>
            <w:r>
              <w:rPr>
                <w:noProof/>
                <w:webHidden/>
              </w:rPr>
              <w:fldChar w:fldCharType="begin"/>
            </w:r>
            <w:r>
              <w:rPr>
                <w:noProof/>
                <w:webHidden/>
              </w:rPr>
              <w:instrText xml:space="preserve"> PAGEREF _Toc184132254 \h </w:instrText>
            </w:r>
            <w:r>
              <w:rPr>
                <w:noProof/>
                <w:webHidden/>
              </w:rPr>
            </w:r>
            <w:r>
              <w:rPr>
                <w:noProof/>
                <w:webHidden/>
              </w:rPr>
              <w:fldChar w:fldCharType="separate"/>
            </w:r>
            <w:r>
              <w:rPr>
                <w:noProof/>
                <w:webHidden/>
              </w:rPr>
              <w:t>48</w:t>
            </w:r>
            <w:r>
              <w:rPr>
                <w:noProof/>
                <w:webHidden/>
              </w:rPr>
              <w:fldChar w:fldCharType="end"/>
            </w:r>
          </w:hyperlink>
        </w:p>
        <w:p w14:paraId="04EE2228" w14:textId="6766CED6" w:rsidR="002C1BAF" w:rsidRDefault="002C1BAF">
          <w:pPr>
            <w:pStyle w:val="TOC1"/>
            <w:tabs>
              <w:tab w:val="right" w:leader="dot" w:pos="9350"/>
            </w:tabs>
            <w:rPr>
              <w:rFonts w:eastAsiaTheme="minorEastAsia"/>
              <w:noProof/>
              <w:sz w:val="24"/>
              <w:szCs w:val="24"/>
            </w:rPr>
          </w:pPr>
          <w:hyperlink w:anchor="_Toc184132255" w:history="1">
            <w:r w:rsidRPr="000C1102">
              <w:rPr>
                <w:rStyle w:val="Hyperlink"/>
                <w:noProof/>
              </w:rPr>
              <w:t>Slide 43: 2023</w:t>
            </w:r>
            <w:r w:rsidRPr="000C1102">
              <w:rPr>
                <w:rStyle w:val="Hyperlink"/>
                <w:noProof/>
                <w:vertAlign w:val="superscript"/>
              </w:rPr>
              <w:t>1</w:t>
            </w:r>
            <w:r w:rsidRPr="000C1102">
              <w:rPr>
                <w:rStyle w:val="Hyperlink"/>
                <w:noProof/>
              </w:rPr>
              <w:t xml:space="preserve"> HIV</w:t>
            </w:r>
            <w:r w:rsidRPr="000C1102">
              <w:rPr>
                <w:rStyle w:val="Hyperlink"/>
                <w:noProof/>
                <w:vertAlign w:val="superscript"/>
              </w:rPr>
              <w:t>2</w:t>
            </w:r>
            <w:r w:rsidRPr="000C1102">
              <w:rPr>
                <w:rStyle w:val="Hyperlink"/>
                <w:noProof/>
              </w:rPr>
              <w:t xml:space="preserve"> Co-Infected Chlamydia and Gonorrhea Cases</w:t>
            </w:r>
            <w:r>
              <w:rPr>
                <w:noProof/>
                <w:webHidden/>
              </w:rPr>
              <w:tab/>
            </w:r>
            <w:r>
              <w:rPr>
                <w:noProof/>
                <w:webHidden/>
              </w:rPr>
              <w:fldChar w:fldCharType="begin"/>
            </w:r>
            <w:r>
              <w:rPr>
                <w:noProof/>
                <w:webHidden/>
              </w:rPr>
              <w:instrText xml:space="preserve"> PAGEREF _Toc184132255 \h </w:instrText>
            </w:r>
            <w:r>
              <w:rPr>
                <w:noProof/>
                <w:webHidden/>
              </w:rPr>
            </w:r>
            <w:r>
              <w:rPr>
                <w:noProof/>
                <w:webHidden/>
              </w:rPr>
              <w:fldChar w:fldCharType="separate"/>
            </w:r>
            <w:r>
              <w:rPr>
                <w:noProof/>
                <w:webHidden/>
              </w:rPr>
              <w:t>48</w:t>
            </w:r>
            <w:r>
              <w:rPr>
                <w:noProof/>
                <w:webHidden/>
              </w:rPr>
              <w:fldChar w:fldCharType="end"/>
            </w:r>
          </w:hyperlink>
        </w:p>
        <w:p w14:paraId="3EA10D0E" w14:textId="5F8E8746" w:rsidR="002C1BAF" w:rsidRDefault="002C1BAF">
          <w:pPr>
            <w:pStyle w:val="TOC1"/>
            <w:tabs>
              <w:tab w:val="right" w:leader="dot" w:pos="9350"/>
            </w:tabs>
            <w:rPr>
              <w:rFonts w:eastAsiaTheme="minorEastAsia"/>
              <w:noProof/>
              <w:sz w:val="24"/>
              <w:szCs w:val="24"/>
            </w:rPr>
          </w:pPr>
          <w:hyperlink w:anchor="_Toc184132256" w:history="1">
            <w:r w:rsidRPr="000C1102">
              <w:rPr>
                <w:rStyle w:val="Hyperlink"/>
                <w:noProof/>
              </w:rPr>
              <w:t>Slide 44: 2023</w:t>
            </w:r>
            <w:r w:rsidRPr="000C1102">
              <w:rPr>
                <w:rStyle w:val="Hyperlink"/>
                <w:noProof/>
                <w:vertAlign w:val="superscript"/>
              </w:rPr>
              <w:t>1</w:t>
            </w:r>
            <w:r w:rsidRPr="000C1102">
              <w:rPr>
                <w:rStyle w:val="Hyperlink"/>
                <w:noProof/>
              </w:rPr>
              <w:t xml:space="preserve"> HIV</w:t>
            </w:r>
            <w:r w:rsidRPr="000C1102">
              <w:rPr>
                <w:rStyle w:val="Hyperlink"/>
                <w:noProof/>
                <w:vertAlign w:val="superscript"/>
              </w:rPr>
              <w:t>2</w:t>
            </w:r>
            <w:r w:rsidRPr="000C1102">
              <w:rPr>
                <w:rStyle w:val="Hyperlink"/>
                <w:noProof/>
              </w:rPr>
              <w:t xml:space="preserve"> Co-Infected Infectious Syphilis Cases</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_Toc184132256 \h </w:instrText>
            </w:r>
            <w:r>
              <w:rPr>
                <w:noProof/>
                <w:webHidden/>
              </w:rPr>
            </w:r>
            <w:r>
              <w:rPr>
                <w:noProof/>
                <w:webHidden/>
              </w:rPr>
              <w:fldChar w:fldCharType="separate"/>
            </w:r>
            <w:r>
              <w:rPr>
                <w:noProof/>
                <w:webHidden/>
              </w:rPr>
              <w:t>48</w:t>
            </w:r>
            <w:r>
              <w:rPr>
                <w:noProof/>
                <w:webHidden/>
              </w:rPr>
              <w:fldChar w:fldCharType="end"/>
            </w:r>
          </w:hyperlink>
        </w:p>
        <w:p w14:paraId="437EB897" w14:textId="18BA72F5" w:rsidR="002C1BAF" w:rsidRDefault="002C1BAF">
          <w:pPr>
            <w:pStyle w:val="TOC1"/>
            <w:tabs>
              <w:tab w:val="right" w:leader="dot" w:pos="9350"/>
            </w:tabs>
            <w:rPr>
              <w:rFonts w:eastAsiaTheme="minorEastAsia"/>
              <w:noProof/>
              <w:sz w:val="24"/>
              <w:szCs w:val="24"/>
            </w:rPr>
          </w:pPr>
          <w:hyperlink w:anchor="_Toc184132257" w:history="1">
            <w:r w:rsidRPr="000C1102">
              <w:rPr>
                <w:rStyle w:val="Hyperlink"/>
                <w:noProof/>
              </w:rPr>
              <w:t>Slide 45: Comparison of Infectious Syphilis</w:t>
            </w:r>
            <w:r w:rsidRPr="000C1102">
              <w:rPr>
                <w:rStyle w:val="Hyperlink"/>
                <w:noProof/>
                <w:vertAlign w:val="superscript"/>
              </w:rPr>
              <w:t>1</w:t>
            </w:r>
            <w:r w:rsidRPr="000C1102">
              <w:rPr>
                <w:rStyle w:val="Hyperlink"/>
                <w:noProof/>
              </w:rPr>
              <w:t xml:space="preserve"> Cases by HIV</w:t>
            </w:r>
            <w:r w:rsidRPr="000C1102">
              <w:rPr>
                <w:rStyle w:val="Hyperlink"/>
                <w:noProof/>
                <w:vertAlign w:val="superscript"/>
              </w:rPr>
              <w:t>2</w:t>
            </w:r>
            <w:r w:rsidRPr="000C1102">
              <w:rPr>
                <w:rStyle w:val="Hyperlink"/>
                <w:noProof/>
              </w:rPr>
              <w:t xml:space="preserve"> Co-Infection Status and Age</w:t>
            </w:r>
            <w:r w:rsidRPr="000C1102">
              <w:rPr>
                <w:rStyle w:val="Hyperlink"/>
                <w:noProof/>
                <w:vertAlign w:val="superscript"/>
              </w:rPr>
              <w:t>3</w:t>
            </w:r>
            <w:r w:rsidRPr="000C1102">
              <w:rPr>
                <w:rStyle w:val="Hyperlink"/>
                <w:noProof/>
              </w:rPr>
              <w:t>, Massachusetts, 2023</w:t>
            </w:r>
            <w:r w:rsidRPr="000C1102">
              <w:rPr>
                <w:rStyle w:val="Hyperlink"/>
                <w:noProof/>
                <w:vertAlign w:val="superscript"/>
              </w:rPr>
              <w:t>4</w:t>
            </w:r>
            <w:r>
              <w:rPr>
                <w:noProof/>
                <w:webHidden/>
              </w:rPr>
              <w:tab/>
            </w:r>
            <w:r>
              <w:rPr>
                <w:noProof/>
                <w:webHidden/>
              </w:rPr>
              <w:fldChar w:fldCharType="begin"/>
            </w:r>
            <w:r>
              <w:rPr>
                <w:noProof/>
                <w:webHidden/>
              </w:rPr>
              <w:instrText xml:space="preserve"> PAGEREF _Toc184132257 \h </w:instrText>
            </w:r>
            <w:r>
              <w:rPr>
                <w:noProof/>
                <w:webHidden/>
              </w:rPr>
            </w:r>
            <w:r>
              <w:rPr>
                <w:noProof/>
                <w:webHidden/>
              </w:rPr>
              <w:fldChar w:fldCharType="separate"/>
            </w:r>
            <w:r>
              <w:rPr>
                <w:noProof/>
                <w:webHidden/>
              </w:rPr>
              <w:t>49</w:t>
            </w:r>
            <w:r>
              <w:rPr>
                <w:noProof/>
                <w:webHidden/>
              </w:rPr>
              <w:fldChar w:fldCharType="end"/>
            </w:r>
          </w:hyperlink>
        </w:p>
        <w:p w14:paraId="6F7C3EE9" w14:textId="7E763AD2" w:rsidR="002C1BAF" w:rsidRDefault="002C1BAF">
          <w:pPr>
            <w:pStyle w:val="TOC1"/>
            <w:tabs>
              <w:tab w:val="right" w:leader="dot" w:pos="9350"/>
            </w:tabs>
            <w:rPr>
              <w:rFonts w:eastAsiaTheme="minorEastAsia"/>
              <w:noProof/>
              <w:sz w:val="24"/>
              <w:szCs w:val="24"/>
            </w:rPr>
          </w:pPr>
          <w:hyperlink w:anchor="_Toc184132258" w:history="1">
            <w:r w:rsidRPr="000C1102">
              <w:rPr>
                <w:rStyle w:val="Hyperlink"/>
                <w:noProof/>
              </w:rPr>
              <w:t>Slide 46: Comparison of Infectious Syphilis</w:t>
            </w:r>
            <w:r w:rsidRPr="000C1102">
              <w:rPr>
                <w:rStyle w:val="Hyperlink"/>
                <w:noProof/>
                <w:vertAlign w:val="superscript"/>
              </w:rPr>
              <w:t>1</w:t>
            </w:r>
            <w:r w:rsidRPr="000C1102">
              <w:rPr>
                <w:rStyle w:val="Hyperlink"/>
                <w:noProof/>
              </w:rPr>
              <w:t xml:space="preserve"> Cases by HIV</w:t>
            </w:r>
            <w:r w:rsidRPr="000C1102">
              <w:rPr>
                <w:rStyle w:val="Hyperlink"/>
                <w:noProof/>
                <w:vertAlign w:val="superscript"/>
              </w:rPr>
              <w:t>2</w:t>
            </w:r>
            <w:r w:rsidRPr="000C1102">
              <w:rPr>
                <w:rStyle w:val="Hyperlink"/>
                <w:noProof/>
              </w:rPr>
              <w:t xml:space="preserve"> Co-Infection and Race/Ethnicity, Massachusetts, 2023</w:t>
            </w:r>
            <w:r w:rsidRPr="000C1102">
              <w:rPr>
                <w:rStyle w:val="Hyperlink"/>
                <w:noProof/>
                <w:vertAlign w:val="superscript"/>
              </w:rPr>
              <w:t>3</w:t>
            </w:r>
            <w:r>
              <w:rPr>
                <w:noProof/>
                <w:webHidden/>
              </w:rPr>
              <w:tab/>
            </w:r>
            <w:r>
              <w:rPr>
                <w:noProof/>
                <w:webHidden/>
              </w:rPr>
              <w:fldChar w:fldCharType="begin"/>
            </w:r>
            <w:r>
              <w:rPr>
                <w:noProof/>
                <w:webHidden/>
              </w:rPr>
              <w:instrText xml:space="preserve"> PAGEREF _Toc184132258 \h </w:instrText>
            </w:r>
            <w:r>
              <w:rPr>
                <w:noProof/>
                <w:webHidden/>
              </w:rPr>
            </w:r>
            <w:r>
              <w:rPr>
                <w:noProof/>
                <w:webHidden/>
              </w:rPr>
              <w:fldChar w:fldCharType="separate"/>
            </w:r>
            <w:r>
              <w:rPr>
                <w:noProof/>
                <w:webHidden/>
              </w:rPr>
              <w:t>50</w:t>
            </w:r>
            <w:r>
              <w:rPr>
                <w:noProof/>
                <w:webHidden/>
              </w:rPr>
              <w:fldChar w:fldCharType="end"/>
            </w:r>
          </w:hyperlink>
        </w:p>
        <w:p w14:paraId="0C866A7B" w14:textId="6722266A" w:rsidR="002C1BAF" w:rsidRDefault="002C1BAF">
          <w:pPr>
            <w:pStyle w:val="TOC1"/>
            <w:tabs>
              <w:tab w:val="right" w:leader="dot" w:pos="9350"/>
            </w:tabs>
            <w:rPr>
              <w:rFonts w:eastAsiaTheme="minorEastAsia"/>
              <w:noProof/>
              <w:sz w:val="24"/>
              <w:szCs w:val="24"/>
            </w:rPr>
          </w:pPr>
          <w:hyperlink w:anchor="_Toc184132259" w:history="1">
            <w:r w:rsidRPr="000C1102">
              <w:rPr>
                <w:rStyle w:val="Hyperlink"/>
                <w:noProof/>
              </w:rPr>
              <w:t>Slide 47: 2023 Summary Slide</w:t>
            </w:r>
            <w:r>
              <w:rPr>
                <w:noProof/>
                <w:webHidden/>
              </w:rPr>
              <w:tab/>
            </w:r>
            <w:r>
              <w:rPr>
                <w:noProof/>
                <w:webHidden/>
              </w:rPr>
              <w:fldChar w:fldCharType="begin"/>
            </w:r>
            <w:r>
              <w:rPr>
                <w:noProof/>
                <w:webHidden/>
              </w:rPr>
              <w:instrText xml:space="preserve"> PAGEREF _Toc184132259 \h </w:instrText>
            </w:r>
            <w:r>
              <w:rPr>
                <w:noProof/>
                <w:webHidden/>
              </w:rPr>
            </w:r>
            <w:r>
              <w:rPr>
                <w:noProof/>
                <w:webHidden/>
              </w:rPr>
              <w:fldChar w:fldCharType="separate"/>
            </w:r>
            <w:r>
              <w:rPr>
                <w:noProof/>
                <w:webHidden/>
              </w:rPr>
              <w:t>50</w:t>
            </w:r>
            <w:r>
              <w:rPr>
                <w:noProof/>
                <w:webHidden/>
              </w:rPr>
              <w:fldChar w:fldCharType="end"/>
            </w:r>
          </w:hyperlink>
        </w:p>
        <w:p w14:paraId="1BAFB1A6" w14:textId="2C6B0244" w:rsidR="002C1BAF" w:rsidRDefault="002C1BAF">
          <w:pPr>
            <w:pStyle w:val="TOC1"/>
            <w:tabs>
              <w:tab w:val="right" w:leader="dot" w:pos="9350"/>
            </w:tabs>
            <w:rPr>
              <w:rFonts w:eastAsiaTheme="minorEastAsia"/>
              <w:noProof/>
              <w:sz w:val="24"/>
              <w:szCs w:val="24"/>
            </w:rPr>
          </w:pPr>
          <w:hyperlink w:anchor="_Toc184132260" w:history="1">
            <w:r w:rsidRPr="000C1102">
              <w:rPr>
                <w:rStyle w:val="Hyperlink"/>
                <w:noProof/>
              </w:rPr>
              <w:t>Slide 48: Technical Data Notes</w:t>
            </w:r>
            <w:r>
              <w:rPr>
                <w:noProof/>
                <w:webHidden/>
              </w:rPr>
              <w:tab/>
            </w:r>
            <w:r>
              <w:rPr>
                <w:noProof/>
                <w:webHidden/>
              </w:rPr>
              <w:fldChar w:fldCharType="begin"/>
            </w:r>
            <w:r>
              <w:rPr>
                <w:noProof/>
                <w:webHidden/>
              </w:rPr>
              <w:instrText xml:space="preserve"> PAGEREF _Toc184132260 \h </w:instrText>
            </w:r>
            <w:r>
              <w:rPr>
                <w:noProof/>
                <w:webHidden/>
              </w:rPr>
            </w:r>
            <w:r>
              <w:rPr>
                <w:noProof/>
                <w:webHidden/>
              </w:rPr>
              <w:fldChar w:fldCharType="separate"/>
            </w:r>
            <w:r>
              <w:rPr>
                <w:noProof/>
                <w:webHidden/>
              </w:rPr>
              <w:t>52</w:t>
            </w:r>
            <w:r>
              <w:rPr>
                <w:noProof/>
                <w:webHidden/>
              </w:rPr>
              <w:fldChar w:fldCharType="end"/>
            </w:r>
          </w:hyperlink>
        </w:p>
        <w:p w14:paraId="3E3EF34A" w14:textId="3106AA75" w:rsidR="002C1BAF" w:rsidRDefault="002C1BAF">
          <w:pPr>
            <w:pStyle w:val="TOC1"/>
            <w:tabs>
              <w:tab w:val="right" w:leader="dot" w:pos="9350"/>
            </w:tabs>
            <w:rPr>
              <w:rFonts w:eastAsiaTheme="minorEastAsia"/>
              <w:noProof/>
              <w:sz w:val="24"/>
              <w:szCs w:val="24"/>
            </w:rPr>
          </w:pPr>
          <w:hyperlink w:anchor="_Toc184132261" w:history="1">
            <w:r w:rsidRPr="000C1102">
              <w:rPr>
                <w:rStyle w:val="Hyperlink"/>
                <w:noProof/>
              </w:rPr>
              <w:t>Slide 50: Coronavirus 2019 (COVID-19): Impact of Other Reportable Infections</w:t>
            </w:r>
            <w:r>
              <w:rPr>
                <w:noProof/>
                <w:webHidden/>
              </w:rPr>
              <w:tab/>
            </w:r>
            <w:r>
              <w:rPr>
                <w:noProof/>
                <w:webHidden/>
              </w:rPr>
              <w:fldChar w:fldCharType="begin"/>
            </w:r>
            <w:r>
              <w:rPr>
                <w:noProof/>
                <w:webHidden/>
              </w:rPr>
              <w:instrText xml:space="preserve"> PAGEREF _Toc184132261 \h </w:instrText>
            </w:r>
            <w:r>
              <w:rPr>
                <w:noProof/>
                <w:webHidden/>
              </w:rPr>
            </w:r>
            <w:r>
              <w:rPr>
                <w:noProof/>
                <w:webHidden/>
              </w:rPr>
              <w:fldChar w:fldCharType="separate"/>
            </w:r>
            <w:r>
              <w:rPr>
                <w:noProof/>
                <w:webHidden/>
              </w:rPr>
              <w:t>53</w:t>
            </w:r>
            <w:r>
              <w:rPr>
                <w:noProof/>
                <w:webHidden/>
              </w:rPr>
              <w:fldChar w:fldCharType="end"/>
            </w:r>
          </w:hyperlink>
        </w:p>
        <w:p w14:paraId="10082A63" w14:textId="28B8642C" w:rsidR="002C1BAF" w:rsidRDefault="002C1BAF">
          <w:pPr>
            <w:pStyle w:val="TOC1"/>
            <w:tabs>
              <w:tab w:val="right" w:leader="dot" w:pos="9350"/>
            </w:tabs>
            <w:rPr>
              <w:rFonts w:eastAsiaTheme="minorEastAsia"/>
              <w:noProof/>
              <w:sz w:val="24"/>
              <w:szCs w:val="24"/>
            </w:rPr>
          </w:pPr>
          <w:hyperlink w:anchor="_Toc184132262" w:history="1">
            <w:r w:rsidRPr="000C1102">
              <w:rPr>
                <w:rStyle w:val="Hyperlink"/>
                <w:noProof/>
              </w:rPr>
              <w:t>Slide 51: Closing Slide</w:t>
            </w:r>
            <w:r>
              <w:rPr>
                <w:noProof/>
                <w:webHidden/>
              </w:rPr>
              <w:tab/>
            </w:r>
            <w:r>
              <w:rPr>
                <w:noProof/>
                <w:webHidden/>
              </w:rPr>
              <w:fldChar w:fldCharType="begin"/>
            </w:r>
            <w:r>
              <w:rPr>
                <w:noProof/>
                <w:webHidden/>
              </w:rPr>
              <w:instrText xml:space="preserve"> PAGEREF _Toc184132262 \h </w:instrText>
            </w:r>
            <w:r>
              <w:rPr>
                <w:noProof/>
                <w:webHidden/>
              </w:rPr>
            </w:r>
            <w:r>
              <w:rPr>
                <w:noProof/>
                <w:webHidden/>
              </w:rPr>
              <w:fldChar w:fldCharType="separate"/>
            </w:r>
            <w:r>
              <w:rPr>
                <w:noProof/>
                <w:webHidden/>
              </w:rPr>
              <w:t>53</w:t>
            </w:r>
            <w:r>
              <w:rPr>
                <w:noProof/>
                <w:webHidden/>
              </w:rPr>
              <w:fldChar w:fldCharType="end"/>
            </w:r>
          </w:hyperlink>
        </w:p>
        <w:p w14:paraId="4AD2A4BA" w14:textId="244EDCE7" w:rsidR="00936F51" w:rsidRDefault="00936F51">
          <w:r>
            <w:rPr>
              <w:b/>
              <w:bCs/>
              <w:noProof/>
            </w:rPr>
            <w:fldChar w:fldCharType="end"/>
          </w:r>
        </w:p>
      </w:sdtContent>
    </w:sdt>
    <w:p w14:paraId="0832DA59" w14:textId="77777777" w:rsidR="002E19F8" w:rsidRDefault="002E19F8" w:rsidP="00467139">
      <w:pPr>
        <w:spacing w:after="0" w:line="240" w:lineRule="auto"/>
        <w:rPr>
          <w:b/>
          <w:bCs/>
          <w:sz w:val="24"/>
          <w:szCs w:val="24"/>
        </w:rPr>
      </w:pPr>
    </w:p>
    <w:p w14:paraId="31FC31A7" w14:textId="5F52D7EF" w:rsidR="00151B32" w:rsidRPr="002E19F8" w:rsidRDefault="00151B32" w:rsidP="00467139">
      <w:pPr>
        <w:spacing w:after="0" w:line="240" w:lineRule="auto"/>
        <w:rPr>
          <w:rFonts w:asciiTheme="majorHAnsi" w:hAnsiTheme="majorHAnsi" w:cstheme="majorHAnsi"/>
          <w:b/>
          <w:bCs/>
          <w:sz w:val="24"/>
          <w:szCs w:val="24"/>
        </w:rPr>
      </w:pPr>
      <w:r w:rsidRPr="002E19F8">
        <w:rPr>
          <w:rFonts w:asciiTheme="majorHAnsi" w:hAnsiTheme="majorHAnsi" w:cstheme="majorHAnsi"/>
          <w:b/>
          <w:bCs/>
          <w:sz w:val="24"/>
          <w:szCs w:val="24"/>
        </w:rPr>
        <w:t>Slide Descriptions</w:t>
      </w:r>
    </w:p>
    <w:p w14:paraId="35D8C2AD" w14:textId="215D0884" w:rsidR="009E7EA1" w:rsidRPr="002E19F8" w:rsidRDefault="00467139" w:rsidP="003F6E82">
      <w:pPr>
        <w:pStyle w:val="Heading1"/>
      </w:pPr>
      <w:bookmarkStart w:id="0" w:name="_Toc184132212"/>
      <w:r w:rsidRPr="002E19F8">
        <w:rPr>
          <w:b/>
        </w:rPr>
        <w:t>Slide 1</w:t>
      </w:r>
      <w:r>
        <w:t xml:space="preserve"> </w:t>
      </w:r>
      <w:r w:rsidRPr="002E19F8">
        <w:rPr>
          <w:b/>
        </w:rPr>
        <w:t>(title page)</w:t>
      </w:r>
      <w:r w:rsidR="00210523">
        <w:t xml:space="preserve"> -</w:t>
      </w:r>
      <w:r>
        <w:t xml:space="preserve"> Surveillance Data Overview of Sexually Transmitted Infections, Massachusetts, 2000-202</w:t>
      </w:r>
      <w:r w:rsidR="7AB9FE84">
        <w:t>3</w:t>
      </w:r>
      <w:bookmarkEnd w:id="0"/>
    </w:p>
    <w:p w14:paraId="5E5D7CFC" w14:textId="77777777" w:rsidR="00467139" w:rsidRPr="002E19F8" w:rsidRDefault="00467139" w:rsidP="00467139">
      <w:pPr>
        <w:spacing w:after="0" w:line="240" w:lineRule="auto"/>
        <w:rPr>
          <w:sz w:val="24"/>
          <w:szCs w:val="24"/>
        </w:rPr>
      </w:pPr>
    </w:p>
    <w:p w14:paraId="2313A7C4" w14:textId="4FF6AE4D" w:rsidR="009E7EA1" w:rsidRPr="002E19F8" w:rsidRDefault="00467139" w:rsidP="003F6E82">
      <w:pPr>
        <w:pStyle w:val="Heading1"/>
      </w:pPr>
      <w:bookmarkStart w:id="1" w:name="_Toc184132213"/>
      <w:r w:rsidRPr="002E19F8">
        <w:t>Slide 2</w:t>
      </w:r>
      <w:r w:rsidR="00210523" w:rsidRPr="002E19F8">
        <w:t xml:space="preserve"> - </w:t>
      </w:r>
      <w:r w:rsidR="009E7EA1" w:rsidRPr="002E19F8">
        <w:t>Outline</w:t>
      </w:r>
      <w:bookmarkEnd w:id="1"/>
    </w:p>
    <w:p w14:paraId="0F66DB7B" w14:textId="77777777" w:rsidR="009E7EA1" w:rsidRPr="002E19F8" w:rsidRDefault="009E7EA1" w:rsidP="009E7EA1">
      <w:pPr>
        <w:spacing w:after="0" w:line="240" w:lineRule="auto"/>
        <w:rPr>
          <w:sz w:val="24"/>
          <w:szCs w:val="24"/>
        </w:rPr>
      </w:pPr>
      <w:r w:rsidRPr="002E19F8">
        <w:rPr>
          <w:sz w:val="24"/>
          <w:szCs w:val="24"/>
        </w:rPr>
        <w:t>Sexually Transmitted Infection (STI) Trends and Descriptions:</w:t>
      </w:r>
    </w:p>
    <w:p w14:paraId="77FEB2F4" w14:textId="15FAB4B6" w:rsidR="009E7EA1" w:rsidRPr="002E19F8" w:rsidRDefault="009E7EA1" w:rsidP="009E7EA1">
      <w:pPr>
        <w:spacing w:after="0" w:line="240" w:lineRule="auto"/>
        <w:rPr>
          <w:sz w:val="24"/>
          <w:szCs w:val="24"/>
        </w:rPr>
      </w:pPr>
      <w:r w:rsidRPr="45B78671">
        <w:rPr>
          <w:sz w:val="24"/>
          <w:szCs w:val="24"/>
        </w:rPr>
        <w:t>General STI Trends Through 202</w:t>
      </w:r>
      <w:r w:rsidR="720F72D8" w:rsidRPr="45B78671">
        <w:rPr>
          <w:sz w:val="24"/>
          <w:szCs w:val="24"/>
        </w:rPr>
        <w:t>3</w:t>
      </w:r>
    </w:p>
    <w:p w14:paraId="01244077" w14:textId="77777777" w:rsidR="009E7EA1" w:rsidRPr="002E19F8" w:rsidRDefault="009E7EA1" w:rsidP="009E7EA1">
      <w:pPr>
        <w:spacing w:after="0" w:line="240" w:lineRule="auto"/>
        <w:rPr>
          <w:sz w:val="24"/>
          <w:szCs w:val="24"/>
        </w:rPr>
      </w:pPr>
      <w:r w:rsidRPr="002E19F8">
        <w:rPr>
          <w:sz w:val="24"/>
          <w:szCs w:val="24"/>
        </w:rPr>
        <w:t>Chlamydia</w:t>
      </w:r>
    </w:p>
    <w:p w14:paraId="66C9D897" w14:textId="77777777" w:rsidR="009E7EA1" w:rsidRPr="002E19F8" w:rsidRDefault="009E7EA1" w:rsidP="009E7EA1">
      <w:pPr>
        <w:spacing w:after="0" w:line="240" w:lineRule="auto"/>
        <w:rPr>
          <w:sz w:val="24"/>
          <w:szCs w:val="24"/>
        </w:rPr>
      </w:pPr>
      <w:r w:rsidRPr="002E19F8">
        <w:rPr>
          <w:sz w:val="24"/>
          <w:szCs w:val="24"/>
        </w:rPr>
        <w:t>Gonorrhea</w:t>
      </w:r>
    </w:p>
    <w:p w14:paraId="6886FE02" w14:textId="77777777" w:rsidR="009E7EA1" w:rsidRPr="002E19F8" w:rsidRDefault="009E7EA1" w:rsidP="009E7EA1">
      <w:pPr>
        <w:spacing w:after="0" w:line="240" w:lineRule="auto"/>
        <w:rPr>
          <w:sz w:val="24"/>
          <w:szCs w:val="24"/>
        </w:rPr>
      </w:pPr>
      <w:r w:rsidRPr="002E19F8">
        <w:rPr>
          <w:sz w:val="24"/>
          <w:szCs w:val="24"/>
        </w:rPr>
        <w:t>Infectious syphilis</w:t>
      </w:r>
    </w:p>
    <w:p w14:paraId="1DCB8046" w14:textId="58416947" w:rsidR="009E7EA1" w:rsidRPr="002E19F8" w:rsidRDefault="009E7EA1" w:rsidP="009E7EA1">
      <w:pPr>
        <w:spacing w:after="0" w:line="240" w:lineRule="auto"/>
        <w:rPr>
          <w:sz w:val="24"/>
          <w:szCs w:val="24"/>
        </w:rPr>
      </w:pPr>
      <w:r w:rsidRPr="45B78671">
        <w:rPr>
          <w:sz w:val="24"/>
          <w:szCs w:val="24"/>
        </w:rPr>
        <w:t>Descriptions of 202</w:t>
      </w:r>
      <w:r w:rsidR="7F975658" w:rsidRPr="45B78671">
        <w:rPr>
          <w:sz w:val="24"/>
          <w:szCs w:val="24"/>
        </w:rPr>
        <w:t>3</w:t>
      </w:r>
      <w:r w:rsidRPr="45B78671">
        <w:rPr>
          <w:sz w:val="24"/>
          <w:szCs w:val="24"/>
        </w:rPr>
        <w:t xml:space="preserve"> STI Cases</w:t>
      </w:r>
    </w:p>
    <w:p w14:paraId="2304C656" w14:textId="2E8E55A8" w:rsidR="009E7EA1" w:rsidRPr="002E19F8" w:rsidRDefault="009E7EA1" w:rsidP="009E7EA1">
      <w:pPr>
        <w:spacing w:after="0" w:line="240" w:lineRule="auto"/>
        <w:rPr>
          <w:sz w:val="24"/>
          <w:szCs w:val="24"/>
        </w:rPr>
      </w:pPr>
      <w:r w:rsidRPr="45B78671">
        <w:rPr>
          <w:sz w:val="24"/>
          <w:szCs w:val="24"/>
        </w:rPr>
        <w:t>Social Vulnerability Index Trends (202</w:t>
      </w:r>
      <w:r w:rsidR="459F4532" w:rsidRPr="45B78671">
        <w:rPr>
          <w:sz w:val="24"/>
          <w:szCs w:val="24"/>
        </w:rPr>
        <w:t>3</w:t>
      </w:r>
      <w:r w:rsidRPr="45B78671">
        <w:rPr>
          <w:sz w:val="24"/>
          <w:szCs w:val="24"/>
        </w:rPr>
        <w:t>)</w:t>
      </w:r>
    </w:p>
    <w:p w14:paraId="0939A0F8" w14:textId="022991BE" w:rsidR="009E7EA1" w:rsidRPr="002E19F8" w:rsidRDefault="009E7EA1" w:rsidP="009E7EA1">
      <w:pPr>
        <w:spacing w:after="0" w:line="240" w:lineRule="auto"/>
        <w:rPr>
          <w:sz w:val="24"/>
          <w:szCs w:val="24"/>
        </w:rPr>
      </w:pPr>
      <w:r w:rsidRPr="45B78671">
        <w:rPr>
          <w:sz w:val="24"/>
          <w:szCs w:val="24"/>
        </w:rPr>
        <w:t>HIV/STI Co-infection and Sexual Risk (202</w:t>
      </w:r>
      <w:r w:rsidR="74F4B14F" w:rsidRPr="45B78671">
        <w:rPr>
          <w:sz w:val="24"/>
          <w:szCs w:val="24"/>
        </w:rPr>
        <w:t>3)</w:t>
      </w:r>
    </w:p>
    <w:p w14:paraId="02E107C4" w14:textId="77777777" w:rsidR="009E7EA1" w:rsidRPr="002E19F8" w:rsidRDefault="009E7EA1" w:rsidP="009E7EA1">
      <w:pPr>
        <w:spacing w:after="0" w:line="240" w:lineRule="auto"/>
        <w:rPr>
          <w:sz w:val="24"/>
          <w:szCs w:val="24"/>
        </w:rPr>
      </w:pPr>
      <w:r w:rsidRPr="002E19F8">
        <w:rPr>
          <w:sz w:val="24"/>
          <w:szCs w:val="24"/>
        </w:rPr>
        <w:t>Summary</w:t>
      </w:r>
    </w:p>
    <w:p w14:paraId="5B66AA5C" w14:textId="0DF38A20" w:rsidR="009E7EA1" w:rsidRPr="002E19F8" w:rsidRDefault="009E7EA1" w:rsidP="009E7EA1">
      <w:pPr>
        <w:spacing w:after="0" w:line="240" w:lineRule="auto"/>
        <w:rPr>
          <w:sz w:val="24"/>
          <w:szCs w:val="24"/>
        </w:rPr>
      </w:pPr>
      <w:r w:rsidRPr="002E19F8">
        <w:rPr>
          <w:sz w:val="24"/>
          <w:szCs w:val="24"/>
        </w:rPr>
        <w:t>Technical Notes</w:t>
      </w:r>
    </w:p>
    <w:p w14:paraId="4F298CAC" w14:textId="77777777" w:rsidR="00210523" w:rsidRDefault="00210523" w:rsidP="009E7EA1">
      <w:pPr>
        <w:spacing w:after="0" w:line="240" w:lineRule="auto"/>
        <w:rPr>
          <w:sz w:val="24"/>
          <w:szCs w:val="24"/>
        </w:rPr>
      </w:pPr>
    </w:p>
    <w:p w14:paraId="40DB6CC0" w14:textId="77777777" w:rsidR="00DC4830" w:rsidRDefault="00DC4830" w:rsidP="009E7EA1">
      <w:pPr>
        <w:spacing w:after="0" w:line="240" w:lineRule="auto"/>
        <w:rPr>
          <w:sz w:val="24"/>
          <w:szCs w:val="24"/>
        </w:rPr>
      </w:pPr>
    </w:p>
    <w:p w14:paraId="45F9DA5A" w14:textId="7CB6C3FE" w:rsidR="00467139" w:rsidRPr="002E19F8" w:rsidRDefault="00467139" w:rsidP="003F6E82">
      <w:pPr>
        <w:pStyle w:val="Heading1"/>
      </w:pPr>
      <w:bookmarkStart w:id="2" w:name="_Toc184132214"/>
      <w:r w:rsidRPr="002E19F8">
        <w:t>Slide 3 (title page)</w:t>
      </w:r>
      <w:r w:rsidR="00210523" w:rsidRPr="002E19F8">
        <w:t xml:space="preserve"> -</w:t>
      </w:r>
      <w:r w:rsidRPr="002E19F8">
        <w:t xml:space="preserve"> Chlamydia, Gonorrhea, and Infectious Syphilis: Years 2000 to 2022</w:t>
      </w:r>
      <w:bookmarkEnd w:id="2"/>
    </w:p>
    <w:p w14:paraId="247C33A1" w14:textId="77777777" w:rsidR="002E1099" w:rsidRPr="002E19F8" w:rsidRDefault="002E1099" w:rsidP="00467139">
      <w:pPr>
        <w:spacing w:after="0" w:line="240" w:lineRule="auto"/>
        <w:rPr>
          <w:b/>
          <w:sz w:val="24"/>
          <w:szCs w:val="24"/>
        </w:rPr>
      </w:pPr>
    </w:p>
    <w:p w14:paraId="2306CB26" w14:textId="77777777" w:rsidR="00D52B89" w:rsidRDefault="00D52B89" w:rsidP="00467139">
      <w:pPr>
        <w:spacing w:after="0" w:line="240" w:lineRule="auto"/>
        <w:rPr>
          <w:rFonts w:asciiTheme="majorHAnsi" w:hAnsiTheme="majorHAnsi" w:cstheme="majorHAnsi"/>
          <w:b/>
          <w:sz w:val="24"/>
          <w:szCs w:val="24"/>
        </w:rPr>
      </w:pPr>
    </w:p>
    <w:p w14:paraId="270F57C6" w14:textId="195944FC" w:rsidR="00D52B89" w:rsidRDefault="00D52B89" w:rsidP="00467139">
      <w:pPr>
        <w:spacing w:after="0" w:line="240" w:lineRule="auto"/>
        <w:rPr>
          <w:rFonts w:asciiTheme="majorHAnsi" w:hAnsiTheme="majorHAnsi" w:cstheme="majorHAnsi"/>
          <w:b/>
          <w:sz w:val="24"/>
          <w:szCs w:val="24"/>
        </w:rPr>
      </w:pPr>
    </w:p>
    <w:p w14:paraId="30AC76B9" w14:textId="77777777" w:rsidR="00D52B89" w:rsidRDefault="00D52B89" w:rsidP="00467139">
      <w:pPr>
        <w:spacing w:after="0" w:line="240" w:lineRule="auto"/>
        <w:rPr>
          <w:rFonts w:asciiTheme="majorHAnsi" w:hAnsiTheme="majorHAnsi" w:cstheme="majorHAnsi"/>
          <w:b/>
          <w:sz w:val="24"/>
          <w:szCs w:val="24"/>
        </w:rPr>
      </w:pPr>
    </w:p>
    <w:p w14:paraId="109B0843" w14:textId="77777777" w:rsidR="00D52B89" w:rsidRDefault="00D52B89" w:rsidP="00467139">
      <w:pPr>
        <w:spacing w:after="0" w:line="240" w:lineRule="auto"/>
        <w:rPr>
          <w:rFonts w:asciiTheme="majorHAnsi" w:hAnsiTheme="majorHAnsi" w:cstheme="majorHAnsi"/>
          <w:b/>
          <w:sz w:val="24"/>
          <w:szCs w:val="24"/>
        </w:rPr>
      </w:pPr>
    </w:p>
    <w:p w14:paraId="4AA50302" w14:textId="77777777" w:rsidR="00D52B89" w:rsidRDefault="00D52B89" w:rsidP="00467139">
      <w:pPr>
        <w:spacing w:after="0" w:line="240" w:lineRule="auto"/>
        <w:rPr>
          <w:rFonts w:asciiTheme="majorHAnsi" w:hAnsiTheme="majorHAnsi" w:cstheme="majorHAnsi"/>
          <w:b/>
          <w:sz w:val="24"/>
          <w:szCs w:val="24"/>
        </w:rPr>
      </w:pPr>
    </w:p>
    <w:p w14:paraId="0B43265B" w14:textId="38741A7F" w:rsidR="00467139" w:rsidRPr="002E19F8" w:rsidRDefault="00467139" w:rsidP="003F6E82">
      <w:pPr>
        <w:pStyle w:val="Heading1"/>
      </w:pPr>
      <w:bookmarkStart w:id="3" w:name="_Toc184132215"/>
      <w:r w:rsidRPr="002E19F8">
        <w:t>Slide 4 - Rate of Confirmed Chlamydia Cases, Massachusetts, 2000 to 202</w:t>
      </w:r>
      <w:r w:rsidR="002C6FAB">
        <w:t>3</w:t>
      </w:r>
      <w:r w:rsidRPr="002E19F8">
        <w:rPr>
          <w:vertAlign w:val="superscript"/>
        </w:rPr>
        <w:t>1</w:t>
      </w:r>
      <w:bookmarkEnd w:id="3"/>
    </w:p>
    <w:p w14:paraId="0BFC2530" w14:textId="5CF0957A" w:rsidR="0061225C" w:rsidRPr="002E19F8" w:rsidRDefault="003836A9" w:rsidP="52C804C8">
      <w:pPr>
        <w:spacing w:after="0" w:line="240" w:lineRule="auto"/>
        <w:rPr>
          <w:b/>
          <w:bCs/>
          <w:sz w:val="24"/>
          <w:szCs w:val="24"/>
        </w:rPr>
      </w:pPr>
      <w:r>
        <w:rPr>
          <w:b/>
          <w:bCs/>
          <w:noProof/>
          <w:sz w:val="24"/>
          <w:szCs w:val="24"/>
        </w:rPr>
        <w:drawing>
          <wp:inline distT="0" distB="0" distL="0" distR="0" wp14:anchorId="5F7960CF" wp14:editId="1BD4BAF3">
            <wp:extent cx="5939155" cy="1748155"/>
            <wp:effectExtent l="0" t="0" r="4445" b="4445"/>
            <wp:docPr id="1743428511" name="Picture 1743428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8511" name="Picture 174342851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1748155"/>
                    </a:xfrm>
                    <a:prstGeom prst="rect">
                      <a:avLst/>
                    </a:prstGeom>
                    <a:noFill/>
                    <a:ln>
                      <a:noFill/>
                    </a:ln>
                  </pic:spPr>
                </pic:pic>
              </a:graphicData>
            </a:graphic>
          </wp:inline>
        </w:drawing>
      </w:r>
    </w:p>
    <w:p w14:paraId="2136F31E" w14:textId="77777777" w:rsidR="002C6FAB" w:rsidRDefault="002C6FAB" w:rsidP="00467139">
      <w:pPr>
        <w:spacing w:after="0" w:line="240" w:lineRule="auto"/>
        <w:rPr>
          <w:b/>
          <w:sz w:val="24"/>
          <w:szCs w:val="24"/>
        </w:rPr>
      </w:pPr>
    </w:p>
    <w:p w14:paraId="48196054" w14:textId="592951E0" w:rsidR="0061225C" w:rsidRPr="002E19F8" w:rsidRDefault="00EC318C" w:rsidP="00467139">
      <w:pPr>
        <w:spacing w:after="0" w:line="240" w:lineRule="auto"/>
        <w:rPr>
          <w:b/>
          <w:sz w:val="24"/>
          <w:szCs w:val="24"/>
        </w:rPr>
      </w:pPr>
      <w:r w:rsidRPr="002E19F8">
        <w:rPr>
          <w:b/>
          <w:sz w:val="24"/>
          <w:szCs w:val="24"/>
        </w:rPr>
        <w:t xml:space="preserve">Table: </w:t>
      </w:r>
      <w:r w:rsidR="00BC4906" w:rsidRPr="002E19F8">
        <w:rPr>
          <w:b/>
          <w:sz w:val="24"/>
          <w:szCs w:val="24"/>
        </w:rPr>
        <w:t xml:space="preserve">Chlamydia </w:t>
      </w:r>
      <w:r w:rsidR="0061225C" w:rsidRPr="002E19F8">
        <w:rPr>
          <w:b/>
          <w:sz w:val="24"/>
          <w:szCs w:val="24"/>
        </w:rPr>
        <w:t xml:space="preserve">Annual Case </w:t>
      </w:r>
      <w:r w:rsidR="00BC4906" w:rsidRPr="002E19F8">
        <w:rPr>
          <w:b/>
          <w:sz w:val="24"/>
          <w:szCs w:val="24"/>
        </w:rPr>
        <w:t>C</w:t>
      </w:r>
      <w:r w:rsidR="0061225C" w:rsidRPr="002E19F8">
        <w:rPr>
          <w:b/>
          <w:sz w:val="24"/>
          <w:szCs w:val="24"/>
        </w:rPr>
        <w:t>ounts</w:t>
      </w:r>
    </w:p>
    <w:tbl>
      <w:tblPr>
        <w:tblW w:w="1920" w:type="dxa"/>
        <w:tblLook w:val="0420" w:firstRow="1" w:lastRow="0" w:firstColumn="0" w:lastColumn="0" w:noHBand="0" w:noVBand="1"/>
      </w:tblPr>
      <w:tblGrid>
        <w:gridCol w:w="960"/>
        <w:gridCol w:w="960"/>
      </w:tblGrid>
      <w:tr w:rsidR="00BC4906" w:rsidRPr="002E19F8" w14:paraId="5DA4AD5D" w14:textId="77777777" w:rsidTr="5E3DC1C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D9E08" w14:textId="77777777" w:rsidR="00BC4906" w:rsidRPr="002E19F8" w:rsidRDefault="00BC4906" w:rsidP="00BC4906">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894559A" w14:textId="77777777" w:rsidR="00BC4906" w:rsidRPr="002E19F8" w:rsidRDefault="00BC4906" w:rsidP="00BC4906">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BC4906" w:rsidRPr="002E19F8" w14:paraId="08A99319"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9BC06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960" w:type="dxa"/>
            <w:tcBorders>
              <w:top w:val="nil"/>
              <w:left w:val="nil"/>
              <w:bottom w:val="single" w:sz="4" w:space="0" w:color="auto"/>
              <w:right w:val="single" w:sz="4" w:space="0" w:color="auto"/>
            </w:tcBorders>
            <w:shd w:val="clear" w:color="auto" w:fill="auto"/>
            <w:vAlign w:val="bottom"/>
            <w:hideMark/>
          </w:tcPr>
          <w:p w14:paraId="1F2FD275"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9,872</w:t>
            </w:r>
          </w:p>
        </w:tc>
      </w:tr>
      <w:tr w:rsidR="00BC4906" w:rsidRPr="002E19F8" w14:paraId="6534C4FC"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7CC93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2001</w:t>
            </w:r>
          </w:p>
        </w:tc>
        <w:tc>
          <w:tcPr>
            <w:tcW w:w="960" w:type="dxa"/>
            <w:tcBorders>
              <w:top w:val="nil"/>
              <w:left w:val="nil"/>
              <w:bottom w:val="single" w:sz="4" w:space="0" w:color="auto"/>
              <w:right w:val="single" w:sz="4" w:space="0" w:color="auto"/>
            </w:tcBorders>
            <w:shd w:val="clear" w:color="auto" w:fill="auto"/>
            <w:vAlign w:val="bottom"/>
            <w:hideMark/>
          </w:tcPr>
          <w:p w14:paraId="0A4070D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9,969</w:t>
            </w:r>
          </w:p>
        </w:tc>
      </w:tr>
      <w:tr w:rsidR="00BC4906" w:rsidRPr="002E19F8" w14:paraId="03D368CB"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75E73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2002</w:t>
            </w:r>
          </w:p>
        </w:tc>
        <w:tc>
          <w:tcPr>
            <w:tcW w:w="960" w:type="dxa"/>
            <w:tcBorders>
              <w:top w:val="nil"/>
              <w:left w:val="nil"/>
              <w:bottom w:val="single" w:sz="4" w:space="0" w:color="auto"/>
              <w:right w:val="single" w:sz="4" w:space="0" w:color="auto"/>
            </w:tcBorders>
            <w:shd w:val="clear" w:color="auto" w:fill="auto"/>
            <w:vAlign w:val="bottom"/>
            <w:hideMark/>
          </w:tcPr>
          <w:p w14:paraId="2A330F0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10,755</w:t>
            </w:r>
          </w:p>
        </w:tc>
      </w:tr>
      <w:tr w:rsidR="00BC4906" w:rsidRPr="002E19F8" w14:paraId="34BB8F6F"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7D58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2003</w:t>
            </w:r>
          </w:p>
        </w:tc>
        <w:tc>
          <w:tcPr>
            <w:tcW w:w="960" w:type="dxa"/>
            <w:tcBorders>
              <w:top w:val="nil"/>
              <w:left w:val="nil"/>
              <w:bottom w:val="single" w:sz="4" w:space="0" w:color="auto"/>
              <w:right w:val="single" w:sz="4" w:space="0" w:color="auto"/>
            </w:tcBorders>
            <w:shd w:val="clear" w:color="auto" w:fill="auto"/>
            <w:vAlign w:val="bottom"/>
            <w:hideMark/>
          </w:tcPr>
          <w:p w14:paraId="0A77E5E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11,041</w:t>
            </w:r>
          </w:p>
        </w:tc>
      </w:tr>
      <w:tr w:rsidR="00BC4906" w:rsidRPr="002E19F8" w14:paraId="4ED332DB"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7A57D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2004</w:t>
            </w:r>
          </w:p>
        </w:tc>
        <w:tc>
          <w:tcPr>
            <w:tcW w:w="960" w:type="dxa"/>
            <w:tcBorders>
              <w:top w:val="nil"/>
              <w:left w:val="nil"/>
              <w:bottom w:val="single" w:sz="4" w:space="0" w:color="auto"/>
              <w:right w:val="single" w:sz="4" w:space="0" w:color="auto"/>
            </w:tcBorders>
            <w:shd w:val="clear" w:color="auto" w:fill="auto"/>
            <w:vAlign w:val="bottom"/>
            <w:hideMark/>
          </w:tcPr>
          <w:p w14:paraId="62897826"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13,120</w:t>
            </w:r>
          </w:p>
        </w:tc>
      </w:tr>
      <w:tr w:rsidR="00BC4906" w:rsidRPr="002E19F8" w14:paraId="0EA86EFD"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2C85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2005</w:t>
            </w:r>
          </w:p>
        </w:tc>
        <w:tc>
          <w:tcPr>
            <w:tcW w:w="960" w:type="dxa"/>
            <w:tcBorders>
              <w:top w:val="nil"/>
              <w:left w:val="nil"/>
              <w:bottom w:val="single" w:sz="4" w:space="0" w:color="auto"/>
              <w:right w:val="single" w:sz="4" w:space="0" w:color="auto"/>
            </w:tcBorders>
            <w:shd w:val="clear" w:color="auto" w:fill="auto"/>
            <w:vAlign w:val="bottom"/>
            <w:hideMark/>
          </w:tcPr>
          <w:p w14:paraId="5DDD523A"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14,386</w:t>
            </w:r>
          </w:p>
        </w:tc>
      </w:tr>
      <w:tr w:rsidR="00BC4906" w:rsidRPr="002E19F8" w14:paraId="0594F2CB"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B6934F"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2006</w:t>
            </w:r>
          </w:p>
        </w:tc>
        <w:tc>
          <w:tcPr>
            <w:tcW w:w="960" w:type="dxa"/>
            <w:tcBorders>
              <w:top w:val="nil"/>
              <w:left w:val="nil"/>
              <w:bottom w:val="single" w:sz="4" w:space="0" w:color="auto"/>
              <w:right w:val="single" w:sz="4" w:space="0" w:color="auto"/>
            </w:tcBorders>
            <w:shd w:val="clear" w:color="auto" w:fill="auto"/>
            <w:vAlign w:val="bottom"/>
            <w:hideMark/>
          </w:tcPr>
          <w:p w14:paraId="6D3E2EC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15,253</w:t>
            </w:r>
          </w:p>
        </w:tc>
      </w:tr>
      <w:tr w:rsidR="00BC4906" w:rsidRPr="002E19F8" w14:paraId="6A1592D7"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33044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2007</w:t>
            </w:r>
          </w:p>
        </w:tc>
        <w:tc>
          <w:tcPr>
            <w:tcW w:w="960" w:type="dxa"/>
            <w:tcBorders>
              <w:top w:val="nil"/>
              <w:left w:val="nil"/>
              <w:bottom w:val="single" w:sz="4" w:space="0" w:color="auto"/>
              <w:right w:val="single" w:sz="4" w:space="0" w:color="auto"/>
            </w:tcBorders>
            <w:shd w:val="clear" w:color="auto" w:fill="auto"/>
            <w:vAlign w:val="bottom"/>
            <w:hideMark/>
          </w:tcPr>
          <w:p w14:paraId="4637E9EA"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16,566</w:t>
            </w:r>
          </w:p>
        </w:tc>
      </w:tr>
      <w:tr w:rsidR="00BC4906" w:rsidRPr="002E19F8" w14:paraId="00C21AF4"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AF4454"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2008</w:t>
            </w:r>
          </w:p>
        </w:tc>
        <w:tc>
          <w:tcPr>
            <w:tcW w:w="960" w:type="dxa"/>
            <w:tcBorders>
              <w:top w:val="nil"/>
              <w:left w:val="nil"/>
              <w:bottom w:val="single" w:sz="4" w:space="0" w:color="auto"/>
              <w:right w:val="single" w:sz="4" w:space="0" w:color="auto"/>
            </w:tcBorders>
            <w:shd w:val="clear" w:color="auto" w:fill="auto"/>
            <w:vAlign w:val="bottom"/>
            <w:hideMark/>
          </w:tcPr>
          <w:p w14:paraId="56DD3EE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17,441</w:t>
            </w:r>
          </w:p>
        </w:tc>
      </w:tr>
      <w:tr w:rsidR="00BC4906" w:rsidRPr="002E19F8" w14:paraId="6FC9761D"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90B49E"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2009</w:t>
            </w:r>
          </w:p>
        </w:tc>
        <w:tc>
          <w:tcPr>
            <w:tcW w:w="960" w:type="dxa"/>
            <w:tcBorders>
              <w:top w:val="nil"/>
              <w:left w:val="nil"/>
              <w:bottom w:val="single" w:sz="4" w:space="0" w:color="auto"/>
              <w:right w:val="single" w:sz="4" w:space="0" w:color="auto"/>
            </w:tcBorders>
            <w:shd w:val="clear" w:color="auto" w:fill="auto"/>
            <w:vAlign w:val="bottom"/>
            <w:hideMark/>
          </w:tcPr>
          <w:p w14:paraId="176DF12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18,796</w:t>
            </w:r>
          </w:p>
        </w:tc>
      </w:tr>
      <w:tr w:rsidR="00BC4906" w:rsidRPr="002E19F8" w14:paraId="7EBCE3B5"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C53248"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auto"/>
            <w:vAlign w:val="bottom"/>
            <w:hideMark/>
          </w:tcPr>
          <w:p w14:paraId="0E26BA1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21,211</w:t>
            </w:r>
          </w:p>
        </w:tc>
      </w:tr>
      <w:tr w:rsidR="00BC4906" w:rsidRPr="002E19F8" w14:paraId="0F272C9A"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78862C"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auto"/>
            <w:vAlign w:val="bottom"/>
            <w:hideMark/>
          </w:tcPr>
          <w:p w14:paraId="3DC023B8"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22,851</w:t>
            </w:r>
          </w:p>
        </w:tc>
      </w:tr>
      <w:tr w:rsidR="00BC4906" w:rsidRPr="002E19F8" w14:paraId="5B87EE25"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6D2D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auto"/>
            <w:vAlign w:val="bottom"/>
            <w:hideMark/>
          </w:tcPr>
          <w:p w14:paraId="6E33FD4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23,930</w:t>
            </w:r>
          </w:p>
        </w:tc>
      </w:tr>
      <w:tr w:rsidR="00BC4906" w:rsidRPr="002E19F8" w14:paraId="167A709C"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C7F68F"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auto"/>
            <w:vAlign w:val="bottom"/>
            <w:hideMark/>
          </w:tcPr>
          <w:p w14:paraId="7A4A7BC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23,789</w:t>
            </w:r>
          </w:p>
        </w:tc>
      </w:tr>
      <w:tr w:rsidR="00BC4906" w:rsidRPr="002E19F8" w14:paraId="7608627E"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3ECDE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auto"/>
            <w:vAlign w:val="bottom"/>
            <w:hideMark/>
          </w:tcPr>
          <w:p w14:paraId="6E6D66A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24,143</w:t>
            </w:r>
          </w:p>
        </w:tc>
      </w:tr>
      <w:tr w:rsidR="00BC4906" w:rsidRPr="002E19F8" w14:paraId="638EB7C8"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77AC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auto"/>
            <w:vAlign w:val="bottom"/>
            <w:hideMark/>
          </w:tcPr>
          <w:p w14:paraId="2BEDF9A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23,944</w:t>
            </w:r>
          </w:p>
        </w:tc>
      </w:tr>
      <w:tr w:rsidR="00BC4906" w:rsidRPr="002E19F8" w14:paraId="366DFC51"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D5E20"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auto"/>
            <w:vAlign w:val="bottom"/>
            <w:hideMark/>
          </w:tcPr>
          <w:p w14:paraId="6880F61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26,478</w:t>
            </w:r>
          </w:p>
        </w:tc>
      </w:tr>
      <w:tr w:rsidR="00BC4906" w:rsidRPr="002E19F8" w14:paraId="5135FCCF"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758419"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auto"/>
            <w:vAlign w:val="bottom"/>
            <w:hideMark/>
          </w:tcPr>
          <w:p w14:paraId="1B59704D" w14:textId="1B53F208"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29,17</w:t>
            </w:r>
            <w:r w:rsidR="00645E1B" w:rsidRPr="002E19F8">
              <w:rPr>
                <w:rFonts w:eastAsia="Times New Roman"/>
                <w:color w:val="000000"/>
                <w:kern w:val="0"/>
                <w:sz w:val="24"/>
                <w:szCs w:val="24"/>
                <w14:ligatures w14:val="none"/>
              </w:rPr>
              <w:t>7</w:t>
            </w:r>
          </w:p>
        </w:tc>
      </w:tr>
      <w:tr w:rsidR="00BC4906" w:rsidRPr="002E19F8" w14:paraId="4BA1F06A"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06BF1"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auto"/>
            <w:vAlign w:val="bottom"/>
            <w:hideMark/>
          </w:tcPr>
          <w:p w14:paraId="1FA9AEC1" w14:textId="7EE44E7B"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30,36</w:t>
            </w:r>
            <w:r w:rsidR="00645E1B" w:rsidRPr="002E19F8">
              <w:rPr>
                <w:rFonts w:eastAsia="Times New Roman"/>
                <w:color w:val="000000"/>
                <w:kern w:val="0"/>
                <w:sz w:val="24"/>
                <w:szCs w:val="24"/>
                <w14:ligatures w14:val="none"/>
              </w:rPr>
              <w:t>0</w:t>
            </w:r>
          </w:p>
        </w:tc>
      </w:tr>
      <w:tr w:rsidR="00BC4906" w:rsidRPr="002E19F8" w14:paraId="7B618823"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90E53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auto"/>
            <w:vAlign w:val="bottom"/>
            <w:hideMark/>
          </w:tcPr>
          <w:p w14:paraId="37B6D04A" w14:textId="014F0402"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31,63</w:t>
            </w:r>
            <w:r w:rsidR="00645E1B" w:rsidRPr="002E19F8">
              <w:rPr>
                <w:rFonts w:eastAsia="Times New Roman"/>
                <w:color w:val="000000"/>
                <w:kern w:val="0"/>
                <w:sz w:val="24"/>
                <w:szCs w:val="24"/>
                <w14:ligatures w14:val="none"/>
              </w:rPr>
              <w:t>3</w:t>
            </w:r>
          </w:p>
        </w:tc>
      </w:tr>
      <w:tr w:rsidR="00BC4906" w:rsidRPr="002E19F8" w14:paraId="76A62B28" w14:textId="77777777" w:rsidTr="00BC4906">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09E13"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auto"/>
            <w:vAlign w:val="bottom"/>
            <w:hideMark/>
          </w:tcPr>
          <w:p w14:paraId="7DAD2660" w14:textId="35DFDFA9"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24,70</w:t>
            </w:r>
            <w:r w:rsidR="00645E1B" w:rsidRPr="002E19F8">
              <w:rPr>
                <w:rFonts w:eastAsia="Times New Roman"/>
                <w:color w:val="000000"/>
                <w:kern w:val="0"/>
                <w:sz w:val="24"/>
                <w:szCs w:val="24"/>
                <w14:ligatures w14:val="none"/>
              </w:rPr>
              <w:t>1</w:t>
            </w:r>
          </w:p>
        </w:tc>
      </w:tr>
      <w:tr w:rsidR="00BC4906" w:rsidRPr="002E19F8" w14:paraId="5CB5F0D7" w14:textId="77777777" w:rsidTr="5FD9922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D28827"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auto"/>
            <w:vAlign w:val="bottom"/>
            <w:hideMark/>
          </w:tcPr>
          <w:p w14:paraId="2ABE2C4B"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26,912</w:t>
            </w:r>
          </w:p>
        </w:tc>
      </w:tr>
      <w:tr w:rsidR="00BC4906" w:rsidRPr="002E19F8" w14:paraId="448B9E5E" w14:textId="77777777" w:rsidTr="003836A9">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55FC4"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auto"/>
            <w:vAlign w:val="bottom"/>
            <w:hideMark/>
          </w:tcPr>
          <w:p w14:paraId="5C97BF1D" w14:textId="77777777" w:rsidR="00BC4906" w:rsidRPr="002E19F8" w:rsidRDefault="00BC4906" w:rsidP="00BC4906">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28,384</w:t>
            </w:r>
          </w:p>
        </w:tc>
      </w:tr>
      <w:tr w:rsidR="003836A9" w:rsidRPr="002E19F8" w14:paraId="6560CF65" w14:textId="77777777" w:rsidTr="003836A9">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FFF2E" w14:textId="601249E5" w:rsidR="003836A9" w:rsidRPr="002E19F8" w:rsidRDefault="003836A9" w:rsidP="00BC4906">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auto"/>
            <w:vAlign w:val="bottom"/>
          </w:tcPr>
          <w:p w14:paraId="208D3CC3" w14:textId="10DD12FC" w:rsidR="003836A9" w:rsidRPr="002E19F8" w:rsidRDefault="006B7A22" w:rsidP="00BC4906">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28,910</w:t>
            </w:r>
          </w:p>
        </w:tc>
      </w:tr>
    </w:tbl>
    <w:p w14:paraId="143C5CD8" w14:textId="5B0901A9" w:rsidR="00D51711" w:rsidRDefault="00EC318C" w:rsidP="00F809E0">
      <w:pPr>
        <w:spacing w:before="240" w:after="0" w:line="240" w:lineRule="auto"/>
        <w:rPr>
          <w:sz w:val="24"/>
          <w:szCs w:val="24"/>
        </w:rPr>
      </w:pPr>
      <w:r w:rsidRPr="002E19F8">
        <w:rPr>
          <w:b/>
          <w:sz w:val="24"/>
          <w:szCs w:val="24"/>
        </w:rPr>
        <w:t>Highlights:</w:t>
      </w:r>
      <w:r w:rsidRPr="002E19F8">
        <w:rPr>
          <w:sz w:val="24"/>
          <w:szCs w:val="24"/>
        </w:rPr>
        <w:t xml:space="preserve"> </w:t>
      </w:r>
      <w:r w:rsidR="006B7A22" w:rsidRPr="006B7A22">
        <w:rPr>
          <w:sz w:val="24"/>
          <w:szCs w:val="24"/>
        </w:rPr>
        <w:t>Graph depicts the rate per 100,000 population of confirmed cases of chlamydia in Massachusetts between 2000 and 2023. It begins at low of 155.5 in 2000 and then climbs to a high of 454.1 in 2019. It drops to 382.8 in 2021, followed by a rise to 411.2 in 2023.</w:t>
      </w:r>
    </w:p>
    <w:p w14:paraId="0270C5F6" w14:textId="77777777" w:rsidR="00DE505E" w:rsidRPr="002E19F8" w:rsidRDefault="00DE505E" w:rsidP="00F809E0">
      <w:pPr>
        <w:spacing w:before="240" w:after="0" w:line="240" w:lineRule="auto"/>
        <w:rPr>
          <w:sz w:val="24"/>
          <w:szCs w:val="24"/>
        </w:rPr>
      </w:pPr>
    </w:p>
    <w:p w14:paraId="25AAF67B" w14:textId="7D367198" w:rsidR="00467139" w:rsidRPr="002E19F8" w:rsidRDefault="00467139" w:rsidP="52C804C8">
      <w:pPr>
        <w:spacing w:before="40" w:after="0" w:line="240" w:lineRule="auto"/>
        <w:rPr>
          <w:sz w:val="24"/>
          <w:szCs w:val="24"/>
        </w:rPr>
      </w:pPr>
      <w:r w:rsidRPr="002E19F8">
        <w:rPr>
          <w:b/>
          <w:sz w:val="24"/>
          <w:szCs w:val="24"/>
        </w:rPr>
        <w:t>Footnotes</w:t>
      </w:r>
      <w:r w:rsidR="30FAF9B7" w:rsidRPr="002E19F8">
        <w:rPr>
          <w:b/>
          <w:bCs/>
          <w:sz w:val="24"/>
          <w:szCs w:val="24"/>
        </w:rPr>
        <w:t xml:space="preserve"> For Slide 4</w:t>
      </w:r>
    </w:p>
    <w:p w14:paraId="025D6C83" w14:textId="77777777" w:rsidR="00DE505E" w:rsidRPr="00DE505E" w:rsidRDefault="00DE505E" w:rsidP="00DE505E">
      <w:pPr>
        <w:rPr>
          <w:sz w:val="24"/>
          <w:szCs w:val="24"/>
        </w:rPr>
      </w:pPr>
      <w:r w:rsidRPr="00DE505E">
        <w:rPr>
          <w:sz w:val="24"/>
          <w:szCs w:val="24"/>
        </w:rPr>
        <w:t>Data are current as of 08/01/2024 and are subject to change.</w:t>
      </w:r>
    </w:p>
    <w:p w14:paraId="55189C74" w14:textId="77777777" w:rsidR="00DE505E" w:rsidRPr="00DE505E" w:rsidRDefault="00DE505E" w:rsidP="00DE505E">
      <w:pPr>
        <w:rPr>
          <w:sz w:val="24"/>
          <w:szCs w:val="24"/>
        </w:rPr>
      </w:pPr>
      <w:r w:rsidRPr="00DE505E">
        <w:rPr>
          <w:sz w:val="24"/>
          <w:szCs w:val="24"/>
        </w:rPr>
        <w:t>Data Source: Massachusetts Department of Public Health/Bureau of Infectious Disease and Laboratory Sciences/ Division of STD Prevention and STD-HIV Surveillance. </w:t>
      </w:r>
    </w:p>
    <w:p w14:paraId="2C36F732" w14:textId="77777777" w:rsidR="00DE505E" w:rsidRPr="00DE505E" w:rsidRDefault="00DE505E" w:rsidP="00DE505E">
      <w:pPr>
        <w:rPr>
          <w:sz w:val="24"/>
          <w:szCs w:val="24"/>
        </w:rPr>
      </w:pPr>
      <w:r w:rsidRPr="00DE505E">
        <w:rPr>
          <w:sz w:val="24"/>
          <w:szCs w:val="24"/>
        </w:rPr>
        <w:t>Population denominators estimated by the University of Massachusetts Donahue Institute using a modified Hamilton-Perry model (Strate S, et al. Small Area Population Estimates for 2011 through 2020 report, Oct 2016).</w:t>
      </w:r>
    </w:p>
    <w:p w14:paraId="2967B0EA" w14:textId="6C64B985" w:rsidR="00DF5998" w:rsidRPr="00DE505E" w:rsidRDefault="00DE505E">
      <w:pPr>
        <w:rPr>
          <w:sz w:val="24"/>
          <w:szCs w:val="24"/>
        </w:rPr>
      </w:pPr>
      <w:r w:rsidRPr="00DE505E">
        <w:rPr>
          <w:sz w:val="24"/>
          <w:szCs w:val="24"/>
        </w:rPr>
        <w:t>1. Please consider the impact of the COVID-19 pandemic on infectious disease screening, treatment and surveillance in the interpretation of 2020-2023 data.</w:t>
      </w:r>
    </w:p>
    <w:p w14:paraId="6ED43AC8" w14:textId="4656BB91" w:rsidR="00BC4906" w:rsidRDefault="00467139" w:rsidP="00C6176E">
      <w:pPr>
        <w:pStyle w:val="Heading2"/>
        <w:rPr>
          <w:rStyle w:val="Heading2Char"/>
        </w:rPr>
      </w:pPr>
      <w:bookmarkStart w:id="4" w:name="_Toc184132216"/>
      <w:r w:rsidRPr="003F6E82">
        <w:rPr>
          <w:rStyle w:val="Heading2Char"/>
        </w:rPr>
        <w:t xml:space="preserve">Slide 5 - </w:t>
      </w:r>
      <w:r w:rsidR="007824BD" w:rsidRPr="007824BD">
        <w:t>Rate of Confirmed Chlamydia Cases by Gender</w:t>
      </w:r>
      <w:r w:rsidR="007824BD" w:rsidRPr="007824BD">
        <w:rPr>
          <w:vertAlign w:val="superscript"/>
        </w:rPr>
        <w:t>1</w:t>
      </w:r>
      <w:r w:rsidR="007824BD" w:rsidRPr="007824BD">
        <w:t>,</w:t>
      </w:r>
      <w:r w:rsidR="007824BD" w:rsidRPr="007824BD">
        <w:rPr>
          <w:vertAlign w:val="superscript"/>
        </w:rPr>
        <w:t xml:space="preserve"> </w:t>
      </w:r>
      <w:r w:rsidR="007824BD" w:rsidRPr="007824BD">
        <w:t>Massachusetts, 2010 to 2023</w:t>
      </w:r>
      <w:r w:rsidR="007824BD" w:rsidRPr="007824BD">
        <w:rPr>
          <w:vertAlign w:val="superscript"/>
        </w:rPr>
        <w:t>2</w:t>
      </w:r>
      <w:bookmarkEnd w:id="4"/>
    </w:p>
    <w:p w14:paraId="33A5633F" w14:textId="5BE0785C" w:rsidR="00BC4906" w:rsidRPr="002E19F8" w:rsidRDefault="00116E0D" w:rsidP="57CE8043">
      <w:pPr>
        <w:spacing w:after="0" w:line="240" w:lineRule="auto"/>
        <w:rPr>
          <w:b/>
          <w:sz w:val="24"/>
          <w:szCs w:val="24"/>
        </w:rPr>
      </w:pPr>
      <w:r>
        <w:rPr>
          <w:b/>
          <w:noProof/>
          <w:sz w:val="24"/>
          <w:szCs w:val="24"/>
        </w:rPr>
        <w:drawing>
          <wp:inline distT="0" distB="0" distL="0" distR="0" wp14:anchorId="35EC2FAD" wp14:editId="4B14B23A">
            <wp:extent cx="5939155" cy="1710055"/>
            <wp:effectExtent l="0" t="0" r="4445" b="4445"/>
            <wp:docPr id="1659707608" name="Picture 1659707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7608" name="Picture 165970760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1710055"/>
                    </a:xfrm>
                    <a:prstGeom prst="rect">
                      <a:avLst/>
                    </a:prstGeom>
                    <a:noFill/>
                    <a:ln>
                      <a:noFill/>
                    </a:ln>
                  </pic:spPr>
                </pic:pic>
              </a:graphicData>
            </a:graphic>
          </wp:inline>
        </w:drawing>
      </w:r>
      <w:r w:rsidR="00EC318C" w:rsidRPr="002E19F8">
        <w:rPr>
          <w:b/>
          <w:sz w:val="24"/>
          <w:szCs w:val="24"/>
        </w:rPr>
        <w:t xml:space="preserve">Table: </w:t>
      </w:r>
      <w:r w:rsidR="00BC4906" w:rsidRPr="002E19F8">
        <w:rPr>
          <w:b/>
          <w:sz w:val="24"/>
          <w:szCs w:val="24"/>
        </w:rPr>
        <w:t>Chlamydia Annual Case Counts by Current Gender</w:t>
      </w:r>
    </w:p>
    <w:tbl>
      <w:tblPr>
        <w:tblW w:w="2880" w:type="dxa"/>
        <w:tblLook w:val="04A0" w:firstRow="1" w:lastRow="0" w:firstColumn="1" w:lastColumn="0" w:noHBand="0" w:noVBand="1"/>
      </w:tblPr>
      <w:tblGrid>
        <w:gridCol w:w="910"/>
        <w:gridCol w:w="1050"/>
        <w:gridCol w:w="920"/>
      </w:tblGrid>
      <w:tr w:rsidR="002F30AB" w:rsidRPr="002E19F8" w14:paraId="56595B80"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2DF76"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 xml:space="preserve">Year </w:t>
            </w:r>
            <w:r w:rsidRPr="002E19F8">
              <w:rPr>
                <w:rFonts w:ascii="Calibri" w:eastAsia="Times New Roman" w:hAnsi="Calibri" w:cs="Calibri"/>
                <w:color w:val="000000"/>
                <w:kern w:val="0"/>
                <w:sz w:val="24"/>
                <w:szCs w:val="24"/>
                <w14:ligatures w14:val="none"/>
              </w:rPr>
              <w:t xml:space="preserve"> </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389FB"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Females</w:t>
            </w:r>
            <w:r w:rsidRPr="002E19F8">
              <w:rPr>
                <w:rFonts w:ascii="Calibri" w:eastAsia="Times New Roman" w:hAnsi="Calibri" w:cs="Calibri"/>
                <w:color w:val="000000"/>
                <w:kern w:val="0"/>
                <w:sz w:val="24"/>
                <w:szCs w:val="24"/>
                <w14:ligatures w14:val="none"/>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315366" w14:textId="77777777" w:rsidR="002F30AB" w:rsidRPr="002E19F8" w:rsidRDefault="002F30AB" w:rsidP="002F30A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Males</w:t>
            </w:r>
            <w:r w:rsidRPr="002E19F8">
              <w:rPr>
                <w:rFonts w:ascii="Calibri" w:eastAsia="Times New Roman" w:hAnsi="Calibri" w:cs="Calibri"/>
                <w:color w:val="000000"/>
                <w:kern w:val="0"/>
                <w:sz w:val="24"/>
                <w:szCs w:val="24"/>
                <w14:ligatures w14:val="none"/>
              </w:rPr>
              <w:t xml:space="preserve"> </w:t>
            </w:r>
          </w:p>
        </w:tc>
      </w:tr>
      <w:tr w:rsidR="002F30AB" w:rsidRPr="002E19F8" w14:paraId="48BA795E"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82979"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BD6FB" w14:textId="200BEFE8" w:rsidR="002F30AB" w:rsidRPr="002E19F8" w:rsidRDefault="00626FE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w:t>
            </w:r>
            <w:r w:rsidR="002F30AB" w:rsidRPr="002E19F8">
              <w:rPr>
                <w:rFonts w:ascii="Calibri" w:eastAsia="Times New Roman" w:hAnsi="Calibri" w:cs="Calibri"/>
                <w:color w:val="000000"/>
                <w:kern w:val="0"/>
                <w:sz w:val="24"/>
                <w:szCs w:val="24"/>
                <w14:ligatures w14:val="none"/>
              </w:rPr>
              <w:t>4</w:t>
            </w:r>
            <w:r w:rsidR="00E40391">
              <w:rPr>
                <w:rFonts w:ascii="Calibri" w:eastAsia="Times New Roman" w:hAnsi="Calibri" w:cs="Calibri"/>
                <w:color w:val="000000"/>
                <w:kern w:val="0"/>
                <w:sz w:val="24"/>
                <w:szCs w:val="24"/>
                <w14:ligatures w14:val="none"/>
              </w:rPr>
              <w:t>,795</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334B8" w14:textId="37768206" w:rsidR="002F30AB" w:rsidRPr="002E19F8" w:rsidRDefault="00E40391"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6,392</w:t>
            </w:r>
          </w:p>
        </w:tc>
      </w:tr>
      <w:tr w:rsidR="002F30AB" w:rsidRPr="002E19F8" w14:paraId="62080857"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EF52C" w14:textId="77777777" w:rsidR="002F30AB" w:rsidRPr="002E19F8" w:rsidRDefault="002F30AB" w:rsidP="002F30A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073A7" w14:textId="5D0E40C3" w:rsidR="002F30AB" w:rsidRPr="002E19F8" w:rsidRDefault="00E40391"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15,803</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178E6" w14:textId="1072196F" w:rsidR="002F30AB" w:rsidRPr="002E19F8" w:rsidRDefault="00E40391"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7,302</w:t>
            </w:r>
          </w:p>
        </w:tc>
      </w:tr>
      <w:tr w:rsidR="00626FED" w:rsidRPr="002E19F8" w14:paraId="54D11ECC"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DAF4"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C0AB51" w14:textId="22829D78"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16,590</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912C0" w14:textId="2F995A33"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7,302</w:t>
            </w:r>
          </w:p>
        </w:tc>
      </w:tr>
      <w:tr w:rsidR="00626FED" w:rsidRPr="002E19F8" w14:paraId="72BCBEB5"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6A26"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01F2D" w14:textId="37964948"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16,275</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8E66D" w14:textId="01F15211"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7,494</w:t>
            </w:r>
          </w:p>
        </w:tc>
      </w:tr>
      <w:tr w:rsidR="00626FED" w:rsidRPr="002E19F8" w14:paraId="0197BE4E"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D2129"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E0208" w14:textId="11327BA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15,781</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0A21B" w14:textId="2E2D6ECC"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8,258</w:t>
            </w:r>
          </w:p>
        </w:tc>
      </w:tr>
      <w:tr w:rsidR="00626FED" w:rsidRPr="002E19F8" w14:paraId="5D7C36CB"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C574E"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222F" w14:textId="46A11CA5"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15,489</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5211A7" w14:textId="53B78562"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8,414</w:t>
            </w:r>
          </w:p>
        </w:tc>
      </w:tr>
      <w:tr w:rsidR="00626FED" w:rsidRPr="002E19F8" w14:paraId="4812DC04"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DECB"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5CB71" w14:textId="7D8EF4C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17,094</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A82A5" w14:textId="0FCBC4A4"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9,318</w:t>
            </w:r>
          </w:p>
        </w:tc>
      </w:tr>
      <w:tr w:rsidR="00626FED" w:rsidRPr="002E19F8" w14:paraId="50D99F16"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F6AC2"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F5E22" w14:textId="147846E1"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18,644</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B0708" w14:textId="78B15079"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10,463</w:t>
            </w:r>
          </w:p>
        </w:tc>
      </w:tr>
      <w:tr w:rsidR="00626FED" w:rsidRPr="002E19F8" w14:paraId="76F97CCA"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8FF62"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A3E20" w14:textId="71095161"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19,062</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9E1E34" w14:textId="17A9A039"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11,252</w:t>
            </w:r>
          </w:p>
        </w:tc>
      </w:tr>
      <w:tr w:rsidR="00626FED" w:rsidRPr="002E19F8" w14:paraId="14E353BC"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551A9"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A990A" w14:textId="47372F4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19,408</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DC389" w14:textId="3BDA66DA"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12,155</w:t>
            </w:r>
          </w:p>
        </w:tc>
      </w:tr>
      <w:tr w:rsidR="00626FED" w:rsidRPr="002E19F8" w14:paraId="7A8FB580"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01B86"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CE7C7" w14:textId="0F745098"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15,677</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54A01F" w14:textId="6F1BE2B8"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8,949</w:t>
            </w:r>
          </w:p>
        </w:tc>
      </w:tr>
      <w:tr w:rsidR="00626FED" w:rsidRPr="002E19F8" w14:paraId="04FD7E05"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2F372"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257AC" w14:textId="6BDB9F74"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16,799</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A33AF" w14:textId="6AB3A79C"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9,989</w:t>
            </w:r>
          </w:p>
        </w:tc>
      </w:tr>
      <w:tr w:rsidR="00626FED" w:rsidRPr="002E19F8" w14:paraId="5EA12C63"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83733" w14:textId="7777777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A478B" w14:textId="5DF61974"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17,388</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752D2" w14:textId="1219C247" w:rsidR="00626FED" w:rsidRPr="002E19F8" w:rsidRDefault="00626FED" w:rsidP="00626FED">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10,928</w:t>
            </w:r>
          </w:p>
        </w:tc>
      </w:tr>
      <w:tr w:rsidR="00116E0D" w:rsidRPr="002E19F8" w14:paraId="71AC6E45" w14:textId="77777777" w:rsidTr="6AFD1A91">
        <w:trPr>
          <w:trHeight w:val="32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9DBF64E" w14:textId="0AF133F6" w:rsidR="00116E0D" w:rsidRPr="002E19F8" w:rsidRDefault="00116E0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4EFAB" w14:textId="5DE6E1FF" w:rsidR="00116E0D" w:rsidRPr="002E19F8" w:rsidRDefault="00626FE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17,675</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B4B17" w14:textId="7FB4F71F" w:rsidR="00116E0D" w:rsidRPr="002E19F8" w:rsidRDefault="00626FED" w:rsidP="002F30A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11,194</w:t>
            </w:r>
          </w:p>
        </w:tc>
      </w:tr>
    </w:tbl>
    <w:p w14:paraId="00B8D2E1" w14:textId="77777777" w:rsidR="002C6FAB" w:rsidRPr="002C6FAB" w:rsidRDefault="00EC318C" w:rsidP="002C6FAB">
      <w:pPr>
        <w:spacing w:before="240"/>
        <w:rPr>
          <w:sz w:val="24"/>
          <w:szCs w:val="24"/>
        </w:rPr>
      </w:pPr>
      <w:r w:rsidRPr="005658B3">
        <w:rPr>
          <w:b/>
          <w:sz w:val="24"/>
          <w:szCs w:val="24"/>
        </w:rPr>
        <w:t>Highlights:</w:t>
      </w:r>
      <w:r w:rsidRPr="005658B3">
        <w:rPr>
          <w:sz w:val="24"/>
          <w:szCs w:val="24"/>
        </w:rPr>
        <w:t xml:space="preserve"> </w:t>
      </w:r>
      <w:r w:rsidR="002C6FAB" w:rsidRPr="002C6FAB">
        <w:rPr>
          <w:sz w:val="24"/>
          <w:szCs w:val="24"/>
        </w:rPr>
        <w:t>Graph depicts the rates per 100,000 population of chlamydia in Massachusetts by gender identity between 2012 and 2023. There are two lines, one for females that begins at 437.6 in 2010 and climbs to 541.5 in 2019 and another for males that begins at 201.9 in 2010 and climbs to 359.4 in 2019. In 2023, females had a rate of 488.4 and males had a rate of 328.2.</w:t>
      </w:r>
    </w:p>
    <w:p w14:paraId="4AAE9DBA" w14:textId="1367B4B9" w:rsidR="007E504C" w:rsidRPr="005658B3" w:rsidRDefault="002C6FAB" w:rsidP="002C6FAB">
      <w:pPr>
        <w:spacing w:before="240"/>
        <w:rPr>
          <w:sz w:val="24"/>
          <w:szCs w:val="24"/>
        </w:rPr>
      </w:pPr>
      <w:r w:rsidRPr="002C6FAB">
        <w:rPr>
          <w:sz w:val="24"/>
          <w:szCs w:val="24"/>
        </w:rPr>
        <w:t>Note: There were cases reported among transgender individuals in 2014 through 2023. In 2023, there were 20 cases of chlamydia among transgender identified individuals not included on this slide.</w:t>
      </w:r>
    </w:p>
    <w:p w14:paraId="13F36EB4" w14:textId="7955EC60" w:rsidR="00467139" w:rsidRPr="002E19F8" w:rsidRDefault="00467139" w:rsidP="52C804C8">
      <w:pPr>
        <w:spacing w:after="0" w:line="240" w:lineRule="auto"/>
        <w:rPr>
          <w:sz w:val="24"/>
          <w:szCs w:val="24"/>
        </w:rPr>
      </w:pPr>
      <w:r w:rsidRPr="002E19F8">
        <w:rPr>
          <w:b/>
          <w:sz w:val="24"/>
          <w:szCs w:val="24"/>
        </w:rPr>
        <w:t>Footnotes</w:t>
      </w:r>
      <w:r w:rsidR="073ED969" w:rsidRPr="002E19F8">
        <w:rPr>
          <w:b/>
          <w:bCs/>
          <w:sz w:val="24"/>
          <w:szCs w:val="24"/>
        </w:rPr>
        <w:t xml:space="preserve"> For Slide 5</w:t>
      </w:r>
    </w:p>
    <w:p w14:paraId="1E2DFECC" w14:textId="77777777" w:rsidR="0099463E" w:rsidRPr="0099463E" w:rsidRDefault="0099463E" w:rsidP="0099463E">
      <w:pPr>
        <w:spacing w:after="0" w:line="240" w:lineRule="auto"/>
        <w:rPr>
          <w:sz w:val="24"/>
          <w:szCs w:val="24"/>
        </w:rPr>
      </w:pPr>
      <w:r w:rsidRPr="0099463E">
        <w:rPr>
          <w:sz w:val="24"/>
          <w:szCs w:val="24"/>
        </w:rPr>
        <w:t>Data are current as of 08/01/2024 and are subject to change.</w:t>
      </w:r>
    </w:p>
    <w:p w14:paraId="65948FEE" w14:textId="77777777" w:rsidR="0099463E" w:rsidRPr="0099463E" w:rsidRDefault="0099463E" w:rsidP="0099463E">
      <w:pPr>
        <w:spacing w:after="0" w:line="240" w:lineRule="auto"/>
        <w:rPr>
          <w:sz w:val="24"/>
          <w:szCs w:val="24"/>
        </w:rPr>
      </w:pPr>
      <w:r w:rsidRPr="0099463E">
        <w:rPr>
          <w:sz w:val="24"/>
          <w:szCs w:val="24"/>
        </w:rPr>
        <w:t>Data Source: Massachusetts Department of Public Health/Bureau of Infectious Disease and Laboratory Sciences/ Division of STD Prevention and STD-HIV Surveillance. </w:t>
      </w:r>
    </w:p>
    <w:p w14:paraId="0F6283AB" w14:textId="77777777" w:rsidR="0099463E" w:rsidRPr="0099463E" w:rsidRDefault="0099463E" w:rsidP="0099463E">
      <w:pPr>
        <w:spacing w:after="0" w:line="240" w:lineRule="auto"/>
        <w:rPr>
          <w:sz w:val="24"/>
          <w:szCs w:val="24"/>
        </w:rPr>
      </w:pPr>
      <w:r w:rsidRPr="0099463E">
        <w:rPr>
          <w:sz w:val="24"/>
          <w:szCs w:val="24"/>
        </w:rPr>
        <w:t>Population denominators estimated by the University of Massachusetts Donahue Institute using a modified Hamilton-Perry model (Strate S, et al. Small Area Population Estimates for 2011 through 2020 report, Oct 2016).</w:t>
      </w:r>
    </w:p>
    <w:p w14:paraId="5161E14E" w14:textId="77777777" w:rsidR="0099463E" w:rsidRPr="0099463E" w:rsidRDefault="0099463E" w:rsidP="0099463E">
      <w:pPr>
        <w:spacing w:after="0" w:line="240" w:lineRule="auto"/>
        <w:rPr>
          <w:sz w:val="24"/>
          <w:szCs w:val="24"/>
        </w:rPr>
      </w:pPr>
      <w:r w:rsidRPr="0099463E">
        <w:rPr>
          <w:sz w:val="24"/>
          <w:szCs w:val="24"/>
        </w:rPr>
        <w:t xml:space="preserve">1. In 2023, there were 20 individuals of transgender experience reported in our data system who do not have current gender documented. These cases were excluded since population estimates for individuals of transgender experience are not available at this time.  There were 21 other individuals with unknown gender which are not included in this slide. </w:t>
      </w:r>
    </w:p>
    <w:p w14:paraId="330D514B" w14:textId="77777777" w:rsidR="0099463E" w:rsidRPr="0099463E" w:rsidRDefault="0099463E" w:rsidP="0099463E">
      <w:pPr>
        <w:spacing w:after="0" w:line="240" w:lineRule="auto"/>
        <w:rPr>
          <w:sz w:val="24"/>
          <w:szCs w:val="24"/>
        </w:rPr>
      </w:pPr>
      <w:r w:rsidRPr="0099463E">
        <w:rPr>
          <w:sz w:val="24"/>
          <w:szCs w:val="24"/>
        </w:rPr>
        <w:t>2. Please consider the impact of the COVID-19 pandemic on infectious disease screening, treatment and surveillance in the interpretation of 2020-2023 data.</w:t>
      </w:r>
    </w:p>
    <w:p w14:paraId="57E5731A" w14:textId="77777777" w:rsidR="00B12457" w:rsidRPr="002E19F8" w:rsidRDefault="00B12457" w:rsidP="00467139">
      <w:pPr>
        <w:spacing w:after="0" w:line="240" w:lineRule="auto"/>
        <w:rPr>
          <w:sz w:val="24"/>
          <w:szCs w:val="24"/>
        </w:rPr>
      </w:pPr>
    </w:p>
    <w:p w14:paraId="53615F46" w14:textId="1DEB96ED" w:rsidR="00467139" w:rsidRPr="002E19F8" w:rsidRDefault="00467139" w:rsidP="003F6E82">
      <w:pPr>
        <w:pStyle w:val="Heading2"/>
        <w:rPr>
          <w:vertAlign w:val="superscript"/>
        </w:rPr>
      </w:pPr>
      <w:bookmarkStart w:id="5" w:name="_Toc184132217"/>
      <w:r w:rsidRPr="002E19F8">
        <w:t>Slide 6 - Chlamydia among Individuals of Transgender Experience,</w:t>
      </w:r>
      <w:r w:rsidRPr="002E19F8">
        <w:rPr>
          <w:vertAlign w:val="superscript"/>
        </w:rPr>
        <w:t>1,2</w:t>
      </w:r>
      <w:r w:rsidRPr="002E19F8">
        <w:t xml:space="preserve"> Massachusetts, 2015 to 202</w:t>
      </w:r>
      <w:r w:rsidR="002C6FAB">
        <w:t>3</w:t>
      </w:r>
      <w:r w:rsidRPr="002E19F8">
        <w:rPr>
          <w:vertAlign w:val="superscript"/>
        </w:rPr>
        <w:t>3</w:t>
      </w:r>
      <w:bookmarkEnd w:id="5"/>
    </w:p>
    <w:p w14:paraId="423BF8C2" w14:textId="2FF323F7" w:rsidR="00EC318C" w:rsidRPr="002E19F8" w:rsidRDefault="002C6FAB" w:rsidP="00467139">
      <w:pPr>
        <w:spacing w:after="0" w:line="240" w:lineRule="auto"/>
        <w:rPr>
          <w:b/>
          <w:sz w:val="24"/>
          <w:szCs w:val="24"/>
        </w:rPr>
      </w:pPr>
      <w:r w:rsidRPr="002C6FAB">
        <w:rPr>
          <w:b/>
          <w:noProof/>
          <w:sz w:val="24"/>
          <w:szCs w:val="24"/>
        </w:rPr>
        <w:drawing>
          <wp:inline distT="0" distB="0" distL="0" distR="0" wp14:anchorId="1DB77600" wp14:editId="6AB70F91">
            <wp:extent cx="5943600" cy="2385695"/>
            <wp:effectExtent l="0" t="0" r="0" b="0"/>
            <wp:docPr id="528622244" name="Picture 528622244" descr="Graph shows the number of chlamydia cases among transgender individuals in Massachusetts between 2015 and 2023. The case counts 7, 21, 33, 57, 73, 64, 75, 78, and 72 for 2015, 2016, 2017, 2018, 2019, 2020, 2021, 2022, and 2023, respectively.">
              <a:extLst xmlns:a="http://schemas.openxmlformats.org/drawingml/2006/main">
                <a:ext uri="{FF2B5EF4-FFF2-40B4-BE49-F238E27FC236}">
                  <a16:creationId xmlns:a16="http://schemas.microsoft.com/office/drawing/2014/main" id="{5A2BD332-162B-7DAF-2E9F-B0B91C317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 shows the number of chlamydia cases among transgender individuals in Massachusetts between 2015 and 2023. The case counts 7, 21, 33, 57, 73, 64, 75, 78, and 72 for 2015, 2016, 2017, 2018, 2019, 2020, 2021, 2022, and 2023, respectively.">
                      <a:extLst>
                        <a:ext uri="{FF2B5EF4-FFF2-40B4-BE49-F238E27FC236}">
                          <a16:creationId xmlns:a16="http://schemas.microsoft.com/office/drawing/2014/main" id="{5A2BD332-162B-7DAF-2E9F-B0B91C317BF4}"/>
                        </a:ext>
                      </a:extLst>
                    </pic:cNvPr>
                    <pic:cNvPicPr>
                      <a:picLocks noChangeAspect="1"/>
                    </pic:cNvPicPr>
                  </pic:nvPicPr>
                  <pic:blipFill>
                    <a:blip r:embed="rId10"/>
                    <a:stretch>
                      <a:fillRect/>
                    </a:stretch>
                  </pic:blipFill>
                  <pic:spPr>
                    <a:xfrm>
                      <a:off x="0" y="0"/>
                      <a:ext cx="5943600" cy="2385695"/>
                    </a:xfrm>
                    <a:prstGeom prst="rect">
                      <a:avLst/>
                    </a:prstGeom>
                  </pic:spPr>
                </pic:pic>
              </a:graphicData>
            </a:graphic>
          </wp:inline>
        </w:drawing>
      </w:r>
    </w:p>
    <w:p w14:paraId="25FD2130" w14:textId="681BF593" w:rsidR="007E504C" w:rsidRPr="002E19F8" w:rsidRDefault="00467139" w:rsidP="52C804C8">
      <w:pPr>
        <w:spacing w:line="240" w:lineRule="auto"/>
        <w:rPr>
          <w:sz w:val="24"/>
          <w:szCs w:val="24"/>
        </w:rPr>
      </w:pPr>
      <w:r w:rsidRPr="002E19F8">
        <w:rPr>
          <w:b/>
          <w:sz w:val="24"/>
          <w:szCs w:val="24"/>
        </w:rPr>
        <w:t>Highlights:</w:t>
      </w:r>
      <w:r w:rsidR="00233563" w:rsidRPr="00233563">
        <w:t xml:space="preserve"> </w:t>
      </w:r>
      <w:r w:rsidR="00233563" w:rsidRPr="00233563">
        <w:rPr>
          <w:sz w:val="24"/>
          <w:szCs w:val="24"/>
        </w:rPr>
        <w:t>Graph shows the number of chlamydia cases among transgender individuals in Massachusetts between 2015 and 2023. The case counts 7, 21, 33, 57, 73, 64, 75, 78, and 72 for 2015, 2016, 2017, 2018, 2019, 2020, 2021, 2022, and 2023, respectively. </w:t>
      </w:r>
    </w:p>
    <w:p w14:paraId="0974832F" w14:textId="77777777" w:rsidR="00467139" w:rsidRPr="002E19F8" w:rsidRDefault="00467139" w:rsidP="00467139">
      <w:pPr>
        <w:spacing w:after="0" w:line="240" w:lineRule="auto"/>
        <w:rPr>
          <w:sz w:val="24"/>
          <w:szCs w:val="24"/>
        </w:rPr>
      </w:pPr>
    </w:p>
    <w:p w14:paraId="75A967BC" w14:textId="07B516A0" w:rsidR="00467139" w:rsidRPr="002E19F8" w:rsidRDefault="00467139" w:rsidP="52C804C8">
      <w:pPr>
        <w:spacing w:after="0" w:line="240" w:lineRule="auto"/>
        <w:rPr>
          <w:b/>
          <w:bCs/>
          <w:sz w:val="24"/>
          <w:szCs w:val="24"/>
        </w:rPr>
      </w:pPr>
      <w:r w:rsidRPr="002E19F8">
        <w:rPr>
          <w:b/>
          <w:sz w:val="24"/>
          <w:szCs w:val="24"/>
        </w:rPr>
        <w:t>Footnotes</w:t>
      </w:r>
      <w:r w:rsidR="2DCECB12" w:rsidRPr="002E19F8">
        <w:rPr>
          <w:b/>
          <w:bCs/>
          <w:sz w:val="24"/>
          <w:szCs w:val="24"/>
        </w:rPr>
        <w:t xml:space="preserve"> for Slide 6</w:t>
      </w:r>
    </w:p>
    <w:p w14:paraId="7A0D6B75" w14:textId="7E027A5F" w:rsidR="00233563" w:rsidRPr="00233563" w:rsidRDefault="00233563" w:rsidP="00233563">
      <w:pPr>
        <w:spacing w:after="0" w:line="240" w:lineRule="auto"/>
        <w:rPr>
          <w:sz w:val="24"/>
          <w:szCs w:val="24"/>
        </w:rPr>
      </w:pPr>
      <w:r w:rsidRPr="00233563">
        <w:rPr>
          <w:sz w:val="24"/>
          <w:szCs w:val="24"/>
        </w:rPr>
        <w:t>Data are current as of 08/01/2024 and are subject to change. </w:t>
      </w:r>
    </w:p>
    <w:p w14:paraId="6FE05BF1" w14:textId="77777777" w:rsidR="00233563" w:rsidRPr="00233563" w:rsidRDefault="00233563" w:rsidP="00233563">
      <w:pPr>
        <w:spacing w:after="0" w:line="240" w:lineRule="auto"/>
        <w:rPr>
          <w:sz w:val="24"/>
          <w:szCs w:val="24"/>
        </w:rPr>
      </w:pPr>
      <w:r w:rsidRPr="00233563">
        <w:rPr>
          <w:sz w:val="24"/>
          <w:szCs w:val="24"/>
        </w:rPr>
        <w:t>Data Source: Massachusetts Department of Public Health/Bureau of Infectious Disease and Laboratory Sciences/ Division of STD Prevention and STD-HIV Surveillance.</w:t>
      </w:r>
    </w:p>
    <w:p w14:paraId="7E8AE93F" w14:textId="77777777" w:rsidR="00FA00DB" w:rsidRDefault="00233563" w:rsidP="00233563">
      <w:pPr>
        <w:pStyle w:val="ListParagraph"/>
        <w:numPr>
          <w:ilvl w:val="0"/>
          <w:numId w:val="22"/>
        </w:numPr>
        <w:spacing w:after="0" w:line="240" w:lineRule="auto"/>
        <w:rPr>
          <w:sz w:val="24"/>
          <w:szCs w:val="24"/>
        </w:rPr>
      </w:pPr>
      <w:r w:rsidRPr="00FA00DB">
        <w:rPr>
          <w:sz w:val="24"/>
          <w:szCs w:val="24"/>
        </w:rPr>
        <w:t>Prior to 2015 MA DSTDP was not able to capture expanded gender identity including individuals of transgender experience within our data system.</w:t>
      </w:r>
    </w:p>
    <w:p w14:paraId="658181AF" w14:textId="77777777" w:rsidR="00FA00DB" w:rsidRDefault="00233563" w:rsidP="00233563">
      <w:pPr>
        <w:pStyle w:val="ListParagraph"/>
        <w:numPr>
          <w:ilvl w:val="0"/>
          <w:numId w:val="22"/>
        </w:numPr>
        <w:spacing w:after="0" w:line="240" w:lineRule="auto"/>
        <w:rPr>
          <w:sz w:val="24"/>
          <w:szCs w:val="24"/>
        </w:rPr>
      </w:pPr>
      <w:r w:rsidRPr="00FA00DB">
        <w:rPr>
          <w:sz w:val="24"/>
          <w:szCs w:val="24"/>
        </w:rPr>
        <w:t>All individuals of transgender experience are included in this graph regardless of current gender.</w:t>
      </w:r>
    </w:p>
    <w:p w14:paraId="2DD5C159" w14:textId="5361AEF3" w:rsidR="001844A9" w:rsidRPr="00FA00DB" w:rsidRDefault="00233563" w:rsidP="00233563">
      <w:pPr>
        <w:pStyle w:val="ListParagraph"/>
        <w:numPr>
          <w:ilvl w:val="0"/>
          <w:numId w:val="22"/>
        </w:numPr>
        <w:spacing w:after="0" w:line="240" w:lineRule="auto"/>
        <w:rPr>
          <w:sz w:val="24"/>
          <w:szCs w:val="24"/>
        </w:rPr>
      </w:pPr>
      <w:r w:rsidRPr="00FA00DB">
        <w:rPr>
          <w:sz w:val="24"/>
          <w:szCs w:val="24"/>
        </w:rPr>
        <w:t>Please consider the impact of the COVID-19 pandemic on infectious disease screening, treatment and surveillance in the interpretation of 2020-2023 data.</w:t>
      </w:r>
      <w:r w:rsidR="001844A9" w:rsidRPr="00FA00DB">
        <w:rPr>
          <w:sz w:val="24"/>
          <w:szCs w:val="24"/>
        </w:rPr>
        <w:br w:type="page"/>
      </w:r>
    </w:p>
    <w:p w14:paraId="3299883F" w14:textId="53CF5B62" w:rsidR="0061225C" w:rsidRPr="002E19F8" w:rsidRDefault="0061225C" w:rsidP="003F6E82">
      <w:pPr>
        <w:pStyle w:val="Heading2"/>
      </w:pPr>
      <w:bookmarkStart w:id="6" w:name="_Toc184132218"/>
      <w:r w:rsidRPr="002E19F8">
        <w:t>Slide 7 - Confirmed Chlamydia Rates by County and Statewide,</w:t>
      </w:r>
      <w:r w:rsidRPr="002E19F8">
        <w:rPr>
          <w:vertAlign w:val="superscript"/>
        </w:rPr>
        <w:t xml:space="preserve"> </w:t>
      </w:r>
      <w:r w:rsidRPr="002E19F8">
        <w:t>Massachusetts, 2020-202</w:t>
      </w:r>
      <w:r w:rsidR="00FA00DB">
        <w:t>3</w:t>
      </w:r>
      <w:r w:rsidR="00950F1B" w:rsidRPr="002E19F8">
        <w:rPr>
          <w:vertAlign w:val="superscript"/>
        </w:rPr>
        <w:t>1</w:t>
      </w:r>
      <w:bookmarkEnd w:id="6"/>
    </w:p>
    <w:p w14:paraId="62D8F575" w14:textId="3BC44FE2" w:rsidR="00EC318C" w:rsidRPr="002E19F8" w:rsidRDefault="00D90053" w:rsidP="757BB0A4">
      <w:pPr>
        <w:spacing w:after="0" w:line="240" w:lineRule="auto"/>
        <w:rPr>
          <w:b/>
          <w:sz w:val="24"/>
          <w:szCs w:val="24"/>
        </w:rPr>
      </w:pPr>
      <w:r>
        <w:rPr>
          <w:b/>
          <w:noProof/>
          <w:sz w:val="24"/>
          <w:szCs w:val="24"/>
        </w:rPr>
        <w:drawing>
          <wp:inline distT="0" distB="0" distL="0" distR="0" wp14:anchorId="31839ECE" wp14:editId="74062C84">
            <wp:extent cx="5939155" cy="2238375"/>
            <wp:effectExtent l="0" t="0" r="4445" b="9525"/>
            <wp:docPr id="1495060493" name="Picture 1495060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0493" name="Picture 149506049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2238375"/>
                    </a:xfrm>
                    <a:prstGeom prst="rect">
                      <a:avLst/>
                    </a:prstGeom>
                    <a:noFill/>
                    <a:ln>
                      <a:noFill/>
                    </a:ln>
                  </pic:spPr>
                </pic:pic>
              </a:graphicData>
            </a:graphic>
          </wp:inline>
        </w:drawing>
      </w:r>
    </w:p>
    <w:p w14:paraId="4F3A6B59" w14:textId="42F5800F" w:rsidR="00EC318C" w:rsidRPr="002E19F8" w:rsidRDefault="0077704F" w:rsidP="5C5E37BD">
      <w:pPr>
        <w:spacing w:after="0" w:line="240" w:lineRule="auto"/>
        <w:rPr>
          <w:b/>
          <w:sz w:val="24"/>
          <w:szCs w:val="24"/>
          <w:vertAlign w:val="superscript"/>
        </w:rPr>
      </w:pPr>
      <w:r w:rsidRPr="002E19F8">
        <w:rPr>
          <w:b/>
          <w:sz w:val="24"/>
          <w:szCs w:val="24"/>
        </w:rPr>
        <w:t xml:space="preserve">Table: Rates of </w:t>
      </w:r>
      <w:r w:rsidR="4D370CD0" w:rsidRPr="002E19F8">
        <w:rPr>
          <w:b/>
          <w:sz w:val="24"/>
          <w:szCs w:val="24"/>
        </w:rPr>
        <w:t>Chlamydia by County and Statewide</w:t>
      </w:r>
    </w:p>
    <w:tbl>
      <w:tblPr>
        <w:tblW w:w="5142" w:type="dxa"/>
        <w:tblLook w:val="0420" w:firstRow="1" w:lastRow="0" w:firstColumn="0" w:lastColumn="0" w:noHBand="0" w:noVBand="1"/>
      </w:tblPr>
      <w:tblGrid>
        <w:gridCol w:w="2016"/>
        <w:gridCol w:w="1008"/>
        <w:gridCol w:w="1008"/>
        <w:gridCol w:w="1110"/>
      </w:tblGrid>
      <w:tr w:rsidR="00333855" w:rsidRPr="002E19F8" w14:paraId="46AA005D" w14:textId="1180EA68" w:rsidTr="6AFD1A91">
        <w:trPr>
          <w:trHeight w:val="310"/>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B4E56" w14:textId="77777777" w:rsidR="00333855" w:rsidRPr="002E19F8" w:rsidRDefault="00333855" w:rsidP="0077704F">
            <w:pPr>
              <w:spacing w:after="0" w:line="240" w:lineRule="auto"/>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County</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8E286" w14:textId="0788B1F5" w:rsidR="00333855" w:rsidRPr="002E19F8" w:rsidRDefault="00333855"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202</w:t>
            </w:r>
            <w:r w:rsidR="00AC3D6A">
              <w:rPr>
                <w:rFonts w:eastAsia="Times New Roman"/>
                <w:b/>
                <w:color w:val="000000"/>
                <w:kern w:val="0"/>
                <w:sz w:val="24"/>
                <w:szCs w:val="24"/>
                <w14:ligatures w14:val="none"/>
              </w:rPr>
              <w:t>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321A" w14:textId="77777777" w:rsidR="00333855" w:rsidRPr="002E19F8" w:rsidRDefault="00333855"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2022</w:t>
            </w:r>
          </w:p>
        </w:tc>
        <w:tc>
          <w:tcPr>
            <w:tcW w:w="1110" w:type="dxa"/>
            <w:tcBorders>
              <w:top w:val="single" w:sz="4" w:space="0" w:color="auto"/>
              <w:left w:val="single" w:sz="4" w:space="0" w:color="auto"/>
              <w:bottom w:val="single" w:sz="4" w:space="0" w:color="auto"/>
              <w:right w:val="single" w:sz="4" w:space="0" w:color="auto"/>
            </w:tcBorders>
          </w:tcPr>
          <w:p w14:paraId="19AD4A96" w14:textId="51660ECB" w:rsidR="00333855" w:rsidRPr="002E19F8" w:rsidRDefault="3A8D638E" w:rsidP="6AFD1A91">
            <w:pPr>
              <w:spacing w:after="0" w:line="240" w:lineRule="auto"/>
              <w:jc w:val="right"/>
              <w:rPr>
                <w:rFonts w:eastAsia="Times New Roman"/>
                <w:b/>
                <w:bCs/>
                <w:color w:val="000000"/>
                <w:kern w:val="0"/>
                <w:sz w:val="24"/>
                <w:szCs w:val="24"/>
                <w14:ligatures w14:val="none"/>
              </w:rPr>
            </w:pPr>
            <w:r w:rsidRPr="6AFD1A91">
              <w:rPr>
                <w:rFonts w:eastAsia="Times New Roman"/>
                <w:b/>
                <w:bCs/>
                <w:color w:val="000000"/>
                <w:kern w:val="0"/>
                <w:sz w:val="24"/>
                <w:szCs w:val="24"/>
                <w14:ligatures w14:val="none"/>
              </w:rPr>
              <w:t>2023</w:t>
            </w:r>
          </w:p>
        </w:tc>
      </w:tr>
      <w:tr w:rsidR="00333855" w:rsidRPr="002E19F8" w14:paraId="4D0B56F3" w14:textId="3B127211" w:rsidTr="6AFD1A91">
        <w:trPr>
          <w:trHeight w:val="310"/>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CBF5D" w14:textId="77777777" w:rsidR="00333855" w:rsidRPr="002E19F8" w:rsidRDefault="00333855"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Barnstable</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9A60283" w14:textId="5944F67F"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20BB507C" w14:textId="77777777"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263.8</w:t>
            </w:r>
          </w:p>
        </w:tc>
        <w:tc>
          <w:tcPr>
            <w:tcW w:w="1110" w:type="dxa"/>
            <w:tcBorders>
              <w:top w:val="single" w:sz="4" w:space="0" w:color="auto"/>
              <w:left w:val="nil"/>
              <w:bottom w:val="single" w:sz="4" w:space="0" w:color="auto"/>
              <w:right w:val="single" w:sz="4" w:space="0" w:color="auto"/>
            </w:tcBorders>
          </w:tcPr>
          <w:p w14:paraId="0EADD8BB" w14:textId="242CF312"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259.39</w:t>
            </w:r>
          </w:p>
        </w:tc>
      </w:tr>
      <w:tr w:rsidR="00333855" w:rsidRPr="002E19F8" w14:paraId="6FC3D358" w14:textId="021FF3B8" w:rsidTr="6AFD1A91">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47138111" w14:textId="77777777" w:rsidR="00333855" w:rsidRPr="002E19F8" w:rsidRDefault="00333855"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Berkshire</w:t>
            </w:r>
          </w:p>
        </w:tc>
        <w:tc>
          <w:tcPr>
            <w:tcW w:w="1008" w:type="dxa"/>
            <w:tcBorders>
              <w:top w:val="nil"/>
              <w:left w:val="nil"/>
              <w:bottom w:val="single" w:sz="4" w:space="0" w:color="auto"/>
              <w:right w:val="single" w:sz="4" w:space="0" w:color="auto"/>
            </w:tcBorders>
            <w:shd w:val="clear" w:color="auto" w:fill="auto"/>
            <w:noWrap/>
            <w:vAlign w:val="bottom"/>
          </w:tcPr>
          <w:p w14:paraId="524B4C61" w14:textId="16B14035"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142.6</w:t>
            </w:r>
          </w:p>
        </w:tc>
        <w:tc>
          <w:tcPr>
            <w:tcW w:w="1008" w:type="dxa"/>
            <w:tcBorders>
              <w:top w:val="nil"/>
              <w:left w:val="nil"/>
              <w:bottom w:val="single" w:sz="4" w:space="0" w:color="auto"/>
              <w:right w:val="single" w:sz="4" w:space="0" w:color="auto"/>
            </w:tcBorders>
            <w:shd w:val="clear" w:color="auto" w:fill="auto"/>
            <w:noWrap/>
            <w:vAlign w:val="bottom"/>
            <w:hideMark/>
          </w:tcPr>
          <w:p w14:paraId="2DBE11F6" w14:textId="77777777"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207.7</w:t>
            </w:r>
          </w:p>
        </w:tc>
        <w:tc>
          <w:tcPr>
            <w:tcW w:w="1110" w:type="dxa"/>
            <w:tcBorders>
              <w:top w:val="nil"/>
              <w:left w:val="nil"/>
              <w:bottom w:val="single" w:sz="4" w:space="0" w:color="auto"/>
              <w:right w:val="single" w:sz="4" w:space="0" w:color="auto"/>
            </w:tcBorders>
          </w:tcPr>
          <w:p w14:paraId="5AFB75B6" w14:textId="27225845"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206.16</w:t>
            </w:r>
          </w:p>
        </w:tc>
      </w:tr>
      <w:tr w:rsidR="00333855" w:rsidRPr="002E19F8" w14:paraId="641C10D5" w14:textId="68048341" w:rsidTr="6AFD1A91">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468FD406" w14:textId="77777777" w:rsidR="00333855" w:rsidRPr="002E19F8" w:rsidRDefault="00333855"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Bristol</w:t>
            </w:r>
          </w:p>
        </w:tc>
        <w:tc>
          <w:tcPr>
            <w:tcW w:w="1008" w:type="dxa"/>
            <w:tcBorders>
              <w:top w:val="nil"/>
              <w:left w:val="nil"/>
              <w:bottom w:val="single" w:sz="4" w:space="0" w:color="auto"/>
              <w:right w:val="single" w:sz="4" w:space="0" w:color="auto"/>
            </w:tcBorders>
            <w:shd w:val="clear" w:color="auto" w:fill="auto"/>
            <w:noWrap/>
            <w:vAlign w:val="bottom"/>
          </w:tcPr>
          <w:p w14:paraId="16C5CA2A" w14:textId="3497FD21"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336.8</w:t>
            </w:r>
          </w:p>
        </w:tc>
        <w:tc>
          <w:tcPr>
            <w:tcW w:w="1008" w:type="dxa"/>
            <w:tcBorders>
              <w:top w:val="nil"/>
              <w:left w:val="nil"/>
              <w:bottom w:val="single" w:sz="4" w:space="0" w:color="auto"/>
              <w:right w:val="single" w:sz="4" w:space="0" w:color="auto"/>
            </w:tcBorders>
            <w:shd w:val="clear" w:color="auto" w:fill="auto"/>
            <w:noWrap/>
            <w:vAlign w:val="bottom"/>
            <w:hideMark/>
          </w:tcPr>
          <w:p w14:paraId="3CE97AE2" w14:textId="77777777"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339.8</w:t>
            </w:r>
          </w:p>
        </w:tc>
        <w:tc>
          <w:tcPr>
            <w:tcW w:w="1110" w:type="dxa"/>
            <w:tcBorders>
              <w:top w:val="nil"/>
              <w:left w:val="nil"/>
              <w:bottom w:val="single" w:sz="4" w:space="0" w:color="auto"/>
              <w:right w:val="single" w:sz="4" w:space="0" w:color="auto"/>
            </w:tcBorders>
          </w:tcPr>
          <w:p w14:paraId="1A1604A5" w14:textId="037E80B9"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350.48</w:t>
            </w:r>
          </w:p>
        </w:tc>
      </w:tr>
      <w:tr w:rsidR="00333855" w:rsidRPr="002E19F8" w14:paraId="53A5C966" w14:textId="2D546FAA" w:rsidTr="6AFD1A91">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23BEA854" w14:textId="77777777" w:rsidR="00333855" w:rsidRPr="002E19F8" w:rsidRDefault="00333855"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Dukes/Nantucket</w:t>
            </w:r>
          </w:p>
        </w:tc>
        <w:tc>
          <w:tcPr>
            <w:tcW w:w="1008" w:type="dxa"/>
            <w:tcBorders>
              <w:top w:val="nil"/>
              <w:left w:val="nil"/>
              <w:bottom w:val="single" w:sz="4" w:space="0" w:color="auto"/>
              <w:right w:val="single" w:sz="4" w:space="0" w:color="auto"/>
            </w:tcBorders>
            <w:shd w:val="clear" w:color="auto" w:fill="auto"/>
            <w:noWrap/>
            <w:vAlign w:val="bottom"/>
          </w:tcPr>
          <w:p w14:paraId="644C5609" w14:textId="712DA72F"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229.5</w:t>
            </w:r>
          </w:p>
        </w:tc>
        <w:tc>
          <w:tcPr>
            <w:tcW w:w="1008" w:type="dxa"/>
            <w:tcBorders>
              <w:top w:val="nil"/>
              <w:left w:val="nil"/>
              <w:bottom w:val="single" w:sz="4" w:space="0" w:color="auto"/>
              <w:right w:val="single" w:sz="4" w:space="0" w:color="auto"/>
            </w:tcBorders>
            <w:shd w:val="clear" w:color="auto" w:fill="auto"/>
            <w:noWrap/>
            <w:vAlign w:val="bottom"/>
            <w:hideMark/>
          </w:tcPr>
          <w:p w14:paraId="5F8D87F6" w14:textId="77777777" w:rsidR="00333855" w:rsidRPr="002E19F8" w:rsidRDefault="00333855"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421.7</w:t>
            </w:r>
          </w:p>
        </w:tc>
        <w:tc>
          <w:tcPr>
            <w:tcW w:w="1110" w:type="dxa"/>
            <w:tcBorders>
              <w:top w:val="nil"/>
              <w:left w:val="nil"/>
              <w:bottom w:val="single" w:sz="4" w:space="0" w:color="auto"/>
              <w:right w:val="single" w:sz="4" w:space="0" w:color="auto"/>
            </w:tcBorders>
          </w:tcPr>
          <w:p w14:paraId="48C2D321" w14:textId="2C8B2322"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398.8</w:t>
            </w:r>
          </w:p>
        </w:tc>
      </w:tr>
      <w:tr w:rsidR="00333855" w:rsidRPr="002E19F8" w14:paraId="713BF263" w14:textId="731FB04F" w:rsidTr="6AFD1A91">
        <w:trPr>
          <w:trHeight w:val="31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1A2C3083"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Essex</w:t>
            </w:r>
          </w:p>
        </w:tc>
        <w:tc>
          <w:tcPr>
            <w:tcW w:w="1008" w:type="dxa"/>
            <w:tcBorders>
              <w:top w:val="nil"/>
              <w:left w:val="nil"/>
              <w:bottom w:val="single" w:sz="4" w:space="0" w:color="auto"/>
              <w:right w:val="single" w:sz="4" w:space="0" w:color="auto"/>
            </w:tcBorders>
            <w:shd w:val="clear" w:color="auto" w:fill="auto"/>
            <w:noWrap/>
            <w:vAlign w:val="bottom"/>
          </w:tcPr>
          <w:p w14:paraId="2C4DDEFE" w14:textId="23BC8AD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355.6</w:t>
            </w:r>
          </w:p>
        </w:tc>
        <w:tc>
          <w:tcPr>
            <w:tcW w:w="1008" w:type="dxa"/>
            <w:tcBorders>
              <w:top w:val="nil"/>
              <w:left w:val="nil"/>
              <w:bottom w:val="single" w:sz="4" w:space="0" w:color="auto"/>
              <w:right w:val="single" w:sz="4" w:space="0" w:color="auto"/>
            </w:tcBorders>
            <w:shd w:val="clear" w:color="auto" w:fill="auto"/>
            <w:noWrap/>
            <w:vAlign w:val="bottom"/>
            <w:hideMark/>
          </w:tcPr>
          <w:p w14:paraId="4270821A"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427.5</w:t>
            </w:r>
          </w:p>
        </w:tc>
        <w:tc>
          <w:tcPr>
            <w:tcW w:w="1110" w:type="dxa"/>
            <w:tcBorders>
              <w:top w:val="nil"/>
              <w:left w:val="nil"/>
              <w:bottom w:val="single" w:sz="4" w:space="0" w:color="auto"/>
              <w:right w:val="single" w:sz="4" w:space="0" w:color="auto"/>
            </w:tcBorders>
          </w:tcPr>
          <w:p w14:paraId="643AE228" w14:textId="2F06B876"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419.47</w:t>
            </w:r>
          </w:p>
        </w:tc>
      </w:tr>
      <w:tr w:rsidR="00333855" w:rsidRPr="002E19F8" w14:paraId="53F6A021" w14:textId="2849EC8A"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23CEC317"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Franklin</w:t>
            </w:r>
          </w:p>
        </w:tc>
        <w:tc>
          <w:tcPr>
            <w:tcW w:w="1008" w:type="dxa"/>
            <w:tcBorders>
              <w:top w:val="nil"/>
              <w:left w:val="nil"/>
              <w:bottom w:val="single" w:sz="4" w:space="0" w:color="auto"/>
              <w:right w:val="single" w:sz="4" w:space="0" w:color="auto"/>
            </w:tcBorders>
            <w:shd w:val="clear" w:color="auto" w:fill="auto"/>
            <w:noWrap/>
            <w:vAlign w:val="bottom"/>
          </w:tcPr>
          <w:p w14:paraId="4E1F1E66" w14:textId="37BBE9D0"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171.8</w:t>
            </w:r>
          </w:p>
        </w:tc>
        <w:tc>
          <w:tcPr>
            <w:tcW w:w="1008" w:type="dxa"/>
            <w:tcBorders>
              <w:top w:val="nil"/>
              <w:left w:val="nil"/>
              <w:bottom w:val="single" w:sz="4" w:space="0" w:color="auto"/>
              <w:right w:val="single" w:sz="4" w:space="0" w:color="auto"/>
            </w:tcBorders>
            <w:shd w:val="clear" w:color="auto" w:fill="auto"/>
            <w:noWrap/>
            <w:vAlign w:val="bottom"/>
            <w:hideMark/>
          </w:tcPr>
          <w:p w14:paraId="1ADE0F1E"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156.3</w:t>
            </w:r>
          </w:p>
        </w:tc>
        <w:tc>
          <w:tcPr>
            <w:tcW w:w="1110" w:type="dxa"/>
            <w:tcBorders>
              <w:top w:val="nil"/>
              <w:left w:val="nil"/>
              <w:bottom w:val="single" w:sz="4" w:space="0" w:color="auto"/>
              <w:right w:val="single" w:sz="4" w:space="0" w:color="auto"/>
            </w:tcBorders>
          </w:tcPr>
          <w:p w14:paraId="7AAF83FA" w14:textId="10457031"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142.2</w:t>
            </w:r>
          </w:p>
        </w:tc>
      </w:tr>
      <w:tr w:rsidR="00333855" w:rsidRPr="002E19F8" w14:paraId="75400E64" w14:textId="16DDAB54"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3769EE9A"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Hampden</w:t>
            </w:r>
          </w:p>
        </w:tc>
        <w:tc>
          <w:tcPr>
            <w:tcW w:w="1008" w:type="dxa"/>
            <w:tcBorders>
              <w:top w:val="nil"/>
              <w:left w:val="nil"/>
              <w:bottom w:val="single" w:sz="4" w:space="0" w:color="auto"/>
              <w:right w:val="single" w:sz="4" w:space="0" w:color="auto"/>
            </w:tcBorders>
            <w:shd w:val="clear" w:color="auto" w:fill="auto"/>
            <w:noWrap/>
            <w:vAlign w:val="bottom"/>
          </w:tcPr>
          <w:p w14:paraId="75F350E6" w14:textId="3F059B91"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510.5</w:t>
            </w:r>
          </w:p>
        </w:tc>
        <w:tc>
          <w:tcPr>
            <w:tcW w:w="1008" w:type="dxa"/>
            <w:tcBorders>
              <w:top w:val="nil"/>
              <w:left w:val="nil"/>
              <w:bottom w:val="single" w:sz="4" w:space="0" w:color="auto"/>
              <w:right w:val="single" w:sz="4" w:space="0" w:color="auto"/>
            </w:tcBorders>
            <w:shd w:val="clear" w:color="auto" w:fill="auto"/>
            <w:noWrap/>
            <w:vAlign w:val="bottom"/>
            <w:hideMark/>
          </w:tcPr>
          <w:p w14:paraId="12738849"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553.2</w:t>
            </w:r>
          </w:p>
        </w:tc>
        <w:tc>
          <w:tcPr>
            <w:tcW w:w="1110" w:type="dxa"/>
            <w:tcBorders>
              <w:top w:val="nil"/>
              <w:left w:val="nil"/>
              <w:bottom w:val="single" w:sz="4" w:space="0" w:color="auto"/>
              <w:right w:val="single" w:sz="4" w:space="0" w:color="auto"/>
            </w:tcBorders>
          </w:tcPr>
          <w:p w14:paraId="62F640D4" w14:textId="00865CA0"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565.45</w:t>
            </w:r>
          </w:p>
        </w:tc>
      </w:tr>
      <w:tr w:rsidR="00333855" w:rsidRPr="002E19F8" w14:paraId="36797279" w14:textId="579091B4"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3575032C"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Hampshire</w:t>
            </w:r>
          </w:p>
        </w:tc>
        <w:tc>
          <w:tcPr>
            <w:tcW w:w="1008" w:type="dxa"/>
            <w:tcBorders>
              <w:top w:val="nil"/>
              <w:left w:val="nil"/>
              <w:bottom w:val="single" w:sz="4" w:space="0" w:color="auto"/>
              <w:right w:val="single" w:sz="4" w:space="0" w:color="auto"/>
            </w:tcBorders>
            <w:shd w:val="clear" w:color="auto" w:fill="auto"/>
            <w:noWrap/>
            <w:vAlign w:val="bottom"/>
          </w:tcPr>
          <w:p w14:paraId="650777BD" w14:textId="552DDCB2"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194.1</w:t>
            </w:r>
          </w:p>
        </w:tc>
        <w:tc>
          <w:tcPr>
            <w:tcW w:w="1008" w:type="dxa"/>
            <w:tcBorders>
              <w:top w:val="nil"/>
              <w:left w:val="nil"/>
              <w:bottom w:val="single" w:sz="4" w:space="0" w:color="auto"/>
              <w:right w:val="single" w:sz="4" w:space="0" w:color="auto"/>
            </w:tcBorders>
            <w:shd w:val="clear" w:color="auto" w:fill="auto"/>
            <w:noWrap/>
            <w:vAlign w:val="bottom"/>
            <w:hideMark/>
          </w:tcPr>
          <w:p w14:paraId="6A8975CF"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254.5</w:t>
            </w:r>
          </w:p>
        </w:tc>
        <w:tc>
          <w:tcPr>
            <w:tcW w:w="1110" w:type="dxa"/>
            <w:tcBorders>
              <w:top w:val="nil"/>
              <w:left w:val="nil"/>
              <w:bottom w:val="single" w:sz="4" w:space="0" w:color="auto"/>
              <w:right w:val="single" w:sz="4" w:space="0" w:color="auto"/>
            </w:tcBorders>
          </w:tcPr>
          <w:p w14:paraId="4A33BAD5" w14:textId="00D96ED0"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216.87</w:t>
            </w:r>
          </w:p>
        </w:tc>
      </w:tr>
      <w:tr w:rsidR="00333855" w:rsidRPr="002E19F8" w14:paraId="43E19181" w14:textId="4620EEB5"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6C29517D"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Middlesex</w:t>
            </w:r>
          </w:p>
        </w:tc>
        <w:tc>
          <w:tcPr>
            <w:tcW w:w="1008" w:type="dxa"/>
            <w:tcBorders>
              <w:top w:val="nil"/>
              <w:left w:val="nil"/>
              <w:bottom w:val="single" w:sz="4" w:space="0" w:color="auto"/>
              <w:right w:val="single" w:sz="4" w:space="0" w:color="auto"/>
            </w:tcBorders>
            <w:shd w:val="clear" w:color="auto" w:fill="auto"/>
            <w:noWrap/>
            <w:vAlign w:val="bottom"/>
          </w:tcPr>
          <w:p w14:paraId="082817D5" w14:textId="5B787C64"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259.3</w:t>
            </w:r>
          </w:p>
        </w:tc>
        <w:tc>
          <w:tcPr>
            <w:tcW w:w="1008" w:type="dxa"/>
            <w:tcBorders>
              <w:top w:val="nil"/>
              <w:left w:val="nil"/>
              <w:bottom w:val="single" w:sz="4" w:space="0" w:color="auto"/>
              <w:right w:val="single" w:sz="4" w:space="0" w:color="auto"/>
            </w:tcBorders>
            <w:shd w:val="clear" w:color="auto" w:fill="auto"/>
            <w:noWrap/>
            <w:vAlign w:val="bottom"/>
            <w:hideMark/>
          </w:tcPr>
          <w:p w14:paraId="0526FDC1"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304.8</w:t>
            </w:r>
          </w:p>
        </w:tc>
        <w:tc>
          <w:tcPr>
            <w:tcW w:w="1110" w:type="dxa"/>
            <w:tcBorders>
              <w:top w:val="nil"/>
              <w:left w:val="nil"/>
              <w:bottom w:val="single" w:sz="4" w:space="0" w:color="auto"/>
              <w:right w:val="single" w:sz="4" w:space="0" w:color="auto"/>
            </w:tcBorders>
          </w:tcPr>
          <w:p w14:paraId="4250240B" w14:textId="6314CE4B"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316.36</w:t>
            </w:r>
          </w:p>
        </w:tc>
      </w:tr>
      <w:tr w:rsidR="00333855" w:rsidRPr="002E19F8" w14:paraId="648DAFE2" w14:textId="6C031D24"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3F97EB23"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Norfolk</w:t>
            </w:r>
          </w:p>
        </w:tc>
        <w:tc>
          <w:tcPr>
            <w:tcW w:w="1008" w:type="dxa"/>
            <w:tcBorders>
              <w:top w:val="nil"/>
              <w:left w:val="nil"/>
              <w:bottom w:val="single" w:sz="4" w:space="0" w:color="auto"/>
              <w:right w:val="single" w:sz="4" w:space="0" w:color="auto"/>
            </w:tcBorders>
            <w:shd w:val="clear" w:color="auto" w:fill="auto"/>
            <w:noWrap/>
            <w:vAlign w:val="bottom"/>
          </w:tcPr>
          <w:p w14:paraId="42247F6C" w14:textId="3848FF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235.7</w:t>
            </w:r>
          </w:p>
        </w:tc>
        <w:tc>
          <w:tcPr>
            <w:tcW w:w="1008" w:type="dxa"/>
            <w:tcBorders>
              <w:top w:val="nil"/>
              <w:left w:val="nil"/>
              <w:bottom w:val="single" w:sz="4" w:space="0" w:color="auto"/>
              <w:right w:val="single" w:sz="4" w:space="0" w:color="auto"/>
            </w:tcBorders>
            <w:shd w:val="clear" w:color="auto" w:fill="auto"/>
            <w:noWrap/>
            <w:vAlign w:val="bottom"/>
            <w:hideMark/>
          </w:tcPr>
          <w:p w14:paraId="0D3926AF"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282.8</w:t>
            </w:r>
          </w:p>
        </w:tc>
        <w:tc>
          <w:tcPr>
            <w:tcW w:w="1110" w:type="dxa"/>
            <w:tcBorders>
              <w:top w:val="nil"/>
              <w:left w:val="nil"/>
              <w:bottom w:val="single" w:sz="4" w:space="0" w:color="auto"/>
              <w:right w:val="single" w:sz="4" w:space="0" w:color="auto"/>
            </w:tcBorders>
          </w:tcPr>
          <w:p w14:paraId="4DD964F0" w14:textId="03DD49B7"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275.08</w:t>
            </w:r>
          </w:p>
        </w:tc>
      </w:tr>
      <w:tr w:rsidR="00333855" w:rsidRPr="002E19F8" w14:paraId="02CEE556" w14:textId="1729A532"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2AA166AA"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Plymouth</w:t>
            </w:r>
          </w:p>
        </w:tc>
        <w:tc>
          <w:tcPr>
            <w:tcW w:w="1008" w:type="dxa"/>
            <w:tcBorders>
              <w:top w:val="nil"/>
              <w:left w:val="nil"/>
              <w:bottom w:val="single" w:sz="4" w:space="0" w:color="auto"/>
              <w:right w:val="single" w:sz="4" w:space="0" w:color="auto"/>
            </w:tcBorders>
            <w:shd w:val="clear" w:color="auto" w:fill="auto"/>
            <w:noWrap/>
            <w:vAlign w:val="bottom"/>
          </w:tcPr>
          <w:p w14:paraId="0CEC6160" w14:textId="637D4ABA"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329.1</w:t>
            </w:r>
          </w:p>
        </w:tc>
        <w:tc>
          <w:tcPr>
            <w:tcW w:w="1008" w:type="dxa"/>
            <w:tcBorders>
              <w:top w:val="nil"/>
              <w:left w:val="nil"/>
              <w:bottom w:val="single" w:sz="4" w:space="0" w:color="auto"/>
              <w:right w:val="single" w:sz="4" w:space="0" w:color="auto"/>
            </w:tcBorders>
            <w:shd w:val="clear" w:color="auto" w:fill="auto"/>
            <w:noWrap/>
            <w:vAlign w:val="bottom"/>
            <w:hideMark/>
          </w:tcPr>
          <w:p w14:paraId="63605CA4"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388.8</w:t>
            </w:r>
          </w:p>
        </w:tc>
        <w:tc>
          <w:tcPr>
            <w:tcW w:w="1110" w:type="dxa"/>
            <w:tcBorders>
              <w:top w:val="nil"/>
              <w:left w:val="nil"/>
              <w:bottom w:val="single" w:sz="4" w:space="0" w:color="auto"/>
              <w:right w:val="single" w:sz="4" w:space="0" w:color="auto"/>
            </w:tcBorders>
          </w:tcPr>
          <w:p w14:paraId="572E0501" w14:textId="0632F5F9"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422.18</w:t>
            </w:r>
          </w:p>
        </w:tc>
      </w:tr>
      <w:tr w:rsidR="00333855" w:rsidRPr="002E19F8" w14:paraId="30E61806" w14:textId="65E20663"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5640BAFB"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Suffolk</w:t>
            </w:r>
          </w:p>
        </w:tc>
        <w:tc>
          <w:tcPr>
            <w:tcW w:w="1008" w:type="dxa"/>
            <w:tcBorders>
              <w:top w:val="nil"/>
              <w:left w:val="nil"/>
              <w:bottom w:val="single" w:sz="4" w:space="0" w:color="auto"/>
              <w:right w:val="single" w:sz="4" w:space="0" w:color="auto"/>
            </w:tcBorders>
            <w:shd w:val="clear" w:color="auto" w:fill="auto"/>
            <w:noWrap/>
            <w:vAlign w:val="bottom"/>
          </w:tcPr>
          <w:p w14:paraId="0C520582" w14:textId="36F8F79E"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702.1</w:t>
            </w:r>
          </w:p>
        </w:tc>
        <w:tc>
          <w:tcPr>
            <w:tcW w:w="1008" w:type="dxa"/>
            <w:tcBorders>
              <w:top w:val="nil"/>
              <w:left w:val="nil"/>
              <w:bottom w:val="single" w:sz="4" w:space="0" w:color="auto"/>
              <w:right w:val="single" w:sz="4" w:space="0" w:color="auto"/>
            </w:tcBorders>
            <w:shd w:val="clear" w:color="auto" w:fill="auto"/>
            <w:noWrap/>
            <w:vAlign w:val="bottom"/>
            <w:hideMark/>
          </w:tcPr>
          <w:p w14:paraId="41A9F9EF"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848.3</w:t>
            </w:r>
          </w:p>
        </w:tc>
        <w:tc>
          <w:tcPr>
            <w:tcW w:w="1110" w:type="dxa"/>
            <w:tcBorders>
              <w:top w:val="nil"/>
              <w:left w:val="nil"/>
              <w:bottom w:val="single" w:sz="4" w:space="0" w:color="auto"/>
              <w:right w:val="single" w:sz="4" w:space="0" w:color="auto"/>
            </w:tcBorders>
          </w:tcPr>
          <w:p w14:paraId="333E188C" w14:textId="58473422"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858.72</w:t>
            </w:r>
          </w:p>
        </w:tc>
      </w:tr>
      <w:tr w:rsidR="00333855" w:rsidRPr="002E19F8" w14:paraId="391BBEDA" w14:textId="1A6CE2B6"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06345BA0"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Worcester</w:t>
            </w:r>
          </w:p>
        </w:tc>
        <w:tc>
          <w:tcPr>
            <w:tcW w:w="1008" w:type="dxa"/>
            <w:tcBorders>
              <w:top w:val="nil"/>
              <w:left w:val="nil"/>
              <w:bottom w:val="single" w:sz="4" w:space="0" w:color="auto"/>
              <w:right w:val="single" w:sz="4" w:space="0" w:color="auto"/>
            </w:tcBorders>
            <w:shd w:val="clear" w:color="auto" w:fill="auto"/>
            <w:noWrap/>
            <w:vAlign w:val="bottom"/>
          </w:tcPr>
          <w:p w14:paraId="21ABBA81" w14:textId="3D8E5F7D"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306.0</w:t>
            </w:r>
          </w:p>
        </w:tc>
        <w:tc>
          <w:tcPr>
            <w:tcW w:w="1008" w:type="dxa"/>
            <w:tcBorders>
              <w:top w:val="nil"/>
              <w:left w:val="nil"/>
              <w:bottom w:val="single" w:sz="4" w:space="0" w:color="auto"/>
              <w:right w:val="single" w:sz="4" w:space="0" w:color="auto"/>
            </w:tcBorders>
            <w:shd w:val="clear" w:color="auto" w:fill="auto"/>
            <w:noWrap/>
            <w:vAlign w:val="bottom"/>
            <w:hideMark/>
          </w:tcPr>
          <w:p w14:paraId="541EB53D"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308.2</w:t>
            </w:r>
          </w:p>
        </w:tc>
        <w:tc>
          <w:tcPr>
            <w:tcW w:w="1110" w:type="dxa"/>
            <w:tcBorders>
              <w:top w:val="nil"/>
              <w:left w:val="nil"/>
              <w:bottom w:val="single" w:sz="4" w:space="0" w:color="auto"/>
              <w:right w:val="single" w:sz="4" w:space="0" w:color="auto"/>
            </w:tcBorders>
          </w:tcPr>
          <w:p w14:paraId="4E2B2FCB" w14:textId="767B4C38"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331.4</w:t>
            </w:r>
          </w:p>
        </w:tc>
      </w:tr>
      <w:tr w:rsidR="00333855" w:rsidRPr="002E19F8" w14:paraId="3C956ED5" w14:textId="4DCBC94F" w:rsidTr="6AFD1A91">
        <w:trPr>
          <w:trHeight w:val="29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14:paraId="787574ED" w14:textId="77777777" w:rsidR="00333855" w:rsidRPr="002E19F8" w:rsidRDefault="00333855" w:rsidP="00E33CEE">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Statewide</w:t>
            </w:r>
          </w:p>
        </w:tc>
        <w:tc>
          <w:tcPr>
            <w:tcW w:w="1008" w:type="dxa"/>
            <w:tcBorders>
              <w:top w:val="nil"/>
              <w:left w:val="nil"/>
              <w:bottom w:val="single" w:sz="4" w:space="0" w:color="auto"/>
              <w:right w:val="single" w:sz="4" w:space="0" w:color="auto"/>
            </w:tcBorders>
            <w:shd w:val="clear" w:color="auto" w:fill="auto"/>
            <w:noWrap/>
            <w:vAlign w:val="bottom"/>
          </w:tcPr>
          <w:p w14:paraId="4D13B018" w14:textId="27A51C02"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351.4</w:t>
            </w:r>
          </w:p>
        </w:tc>
        <w:tc>
          <w:tcPr>
            <w:tcW w:w="1008" w:type="dxa"/>
            <w:tcBorders>
              <w:top w:val="nil"/>
              <w:left w:val="nil"/>
              <w:bottom w:val="single" w:sz="4" w:space="0" w:color="auto"/>
              <w:right w:val="single" w:sz="4" w:space="0" w:color="auto"/>
            </w:tcBorders>
            <w:shd w:val="clear" w:color="auto" w:fill="auto"/>
            <w:noWrap/>
            <w:vAlign w:val="bottom"/>
            <w:hideMark/>
          </w:tcPr>
          <w:p w14:paraId="07575646" w14:textId="77777777" w:rsidR="00333855" w:rsidRPr="002E19F8" w:rsidRDefault="00333855"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403.8</w:t>
            </w:r>
          </w:p>
        </w:tc>
        <w:tc>
          <w:tcPr>
            <w:tcW w:w="1110" w:type="dxa"/>
            <w:tcBorders>
              <w:top w:val="nil"/>
              <w:left w:val="nil"/>
              <w:bottom w:val="single" w:sz="4" w:space="0" w:color="auto"/>
              <w:right w:val="single" w:sz="4" w:space="0" w:color="auto"/>
            </w:tcBorders>
          </w:tcPr>
          <w:p w14:paraId="02633ADE" w14:textId="2F40B90B" w:rsidR="6AFD1A91" w:rsidRDefault="6AFD1A91" w:rsidP="6AFD1A91">
            <w:pPr>
              <w:spacing w:after="0"/>
              <w:jc w:val="center"/>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411.24</w:t>
            </w:r>
          </w:p>
        </w:tc>
      </w:tr>
    </w:tbl>
    <w:p w14:paraId="4F9FB6A6" w14:textId="0D2E71A8" w:rsidR="007E504C" w:rsidRPr="005256DC" w:rsidRDefault="0061225C" w:rsidP="005256DC">
      <w:pPr>
        <w:spacing w:before="240"/>
        <w:rPr>
          <w:sz w:val="24"/>
          <w:szCs w:val="24"/>
        </w:rPr>
      </w:pPr>
      <w:r w:rsidRPr="002E19F8">
        <w:rPr>
          <w:b/>
          <w:sz w:val="24"/>
          <w:szCs w:val="24"/>
        </w:rPr>
        <w:t>Highlight</w:t>
      </w:r>
      <w:r w:rsidRPr="005256DC">
        <w:rPr>
          <w:b/>
          <w:sz w:val="24"/>
          <w:szCs w:val="24"/>
        </w:rPr>
        <w:t>s:</w:t>
      </w:r>
      <w:r w:rsidRPr="005256DC">
        <w:rPr>
          <w:sz w:val="24"/>
          <w:szCs w:val="24"/>
        </w:rPr>
        <w:t xml:space="preserve"> </w:t>
      </w:r>
      <w:r w:rsidR="005256DC" w:rsidRPr="005256DC">
        <w:rPr>
          <w:sz w:val="24"/>
          <w:szCs w:val="24"/>
        </w:rPr>
        <w:t xml:space="preserve">Graph depicts rate per 100,000 population of chlamydia cases reported in Massachusetts by county comparing 2021 through 2023. The rate is highest in Suffolk county with a rate of 858.7 in 2023 followed by Hampden county with a rate of 565.4 in 2023. The lowest rates were in Franklin and Berkshire county. </w:t>
      </w:r>
    </w:p>
    <w:p w14:paraId="5A584CFB" w14:textId="4B6D5ADD" w:rsidR="0061225C" w:rsidRPr="002E19F8" w:rsidRDefault="0061225C" w:rsidP="52C804C8">
      <w:pPr>
        <w:spacing w:after="0" w:line="240" w:lineRule="auto"/>
        <w:rPr>
          <w:sz w:val="24"/>
          <w:szCs w:val="24"/>
        </w:rPr>
      </w:pPr>
      <w:r w:rsidRPr="002E19F8">
        <w:rPr>
          <w:b/>
          <w:sz w:val="24"/>
          <w:szCs w:val="24"/>
        </w:rPr>
        <w:t>Footnotes</w:t>
      </w:r>
      <w:r w:rsidR="4A4EF5EE" w:rsidRPr="002E19F8">
        <w:rPr>
          <w:b/>
          <w:bCs/>
          <w:sz w:val="24"/>
          <w:szCs w:val="24"/>
        </w:rPr>
        <w:t xml:space="preserve"> for Slide 7</w:t>
      </w:r>
    </w:p>
    <w:p w14:paraId="3730F98A" w14:textId="77777777" w:rsidR="00404EAA" w:rsidRPr="00404EAA" w:rsidRDefault="00404EAA" w:rsidP="00404EAA">
      <w:pPr>
        <w:spacing w:before="40" w:after="0" w:line="240" w:lineRule="auto"/>
        <w:rPr>
          <w:sz w:val="24"/>
          <w:szCs w:val="24"/>
        </w:rPr>
      </w:pPr>
      <w:r w:rsidRPr="00404EAA">
        <w:rPr>
          <w:sz w:val="24"/>
          <w:szCs w:val="24"/>
        </w:rPr>
        <w:t>Data are current as of 08/01/2024 and are subject to change. </w:t>
      </w:r>
    </w:p>
    <w:p w14:paraId="6CE1EC1C" w14:textId="77777777" w:rsidR="00404EAA" w:rsidRPr="00404EAA" w:rsidRDefault="00404EAA" w:rsidP="00404EAA">
      <w:pPr>
        <w:spacing w:before="40" w:after="0" w:line="240" w:lineRule="auto"/>
        <w:rPr>
          <w:sz w:val="24"/>
          <w:szCs w:val="24"/>
        </w:rPr>
      </w:pPr>
      <w:r w:rsidRPr="00404EAA">
        <w:rPr>
          <w:sz w:val="24"/>
          <w:szCs w:val="24"/>
        </w:rPr>
        <w:t>Data Source: Massachusetts Department of Public Health/Bureau of Infectious Disease and Laboratory Sciences/ Division of STD Prevention and STD-HIV Surveillance.</w:t>
      </w:r>
    </w:p>
    <w:p w14:paraId="322BEB3A" w14:textId="77777777" w:rsidR="00404EAA" w:rsidRPr="00404EAA" w:rsidRDefault="00404EAA" w:rsidP="00404EAA">
      <w:pPr>
        <w:spacing w:before="40" w:after="0" w:line="240" w:lineRule="auto"/>
        <w:rPr>
          <w:sz w:val="24"/>
          <w:szCs w:val="24"/>
        </w:rPr>
      </w:pPr>
      <w:r w:rsidRPr="00404EAA">
        <w:rPr>
          <w:sz w:val="24"/>
          <w:szCs w:val="24"/>
        </w:rPr>
        <w:t>Population denominators estimated by the University of Massachusetts Donahue Institute using a modified Hamilton-Perry model (Strate S, et al. Small Area Population Estimates for 2011 through 2020 report, Oct 2016).</w:t>
      </w:r>
    </w:p>
    <w:p w14:paraId="52EB63A8" w14:textId="59EBF00D" w:rsidR="002E19F8" w:rsidRDefault="00404EAA" w:rsidP="00404EAA">
      <w:pPr>
        <w:spacing w:before="40" w:after="0" w:line="240" w:lineRule="auto"/>
        <w:rPr>
          <w:sz w:val="24"/>
          <w:szCs w:val="24"/>
        </w:rPr>
      </w:pPr>
      <w:r w:rsidRPr="00404EAA">
        <w:rPr>
          <w:sz w:val="24"/>
          <w:szCs w:val="24"/>
        </w:rPr>
        <w:t>1. Please consider the impact of the COVID-19 pandemic on infectious disease screening, treatment and surveillance in the interpretation of 2021-2023 data.</w:t>
      </w:r>
    </w:p>
    <w:p w14:paraId="7A21E2E4" w14:textId="77777777" w:rsidR="00404EAA" w:rsidRPr="002E19F8" w:rsidRDefault="00404EAA" w:rsidP="00404EAA">
      <w:pPr>
        <w:spacing w:before="40" w:after="0" w:line="240" w:lineRule="auto"/>
        <w:rPr>
          <w:sz w:val="24"/>
          <w:szCs w:val="24"/>
        </w:rPr>
      </w:pPr>
    </w:p>
    <w:p w14:paraId="3B04BA52" w14:textId="69F330C2" w:rsidR="00EC318C" w:rsidRPr="002E19F8" w:rsidRDefault="00EC318C" w:rsidP="003F6E82">
      <w:pPr>
        <w:pStyle w:val="Heading2"/>
      </w:pPr>
      <w:bookmarkStart w:id="7" w:name="_Toc184132219"/>
      <w:r w:rsidRPr="002E19F8">
        <w:t>Slide 8 - Average Age of Confirmed Chlamydia Cases by Gender</w:t>
      </w:r>
      <w:r w:rsidRPr="002E19F8">
        <w:rPr>
          <w:vertAlign w:val="superscript"/>
        </w:rPr>
        <w:t>1</w:t>
      </w:r>
      <w:r w:rsidRPr="002E19F8">
        <w:t>, Massachusetts, 2012 to 202</w:t>
      </w:r>
      <w:r w:rsidR="005256DC">
        <w:t>3</w:t>
      </w:r>
      <w:r w:rsidRPr="002E19F8">
        <w:rPr>
          <w:vertAlign w:val="superscript"/>
        </w:rPr>
        <w:t>2</w:t>
      </w:r>
      <w:bookmarkEnd w:id="7"/>
    </w:p>
    <w:p w14:paraId="42E51545" w14:textId="7DBA8F3B" w:rsidR="00EC318C" w:rsidRPr="002E19F8" w:rsidRDefault="003B3851" w:rsidP="00EC318C">
      <w:pPr>
        <w:spacing w:after="0" w:line="240" w:lineRule="auto"/>
        <w:rPr>
          <w:sz w:val="24"/>
          <w:szCs w:val="24"/>
        </w:rPr>
      </w:pPr>
      <w:r>
        <w:rPr>
          <w:noProof/>
          <w:sz w:val="24"/>
          <w:szCs w:val="24"/>
        </w:rPr>
        <w:drawing>
          <wp:inline distT="0" distB="0" distL="0" distR="0" wp14:anchorId="420F89D4" wp14:editId="70E239B7">
            <wp:extent cx="5939155" cy="1924050"/>
            <wp:effectExtent l="0" t="0" r="4445" b="0"/>
            <wp:docPr id="1685544868" name="Picture 1685544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4868" name="Picture 168554486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1924050"/>
                    </a:xfrm>
                    <a:prstGeom prst="rect">
                      <a:avLst/>
                    </a:prstGeom>
                    <a:noFill/>
                    <a:ln>
                      <a:noFill/>
                    </a:ln>
                  </pic:spPr>
                </pic:pic>
              </a:graphicData>
            </a:graphic>
          </wp:inline>
        </w:drawing>
      </w:r>
    </w:p>
    <w:p w14:paraId="4703E0F9" w14:textId="692F75C7" w:rsidR="00EC318C" w:rsidRPr="002E19F8" w:rsidRDefault="00EC318C" w:rsidP="00EC318C">
      <w:pPr>
        <w:spacing w:after="0" w:line="240" w:lineRule="auto"/>
        <w:rPr>
          <w:b/>
          <w:sz w:val="24"/>
          <w:szCs w:val="24"/>
        </w:rPr>
      </w:pPr>
      <w:r w:rsidRPr="002E19F8">
        <w:rPr>
          <w:b/>
          <w:sz w:val="24"/>
          <w:szCs w:val="24"/>
        </w:rPr>
        <w:t>Table: Chlamydia Annual Case Counts</w:t>
      </w:r>
      <w:r w:rsidR="00172742" w:rsidRPr="002E19F8">
        <w:rPr>
          <w:b/>
          <w:sz w:val="24"/>
          <w:szCs w:val="24"/>
        </w:rPr>
        <w:t xml:space="preserve"> by Gender </w:t>
      </w:r>
      <w:r w:rsidRPr="002E19F8">
        <w:rPr>
          <w:b/>
          <w:sz w:val="24"/>
          <w:szCs w:val="24"/>
        </w:rPr>
        <w:t xml:space="preserve"> </w:t>
      </w:r>
    </w:p>
    <w:tbl>
      <w:tblPr>
        <w:tblStyle w:val="TableGrid"/>
        <w:tblW w:w="2976" w:type="dxa"/>
        <w:tblLook w:val="0420" w:firstRow="1" w:lastRow="0" w:firstColumn="0" w:lastColumn="0" w:noHBand="0" w:noVBand="1"/>
      </w:tblPr>
      <w:tblGrid>
        <w:gridCol w:w="960"/>
        <w:gridCol w:w="1008"/>
        <w:gridCol w:w="1008"/>
      </w:tblGrid>
      <w:tr w:rsidR="00172742" w:rsidRPr="002E19F8" w14:paraId="72B411B3" w14:textId="77777777" w:rsidTr="003B3851">
        <w:trPr>
          <w:trHeight w:val="302"/>
        </w:trPr>
        <w:tc>
          <w:tcPr>
            <w:tcW w:w="960" w:type="dxa"/>
            <w:noWrap/>
            <w:hideMark/>
          </w:tcPr>
          <w:p w14:paraId="429DC6A4" w14:textId="77777777" w:rsidR="00172742" w:rsidRPr="002E19F8" w:rsidRDefault="00172742" w:rsidP="00172742">
            <w:pPr>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1008" w:type="dxa"/>
            <w:hideMark/>
          </w:tcPr>
          <w:p w14:paraId="39DA61B6" w14:textId="77777777" w:rsidR="00172742" w:rsidRPr="002E19F8" w:rsidRDefault="00172742" w:rsidP="00172742">
            <w:pPr>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Female</w:t>
            </w:r>
          </w:p>
        </w:tc>
        <w:tc>
          <w:tcPr>
            <w:tcW w:w="1008" w:type="dxa"/>
            <w:hideMark/>
          </w:tcPr>
          <w:p w14:paraId="09E35EAF" w14:textId="77777777" w:rsidR="00172742" w:rsidRPr="002E19F8" w:rsidRDefault="00172742" w:rsidP="00172742">
            <w:pPr>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Male</w:t>
            </w:r>
          </w:p>
        </w:tc>
      </w:tr>
      <w:tr w:rsidR="00172742" w:rsidRPr="002E19F8" w14:paraId="61D2FE2B" w14:textId="77777777" w:rsidTr="003B3851">
        <w:trPr>
          <w:trHeight w:val="302"/>
        </w:trPr>
        <w:tc>
          <w:tcPr>
            <w:tcW w:w="960" w:type="dxa"/>
            <w:noWrap/>
            <w:hideMark/>
          </w:tcPr>
          <w:p w14:paraId="0117EDBA"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1008" w:type="dxa"/>
            <w:hideMark/>
          </w:tcPr>
          <w:p w14:paraId="0E07A90D"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16,590</w:t>
            </w:r>
          </w:p>
        </w:tc>
        <w:tc>
          <w:tcPr>
            <w:tcW w:w="1008" w:type="dxa"/>
            <w:hideMark/>
          </w:tcPr>
          <w:p w14:paraId="56ED1F34"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7,302</w:t>
            </w:r>
          </w:p>
        </w:tc>
      </w:tr>
      <w:tr w:rsidR="00172742" w:rsidRPr="002E19F8" w14:paraId="3874BA5A" w14:textId="77777777" w:rsidTr="003B3851">
        <w:trPr>
          <w:trHeight w:val="302"/>
        </w:trPr>
        <w:tc>
          <w:tcPr>
            <w:tcW w:w="960" w:type="dxa"/>
            <w:noWrap/>
            <w:hideMark/>
          </w:tcPr>
          <w:p w14:paraId="766DABE8"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1008" w:type="dxa"/>
            <w:hideMark/>
          </w:tcPr>
          <w:p w14:paraId="6868DFE3"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16,275</w:t>
            </w:r>
          </w:p>
        </w:tc>
        <w:tc>
          <w:tcPr>
            <w:tcW w:w="1008" w:type="dxa"/>
            <w:hideMark/>
          </w:tcPr>
          <w:p w14:paraId="1A61E401"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7,494</w:t>
            </w:r>
          </w:p>
        </w:tc>
      </w:tr>
      <w:tr w:rsidR="00172742" w:rsidRPr="002E19F8" w14:paraId="4AD43AD9" w14:textId="77777777" w:rsidTr="003B3851">
        <w:trPr>
          <w:trHeight w:val="302"/>
        </w:trPr>
        <w:tc>
          <w:tcPr>
            <w:tcW w:w="960" w:type="dxa"/>
            <w:noWrap/>
            <w:hideMark/>
          </w:tcPr>
          <w:p w14:paraId="711DED2D"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1008" w:type="dxa"/>
            <w:hideMark/>
          </w:tcPr>
          <w:p w14:paraId="2420D96D"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15,781</w:t>
            </w:r>
          </w:p>
        </w:tc>
        <w:tc>
          <w:tcPr>
            <w:tcW w:w="1008" w:type="dxa"/>
            <w:hideMark/>
          </w:tcPr>
          <w:p w14:paraId="1B41EAAA"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8,258</w:t>
            </w:r>
          </w:p>
        </w:tc>
      </w:tr>
      <w:tr w:rsidR="00172742" w:rsidRPr="002E19F8" w14:paraId="3F7268F4" w14:textId="77777777" w:rsidTr="003B3851">
        <w:trPr>
          <w:trHeight w:val="302"/>
        </w:trPr>
        <w:tc>
          <w:tcPr>
            <w:tcW w:w="960" w:type="dxa"/>
            <w:noWrap/>
            <w:hideMark/>
          </w:tcPr>
          <w:p w14:paraId="4AE26E6C"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1008" w:type="dxa"/>
            <w:hideMark/>
          </w:tcPr>
          <w:p w14:paraId="6BB30C09"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15,489</w:t>
            </w:r>
          </w:p>
        </w:tc>
        <w:tc>
          <w:tcPr>
            <w:tcW w:w="1008" w:type="dxa"/>
            <w:hideMark/>
          </w:tcPr>
          <w:p w14:paraId="4EE19733"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8,414</w:t>
            </w:r>
          </w:p>
        </w:tc>
      </w:tr>
      <w:tr w:rsidR="00172742" w:rsidRPr="002E19F8" w14:paraId="7C131330" w14:textId="77777777" w:rsidTr="003B3851">
        <w:trPr>
          <w:trHeight w:val="302"/>
        </w:trPr>
        <w:tc>
          <w:tcPr>
            <w:tcW w:w="960" w:type="dxa"/>
            <w:noWrap/>
            <w:hideMark/>
          </w:tcPr>
          <w:p w14:paraId="233121EC"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1008" w:type="dxa"/>
            <w:hideMark/>
          </w:tcPr>
          <w:p w14:paraId="2EEF26F0"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17,094</w:t>
            </w:r>
          </w:p>
        </w:tc>
        <w:tc>
          <w:tcPr>
            <w:tcW w:w="1008" w:type="dxa"/>
            <w:hideMark/>
          </w:tcPr>
          <w:p w14:paraId="27B5949D"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9,318</w:t>
            </w:r>
          </w:p>
        </w:tc>
      </w:tr>
      <w:tr w:rsidR="00172742" w:rsidRPr="002E19F8" w14:paraId="6C11E946" w14:textId="77777777" w:rsidTr="003B3851">
        <w:trPr>
          <w:trHeight w:val="302"/>
        </w:trPr>
        <w:tc>
          <w:tcPr>
            <w:tcW w:w="960" w:type="dxa"/>
            <w:noWrap/>
            <w:hideMark/>
          </w:tcPr>
          <w:p w14:paraId="02D41592"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1008" w:type="dxa"/>
            <w:hideMark/>
          </w:tcPr>
          <w:p w14:paraId="1D4C42B4"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18,644</w:t>
            </w:r>
          </w:p>
        </w:tc>
        <w:tc>
          <w:tcPr>
            <w:tcW w:w="1008" w:type="dxa"/>
            <w:hideMark/>
          </w:tcPr>
          <w:p w14:paraId="11A7C3DE"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10,463</w:t>
            </w:r>
          </w:p>
        </w:tc>
      </w:tr>
      <w:tr w:rsidR="00172742" w:rsidRPr="002E19F8" w14:paraId="70C04D7E" w14:textId="77777777" w:rsidTr="003B3851">
        <w:trPr>
          <w:trHeight w:val="302"/>
        </w:trPr>
        <w:tc>
          <w:tcPr>
            <w:tcW w:w="960" w:type="dxa"/>
            <w:noWrap/>
            <w:hideMark/>
          </w:tcPr>
          <w:p w14:paraId="062F032A"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008" w:type="dxa"/>
            <w:hideMark/>
          </w:tcPr>
          <w:p w14:paraId="549928EA"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19,062</w:t>
            </w:r>
          </w:p>
        </w:tc>
        <w:tc>
          <w:tcPr>
            <w:tcW w:w="1008" w:type="dxa"/>
            <w:hideMark/>
          </w:tcPr>
          <w:p w14:paraId="12C37DDD"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11,252</w:t>
            </w:r>
          </w:p>
        </w:tc>
      </w:tr>
      <w:tr w:rsidR="00172742" w:rsidRPr="002E19F8" w14:paraId="7FDB0F24" w14:textId="77777777" w:rsidTr="003B3851">
        <w:trPr>
          <w:trHeight w:val="302"/>
        </w:trPr>
        <w:tc>
          <w:tcPr>
            <w:tcW w:w="960" w:type="dxa"/>
            <w:noWrap/>
            <w:hideMark/>
          </w:tcPr>
          <w:p w14:paraId="1C69BC2F"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008" w:type="dxa"/>
            <w:hideMark/>
          </w:tcPr>
          <w:p w14:paraId="1F650FA6"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19,408</w:t>
            </w:r>
          </w:p>
        </w:tc>
        <w:tc>
          <w:tcPr>
            <w:tcW w:w="1008" w:type="dxa"/>
            <w:hideMark/>
          </w:tcPr>
          <w:p w14:paraId="03160C1B"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12,155</w:t>
            </w:r>
          </w:p>
        </w:tc>
      </w:tr>
      <w:tr w:rsidR="00172742" w:rsidRPr="002E19F8" w14:paraId="0ABF10FF" w14:textId="77777777" w:rsidTr="003B3851">
        <w:trPr>
          <w:trHeight w:val="302"/>
        </w:trPr>
        <w:tc>
          <w:tcPr>
            <w:tcW w:w="960" w:type="dxa"/>
            <w:noWrap/>
            <w:hideMark/>
          </w:tcPr>
          <w:p w14:paraId="11E0E626"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008" w:type="dxa"/>
            <w:hideMark/>
          </w:tcPr>
          <w:p w14:paraId="7BE9F2FA"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15,677</w:t>
            </w:r>
          </w:p>
        </w:tc>
        <w:tc>
          <w:tcPr>
            <w:tcW w:w="1008" w:type="dxa"/>
            <w:hideMark/>
          </w:tcPr>
          <w:p w14:paraId="591B6358"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8,949</w:t>
            </w:r>
          </w:p>
        </w:tc>
      </w:tr>
      <w:tr w:rsidR="00172742" w:rsidRPr="002E19F8" w14:paraId="40ACF866" w14:textId="77777777" w:rsidTr="003B3851">
        <w:trPr>
          <w:trHeight w:val="302"/>
        </w:trPr>
        <w:tc>
          <w:tcPr>
            <w:tcW w:w="960" w:type="dxa"/>
            <w:noWrap/>
            <w:hideMark/>
          </w:tcPr>
          <w:p w14:paraId="5EFBBAEF"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008" w:type="dxa"/>
            <w:hideMark/>
          </w:tcPr>
          <w:p w14:paraId="7A3F5AC8"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16,799</w:t>
            </w:r>
          </w:p>
        </w:tc>
        <w:tc>
          <w:tcPr>
            <w:tcW w:w="1008" w:type="dxa"/>
            <w:hideMark/>
          </w:tcPr>
          <w:p w14:paraId="6B8AA370"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9,989</w:t>
            </w:r>
          </w:p>
        </w:tc>
      </w:tr>
      <w:tr w:rsidR="00172742" w:rsidRPr="002E19F8" w14:paraId="437E2324" w14:textId="77777777" w:rsidTr="003B3851">
        <w:trPr>
          <w:trHeight w:val="302"/>
        </w:trPr>
        <w:tc>
          <w:tcPr>
            <w:tcW w:w="960" w:type="dxa"/>
            <w:noWrap/>
            <w:hideMark/>
          </w:tcPr>
          <w:p w14:paraId="46C22C82"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008" w:type="dxa"/>
            <w:hideMark/>
          </w:tcPr>
          <w:p w14:paraId="22324DB2"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17,388</w:t>
            </w:r>
          </w:p>
        </w:tc>
        <w:tc>
          <w:tcPr>
            <w:tcW w:w="1008" w:type="dxa"/>
            <w:hideMark/>
          </w:tcPr>
          <w:p w14:paraId="7EDB70AA" w14:textId="77777777" w:rsidR="00172742" w:rsidRPr="002E19F8" w:rsidRDefault="00172742" w:rsidP="00172742">
            <w:pPr>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10,928</w:t>
            </w:r>
          </w:p>
        </w:tc>
      </w:tr>
      <w:tr w:rsidR="003B3851" w:rsidRPr="002E19F8" w14:paraId="4B76F39C" w14:textId="77777777" w:rsidTr="003B3851">
        <w:trPr>
          <w:trHeight w:val="302"/>
        </w:trPr>
        <w:tc>
          <w:tcPr>
            <w:tcW w:w="960" w:type="dxa"/>
            <w:noWrap/>
          </w:tcPr>
          <w:p w14:paraId="3F42D0F6" w14:textId="0CC5A37E" w:rsidR="003B3851" w:rsidRPr="002E19F8" w:rsidRDefault="00B6536B" w:rsidP="00172742">
            <w:pPr>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1008" w:type="dxa"/>
          </w:tcPr>
          <w:p w14:paraId="01573E38" w14:textId="2F8E1582" w:rsidR="003B3851" w:rsidRPr="002E19F8" w:rsidRDefault="007F19B1" w:rsidP="00172742">
            <w:pPr>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17,675</w:t>
            </w:r>
          </w:p>
        </w:tc>
        <w:tc>
          <w:tcPr>
            <w:tcW w:w="1008" w:type="dxa"/>
          </w:tcPr>
          <w:p w14:paraId="0AFA9D73" w14:textId="12F9641A" w:rsidR="003B3851" w:rsidRPr="002E19F8" w:rsidRDefault="007F19B1" w:rsidP="00172742">
            <w:pPr>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11,194</w:t>
            </w:r>
          </w:p>
        </w:tc>
      </w:tr>
    </w:tbl>
    <w:p w14:paraId="4137575E" w14:textId="2F76D720" w:rsidR="00A06D38" w:rsidRPr="002E19F8" w:rsidRDefault="00EC318C" w:rsidP="00F809E0">
      <w:pPr>
        <w:spacing w:before="240" w:line="240" w:lineRule="auto"/>
        <w:rPr>
          <w:sz w:val="24"/>
          <w:szCs w:val="24"/>
        </w:rPr>
      </w:pPr>
      <w:r w:rsidRPr="002E19F8">
        <w:rPr>
          <w:b/>
          <w:sz w:val="24"/>
          <w:szCs w:val="24"/>
        </w:rPr>
        <w:t>Highlights:</w:t>
      </w:r>
      <w:r w:rsidRPr="002E19F8">
        <w:rPr>
          <w:sz w:val="24"/>
          <w:szCs w:val="24"/>
        </w:rPr>
        <w:t xml:space="preserve"> </w:t>
      </w:r>
      <w:r w:rsidR="007F19B1" w:rsidRPr="007F19B1">
        <w:rPr>
          <w:sz w:val="24"/>
          <w:szCs w:val="24"/>
        </w:rPr>
        <w:t>Graph depicts the average age of confirmed chlamydia cases by year between 2012 and 2023. The lowest average age is 23.8 years old for the year 2012 and then rises to a high average age of 26.4 years old in 2023.</w:t>
      </w:r>
    </w:p>
    <w:p w14:paraId="0FB5DF1C" w14:textId="76557C57" w:rsidR="00A06D38" w:rsidRPr="002E19F8" w:rsidRDefault="00EC318C" w:rsidP="52C804C8">
      <w:pPr>
        <w:spacing w:after="0" w:line="240" w:lineRule="auto"/>
        <w:rPr>
          <w:sz w:val="24"/>
          <w:szCs w:val="24"/>
        </w:rPr>
      </w:pPr>
      <w:r w:rsidRPr="002E19F8">
        <w:rPr>
          <w:b/>
          <w:sz w:val="24"/>
          <w:szCs w:val="24"/>
        </w:rPr>
        <w:t>Footnotes</w:t>
      </w:r>
      <w:r w:rsidR="332CFD32" w:rsidRPr="002E19F8">
        <w:rPr>
          <w:b/>
          <w:bCs/>
          <w:sz w:val="24"/>
          <w:szCs w:val="24"/>
        </w:rPr>
        <w:t xml:space="preserve"> for Slide 8</w:t>
      </w:r>
      <w:r w:rsidRPr="002E19F8">
        <w:rPr>
          <w:b/>
          <w:bCs/>
          <w:sz w:val="24"/>
          <w:szCs w:val="24"/>
        </w:rPr>
        <w:t xml:space="preserve"> </w:t>
      </w:r>
    </w:p>
    <w:p w14:paraId="1E0C67E2" w14:textId="77777777" w:rsidR="00C80B4B" w:rsidRPr="00C80B4B" w:rsidRDefault="00C80B4B" w:rsidP="00C80B4B">
      <w:pPr>
        <w:spacing w:after="0" w:line="240" w:lineRule="auto"/>
        <w:rPr>
          <w:sz w:val="24"/>
          <w:szCs w:val="24"/>
        </w:rPr>
      </w:pPr>
      <w:r w:rsidRPr="00C80B4B">
        <w:rPr>
          <w:sz w:val="24"/>
          <w:szCs w:val="24"/>
        </w:rPr>
        <w:t>Data are current as of 08/01/2024 and are subject to change. </w:t>
      </w:r>
    </w:p>
    <w:p w14:paraId="5CFA0844" w14:textId="77777777" w:rsidR="00C80B4B" w:rsidRPr="00C80B4B" w:rsidRDefault="00C80B4B" w:rsidP="00C80B4B">
      <w:pPr>
        <w:spacing w:after="0" w:line="240" w:lineRule="auto"/>
        <w:rPr>
          <w:sz w:val="24"/>
          <w:szCs w:val="24"/>
        </w:rPr>
      </w:pPr>
      <w:r w:rsidRPr="00C80B4B">
        <w:rPr>
          <w:sz w:val="24"/>
          <w:szCs w:val="24"/>
        </w:rPr>
        <w:t>Data Source: Massachusetts Department of Public Health/Bureau of Infectious Disease and Laboratory Sciences/ Division of STD Prevention and STD-HIV Surveillance.</w:t>
      </w:r>
    </w:p>
    <w:p w14:paraId="7F1BF742" w14:textId="77777777" w:rsidR="00C80B4B" w:rsidRPr="00C80B4B" w:rsidRDefault="00C80B4B" w:rsidP="00C80B4B">
      <w:pPr>
        <w:spacing w:after="0" w:line="240" w:lineRule="auto"/>
        <w:rPr>
          <w:sz w:val="24"/>
          <w:szCs w:val="24"/>
        </w:rPr>
      </w:pPr>
      <w:r w:rsidRPr="00C80B4B">
        <w:rPr>
          <w:sz w:val="24"/>
          <w:szCs w:val="24"/>
        </w:rPr>
        <w:t>1. Individuals of transgender experience that did not have complete gender data as of 08/01/2024 may not be included within this slide. </w:t>
      </w:r>
    </w:p>
    <w:p w14:paraId="6EE9A805" w14:textId="77777777" w:rsidR="00C80B4B" w:rsidRPr="00C80B4B" w:rsidRDefault="00C80B4B" w:rsidP="00C80B4B">
      <w:pPr>
        <w:spacing w:after="0" w:line="240" w:lineRule="auto"/>
        <w:rPr>
          <w:sz w:val="24"/>
          <w:szCs w:val="24"/>
        </w:rPr>
      </w:pPr>
      <w:r w:rsidRPr="00C80B4B">
        <w:rPr>
          <w:sz w:val="24"/>
          <w:szCs w:val="24"/>
        </w:rPr>
        <w:t>2. Please consider the impact of the COVID-19 pandemic on infectious disease screening, treatment and surveillance in the interpretation of 2020-2023 data.</w:t>
      </w:r>
    </w:p>
    <w:p w14:paraId="3BD7D080" w14:textId="77777777" w:rsidR="00A06D38" w:rsidRPr="002E19F8" w:rsidRDefault="00A06D38" w:rsidP="00A06D38">
      <w:pPr>
        <w:spacing w:after="0" w:line="240" w:lineRule="auto"/>
        <w:rPr>
          <w:sz w:val="24"/>
          <w:szCs w:val="24"/>
        </w:rPr>
      </w:pPr>
    </w:p>
    <w:p w14:paraId="03BDE2DD" w14:textId="76403457" w:rsidR="00A06D38" w:rsidRPr="00523883" w:rsidRDefault="00A06D38" w:rsidP="00C6176E">
      <w:pPr>
        <w:pStyle w:val="Heading2"/>
      </w:pPr>
      <w:bookmarkStart w:id="8" w:name="_Toc184132220"/>
      <w:r w:rsidRPr="00523883">
        <w:rPr>
          <w:rStyle w:val="Heading1Char"/>
          <w:sz w:val="28"/>
          <w:szCs w:val="28"/>
        </w:rPr>
        <w:t>Slide 9 - Rate of Confirmed Gonorrhea Cases, Massachusetts, 2000 to 202</w:t>
      </w:r>
      <w:r w:rsidR="00523883" w:rsidRPr="00523883">
        <w:rPr>
          <w:rStyle w:val="Heading1Char"/>
          <w:sz w:val="28"/>
          <w:szCs w:val="28"/>
        </w:rPr>
        <w:t>3</w:t>
      </w:r>
      <w:r w:rsidRPr="00523883">
        <w:rPr>
          <w:rStyle w:val="Heading1Char"/>
          <w:sz w:val="28"/>
          <w:szCs w:val="28"/>
          <w:vertAlign w:val="superscript"/>
        </w:rPr>
        <w:t>1</w:t>
      </w:r>
      <w:bookmarkEnd w:id="8"/>
    </w:p>
    <w:p w14:paraId="2ED63CAF" w14:textId="222D2B3F" w:rsidR="00F1666D" w:rsidRDefault="00F1666D" w:rsidP="00A06D38">
      <w:pPr>
        <w:spacing w:after="0" w:line="240" w:lineRule="auto"/>
        <w:rPr>
          <w:b/>
          <w:sz w:val="24"/>
          <w:szCs w:val="24"/>
        </w:rPr>
      </w:pPr>
      <w:bookmarkStart w:id="9" w:name="_Hlk161236593"/>
      <w:r>
        <w:rPr>
          <w:b/>
          <w:noProof/>
          <w:sz w:val="24"/>
          <w:szCs w:val="24"/>
        </w:rPr>
        <w:drawing>
          <wp:inline distT="0" distB="0" distL="0" distR="0" wp14:anchorId="05E240B8" wp14:editId="217CD34E">
            <wp:extent cx="5934075" cy="1948180"/>
            <wp:effectExtent l="0" t="0" r="9525" b="0"/>
            <wp:docPr id="396869492" name="Picture 396869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69492" name="Picture 39686949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948180"/>
                    </a:xfrm>
                    <a:prstGeom prst="rect">
                      <a:avLst/>
                    </a:prstGeom>
                    <a:noFill/>
                    <a:ln>
                      <a:noFill/>
                    </a:ln>
                  </pic:spPr>
                </pic:pic>
              </a:graphicData>
            </a:graphic>
          </wp:inline>
        </w:drawing>
      </w:r>
    </w:p>
    <w:p w14:paraId="64E84758" w14:textId="2B09B7A0" w:rsidR="00A06D38" w:rsidRPr="002E19F8" w:rsidRDefault="00A06D38" w:rsidP="00A06D38">
      <w:pPr>
        <w:spacing w:after="0" w:line="240" w:lineRule="auto"/>
        <w:rPr>
          <w:b/>
          <w:sz w:val="24"/>
          <w:szCs w:val="24"/>
        </w:rPr>
      </w:pPr>
      <w:r w:rsidRPr="002E19F8">
        <w:rPr>
          <w:b/>
          <w:sz w:val="24"/>
          <w:szCs w:val="24"/>
        </w:rPr>
        <w:t>Table: Gonorrhea Annual Case Counts</w:t>
      </w:r>
    </w:p>
    <w:tbl>
      <w:tblPr>
        <w:tblW w:w="1920" w:type="dxa"/>
        <w:tblLook w:val="0420" w:firstRow="1" w:lastRow="0" w:firstColumn="0" w:lastColumn="0" w:noHBand="0" w:noVBand="1"/>
      </w:tblPr>
      <w:tblGrid>
        <w:gridCol w:w="960"/>
        <w:gridCol w:w="960"/>
      </w:tblGrid>
      <w:tr w:rsidR="00A06D38" w:rsidRPr="002E19F8" w14:paraId="614202C3" w14:textId="77777777" w:rsidTr="00A06D38">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B9DF0" w14:textId="77777777" w:rsidR="00A06D38" w:rsidRPr="002E19F8" w:rsidRDefault="00A06D38" w:rsidP="00A06D38">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F6E1D1" w14:textId="77777777" w:rsidR="00A06D38" w:rsidRPr="002E19F8" w:rsidRDefault="00A06D38" w:rsidP="00A06D38">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A06D38" w:rsidRPr="002E19F8" w14:paraId="18D97192"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70EC2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2000</w:t>
            </w:r>
          </w:p>
        </w:tc>
        <w:tc>
          <w:tcPr>
            <w:tcW w:w="960" w:type="dxa"/>
            <w:tcBorders>
              <w:top w:val="nil"/>
              <w:left w:val="nil"/>
              <w:bottom w:val="single" w:sz="4" w:space="0" w:color="auto"/>
              <w:right w:val="single" w:sz="4" w:space="0" w:color="auto"/>
            </w:tcBorders>
            <w:shd w:val="clear" w:color="auto" w:fill="auto"/>
            <w:vAlign w:val="center"/>
            <w:hideMark/>
          </w:tcPr>
          <w:p w14:paraId="53204A9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2,748</w:t>
            </w:r>
          </w:p>
        </w:tc>
      </w:tr>
      <w:tr w:rsidR="00A06D38" w:rsidRPr="002E19F8" w14:paraId="3C22FECC"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E6C02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2001</w:t>
            </w:r>
          </w:p>
        </w:tc>
        <w:tc>
          <w:tcPr>
            <w:tcW w:w="960" w:type="dxa"/>
            <w:tcBorders>
              <w:top w:val="nil"/>
              <w:left w:val="nil"/>
              <w:bottom w:val="single" w:sz="4" w:space="0" w:color="auto"/>
              <w:right w:val="single" w:sz="4" w:space="0" w:color="auto"/>
            </w:tcBorders>
            <w:shd w:val="clear" w:color="auto" w:fill="auto"/>
            <w:vAlign w:val="center"/>
            <w:hideMark/>
          </w:tcPr>
          <w:p w14:paraId="7766C1B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3,121</w:t>
            </w:r>
          </w:p>
        </w:tc>
      </w:tr>
      <w:tr w:rsidR="00A06D38" w:rsidRPr="002E19F8" w14:paraId="2D2224BA"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95A643"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2002</w:t>
            </w:r>
          </w:p>
        </w:tc>
        <w:tc>
          <w:tcPr>
            <w:tcW w:w="960" w:type="dxa"/>
            <w:tcBorders>
              <w:top w:val="nil"/>
              <w:left w:val="nil"/>
              <w:bottom w:val="single" w:sz="4" w:space="0" w:color="auto"/>
              <w:right w:val="single" w:sz="4" w:space="0" w:color="auto"/>
            </w:tcBorders>
            <w:shd w:val="clear" w:color="auto" w:fill="auto"/>
            <w:vAlign w:val="center"/>
            <w:hideMark/>
          </w:tcPr>
          <w:p w14:paraId="79181D1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3,156</w:t>
            </w:r>
          </w:p>
        </w:tc>
      </w:tr>
      <w:tr w:rsidR="00A06D38" w:rsidRPr="002E19F8" w14:paraId="0DBFCB75"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7ADC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2003</w:t>
            </w:r>
          </w:p>
        </w:tc>
        <w:tc>
          <w:tcPr>
            <w:tcW w:w="960" w:type="dxa"/>
            <w:tcBorders>
              <w:top w:val="nil"/>
              <w:left w:val="nil"/>
              <w:bottom w:val="single" w:sz="4" w:space="0" w:color="auto"/>
              <w:right w:val="single" w:sz="4" w:space="0" w:color="auto"/>
            </w:tcBorders>
            <w:shd w:val="clear" w:color="auto" w:fill="auto"/>
            <w:vAlign w:val="center"/>
            <w:hideMark/>
          </w:tcPr>
          <w:p w14:paraId="0002FD65"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2,819</w:t>
            </w:r>
          </w:p>
        </w:tc>
      </w:tr>
      <w:tr w:rsidR="00A06D38" w:rsidRPr="002E19F8" w14:paraId="1BAC48D6"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ED1117"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2004</w:t>
            </w:r>
          </w:p>
        </w:tc>
        <w:tc>
          <w:tcPr>
            <w:tcW w:w="960" w:type="dxa"/>
            <w:tcBorders>
              <w:top w:val="nil"/>
              <w:left w:val="nil"/>
              <w:bottom w:val="single" w:sz="4" w:space="0" w:color="auto"/>
              <w:right w:val="single" w:sz="4" w:space="0" w:color="auto"/>
            </w:tcBorders>
            <w:shd w:val="clear" w:color="auto" w:fill="auto"/>
            <w:vAlign w:val="center"/>
            <w:hideMark/>
          </w:tcPr>
          <w:p w14:paraId="4EB54887"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3,038</w:t>
            </w:r>
          </w:p>
        </w:tc>
      </w:tr>
      <w:tr w:rsidR="00A06D38" w:rsidRPr="002E19F8" w14:paraId="3B90294D"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72F72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2005</w:t>
            </w:r>
          </w:p>
        </w:tc>
        <w:tc>
          <w:tcPr>
            <w:tcW w:w="960" w:type="dxa"/>
            <w:tcBorders>
              <w:top w:val="nil"/>
              <w:left w:val="nil"/>
              <w:bottom w:val="single" w:sz="4" w:space="0" w:color="auto"/>
              <w:right w:val="single" w:sz="4" w:space="0" w:color="auto"/>
            </w:tcBorders>
            <w:shd w:val="clear" w:color="auto" w:fill="auto"/>
            <w:vAlign w:val="center"/>
            <w:hideMark/>
          </w:tcPr>
          <w:p w14:paraId="44819DD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2,542</w:t>
            </w:r>
          </w:p>
        </w:tc>
      </w:tr>
      <w:tr w:rsidR="00A06D38" w:rsidRPr="002E19F8" w14:paraId="5E277467"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8D48A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2006</w:t>
            </w:r>
          </w:p>
        </w:tc>
        <w:tc>
          <w:tcPr>
            <w:tcW w:w="960" w:type="dxa"/>
            <w:tcBorders>
              <w:top w:val="nil"/>
              <w:left w:val="nil"/>
              <w:bottom w:val="single" w:sz="4" w:space="0" w:color="auto"/>
              <w:right w:val="single" w:sz="4" w:space="0" w:color="auto"/>
            </w:tcBorders>
            <w:shd w:val="clear" w:color="auto" w:fill="auto"/>
            <w:vAlign w:val="center"/>
            <w:hideMark/>
          </w:tcPr>
          <w:p w14:paraId="5B29657E"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2,429</w:t>
            </w:r>
          </w:p>
        </w:tc>
      </w:tr>
      <w:tr w:rsidR="00A06D38" w:rsidRPr="002E19F8" w14:paraId="323497C1"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A98742"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2007</w:t>
            </w:r>
          </w:p>
        </w:tc>
        <w:tc>
          <w:tcPr>
            <w:tcW w:w="960" w:type="dxa"/>
            <w:tcBorders>
              <w:top w:val="nil"/>
              <w:left w:val="nil"/>
              <w:bottom w:val="single" w:sz="4" w:space="0" w:color="auto"/>
              <w:right w:val="single" w:sz="4" w:space="0" w:color="auto"/>
            </w:tcBorders>
            <w:shd w:val="clear" w:color="auto" w:fill="auto"/>
            <w:vAlign w:val="center"/>
            <w:hideMark/>
          </w:tcPr>
          <w:p w14:paraId="44B6C1C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2,729</w:t>
            </w:r>
          </w:p>
        </w:tc>
      </w:tr>
      <w:tr w:rsidR="00A06D38" w:rsidRPr="002E19F8" w14:paraId="6FEB43A3"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AEA44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2008</w:t>
            </w:r>
          </w:p>
        </w:tc>
        <w:tc>
          <w:tcPr>
            <w:tcW w:w="960" w:type="dxa"/>
            <w:tcBorders>
              <w:top w:val="nil"/>
              <w:left w:val="nil"/>
              <w:bottom w:val="single" w:sz="4" w:space="0" w:color="auto"/>
              <w:right w:val="single" w:sz="4" w:space="0" w:color="auto"/>
            </w:tcBorders>
            <w:shd w:val="clear" w:color="auto" w:fill="auto"/>
            <w:vAlign w:val="center"/>
            <w:hideMark/>
          </w:tcPr>
          <w:p w14:paraId="14DFFCA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2,077</w:t>
            </w:r>
          </w:p>
        </w:tc>
      </w:tr>
      <w:tr w:rsidR="00A06D38" w:rsidRPr="002E19F8" w14:paraId="36A5A6C8"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8EC94A"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2009</w:t>
            </w:r>
          </w:p>
        </w:tc>
        <w:tc>
          <w:tcPr>
            <w:tcW w:w="960" w:type="dxa"/>
            <w:tcBorders>
              <w:top w:val="nil"/>
              <w:left w:val="nil"/>
              <w:bottom w:val="single" w:sz="4" w:space="0" w:color="auto"/>
              <w:right w:val="single" w:sz="4" w:space="0" w:color="auto"/>
            </w:tcBorders>
            <w:shd w:val="clear" w:color="auto" w:fill="auto"/>
            <w:vAlign w:val="center"/>
            <w:hideMark/>
          </w:tcPr>
          <w:p w14:paraId="13CCE624"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1,917</w:t>
            </w:r>
          </w:p>
        </w:tc>
      </w:tr>
      <w:tr w:rsidR="00A06D38" w:rsidRPr="002E19F8" w14:paraId="4A775CFB"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FC06E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auto"/>
            <w:vAlign w:val="center"/>
            <w:hideMark/>
          </w:tcPr>
          <w:p w14:paraId="5EA0660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2,495</w:t>
            </w:r>
          </w:p>
        </w:tc>
      </w:tr>
      <w:tr w:rsidR="00A06D38" w:rsidRPr="002E19F8" w14:paraId="3A57EC94"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36F0B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auto"/>
            <w:vAlign w:val="center"/>
            <w:hideMark/>
          </w:tcPr>
          <w:p w14:paraId="36BE3730"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2,345</w:t>
            </w:r>
          </w:p>
        </w:tc>
      </w:tr>
      <w:tr w:rsidR="00A06D38" w:rsidRPr="002E19F8" w14:paraId="54125D70"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1BAFD3"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auto"/>
            <w:vAlign w:val="center"/>
            <w:hideMark/>
          </w:tcPr>
          <w:p w14:paraId="7335051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2,665</w:t>
            </w:r>
          </w:p>
        </w:tc>
      </w:tr>
      <w:tr w:rsidR="00A06D38" w:rsidRPr="002E19F8" w14:paraId="3FE14A17"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7702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auto"/>
            <w:vAlign w:val="center"/>
            <w:hideMark/>
          </w:tcPr>
          <w:p w14:paraId="4FB723B2"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3,156</w:t>
            </w:r>
          </w:p>
        </w:tc>
      </w:tr>
      <w:tr w:rsidR="00A06D38" w:rsidRPr="002E19F8" w14:paraId="7507D92E"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E439C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auto"/>
            <w:vAlign w:val="center"/>
            <w:hideMark/>
          </w:tcPr>
          <w:p w14:paraId="0E8A91C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3,657</w:t>
            </w:r>
          </w:p>
        </w:tc>
      </w:tr>
      <w:tr w:rsidR="00A06D38" w:rsidRPr="002E19F8" w14:paraId="7070D3A9"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23C20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auto"/>
            <w:vAlign w:val="center"/>
            <w:hideMark/>
          </w:tcPr>
          <w:p w14:paraId="7BD689C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3,592</w:t>
            </w:r>
          </w:p>
        </w:tc>
      </w:tr>
      <w:tr w:rsidR="00A06D38" w:rsidRPr="002E19F8" w14:paraId="0557AF8F"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74ED1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auto"/>
            <w:vAlign w:val="center"/>
            <w:hideMark/>
          </w:tcPr>
          <w:p w14:paraId="27B9289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4,638</w:t>
            </w:r>
          </w:p>
        </w:tc>
      </w:tr>
      <w:tr w:rsidR="00A06D38" w:rsidRPr="002E19F8" w14:paraId="34681CDC"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F6ADFC"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auto"/>
            <w:vAlign w:val="center"/>
            <w:hideMark/>
          </w:tcPr>
          <w:p w14:paraId="057D5665"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7,293</w:t>
            </w:r>
          </w:p>
        </w:tc>
      </w:tr>
      <w:tr w:rsidR="00A06D38" w:rsidRPr="002E19F8" w14:paraId="4DFC8FF6"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7F84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auto"/>
            <w:vAlign w:val="center"/>
            <w:hideMark/>
          </w:tcPr>
          <w:p w14:paraId="2D6D1CF4"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7,660</w:t>
            </w:r>
          </w:p>
        </w:tc>
      </w:tr>
      <w:tr w:rsidR="00A06D38" w:rsidRPr="002E19F8" w14:paraId="5E1E0283"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2BA99B"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auto"/>
            <w:vAlign w:val="center"/>
            <w:hideMark/>
          </w:tcPr>
          <w:p w14:paraId="3F1685F6"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7,170</w:t>
            </w:r>
          </w:p>
        </w:tc>
      </w:tr>
      <w:tr w:rsidR="00A06D38" w:rsidRPr="002E19F8" w14:paraId="6833FD39"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5334C1"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auto"/>
            <w:vAlign w:val="center"/>
            <w:hideMark/>
          </w:tcPr>
          <w:p w14:paraId="531BAFCC" w14:textId="485C7F93"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7,30</w:t>
            </w:r>
            <w:r w:rsidR="009611E4" w:rsidRPr="002E19F8">
              <w:rPr>
                <w:rFonts w:eastAsia="Times New Roman"/>
                <w:color w:val="000000"/>
                <w:kern w:val="0"/>
                <w:sz w:val="24"/>
                <w:szCs w:val="24"/>
                <w14:ligatures w14:val="none"/>
              </w:rPr>
              <w:t>3</w:t>
            </w:r>
          </w:p>
        </w:tc>
      </w:tr>
      <w:tr w:rsidR="00A06D38" w:rsidRPr="002E19F8" w14:paraId="38CCD9AF" w14:textId="77777777" w:rsidTr="00A06D38">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8664ED"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auto"/>
            <w:vAlign w:val="center"/>
            <w:hideMark/>
          </w:tcPr>
          <w:p w14:paraId="17DA9D2F"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8,099</w:t>
            </w:r>
          </w:p>
        </w:tc>
      </w:tr>
      <w:tr w:rsidR="00A06D38" w:rsidRPr="002E19F8" w14:paraId="216E1A6D" w14:textId="77777777" w:rsidTr="00F1666D">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C7DE99"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auto"/>
            <w:vAlign w:val="center"/>
            <w:hideMark/>
          </w:tcPr>
          <w:p w14:paraId="7FB36D1E" w14:textId="77777777" w:rsidR="00A06D38" w:rsidRPr="002E19F8" w:rsidRDefault="00A06D38" w:rsidP="00A06D38">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9,218</w:t>
            </w:r>
          </w:p>
        </w:tc>
      </w:tr>
      <w:tr w:rsidR="00F1666D" w:rsidRPr="002E19F8" w14:paraId="3D6403D8" w14:textId="77777777" w:rsidTr="00F1666D">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23A6E" w14:textId="14EA70C1" w:rsidR="00F1666D" w:rsidRPr="002E19F8" w:rsidRDefault="00F1666D" w:rsidP="00A06D3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auto"/>
            <w:vAlign w:val="center"/>
          </w:tcPr>
          <w:p w14:paraId="3CE87883" w14:textId="58E0CAB7" w:rsidR="00F1666D" w:rsidRPr="002E19F8" w:rsidRDefault="00F1666D" w:rsidP="00A06D3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9,779</w:t>
            </w:r>
          </w:p>
        </w:tc>
      </w:tr>
    </w:tbl>
    <w:bookmarkEnd w:id="9"/>
    <w:p w14:paraId="0A673BE5" w14:textId="45888F75" w:rsidR="00A06D38" w:rsidRDefault="00A06D38" w:rsidP="00F809E0">
      <w:pPr>
        <w:spacing w:before="240" w:after="0" w:line="240" w:lineRule="auto"/>
        <w:rPr>
          <w:sz w:val="24"/>
          <w:szCs w:val="24"/>
        </w:rPr>
      </w:pPr>
      <w:r w:rsidRPr="002E19F8">
        <w:rPr>
          <w:b/>
          <w:sz w:val="24"/>
          <w:szCs w:val="24"/>
        </w:rPr>
        <w:t>Highlights:</w:t>
      </w:r>
      <w:r w:rsidRPr="002E19F8">
        <w:rPr>
          <w:sz w:val="24"/>
          <w:szCs w:val="24"/>
        </w:rPr>
        <w:t xml:space="preserve"> </w:t>
      </w:r>
      <w:r w:rsidR="00523883" w:rsidRPr="00523883">
        <w:rPr>
          <w:sz w:val="24"/>
          <w:szCs w:val="24"/>
        </w:rPr>
        <w:t>Graph depicts the rate per 100,000 population of confirmed cases of gonorrhea in Massachusetts between 2000 and 2023. It begins at 43.3 in 2000, drops to a low of 29.4 in 2009 and climbs to a high of 139.1 in 2023.</w:t>
      </w:r>
    </w:p>
    <w:p w14:paraId="565720A3" w14:textId="77777777" w:rsidR="008271F5" w:rsidRPr="002E19F8" w:rsidRDefault="008271F5" w:rsidP="00F809E0">
      <w:pPr>
        <w:spacing w:before="240" w:after="0" w:line="240" w:lineRule="auto"/>
        <w:rPr>
          <w:sz w:val="24"/>
          <w:szCs w:val="24"/>
        </w:rPr>
      </w:pPr>
    </w:p>
    <w:p w14:paraId="34995F16" w14:textId="4A5A7CFA" w:rsidR="00A06D38" w:rsidRPr="002E19F8" w:rsidRDefault="00A06D38" w:rsidP="52C804C8">
      <w:pPr>
        <w:spacing w:before="40" w:after="0" w:line="240" w:lineRule="auto"/>
        <w:rPr>
          <w:sz w:val="24"/>
          <w:szCs w:val="24"/>
        </w:rPr>
      </w:pPr>
      <w:r w:rsidRPr="002E19F8">
        <w:rPr>
          <w:b/>
          <w:sz w:val="24"/>
          <w:szCs w:val="24"/>
        </w:rPr>
        <w:t>Footnotes</w:t>
      </w:r>
      <w:r w:rsidR="685486D2" w:rsidRPr="002E19F8">
        <w:rPr>
          <w:b/>
          <w:bCs/>
          <w:sz w:val="24"/>
          <w:szCs w:val="24"/>
        </w:rPr>
        <w:t xml:space="preserve"> for Slide 9</w:t>
      </w:r>
    </w:p>
    <w:p w14:paraId="08EE592F" w14:textId="77777777" w:rsidR="00523883" w:rsidRPr="00523883" w:rsidRDefault="00523883" w:rsidP="00523883">
      <w:pPr>
        <w:spacing w:after="0" w:line="240" w:lineRule="auto"/>
        <w:rPr>
          <w:sz w:val="24"/>
          <w:szCs w:val="24"/>
        </w:rPr>
      </w:pPr>
      <w:r w:rsidRPr="00523883">
        <w:rPr>
          <w:sz w:val="24"/>
          <w:szCs w:val="24"/>
        </w:rPr>
        <w:t>Data are current as of 08/01/2024 and are subject to change. </w:t>
      </w:r>
    </w:p>
    <w:p w14:paraId="3AE009CF" w14:textId="77777777" w:rsidR="00523883" w:rsidRPr="00523883" w:rsidRDefault="00523883" w:rsidP="00523883">
      <w:pPr>
        <w:spacing w:after="0" w:line="240" w:lineRule="auto"/>
        <w:rPr>
          <w:sz w:val="24"/>
          <w:szCs w:val="24"/>
        </w:rPr>
      </w:pPr>
      <w:r w:rsidRPr="00523883">
        <w:rPr>
          <w:sz w:val="24"/>
          <w:szCs w:val="24"/>
        </w:rPr>
        <w:t>Data Source: Massachusetts Department of Public Health/Bureau of Infectious Disease and Laboratory Sciences/ Division of STD Prevention and STD-HIV Surveillance.</w:t>
      </w:r>
    </w:p>
    <w:p w14:paraId="3FE52AB5" w14:textId="77777777" w:rsidR="00523883" w:rsidRPr="00523883" w:rsidRDefault="00523883" w:rsidP="00523883">
      <w:pPr>
        <w:spacing w:after="0" w:line="240" w:lineRule="auto"/>
        <w:rPr>
          <w:sz w:val="24"/>
          <w:szCs w:val="24"/>
        </w:rPr>
      </w:pPr>
      <w:r w:rsidRPr="00523883">
        <w:rPr>
          <w:sz w:val="24"/>
          <w:szCs w:val="24"/>
        </w:rPr>
        <w:t>Population denominators estimated by the University of Massachusetts Donahue Institute using a modified Hamilton-Perry model (Strate S, et al. Small Area Population Estimates for 2011 through 2020 report, Oct 2016).</w:t>
      </w:r>
    </w:p>
    <w:p w14:paraId="13CE996B" w14:textId="55A439CB" w:rsidR="00A06D38" w:rsidRPr="002E19F8" w:rsidRDefault="00523883" w:rsidP="00523883">
      <w:pPr>
        <w:spacing w:after="0" w:line="240" w:lineRule="auto"/>
        <w:rPr>
          <w:b/>
          <w:sz w:val="24"/>
          <w:szCs w:val="24"/>
        </w:rPr>
      </w:pPr>
      <w:r w:rsidRPr="00523883">
        <w:rPr>
          <w:sz w:val="24"/>
          <w:szCs w:val="24"/>
        </w:rPr>
        <w:t>1. Please consider the impact of the COVID-19 pandemic on infectious disease screening, treatment and surveillance in the interpretation of 2020-2023 data.</w:t>
      </w:r>
    </w:p>
    <w:p w14:paraId="6D42A391" w14:textId="77777777" w:rsidR="00523883" w:rsidRDefault="00523883">
      <w:pPr>
        <w:rPr>
          <w:b/>
          <w:bCs/>
          <w:sz w:val="24"/>
          <w:szCs w:val="24"/>
        </w:rPr>
      </w:pPr>
    </w:p>
    <w:p w14:paraId="6ABD313D" w14:textId="3089F4A7" w:rsidR="00BF3C8D" w:rsidRPr="002E19F8" w:rsidRDefault="00BF3C8D">
      <w:pPr>
        <w:rPr>
          <w:b/>
          <w:bCs/>
          <w:sz w:val="24"/>
          <w:szCs w:val="24"/>
        </w:rPr>
      </w:pPr>
    </w:p>
    <w:p w14:paraId="0E28D461" w14:textId="56A4F538" w:rsidR="007E504C" w:rsidRPr="002033DB" w:rsidRDefault="007E504C" w:rsidP="003F6E82">
      <w:pPr>
        <w:pStyle w:val="Heading2"/>
      </w:pPr>
      <w:bookmarkStart w:id="10" w:name="_Toc184132221"/>
      <w:r w:rsidRPr="002E19F8">
        <w:t xml:space="preserve">Slide 10 - </w:t>
      </w:r>
      <w:r w:rsidR="002033DB" w:rsidRPr="002033DB">
        <w:t>Rate of Confirmed Gonorrhea Cases by Gender</w:t>
      </w:r>
      <w:r w:rsidR="002033DB" w:rsidRPr="002033DB">
        <w:rPr>
          <w:vertAlign w:val="superscript"/>
        </w:rPr>
        <w:t>1</w:t>
      </w:r>
      <w:r w:rsidR="002033DB" w:rsidRPr="002033DB">
        <w:t>,</w:t>
      </w:r>
      <w:r w:rsidR="002033DB" w:rsidRPr="002033DB">
        <w:rPr>
          <w:vertAlign w:val="superscript"/>
        </w:rPr>
        <w:t xml:space="preserve"> </w:t>
      </w:r>
      <w:r w:rsidR="002033DB" w:rsidRPr="002033DB">
        <w:t>Massachusetts, 2010-2023</w:t>
      </w:r>
      <w:r w:rsidR="002033DB" w:rsidRPr="002033DB">
        <w:rPr>
          <w:vertAlign w:val="superscript"/>
        </w:rPr>
        <w:t>2</w:t>
      </w:r>
      <w:bookmarkEnd w:id="10"/>
    </w:p>
    <w:p w14:paraId="28CB9C03" w14:textId="0DE8D348" w:rsidR="007E504C" w:rsidRPr="002E19F8" w:rsidRDefault="008A764C" w:rsidP="007E504C">
      <w:pPr>
        <w:spacing w:after="0" w:line="240" w:lineRule="auto"/>
        <w:rPr>
          <w:sz w:val="24"/>
          <w:szCs w:val="24"/>
        </w:rPr>
      </w:pPr>
      <w:r>
        <w:rPr>
          <w:noProof/>
          <w:sz w:val="24"/>
          <w:szCs w:val="24"/>
        </w:rPr>
        <w:drawing>
          <wp:inline distT="0" distB="0" distL="0" distR="0" wp14:anchorId="6ABEEF3C" wp14:editId="4CC32B2E">
            <wp:extent cx="5939155" cy="1733550"/>
            <wp:effectExtent l="0" t="0" r="4445" b="0"/>
            <wp:docPr id="39099270" name="Picture 3909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9270" name="Picture 3909927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1733550"/>
                    </a:xfrm>
                    <a:prstGeom prst="rect">
                      <a:avLst/>
                    </a:prstGeom>
                    <a:noFill/>
                    <a:ln>
                      <a:noFill/>
                    </a:ln>
                  </pic:spPr>
                </pic:pic>
              </a:graphicData>
            </a:graphic>
          </wp:inline>
        </w:drawing>
      </w:r>
    </w:p>
    <w:p w14:paraId="46A000D0" w14:textId="0A6AC462" w:rsidR="007E504C" w:rsidRPr="002E19F8" w:rsidRDefault="007E504C" w:rsidP="007E504C">
      <w:pPr>
        <w:spacing w:after="0" w:line="240" w:lineRule="auto"/>
        <w:rPr>
          <w:b/>
          <w:sz w:val="24"/>
          <w:szCs w:val="24"/>
        </w:rPr>
      </w:pPr>
      <w:r w:rsidRPr="002E19F8">
        <w:rPr>
          <w:b/>
          <w:sz w:val="24"/>
          <w:szCs w:val="24"/>
        </w:rPr>
        <w:t>Table: Gonorrhea Annual Case Counts by Current Gender</w:t>
      </w:r>
    </w:p>
    <w:tbl>
      <w:tblPr>
        <w:tblW w:w="3120" w:type="dxa"/>
        <w:tblLook w:val="0420" w:firstRow="1" w:lastRow="0" w:firstColumn="0" w:lastColumn="0" w:noHBand="0" w:noVBand="1"/>
      </w:tblPr>
      <w:tblGrid>
        <w:gridCol w:w="960"/>
        <w:gridCol w:w="1152"/>
        <w:gridCol w:w="1008"/>
      </w:tblGrid>
      <w:tr w:rsidR="007E504C" w:rsidRPr="002E19F8" w14:paraId="5C062D97" w14:textId="77777777" w:rsidTr="004349DE">
        <w:trPr>
          <w:trHeight w:val="3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2DF70"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B2C8AC"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0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C92110" w14:textId="77777777" w:rsidR="007E504C" w:rsidRPr="002E19F8" w:rsidRDefault="007E504C" w:rsidP="007E504C">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7E504C" w:rsidRPr="002E19F8" w14:paraId="1FE9EADF"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FDE5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FD152F9"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1,012</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3C68EA1B"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1,483</w:t>
            </w:r>
          </w:p>
        </w:tc>
      </w:tr>
      <w:tr w:rsidR="007E504C" w:rsidRPr="002E19F8" w14:paraId="3F426417"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E4376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D2EC58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1,069</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765BEA8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1,275</w:t>
            </w:r>
          </w:p>
        </w:tc>
      </w:tr>
      <w:tr w:rsidR="007E504C" w:rsidRPr="002E19F8" w14:paraId="1C887D47"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068EC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3A18DD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1,085</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07CB47A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1,579</w:t>
            </w:r>
          </w:p>
        </w:tc>
      </w:tr>
      <w:tr w:rsidR="007E504C" w:rsidRPr="002E19F8" w14:paraId="50828F29"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3ADBB1"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2013</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C0AF96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1,181</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2C0ED809"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1,969</w:t>
            </w:r>
          </w:p>
        </w:tc>
      </w:tr>
      <w:tr w:rsidR="007E504C" w:rsidRPr="002E19F8" w14:paraId="570077EC"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BAF31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2014</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E0C48A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1,144</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084B978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2,500</w:t>
            </w:r>
          </w:p>
        </w:tc>
      </w:tr>
      <w:tr w:rsidR="007E504C" w:rsidRPr="002E19F8" w14:paraId="31F92E72"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0571D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2015</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3EC845F"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940</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739EE66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2,648</w:t>
            </w:r>
          </w:p>
        </w:tc>
      </w:tr>
      <w:tr w:rsidR="007E504C" w:rsidRPr="002E19F8" w14:paraId="5D39CFA3"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77942B"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2016</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97C1DC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1,283</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598EFAD6"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3,344</w:t>
            </w:r>
          </w:p>
        </w:tc>
      </w:tr>
      <w:tr w:rsidR="007E504C" w:rsidRPr="002E19F8" w14:paraId="2A49C846"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DF8FA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496178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2,328</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1D10D861"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4,952</w:t>
            </w:r>
          </w:p>
        </w:tc>
      </w:tr>
      <w:tr w:rsidR="007E504C" w:rsidRPr="002E19F8" w14:paraId="2A97CC27"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94E06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9718105"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2,293</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226F8040"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5,347</w:t>
            </w:r>
          </w:p>
        </w:tc>
      </w:tr>
      <w:tr w:rsidR="007E504C" w:rsidRPr="002E19F8" w14:paraId="1B01A290"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7FB0C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9ADE6D5" w14:textId="4014C760"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2,13</w:t>
            </w:r>
            <w:r w:rsidR="009611E4" w:rsidRPr="002E19F8">
              <w:rPr>
                <w:rFonts w:eastAsia="Times New Roman"/>
                <w:color w:val="000000"/>
                <w:kern w:val="0"/>
                <w:sz w:val="24"/>
                <w:szCs w:val="24"/>
                <w14:ligatures w14:val="none"/>
              </w:rPr>
              <w:t>2</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4F7D7516" w14:textId="1E7B314D"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5,00</w:t>
            </w:r>
            <w:r w:rsidR="009611E4" w:rsidRPr="002E19F8">
              <w:rPr>
                <w:rFonts w:eastAsia="Times New Roman"/>
                <w:color w:val="000000"/>
                <w:kern w:val="0"/>
                <w:sz w:val="24"/>
                <w:szCs w:val="24"/>
                <w14:ligatures w14:val="none"/>
              </w:rPr>
              <w:t>2</w:t>
            </w:r>
          </w:p>
        </w:tc>
      </w:tr>
      <w:tr w:rsidR="007E504C" w:rsidRPr="002E19F8" w14:paraId="1A1D4190"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6326D"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56893758" w14:textId="7FE68C0E"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2,52</w:t>
            </w:r>
            <w:r w:rsidR="009611E4" w:rsidRPr="002E19F8">
              <w:rPr>
                <w:rFonts w:eastAsia="Times New Roman"/>
                <w:color w:val="000000"/>
                <w:kern w:val="0"/>
                <w:sz w:val="24"/>
                <w:szCs w:val="24"/>
                <w14:ligatures w14:val="none"/>
              </w:rPr>
              <w:t>6</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691D0A33"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4,741</w:t>
            </w:r>
          </w:p>
        </w:tc>
      </w:tr>
      <w:tr w:rsidR="007E504C" w:rsidRPr="002E19F8" w14:paraId="2D363DE8" w14:textId="77777777" w:rsidTr="52C804C8">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EE87"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7939A3E"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2,707</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64911742"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5,367</w:t>
            </w:r>
          </w:p>
        </w:tc>
      </w:tr>
      <w:tr w:rsidR="007E504C" w:rsidRPr="002E19F8" w14:paraId="391B17FB" w14:textId="77777777" w:rsidTr="003928F6">
        <w:trPr>
          <w:trHeight w:val="3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F1BB96"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8B615DA"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2,894</w:t>
            </w:r>
          </w:p>
        </w:tc>
        <w:tc>
          <w:tcPr>
            <w:tcW w:w="1008" w:type="dxa"/>
            <w:tcBorders>
              <w:top w:val="nil"/>
              <w:left w:val="nil"/>
              <w:bottom w:val="single" w:sz="4" w:space="0" w:color="auto"/>
              <w:right w:val="single" w:sz="4" w:space="0" w:color="auto"/>
            </w:tcBorders>
            <w:shd w:val="clear" w:color="auto" w:fill="FFFFFF" w:themeFill="background1"/>
            <w:vAlign w:val="center"/>
            <w:hideMark/>
          </w:tcPr>
          <w:p w14:paraId="1C71140E" w14:textId="77777777" w:rsidR="007E504C" w:rsidRPr="002E19F8" w:rsidRDefault="007E504C" w:rsidP="007E504C">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6,196</w:t>
            </w:r>
          </w:p>
        </w:tc>
      </w:tr>
      <w:tr w:rsidR="003928F6" w:rsidRPr="002E19F8" w14:paraId="663D53D2" w14:textId="77777777" w:rsidTr="003928F6">
        <w:trPr>
          <w:trHeight w:val="3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20575" w14:textId="3A2EBF54" w:rsidR="003928F6" w:rsidRPr="002E19F8" w:rsidRDefault="003928F6"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24382D47" w14:textId="3DEAFB23" w:rsidR="003928F6" w:rsidRPr="002E19F8" w:rsidRDefault="003928F6"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3,077</w:t>
            </w:r>
          </w:p>
        </w:tc>
        <w:tc>
          <w:tcPr>
            <w:tcW w:w="1008" w:type="dxa"/>
            <w:tcBorders>
              <w:top w:val="single" w:sz="4" w:space="0" w:color="auto"/>
              <w:left w:val="nil"/>
              <w:bottom w:val="single" w:sz="4" w:space="0" w:color="auto"/>
              <w:right w:val="single" w:sz="4" w:space="0" w:color="auto"/>
            </w:tcBorders>
            <w:shd w:val="clear" w:color="auto" w:fill="FFFFFF" w:themeFill="background1"/>
            <w:vAlign w:val="center"/>
          </w:tcPr>
          <w:p w14:paraId="1A2DB31E" w14:textId="5543FBE1" w:rsidR="003928F6" w:rsidRPr="002E19F8" w:rsidRDefault="003928F6" w:rsidP="007E504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6,</w:t>
            </w:r>
            <w:r w:rsidR="00E95261">
              <w:rPr>
                <w:rFonts w:eastAsia="Times New Roman"/>
                <w:color w:val="000000"/>
                <w:kern w:val="0"/>
                <w:sz w:val="24"/>
                <w:szCs w:val="24"/>
                <w14:ligatures w14:val="none"/>
              </w:rPr>
              <w:t>672</w:t>
            </w:r>
          </w:p>
        </w:tc>
      </w:tr>
    </w:tbl>
    <w:p w14:paraId="122A0F2C" w14:textId="61C2BF56" w:rsidR="007E504C" w:rsidRPr="008A764C" w:rsidRDefault="007E504C" w:rsidP="008A764C">
      <w:pPr>
        <w:spacing w:before="240"/>
        <w:rPr>
          <w:sz w:val="24"/>
          <w:szCs w:val="24"/>
        </w:rPr>
      </w:pPr>
      <w:r w:rsidRPr="002E19F8">
        <w:rPr>
          <w:b/>
          <w:sz w:val="24"/>
          <w:szCs w:val="24"/>
        </w:rPr>
        <w:t>Highlights:</w:t>
      </w:r>
      <w:r w:rsidRPr="002E19F8">
        <w:rPr>
          <w:rFonts w:eastAsiaTheme="minorEastAsia"/>
          <w:b/>
          <w:color w:val="000000" w:themeColor="text1"/>
          <w:kern w:val="24"/>
          <w:sz w:val="24"/>
          <w:szCs w:val="24"/>
          <w14:ligatures w14:val="none"/>
        </w:rPr>
        <w:t xml:space="preserve"> </w:t>
      </w:r>
      <w:r w:rsidR="003928F6" w:rsidRPr="003928F6">
        <w:t xml:space="preserve">Graph depicts the rates per 100,000 population of confirmed cases of gonorrhea in Massachusetts by gender identity between 2010 and 2023. There are two lines, one for females that begins at 29.9 in 2010 and climbs to 85.0 in 2023 and another for males that begins at 46.8 in 2010 and climbs to 195.6 in 2023. </w:t>
      </w:r>
      <w:r w:rsidR="003928F6" w:rsidRPr="003928F6">
        <w:rPr>
          <w:sz w:val="24"/>
          <w:szCs w:val="24"/>
        </w:rPr>
        <w:t>Note: There were cases reported among transgender individuals in 2014 through 2023. In 2023, there were 22 cases of gonorrhea among transgender identified individuals not included on this slide.</w:t>
      </w:r>
    </w:p>
    <w:p w14:paraId="63DC67DB" w14:textId="5A65E5B4" w:rsidR="00EC6FB0" w:rsidRPr="002E19F8" w:rsidRDefault="007E504C" w:rsidP="52C804C8">
      <w:pPr>
        <w:spacing w:before="40" w:after="0" w:line="240" w:lineRule="auto"/>
        <w:rPr>
          <w:b/>
          <w:bCs/>
          <w:sz w:val="24"/>
          <w:szCs w:val="24"/>
        </w:rPr>
      </w:pPr>
      <w:r w:rsidRPr="002E19F8">
        <w:rPr>
          <w:b/>
          <w:sz w:val="24"/>
          <w:szCs w:val="24"/>
        </w:rPr>
        <w:t>Footnotes</w:t>
      </w:r>
      <w:r w:rsidR="0EE4787C" w:rsidRPr="002E19F8">
        <w:rPr>
          <w:b/>
          <w:bCs/>
          <w:sz w:val="24"/>
          <w:szCs w:val="24"/>
        </w:rPr>
        <w:t xml:space="preserve"> for Slide 10</w:t>
      </w:r>
    </w:p>
    <w:p w14:paraId="1D33EE56" w14:textId="77777777" w:rsidR="008271F5" w:rsidRPr="008271F5" w:rsidRDefault="008271F5" w:rsidP="008271F5">
      <w:pPr>
        <w:spacing w:after="0"/>
        <w:rPr>
          <w:sz w:val="24"/>
          <w:szCs w:val="24"/>
        </w:rPr>
      </w:pPr>
      <w:r w:rsidRPr="008271F5">
        <w:rPr>
          <w:sz w:val="24"/>
          <w:szCs w:val="24"/>
        </w:rPr>
        <w:t>Data are current as of 08/01/2024 and are subject to change. </w:t>
      </w:r>
    </w:p>
    <w:p w14:paraId="6C4B1EB3" w14:textId="77777777" w:rsidR="008271F5" w:rsidRPr="008271F5" w:rsidRDefault="008271F5" w:rsidP="008271F5">
      <w:pPr>
        <w:spacing w:after="0"/>
        <w:rPr>
          <w:sz w:val="24"/>
          <w:szCs w:val="24"/>
        </w:rPr>
      </w:pPr>
      <w:r w:rsidRPr="008271F5">
        <w:rPr>
          <w:sz w:val="24"/>
          <w:szCs w:val="24"/>
        </w:rPr>
        <w:t>Data Source: Massachusetts Department of Public Health/Bureau of Infectious Disease and Laboratory Sciences/ Division of STD Prevention and STD-HIV Surveillance.</w:t>
      </w:r>
    </w:p>
    <w:p w14:paraId="18E5A17B" w14:textId="77777777" w:rsidR="008271F5" w:rsidRPr="008271F5" w:rsidRDefault="008271F5" w:rsidP="008271F5">
      <w:pPr>
        <w:spacing w:after="0"/>
        <w:rPr>
          <w:sz w:val="24"/>
          <w:szCs w:val="24"/>
        </w:rPr>
      </w:pPr>
      <w:r w:rsidRPr="008271F5">
        <w:rPr>
          <w:sz w:val="24"/>
          <w:szCs w:val="24"/>
        </w:rPr>
        <w:t>Population denominators estimated by the University of Massachusetts Donahue Institute using a modified Hamilton-Perry model (Strate S, et al. Small Area Population Estimates for 2011 through 2020 report, Oct 2016).</w:t>
      </w:r>
    </w:p>
    <w:p w14:paraId="3C70A741" w14:textId="77777777" w:rsidR="008271F5" w:rsidRPr="008271F5" w:rsidRDefault="008271F5" w:rsidP="008271F5">
      <w:pPr>
        <w:spacing w:after="0"/>
        <w:rPr>
          <w:sz w:val="24"/>
          <w:szCs w:val="24"/>
        </w:rPr>
      </w:pPr>
      <w:r w:rsidRPr="008271F5">
        <w:rPr>
          <w:sz w:val="24"/>
          <w:szCs w:val="24"/>
        </w:rPr>
        <w:t xml:space="preserve">1. In 2023, there were 22 individuals of transgender experience reported in our data system who do not have current gender documented. These cases were excluded since population estimates for individuals of transgender experience are not available at this time. There were 8 other individuals with unknown gender which are not included in this slide. </w:t>
      </w:r>
    </w:p>
    <w:p w14:paraId="205A7D11" w14:textId="48CD2B99" w:rsidR="00026BE9" w:rsidRPr="002E19F8" w:rsidRDefault="008271F5" w:rsidP="008271F5">
      <w:pPr>
        <w:spacing w:after="0"/>
        <w:rPr>
          <w:b/>
          <w:sz w:val="24"/>
          <w:szCs w:val="24"/>
        </w:rPr>
      </w:pPr>
      <w:r w:rsidRPr="008271F5">
        <w:rPr>
          <w:sz w:val="24"/>
          <w:szCs w:val="24"/>
        </w:rPr>
        <w:t>2. Please consider the impact of the COVID-19 pandemic on infectious disease screening, treatment and surveillance in the interpretation of 2020-2023 data.</w:t>
      </w:r>
      <w:r w:rsidR="00026BE9" w:rsidRPr="002E19F8">
        <w:rPr>
          <w:b/>
          <w:sz w:val="24"/>
          <w:szCs w:val="24"/>
        </w:rPr>
        <w:br w:type="page"/>
      </w:r>
    </w:p>
    <w:p w14:paraId="69610276" w14:textId="52A711AB" w:rsidR="007E504C" w:rsidRPr="002E19F8" w:rsidRDefault="007E504C" w:rsidP="003F6E82">
      <w:pPr>
        <w:pStyle w:val="Heading2"/>
      </w:pPr>
      <w:bookmarkStart w:id="11" w:name="_Toc184132222"/>
      <w:r w:rsidRPr="002E19F8">
        <w:t xml:space="preserve">Slide 11: </w:t>
      </w:r>
      <w:r w:rsidR="009611E4" w:rsidRPr="002E19F8">
        <w:t>Gonorrhea Among Individuals of Transgender Experience</w:t>
      </w:r>
      <w:r w:rsidR="009611E4" w:rsidRPr="002E19F8">
        <w:rPr>
          <w:vertAlign w:val="superscript"/>
        </w:rPr>
        <w:t>1</w:t>
      </w:r>
      <w:r w:rsidR="009611E4" w:rsidRPr="002E19F8">
        <w:t>, Massachusetts, 2015 to 202</w:t>
      </w:r>
      <w:r w:rsidR="008A764C">
        <w:t>3</w:t>
      </w:r>
      <w:r w:rsidR="009611E4" w:rsidRPr="002E19F8">
        <w:rPr>
          <w:vertAlign w:val="superscript"/>
        </w:rPr>
        <w:t>2</w:t>
      </w:r>
      <w:bookmarkEnd w:id="11"/>
    </w:p>
    <w:p w14:paraId="752C5D04" w14:textId="32216F0B" w:rsidR="00EC6FB0" w:rsidRPr="002E19F8" w:rsidRDefault="00A64992" w:rsidP="007E504C">
      <w:pPr>
        <w:spacing w:after="0" w:line="240" w:lineRule="auto"/>
        <w:rPr>
          <w:b/>
          <w:sz w:val="24"/>
          <w:szCs w:val="24"/>
        </w:rPr>
      </w:pPr>
      <w:r w:rsidRPr="00A64992">
        <w:rPr>
          <w:b/>
          <w:noProof/>
          <w:sz w:val="24"/>
          <w:szCs w:val="24"/>
        </w:rPr>
        <w:drawing>
          <wp:inline distT="0" distB="0" distL="0" distR="0" wp14:anchorId="47ADB816" wp14:editId="4B3A40B2">
            <wp:extent cx="5943600" cy="2381250"/>
            <wp:effectExtent l="0" t="0" r="0" b="0"/>
            <wp:docPr id="5" name="Picture 5" descr="Graph shows the number of confirmed gonorrhea cases among transgender individuals in Massachusetts between 2015 and 2023. The case counts are 6, 31, 32, 49, 68, 58, 48, 68, and 71 for 2015, 2016, 2017, 2018, 2019, 2020, 2021, 2022, and 2023, respectively.">
              <a:extLst xmlns:a="http://schemas.openxmlformats.org/drawingml/2006/main">
                <a:ext uri="{FF2B5EF4-FFF2-40B4-BE49-F238E27FC236}">
                  <a16:creationId xmlns:a16="http://schemas.microsoft.com/office/drawing/2014/main" id="{15ACC09D-E910-1810-19B2-F80773F7A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 shows the number of confirmed gonorrhea cases among transgender individuals in Massachusetts between 2015 and 2023. The case counts are 6, 31, 32, 49, 68, 58, 48, 68, and 71 for 2015, 2016, 2017, 2018, 2019, 2020, 2021, 2022, and 2023, respectively.">
                      <a:extLst>
                        <a:ext uri="{FF2B5EF4-FFF2-40B4-BE49-F238E27FC236}">
                          <a16:creationId xmlns:a16="http://schemas.microsoft.com/office/drawing/2014/main" id="{15ACC09D-E910-1810-19B2-F80773F7A1A3}"/>
                        </a:ext>
                      </a:extLst>
                    </pic:cNvPr>
                    <pic:cNvPicPr>
                      <a:picLocks noChangeAspect="1"/>
                    </pic:cNvPicPr>
                  </pic:nvPicPr>
                  <pic:blipFill>
                    <a:blip r:embed="rId15"/>
                    <a:stretch>
                      <a:fillRect/>
                    </a:stretch>
                  </pic:blipFill>
                  <pic:spPr>
                    <a:xfrm>
                      <a:off x="0" y="0"/>
                      <a:ext cx="5943600" cy="2381250"/>
                    </a:xfrm>
                    <a:prstGeom prst="rect">
                      <a:avLst/>
                    </a:prstGeom>
                  </pic:spPr>
                </pic:pic>
              </a:graphicData>
            </a:graphic>
          </wp:inline>
        </w:drawing>
      </w:r>
    </w:p>
    <w:p w14:paraId="49A84EFF" w14:textId="6FD717FB" w:rsidR="007E504C" w:rsidRPr="002E19F8" w:rsidRDefault="007E504C" w:rsidP="007E504C">
      <w:pPr>
        <w:spacing w:after="0" w:line="240" w:lineRule="auto"/>
        <w:rPr>
          <w:sz w:val="24"/>
          <w:szCs w:val="24"/>
        </w:rPr>
      </w:pPr>
      <w:r w:rsidRPr="002E19F8">
        <w:rPr>
          <w:b/>
          <w:sz w:val="24"/>
          <w:szCs w:val="24"/>
        </w:rPr>
        <w:t>Highlights:</w:t>
      </w:r>
      <w:r w:rsidRPr="002E19F8">
        <w:rPr>
          <w:sz w:val="24"/>
          <w:szCs w:val="24"/>
        </w:rPr>
        <w:t xml:space="preserve"> </w:t>
      </w:r>
      <w:r w:rsidR="00A64992" w:rsidRPr="00A64992">
        <w:rPr>
          <w:sz w:val="24"/>
          <w:szCs w:val="24"/>
        </w:rPr>
        <w:t>Graph shows the number of confirmed gonorrhea cases among transgender individuals in Massachusetts between 2015 and 2023. The case counts are 6, 31, 32, 49, 68, 58, 48, 68, and 71 for 2015, 2016, 2017, 2018, 2019, 2020, 2021, 2022, and 2023, respectively.</w:t>
      </w:r>
    </w:p>
    <w:p w14:paraId="7E6BD307" w14:textId="58EB5637" w:rsidR="007E504C" w:rsidRPr="002E19F8" w:rsidRDefault="007E504C" w:rsidP="00A06D38">
      <w:pPr>
        <w:spacing w:after="0" w:line="240" w:lineRule="auto"/>
        <w:rPr>
          <w:sz w:val="24"/>
          <w:szCs w:val="24"/>
        </w:rPr>
      </w:pPr>
    </w:p>
    <w:p w14:paraId="37AC6076" w14:textId="7F898E39" w:rsidR="00EC6FB0" w:rsidRPr="002E19F8" w:rsidRDefault="00EC6FB0" w:rsidP="52C804C8">
      <w:pPr>
        <w:spacing w:after="0" w:line="240" w:lineRule="auto"/>
        <w:rPr>
          <w:b/>
          <w:bCs/>
          <w:sz w:val="24"/>
          <w:szCs w:val="24"/>
        </w:rPr>
      </w:pPr>
      <w:r w:rsidRPr="002E19F8">
        <w:rPr>
          <w:b/>
          <w:sz w:val="24"/>
          <w:szCs w:val="24"/>
        </w:rPr>
        <w:t>Footnotes</w:t>
      </w:r>
      <w:r w:rsidR="6B798519" w:rsidRPr="002E19F8">
        <w:rPr>
          <w:b/>
          <w:bCs/>
          <w:sz w:val="24"/>
          <w:szCs w:val="24"/>
        </w:rPr>
        <w:t xml:space="preserve"> for Slide 11</w:t>
      </w:r>
    </w:p>
    <w:p w14:paraId="26F065C4" w14:textId="77777777" w:rsidR="00A64992" w:rsidRPr="00A64992" w:rsidRDefault="00A64992" w:rsidP="00A64992">
      <w:pPr>
        <w:spacing w:after="0" w:line="240" w:lineRule="auto"/>
        <w:rPr>
          <w:sz w:val="24"/>
          <w:szCs w:val="24"/>
        </w:rPr>
      </w:pPr>
      <w:r w:rsidRPr="00A64992">
        <w:rPr>
          <w:sz w:val="24"/>
          <w:szCs w:val="24"/>
        </w:rPr>
        <w:t>Data are current as of 08/01/2024 and are subject to change. </w:t>
      </w:r>
    </w:p>
    <w:p w14:paraId="6F7CCA92" w14:textId="77777777" w:rsidR="00A64992" w:rsidRPr="00A64992" w:rsidRDefault="00A64992" w:rsidP="00A64992">
      <w:pPr>
        <w:spacing w:after="0" w:line="240" w:lineRule="auto"/>
        <w:rPr>
          <w:sz w:val="24"/>
          <w:szCs w:val="24"/>
        </w:rPr>
      </w:pPr>
      <w:r w:rsidRPr="00A64992">
        <w:rPr>
          <w:sz w:val="24"/>
          <w:szCs w:val="24"/>
        </w:rPr>
        <w:t>Data Source: Massachusetts Department of Public Health/Bureau of Infectious Disease and Laboratory Sciences/ Division of STD Prevention and STD-HIV Surveillance.</w:t>
      </w:r>
    </w:p>
    <w:p w14:paraId="4967BD63" w14:textId="77777777" w:rsidR="00A64992" w:rsidRDefault="00A64992" w:rsidP="00A64992">
      <w:pPr>
        <w:numPr>
          <w:ilvl w:val="0"/>
          <w:numId w:val="23"/>
        </w:numPr>
        <w:spacing w:after="0" w:line="240" w:lineRule="auto"/>
        <w:rPr>
          <w:sz w:val="24"/>
          <w:szCs w:val="24"/>
        </w:rPr>
      </w:pPr>
      <w:r w:rsidRPr="00A64992">
        <w:rPr>
          <w:sz w:val="24"/>
          <w:szCs w:val="24"/>
        </w:rPr>
        <w:t>All individuals of transgender experience are included in this graph regardless of current gender. </w:t>
      </w:r>
    </w:p>
    <w:p w14:paraId="5F3C757B" w14:textId="2A4237E9" w:rsidR="00EC6FB0" w:rsidRPr="00A64992" w:rsidRDefault="00A64992" w:rsidP="00A64992">
      <w:pPr>
        <w:numPr>
          <w:ilvl w:val="0"/>
          <w:numId w:val="23"/>
        </w:numPr>
        <w:spacing w:after="0" w:line="240" w:lineRule="auto"/>
        <w:rPr>
          <w:sz w:val="24"/>
          <w:szCs w:val="24"/>
        </w:rPr>
      </w:pPr>
      <w:r w:rsidRPr="00A64992">
        <w:rPr>
          <w:sz w:val="24"/>
          <w:szCs w:val="24"/>
        </w:rPr>
        <w:t>Please consider the impact of the COVID-19 pandemic on infectious disease screening, treatment and surveillance in the interpretation of 2020-2023 data</w:t>
      </w:r>
    </w:p>
    <w:p w14:paraId="31E388CA" w14:textId="4FFD441F" w:rsidR="52C804C8" w:rsidRPr="002E19F8" w:rsidRDefault="52C804C8" w:rsidP="52C804C8">
      <w:pPr>
        <w:spacing w:after="0" w:line="240" w:lineRule="auto"/>
        <w:rPr>
          <w:sz w:val="24"/>
          <w:szCs w:val="24"/>
        </w:rPr>
      </w:pPr>
    </w:p>
    <w:p w14:paraId="64F191E8" w14:textId="29F92B72" w:rsidR="52C804C8" w:rsidRPr="002E19F8" w:rsidRDefault="52C804C8" w:rsidP="52C804C8">
      <w:pPr>
        <w:spacing w:after="0" w:line="240" w:lineRule="auto"/>
        <w:rPr>
          <w:sz w:val="24"/>
          <w:szCs w:val="24"/>
        </w:rPr>
      </w:pPr>
    </w:p>
    <w:p w14:paraId="284FEB54" w14:textId="399AD8EE" w:rsidR="52C804C8" w:rsidRPr="002E19F8" w:rsidRDefault="52C804C8" w:rsidP="52C804C8">
      <w:pPr>
        <w:spacing w:after="0" w:line="240" w:lineRule="auto"/>
        <w:rPr>
          <w:sz w:val="24"/>
          <w:szCs w:val="24"/>
        </w:rPr>
      </w:pPr>
    </w:p>
    <w:p w14:paraId="3E33E039" w14:textId="3D0BB7D8" w:rsidR="52C804C8" w:rsidRPr="002E19F8" w:rsidRDefault="52C804C8" w:rsidP="52C804C8">
      <w:pPr>
        <w:spacing w:after="0" w:line="240" w:lineRule="auto"/>
        <w:rPr>
          <w:sz w:val="24"/>
          <w:szCs w:val="24"/>
        </w:rPr>
      </w:pPr>
    </w:p>
    <w:p w14:paraId="022D0D1B" w14:textId="6BB22C21" w:rsidR="52C804C8" w:rsidRPr="002E19F8" w:rsidRDefault="52C804C8" w:rsidP="52C804C8">
      <w:pPr>
        <w:spacing w:after="0" w:line="240" w:lineRule="auto"/>
        <w:rPr>
          <w:sz w:val="24"/>
          <w:szCs w:val="24"/>
        </w:rPr>
      </w:pPr>
    </w:p>
    <w:p w14:paraId="3CF275E5" w14:textId="50CF87FB" w:rsidR="52C804C8" w:rsidRPr="002E19F8" w:rsidRDefault="52C804C8" w:rsidP="52C804C8">
      <w:pPr>
        <w:spacing w:after="0" w:line="240" w:lineRule="auto"/>
        <w:rPr>
          <w:sz w:val="24"/>
          <w:szCs w:val="24"/>
        </w:rPr>
      </w:pPr>
    </w:p>
    <w:p w14:paraId="5D53502E" w14:textId="5295C5A0" w:rsidR="52C804C8" w:rsidRPr="002E19F8" w:rsidRDefault="52C804C8" w:rsidP="52C804C8">
      <w:pPr>
        <w:spacing w:after="0" w:line="240" w:lineRule="auto"/>
        <w:rPr>
          <w:sz w:val="24"/>
          <w:szCs w:val="24"/>
        </w:rPr>
      </w:pPr>
    </w:p>
    <w:p w14:paraId="05C38FBE" w14:textId="6EE7BA34" w:rsidR="52C804C8" w:rsidRPr="002E19F8" w:rsidRDefault="52C804C8" w:rsidP="52C804C8">
      <w:pPr>
        <w:spacing w:after="0" w:line="240" w:lineRule="auto"/>
        <w:rPr>
          <w:sz w:val="24"/>
          <w:szCs w:val="24"/>
        </w:rPr>
      </w:pPr>
    </w:p>
    <w:p w14:paraId="1D76CF2C" w14:textId="1A42CCE5" w:rsidR="52C804C8" w:rsidRPr="002E19F8" w:rsidRDefault="52C804C8" w:rsidP="52C804C8">
      <w:pPr>
        <w:spacing w:after="0" w:line="240" w:lineRule="auto"/>
        <w:rPr>
          <w:sz w:val="24"/>
          <w:szCs w:val="24"/>
        </w:rPr>
      </w:pPr>
    </w:p>
    <w:p w14:paraId="6FCA1198" w14:textId="038A9843" w:rsidR="52C804C8" w:rsidRPr="002E19F8" w:rsidRDefault="52C804C8" w:rsidP="52C804C8">
      <w:pPr>
        <w:spacing w:after="0" w:line="240" w:lineRule="auto"/>
        <w:rPr>
          <w:sz w:val="24"/>
          <w:szCs w:val="24"/>
        </w:rPr>
      </w:pPr>
    </w:p>
    <w:p w14:paraId="6F6267DF" w14:textId="76580B60" w:rsidR="52C804C8" w:rsidRPr="002E19F8" w:rsidRDefault="52C804C8" w:rsidP="52C804C8">
      <w:pPr>
        <w:spacing w:after="0" w:line="240" w:lineRule="auto"/>
        <w:rPr>
          <w:sz w:val="24"/>
          <w:szCs w:val="24"/>
        </w:rPr>
      </w:pPr>
    </w:p>
    <w:p w14:paraId="069E5402" w14:textId="501EA619" w:rsidR="52C804C8" w:rsidRPr="002E19F8" w:rsidRDefault="52C804C8" w:rsidP="52C804C8">
      <w:pPr>
        <w:spacing w:after="0" w:line="240" w:lineRule="auto"/>
        <w:rPr>
          <w:sz w:val="24"/>
          <w:szCs w:val="24"/>
        </w:rPr>
      </w:pPr>
    </w:p>
    <w:p w14:paraId="141F0FBA" w14:textId="583284E9" w:rsidR="52C804C8" w:rsidRPr="002E19F8" w:rsidRDefault="52C804C8" w:rsidP="52C804C8">
      <w:pPr>
        <w:spacing w:after="0" w:line="240" w:lineRule="auto"/>
        <w:rPr>
          <w:sz w:val="24"/>
          <w:szCs w:val="24"/>
        </w:rPr>
      </w:pPr>
    </w:p>
    <w:p w14:paraId="50ADA008" w14:textId="5CCCD1F3" w:rsidR="52C804C8" w:rsidRPr="002E19F8" w:rsidRDefault="52C804C8" w:rsidP="52C804C8">
      <w:pPr>
        <w:spacing w:after="0" w:line="240" w:lineRule="auto"/>
        <w:rPr>
          <w:sz w:val="24"/>
          <w:szCs w:val="24"/>
        </w:rPr>
      </w:pPr>
    </w:p>
    <w:p w14:paraId="62612153" w14:textId="00846135" w:rsidR="52C804C8" w:rsidRPr="002E19F8" w:rsidRDefault="52C804C8" w:rsidP="52C804C8">
      <w:pPr>
        <w:spacing w:after="0" w:line="240" w:lineRule="auto"/>
        <w:rPr>
          <w:sz w:val="24"/>
          <w:szCs w:val="24"/>
        </w:rPr>
      </w:pPr>
    </w:p>
    <w:p w14:paraId="42D4B2D1" w14:textId="1222C520" w:rsidR="52C804C8" w:rsidRPr="002E19F8" w:rsidRDefault="52C804C8" w:rsidP="52C804C8">
      <w:pPr>
        <w:spacing w:after="0" w:line="240" w:lineRule="auto"/>
        <w:rPr>
          <w:sz w:val="24"/>
          <w:szCs w:val="24"/>
        </w:rPr>
      </w:pPr>
    </w:p>
    <w:p w14:paraId="7E7DF8FE" w14:textId="63AD6244" w:rsidR="00EC6FB0" w:rsidRPr="003233F8" w:rsidRDefault="00EC6FB0" w:rsidP="003F6E82">
      <w:pPr>
        <w:pStyle w:val="Heading2"/>
        <w:rPr>
          <w:sz w:val="24"/>
          <w:szCs w:val="24"/>
        </w:rPr>
      </w:pPr>
      <w:bookmarkStart w:id="12" w:name="_Toc184132223"/>
      <w:r w:rsidRPr="003233F8">
        <w:rPr>
          <w:sz w:val="24"/>
          <w:szCs w:val="24"/>
        </w:rPr>
        <w:t xml:space="preserve">Slide 12: </w:t>
      </w:r>
      <w:r w:rsidR="009611E4" w:rsidRPr="003233F8">
        <w:rPr>
          <w:sz w:val="24"/>
          <w:szCs w:val="24"/>
        </w:rPr>
        <w:t>Confirmed Gonorrhea Rates by County and Statewide,</w:t>
      </w:r>
      <w:r w:rsidR="009611E4" w:rsidRPr="003233F8">
        <w:rPr>
          <w:sz w:val="24"/>
          <w:szCs w:val="24"/>
          <w:vertAlign w:val="superscript"/>
        </w:rPr>
        <w:t xml:space="preserve"> </w:t>
      </w:r>
      <w:r w:rsidR="009611E4" w:rsidRPr="003233F8">
        <w:rPr>
          <w:sz w:val="24"/>
          <w:szCs w:val="24"/>
        </w:rPr>
        <w:t>Massachusetts, 2020-202</w:t>
      </w:r>
      <w:r w:rsidR="00F32150">
        <w:rPr>
          <w:sz w:val="24"/>
          <w:szCs w:val="24"/>
        </w:rPr>
        <w:t>3</w:t>
      </w:r>
      <w:r w:rsidR="009611E4" w:rsidRPr="003233F8">
        <w:rPr>
          <w:sz w:val="24"/>
          <w:szCs w:val="24"/>
          <w:vertAlign w:val="superscript"/>
        </w:rPr>
        <w:t>1</w:t>
      </w:r>
      <w:bookmarkEnd w:id="12"/>
    </w:p>
    <w:p w14:paraId="6CB377B0" w14:textId="627C138B" w:rsidR="00EC6FB0" w:rsidRPr="002E19F8" w:rsidRDefault="00451E67" w:rsidP="00EC6FB0">
      <w:pPr>
        <w:spacing w:after="0" w:line="240" w:lineRule="auto"/>
        <w:rPr>
          <w:b/>
          <w:sz w:val="24"/>
          <w:szCs w:val="24"/>
        </w:rPr>
      </w:pPr>
      <w:r>
        <w:rPr>
          <w:b/>
          <w:noProof/>
          <w:sz w:val="24"/>
          <w:szCs w:val="24"/>
        </w:rPr>
        <w:drawing>
          <wp:inline distT="0" distB="0" distL="0" distR="0" wp14:anchorId="2F4AF8B9" wp14:editId="765C675D">
            <wp:extent cx="5939155" cy="2162175"/>
            <wp:effectExtent l="0" t="0" r="4445" b="9525"/>
            <wp:docPr id="432856505" name="Picture 432856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56505" name="Picture 43285650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2162175"/>
                    </a:xfrm>
                    <a:prstGeom prst="rect">
                      <a:avLst/>
                    </a:prstGeom>
                    <a:noFill/>
                    <a:ln>
                      <a:noFill/>
                    </a:ln>
                  </pic:spPr>
                </pic:pic>
              </a:graphicData>
            </a:graphic>
          </wp:inline>
        </w:drawing>
      </w:r>
    </w:p>
    <w:p w14:paraId="18CB69CD" w14:textId="152F8AF5" w:rsidR="3CBD5AF0" w:rsidRPr="002E19F8" w:rsidRDefault="3CBD5AF0" w:rsidP="52C804C8">
      <w:pPr>
        <w:spacing w:after="0" w:line="240" w:lineRule="auto"/>
        <w:rPr>
          <w:b/>
          <w:bCs/>
          <w:sz w:val="24"/>
          <w:szCs w:val="24"/>
          <w:vertAlign w:val="superscript"/>
        </w:rPr>
      </w:pPr>
      <w:r w:rsidRPr="002E19F8">
        <w:rPr>
          <w:b/>
          <w:bCs/>
          <w:sz w:val="24"/>
          <w:szCs w:val="24"/>
        </w:rPr>
        <w:t>Table: Rates of Gonorrhea by County and Statewide</w:t>
      </w:r>
    </w:p>
    <w:tbl>
      <w:tblPr>
        <w:tblW w:w="5128" w:type="dxa"/>
        <w:tblLook w:val="0420" w:firstRow="1" w:lastRow="0" w:firstColumn="0" w:lastColumn="0" w:noHBand="0" w:noVBand="1"/>
      </w:tblPr>
      <w:tblGrid>
        <w:gridCol w:w="2025"/>
        <w:gridCol w:w="1008"/>
        <w:gridCol w:w="1050"/>
        <w:gridCol w:w="1045"/>
      </w:tblGrid>
      <w:tr w:rsidR="00451E67" w:rsidRPr="002E19F8" w14:paraId="4AC0EFFE" w14:textId="2C34AEA9" w:rsidTr="6AFD1A91">
        <w:trPr>
          <w:trHeight w:val="310"/>
        </w:trPr>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6E11A" w14:textId="77777777" w:rsidR="00451E67" w:rsidRPr="002E19F8" w:rsidRDefault="00451E67" w:rsidP="0077704F">
            <w:pPr>
              <w:spacing w:after="0" w:line="240" w:lineRule="auto"/>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County</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002665CF" w14:textId="10F876AE" w:rsidR="00451E67" w:rsidRPr="002E19F8" w:rsidRDefault="00451E67"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202</w:t>
            </w:r>
            <w:r w:rsidR="00AC3D6A">
              <w:rPr>
                <w:rFonts w:eastAsia="Times New Roman"/>
                <w:b/>
                <w:color w:val="000000"/>
                <w:kern w:val="0"/>
                <w:sz w:val="24"/>
                <w:szCs w:val="24"/>
                <w14:ligatures w14:val="none"/>
              </w:rPr>
              <w:t>1</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5C1C74FD" w14:textId="77777777" w:rsidR="00451E67" w:rsidRPr="002E19F8" w:rsidRDefault="00451E67" w:rsidP="0077704F">
            <w:pPr>
              <w:spacing w:after="0" w:line="240" w:lineRule="auto"/>
              <w:jc w:val="right"/>
              <w:rPr>
                <w:rFonts w:eastAsia="Times New Roman"/>
                <w:b/>
                <w:color w:val="000000"/>
                <w:kern w:val="0"/>
                <w:sz w:val="24"/>
                <w:szCs w:val="24"/>
                <w14:ligatures w14:val="none"/>
              </w:rPr>
            </w:pPr>
            <w:r w:rsidRPr="002E19F8">
              <w:rPr>
                <w:rFonts w:eastAsia="Times New Roman"/>
                <w:b/>
                <w:color w:val="000000"/>
                <w:kern w:val="0"/>
                <w:sz w:val="24"/>
                <w:szCs w:val="24"/>
                <w14:ligatures w14:val="none"/>
              </w:rPr>
              <w:t>2022</w:t>
            </w:r>
          </w:p>
        </w:tc>
        <w:tc>
          <w:tcPr>
            <w:tcW w:w="1045" w:type="dxa"/>
            <w:tcBorders>
              <w:top w:val="single" w:sz="4" w:space="0" w:color="auto"/>
              <w:left w:val="nil"/>
              <w:bottom w:val="single" w:sz="4" w:space="0" w:color="auto"/>
              <w:right w:val="single" w:sz="4" w:space="0" w:color="auto"/>
            </w:tcBorders>
          </w:tcPr>
          <w:p w14:paraId="48790FB0" w14:textId="0CDDE23D"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b/>
                <w:bCs/>
                <w:color w:val="000000" w:themeColor="text1"/>
                <w:sz w:val="24"/>
                <w:szCs w:val="24"/>
              </w:rPr>
              <w:t>2023</w:t>
            </w:r>
          </w:p>
        </w:tc>
      </w:tr>
      <w:tr w:rsidR="00451E67" w:rsidRPr="002E19F8" w14:paraId="6F68741E" w14:textId="22DC19BF" w:rsidTr="6AFD1A91">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66C3C295"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Barnstable</w:t>
            </w:r>
          </w:p>
        </w:tc>
        <w:tc>
          <w:tcPr>
            <w:tcW w:w="1008" w:type="dxa"/>
            <w:tcBorders>
              <w:top w:val="nil"/>
              <w:left w:val="nil"/>
              <w:bottom w:val="single" w:sz="4" w:space="0" w:color="auto"/>
              <w:right w:val="single" w:sz="4" w:space="0" w:color="auto"/>
            </w:tcBorders>
            <w:shd w:val="clear" w:color="auto" w:fill="auto"/>
            <w:noWrap/>
            <w:vAlign w:val="bottom"/>
          </w:tcPr>
          <w:p w14:paraId="7F0CA9C3" w14:textId="2CBF2CAB"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55.5</w:t>
            </w:r>
          </w:p>
        </w:tc>
        <w:tc>
          <w:tcPr>
            <w:tcW w:w="1050" w:type="dxa"/>
            <w:tcBorders>
              <w:top w:val="nil"/>
              <w:left w:val="nil"/>
              <w:bottom w:val="single" w:sz="4" w:space="0" w:color="auto"/>
              <w:right w:val="single" w:sz="4" w:space="0" w:color="auto"/>
            </w:tcBorders>
            <w:shd w:val="clear" w:color="auto" w:fill="auto"/>
            <w:noWrap/>
            <w:vAlign w:val="bottom"/>
            <w:hideMark/>
          </w:tcPr>
          <w:p w14:paraId="23D9A3AA"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90.4</w:t>
            </w:r>
          </w:p>
        </w:tc>
        <w:tc>
          <w:tcPr>
            <w:tcW w:w="1045" w:type="dxa"/>
            <w:tcBorders>
              <w:top w:val="nil"/>
              <w:left w:val="nil"/>
              <w:bottom w:val="single" w:sz="4" w:space="0" w:color="auto"/>
              <w:right w:val="single" w:sz="4" w:space="0" w:color="auto"/>
            </w:tcBorders>
          </w:tcPr>
          <w:p w14:paraId="1EC54FA2" w14:textId="51AAA2F0"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92.6</w:t>
            </w:r>
          </w:p>
        </w:tc>
      </w:tr>
      <w:tr w:rsidR="00451E67" w:rsidRPr="002E19F8" w14:paraId="342175B1" w14:textId="517E4FF7" w:rsidTr="6AFD1A91">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153B880E"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Berkshire</w:t>
            </w:r>
          </w:p>
        </w:tc>
        <w:tc>
          <w:tcPr>
            <w:tcW w:w="1008" w:type="dxa"/>
            <w:tcBorders>
              <w:top w:val="nil"/>
              <w:left w:val="nil"/>
              <w:bottom w:val="single" w:sz="4" w:space="0" w:color="auto"/>
              <w:right w:val="single" w:sz="4" w:space="0" w:color="auto"/>
            </w:tcBorders>
            <w:shd w:val="clear" w:color="auto" w:fill="auto"/>
            <w:noWrap/>
            <w:vAlign w:val="bottom"/>
          </w:tcPr>
          <w:p w14:paraId="27DF3CF5" w14:textId="45E13064"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41.9</w:t>
            </w:r>
          </w:p>
        </w:tc>
        <w:tc>
          <w:tcPr>
            <w:tcW w:w="1050" w:type="dxa"/>
            <w:tcBorders>
              <w:top w:val="nil"/>
              <w:left w:val="nil"/>
              <w:bottom w:val="single" w:sz="4" w:space="0" w:color="auto"/>
              <w:right w:val="single" w:sz="4" w:space="0" w:color="auto"/>
            </w:tcBorders>
            <w:shd w:val="clear" w:color="auto" w:fill="auto"/>
            <w:noWrap/>
            <w:vAlign w:val="bottom"/>
            <w:hideMark/>
          </w:tcPr>
          <w:p w14:paraId="3A323B80"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103.9</w:t>
            </w:r>
          </w:p>
        </w:tc>
        <w:tc>
          <w:tcPr>
            <w:tcW w:w="1045" w:type="dxa"/>
            <w:tcBorders>
              <w:top w:val="nil"/>
              <w:left w:val="nil"/>
              <w:bottom w:val="single" w:sz="4" w:space="0" w:color="auto"/>
              <w:right w:val="single" w:sz="4" w:space="0" w:color="auto"/>
            </w:tcBorders>
          </w:tcPr>
          <w:p w14:paraId="7A1AC864" w14:textId="44B4D261"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38.8</w:t>
            </w:r>
          </w:p>
        </w:tc>
      </w:tr>
      <w:tr w:rsidR="00451E67" w:rsidRPr="002E19F8" w14:paraId="5338529C" w14:textId="7EFAB532" w:rsidTr="6AFD1A91">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02ACD920"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Bristol</w:t>
            </w:r>
          </w:p>
        </w:tc>
        <w:tc>
          <w:tcPr>
            <w:tcW w:w="1008" w:type="dxa"/>
            <w:tcBorders>
              <w:top w:val="nil"/>
              <w:left w:val="nil"/>
              <w:bottom w:val="single" w:sz="4" w:space="0" w:color="auto"/>
              <w:right w:val="single" w:sz="4" w:space="0" w:color="auto"/>
            </w:tcBorders>
            <w:shd w:val="clear" w:color="auto" w:fill="auto"/>
            <w:noWrap/>
            <w:vAlign w:val="bottom"/>
          </w:tcPr>
          <w:p w14:paraId="3C126197" w14:textId="5A371B36"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75.1</w:t>
            </w:r>
          </w:p>
        </w:tc>
        <w:tc>
          <w:tcPr>
            <w:tcW w:w="1050" w:type="dxa"/>
            <w:tcBorders>
              <w:top w:val="nil"/>
              <w:left w:val="nil"/>
              <w:bottom w:val="single" w:sz="4" w:space="0" w:color="auto"/>
              <w:right w:val="single" w:sz="4" w:space="0" w:color="auto"/>
            </w:tcBorders>
            <w:shd w:val="clear" w:color="auto" w:fill="auto"/>
            <w:noWrap/>
            <w:vAlign w:val="bottom"/>
            <w:hideMark/>
          </w:tcPr>
          <w:p w14:paraId="2836A3D8"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126.2</w:t>
            </w:r>
          </w:p>
        </w:tc>
        <w:tc>
          <w:tcPr>
            <w:tcW w:w="1045" w:type="dxa"/>
            <w:tcBorders>
              <w:top w:val="nil"/>
              <w:left w:val="nil"/>
              <w:bottom w:val="single" w:sz="4" w:space="0" w:color="auto"/>
              <w:right w:val="single" w:sz="4" w:space="0" w:color="auto"/>
            </w:tcBorders>
          </w:tcPr>
          <w:p w14:paraId="04DB56EE" w14:textId="0A107238"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114.1</w:t>
            </w:r>
          </w:p>
        </w:tc>
      </w:tr>
      <w:tr w:rsidR="00451E67" w:rsidRPr="002E19F8" w14:paraId="54EDC0F1" w14:textId="0650C263" w:rsidTr="6AFD1A91">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32C60CE7"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Dukes/Nantucket</w:t>
            </w:r>
          </w:p>
        </w:tc>
        <w:tc>
          <w:tcPr>
            <w:tcW w:w="1008" w:type="dxa"/>
            <w:tcBorders>
              <w:top w:val="nil"/>
              <w:left w:val="nil"/>
              <w:bottom w:val="single" w:sz="4" w:space="0" w:color="auto"/>
              <w:right w:val="single" w:sz="4" w:space="0" w:color="auto"/>
            </w:tcBorders>
            <w:shd w:val="clear" w:color="auto" w:fill="auto"/>
            <w:noWrap/>
            <w:vAlign w:val="bottom"/>
          </w:tcPr>
          <w:p w14:paraId="72E9D8C6" w14:textId="4B30D288"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31.6</w:t>
            </w:r>
          </w:p>
        </w:tc>
        <w:tc>
          <w:tcPr>
            <w:tcW w:w="1050" w:type="dxa"/>
            <w:tcBorders>
              <w:top w:val="nil"/>
              <w:left w:val="nil"/>
              <w:bottom w:val="single" w:sz="4" w:space="0" w:color="auto"/>
              <w:right w:val="single" w:sz="4" w:space="0" w:color="auto"/>
            </w:tcBorders>
            <w:shd w:val="clear" w:color="auto" w:fill="auto"/>
            <w:noWrap/>
            <w:vAlign w:val="bottom"/>
            <w:hideMark/>
          </w:tcPr>
          <w:p w14:paraId="102E227D"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77.5</w:t>
            </w:r>
          </w:p>
        </w:tc>
        <w:tc>
          <w:tcPr>
            <w:tcW w:w="1045" w:type="dxa"/>
            <w:tcBorders>
              <w:top w:val="nil"/>
              <w:left w:val="nil"/>
              <w:bottom w:val="single" w:sz="4" w:space="0" w:color="auto"/>
              <w:right w:val="single" w:sz="4" w:space="0" w:color="auto"/>
            </w:tcBorders>
          </w:tcPr>
          <w:p w14:paraId="65DC795F" w14:textId="32177782"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48.8</w:t>
            </w:r>
          </w:p>
        </w:tc>
      </w:tr>
      <w:tr w:rsidR="00451E67" w:rsidRPr="002E19F8" w14:paraId="398F77E9" w14:textId="58B5B52D" w:rsidTr="6AFD1A91">
        <w:trPr>
          <w:trHeight w:val="31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00FCBD8"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Essex</w:t>
            </w:r>
          </w:p>
        </w:tc>
        <w:tc>
          <w:tcPr>
            <w:tcW w:w="1008" w:type="dxa"/>
            <w:tcBorders>
              <w:top w:val="nil"/>
              <w:left w:val="nil"/>
              <w:bottom w:val="single" w:sz="4" w:space="0" w:color="auto"/>
              <w:right w:val="single" w:sz="4" w:space="0" w:color="auto"/>
            </w:tcBorders>
            <w:shd w:val="clear" w:color="auto" w:fill="auto"/>
            <w:noWrap/>
            <w:vAlign w:val="bottom"/>
          </w:tcPr>
          <w:p w14:paraId="390C05B2" w14:textId="2543B196"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79.8</w:t>
            </w:r>
          </w:p>
        </w:tc>
        <w:tc>
          <w:tcPr>
            <w:tcW w:w="1050" w:type="dxa"/>
            <w:tcBorders>
              <w:top w:val="nil"/>
              <w:left w:val="nil"/>
              <w:bottom w:val="single" w:sz="4" w:space="0" w:color="auto"/>
              <w:right w:val="single" w:sz="4" w:space="0" w:color="auto"/>
            </w:tcBorders>
            <w:shd w:val="clear" w:color="auto" w:fill="auto"/>
            <w:noWrap/>
            <w:vAlign w:val="bottom"/>
            <w:hideMark/>
          </w:tcPr>
          <w:p w14:paraId="1D434A8B"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87.8</w:t>
            </w:r>
          </w:p>
        </w:tc>
        <w:tc>
          <w:tcPr>
            <w:tcW w:w="1045" w:type="dxa"/>
            <w:tcBorders>
              <w:top w:val="nil"/>
              <w:left w:val="nil"/>
              <w:bottom w:val="single" w:sz="4" w:space="0" w:color="auto"/>
              <w:right w:val="single" w:sz="4" w:space="0" w:color="auto"/>
            </w:tcBorders>
          </w:tcPr>
          <w:p w14:paraId="6DB08BA8" w14:textId="0DC2F4C3"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109.4</w:t>
            </w:r>
          </w:p>
        </w:tc>
      </w:tr>
      <w:tr w:rsidR="00451E67" w:rsidRPr="002E19F8" w14:paraId="36897CC4" w14:textId="3508F4AC"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FF7EF13"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Franklin</w:t>
            </w:r>
          </w:p>
        </w:tc>
        <w:tc>
          <w:tcPr>
            <w:tcW w:w="1008" w:type="dxa"/>
            <w:tcBorders>
              <w:top w:val="nil"/>
              <w:left w:val="nil"/>
              <w:bottom w:val="single" w:sz="4" w:space="0" w:color="auto"/>
              <w:right w:val="single" w:sz="4" w:space="0" w:color="auto"/>
            </w:tcBorders>
            <w:shd w:val="clear" w:color="auto" w:fill="auto"/>
            <w:noWrap/>
            <w:vAlign w:val="bottom"/>
          </w:tcPr>
          <w:p w14:paraId="759B860A" w14:textId="4C467BCB"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57.7</w:t>
            </w:r>
          </w:p>
        </w:tc>
        <w:tc>
          <w:tcPr>
            <w:tcW w:w="1050" w:type="dxa"/>
            <w:tcBorders>
              <w:top w:val="nil"/>
              <w:left w:val="nil"/>
              <w:bottom w:val="single" w:sz="4" w:space="0" w:color="auto"/>
              <w:right w:val="single" w:sz="4" w:space="0" w:color="auto"/>
            </w:tcBorders>
            <w:shd w:val="clear" w:color="auto" w:fill="auto"/>
            <w:noWrap/>
            <w:vAlign w:val="bottom"/>
            <w:hideMark/>
          </w:tcPr>
          <w:p w14:paraId="6A721B2D"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33.8</w:t>
            </w:r>
          </w:p>
        </w:tc>
        <w:tc>
          <w:tcPr>
            <w:tcW w:w="1045" w:type="dxa"/>
            <w:tcBorders>
              <w:top w:val="nil"/>
              <w:left w:val="nil"/>
              <w:bottom w:val="single" w:sz="4" w:space="0" w:color="auto"/>
              <w:right w:val="single" w:sz="4" w:space="0" w:color="auto"/>
            </w:tcBorders>
          </w:tcPr>
          <w:p w14:paraId="4D2B8992" w14:textId="203DEA7E"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40.8</w:t>
            </w:r>
          </w:p>
        </w:tc>
      </w:tr>
      <w:tr w:rsidR="00451E67" w:rsidRPr="002E19F8" w14:paraId="61F82728" w14:textId="65091843"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538448DD"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Hampden</w:t>
            </w:r>
          </w:p>
        </w:tc>
        <w:tc>
          <w:tcPr>
            <w:tcW w:w="1008" w:type="dxa"/>
            <w:tcBorders>
              <w:top w:val="nil"/>
              <w:left w:val="nil"/>
              <w:bottom w:val="single" w:sz="4" w:space="0" w:color="auto"/>
              <w:right w:val="single" w:sz="4" w:space="0" w:color="auto"/>
            </w:tcBorders>
            <w:shd w:val="clear" w:color="auto" w:fill="auto"/>
            <w:noWrap/>
            <w:vAlign w:val="bottom"/>
          </w:tcPr>
          <w:p w14:paraId="14EC2213" w14:textId="019D6983"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223.9</w:t>
            </w:r>
          </w:p>
        </w:tc>
        <w:tc>
          <w:tcPr>
            <w:tcW w:w="1050" w:type="dxa"/>
            <w:tcBorders>
              <w:top w:val="nil"/>
              <w:left w:val="nil"/>
              <w:bottom w:val="single" w:sz="4" w:space="0" w:color="auto"/>
              <w:right w:val="single" w:sz="4" w:space="0" w:color="auto"/>
            </w:tcBorders>
            <w:shd w:val="clear" w:color="auto" w:fill="auto"/>
            <w:noWrap/>
            <w:vAlign w:val="bottom"/>
            <w:hideMark/>
          </w:tcPr>
          <w:p w14:paraId="41E3F9EF"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213.4</w:t>
            </w:r>
          </w:p>
        </w:tc>
        <w:tc>
          <w:tcPr>
            <w:tcW w:w="1045" w:type="dxa"/>
            <w:tcBorders>
              <w:top w:val="nil"/>
              <w:left w:val="nil"/>
              <w:bottom w:val="single" w:sz="4" w:space="0" w:color="auto"/>
              <w:right w:val="single" w:sz="4" w:space="0" w:color="auto"/>
            </w:tcBorders>
          </w:tcPr>
          <w:p w14:paraId="3D0FD214" w14:textId="7D013161"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175.8</w:t>
            </w:r>
          </w:p>
        </w:tc>
      </w:tr>
      <w:tr w:rsidR="00451E67" w:rsidRPr="002E19F8" w14:paraId="41B7AF63" w14:textId="16127F0C"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08030180"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Hampshire</w:t>
            </w:r>
          </w:p>
        </w:tc>
        <w:tc>
          <w:tcPr>
            <w:tcW w:w="1008" w:type="dxa"/>
            <w:tcBorders>
              <w:top w:val="nil"/>
              <w:left w:val="nil"/>
              <w:bottom w:val="single" w:sz="4" w:space="0" w:color="auto"/>
              <w:right w:val="single" w:sz="4" w:space="0" w:color="auto"/>
            </w:tcBorders>
            <w:shd w:val="clear" w:color="auto" w:fill="auto"/>
            <w:noWrap/>
            <w:vAlign w:val="bottom"/>
          </w:tcPr>
          <w:p w14:paraId="765D486A" w14:textId="4E4A993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47.4</w:t>
            </w:r>
          </w:p>
        </w:tc>
        <w:tc>
          <w:tcPr>
            <w:tcW w:w="1050" w:type="dxa"/>
            <w:tcBorders>
              <w:top w:val="nil"/>
              <w:left w:val="nil"/>
              <w:bottom w:val="single" w:sz="4" w:space="0" w:color="auto"/>
              <w:right w:val="single" w:sz="4" w:space="0" w:color="auto"/>
            </w:tcBorders>
            <w:shd w:val="clear" w:color="auto" w:fill="auto"/>
            <w:noWrap/>
            <w:vAlign w:val="bottom"/>
            <w:hideMark/>
          </w:tcPr>
          <w:p w14:paraId="73AFFE32"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55.5</w:t>
            </w:r>
          </w:p>
        </w:tc>
        <w:tc>
          <w:tcPr>
            <w:tcW w:w="1045" w:type="dxa"/>
            <w:tcBorders>
              <w:top w:val="nil"/>
              <w:left w:val="nil"/>
              <w:bottom w:val="single" w:sz="4" w:space="0" w:color="auto"/>
              <w:right w:val="single" w:sz="4" w:space="0" w:color="auto"/>
            </w:tcBorders>
          </w:tcPr>
          <w:p w14:paraId="6204B53F" w14:textId="72E57D57"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71.5</w:t>
            </w:r>
          </w:p>
        </w:tc>
      </w:tr>
      <w:tr w:rsidR="00451E67" w:rsidRPr="002E19F8" w14:paraId="057E3254" w14:textId="06ABE37F"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3ED0401B"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Middlesex</w:t>
            </w:r>
          </w:p>
        </w:tc>
        <w:tc>
          <w:tcPr>
            <w:tcW w:w="1008" w:type="dxa"/>
            <w:tcBorders>
              <w:top w:val="nil"/>
              <w:left w:val="nil"/>
              <w:bottom w:val="single" w:sz="4" w:space="0" w:color="auto"/>
              <w:right w:val="single" w:sz="4" w:space="0" w:color="auto"/>
            </w:tcBorders>
            <w:shd w:val="clear" w:color="auto" w:fill="auto"/>
            <w:noWrap/>
            <w:vAlign w:val="bottom"/>
          </w:tcPr>
          <w:p w14:paraId="56382F2A" w14:textId="6A036466"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74.0</w:t>
            </w:r>
          </w:p>
        </w:tc>
        <w:tc>
          <w:tcPr>
            <w:tcW w:w="1050" w:type="dxa"/>
            <w:tcBorders>
              <w:top w:val="nil"/>
              <w:left w:val="nil"/>
              <w:bottom w:val="single" w:sz="4" w:space="0" w:color="auto"/>
              <w:right w:val="single" w:sz="4" w:space="0" w:color="auto"/>
            </w:tcBorders>
            <w:shd w:val="clear" w:color="auto" w:fill="auto"/>
            <w:noWrap/>
            <w:vAlign w:val="bottom"/>
            <w:hideMark/>
          </w:tcPr>
          <w:p w14:paraId="4476328D"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97.6</w:t>
            </w:r>
          </w:p>
        </w:tc>
        <w:tc>
          <w:tcPr>
            <w:tcW w:w="1045" w:type="dxa"/>
            <w:tcBorders>
              <w:top w:val="nil"/>
              <w:left w:val="nil"/>
              <w:bottom w:val="single" w:sz="4" w:space="0" w:color="auto"/>
              <w:right w:val="single" w:sz="4" w:space="0" w:color="auto"/>
            </w:tcBorders>
          </w:tcPr>
          <w:p w14:paraId="2C3A9D0E" w14:textId="307E5CE4"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113.4</w:t>
            </w:r>
          </w:p>
        </w:tc>
      </w:tr>
      <w:tr w:rsidR="00451E67" w:rsidRPr="002E19F8" w14:paraId="1C6EE926" w14:textId="4977A258" w:rsidTr="6AFD1A91">
        <w:trPr>
          <w:trHeight w:val="290"/>
        </w:trPr>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D7198"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Norfolk</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7CDBAD15" w14:textId="70D2D766"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60.9</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128BE8CE"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73.4</w:t>
            </w:r>
          </w:p>
        </w:tc>
        <w:tc>
          <w:tcPr>
            <w:tcW w:w="1045" w:type="dxa"/>
            <w:tcBorders>
              <w:top w:val="single" w:sz="4" w:space="0" w:color="auto"/>
              <w:left w:val="nil"/>
              <w:bottom w:val="single" w:sz="4" w:space="0" w:color="auto"/>
              <w:right w:val="single" w:sz="4" w:space="0" w:color="auto"/>
            </w:tcBorders>
          </w:tcPr>
          <w:p w14:paraId="46A9A1DC" w14:textId="0C7C7ABB"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89.5</w:t>
            </w:r>
          </w:p>
        </w:tc>
      </w:tr>
      <w:tr w:rsidR="00451E67" w:rsidRPr="002E19F8" w14:paraId="03114D13" w14:textId="4C924572"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65F32720"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Plymouth</w:t>
            </w:r>
          </w:p>
        </w:tc>
        <w:tc>
          <w:tcPr>
            <w:tcW w:w="1008" w:type="dxa"/>
            <w:tcBorders>
              <w:top w:val="nil"/>
              <w:left w:val="nil"/>
              <w:bottom w:val="single" w:sz="4" w:space="0" w:color="auto"/>
              <w:right w:val="single" w:sz="4" w:space="0" w:color="auto"/>
            </w:tcBorders>
            <w:shd w:val="clear" w:color="auto" w:fill="auto"/>
            <w:noWrap/>
            <w:vAlign w:val="bottom"/>
          </w:tcPr>
          <w:p w14:paraId="3C30EC0A" w14:textId="52EC651A"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92.9</w:t>
            </w:r>
          </w:p>
        </w:tc>
        <w:tc>
          <w:tcPr>
            <w:tcW w:w="1050" w:type="dxa"/>
            <w:tcBorders>
              <w:top w:val="nil"/>
              <w:left w:val="nil"/>
              <w:bottom w:val="single" w:sz="4" w:space="0" w:color="auto"/>
              <w:right w:val="single" w:sz="4" w:space="0" w:color="auto"/>
            </w:tcBorders>
            <w:shd w:val="clear" w:color="auto" w:fill="auto"/>
            <w:noWrap/>
            <w:vAlign w:val="bottom"/>
            <w:hideMark/>
          </w:tcPr>
          <w:p w14:paraId="3BDC0750"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115.7</w:t>
            </w:r>
          </w:p>
        </w:tc>
        <w:tc>
          <w:tcPr>
            <w:tcW w:w="1045" w:type="dxa"/>
            <w:tcBorders>
              <w:top w:val="nil"/>
              <w:left w:val="nil"/>
              <w:bottom w:val="single" w:sz="4" w:space="0" w:color="auto"/>
              <w:right w:val="single" w:sz="4" w:space="0" w:color="auto"/>
            </w:tcBorders>
          </w:tcPr>
          <w:p w14:paraId="3D89E5F0" w14:textId="3C66BAC9"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120.9</w:t>
            </w:r>
          </w:p>
        </w:tc>
      </w:tr>
      <w:tr w:rsidR="00451E67" w:rsidRPr="002E19F8" w14:paraId="4911C501" w14:textId="08FF0DED"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9C6908B"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Suffolk</w:t>
            </w:r>
          </w:p>
        </w:tc>
        <w:tc>
          <w:tcPr>
            <w:tcW w:w="1008" w:type="dxa"/>
            <w:tcBorders>
              <w:top w:val="nil"/>
              <w:left w:val="nil"/>
              <w:bottom w:val="single" w:sz="4" w:space="0" w:color="auto"/>
              <w:right w:val="single" w:sz="4" w:space="0" w:color="auto"/>
            </w:tcBorders>
            <w:shd w:val="clear" w:color="auto" w:fill="auto"/>
            <w:noWrap/>
            <w:vAlign w:val="bottom"/>
          </w:tcPr>
          <w:p w14:paraId="61A3F8A4" w14:textId="331DCC42"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271.3</w:t>
            </w:r>
          </w:p>
        </w:tc>
        <w:tc>
          <w:tcPr>
            <w:tcW w:w="1050" w:type="dxa"/>
            <w:tcBorders>
              <w:top w:val="nil"/>
              <w:left w:val="nil"/>
              <w:bottom w:val="single" w:sz="4" w:space="0" w:color="auto"/>
              <w:right w:val="single" w:sz="4" w:space="0" w:color="auto"/>
            </w:tcBorders>
            <w:shd w:val="clear" w:color="auto" w:fill="auto"/>
            <w:noWrap/>
            <w:vAlign w:val="bottom"/>
            <w:hideMark/>
          </w:tcPr>
          <w:p w14:paraId="6A869BBE" w14:textId="407F81B8" w:rsidR="00451E67" w:rsidRPr="002E19F8" w:rsidRDefault="00451E67" w:rsidP="00E33CEE">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343.0</w:t>
            </w:r>
          </w:p>
        </w:tc>
        <w:tc>
          <w:tcPr>
            <w:tcW w:w="1045" w:type="dxa"/>
            <w:tcBorders>
              <w:top w:val="nil"/>
              <w:left w:val="nil"/>
              <w:bottom w:val="single" w:sz="4" w:space="0" w:color="auto"/>
              <w:right w:val="single" w:sz="4" w:space="0" w:color="auto"/>
            </w:tcBorders>
          </w:tcPr>
          <w:p w14:paraId="1FFD6463" w14:textId="4A1CD57E"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388.6</w:t>
            </w:r>
          </w:p>
        </w:tc>
      </w:tr>
      <w:tr w:rsidR="00451E67" w:rsidRPr="002E19F8" w14:paraId="66A3EF2E" w14:textId="330C4C2B"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49BF904E"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Worcester</w:t>
            </w:r>
          </w:p>
        </w:tc>
        <w:tc>
          <w:tcPr>
            <w:tcW w:w="1008" w:type="dxa"/>
            <w:tcBorders>
              <w:top w:val="nil"/>
              <w:left w:val="nil"/>
              <w:bottom w:val="single" w:sz="4" w:space="0" w:color="auto"/>
              <w:right w:val="single" w:sz="4" w:space="0" w:color="auto"/>
            </w:tcBorders>
            <w:shd w:val="clear" w:color="auto" w:fill="auto"/>
            <w:noWrap/>
            <w:vAlign w:val="bottom"/>
          </w:tcPr>
          <w:p w14:paraId="550FCB1D" w14:textId="4D19581C"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58.2</w:t>
            </w:r>
          </w:p>
        </w:tc>
        <w:tc>
          <w:tcPr>
            <w:tcW w:w="1050" w:type="dxa"/>
            <w:tcBorders>
              <w:top w:val="nil"/>
              <w:left w:val="nil"/>
              <w:bottom w:val="single" w:sz="4" w:space="0" w:color="auto"/>
              <w:right w:val="single" w:sz="4" w:space="0" w:color="auto"/>
            </w:tcBorders>
            <w:shd w:val="clear" w:color="auto" w:fill="auto"/>
            <w:noWrap/>
            <w:vAlign w:val="bottom"/>
            <w:hideMark/>
          </w:tcPr>
          <w:p w14:paraId="59EFFC03"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79.3</w:t>
            </w:r>
          </w:p>
        </w:tc>
        <w:tc>
          <w:tcPr>
            <w:tcW w:w="1045" w:type="dxa"/>
            <w:tcBorders>
              <w:top w:val="nil"/>
              <w:left w:val="nil"/>
              <w:bottom w:val="single" w:sz="4" w:space="0" w:color="auto"/>
              <w:right w:val="single" w:sz="4" w:space="0" w:color="auto"/>
            </w:tcBorders>
          </w:tcPr>
          <w:p w14:paraId="01B8E55F" w14:textId="22F5E93B"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81.9</w:t>
            </w:r>
          </w:p>
        </w:tc>
      </w:tr>
      <w:tr w:rsidR="00451E67" w:rsidRPr="002E19F8" w14:paraId="6DBA0797" w14:textId="0A7A6D1C" w:rsidTr="6AFD1A91">
        <w:trPr>
          <w:trHeight w:val="2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14:paraId="3A1BADB9" w14:textId="77777777" w:rsidR="00451E67" w:rsidRPr="002E19F8" w:rsidRDefault="00451E67" w:rsidP="0077704F">
            <w:pPr>
              <w:spacing w:after="0" w:line="240" w:lineRule="auto"/>
              <w:rPr>
                <w:rFonts w:eastAsia="Times New Roman"/>
                <w:color w:val="000000"/>
                <w:kern w:val="0"/>
                <w:sz w:val="24"/>
                <w:szCs w:val="24"/>
                <w14:ligatures w14:val="none"/>
              </w:rPr>
            </w:pPr>
            <w:r w:rsidRPr="002E19F8">
              <w:rPr>
                <w:rFonts w:eastAsia="Times New Roman"/>
                <w:color w:val="000000"/>
                <w:kern w:val="0"/>
                <w:sz w:val="24"/>
                <w:szCs w:val="24"/>
                <w14:ligatures w14:val="none"/>
              </w:rPr>
              <w:t>Statewide</w:t>
            </w:r>
          </w:p>
        </w:tc>
        <w:tc>
          <w:tcPr>
            <w:tcW w:w="1008" w:type="dxa"/>
            <w:tcBorders>
              <w:top w:val="nil"/>
              <w:left w:val="nil"/>
              <w:bottom w:val="single" w:sz="4" w:space="0" w:color="auto"/>
              <w:right w:val="single" w:sz="4" w:space="0" w:color="auto"/>
            </w:tcBorders>
            <w:shd w:val="clear" w:color="auto" w:fill="auto"/>
            <w:noWrap/>
            <w:vAlign w:val="bottom"/>
          </w:tcPr>
          <w:p w14:paraId="52E46F44" w14:textId="78567166"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103.9</w:t>
            </w:r>
          </w:p>
        </w:tc>
        <w:tc>
          <w:tcPr>
            <w:tcW w:w="1050" w:type="dxa"/>
            <w:tcBorders>
              <w:top w:val="nil"/>
              <w:left w:val="nil"/>
              <w:bottom w:val="single" w:sz="4" w:space="0" w:color="auto"/>
              <w:right w:val="single" w:sz="4" w:space="0" w:color="auto"/>
            </w:tcBorders>
            <w:shd w:val="clear" w:color="auto" w:fill="auto"/>
            <w:noWrap/>
            <w:vAlign w:val="bottom"/>
            <w:hideMark/>
          </w:tcPr>
          <w:p w14:paraId="208D7479" w14:textId="77777777" w:rsidR="00451E67" w:rsidRPr="002E19F8" w:rsidRDefault="00451E67" w:rsidP="0077704F">
            <w:pPr>
              <w:spacing w:after="0" w:line="240" w:lineRule="auto"/>
              <w:jc w:val="right"/>
              <w:rPr>
                <w:rFonts w:eastAsia="Times New Roman"/>
                <w:color w:val="000000"/>
                <w:kern w:val="0"/>
                <w:sz w:val="24"/>
                <w:szCs w:val="24"/>
                <w14:ligatures w14:val="none"/>
              </w:rPr>
            </w:pPr>
            <w:r w:rsidRPr="002E19F8">
              <w:rPr>
                <w:rFonts w:eastAsia="Times New Roman"/>
                <w:color w:val="000000"/>
                <w:kern w:val="0"/>
                <w:sz w:val="24"/>
                <w:szCs w:val="24"/>
                <w14:ligatures w14:val="none"/>
              </w:rPr>
              <w:t>129.8</w:t>
            </w:r>
          </w:p>
        </w:tc>
        <w:tc>
          <w:tcPr>
            <w:tcW w:w="1045" w:type="dxa"/>
            <w:tcBorders>
              <w:top w:val="nil"/>
              <w:left w:val="nil"/>
              <w:bottom w:val="single" w:sz="4" w:space="0" w:color="auto"/>
              <w:right w:val="single" w:sz="4" w:space="0" w:color="auto"/>
            </w:tcBorders>
          </w:tcPr>
          <w:p w14:paraId="76F4A762" w14:textId="39424877" w:rsidR="6AFD1A91" w:rsidRDefault="6AFD1A91" w:rsidP="6AFD1A91">
            <w:pPr>
              <w:spacing w:after="0"/>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139.1</w:t>
            </w:r>
          </w:p>
        </w:tc>
      </w:tr>
    </w:tbl>
    <w:p w14:paraId="1CA3193C" w14:textId="5064AB47" w:rsidR="00F32150" w:rsidRPr="002E19F8" w:rsidRDefault="00EC6FB0" w:rsidP="008C27CA">
      <w:pPr>
        <w:spacing w:before="240" w:after="0" w:line="240" w:lineRule="auto"/>
        <w:rPr>
          <w:sz w:val="24"/>
          <w:szCs w:val="24"/>
        </w:rPr>
      </w:pPr>
      <w:r w:rsidRPr="002E19F8">
        <w:rPr>
          <w:b/>
          <w:sz w:val="24"/>
          <w:szCs w:val="24"/>
        </w:rPr>
        <w:t>Highlights:</w:t>
      </w:r>
      <w:r w:rsidRPr="002E19F8">
        <w:rPr>
          <w:sz w:val="24"/>
          <w:szCs w:val="24"/>
        </w:rPr>
        <w:t xml:space="preserve"> </w:t>
      </w:r>
      <w:r w:rsidR="00F32150" w:rsidRPr="00F32150">
        <w:rPr>
          <w:sz w:val="24"/>
          <w:szCs w:val="24"/>
        </w:rPr>
        <w:t>Graph depicts rate per 100,000 population of gonorrhea cases reported in Massachusetts by county comparing 2021 through 2023. The rate is highest in Suffolk county with a rate of 388.6 in 2023 followed by Hampden county with a rate of 175.8 in 2023. The lowest rates were in Berkshire and Franklin counties.</w:t>
      </w:r>
    </w:p>
    <w:p w14:paraId="0DE49075" w14:textId="05C74305" w:rsidR="009611E4" w:rsidRPr="002E19F8" w:rsidRDefault="009611E4" w:rsidP="52C804C8">
      <w:pPr>
        <w:spacing w:after="0" w:line="240" w:lineRule="auto"/>
        <w:rPr>
          <w:b/>
          <w:bCs/>
          <w:sz w:val="24"/>
          <w:szCs w:val="24"/>
        </w:rPr>
      </w:pPr>
      <w:r w:rsidRPr="002E19F8">
        <w:rPr>
          <w:b/>
          <w:sz w:val="24"/>
          <w:szCs w:val="24"/>
        </w:rPr>
        <w:t>Footnotes</w:t>
      </w:r>
      <w:r w:rsidR="7A6F4555" w:rsidRPr="002E19F8">
        <w:rPr>
          <w:b/>
          <w:bCs/>
          <w:sz w:val="24"/>
          <w:szCs w:val="24"/>
        </w:rPr>
        <w:t xml:space="preserve"> for Slide 12</w:t>
      </w:r>
    </w:p>
    <w:p w14:paraId="0FDB365E" w14:textId="77777777" w:rsidR="00F32150" w:rsidRPr="00F32150" w:rsidRDefault="00F32150" w:rsidP="00F32150">
      <w:pPr>
        <w:spacing w:after="0" w:line="240" w:lineRule="auto"/>
        <w:rPr>
          <w:sz w:val="24"/>
          <w:szCs w:val="24"/>
        </w:rPr>
      </w:pPr>
      <w:r w:rsidRPr="00F32150">
        <w:rPr>
          <w:sz w:val="24"/>
          <w:szCs w:val="24"/>
        </w:rPr>
        <w:t>Data are current as of 08/01/2024 and are subject to change. </w:t>
      </w:r>
    </w:p>
    <w:p w14:paraId="67C1606E" w14:textId="77777777" w:rsidR="00F32150" w:rsidRPr="00F32150" w:rsidRDefault="00F32150" w:rsidP="00F32150">
      <w:pPr>
        <w:spacing w:after="0" w:line="240" w:lineRule="auto"/>
        <w:rPr>
          <w:sz w:val="24"/>
          <w:szCs w:val="24"/>
        </w:rPr>
      </w:pPr>
      <w:r w:rsidRPr="00F32150">
        <w:rPr>
          <w:sz w:val="24"/>
          <w:szCs w:val="24"/>
        </w:rPr>
        <w:t>Data Source: Massachusetts Department of Public Health/Bureau of Infectious Disease and Laboratory Sciences/ Division of STD Prevention and STD-HIV Surveillance.</w:t>
      </w:r>
    </w:p>
    <w:p w14:paraId="009D4337" w14:textId="77777777" w:rsidR="00F32150" w:rsidRPr="00F32150" w:rsidRDefault="00F32150" w:rsidP="00F32150">
      <w:pPr>
        <w:spacing w:after="0" w:line="240" w:lineRule="auto"/>
        <w:rPr>
          <w:sz w:val="24"/>
          <w:szCs w:val="24"/>
        </w:rPr>
      </w:pPr>
      <w:r w:rsidRPr="00F32150">
        <w:rPr>
          <w:sz w:val="24"/>
          <w:szCs w:val="24"/>
        </w:rPr>
        <w:t>Population denominators estimated by the University of Massachusetts Donahue Institute using a modified Hamilton-Perry model (Strate S, et al. Small Area Population Estimates for 2011 through 2020 report, Oct 2016).</w:t>
      </w:r>
    </w:p>
    <w:p w14:paraId="2C2853FF" w14:textId="77777777" w:rsidR="00F32150" w:rsidRPr="00F32150" w:rsidRDefault="00F32150" w:rsidP="00F32150">
      <w:pPr>
        <w:spacing w:after="0" w:line="240" w:lineRule="auto"/>
        <w:rPr>
          <w:sz w:val="24"/>
          <w:szCs w:val="24"/>
        </w:rPr>
      </w:pPr>
      <w:r w:rsidRPr="00F32150">
        <w:rPr>
          <w:sz w:val="24"/>
          <w:szCs w:val="24"/>
        </w:rPr>
        <w:t>1. Please consider the impact of the COVID-19 pandemic on infectious disease screening, treatment and surveillance in the interpretation of 2021-2023 data.</w:t>
      </w:r>
    </w:p>
    <w:p w14:paraId="36C824D1" w14:textId="77777777" w:rsidR="003A27A3" w:rsidRDefault="00E76BE7" w:rsidP="008A0B88">
      <w:pPr>
        <w:pStyle w:val="Heading2"/>
      </w:pPr>
      <w:bookmarkStart w:id="13" w:name="_Toc184132224"/>
      <w:r w:rsidRPr="008A0B88">
        <w:t xml:space="preserve">Slide 13: </w:t>
      </w:r>
      <w:r w:rsidR="003A27A3" w:rsidRPr="008A0B88">
        <w:t>Rate of Confirmed and Probable Infectious Syphilis1 Cases by Gender,2 Massachusetts, 2010-20233</w:t>
      </w:r>
      <w:bookmarkEnd w:id="13"/>
    </w:p>
    <w:p w14:paraId="0A612E64" w14:textId="77777777" w:rsidR="00D401B8" w:rsidRPr="00D401B8" w:rsidRDefault="00D401B8" w:rsidP="00D401B8"/>
    <w:p w14:paraId="1CD9717F" w14:textId="07E9FE29" w:rsidR="00E76BE7" w:rsidRPr="002E19F8" w:rsidRDefault="00E159AB" w:rsidP="003A27A3">
      <w:pPr>
        <w:pStyle w:val="Heading1"/>
        <w:rPr>
          <w:b/>
          <w:sz w:val="24"/>
          <w:szCs w:val="24"/>
        </w:rPr>
      </w:pPr>
      <w:bookmarkStart w:id="14" w:name="_Toc184125211"/>
      <w:bookmarkStart w:id="15" w:name="_Toc184132225"/>
      <w:r w:rsidRPr="002E19F8">
        <w:rPr>
          <w:noProof/>
          <w:sz w:val="24"/>
          <w:szCs w:val="24"/>
        </w:rPr>
        <w:drawing>
          <wp:inline distT="0" distB="0" distL="0" distR="0" wp14:anchorId="46920925" wp14:editId="5123F875">
            <wp:extent cx="5435235" cy="1731189"/>
            <wp:effectExtent l="0" t="0" r="2540" b="0"/>
            <wp:docPr id="61588605" name="Picture 61588605" descr="Graph depicts the rate per 100,000 population of confirmed and probable cases of infectious syphilis in Massachusetts between 2000 and 2022. It begins at 2.2 in 2000, drops to a low of 1.6 in 2001, and climbs to a high of 22.7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8605" name="Picture 61588605" descr="Graph depicts the rate per 100,000 population of confirmed and probable cases of infectious syphilis in Massachusetts between 2000 and 2022. It begins at 2.2 in 2000, drops to a low of 1.6 in 2001, and climbs to a high of 22.7 in 2022. "/>
                    <pic:cNvPicPr/>
                  </pic:nvPicPr>
                  <pic:blipFill>
                    <a:blip r:embed="rId17">
                      <a:extLst>
                        <a:ext uri="{28A0092B-C50C-407E-A947-70E740481C1C}">
                          <a14:useLocalDpi xmlns:a14="http://schemas.microsoft.com/office/drawing/2010/main" val="0"/>
                        </a:ext>
                      </a:extLst>
                    </a:blip>
                    <a:stretch>
                      <a:fillRect/>
                    </a:stretch>
                  </pic:blipFill>
                  <pic:spPr>
                    <a:xfrm>
                      <a:off x="0" y="0"/>
                      <a:ext cx="5435235" cy="1731189"/>
                    </a:xfrm>
                    <a:prstGeom prst="rect">
                      <a:avLst/>
                    </a:prstGeom>
                  </pic:spPr>
                </pic:pic>
              </a:graphicData>
            </a:graphic>
          </wp:inline>
        </w:drawing>
      </w:r>
      <w:bookmarkEnd w:id="14"/>
      <w:bookmarkEnd w:id="15"/>
    </w:p>
    <w:p w14:paraId="13E48FC8" w14:textId="2C9D652D" w:rsidR="00E159AB" w:rsidRPr="002E19F8" w:rsidRDefault="00E159AB" w:rsidP="52C804C8">
      <w:pPr>
        <w:spacing w:before="120" w:after="0" w:line="240" w:lineRule="auto"/>
        <w:rPr>
          <w:b/>
          <w:sz w:val="24"/>
          <w:szCs w:val="24"/>
        </w:rPr>
      </w:pPr>
      <w:r w:rsidRPr="002E19F8">
        <w:rPr>
          <w:b/>
          <w:sz w:val="24"/>
          <w:szCs w:val="24"/>
        </w:rPr>
        <w:t>Table: Infectious Syphilis Annual Case Counts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45"/>
        <w:gridCol w:w="1245"/>
      </w:tblGrid>
      <w:tr w:rsidR="52C804C8" w:rsidRPr="002E19F8" w14:paraId="39104FE8"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95D4C4B" w14:textId="7805DB51"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Year</w:t>
            </w:r>
            <w:r w:rsidRPr="002E19F8">
              <w:rPr>
                <w:rFonts w:ascii="Calibri" w:eastAsia="Calibri" w:hAnsi="Calibri" w:cs="Calibri"/>
                <w:color w:val="000000" w:themeColor="text1"/>
                <w:sz w:val="24"/>
                <w:szCs w:val="24"/>
              </w:rPr>
              <w:t xml:space="preserve">  </w:t>
            </w:r>
          </w:p>
        </w:tc>
        <w:tc>
          <w:tcPr>
            <w:tcW w:w="1245" w:type="dxa"/>
            <w:tcBorders>
              <w:top w:val="single" w:sz="4" w:space="0" w:color="auto"/>
              <w:left w:val="single" w:sz="4" w:space="0" w:color="auto"/>
              <w:bottom w:val="single" w:sz="4" w:space="0" w:color="auto"/>
              <w:right w:val="single" w:sz="4" w:space="0" w:color="auto"/>
            </w:tcBorders>
            <w:vAlign w:val="center"/>
          </w:tcPr>
          <w:p w14:paraId="5D1EEF28" w14:textId="43437422"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Count</w:t>
            </w:r>
            <w:r w:rsidRPr="002E19F8">
              <w:rPr>
                <w:rFonts w:ascii="Calibri" w:eastAsia="Calibri" w:hAnsi="Calibri" w:cs="Calibri"/>
                <w:color w:val="000000" w:themeColor="text1"/>
                <w:sz w:val="24"/>
                <w:szCs w:val="24"/>
              </w:rPr>
              <w:t xml:space="preserve">  </w:t>
            </w:r>
          </w:p>
        </w:tc>
      </w:tr>
      <w:tr w:rsidR="52C804C8" w:rsidRPr="002E19F8" w14:paraId="433A773E"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2B559613" w14:textId="2F216B0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2000  </w:t>
            </w:r>
          </w:p>
        </w:tc>
        <w:tc>
          <w:tcPr>
            <w:tcW w:w="1245" w:type="dxa"/>
            <w:tcBorders>
              <w:top w:val="single" w:sz="4" w:space="0" w:color="auto"/>
              <w:left w:val="single" w:sz="4" w:space="0" w:color="auto"/>
              <w:bottom w:val="single" w:sz="4" w:space="0" w:color="auto"/>
              <w:right w:val="single" w:sz="4" w:space="0" w:color="auto"/>
            </w:tcBorders>
            <w:vAlign w:val="bottom"/>
          </w:tcPr>
          <w:p w14:paraId="216BFC0A" w14:textId="02AE09A6"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141  </w:t>
            </w:r>
          </w:p>
        </w:tc>
      </w:tr>
      <w:tr w:rsidR="52C804C8" w:rsidRPr="002E19F8" w14:paraId="5B50BB43"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3EF2321" w14:textId="077B35C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2001  </w:t>
            </w:r>
          </w:p>
        </w:tc>
        <w:tc>
          <w:tcPr>
            <w:tcW w:w="1245" w:type="dxa"/>
            <w:tcBorders>
              <w:top w:val="single" w:sz="4" w:space="0" w:color="auto"/>
              <w:left w:val="single" w:sz="4" w:space="0" w:color="auto"/>
              <w:bottom w:val="single" w:sz="4" w:space="0" w:color="auto"/>
              <w:right w:val="single" w:sz="4" w:space="0" w:color="auto"/>
            </w:tcBorders>
            <w:vAlign w:val="bottom"/>
          </w:tcPr>
          <w:p w14:paraId="114FE1AC" w14:textId="69A81DE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105  </w:t>
            </w:r>
          </w:p>
        </w:tc>
      </w:tr>
      <w:tr w:rsidR="52C804C8" w:rsidRPr="002E19F8" w14:paraId="0F9F2C30"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729406C6" w14:textId="059A7748"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2002  </w:t>
            </w:r>
          </w:p>
        </w:tc>
        <w:tc>
          <w:tcPr>
            <w:tcW w:w="1245" w:type="dxa"/>
            <w:tcBorders>
              <w:top w:val="single" w:sz="4" w:space="0" w:color="auto"/>
              <w:left w:val="single" w:sz="4" w:space="0" w:color="auto"/>
              <w:bottom w:val="single" w:sz="4" w:space="0" w:color="auto"/>
              <w:right w:val="single" w:sz="4" w:space="0" w:color="auto"/>
            </w:tcBorders>
            <w:vAlign w:val="bottom"/>
          </w:tcPr>
          <w:p w14:paraId="1851DC25" w14:textId="5691A94A"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207  </w:t>
            </w:r>
          </w:p>
        </w:tc>
      </w:tr>
      <w:tr w:rsidR="52C804C8" w:rsidRPr="002E19F8" w14:paraId="46B94825"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6AA1E0F" w14:textId="6FD2CC7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2003  </w:t>
            </w:r>
          </w:p>
        </w:tc>
        <w:tc>
          <w:tcPr>
            <w:tcW w:w="1245" w:type="dxa"/>
            <w:tcBorders>
              <w:top w:val="single" w:sz="4" w:space="0" w:color="auto"/>
              <w:left w:val="single" w:sz="4" w:space="0" w:color="auto"/>
              <w:bottom w:val="single" w:sz="4" w:space="0" w:color="auto"/>
              <w:right w:val="single" w:sz="4" w:space="0" w:color="auto"/>
            </w:tcBorders>
            <w:vAlign w:val="bottom"/>
          </w:tcPr>
          <w:p w14:paraId="2FBB4E65" w14:textId="5C6C2254"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258  </w:t>
            </w:r>
          </w:p>
        </w:tc>
      </w:tr>
      <w:tr w:rsidR="52C804C8" w:rsidRPr="002E19F8" w14:paraId="101CB2B3"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C24D719" w14:textId="6E2D9AB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2004  </w:t>
            </w:r>
          </w:p>
        </w:tc>
        <w:tc>
          <w:tcPr>
            <w:tcW w:w="1245" w:type="dxa"/>
            <w:tcBorders>
              <w:top w:val="single" w:sz="4" w:space="0" w:color="auto"/>
              <w:left w:val="single" w:sz="4" w:space="0" w:color="auto"/>
              <w:bottom w:val="single" w:sz="4" w:space="0" w:color="auto"/>
              <w:right w:val="single" w:sz="4" w:space="0" w:color="auto"/>
            </w:tcBorders>
            <w:vAlign w:val="bottom"/>
          </w:tcPr>
          <w:p w14:paraId="60904D66" w14:textId="3E6BA7E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209  </w:t>
            </w:r>
          </w:p>
        </w:tc>
      </w:tr>
      <w:tr w:rsidR="52C804C8" w:rsidRPr="002E19F8" w14:paraId="185AD09E"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31F9DE4" w14:textId="7B20C127"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2005  </w:t>
            </w:r>
          </w:p>
        </w:tc>
        <w:tc>
          <w:tcPr>
            <w:tcW w:w="1245" w:type="dxa"/>
            <w:tcBorders>
              <w:top w:val="single" w:sz="4" w:space="0" w:color="auto"/>
              <w:left w:val="single" w:sz="4" w:space="0" w:color="auto"/>
              <w:bottom w:val="single" w:sz="4" w:space="0" w:color="auto"/>
              <w:right w:val="single" w:sz="4" w:space="0" w:color="auto"/>
            </w:tcBorders>
            <w:vAlign w:val="bottom"/>
          </w:tcPr>
          <w:p w14:paraId="7B678245" w14:textId="7D15F6C7"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231  </w:t>
            </w:r>
          </w:p>
        </w:tc>
      </w:tr>
      <w:tr w:rsidR="52C804C8" w:rsidRPr="002E19F8" w14:paraId="623E4DD5"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0D54A11" w14:textId="57696275"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2006  </w:t>
            </w:r>
          </w:p>
        </w:tc>
        <w:tc>
          <w:tcPr>
            <w:tcW w:w="1245" w:type="dxa"/>
            <w:tcBorders>
              <w:top w:val="single" w:sz="4" w:space="0" w:color="auto"/>
              <w:left w:val="single" w:sz="4" w:space="0" w:color="auto"/>
              <w:bottom w:val="single" w:sz="4" w:space="0" w:color="auto"/>
              <w:right w:val="single" w:sz="4" w:space="0" w:color="auto"/>
            </w:tcBorders>
            <w:vAlign w:val="bottom"/>
          </w:tcPr>
          <w:p w14:paraId="6CAC5C57" w14:textId="2681F3C9"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217  </w:t>
            </w:r>
          </w:p>
        </w:tc>
      </w:tr>
      <w:tr w:rsidR="52C804C8" w:rsidRPr="002E19F8" w14:paraId="2D165BAF"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CCFBB65" w14:textId="6A9A8CA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2007  </w:t>
            </w:r>
          </w:p>
        </w:tc>
        <w:tc>
          <w:tcPr>
            <w:tcW w:w="1245" w:type="dxa"/>
            <w:tcBorders>
              <w:top w:val="single" w:sz="4" w:space="0" w:color="auto"/>
              <w:left w:val="single" w:sz="4" w:space="0" w:color="auto"/>
              <w:bottom w:val="single" w:sz="4" w:space="0" w:color="auto"/>
              <w:right w:val="single" w:sz="4" w:space="0" w:color="auto"/>
            </w:tcBorders>
            <w:vAlign w:val="bottom"/>
          </w:tcPr>
          <w:p w14:paraId="03DCFD99" w14:textId="3AEB93EA"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268  </w:t>
            </w:r>
          </w:p>
        </w:tc>
      </w:tr>
      <w:tr w:rsidR="52C804C8" w:rsidRPr="002E19F8" w14:paraId="27CF93D2"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F9BE75B" w14:textId="1E5DD98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2008  </w:t>
            </w:r>
          </w:p>
        </w:tc>
        <w:tc>
          <w:tcPr>
            <w:tcW w:w="1245" w:type="dxa"/>
            <w:tcBorders>
              <w:top w:val="single" w:sz="4" w:space="0" w:color="auto"/>
              <w:left w:val="single" w:sz="4" w:space="0" w:color="auto"/>
              <w:bottom w:val="single" w:sz="4" w:space="0" w:color="auto"/>
              <w:right w:val="single" w:sz="4" w:space="0" w:color="auto"/>
            </w:tcBorders>
            <w:vAlign w:val="bottom"/>
          </w:tcPr>
          <w:p w14:paraId="2366112E" w14:textId="0C63FBDE"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367  </w:t>
            </w:r>
          </w:p>
        </w:tc>
      </w:tr>
      <w:tr w:rsidR="52C804C8" w:rsidRPr="002E19F8" w14:paraId="01F84017"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B4E555F" w14:textId="110A887A"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2009  </w:t>
            </w:r>
          </w:p>
        </w:tc>
        <w:tc>
          <w:tcPr>
            <w:tcW w:w="1245" w:type="dxa"/>
            <w:tcBorders>
              <w:top w:val="single" w:sz="4" w:space="0" w:color="auto"/>
              <w:left w:val="single" w:sz="4" w:space="0" w:color="auto"/>
              <w:bottom w:val="single" w:sz="4" w:space="0" w:color="auto"/>
              <w:right w:val="single" w:sz="4" w:space="0" w:color="auto"/>
            </w:tcBorders>
            <w:vAlign w:val="bottom"/>
          </w:tcPr>
          <w:p w14:paraId="2344FBA7" w14:textId="1D6202B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379  </w:t>
            </w:r>
          </w:p>
        </w:tc>
      </w:tr>
      <w:tr w:rsidR="52C804C8" w:rsidRPr="002E19F8" w14:paraId="576350E2"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C1E5A92" w14:textId="3B826021"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2010  </w:t>
            </w:r>
          </w:p>
        </w:tc>
        <w:tc>
          <w:tcPr>
            <w:tcW w:w="1245" w:type="dxa"/>
            <w:tcBorders>
              <w:top w:val="single" w:sz="4" w:space="0" w:color="auto"/>
              <w:left w:val="single" w:sz="4" w:space="0" w:color="auto"/>
              <w:bottom w:val="single" w:sz="4" w:space="0" w:color="auto"/>
              <w:right w:val="single" w:sz="4" w:space="0" w:color="auto"/>
            </w:tcBorders>
            <w:vAlign w:val="bottom"/>
          </w:tcPr>
          <w:p w14:paraId="7DB1081B" w14:textId="144FE5D6"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465  </w:t>
            </w:r>
          </w:p>
        </w:tc>
      </w:tr>
      <w:tr w:rsidR="52C804C8" w:rsidRPr="002E19F8" w14:paraId="0262C7AA"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B1D5740" w14:textId="15EA68D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2011  </w:t>
            </w:r>
          </w:p>
        </w:tc>
        <w:tc>
          <w:tcPr>
            <w:tcW w:w="1245" w:type="dxa"/>
            <w:tcBorders>
              <w:top w:val="single" w:sz="4" w:space="0" w:color="auto"/>
              <w:left w:val="single" w:sz="4" w:space="0" w:color="auto"/>
              <w:bottom w:val="single" w:sz="4" w:space="0" w:color="auto"/>
              <w:right w:val="single" w:sz="4" w:space="0" w:color="auto"/>
            </w:tcBorders>
            <w:vAlign w:val="bottom"/>
          </w:tcPr>
          <w:p w14:paraId="7D9D2CB0" w14:textId="3221CFB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500  </w:t>
            </w:r>
          </w:p>
        </w:tc>
      </w:tr>
      <w:tr w:rsidR="52C804C8" w:rsidRPr="002E19F8" w14:paraId="3472BBC3"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0838C42" w14:textId="686F1E82"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2012  </w:t>
            </w:r>
          </w:p>
        </w:tc>
        <w:tc>
          <w:tcPr>
            <w:tcW w:w="1245" w:type="dxa"/>
            <w:tcBorders>
              <w:top w:val="single" w:sz="4" w:space="0" w:color="auto"/>
              <w:left w:val="single" w:sz="4" w:space="0" w:color="auto"/>
              <w:bottom w:val="single" w:sz="4" w:space="0" w:color="auto"/>
              <w:right w:val="single" w:sz="4" w:space="0" w:color="auto"/>
            </w:tcBorders>
            <w:vAlign w:val="bottom"/>
          </w:tcPr>
          <w:p w14:paraId="6137FE77" w14:textId="450C33B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561  </w:t>
            </w:r>
          </w:p>
        </w:tc>
      </w:tr>
      <w:tr w:rsidR="52C804C8" w:rsidRPr="002E19F8" w14:paraId="7C2DF194"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090200C4" w14:textId="0415686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2013  </w:t>
            </w:r>
          </w:p>
        </w:tc>
        <w:tc>
          <w:tcPr>
            <w:tcW w:w="1245" w:type="dxa"/>
            <w:tcBorders>
              <w:top w:val="single" w:sz="4" w:space="0" w:color="auto"/>
              <w:left w:val="single" w:sz="4" w:space="0" w:color="auto"/>
              <w:bottom w:val="single" w:sz="4" w:space="0" w:color="auto"/>
              <w:right w:val="single" w:sz="4" w:space="0" w:color="auto"/>
            </w:tcBorders>
            <w:vAlign w:val="bottom"/>
          </w:tcPr>
          <w:p w14:paraId="3EB6C219" w14:textId="44155B0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701  </w:t>
            </w:r>
          </w:p>
        </w:tc>
      </w:tr>
      <w:tr w:rsidR="52C804C8" w:rsidRPr="002E19F8" w14:paraId="5FF8192F"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D3E4FE3" w14:textId="7D670FF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2014  </w:t>
            </w:r>
          </w:p>
        </w:tc>
        <w:tc>
          <w:tcPr>
            <w:tcW w:w="1245" w:type="dxa"/>
            <w:tcBorders>
              <w:top w:val="single" w:sz="4" w:space="0" w:color="auto"/>
              <w:left w:val="single" w:sz="4" w:space="0" w:color="auto"/>
              <w:bottom w:val="single" w:sz="4" w:space="0" w:color="auto"/>
              <w:right w:val="single" w:sz="4" w:space="0" w:color="auto"/>
            </w:tcBorders>
            <w:vAlign w:val="bottom"/>
          </w:tcPr>
          <w:p w14:paraId="1E599CFD" w14:textId="01FE111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600  </w:t>
            </w:r>
          </w:p>
        </w:tc>
      </w:tr>
      <w:tr w:rsidR="52C804C8" w:rsidRPr="002E19F8" w14:paraId="0D414A5E"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2B68559F" w14:textId="6C5F7F73"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2015  </w:t>
            </w:r>
          </w:p>
        </w:tc>
        <w:tc>
          <w:tcPr>
            <w:tcW w:w="1245" w:type="dxa"/>
            <w:tcBorders>
              <w:top w:val="single" w:sz="4" w:space="0" w:color="auto"/>
              <w:left w:val="single" w:sz="4" w:space="0" w:color="auto"/>
              <w:bottom w:val="single" w:sz="4" w:space="0" w:color="auto"/>
              <w:right w:val="single" w:sz="4" w:space="0" w:color="auto"/>
            </w:tcBorders>
            <w:vAlign w:val="bottom"/>
          </w:tcPr>
          <w:p w14:paraId="28924CA6" w14:textId="6761C6F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798  </w:t>
            </w:r>
          </w:p>
        </w:tc>
      </w:tr>
      <w:tr w:rsidR="52C804C8" w:rsidRPr="002E19F8" w14:paraId="79CFDC56"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4927F4E1" w14:textId="6E459709"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2016  </w:t>
            </w:r>
          </w:p>
        </w:tc>
        <w:tc>
          <w:tcPr>
            <w:tcW w:w="1245" w:type="dxa"/>
            <w:tcBorders>
              <w:top w:val="single" w:sz="4" w:space="0" w:color="auto"/>
              <w:left w:val="single" w:sz="4" w:space="0" w:color="auto"/>
              <w:bottom w:val="single" w:sz="4" w:space="0" w:color="auto"/>
              <w:right w:val="single" w:sz="4" w:space="0" w:color="auto"/>
            </w:tcBorders>
            <w:vAlign w:val="bottom"/>
          </w:tcPr>
          <w:p w14:paraId="62CE85BC" w14:textId="45A2496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1,034  </w:t>
            </w:r>
          </w:p>
        </w:tc>
      </w:tr>
      <w:tr w:rsidR="52C804C8" w:rsidRPr="002E19F8" w14:paraId="7492D600"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56913713" w14:textId="0825093E"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2017  </w:t>
            </w:r>
          </w:p>
        </w:tc>
        <w:tc>
          <w:tcPr>
            <w:tcW w:w="1245" w:type="dxa"/>
            <w:tcBorders>
              <w:top w:val="single" w:sz="4" w:space="0" w:color="auto"/>
              <w:left w:val="single" w:sz="4" w:space="0" w:color="auto"/>
              <w:bottom w:val="single" w:sz="4" w:space="0" w:color="auto"/>
              <w:right w:val="single" w:sz="4" w:space="0" w:color="auto"/>
            </w:tcBorders>
            <w:vAlign w:val="bottom"/>
          </w:tcPr>
          <w:p w14:paraId="01C07E59" w14:textId="29E3253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1,107  </w:t>
            </w:r>
          </w:p>
        </w:tc>
      </w:tr>
      <w:tr w:rsidR="52C804C8" w:rsidRPr="002E19F8" w14:paraId="25D59351"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692A5FF5" w14:textId="6DA6C156"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2018  </w:t>
            </w:r>
          </w:p>
        </w:tc>
        <w:tc>
          <w:tcPr>
            <w:tcW w:w="1245" w:type="dxa"/>
            <w:tcBorders>
              <w:top w:val="single" w:sz="4" w:space="0" w:color="auto"/>
              <w:left w:val="single" w:sz="4" w:space="0" w:color="auto"/>
              <w:bottom w:val="single" w:sz="4" w:space="0" w:color="auto"/>
              <w:right w:val="single" w:sz="4" w:space="0" w:color="auto"/>
            </w:tcBorders>
            <w:vAlign w:val="bottom"/>
          </w:tcPr>
          <w:p w14:paraId="098BD3A8" w14:textId="56A09FC5"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1,167  </w:t>
            </w:r>
          </w:p>
        </w:tc>
      </w:tr>
      <w:tr w:rsidR="52C804C8" w:rsidRPr="002E19F8" w14:paraId="17B6A48E"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57ACF00" w14:textId="4E13A440"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2019  </w:t>
            </w:r>
          </w:p>
        </w:tc>
        <w:tc>
          <w:tcPr>
            <w:tcW w:w="1245" w:type="dxa"/>
            <w:tcBorders>
              <w:top w:val="single" w:sz="4" w:space="0" w:color="auto"/>
              <w:left w:val="single" w:sz="4" w:space="0" w:color="auto"/>
              <w:bottom w:val="single" w:sz="4" w:space="0" w:color="auto"/>
              <w:right w:val="single" w:sz="4" w:space="0" w:color="auto"/>
            </w:tcBorders>
            <w:vAlign w:val="bottom"/>
          </w:tcPr>
          <w:p w14:paraId="7740B94F" w14:textId="6DE544D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1,244  </w:t>
            </w:r>
          </w:p>
        </w:tc>
      </w:tr>
      <w:tr w:rsidR="52C804C8" w:rsidRPr="002E19F8" w14:paraId="7EC0F699"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0C750CE5" w14:textId="2DF58A5C"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2020  </w:t>
            </w:r>
          </w:p>
        </w:tc>
        <w:tc>
          <w:tcPr>
            <w:tcW w:w="1245" w:type="dxa"/>
            <w:tcBorders>
              <w:top w:val="single" w:sz="4" w:space="0" w:color="auto"/>
              <w:left w:val="single" w:sz="4" w:space="0" w:color="auto"/>
              <w:bottom w:val="single" w:sz="4" w:space="0" w:color="auto"/>
              <w:right w:val="single" w:sz="4" w:space="0" w:color="auto"/>
            </w:tcBorders>
            <w:vAlign w:val="bottom"/>
          </w:tcPr>
          <w:p w14:paraId="0C998448" w14:textId="5E80EAFD"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1,159  </w:t>
            </w:r>
          </w:p>
        </w:tc>
      </w:tr>
      <w:tr w:rsidR="52C804C8" w:rsidRPr="002E19F8" w14:paraId="5FFA456D"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2BD15CD" w14:textId="06A77A9B"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2021  </w:t>
            </w:r>
          </w:p>
        </w:tc>
        <w:tc>
          <w:tcPr>
            <w:tcW w:w="1245" w:type="dxa"/>
            <w:tcBorders>
              <w:top w:val="single" w:sz="4" w:space="0" w:color="auto"/>
              <w:left w:val="single" w:sz="4" w:space="0" w:color="auto"/>
              <w:bottom w:val="single" w:sz="4" w:space="0" w:color="auto"/>
              <w:right w:val="single" w:sz="4" w:space="0" w:color="auto"/>
            </w:tcBorders>
            <w:vAlign w:val="bottom"/>
          </w:tcPr>
          <w:p w14:paraId="10C580BA" w14:textId="0D6146C9"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1,352  </w:t>
            </w:r>
          </w:p>
        </w:tc>
      </w:tr>
      <w:tr w:rsidR="52C804C8" w:rsidRPr="002E19F8" w14:paraId="40F00FC4"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3CAA1DCF" w14:textId="3C8A14D5" w:rsidR="52C804C8" w:rsidRPr="002E19F8" w:rsidRDefault="52C804C8" w:rsidP="52C804C8">
            <w:pPr>
              <w:spacing w:after="0"/>
              <w:ind w:left="-30" w:right="-3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2022  </w:t>
            </w:r>
          </w:p>
        </w:tc>
        <w:tc>
          <w:tcPr>
            <w:tcW w:w="1245" w:type="dxa"/>
            <w:tcBorders>
              <w:top w:val="single" w:sz="4" w:space="0" w:color="auto"/>
              <w:left w:val="single" w:sz="4" w:space="0" w:color="auto"/>
              <w:bottom w:val="single" w:sz="4" w:space="0" w:color="auto"/>
              <w:right w:val="single" w:sz="4" w:space="0" w:color="auto"/>
            </w:tcBorders>
            <w:vAlign w:val="bottom"/>
          </w:tcPr>
          <w:p w14:paraId="5E284DC8" w14:textId="2C64C0A5" w:rsidR="52C804C8" w:rsidRPr="002E19F8" w:rsidRDefault="280F4DE2" w:rsidP="52C804C8">
            <w:pPr>
              <w:spacing w:after="0"/>
              <w:ind w:left="-30" w:right="-30"/>
              <w:jc w:val="center"/>
              <w:rPr>
                <w:rFonts w:ascii="Calibri" w:eastAsia="Calibri" w:hAnsi="Calibri" w:cs="Calibri"/>
                <w:color w:val="000000" w:themeColor="text1"/>
                <w:sz w:val="24"/>
                <w:szCs w:val="24"/>
              </w:rPr>
            </w:pPr>
            <w:r w:rsidRPr="45B78671">
              <w:rPr>
                <w:rFonts w:ascii="Calibri" w:eastAsia="Calibri" w:hAnsi="Calibri" w:cs="Calibri"/>
                <w:color w:val="000000" w:themeColor="text1"/>
                <w:sz w:val="24"/>
                <w:szCs w:val="24"/>
              </w:rPr>
              <w:t>1,593</w:t>
            </w:r>
          </w:p>
        </w:tc>
      </w:tr>
      <w:tr w:rsidR="45B78671" w14:paraId="49244EF2" w14:textId="77777777" w:rsidTr="45B78671">
        <w:trPr>
          <w:trHeight w:val="15"/>
        </w:trPr>
        <w:tc>
          <w:tcPr>
            <w:tcW w:w="1245" w:type="dxa"/>
            <w:tcBorders>
              <w:top w:val="single" w:sz="4" w:space="0" w:color="auto"/>
              <w:left w:val="single" w:sz="4" w:space="0" w:color="auto"/>
              <w:bottom w:val="single" w:sz="4" w:space="0" w:color="auto"/>
              <w:right w:val="single" w:sz="4" w:space="0" w:color="auto"/>
            </w:tcBorders>
            <w:vAlign w:val="bottom"/>
          </w:tcPr>
          <w:p w14:paraId="1FBACF5F" w14:textId="2D5DEFC7" w:rsidR="2DD4ACE1" w:rsidRDefault="2DD4ACE1" w:rsidP="45B78671">
            <w:pPr>
              <w:jc w:val="center"/>
              <w:rPr>
                <w:rFonts w:ascii="Calibri" w:eastAsia="Calibri" w:hAnsi="Calibri" w:cs="Calibri"/>
                <w:color w:val="000000" w:themeColor="text1"/>
                <w:sz w:val="24"/>
                <w:szCs w:val="24"/>
              </w:rPr>
            </w:pPr>
            <w:r w:rsidRPr="45B78671">
              <w:rPr>
                <w:rFonts w:ascii="Calibri" w:eastAsia="Calibri" w:hAnsi="Calibri" w:cs="Calibri"/>
                <w:color w:val="000000" w:themeColor="text1"/>
                <w:sz w:val="24"/>
                <w:szCs w:val="24"/>
              </w:rPr>
              <w:t>2023</w:t>
            </w:r>
          </w:p>
        </w:tc>
        <w:tc>
          <w:tcPr>
            <w:tcW w:w="1245" w:type="dxa"/>
            <w:tcBorders>
              <w:top w:val="single" w:sz="4" w:space="0" w:color="auto"/>
              <w:left w:val="single" w:sz="4" w:space="0" w:color="auto"/>
              <w:bottom w:val="single" w:sz="4" w:space="0" w:color="auto"/>
              <w:right w:val="single" w:sz="4" w:space="0" w:color="auto"/>
            </w:tcBorders>
            <w:vAlign w:val="bottom"/>
          </w:tcPr>
          <w:p w14:paraId="56341D05" w14:textId="68BDE4B0" w:rsidR="2DD4ACE1" w:rsidRDefault="2DD4ACE1" w:rsidP="45B78671">
            <w:pPr>
              <w:jc w:val="center"/>
              <w:rPr>
                <w:rFonts w:ascii="Calibri" w:eastAsia="Calibri" w:hAnsi="Calibri" w:cs="Calibri"/>
                <w:color w:val="000000" w:themeColor="text1"/>
                <w:sz w:val="24"/>
                <w:szCs w:val="24"/>
              </w:rPr>
            </w:pPr>
            <w:r w:rsidRPr="45B78671">
              <w:rPr>
                <w:rFonts w:ascii="Calibri" w:eastAsia="Calibri" w:hAnsi="Calibri" w:cs="Calibri"/>
                <w:color w:val="000000" w:themeColor="text1"/>
                <w:sz w:val="24"/>
                <w:szCs w:val="24"/>
              </w:rPr>
              <w:t>1,449</w:t>
            </w:r>
          </w:p>
        </w:tc>
      </w:tr>
    </w:tbl>
    <w:p w14:paraId="5892D409" w14:textId="5CE3C6F6" w:rsidR="00E76BE7" w:rsidRDefault="00E76BE7" w:rsidP="52C804C8">
      <w:pPr>
        <w:spacing w:before="120" w:after="0" w:line="240" w:lineRule="auto"/>
        <w:rPr>
          <w:sz w:val="24"/>
          <w:szCs w:val="24"/>
        </w:rPr>
      </w:pPr>
      <w:r w:rsidRPr="002E19F8">
        <w:rPr>
          <w:b/>
          <w:sz w:val="24"/>
          <w:szCs w:val="24"/>
        </w:rPr>
        <w:t>Highlight:</w:t>
      </w:r>
      <w:r w:rsidRPr="002E19F8">
        <w:rPr>
          <w:sz w:val="24"/>
          <w:szCs w:val="24"/>
        </w:rPr>
        <w:t xml:space="preserve"> Graph depicts the rate per 100,000 population of confirmed and probable cases of infectious syphilis in Massachusetts between 2000 and 2022. It begins at 2.2 in 2000, drops to a low of 1.6 in 2001, and climbs to a high of 22.7 in 2022. </w:t>
      </w:r>
    </w:p>
    <w:p w14:paraId="5FD6D1B6" w14:textId="77777777" w:rsidR="003233F8" w:rsidRPr="002E19F8" w:rsidRDefault="003233F8" w:rsidP="52C804C8">
      <w:pPr>
        <w:spacing w:before="120" w:after="0" w:line="240" w:lineRule="auto"/>
        <w:rPr>
          <w:sz w:val="24"/>
          <w:szCs w:val="24"/>
        </w:rPr>
      </w:pPr>
    </w:p>
    <w:p w14:paraId="658BAC36" w14:textId="3C3CF79F" w:rsidR="00E159AB" w:rsidRPr="002E19F8" w:rsidRDefault="00E159AB" w:rsidP="52C804C8">
      <w:pPr>
        <w:spacing w:before="40" w:after="0" w:line="240" w:lineRule="auto"/>
        <w:rPr>
          <w:b/>
          <w:bCs/>
          <w:sz w:val="24"/>
          <w:szCs w:val="24"/>
        </w:rPr>
      </w:pPr>
      <w:r w:rsidRPr="002E19F8">
        <w:rPr>
          <w:b/>
          <w:sz w:val="24"/>
          <w:szCs w:val="24"/>
        </w:rPr>
        <w:t>Footnotes</w:t>
      </w:r>
      <w:r w:rsidR="1CE73DEC" w:rsidRPr="002E19F8">
        <w:rPr>
          <w:b/>
          <w:bCs/>
          <w:sz w:val="24"/>
          <w:szCs w:val="24"/>
        </w:rPr>
        <w:t xml:space="preserve"> for Slide 13</w:t>
      </w:r>
    </w:p>
    <w:p w14:paraId="71D9E3D0" w14:textId="0487F5E6" w:rsidR="00E159AB" w:rsidRPr="002E19F8" w:rsidRDefault="00E159AB" w:rsidP="52C804C8">
      <w:pPr>
        <w:spacing w:before="40" w:after="0" w:line="240" w:lineRule="auto"/>
        <w:rPr>
          <w:sz w:val="24"/>
          <w:szCs w:val="24"/>
        </w:rPr>
      </w:pPr>
      <w:r w:rsidRPr="002E19F8">
        <w:rPr>
          <w:sz w:val="24"/>
          <w:szCs w:val="24"/>
        </w:rPr>
        <w:t>Data are current as of 07/18/2023 and are subject to change. </w:t>
      </w:r>
    </w:p>
    <w:p w14:paraId="4F059DD2" w14:textId="7EB22986" w:rsidR="00E159AB" w:rsidRPr="002E19F8" w:rsidRDefault="00E159AB" w:rsidP="52C804C8">
      <w:pPr>
        <w:spacing w:after="0" w:line="240" w:lineRule="auto"/>
        <w:rPr>
          <w:sz w:val="24"/>
          <w:szCs w:val="24"/>
        </w:rPr>
      </w:pPr>
      <w:r w:rsidRPr="002E19F8">
        <w:rPr>
          <w:sz w:val="24"/>
          <w:szCs w:val="24"/>
        </w:rPr>
        <w:t>Data Source: Massachusetts Department of Public Health/Bureau of Infectious Disease and Laboratory Sciences/Division of STD Prevention and STD-HIV Surveillance.</w:t>
      </w:r>
    </w:p>
    <w:p w14:paraId="2584537D" w14:textId="77777777" w:rsidR="00E159AB" w:rsidRPr="002E19F8" w:rsidRDefault="00E159AB" w:rsidP="52C804C8">
      <w:pPr>
        <w:spacing w:before="40" w:after="0" w:line="240" w:lineRule="auto"/>
        <w:rPr>
          <w:sz w:val="24"/>
          <w:szCs w:val="24"/>
        </w:rPr>
      </w:pPr>
      <w:r w:rsidRPr="002E19F8">
        <w:rPr>
          <w:sz w:val="24"/>
          <w:szCs w:val="24"/>
        </w:rPr>
        <w:t>Population denominators estimated by the University of Massachusetts Donahue Institute using a modified Hamilton-Perry model (Strate S, et al. Small Area Population Estimates for 2011 through 2020 report, Oct 2016).</w:t>
      </w:r>
    </w:p>
    <w:p w14:paraId="60839FDA" w14:textId="6649F592" w:rsidR="00E159AB" w:rsidRPr="002E19F8" w:rsidRDefault="00E159AB" w:rsidP="52C804C8">
      <w:pPr>
        <w:spacing w:after="0" w:line="240" w:lineRule="auto"/>
        <w:rPr>
          <w:sz w:val="24"/>
          <w:szCs w:val="24"/>
        </w:rPr>
      </w:pPr>
      <w:r w:rsidRPr="002E19F8">
        <w:rPr>
          <w:sz w:val="24"/>
          <w:szCs w:val="24"/>
        </w:rPr>
        <w:t>1. Infectious syphilis is defined as primary, secondary and early latent stages of syphilis within one year of infection.</w:t>
      </w:r>
    </w:p>
    <w:p w14:paraId="349845F0" w14:textId="77777777" w:rsidR="00E159AB" w:rsidRPr="002E19F8" w:rsidRDefault="00E159AB" w:rsidP="52C804C8">
      <w:pPr>
        <w:spacing w:after="0" w:line="240" w:lineRule="auto"/>
        <w:rPr>
          <w:sz w:val="24"/>
          <w:szCs w:val="24"/>
        </w:rPr>
      </w:pPr>
      <w:r w:rsidRPr="002E19F8">
        <w:rPr>
          <w:sz w:val="24"/>
          <w:szCs w:val="24"/>
        </w:rPr>
        <w:t>2. Please consider the impact of the COVID-19 pandemic on infectious disease screening, treatment and surveillance in the interpretation of 2020-2022 data.</w:t>
      </w:r>
    </w:p>
    <w:p w14:paraId="2E2D051E" w14:textId="4E6F1060" w:rsidR="52C804C8" w:rsidRPr="002E19F8" w:rsidRDefault="52C804C8" w:rsidP="52C804C8">
      <w:pPr>
        <w:spacing w:after="0" w:line="240" w:lineRule="auto"/>
        <w:rPr>
          <w:b/>
          <w:bCs/>
          <w:sz w:val="24"/>
          <w:szCs w:val="24"/>
        </w:rPr>
      </w:pPr>
    </w:p>
    <w:p w14:paraId="171C6992" w14:textId="28C58E0E" w:rsidR="52C804C8" w:rsidRPr="002E19F8" w:rsidRDefault="52C804C8" w:rsidP="52C804C8">
      <w:pPr>
        <w:spacing w:after="0" w:line="240" w:lineRule="auto"/>
        <w:rPr>
          <w:b/>
          <w:bCs/>
          <w:sz w:val="24"/>
          <w:szCs w:val="24"/>
        </w:rPr>
      </w:pPr>
    </w:p>
    <w:p w14:paraId="0EE7166A" w14:textId="47345CDE" w:rsidR="52C804C8" w:rsidRPr="002E19F8" w:rsidRDefault="52C804C8" w:rsidP="52C804C8">
      <w:pPr>
        <w:spacing w:after="0" w:line="240" w:lineRule="auto"/>
        <w:rPr>
          <w:b/>
          <w:bCs/>
          <w:sz w:val="24"/>
          <w:szCs w:val="24"/>
        </w:rPr>
      </w:pPr>
    </w:p>
    <w:p w14:paraId="43830D2D" w14:textId="4F149F22" w:rsidR="52C804C8" w:rsidRPr="002E19F8" w:rsidRDefault="52C804C8" w:rsidP="52C804C8">
      <w:pPr>
        <w:spacing w:after="0" w:line="240" w:lineRule="auto"/>
        <w:rPr>
          <w:b/>
          <w:bCs/>
          <w:sz w:val="24"/>
          <w:szCs w:val="24"/>
        </w:rPr>
      </w:pPr>
    </w:p>
    <w:p w14:paraId="1B7AD1FE" w14:textId="327DC2EA" w:rsidR="52C804C8" w:rsidRPr="002E19F8" w:rsidRDefault="52C804C8" w:rsidP="52C804C8">
      <w:pPr>
        <w:spacing w:after="0" w:line="240" w:lineRule="auto"/>
        <w:rPr>
          <w:b/>
          <w:bCs/>
          <w:sz w:val="24"/>
          <w:szCs w:val="24"/>
        </w:rPr>
      </w:pPr>
    </w:p>
    <w:p w14:paraId="56461F10" w14:textId="046E8A5E" w:rsidR="52C804C8" w:rsidRPr="002E19F8" w:rsidRDefault="52C804C8" w:rsidP="52C804C8">
      <w:pPr>
        <w:spacing w:after="0" w:line="240" w:lineRule="auto"/>
        <w:rPr>
          <w:b/>
          <w:bCs/>
          <w:sz w:val="24"/>
          <w:szCs w:val="24"/>
        </w:rPr>
      </w:pPr>
    </w:p>
    <w:p w14:paraId="1151C0AE" w14:textId="1BC7B2B5" w:rsidR="52C804C8" w:rsidRPr="002E19F8" w:rsidRDefault="52C804C8" w:rsidP="52C804C8">
      <w:pPr>
        <w:spacing w:after="0" w:line="240" w:lineRule="auto"/>
        <w:rPr>
          <w:b/>
          <w:bCs/>
          <w:sz w:val="24"/>
          <w:szCs w:val="24"/>
        </w:rPr>
      </w:pPr>
    </w:p>
    <w:p w14:paraId="1B5D8BA0" w14:textId="4788CD81" w:rsidR="52C804C8" w:rsidRPr="002E19F8" w:rsidRDefault="52C804C8" w:rsidP="52C804C8">
      <w:pPr>
        <w:spacing w:after="0" w:line="240" w:lineRule="auto"/>
        <w:rPr>
          <w:b/>
          <w:bCs/>
          <w:sz w:val="24"/>
          <w:szCs w:val="24"/>
        </w:rPr>
      </w:pPr>
    </w:p>
    <w:p w14:paraId="767EF659" w14:textId="1AD96F8E" w:rsidR="52C804C8" w:rsidRPr="002E19F8" w:rsidRDefault="52C804C8" w:rsidP="52C804C8">
      <w:pPr>
        <w:spacing w:after="0" w:line="240" w:lineRule="auto"/>
        <w:rPr>
          <w:b/>
          <w:bCs/>
          <w:sz w:val="24"/>
          <w:szCs w:val="24"/>
        </w:rPr>
      </w:pPr>
    </w:p>
    <w:p w14:paraId="5B14878D" w14:textId="7E097324" w:rsidR="52C804C8" w:rsidRPr="002E19F8" w:rsidRDefault="52C804C8" w:rsidP="52C804C8">
      <w:pPr>
        <w:spacing w:after="0" w:line="240" w:lineRule="auto"/>
        <w:rPr>
          <w:b/>
          <w:bCs/>
          <w:sz w:val="24"/>
          <w:szCs w:val="24"/>
        </w:rPr>
      </w:pPr>
    </w:p>
    <w:p w14:paraId="418DA593" w14:textId="77777777" w:rsidR="52C804C8" w:rsidRPr="002E19F8" w:rsidRDefault="52C804C8" w:rsidP="52C804C8">
      <w:pPr>
        <w:spacing w:after="0" w:line="240" w:lineRule="auto"/>
        <w:rPr>
          <w:b/>
          <w:bCs/>
          <w:sz w:val="24"/>
          <w:szCs w:val="24"/>
        </w:rPr>
      </w:pPr>
    </w:p>
    <w:p w14:paraId="4FBD1F1E" w14:textId="163F9D80" w:rsidR="52C804C8" w:rsidRPr="002E19F8" w:rsidRDefault="52C804C8" w:rsidP="52C804C8">
      <w:pPr>
        <w:spacing w:after="0" w:line="240" w:lineRule="auto"/>
        <w:rPr>
          <w:b/>
          <w:bCs/>
          <w:sz w:val="24"/>
          <w:szCs w:val="24"/>
        </w:rPr>
      </w:pPr>
    </w:p>
    <w:p w14:paraId="27994815" w14:textId="15D09AF2" w:rsidR="52C804C8" w:rsidRPr="002E19F8" w:rsidRDefault="52C804C8" w:rsidP="52C804C8">
      <w:pPr>
        <w:spacing w:after="0" w:line="240" w:lineRule="auto"/>
        <w:rPr>
          <w:b/>
          <w:bCs/>
          <w:sz w:val="24"/>
          <w:szCs w:val="24"/>
        </w:rPr>
      </w:pPr>
    </w:p>
    <w:p w14:paraId="4695A12A" w14:textId="0CC856B5" w:rsidR="52C804C8" w:rsidRPr="002E19F8" w:rsidRDefault="52C804C8" w:rsidP="52C804C8">
      <w:pPr>
        <w:spacing w:after="0" w:line="240" w:lineRule="auto"/>
        <w:rPr>
          <w:b/>
          <w:bCs/>
          <w:sz w:val="24"/>
          <w:szCs w:val="24"/>
        </w:rPr>
      </w:pPr>
    </w:p>
    <w:p w14:paraId="07D5D740" w14:textId="09087561" w:rsidR="52C804C8" w:rsidRPr="002E19F8" w:rsidRDefault="52C804C8" w:rsidP="52C804C8">
      <w:pPr>
        <w:spacing w:after="0" w:line="240" w:lineRule="auto"/>
        <w:rPr>
          <w:b/>
          <w:bCs/>
          <w:sz w:val="24"/>
          <w:szCs w:val="24"/>
        </w:rPr>
      </w:pPr>
    </w:p>
    <w:p w14:paraId="775AE5E2" w14:textId="1BC825C4" w:rsidR="52C804C8" w:rsidRPr="002E19F8" w:rsidRDefault="52C804C8" w:rsidP="52C804C8">
      <w:pPr>
        <w:spacing w:after="0" w:line="240" w:lineRule="auto"/>
        <w:rPr>
          <w:b/>
          <w:bCs/>
          <w:sz w:val="24"/>
          <w:szCs w:val="24"/>
        </w:rPr>
      </w:pPr>
    </w:p>
    <w:p w14:paraId="42A9210A" w14:textId="499BC0BD" w:rsidR="52C804C8" w:rsidRPr="002E19F8" w:rsidRDefault="52C804C8" w:rsidP="52C804C8">
      <w:pPr>
        <w:spacing w:after="0" w:line="240" w:lineRule="auto"/>
        <w:rPr>
          <w:b/>
          <w:bCs/>
          <w:sz w:val="24"/>
          <w:szCs w:val="24"/>
        </w:rPr>
      </w:pPr>
    </w:p>
    <w:p w14:paraId="3B7B91A0" w14:textId="78763165" w:rsidR="52C804C8" w:rsidRPr="002E19F8" w:rsidRDefault="52C804C8" w:rsidP="52C804C8">
      <w:pPr>
        <w:spacing w:after="0" w:line="240" w:lineRule="auto"/>
        <w:rPr>
          <w:b/>
          <w:bCs/>
          <w:sz w:val="24"/>
          <w:szCs w:val="24"/>
        </w:rPr>
      </w:pPr>
    </w:p>
    <w:p w14:paraId="37906460" w14:textId="1F4FD8BB" w:rsidR="52C804C8" w:rsidRPr="002E19F8" w:rsidRDefault="52C804C8" w:rsidP="52C804C8">
      <w:pPr>
        <w:spacing w:after="0" w:line="240" w:lineRule="auto"/>
        <w:rPr>
          <w:b/>
          <w:bCs/>
          <w:sz w:val="24"/>
          <w:szCs w:val="24"/>
        </w:rPr>
      </w:pPr>
    </w:p>
    <w:p w14:paraId="5DD966B1" w14:textId="42DCC7B5" w:rsidR="52C804C8" w:rsidRPr="002E19F8" w:rsidRDefault="52C804C8" w:rsidP="52C804C8">
      <w:pPr>
        <w:spacing w:after="0" w:line="240" w:lineRule="auto"/>
        <w:rPr>
          <w:b/>
          <w:bCs/>
          <w:sz w:val="24"/>
          <w:szCs w:val="24"/>
        </w:rPr>
      </w:pPr>
    </w:p>
    <w:p w14:paraId="339FCFF9" w14:textId="2584E20F" w:rsidR="52C804C8" w:rsidRPr="002E19F8" w:rsidRDefault="52C804C8" w:rsidP="52C804C8">
      <w:pPr>
        <w:spacing w:after="0" w:line="240" w:lineRule="auto"/>
        <w:rPr>
          <w:b/>
          <w:bCs/>
          <w:sz w:val="24"/>
          <w:szCs w:val="24"/>
        </w:rPr>
      </w:pPr>
    </w:p>
    <w:p w14:paraId="41C14DE5" w14:textId="3AED1437" w:rsidR="52C804C8" w:rsidRPr="002E19F8" w:rsidRDefault="52C804C8" w:rsidP="52C804C8">
      <w:pPr>
        <w:spacing w:after="0" w:line="240" w:lineRule="auto"/>
        <w:rPr>
          <w:b/>
          <w:bCs/>
          <w:sz w:val="24"/>
          <w:szCs w:val="24"/>
        </w:rPr>
      </w:pPr>
    </w:p>
    <w:p w14:paraId="64547D6D" w14:textId="348A5DA0" w:rsidR="52C804C8" w:rsidRPr="002E19F8" w:rsidRDefault="52C804C8" w:rsidP="52C804C8">
      <w:pPr>
        <w:spacing w:after="0" w:line="240" w:lineRule="auto"/>
        <w:rPr>
          <w:b/>
          <w:bCs/>
          <w:sz w:val="24"/>
          <w:szCs w:val="24"/>
        </w:rPr>
      </w:pPr>
    </w:p>
    <w:p w14:paraId="23E811B8" w14:textId="51980560" w:rsidR="52C804C8" w:rsidRPr="002E19F8" w:rsidRDefault="52C804C8" w:rsidP="52C804C8">
      <w:pPr>
        <w:spacing w:after="0" w:line="240" w:lineRule="auto"/>
        <w:rPr>
          <w:b/>
          <w:bCs/>
          <w:sz w:val="24"/>
          <w:szCs w:val="24"/>
        </w:rPr>
      </w:pPr>
    </w:p>
    <w:p w14:paraId="2826B9DF" w14:textId="24C672AB" w:rsidR="52C804C8" w:rsidRPr="002E19F8" w:rsidRDefault="52C804C8" w:rsidP="52C804C8">
      <w:pPr>
        <w:spacing w:after="0" w:line="240" w:lineRule="auto"/>
        <w:rPr>
          <w:b/>
          <w:bCs/>
          <w:sz w:val="24"/>
          <w:szCs w:val="24"/>
        </w:rPr>
      </w:pPr>
    </w:p>
    <w:p w14:paraId="03989C11" w14:textId="4AB86093" w:rsidR="52C804C8" w:rsidRPr="002E19F8" w:rsidRDefault="52C804C8" w:rsidP="52C804C8">
      <w:pPr>
        <w:spacing w:after="0" w:line="240" w:lineRule="auto"/>
        <w:rPr>
          <w:b/>
          <w:bCs/>
          <w:sz w:val="24"/>
          <w:szCs w:val="24"/>
        </w:rPr>
      </w:pPr>
    </w:p>
    <w:p w14:paraId="6B524840" w14:textId="7118A013" w:rsidR="52C804C8" w:rsidRPr="002E19F8" w:rsidRDefault="52C804C8" w:rsidP="52C804C8">
      <w:pPr>
        <w:spacing w:after="0" w:line="240" w:lineRule="auto"/>
        <w:rPr>
          <w:b/>
          <w:bCs/>
          <w:sz w:val="24"/>
          <w:szCs w:val="24"/>
        </w:rPr>
      </w:pPr>
    </w:p>
    <w:p w14:paraId="11EF0A3B" w14:textId="5E2335F7" w:rsidR="004F147A" w:rsidRPr="002E19F8" w:rsidRDefault="004F147A" w:rsidP="003F6E82">
      <w:pPr>
        <w:pStyle w:val="Heading2"/>
      </w:pPr>
      <w:bookmarkStart w:id="16" w:name="_Toc184132226"/>
      <w:r w:rsidRPr="002E19F8">
        <w:t xml:space="preserve">Slide 14: </w:t>
      </w:r>
      <w:r w:rsidR="00490D88" w:rsidRPr="00490D88">
        <w:t>Rate of Confirmed and Probable Infectious Syphilis</w:t>
      </w:r>
      <w:r w:rsidR="00490D88" w:rsidRPr="00490D88">
        <w:rPr>
          <w:vertAlign w:val="superscript"/>
        </w:rPr>
        <w:t>1</w:t>
      </w:r>
      <w:r w:rsidR="00490D88" w:rsidRPr="00490D88">
        <w:t> Cases by Gender,</w:t>
      </w:r>
      <w:r w:rsidR="00490D88" w:rsidRPr="00490D88">
        <w:rPr>
          <w:vertAlign w:val="superscript"/>
        </w:rPr>
        <w:t xml:space="preserve">2 </w:t>
      </w:r>
      <w:r w:rsidR="00490D88" w:rsidRPr="00490D88">
        <w:t>Massachusetts, 2010-2023</w:t>
      </w:r>
      <w:r w:rsidR="00490D88" w:rsidRPr="00490D88">
        <w:rPr>
          <w:vertAlign w:val="superscript"/>
        </w:rPr>
        <w:t>3</w:t>
      </w:r>
      <w:bookmarkEnd w:id="16"/>
    </w:p>
    <w:p w14:paraId="166311C2" w14:textId="6E897C7A" w:rsidR="00D04218" w:rsidRDefault="00D04218" w:rsidP="52C804C8">
      <w:pPr>
        <w:spacing w:before="120" w:after="0" w:line="240" w:lineRule="auto"/>
        <w:rPr>
          <w:b/>
          <w:sz w:val="24"/>
          <w:szCs w:val="24"/>
        </w:rPr>
      </w:pPr>
      <w:r>
        <w:rPr>
          <w:b/>
          <w:noProof/>
          <w:sz w:val="24"/>
          <w:szCs w:val="24"/>
        </w:rPr>
        <w:drawing>
          <wp:inline distT="0" distB="0" distL="0" distR="0" wp14:anchorId="23161675" wp14:editId="51F64AF4">
            <wp:extent cx="5934075" cy="1809750"/>
            <wp:effectExtent l="0" t="0" r="9525" b="0"/>
            <wp:docPr id="1681820191" name="Picture 1681820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20191" name="Picture 168182019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14:paraId="3C57A853" w14:textId="4D281965" w:rsidR="004F147A" w:rsidRPr="002E19F8" w:rsidRDefault="00737DA7" w:rsidP="52C804C8">
      <w:pPr>
        <w:spacing w:before="120" w:after="0" w:line="240" w:lineRule="auto"/>
        <w:rPr>
          <w:b/>
          <w:sz w:val="24"/>
          <w:szCs w:val="24"/>
        </w:rPr>
      </w:pPr>
      <w:r w:rsidRPr="002E19F8">
        <w:rPr>
          <w:b/>
          <w:sz w:val="24"/>
          <w:szCs w:val="24"/>
        </w:rPr>
        <w:t>Table: Infectious Syphilis Annual Case Counts by Current Gender</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45"/>
        <w:gridCol w:w="1350"/>
        <w:gridCol w:w="1230"/>
      </w:tblGrid>
      <w:tr w:rsidR="007727B6" w:rsidRPr="002E19F8" w14:paraId="20934AA5"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21143146" w14:textId="4515D063"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b/>
                <w:bCs/>
                <w:color w:val="000000" w:themeColor="text1"/>
                <w:sz w:val="24"/>
                <w:szCs w:val="24"/>
              </w:rPr>
              <w:t xml:space="preserve">Year </w:t>
            </w:r>
            <w:r w:rsidRPr="002E19F8">
              <w:rPr>
                <w:rFonts w:ascii="Calibri" w:eastAsia="Calibri" w:hAnsi="Calibri" w:cs="Calibri"/>
                <w:color w:val="000000" w:themeColor="text1"/>
                <w:sz w:val="24"/>
                <w:szCs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31E266C" w14:textId="096771C5" w:rsidR="007727B6" w:rsidRPr="00697347" w:rsidRDefault="007727B6" w:rsidP="007727B6">
            <w:pPr>
              <w:spacing w:after="0"/>
              <w:ind w:left="-20" w:right="-20"/>
              <w:jc w:val="center"/>
              <w:rPr>
                <w:rFonts w:ascii="Calibri" w:eastAsia="Calibri" w:hAnsi="Calibri" w:cs="Calibri"/>
                <w:b/>
                <w:bCs/>
                <w:color w:val="000000" w:themeColor="text1"/>
                <w:sz w:val="24"/>
                <w:szCs w:val="24"/>
              </w:rPr>
            </w:pPr>
            <w:r w:rsidRPr="00697347">
              <w:rPr>
                <w:b/>
                <w:bCs/>
                <w:sz w:val="24"/>
                <w:szCs w:val="24"/>
              </w:rPr>
              <w:t xml:space="preserve">Females </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26F2CD4" w14:textId="4D466841" w:rsidR="007727B6" w:rsidRPr="00697347" w:rsidRDefault="007727B6" w:rsidP="007727B6">
            <w:pPr>
              <w:spacing w:after="0"/>
              <w:ind w:left="-20" w:right="-20"/>
              <w:jc w:val="center"/>
              <w:rPr>
                <w:rFonts w:ascii="Calibri" w:eastAsia="Calibri" w:hAnsi="Calibri" w:cs="Calibri"/>
                <w:b/>
                <w:bCs/>
                <w:color w:val="000000" w:themeColor="text1"/>
                <w:sz w:val="24"/>
                <w:szCs w:val="24"/>
              </w:rPr>
            </w:pPr>
            <w:r w:rsidRPr="00697347">
              <w:rPr>
                <w:b/>
                <w:bCs/>
                <w:sz w:val="24"/>
                <w:szCs w:val="24"/>
              </w:rPr>
              <w:t xml:space="preserve">Males </w:t>
            </w:r>
          </w:p>
        </w:tc>
      </w:tr>
      <w:tr w:rsidR="007727B6" w:rsidRPr="002E19F8" w14:paraId="6DD29915"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42C80FF2" w14:textId="26B7E1B4"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2010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E498355" w14:textId="0C95EDC3"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29</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FB59AD" w14:textId="19BDA710"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436</w:t>
            </w:r>
          </w:p>
        </w:tc>
      </w:tr>
      <w:tr w:rsidR="007727B6" w:rsidRPr="002E19F8" w14:paraId="74725421"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BD2C3EA" w14:textId="78EC9766"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2011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1110D0F" w14:textId="01B38E97"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46</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1E0385" w14:textId="0F70B6F3"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454</w:t>
            </w:r>
          </w:p>
        </w:tc>
      </w:tr>
      <w:tr w:rsidR="007727B6" w:rsidRPr="002E19F8" w14:paraId="6C3D2BF0"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C01309C" w14:textId="6EE6DA74"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2012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275EDCF" w14:textId="6800B7B4"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46</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234AD8E" w14:textId="1D4D1F4B"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515</w:t>
            </w:r>
          </w:p>
        </w:tc>
      </w:tr>
      <w:tr w:rsidR="007727B6" w:rsidRPr="002E19F8" w14:paraId="2EF74C6E"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57E29B5E" w14:textId="2B6D71F3"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2013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4FD607" w14:textId="1626ECA3"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55</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098E1" w14:textId="2F7A009D"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656</w:t>
            </w:r>
          </w:p>
        </w:tc>
      </w:tr>
      <w:tr w:rsidR="007727B6" w:rsidRPr="002E19F8" w14:paraId="63BA6743"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2FB45FE9" w14:textId="34178C00"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2014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220714" w14:textId="31CEF855"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53</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7750A56" w14:textId="2C00CC2E"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545</w:t>
            </w:r>
          </w:p>
        </w:tc>
      </w:tr>
      <w:tr w:rsidR="007727B6" w:rsidRPr="002E19F8" w14:paraId="567D1B36"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61758BAB" w14:textId="288EA7C3"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2015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A1CBA8E" w14:textId="3262D713"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65</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D0310AC" w14:textId="33B619AF"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732</w:t>
            </w:r>
          </w:p>
        </w:tc>
      </w:tr>
      <w:tr w:rsidR="007727B6" w:rsidRPr="002E19F8" w14:paraId="1974725A"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592D3092" w14:textId="1EB3C231"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2016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D27787B" w14:textId="723F6DD7"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87</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2C35AA" w14:textId="06C047A1"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947</w:t>
            </w:r>
          </w:p>
        </w:tc>
      </w:tr>
      <w:tr w:rsidR="007727B6" w:rsidRPr="002E19F8" w14:paraId="1DC5D9A6"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08260FDD" w14:textId="750CA8C0"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2017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7082B4E" w14:textId="2869E55D"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67</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71F26B9" w14:textId="2DAA2ED0"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1,040</w:t>
            </w:r>
          </w:p>
        </w:tc>
      </w:tr>
      <w:tr w:rsidR="007727B6" w:rsidRPr="002E19F8" w14:paraId="6DC6F9D3"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70048366" w14:textId="06F6F725"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2018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5C4D6" w14:textId="51B46F61"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110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A747EC4" w14:textId="31393B9D"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1,055</w:t>
            </w:r>
          </w:p>
        </w:tc>
      </w:tr>
      <w:tr w:rsidR="007727B6" w:rsidRPr="002E19F8" w14:paraId="76409B0C"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DC970C8" w14:textId="5A710A0B"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2019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943D7" w14:textId="465AB61F"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139</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F4108E" w14:textId="06C0586F"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1,102</w:t>
            </w:r>
          </w:p>
        </w:tc>
      </w:tr>
      <w:tr w:rsidR="007727B6" w:rsidRPr="002E19F8" w14:paraId="3AB58F42"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10FB75E2" w14:textId="5FBEC0F9"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2020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ACBE0E" w14:textId="467CB6FD"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130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A34FFD" w14:textId="39345BAA"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1,028</w:t>
            </w:r>
          </w:p>
        </w:tc>
      </w:tr>
      <w:tr w:rsidR="007727B6" w:rsidRPr="002E19F8" w14:paraId="6EFC6E44"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3DC173F2" w14:textId="23D1E237"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2021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F4A9DA5" w14:textId="1EB218FF"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150</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250F669" w14:textId="0D4B50FF"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1,201</w:t>
            </w:r>
          </w:p>
        </w:tc>
      </w:tr>
      <w:tr w:rsidR="007727B6" w:rsidRPr="002E19F8" w14:paraId="17571487"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6F31A4CC" w14:textId="359C61F0" w:rsidR="007727B6" w:rsidRPr="002E19F8" w:rsidRDefault="007727B6" w:rsidP="007727B6">
            <w:pPr>
              <w:spacing w:after="0"/>
              <w:ind w:left="-20" w:right="-20"/>
              <w:jc w:val="center"/>
              <w:rPr>
                <w:rFonts w:ascii="Calibri" w:eastAsia="Calibri" w:hAnsi="Calibri" w:cs="Calibri"/>
                <w:color w:val="000000" w:themeColor="text1"/>
                <w:sz w:val="24"/>
                <w:szCs w:val="24"/>
              </w:rPr>
            </w:pPr>
            <w:r w:rsidRPr="002E19F8">
              <w:rPr>
                <w:rFonts w:ascii="Calibri" w:eastAsia="Calibri" w:hAnsi="Calibri" w:cs="Calibri"/>
                <w:color w:val="000000" w:themeColor="text1"/>
                <w:sz w:val="24"/>
                <w:szCs w:val="24"/>
              </w:rPr>
              <w:t xml:space="preserve">2022 </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76E645B" w14:textId="48131E76"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233</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760E7AF" w14:textId="1535D4CE" w:rsidR="007727B6" w:rsidRPr="00697347" w:rsidRDefault="007727B6" w:rsidP="007727B6">
            <w:pPr>
              <w:spacing w:after="0"/>
              <w:ind w:left="-20" w:right="-20"/>
              <w:jc w:val="center"/>
              <w:rPr>
                <w:rFonts w:ascii="Calibri" w:eastAsia="Calibri" w:hAnsi="Calibri" w:cs="Calibri"/>
                <w:color w:val="000000" w:themeColor="text1"/>
                <w:sz w:val="24"/>
                <w:szCs w:val="24"/>
              </w:rPr>
            </w:pPr>
            <w:r w:rsidRPr="00697347">
              <w:rPr>
                <w:sz w:val="24"/>
                <w:szCs w:val="24"/>
              </w:rPr>
              <w:t>1,357</w:t>
            </w:r>
          </w:p>
        </w:tc>
      </w:tr>
      <w:tr w:rsidR="00D04218" w:rsidRPr="002E19F8" w14:paraId="3F1B2B31" w14:textId="77777777" w:rsidTr="002D130E">
        <w:trPr>
          <w:trHeight w:val="15"/>
        </w:trPr>
        <w:tc>
          <w:tcPr>
            <w:tcW w:w="1245" w:type="dxa"/>
            <w:tcBorders>
              <w:top w:val="single" w:sz="4" w:space="0" w:color="auto"/>
              <w:left w:val="single" w:sz="4" w:space="0" w:color="auto"/>
              <w:bottom w:val="single" w:sz="4" w:space="0" w:color="auto"/>
              <w:right w:val="single" w:sz="4" w:space="0" w:color="auto"/>
            </w:tcBorders>
            <w:vAlign w:val="center"/>
          </w:tcPr>
          <w:p w14:paraId="456DE3BD" w14:textId="63600CB8" w:rsidR="00D04218" w:rsidRPr="002E19F8" w:rsidRDefault="00D04218" w:rsidP="007727B6">
            <w:pPr>
              <w:spacing w:after="0"/>
              <w:ind w:left="-20" w:right="-2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2023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C6A9CC" w14:textId="01CF4230" w:rsidR="00D04218" w:rsidRPr="00697347" w:rsidRDefault="00D04218" w:rsidP="007727B6">
            <w:pPr>
              <w:spacing w:after="0"/>
              <w:ind w:left="-20" w:right="-20"/>
              <w:jc w:val="center"/>
              <w:rPr>
                <w:sz w:val="24"/>
                <w:szCs w:val="24"/>
              </w:rPr>
            </w:pPr>
            <w:r>
              <w:rPr>
                <w:sz w:val="24"/>
                <w:szCs w:val="24"/>
              </w:rPr>
              <w:t>264</w:t>
            </w:r>
          </w:p>
        </w:tc>
        <w:tc>
          <w:tcPr>
            <w:tcW w:w="1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6CAC50" w14:textId="07683806" w:rsidR="00D04218" w:rsidRPr="00697347" w:rsidRDefault="00D04218" w:rsidP="007727B6">
            <w:pPr>
              <w:spacing w:after="0"/>
              <w:ind w:left="-20" w:right="-20"/>
              <w:jc w:val="center"/>
              <w:rPr>
                <w:sz w:val="24"/>
                <w:szCs w:val="24"/>
              </w:rPr>
            </w:pPr>
            <w:r>
              <w:rPr>
                <w:sz w:val="24"/>
                <w:szCs w:val="24"/>
              </w:rPr>
              <w:t>1,183</w:t>
            </w:r>
          </w:p>
        </w:tc>
      </w:tr>
    </w:tbl>
    <w:p w14:paraId="2D97B4A8" w14:textId="77777777" w:rsidR="00783E94" w:rsidRPr="00783E94" w:rsidRDefault="004F147A" w:rsidP="00783E94">
      <w:pPr>
        <w:spacing w:before="120" w:after="0" w:line="240" w:lineRule="auto"/>
        <w:rPr>
          <w:sz w:val="24"/>
          <w:szCs w:val="24"/>
        </w:rPr>
      </w:pPr>
      <w:r w:rsidRPr="002E19F8">
        <w:rPr>
          <w:b/>
          <w:sz w:val="24"/>
          <w:szCs w:val="24"/>
        </w:rPr>
        <w:t>Highlights:</w:t>
      </w:r>
      <w:r w:rsidRPr="002E19F8">
        <w:rPr>
          <w:sz w:val="24"/>
          <w:szCs w:val="24"/>
        </w:rPr>
        <w:t xml:space="preserve"> </w:t>
      </w:r>
      <w:r w:rsidR="00783E94" w:rsidRPr="00783E94">
        <w:rPr>
          <w:sz w:val="24"/>
          <w:szCs w:val="24"/>
        </w:rPr>
        <w:t xml:space="preserve">Graph depicts the rates per 100,000 population of confirmed and probable cases of syphilis in Massachusetts by gender identity between 2010 and 2023. There are two lines, one for females that begins at 0.9 in 2010 and remains relatively stable with a high of 7.3 in 2023. Another line is for males that begins at 13.8 in 2010 and climbs to a high of 39.4 in 2022 before falling to 34.7 in 2023. </w:t>
      </w:r>
    </w:p>
    <w:p w14:paraId="2FFA6B65" w14:textId="77777777" w:rsidR="00783E94" w:rsidRPr="00783E94" w:rsidRDefault="00783E94" w:rsidP="00783E94">
      <w:pPr>
        <w:spacing w:before="120" w:after="0" w:line="240" w:lineRule="auto"/>
        <w:rPr>
          <w:sz w:val="24"/>
          <w:szCs w:val="24"/>
        </w:rPr>
      </w:pPr>
    </w:p>
    <w:p w14:paraId="34F6DDC7" w14:textId="77777777" w:rsidR="00783E94" w:rsidRPr="00783E94" w:rsidRDefault="00783E94" w:rsidP="00783E94">
      <w:pPr>
        <w:spacing w:before="120" w:after="0" w:line="240" w:lineRule="auto"/>
        <w:rPr>
          <w:sz w:val="24"/>
          <w:szCs w:val="24"/>
        </w:rPr>
      </w:pPr>
      <w:r w:rsidRPr="00783E94">
        <w:rPr>
          <w:sz w:val="24"/>
          <w:szCs w:val="24"/>
        </w:rPr>
        <w:t>Note: Infectious syphilis is defined as primary, secondary and early latent stages of syphilis within one year of infection.</w:t>
      </w:r>
    </w:p>
    <w:p w14:paraId="713C2BD3" w14:textId="7DA6FE32" w:rsidR="52C804C8" w:rsidRPr="002E19F8" w:rsidRDefault="00783E94" w:rsidP="00783E94">
      <w:pPr>
        <w:spacing w:before="120" w:after="0" w:line="240" w:lineRule="auto"/>
        <w:rPr>
          <w:b/>
          <w:bCs/>
          <w:sz w:val="24"/>
          <w:szCs w:val="24"/>
        </w:rPr>
      </w:pPr>
      <w:r w:rsidRPr="00783E94">
        <w:rPr>
          <w:sz w:val="24"/>
          <w:szCs w:val="24"/>
        </w:rPr>
        <w:t>There were cases reported among transgender individuals in 2014 through 2023. They are classified on this slide based on their current gender. In 2023, there were 2 cases of infectious syphilis among transgender identified individuals not included on this slide as MA DSTDP does not have current gender information for those individuals.</w:t>
      </w:r>
    </w:p>
    <w:p w14:paraId="16C255CF" w14:textId="77777777" w:rsidR="00783E94" w:rsidRDefault="00783E94" w:rsidP="52C804C8">
      <w:pPr>
        <w:spacing w:before="40" w:after="0" w:line="240" w:lineRule="auto"/>
        <w:rPr>
          <w:b/>
          <w:sz w:val="24"/>
          <w:szCs w:val="24"/>
        </w:rPr>
      </w:pPr>
    </w:p>
    <w:p w14:paraId="4CC8F78B" w14:textId="6E0A288B" w:rsidR="004F147A" w:rsidRPr="002E19F8" w:rsidRDefault="004F147A" w:rsidP="52C804C8">
      <w:pPr>
        <w:spacing w:before="40" w:after="0" w:line="240" w:lineRule="auto"/>
        <w:rPr>
          <w:sz w:val="24"/>
          <w:szCs w:val="24"/>
        </w:rPr>
      </w:pPr>
      <w:r w:rsidRPr="002E19F8">
        <w:rPr>
          <w:b/>
          <w:sz w:val="24"/>
          <w:szCs w:val="24"/>
        </w:rPr>
        <w:t>Footnotes</w:t>
      </w:r>
      <w:r w:rsidR="7CBF9E41" w:rsidRPr="002E19F8">
        <w:rPr>
          <w:b/>
          <w:bCs/>
          <w:sz w:val="24"/>
          <w:szCs w:val="24"/>
        </w:rPr>
        <w:t xml:space="preserve"> for Slide 14</w:t>
      </w:r>
      <w:r w:rsidRPr="002E19F8">
        <w:rPr>
          <w:sz w:val="24"/>
          <w:szCs w:val="24"/>
        </w:rPr>
        <w:t xml:space="preserve"> </w:t>
      </w:r>
    </w:p>
    <w:p w14:paraId="03648FDC" w14:textId="77777777" w:rsidR="00783E94" w:rsidRPr="00783E94" w:rsidRDefault="00783E94" w:rsidP="00783E94">
      <w:pPr>
        <w:spacing w:after="0" w:line="240" w:lineRule="auto"/>
        <w:rPr>
          <w:sz w:val="24"/>
          <w:szCs w:val="24"/>
        </w:rPr>
      </w:pPr>
      <w:r w:rsidRPr="00783E94">
        <w:rPr>
          <w:sz w:val="24"/>
          <w:szCs w:val="24"/>
        </w:rPr>
        <w:t>Data are current as of 07/17/2024 and are subject to change. </w:t>
      </w:r>
    </w:p>
    <w:p w14:paraId="43EFA930" w14:textId="77777777" w:rsidR="00783E94" w:rsidRPr="00783E94" w:rsidRDefault="00783E94" w:rsidP="00783E94">
      <w:pPr>
        <w:spacing w:after="0" w:line="240" w:lineRule="auto"/>
        <w:rPr>
          <w:sz w:val="24"/>
          <w:szCs w:val="24"/>
        </w:rPr>
      </w:pPr>
      <w:r w:rsidRPr="00783E94">
        <w:rPr>
          <w:sz w:val="24"/>
          <w:szCs w:val="24"/>
        </w:rPr>
        <w:t>Data Source: Massachusetts Department of Public Health/Bureau of Infectious Disease and Laboratory Sciences/ Division of STD Prevention and STD-HIV Surveillance.</w:t>
      </w:r>
    </w:p>
    <w:p w14:paraId="5C3A6E1A" w14:textId="77777777" w:rsidR="00783E94" w:rsidRPr="00783E94" w:rsidRDefault="00783E94" w:rsidP="00783E94">
      <w:pPr>
        <w:spacing w:after="0" w:line="240" w:lineRule="auto"/>
        <w:rPr>
          <w:sz w:val="24"/>
          <w:szCs w:val="24"/>
        </w:rPr>
      </w:pPr>
      <w:r w:rsidRPr="00783E94">
        <w:rPr>
          <w:sz w:val="24"/>
          <w:szCs w:val="24"/>
        </w:rPr>
        <w:t>Population denominators estimated by the University of Massachusetts Donahue Institute using a modified Hamilton-Perry model (Strate S, et al. Small Area Population Estimates for 2011 through 2020 report, Oct 2016).</w:t>
      </w:r>
    </w:p>
    <w:p w14:paraId="489EC937" w14:textId="77777777" w:rsidR="00783E94" w:rsidRPr="00783E94" w:rsidRDefault="00783E94" w:rsidP="00783E94">
      <w:pPr>
        <w:spacing w:after="0" w:line="240" w:lineRule="auto"/>
        <w:rPr>
          <w:sz w:val="24"/>
          <w:szCs w:val="24"/>
        </w:rPr>
      </w:pPr>
      <w:r w:rsidRPr="00783E94">
        <w:rPr>
          <w:sz w:val="24"/>
          <w:szCs w:val="24"/>
        </w:rPr>
        <w:t>1. Infectious syphilis is defined as primary, secondary and early latent stages of syphilis within one year of infection.</w:t>
      </w:r>
    </w:p>
    <w:p w14:paraId="0E9A20CB" w14:textId="77777777" w:rsidR="00783E94" w:rsidRPr="00783E94" w:rsidRDefault="00783E94" w:rsidP="00783E94">
      <w:pPr>
        <w:spacing w:after="0" w:line="240" w:lineRule="auto"/>
        <w:rPr>
          <w:sz w:val="24"/>
          <w:szCs w:val="24"/>
        </w:rPr>
      </w:pPr>
      <w:r w:rsidRPr="00783E94">
        <w:rPr>
          <w:sz w:val="24"/>
          <w:szCs w:val="24"/>
        </w:rPr>
        <w:t>2. In 2023, there were 2 individuals of transgender experience reported in our data system who do not have current gender documented. These cases were excluded since population estimates for individuals of transgender experience are not available at this time. </w:t>
      </w:r>
    </w:p>
    <w:p w14:paraId="49E8CF1B" w14:textId="77777777" w:rsidR="00783E94" w:rsidRPr="00783E94" w:rsidRDefault="00783E94" w:rsidP="00783E94">
      <w:pPr>
        <w:spacing w:after="0" w:line="240" w:lineRule="auto"/>
        <w:rPr>
          <w:sz w:val="24"/>
          <w:szCs w:val="24"/>
        </w:rPr>
      </w:pPr>
      <w:r w:rsidRPr="00783E94">
        <w:rPr>
          <w:sz w:val="24"/>
          <w:szCs w:val="24"/>
        </w:rPr>
        <w:t>3. Please consider the impact of the COVID-19 pandemic on infectious disease screening, treatment and surveillance in the interpretation of 2020-2023 data.</w:t>
      </w:r>
    </w:p>
    <w:p w14:paraId="59B9835E" w14:textId="44ECC770" w:rsidR="52C804C8" w:rsidRPr="002E19F8" w:rsidRDefault="52C804C8" w:rsidP="52C804C8">
      <w:pPr>
        <w:spacing w:after="0" w:line="240" w:lineRule="auto"/>
        <w:rPr>
          <w:b/>
          <w:bCs/>
          <w:sz w:val="24"/>
          <w:szCs w:val="24"/>
        </w:rPr>
      </w:pPr>
    </w:p>
    <w:p w14:paraId="6748BF53" w14:textId="3914E950" w:rsidR="52C804C8" w:rsidRPr="002E19F8" w:rsidRDefault="52C804C8" w:rsidP="52C804C8">
      <w:pPr>
        <w:spacing w:after="0" w:line="240" w:lineRule="auto"/>
        <w:rPr>
          <w:b/>
          <w:bCs/>
          <w:sz w:val="24"/>
          <w:szCs w:val="24"/>
        </w:rPr>
      </w:pPr>
    </w:p>
    <w:p w14:paraId="4B98655B" w14:textId="26B0A441" w:rsidR="52C804C8" w:rsidRPr="002E19F8" w:rsidRDefault="52C804C8" w:rsidP="52C804C8">
      <w:pPr>
        <w:spacing w:after="0" w:line="240" w:lineRule="auto"/>
        <w:rPr>
          <w:b/>
          <w:bCs/>
          <w:sz w:val="24"/>
          <w:szCs w:val="24"/>
        </w:rPr>
      </w:pPr>
    </w:p>
    <w:p w14:paraId="691AAFCF" w14:textId="5A6D4840" w:rsidR="52C804C8" w:rsidRPr="002E19F8" w:rsidRDefault="52C804C8" w:rsidP="52C804C8">
      <w:pPr>
        <w:spacing w:after="0" w:line="240" w:lineRule="auto"/>
        <w:rPr>
          <w:b/>
          <w:bCs/>
          <w:sz w:val="24"/>
          <w:szCs w:val="24"/>
        </w:rPr>
      </w:pPr>
    </w:p>
    <w:p w14:paraId="6933A159" w14:textId="4B0FB392" w:rsidR="52C804C8" w:rsidRPr="002E19F8" w:rsidRDefault="52C804C8" w:rsidP="52C804C8">
      <w:pPr>
        <w:spacing w:after="0" w:line="240" w:lineRule="auto"/>
        <w:rPr>
          <w:b/>
          <w:bCs/>
          <w:sz w:val="24"/>
          <w:szCs w:val="24"/>
        </w:rPr>
      </w:pPr>
    </w:p>
    <w:p w14:paraId="37CB6C97" w14:textId="5E903335" w:rsidR="52C804C8" w:rsidRPr="002E19F8" w:rsidRDefault="52C804C8" w:rsidP="52C804C8">
      <w:pPr>
        <w:spacing w:after="0" w:line="240" w:lineRule="auto"/>
        <w:rPr>
          <w:b/>
          <w:bCs/>
          <w:sz w:val="24"/>
          <w:szCs w:val="24"/>
        </w:rPr>
      </w:pPr>
    </w:p>
    <w:p w14:paraId="3D763A7E" w14:textId="1EDCB6A3" w:rsidR="52C804C8" w:rsidRPr="002E19F8" w:rsidRDefault="52C804C8" w:rsidP="52C804C8">
      <w:pPr>
        <w:spacing w:after="0" w:line="240" w:lineRule="auto"/>
        <w:rPr>
          <w:b/>
          <w:bCs/>
          <w:sz w:val="24"/>
          <w:szCs w:val="24"/>
        </w:rPr>
      </w:pPr>
    </w:p>
    <w:p w14:paraId="3ED23B78" w14:textId="57BA3A43" w:rsidR="52C804C8" w:rsidRPr="002E19F8" w:rsidRDefault="52C804C8" w:rsidP="52C804C8">
      <w:pPr>
        <w:spacing w:after="0" w:line="240" w:lineRule="auto"/>
        <w:rPr>
          <w:b/>
          <w:bCs/>
          <w:sz w:val="24"/>
          <w:szCs w:val="24"/>
        </w:rPr>
      </w:pPr>
    </w:p>
    <w:p w14:paraId="01F21DDF" w14:textId="7DBBCE1D" w:rsidR="52C804C8" w:rsidRPr="002E19F8" w:rsidRDefault="52C804C8" w:rsidP="52C804C8">
      <w:pPr>
        <w:spacing w:after="0" w:line="240" w:lineRule="auto"/>
        <w:rPr>
          <w:b/>
          <w:bCs/>
          <w:sz w:val="24"/>
          <w:szCs w:val="24"/>
        </w:rPr>
      </w:pPr>
    </w:p>
    <w:p w14:paraId="1C6E707A" w14:textId="02CB2A30" w:rsidR="52C804C8" w:rsidRPr="002E19F8" w:rsidRDefault="52C804C8" w:rsidP="52C804C8">
      <w:pPr>
        <w:spacing w:after="0" w:line="240" w:lineRule="auto"/>
        <w:rPr>
          <w:b/>
          <w:bCs/>
          <w:sz w:val="24"/>
          <w:szCs w:val="24"/>
        </w:rPr>
      </w:pPr>
    </w:p>
    <w:p w14:paraId="2AD3F66A" w14:textId="7EA7ACDE" w:rsidR="52C804C8" w:rsidRPr="002E19F8" w:rsidRDefault="52C804C8" w:rsidP="52C804C8">
      <w:pPr>
        <w:spacing w:after="0" w:line="240" w:lineRule="auto"/>
        <w:rPr>
          <w:b/>
          <w:bCs/>
          <w:sz w:val="24"/>
          <w:szCs w:val="24"/>
        </w:rPr>
      </w:pPr>
    </w:p>
    <w:p w14:paraId="19ACE95A" w14:textId="11EA0CF9" w:rsidR="52C804C8" w:rsidRPr="002E19F8" w:rsidRDefault="52C804C8" w:rsidP="52C804C8">
      <w:pPr>
        <w:spacing w:after="0" w:line="240" w:lineRule="auto"/>
        <w:rPr>
          <w:b/>
          <w:bCs/>
          <w:sz w:val="24"/>
          <w:szCs w:val="24"/>
        </w:rPr>
      </w:pPr>
    </w:p>
    <w:p w14:paraId="202942ED" w14:textId="0E5A313F" w:rsidR="52C804C8" w:rsidRPr="002E19F8" w:rsidRDefault="52C804C8" w:rsidP="52C804C8">
      <w:pPr>
        <w:spacing w:after="0" w:line="240" w:lineRule="auto"/>
        <w:rPr>
          <w:b/>
          <w:bCs/>
          <w:sz w:val="24"/>
          <w:szCs w:val="24"/>
        </w:rPr>
      </w:pPr>
    </w:p>
    <w:p w14:paraId="14AA80C6" w14:textId="51E25A74" w:rsidR="52C804C8" w:rsidRPr="002E19F8" w:rsidRDefault="52C804C8" w:rsidP="52C804C8">
      <w:pPr>
        <w:spacing w:after="0" w:line="240" w:lineRule="auto"/>
        <w:rPr>
          <w:b/>
          <w:bCs/>
          <w:sz w:val="24"/>
          <w:szCs w:val="24"/>
        </w:rPr>
      </w:pPr>
    </w:p>
    <w:p w14:paraId="78A21F01" w14:textId="28CA863F" w:rsidR="52C804C8" w:rsidRPr="002E19F8" w:rsidRDefault="52C804C8" w:rsidP="52C804C8">
      <w:pPr>
        <w:spacing w:after="0" w:line="240" w:lineRule="auto"/>
        <w:rPr>
          <w:b/>
          <w:bCs/>
          <w:sz w:val="24"/>
          <w:szCs w:val="24"/>
        </w:rPr>
      </w:pPr>
    </w:p>
    <w:p w14:paraId="722F1944" w14:textId="7507B260" w:rsidR="52C804C8" w:rsidRPr="002E19F8" w:rsidRDefault="52C804C8" w:rsidP="52C804C8">
      <w:pPr>
        <w:spacing w:after="0" w:line="240" w:lineRule="auto"/>
        <w:rPr>
          <w:b/>
          <w:bCs/>
          <w:sz w:val="24"/>
          <w:szCs w:val="24"/>
        </w:rPr>
      </w:pPr>
    </w:p>
    <w:p w14:paraId="25E49B59" w14:textId="6FCE7BC4" w:rsidR="52C804C8" w:rsidRPr="002E19F8" w:rsidRDefault="52C804C8" w:rsidP="52C804C8">
      <w:pPr>
        <w:spacing w:after="0" w:line="240" w:lineRule="auto"/>
        <w:rPr>
          <w:b/>
          <w:bCs/>
          <w:sz w:val="24"/>
          <w:szCs w:val="24"/>
        </w:rPr>
      </w:pPr>
    </w:p>
    <w:p w14:paraId="4F253FF3" w14:textId="4D0399D8" w:rsidR="52C804C8" w:rsidRPr="002E19F8" w:rsidRDefault="52C804C8" w:rsidP="52C804C8">
      <w:pPr>
        <w:spacing w:after="0" w:line="240" w:lineRule="auto"/>
        <w:rPr>
          <w:b/>
          <w:bCs/>
          <w:sz w:val="24"/>
          <w:szCs w:val="24"/>
        </w:rPr>
      </w:pPr>
    </w:p>
    <w:p w14:paraId="78C9CA06" w14:textId="17F822A7" w:rsidR="52C804C8" w:rsidRPr="002E19F8" w:rsidRDefault="52C804C8" w:rsidP="52C804C8">
      <w:pPr>
        <w:spacing w:after="0" w:line="240" w:lineRule="auto"/>
        <w:rPr>
          <w:b/>
          <w:bCs/>
          <w:sz w:val="24"/>
          <w:szCs w:val="24"/>
        </w:rPr>
      </w:pPr>
    </w:p>
    <w:p w14:paraId="2D592539" w14:textId="22C61449" w:rsidR="52C804C8" w:rsidRPr="002E19F8" w:rsidRDefault="52C804C8" w:rsidP="52C804C8">
      <w:pPr>
        <w:spacing w:after="0" w:line="240" w:lineRule="auto"/>
        <w:rPr>
          <w:b/>
          <w:bCs/>
          <w:sz w:val="24"/>
          <w:szCs w:val="24"/>
        </w:rPr>
      </w:pPr>
    </w:p>
    <w:p w14:paraId="18C3F495" w14:textId="4B069BF0" w:rsidR="52C804C8" w:rsidRPr="002E19F8" w:rsidRDefault="52C804C8" w:rsidP="52C804C8">
      <w:pPr>
        <w:spacing w:after="0" w:line="240" w:lineRule="auto"/>
        <w:rPr>
          <w:b/>
          <w:bCs/>
          <w:sz w:val="24"/>
          <w:szCs w:val="24"/>
        </w:rPr>
      </w:pPr>
    </w:p>
    <w:p w14:paraId="1E68B1CE" w14:textId="70D73E8B" w:rsidR="52C804C8" w:rsidRPr="002E19F8" w:rsidRDefault="52C804C8" w:rsidP="52C804C8">
      <w:pPr>
        <w:spacing w:after="0" w:line="240" w:lineRule="auto"/>
        <w:rPr>
          <w:b/>
          <w:bCs/>
          <w:sz w:val="24"/>
          <w:szCs w:val="24"/>
        </w:rPr>
      </w:pPr>
    </w:p>
    <w:p w14:paraId="45066958" w14:textId="7769EA69" w:rsidR="52C804C8" w:rsidRPr="002E19F8" w:rsidRDefault="52C804C8" w:rsidP="52C804C8">
      <w:pPr>
        <w:spacing w:after="0" w:line="240" w:lineRule="auto"/>
        <w:rPr>
          <w:b/>
          <w:bCs/>
          <w:sz w:val="24"/>
          <w:szCs w:val="24"/>
        </w:rPr>
      </w:pPr>
    </w:p>
    <w:p w14:paraId="1353B1B0" w14:textId="51D4D861" w:rsidR="52C804C8" w:rsidRPr="002E19F8" w:rsidRDefault="52C804C8" w:rsidP="52C804C8">
      <w:pPr>
        <w:spacing w:after="0" w:line="240" w:lineRule="auto"/>
        <w:rPr>
          <w:b/>
          <w:bCs/>
          <w:sz w:val="24"/>
          <w:szCs w:val="24"/>
        </w:rPr>
      </w:pPr>
    </w:p>
    <w:p w14:paraId="0B786353" w14:textId="0F498223" w:rsidR="52C804C8" w:rsidRPr="002E19F8" w:rsidRDefault="52C804C8" w:rsidP="52C804C8">
      <w:pPr>
        <w:spacing w:after="0" w:line="240" w:lineRule="auto"/>
        <w:rPr>
          <w:b/>
          <w:bCs/>
          <w:sz w:val="24"/>
          <w:szCs w:val="24"/>
        </w:rPr>
      </w:pPr>
    </w:p>
    <w:p w14:paraId="40C7B118" w14:textId="0D4469C0" w:rsidR="52C804C8" w:rsidRDefault="52C804C8" w:rsidP="52C804C8">
      <w:pPr>
        <w:spacing w:after="0" w:line="240" w:lineRule="auto"/>
        <w:rPr>
          <w:b/>
          <w:bCs/>
          <w:sz w:val="24"/>
          <w:szCs w:val="24"/>
        </w:rPr>
      </w:pPr>
    </w:p>
    <w:p w14:paraId="2BAE34E2" w14:textId="5670FCFF" w:rsidR="004F147A" w:rsidRPr="003233F8" w:rsidRDefault="004F147A" w:rsidP="003F6E82">
      <w:pPr>
        <w:pStyle w:val="Heading2"/>
        <w:rPr>
          <w:sz w:val="24"/>
          <w:szCs w:val="24"/>
        </w:rPr>
      </w:pPr>
      <w:bookmarkStart w:id="17" w:name="_Toc184132227"/>
      <w:r w:rsidRPr="003233F8">
        <w:rPr>
          <w:sz w:val="24"/>
          <w:szCs w:val="24"/>
        </w:rPr>
        <w:t>Slide 15: Infectious Syphilis</w:t>
      </w:r>
      <w:r w:rsidRPr="003233F8">
        <w:rPr>
          <w:sz w:val="24"/>
          <w:szCs w:val="24"/>
          <w:vertAlign w:val="superscript"/>
        </w:rPr>
        <w:t>1</w:t>
      </w:r>
      <w:r w:rsidRPr="003233F8">
        <w:rPr>
          <w:sz w:val="24"/>
          <w:szCs w:val="24"/>
        </w:rPr>
        <w:t xml:space="preserve"> Reported Cases by Race/Ethnicity</w:t>
      </w:r>
      <w:r w:rsidRPr="003233F8">
        <w:rPr>
          <w:sz w:val="24"/>
          <w:szCs w:val="24"/>
          <w:vertAlign w:val="superscript"/>
        </w:rPr>
        <w:t>2</w:t>
      </w:r>
      <w:r w:rsidRPr="003233F8">
        <w:rPr>
          <w:sz w:val="24"/>
          <w:szCs w:val="24"/>
        </w:rPr>
        <w:t>, Massachusetts, 2015-202</w:t>
      </w:r>
      <w:r w:rsidR="00CE732C">
        <w:rPr>
          <w:sz w:val="24"/>
          <w:szCs w:val="24"/>
        </w:rPr>
        <w:t>3</w:t>
      </w:r>
      <w:r w:rsidRPr="003233F8">
        <w:rPr>
          <w:sz w:val="24"/>
          <w:szCs w:val="24"/>
          <w:vertAlign w:val="superscript"/>
        </w:rPr>
        <w:t>3</w:t>
      </w:r>
      <w:bookmarkEnd w:id="17"/>
    </w:p>
    <w:p w14:paraId="4C4CBD67" w14:textId="7AD7F120" w:rsidR="004F147A" w:rsidRPr="002E19F8" w:rsidRDefault="00CE732C" w:rsidP="004F147A">
      <w:pPr>
        <w:spacing w:after="0" w:line="240" w:lineRule="auto"/>
        <w:rPr>
          <w:sz w:val="24"/>
          <w:szCs w:val="24"/>
        </w:rPr>
      </w:pPr>
      <w:r>
        <w:rPr>
          <w:noProof/>
          <w:sz w:val="24"/>
          <w:szCs w:val="24"/>
        </w:rPr>
        <w:drawing>
          <wp:inline distT="0" distB="0" distL="0" distR="0" wp14:anchorId="7C69821B" wp14:editId="70A64954">
            <wp:extent cx="5939155" cy="2062480"/>
            <wp:effectExtent l="0" t="0" r="4445" b="0"/>
            <wp:docPr id="566116729" name="Picture 566116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16729" name="Picture 56611672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062480"/>
                    </a:xfrm>
                    <a:prstGeom prst="rect">
                      <a:avLst/>
                    </a:prstGeom>
                    <a:noFill/>
                    <a:ln>
                      <a:noFill/>
                    </a:ln>
                  </pic:spPr>
                </pic:pic>
              </a:graphicData>
            </a:graphic>
          </wp:inline>
        </w:drawing>
      </w:r>
    </w:p>
    <w:p w14:paraId="0C7315A9" w14:textId="3C87608B" w:rsidR="00737DA7" w:rsidRPr="002E19F8" w:rsidRDefault="00737DA7" w:rsidP="52C804C8">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737DA7" w:rsidRPr="002E19F8" w14:paraId="0896EF74" w14:textId="77777777" w:rsidTr="00737DA7">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6930F" w14:textId="77777777" w:rsidR="00737DA7" w:rsidRPr="002E19F8" w:rsidRDefault="00737DA7" w:rsidP="00737DA7">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A4B3EA" w14:textId="77777777" w:rsidR="00737DA7" w:rsidRPr="002E19F8" w:rsidRDefault="00737DA7" w:rsidP="00737DA7">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737DA7" w:rsidRPr="002E19F8" w14:paraId="0662765B"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CE7A5"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9FF68C0"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789</w:t>
            </w:r>
          </w:p>
        </w:tc>
      </w:tr>
      <w:tr w:rsidR="00737DA7" w:rsidRPr="002E19F8" w14:paraId="5635F17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63240E"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86AD9E5"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737DA7" w:rsidRPr="002E19F8" w14:paraId="1C04B47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7E5DAA"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0DC3C5F"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737DA7" w:rsidRPr="002E19F8" w14:paraId="1A93778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8D3783"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3979DF3"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737DA7" w:rsidRPr="002E19F8" w14:paraId="2006E9D8"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5D4073"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27E3D6A"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737DA7" w:rsidRPr="002E19F8" w14:paraId="53BB0A81"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5D13F"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5792631"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737DA7" w:rsidRPr="002E19F8" w14:paraId="52F1C73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8ED57F"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7A152CA"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737DA7" w:rsidRPr="002E19F8" w14:paraId="7FC015A7" w14:textId="77777777" w:rsidTr="00CE732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73FC18"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C9AF545" w14:textId="77777777" w:rsidR="00737DA7" w:rsidRPr="002E19F8" w:rsidRDefault="00737DA7" w:rsidP="00737DA7">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r w:rsidR="00CE732C" w:rsidRPr="002E19F8" w14:paraId="4627F7DB" w14:textId="77777777" w:rsidTr="00CE732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C790A" w14:textId="1BD05F7C" w:rsidR="00CE732C" w:rsidRPr="002E19F8" w:rsidRDefault="00CE732C" w:rsidP="00737DA7">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203C58D0" w14:textId="303E1CDD" w:rsidR="00CE732C" w:rsidRPr="002E19F8" w:rsidRDefault="00CE732C" w:rsidP="00737DA7">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bl>
    <w:p w14:paraId="3FB7F4F5" w14:textId="77777777" w:rsidR="009D6346" w:rsidRPr="009D6346" w:rsidRDefault="00737DA7" w:rsidP="009D6346">
      <w:pPr>
        <w:spacing w:after="0" w:line="240" w:lineRule="auto"/>
        <w:rPr>
          <w:sz w:val="24"/>
          <w:szCs w:val="24"/>
        </w:rPr>
      </w:pPr>
      <w:r w:rsidRPr="002E19F8">
        <w:rPr>
          <w:b/>
          <w:sz w:val="24"/>
          <w:szCs w:val="24"/>
        </w:rPr>
        <w:t>Highlights:</w:t>
      </w:r>
      <w:r w:rsidRPr="002E19F8">
        <w:rPr>
          <w:sz w:val="24"/>
          <w:szCs w:val="24"/>
        </w:rPr>
        <w:t xml:space="preserve"> </w:t>
      </w:r>
      <w:r w:rsidR="009D6346" w:rsidRPr="009D6346">
        <w:rPr>
          <w:sz w:val="24"/>
          <w:szCs w:val="24"/>
        </w:rPr>
        <w:t>Data are current as of 07/17/2024 and are subject to change.</w:t>
      </w:r>
    </w:p>
    <w:p w14:paraId="0F3D4136" w14:textId="77777777" w:rsidR="009D6346" w:rsidRPr="009D6346" w:rsidRDefault="009D6346" w:rsidP="009D6346">
      <w:pPr>
        <w:spacing w:after="0" w:line="240" w:lineRule="auto"/>
        <w:rPr>
          <w:sz w:val="24"/>
          <w:szCs w:val="24"/>
        </w:rPr>
      </w:pPr>
      <w:r w:rsidRPr="009D6346">
        <w:rPr>
          <w:sz w:val="24"/>
          <w:szCs w:val="24"/>
        </w:rPr>
        <w:t>Data Source: Massachusetts Department of Public Health/Bureau of Infectious Disease and Laboratory Sciences/ Division of STD Prevention and STD-HIV Surveillance. </w:t>
      </w:r>
    </w:p>
    <w:p w14:paraId="3BFB6A44" w14:textId="77777777" w:rsidR="009D6346" w:rsidRPr="009D6346" w:rsidRDefault="009D6346" w:rsidP="009D6346">
      <w:pPr>
        <w:spacing w:after="0" w:line="240" w:lineRule="auto"/>
        <w:rPr>
          <w:sz w:val="24"/>
          <w:szCs w:val="24"/>
        </w:rPr>
      </w:pPr>
      <w:r w:rsidRPr="009D6346">
        <w:rPr>
          <w:sz w:val="24"/>
          <w:szCs w:val="24"/>
        </w:rPr>
        <w:t>Note: National Notifiable Diseases Surveillance System (NNDSS) Congenital Syphilis case definition was updated in 2014.</w:t>
      </w:r>
    </w:p>
    <w:p w14:paraId="37288EA4" w14:textId="77777777" w:rsidR="009D6346" w:rsidRPr="009D6346" w:rsidRDefault="009D6346" w:rsidP="009D6346">
      <w:pPr>
        <w:spacing w:after="0" w:line="240" w:lineRule="auto"/>
        <w:rPr>
          <w:sz w:val="24"/>
          <w:szCs w:val="24"/>
        </w:rPr>
      </w:pPr>
      <w:r w:rsidRPr="009D6346">
        <w:rPr>
          <w:sz w:val="24"/>
          <w:szCs w:val="24"/>
        </w:rPr>
        <w:t>1. Infectious syphilis is defined as primary, secondary and early latent stages of syphilis within one year of infection.</w:t>
      </w:r>
    </w:p>
    <w:p w14:paraId="29F4FE8C" w14:textId="77777777" w:rsidR="009D6346" w:rsidRPr="009D6346" w:rsidRDefault="009D6346" w:rsidP="009D6346">
      <w:pPr>
        <w:spacing w:after="0" w:line="240" w:lineRule="auto"/>
        <w:rPr>
          <w:sz w:val="24"/>
          <w:szCs w:val="24"/>
        </w:rPr>
      </w:pPr>
      <w:r w:rsidRPr="009D6346">
        <w:rPr>
          <w:sz w:val="24"/>
          <w:szCs w:val="24"/>
        </w:rPr>
        <w:t>2. Other Race/Ethnicity includes individuals who identify as American Indian/ Pacific Islander/ Alaskan Native.</w:t>
      </w:r>
    </w:p>
    <w:p w14:paraId="5EFDD71F" w14:textId="77777777" w:rsidR="009D6346" w:rsidRDefault="009D6346" w:rsidP="009D6346">
      <w:pPr>
        <w:spacing w:after="0" w:line="240" w:lineRule="auto"/>
        <w:rPr>
          <w:sz w:val="24"/>
          <w:szCs w:val="24"/>
        </w:rPr>
      </w:pPr>
      <w:r w:rsidRPr="009D6346">
        <w:rPr>
          <w:sz w:val="24"/>
          <w:szCs w:val="24"/>
        </w:rPr>
        <w:t>3. Please consider the impact of the COVID-19 pandemic on infectious disease screening, treatment and surveillance in the interpretation of 2020-2023 data. </w:t>
      </w:r>
    </w:p>
    <w:p w14:paraId="38A026E3" w14:textId="7E996D2A" w:rsidR="00737DA7" w:rsidRPr="002E19F8" w:rsidRDefault="00737DA7" w:rsidP="009D6346">
      <w:pPr>
        <w:spacing w:before="120" w:after="0" w:line="240" w:lineRule="auto"/>
        <w:rPr>
          <w:b/>
          <w:bCs/>
          <w:sz w:val="24"/>
          <w:szCs w:val="24"/>
        </w:rPr>
      </w:pPr>
      <w:r w:rsidRPr="002E19F8">
        <w:rPr>
          <w:b/>
          <w:sz w:val="24"/>
          <w:szCs w:val="24"/>
        </w:rPr>
        <w:t>Footnotes</w:t>
      </w:r>
      <w:r w:rsidR="5CFDDB48" w:rsidRPr="002E19F8">
        <w:rPr>
          <w:b/>
          <w:bCs/>
          <w:sz w:val="24"/>
          <w:szCs w:val="24"/>
        </w:rPr>
        <w:t xml:space="preserve"> for Slide 15</w:t>
      </w:r>
    </w:p>
    <w:p w14:paraId="603399C3" w14:textId="77777777" w:rsidR="00227E43" w:rsidRPr="00227E43" w:rsidRDefault="00227E43" w:rsidP="00227E43">
      <w:pPr>
        <w:spacing w:after="0" w:line="240" w:lineRule="auto"/>
        <w:rPr>
          <w:sz w:val="24"/>
          <w:szCs w:val="24"/>
        </w:rPr>
      </w:pPr>
      <w:r w:rsidRPr="00227E43">
        <w:rPr>
          <w:sz w:val="24"/>
          <w:szCs w:val="24"/>
        </w:rPr>
        <w:t>Graph depicts the proportion of Massachusetts reported confirmed and probable infectious syphilis cases broken down by race/ethnicity for the years 2015 through 2023. The highest percentage of cases for each year identified as Non-Hispanic White making up a high of 50.1% of cases in 2017 and a resulting 35.5% of cases in 2023. In total, over the nine-year period, the proportion of cases by race/ethnicity were from highest to lowest: Non-Hispanic White, Hispanic, Non-Hispanic Black, Non-Hispanic Other, and Unknown.</w:t>
      </w:r>
    </w:p>
    <w:p w14:paraId="369EB996" w14:textId="77777777" w:rsidR="00227E43" w:rsidRPr="00227E43" w:rsidRDefault="00227E43" w:rsidP="00227E43">
      <w:pPr>
        <w:spacing w:after="0" w:line="240" w:lineRule="auto"/>
        <w:rPr>
          <w:sz w:val="24"/>
          <w:szCs w:val="24"/>
        </w:rPr>
      </w:pPr>
      <w:r w:rsidRPr="00227E43">
        <w:rPr>
          <w:sz w:val="24"/>
          <w:szCs w:val="24"/>
        </w:rPr>
        <w:t>Note: Infectious syphilis is defined as primary, secondary and early latent (non-primary/non-secondary) stages of syphilis within one year of infection.</w:t>
      </w:r>
    </w:p>
    <w:p w14:paraId="5383C55C" w14:textId="77777777" w:rsidR="00737DA7" w:rsidRDefault="00737DA7" w:rsidP="00737DA7">
      <w:pPr>
        <w:spacing w:after="0" w:line="240" w:lineRule="auto"/>
        <w:rPr>
          <w:sz w:val="24"/>
          <w:szCs w:val="24"/>
        </w:rPr>
      </w:pPr>
      <w:r w:rsidRPr="002E19F8">
        <w:rPr>
          <w:sz w:val="24"/>
          <w:szCs w:val="24"/>
        </w:rPr>
        <w:t>3. Please consider the impact of the COVID-19 pandemic on infectious disease screening, treatment and surveillance in the interpretation of 2020-2022 data. </w:t>
      </w:r>
    </w:p>
    <w:p w14:paraId="27C2BB7E" w14:textId="77777777" w:rsidR="00227E43" w:rsidRPr="002E19F8" w:rsidRDefault="00227E43" w:rsidP="00737DA7">
      <w:pPr>
        <w:spacing w:after="0" w:line="240" w:lineRule="auto"/>
        <w:rPr>
          <w:sz w:val="24"/>
          <w:szCs w:val="24"/>
        </w:rPr>
      </w:pPr>
    </w:p>
    <w:p w14:paraId="45E765D3" w14:textId="0D2D3032" w:rsidR="000078F5" w:rsidRPr="002E19F8" w:rsidRDefault="00737DA7" w:rsidP="52C804C8">
      <w:pPr>
        <w:spacing w:after="0" w:line="240" w:lineRule="auto"/>
        <w:rPr>
          <w:b/>
          <w:sz w:val="24"/>
          <w:szCs w:val="24"/>
        </w:rPr>
      </w:pPr>
      <w:bookmarkStart w:id="18" w:name="_Toc184132228"/>
      <w:r w:rsidRPr="003F6E82">
        <w:rPr>
          <w:rStyle w:val="Heading2Char"/>
        </w:rPr>
        <w:t>Slide 16: Confirmed and Probable Infectious Syphilis</w:t>
      </w:r>
      <w:r w:rsidRPr="00A2519B">
        <w:rPr>
          <w:rStyle w:val="Heading2Char"/>
          <w:vertAlign w:val="superscript"/>
        </w:rPr>
        <w:t>1</w:t>
      </w:r>
      <w:r w:rsidRPr="003F6E82">
        <w:rPr>
          <w:rStyle w:val="Heading2Char"/>
        </w:rPr>
        <w:t xml:space="preserve"> Among Individuals of Transgender Experience</w:t>
      </w:r>
      <w:r w:rsidRPr="00A2519B">
        <w:rPr>
          <w:rStyle w:val="Heading2Char"/>
          <w:vertAlign w:val="superscript"/>
        </w:rPr>
        <w:t>2</w:t>
      </w:r>
      <w:r w:rsidRPr="003F6E82">
        <w:rPr>
          <w:rStyle w:val="Heading2Char"/>
        </w:rPr>
        <w:t>, Massachusetts, 2015 to 202</w:t>
      </w:r>
      <w:r w:rsidR="00A2519B">
        <w:rPr>
          <w:rStyle w:val="Heading2Char"/>
        </w:rPr>
        <w:t>3</w:t>
      </w:r>
      <w:r w:rsidRPr="00A2519B">
        <w:rPr>
          <w:rStyle w:val="Heading2Char"/>
          <w:vertAlign w:val="superscript"/>
        </w:rPr>
        <w:t>3, 4</w:t>
      </w:r>
      <w:bookmarkEnd w:id="18"/>
    </w:p>
    <w:p w14:paraId="73CBD7D8" w14:textId="7E08E4D4" w:rsidR="00A2519B" w:rsidRDefault="00143CC0" w:rsidP="52C804C8">
      <w:pPr>
        <w:spacing w:after="0" w:line="240" w:lineRule="auto"/>
        <w:rPr>
          <w:b/>
          <w:sz w:val="24"/>
          <w:szCs w:val="24"/>
        </w:rPr>
      </w:pPr>
      <w:r w:rsidRPr="00143CC0">
        <w:rPr>
          <w:b/>
          <w:noProof/>
          <w:sz w:val="24"/>
          <w:szCs w:val="24"/>
        </w:rPr>
        <w:drawing>
          <wp:inline distT="0" distB="0" distL="0" distR="0" wp14:anchorId="363F8643" wp14:editId="771ED9B8">
            <wp:extent cx="5943600" cy="2261235"/>
            <wp:effectExtent l="0" t="0" r="0" b="5715"/>
            <wp:docPr id="889976792" name="Picture 889976792" descr="Graph shows the number of confirmed and probable infectious syphilis cases among transgender individuals in Massachusetts between 2015 and 2023. The case counts are 10, 11, 10, 27, 19, 23, 33, 58, and 58 for 2015, 2016, 2017, 2018, 2019, 2020, 2021, 2022, and 2023 respectively.">
              <a:extLst xmlns:a="http://schemas.openxmlformats.org/drawingml/2006/main">
                <a:ext uri="{FF2B5EF4-FFF2-40B4-BE49-F238E27FC236}">
                  <a16:creationId xmlns:a16="http://schemas.microsoft.com/office/drawing/2014/main" id="{8F72A6FF-B8AD-E1FD-FF64-5A5975967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 shows the number of confirmed and probable infectious syphilis cases among transgender individuals in Massachusetts between 2015 and 2023. The case counts are 10, 11, 10, 27, 19, 23, 33, 58, and 58 for 2015, 2016, 2017, 2018, 2019, 2020, 2021, 2022, and 2023 respectively.">
                      <a:extLst>
                        <a:ext uri="{FF2B5EF4-FFF2-40B4-BE49-F238E27FC236}">
                          <a16:creationId xmlns:a16="http://schemas.microsoft.com/office/drawing/2014/main" id="{8F72A6FF-B8AD-E1FD-FF64-5A5975967790}"/>
                        </a:ext>
                      </a:extLst>
                    </pic:cNvPr>
                    <pic:cNvPicPr>
                      <a:picLocks noChangeAspect="1"/>
                    </pic:cNvPicPr>
                  </pic:nvPicPr>
                  <pic:blipFill>
                    <a:blip r:embed="rId20"/>
                    <a:stretch>
                      <a:fillRect/>
                    </a:stretch>
                  </pic:blipFill>
                  <pic:spPr>
                    <a:xfrm>
                      <a:off x="0" y="0"/>
                      <a:ext cx="5943600" cy="2261235"/>
                    </a:xfrm>
                    <a:prstGeom prst="rect">
                      <a:avLst/>
                    </a:prstGeom>
                  </pic:spPr>
                </pic:pic>
              </a:graphicData>
            </a:graphic>
          </wp:inline>
        </w:drawing>
      </w:r>
    </w:p>
    <w:p w14:paraId="0CEE5FF4" w14:textId="77777777" w:rsidR="00143CC0" w:rsidRPr="00143CC0" w:rsidRDefault="00737DA7" w:rsidP="00143CC0">
      <w:pPr>
        <w:spacing w:after="0" w:line="240" w:lineRule="auto"/>
        <w:rPr>
          <w:sz w:val="24"/>
          <w:szCs w:val="24"/>
        </w:rPr>
      </w:pPr>
      <w:r w:rsidRPr="002E19F8">
        <w:rPr>
          <w:b/>
          <w:sz w:val="24"/>
          <w:szCs w:val="24"/>
        </w:rPr>
        <w:t>Highlights:</w:t>
      </w:r>
      <w:r w:rsidRPr="002E19F8">
        <w:rPr>
          <w:sz w:val="24"/>
          <w:szCs w:val="24"/>
        </w:rPr>
        <w:t xml:space="preserve"> </w:t>
      </w:r>
      <w:r w:rsidR="00143CC0" w:rsidRPr="00143CC0">
        <w:rPr>
          <w:sz w:val="24"/>
          <w:szCs w:val="24"/>
        </w:rPr>
        <w:t xml:space="preserve">Graph shows the number of confirmed and probable infectious syphilis cases among transgender individuals in Massachusetts between 2015 and 2023. The case counts are 10, 11, 10, 27, 19, 23, 33, 58, and 58 for 2015, 2016, 2017, 2018, 2019, 2020, 2021, 2022, and 2023 respectively. </w:t>
      </w:r>
    </w:p>
    <w:p w14:paraId="08632C39" w14:textId="2FE3D847" w:rsidR="000078F5" w:rsidRPr="002E19F8" w:rsidRDefault="00143CC0" w:rsidP="00143CC0">
      <w:pPr>
        <w:spacing w:after="0" w:line="240" w:lineRule="auto"/>
        <w:rPr>
          <w:sz w:val="24"/>
          <w:szCs w:val="24"/>
        </w:rPr>
      </w:pPr>
      <w:r w:rsidRPr="00143CC0">
        <w:rPr>
          <w:sz w:val="24"/>
          <w:szCs w:val="24"/>
        </w:rPr>
        <w:t>*Infectious syphilis is defined as primary, secondary and early latent stages of syphilis within one year of infection.</w:t>
      </w:r>
    </w:p>
    <w:p w14:paraId="4C9D4B73" w14:textId="1D33F68C" w:rsidR="000078F5" w:rsidRPr="002E19F8" w:rsidRDefault="000078F5" w:rsidP="52C804C8">
      <w:pPr>
        <w:spacing w:after="0" w:line="240" w:lineRule="auto"/>
        <w:rPr>
          <w:sz w:val="24"/>
          <w:szCs w:val="24"/>
        </w:rPr>
      </w:pPr>
      <w:r w:rsidRPr="002E19F8">
        <w:rPr>
          <w:b/>
          <w:sz w:val="24"/>
          <w:szCs w:val="24"/>
        </w:rPr>
        <w:t>Footnotes</w:t>
      </w:r>
      <w:r w:rsidR="26F8C054" w:rsidRPr="002E19F8">
        <w:rPr>
          <w:b/>
          <w:bCs/>
          <w:sz w:val="24"/>
          <w:szCs w:val="24"/>
        </w:rPr>
        <w:t xml:space="preserve"> for Slide 16</w:t>
      </w:r>
      <w:r w:rsidRPr="002E19F8">
        <w:rPr>
          <w:sz w:val="24"/>
          <w:szCs w:val="24"/>
        </w:rPr>
        <w:t xml:space="preserve"> </w:t>
      </w:r>
    </w:p>
    <w:p w14:paraId="243D0DE2" w14:textId="77777777" w:rsidR="00577C85" w:rsidRPr="00577C85" w:rsidRDefault="00577C85" w:rsidP="00577C85">
      <w:pPr>
        <w:spacing w:after="0" w:line="240" w:lineRule="auto"/>
        <w:rPr>
          <w:sz w:val="24"/>
          <w:szCs w:val="24"/>
        </w:rPr>
      </w:pPr>
      <w:r w:rsidRPr="00577C85">
        <w:rPr>
          <w:sz w:val="24"/>
          <w:szCs w:val="24"/>
        </w:rPr>
        <w:t>Data are current as of 07/17/2024 and are subject to change. </w:t>
      </w:r>
    </w:p>
    <w:p w14:paraId="554A5E6F" w14:textId="5EDF4CD3" w:rsidR="00577C85" w:rsidRPr="00577C85" w:rsidRDefault="00577C85" w:rsidP="00577C85">
      <w:pPr>
        <w:spacing w:after="0" w:line="240" w:lineRule="auto"/>
        <w:rPr>
          <w:sz w:val="24"/>
          <w:szCs w:val="24"/>
        </w:rPr>
      </w:pPr>
      <w:r w:rsidRPr="00577C85">
        <w:rPr>
          <w:sz w:val="24"/>
          <w:szCs w:val="24"/>
        </w:rPr>
        <w:t>Data Source: Massachusetts Department of Public Health/Bureau of Infectious Disease and Laboratory Sciences/Division of STD Prevention and STD-HIV Surveillance.</w:t>
      </w:r>
    </w:p>
    <w:p w14:paraId="21159F2B" w14:textId="77777777" w:rsidR="00577C85" w:rsidRPr="00577C85" w:rsidRDefault="00577C85" w:rsidP="00577C85">
      <w:pPr>
        <w:spacing w:after="0" w:line="240" w:lineRule="auto"/>
        <w:rPr>
          <w:sz w:val="24"/>
          <w:szCs w:val="24"/>
        </w:rPr>
      </w:pPr>
      <w:r w:rsidRPr="00577C85">
        <w:rPr>
          <w:sz w:val="24"/>
          <w:szCs w:val="24"/>
        </w:rPr>
        <w:t>1. Infectious syphilis is defined as primary, secondary and early latent stages of syphilis within one year of infection.</w:t>
      </w:r>
    </w:p>
    <w:p w14:paraId="5587FC1A" w14:textId="77777777" w:rsidR="00577C85" w:rsidRPr="00577C85" w:rsidRDefault="00577C85" w:rsidP="00577C85">
      <w:pPr>
        <w:spacing w:after="0" w:line="240" w:lineRule="auto"/>
        <w:rPr>
          <w:sz w:val="24"/>
          <w:szCs w:val="24"/>
        </w:rPr>
      </w:pPr>
      <w:r w:rsidRPr="00577C85">
        <w:rPr>
          <w:sz w:val="24"/>
          <w:szCs w:val="24"/>
        </w:rPr>
        <w:t>2. All individuals of transgender experience are included in this graph regardless of current gender. </w:t>
      </w:r>
    </w:p>
    <w:p w14:paraId="5CDF5639" w14:textId="77777777" w:rsidR="00577C85" w:rsidRPr="00577C85" w:rsidRDefault="00577C85" w:rsidP="00577C85">
      <w:pPr>
        <w:spacing w:after="0" w:line="240" w:lineRule="auto"/>
        <w:rPr>
          <w:sz w:val="24"/>
          <w:szCs w:val="24"/>
        </w:rPr>
      </w:pPr>
      <w:r w:rsidRPr="00577C85">
        <w:rPr>
          <w:sz w:val="24"/>
          <w:szCs w:val="24"/>
        </w:rPr>
        <w:t>3. Please consider the impact of the COVID-19 pandemic on infectious disease screening, treatment and surveillance in the interpretation of 2020-2023 data.</w:t>
      </w:r>
    </w:p>
    <w:p w14:paraId="7EFBAE4E" w14:textId="77777777" w:rsidR="00577C85" w:rsidRPr="00577C85" w:rsidRDefault="00577C85" w:rsidP="00577C85">
      <w:pPr>
        <w:spacing w:after="0" w:line="240" w:lineRule="auto"/>
        <w:rPr>
          <w:sz w:val="24"/>
          <w:szCs w:val="24"/>
        </w:rPr>
      </w:pPr>
      <w:r w:rsidRPr="00577C85">
        <w:rPr>
          <w:sz w:val="24"/>
          <w:szCs w:val="24"/>
        </w:rPr>
        <w:t>4. In 2022, a retrospective verification project was conducted to improve data quality in capturing current gender information.</w:t>
      </w:r>
    </w:p>
    <w:p w14:paraId="3C69D6F3" w14:textId="77777777" w:rsidR="000078F5" w:rsidRPr="002E19F8" w:rsidRDefault="000078F5" w:rsidP="00EC6FB0">
      <w:pPr>
        <w:spacing w:after="0" w:line="240" w:lineRule="auto"/>
        <w:rPr>
          <w:sz w:val="24"/>
          <w:szCs w:val="24"/>
        </w:rPr>
      </w:pPr>
    </w:p>
    <w:p w14:paraId="0CC2F747" w14:textId="13A99793" w:rsidR="52C804C8" w:rsidRPr="002E19F8" w:rsidRDefault="52C804C8" w:rsidP="52C804C8">
      <w:pPr>
        <w:spacing w:after="0" w:line="240" w:lineRule="auto"/>
        <w:rPr>
          <w:sz w:val="24"/>
          <w:szCs w:val="24"/>
        </w:rPr>
      </w:pPr>
    </w:p>
    <w:p w14:paraId="60C0CA0F" w14:textId="25BAE9C6" w:rsidR="52C804C8" w:rsidRPr="002E19F8" w:rsidRDefault="52C804C8" w:rsidP="52C804C8">
      <w:pPr>
        <w:spacing w:after="0" w:line="240" w:lineRule="auto"/>
        <w:rPr>
          <w:sz w:val="24"/>
          <w:szCs w:val="24"/>
        </w:rPr>
      </w:pPr>
    </w:p>
    <w:p w14:paraId="47E3B814" w14:textId="11FD43A8" w:rsidR="52C804C8" w:rsidRPr="002E19F8" w:rsidRDefault="52C804C8" w:rsidP="52C804C8">
      <w:pPr>
        <w:spacing w:after="0" w:line="240" w:lineRule="auto"/>
        <w:rPr>
          <w:sz w:val="24"/>
          <w:szCs w:val="24"/>
        </w:rPr>
      </w:pPr>
    </w:p>
    <w:p w14:paraId="71F9CA74" w14:textId="59CD3DF6" w:rsidR="52C804C8" w:rsidRPr="002E19F8" w:rsidRDefault="52C804C8" w:rsidP="52C804C8">
      <w:pPr>
        <w:spacing w:after="0" w:line="240" w:lineRule="auto"/>
        <w:rPr>
          <w:sz w:val="24"/>
          <w:szCs w:val="24"/>
        </w:rPr>
      </w:pPr>
    </w:p>
    <w:p w14:paraId="0FB1998D" w14:textId="433FA8F8" w:rsidR="52C804C8" w:rsidRPr="002E19F8" w:rsidRDefault="52C804C8" w:rsidP="52C804C8">
      <w:pPr>
        <w:spacing w:after="0" w:line="240" w:lineRule="auto"/>
        <w:rPr>
          <w:sz w:val="24"/>
          <w:szCs w:val="24"/>
        </w:rPr>
      </w:pPr>
    </w:p>
    <w:p w14:paraId="32F281AE" w14:textId="2AF4D395" w:rsidR="000078F5" w:rsidRPr="002E19F8" w:rsidRDefault="000078F5" w:rsidP="003F6E82">
      <w:pPr>
        <w:pStyle w:val="Heading2"/>
      </w:pPr>
      <w:bookmarkStart w:id="19" w:name="_Toc184132229"/>
      <w:r w:rsidRPr="002E19F8">
        <w:t>Slide 17: Confirmed and Probable Infectious Syphilis</w:t>
      </w:r>
      <w:r w:rsidRPr="002E19F8">
        <w:rPr>
          <w:vertAlign w:val="superscript"/>
        </w:rPr>
        <w:t>1</w:t>
      </w:r>
      <w:r w:rsidRPr="002E19F8">
        <w:t xml:space="preserve"> Rates by County and Statewide,</w:t>
      </w:r>
      <w:r w:rsidRPr="002E19F8">
        <w:rPr>
          <w:vertAlign w:val="superscript"/>
        </w:rPr>
        <w:t xml:space="preserve"> </w:t>
      </w:r>
      <w:r w:rsidRPr="002E19F8">
        <w:t>Massachusetts, 2020-202</w:t>
      </w:r>
      <w:r w:rsidR="00577C85">
        <w:t>3</w:t>
      </w:r>
      <w:r w:rsidRPr="002E19F8">
        <w:rPr>
          <w:vertAlign w:val="superscript"/>
        </w:rPr>
        <w:t>2</w:t>
      </w:r>
      <w:bookmarkEnd w:id="19"/>
    </w:p>
    <w:p w14:paraId="075B8E07" w14:textId="0AA2D7E0" w:rsidR="000078F5" w:rsidRPr="002E19F8" w:rsidRDefault="007B0A2C" w:rsidP="00EC6FB0">
      <w:pPr>
        <w:spacing w:after="0" w:line="240" w:lineRule="auto"/>
        <w:rPr>
          <w:sz w:val="24"/>
          <w:szCs w:val="24"/>
        </w:rPr>
      </w:pPr>
      <w:r>
        <w:rPr>
          <w:noProof/>
          <w:sz w:val="24"/>
          <w:szCs w:val="24"/>
        </w:rPr>
        <w:drawing>
          <wp:inline distT="0" distB="0" distL="0" distR="0" wp14:anchorId="0BAB9799" wp14:editId="365821CA">
            <wp:extent cx="5939155" cy="2177415"/>
            <wp:effectExtent l="0" t="0" r="4445" b="0"/>
            <wp:docPr id="1645803297" name="Picture 1645803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03297" name="Picture 164580329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2177415"/>
                    </a:xfrm>
                    <a:prstGeom prst="rect">
                      <a:avLst/>
                    </a:prstGeom>
                    <a:noFill/>
                    <a:ln>
                      <a:noFill/>
                    </a:ln>
                  </pic:spPr>
                </pic:pic>
              </a:graphicData>
            </a:graphic>
          </wp:inline>
        </w:drawing>
      </w:r>
    </w:p>
    <w:p w14:paraId="506E6EB5" w14:textId="02D130CE" w:rsidR="00950F1B" w:rsidRPr="002E19F8" w:rsidRDefault="7282F254" w:rsidP="52C804C8">
      <w:pPr>
        <w:spacing w:before="120" w:after="0" w:line="240" w:lineRule="auto"/>
        <w:rPr>
          <w:b/>
          <w:sz w:val="24"/>
          <w:szCs w:val="24"/>
          <w:vertAlign w:val="superscript"/>
        </w:rPr>
      </w:pPr>
      <w:r w:rsidRPr="002E19F8">
        <w:rPr>
          <w:b/>
          <w:bCs/>
          <w:sz w:val="24"/>
          <w:szCs w:val="24"/>
        </w:rPr>
        <w:t>Table: Confirmed and Probable Infectious Syphilis Rates by County and Statewide</w:t>
      </w:r>
    </w:p>
    <w:tbl>
      <w:tblPr>
        <w:tblW w:w="5226" w:type="dxa"/>
        <w:tblLook w:val="0420" w:firstRow="1" w:lastRow="0" w:firstColumn="0" w:lastColumn="0" w:noHBand="0" w:noVBand="1"/>
      </w:tblPr>
      <w:tblGrid>
        <w:gridCol w:w="2160"/>
        <w:gridCol w:w="1008"/>
        <w:gridCol w:w="1008"/>
        <w:gridCol w:w="1050"/>
      </w:tblGrid>
      <w:tr w:rsidR="00FF51F7" w:rsidRPr="002E19F8" w14:paraId="23AA5A78" w14:textId="645603B8" w:rsidTr="6AFD1A91">
        <w:trPr>
          <w:trHeight w:val="302"/>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D6D36" w14:textId="77777777" w:rsidR="00FF51F7" w:rsidRPr="002E19F8" w:rsidRDefault="00FF51F7" w:rsidP="00950F1B">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County</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52A37EFE" w14:textId="53DB092D" w:rsidR="00FF51F7" w:rsidRPr="002E19F8" w:rsidRDefault="00FF51F7" w:rsidP="00950F1B">
            <w:pPr>
              <w:spacing w:after="0" w:line="240" w:lineRule="auto"/>
              <w:jc w:val="right"/>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202</w:t>
            </w:r>
            <w:r>
              <w:rPr>
                <w:rFonts w:ascii="Calibri" w:eastAsia="Times New Roman" w:hAnsi="Calibri" w:cs="Calibri"/>
                <w:b/>
                <w:color w:val="000000"/>
                <w:kern w:val="0"/>
                <w:sz w:val="24"/>
                <w:szCs w:val="24"/>
                <w14:ligatures w14:val="none"/>
              </w:rPr>
              <w:t>1</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654BAFF6" w14:textId="77777777" w:rsidR="00FF51F7" w:rsidRPr="002E19F8" w:rsidRDefault="00FF51F7" w:rsidP="00950F1B">
            <w:pPr>
              <w:spacing w:after="0" w:line="240" w:lineRule="auto"/>
              <w:jc w:val="right"/>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2022</w:t>
            </w:r>
          </w:p>
        </w:tc>
        <w:tc>
          <w:tcPr>
            <w:tcW w:w="1050" w:type="dxa"/>
            <w:tcBorders>
              <w:top w:val="single" w:sz="4" w:space="0" w:color="auto"/>
              <w:left w:val="nil"/>
              <w:bottom w:val="single" w:sz="4" w:space="0" w:color="auto"/>
              <w:right w:val="single" w:sz="4" w:space="0" w:color="auto"/>
            </w:tcBorders>
          </w:tcPr>
          <w:p w14:paraId="52D9A912" w14:textId="1D0451FA" w:rsidR="00FF51F7" w:rsidRPr="002E19F8" w:rsidRDefault="00FF51F7" w:rsidP="00950F1B">
            <w:pPr>
              <w:spacing w:after="0" w:line="240" w:lineRule="auto"/>
              <w:jc w:val="right"/>
              <w:rPr>
                <w:rFonts w:ascii="Calibri" w:eastAsia="Times New Roman" w:hAnsi="Calibri" w:cs="Calibri"/>
                <w:b/>
                <w:color w:val="000000"/>
                <w:kern w:val="0"/>
                <w:sz w:val="24"/>
                <w:szCs w:val="24"/>
                <w14:ligatures w14:val="none"/>
              </w:rPr>
            </w:pPr>
            <w:r>
              <w:rPr>
                <w:rFonts w:ascii="Calibri" w:eastAsia="Times New Roman" w:hAnsi="Calibri" w:cs="Calibri"/>
                <w:b/>
                <w:color w:val="000000"/>
                <w:kern w:val="0"/>
                <w:sz w:val="24"/>
                <w:szCs w:val="24"/>
                <w14:ligatures w14:val="none"/>
              </w:rPr>
              <w:t>2023</w:t>
            </w:r>
          </w:p>
        </w:tc>
      </w:tr>
      <w:tr w:rsidR="00FF51F7" w:rsidRPr="002E19F8" w14:paraId="39ACC61D" w14:textId="0E4ADB34"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95D68DC"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Barnstable</w:t>
            </w:r>
          </w:p>
        </w:tc>
        <w:tc>
          <w:tcPr>
            <w:tcW w:w="1008" w:type="dxa"/>
            <w:tcBorders>
              <w:top w:val="nil"/>
              <w:left w:val="nil"/>
              <w:bottom w:val="single" w:sz="4" w:space="0" w:color="auto"/>
              <w:right w:val="single" w:sz="4" w:space="0" w:color="auto"/>
            </w:tcBorders>
            <w:shd w:val="clear" w:color="auto" w:fill="auto"/>
            <w:hideMark/>
          </w:tcPr>
          <w:p w14:paraId="738FF89C" w14:textId="6DFF1C41"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12.2</w:t>
            </w:r>
          </w:p>
        </w:tc>
        <w:tc>
          <w:tcPr>
            <w:tcW w:w="1008" w:type="dxa"/>
            <w:tcBorders>
              <w:top w:val="nil"/>
              <w:left w:val="nil"/>
              <w:bottom w:val="single" w:sz="4" w:space="0" w:color="auto"/>
              <w:right w:val="single" w:sz="4" w:space="0" w:color="auto"/>
            </w:tcBorders>
            <w:shd w:val="clear" w:color="auto" w:fill="auto"/>
            <w:vAlign w:val="bottom"/>
            <w:hideMark/>
          </w:tcPr>
          <w:p w14:paraId="7DE215DC" w14:textId="6CFA2B5F"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24.9</w:t>
            </w:r>
          </w:p>
        </w:tc>
        <w:tc>
          <w:tcPr>
            <w:tcW w:w="1050" w:type="dxa"/>
            <w:tcBorders>
              <w:top w:val="nil"/>
              <w:left w:val="nil"/>
              <w:bottom w:val="single" w:sz="4" w:space="0" w:color="auto"/>
              <w:right w:val="single" w:sz="4" w:space="0" w:color="auto"/>
            </w:tcBorders>
          </w:tcPr>
          <w:p w14:paraId="11905027" w14:textId="2C0C73D4"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12.7</w:t>
            </w:r>
          </w:p>
        </w:tc>
      </w:tr>
      <w:tr w:rsidR="00FF51F7" w:rsidRPr="002E19F8" w14:paraId="6F8CC940" w14:textId="67FD3AA3"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4392AA4"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Berkshire</w:t>
            </w:r>
          </w:p>
        </w:tc>
        <w:tc>
          <w:tcPr>
            <w:tcW w:w="1008" w:type="dxa"/>
            <w:tcBorders>
              <w:top w:val="nil"/>
              <w:left w:val="nil"/>
              <w:bottom w:val="single" w:sz="4" w:space="0" w:color="auto"/>
              <w:right w:val="single" w:sz="4" w:space="0" w:color="auto"/>
            </w:tcBorders>
            <w:shd w:val="clear" w:color="auto" w:fill="auto"/>
            <w:hideMark/>
          </w:tcPr>
          <w:p w14:paraId="08F14859" w14:textId="3908EBD1"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3.1</w:t>
            </w:r>
          </w:p>
        </w:tc>
        <w:tc>
          <w:tcPr>
            <w:tcW w:w="1008" w:type="dxa"/>
            <w:tcBorders>
              <w:top w:val="nil"/>
              <w:left w:val="nil"/>
              <w:bottom w:val="single" w:sz="4" w:space="0" w:color="auto"/>
              <w:right w:val="single" w:sz="4" w:space="0" w:color="auto"/>
            </w:tcBorders>
            <w:shd w:val="clear" w:color="auto" w:fill="auto"/>
            <w:vAlign w:val="bottom"/>
            <w:hideMark/>
          </w:tcPr>
          <w:p w14:paraId="0534C583" w14:textId="36A26D45"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11.6</w:t>
            </w:r>
          </w:p>
        </w:tc>
        <w:tc>
          <w:tcPr>
            <w:tcW w:w="1050" w:type="dxa"/>
            <w:tcBorders>
              <w:top w:val="nil"/>
              <w:left w:val="nil"/>
              <w:bottom w:val="single" w:sz="4" w:space="0" w:color="auto"/>
              <w:right w:val="single" w:sz="4" w:space="0" w:color="auto"/>
            </w:tcBorders>
          </w:tcPr>
          <w:p w14:paraId="6E84E11A" w14:textId="640AE8C5"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10.1</w:t>
            </w:r>
          </w:p>
        </w:tc>
      </w:tr>
      <w:tr w:rsidR="00FF51F7" w:rsidRPr="002E19F8" w14:paraId="7F00FFBE" w14:textId="56D2895A"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7119EA1"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Bristol</w:t>
            </w:r>
          </w:p>
        </w:tc>
        <w:tc>
          <w:tcPr>
            <w:tcW w:w="1008" w:type="dxa"/>
            <w:tcBorders>
              <w:top w:val="nil"/>
              <w:left w:val="nil"/>
              <w:bottom w:val="single" w:sz="4" w:space="0" w:color="auto"/>
              <w:right w:val="single" w:sz="4" w:space="0" w:color="auto"/>
            </w:tcBorders>
            <w:shd w:val="clear" w:color="auto" w:fill="auto"/>
            <w:hideMark/>
          </w:tcPr>
          <w:p w14:paraId="781D88A8" w14:textId="6E8C71AA"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22.1</w:t>
            </w:r>
          </w:p>
        </w:tc>
        <w:tc>
          <w:tcPr>
            <w:tcW w:w="1008" w:type="dxa"/>
            <w:tcBorders>
              <w:top w:val="nil"/>
              <w:left w:val="nil"/>
              <w:bottom w:val="single" w:sz="4" w:space="0" w:color="auto"/>
              <w:right w:val="single" w:sz="4" w:space="0" w:color="auto"/>
            </w:tcBorders>
            <w:shd w:val="clear" w:color="auto" w:fill="auto"/>
            <w:vAlign w:val="bottom"/>
            <w:hideMark/>
          </w:tcPr>
          <w:p w14:paraId="388B01E0" w14:textId="11B5954D"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14.2</w:t>
            </w:r>
          </w:p>
        </w:tc>
        <w:tc>
          <w:tcPr>
            <w:tcW w:w="1050" w:type="dxa"/>
            <w:tcBorders>
              <w:top w:val="nil"/>
              <w:left w:val="nil"/>
              <w:bottom w:val="single" w:sz="4" w:space="0" w:color="auto"/>
              <w:right w:val="single" w:sz="4" w:space="0" w:color="auto"/>
            </w:tcBorders>
          </w:tcPr>
          <w:p w14:paraId="4D5227EC" w14:textId="146C7628"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12.8</w:t>
            </w:r>
          </w:p>
        </w:tc>
      </w:tr>
      <w:tr w:rsidR="00FF51F7" w:rsidRPr="002E19F8" w14:paraId="2C7065B1" w14:textId="50969B1A"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4601B1A"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Dukes/Nantucket</w:t>
            </w:r>
          </w:p>
        </w:tc>
        <w:tc>
          <w:tcPr>
            <w:tcW w:w="1008" w:type="dxa"/>
            <w:tcBorders>
              <w:top w:val="nil"/>
              <w:left w:val="nil"/>
              <w:bottom w:val="single" w:sz="4" w:space="0" w:color="auto"/>
              <w:right w:val="single" w:sz="4" w:space="0" w:color="auto"/>
            </w:tcBorders>
            <w:shd w:val="clear" w:color="auto" w:fill="auto"/>
            <w:hideMark/>
          </w:tcPr>
          <w:p w14:paraId="72D86A7A" w14:textId="5F110CC4"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5.7</w:t>
            </w:r>
          </w:p>
        </w:tc>
        <w:tc>
          <w:tcPr>
            <w:tcW w:w="1008" w:type="dxa"/>
            <w:tcBorders>
              <w:top w:val="nil"/>
              <w:left w:val="nil"/>
              <w:bottom w:val="single" w:sz="4" w:space="0" w:color="auto"/>
              <w:right w:val="single" w:sz="4" w:space="0" w:color="auto"/>
            </w:tcBorders>
            <w:shd w:val="clear" w:color="auto" w:fill="auto"/>
            <w:vAlign w:val="bottom"/>
            <w:hideMark/>
          </w:tcPr>
          <w:p w14:paraId="4CFB9CD9" w14:textId="44348FC6"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11.5</w:t>
            </w:r>
          </w:p>
        </w:tc>
        <w:tc>
          <w:tcPr>
            <w:tcW w:w="1050" w:type="dxa"/>
            <w:tcBorders>
              <w:top w:val="nil"/>
              <w:left w:val="nil"/>
              <w:bottom w:val="single" w:sz="4" w:space="0" w:color="auto"/>
              <w:right w:val="single" w:sz="4" w:space="0" w:color="auto"/>
            </w:tcBorders>
          </w:tcPr>
          <w:p w14:paraId="1F003030" w14:textId="0B5D24E8"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20.1</w:t>
            </w:r>
          </w:p>
        </w:tc>
      </w:tr>
      <w:tr w:rsidR="00FF51F7" w:rsidRPr="002E19F8" w14:paraId="3FA02230" w14:textId="0C245F45"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EFA1183"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Essex</w:t>
            </w:r>
          </w:p>
        </w:tc>
        <w:tc>
          <w:tcPr>
            <w:tcW w:w="1008" w:type="dxa"/>
            <w:tcBorders>
              <w:top w:val="nil"/>
              <w:left w:val="nil"/>
              <w:bottom w:val="single" w:sz="4" w:space="0" w:color="auto"/>
              <w:right w:val="single" w:sz="4" w:space="0" w:color="auto"/>
            </w:tcBorders>
            <w:shd w:val="clear" w:color="auto" w:fill="auto"/>
            <w:hideMark/>
          </w:tcPr>
          <w:p w14:paraId="6CBD4DC8" w14:textId="2535B00D"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13.2</w:t>
            </w:r>
          </w:p>
        </w:tc>
        <w:tc>
          <w:tcPr>
            <w:tcW w:w="1008" w:type="dxa"/>
            <w:tcBorders>
              <w:top w:val="nil"/>
              <w:left w:val="nil"/>
              <w:bottom w:val="single" w:sz="4" w:space="0" w:color="auto"/>
              <w:right w:val="single" w:sz="4" w:space="0" w:color="auto"/>
            </w:tcBorders>
            <w:shd w:val="clear" w:color="auto" w:fill="auto"/>
            <w:vAlign w:val="bottom"/>
            <w:hideMark/>
          </w:tcPr>
          <w:p w14:paraId="68C1868D" w14:textId="7EA9FE89"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17.9</w:t>
            </w:r>
          </w:p>
        </w:tc>
        <w:tc>
          <w:tcPr>
            <w:tcW w:w="1050" w:type="dxa"/>
            <w:tcBorders>
              <w:top w:val="nil"/>
              <w:left w:val="nil"/>
              <w:bottom w:val="single" w:sz="4" w:space="0" w:color="auto"/>
              <w:right w:val="single" w:sz="4" w:space="0" w:color="auto"/>
            </w:tcBorders>
          </w:tcPr>
          <w:p w14:paraId="601F5401" w14:textId="31AA18A2"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18.8</w:t>
            </w:r>
          </w:p>
        </w:tc>
      </w:tr>
      <w:tr w:rsidR="00FF51F7" w:rsidRPr="002E19F8" w14:paraId="357254F5" w14:textId="35C9B2DB"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D4C67D2"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Franklin</w:t>
            </w:r>
          </w:p>
        </w:tc>
        <w:tc>
          <w:tcPr>
            <w:tcW w:w="1008" w:type="dxa"/>
            <w:tcBorders>
              <w:top w:val="nil"/>
              <w:left w:val="nil"/>
              <w:bottom w:val="single" w:sz="4" w:space="0" w:color="auto"/>
              <w:right w:val="single" w:sz="4" w:space="0" w:color="auto"/>
            </w:tcBorders>
            <w:shd w:val="clear" w:color="auto" w:fill="auto"/>
            <w:hideMark/>
          </w:tcPr>
          <w:p w14:paraId="206DC249" w14:textId="66C6C614"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2.8</w:t>
            </w:r>
          </w:p>
        </w:tc>
        <w:tc>
          <w:tcPr>
            <w:tcW w:w="1008" w:type="dxa"/>
            <w:tcBorders>
              <w:top w:val="nil"/>
              <w:left w:val="nil"/>
              <w:bottom w:val="single" w:sz="4" w:space="0" w:color="auto"/>
              <w:right w:val="single" w:sz="4" w:space="0" w:color="auto"/>
            </w:tcBorders>
            <w:shd w:val="clear" w:color="auto" w:fill="auto"/>
            <w:vAlign w:val="bottom"/>
            <w:hideMark/>
          </w:tcPr>
          <w:p w14:paraId="6F80F4AF" w14:textId="2F92652D"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9.9</w:t>
            </w:r>
          </w:p>
        </w:tc>
        <w:tc>
          <w:tcPr>
            <w:tcW w:w="1050" w:type="dxa"/>
            <w:tcBorders>
              <w:top w:val="nil"/>
              <w:left w:val="nil"/>
              <w:bottom w:val="single" w:sz="4" w:space="0" w:color="auto"/>
              <w:right w:val="single" w:sz="4" w:space="0" w:color="auto"/>
            </w:tcBorders>
          </w:tcPr>
          <w:p w14:paraId="0510EF20" w14:textId="03C823FA"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5.6</w:t>
            </w:r>
          </w:p>
        </w:tc>
      </w:tr>
      <w:tr w:rsidR="00FF51F7" w:rsidRPr="002E19F8" w14:paraId="35AE13DB" w14:textId="1E43D281"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E320913"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Hampden</w:t>
            </w:r>
          </w:p>
        </w:tc>
        <w:tc>
          <w:tcPr>
            <w:tcW w:w="1008" w:type="dxa"/>
            <w:tcBorders>
              <w:top w:val="nil"/>
              <w:left w:val="nil"/>
              <w:bottom w:val="single" w:sz="4" w:space="0" w:color="auto"/>
              <w:right w:val="single" w:sz="4" w:space="0" w:color="auto"/>
            </w:tcBorders>
            <w:shd w:val="clear" w:color="auto" w:fill="auto"/>
            <w:hideMark/>
          </w:tcPr>
          <w:p w14:paraId="6184700F" w14:textId="03318C05"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21.7</w:t>
            </w:r>
          </w:p>
        </w:tc>
        <w:tc>
          <w:tcPr>
            <w:tcW w:w="1008" w:type="dxa"/>
            <w:tcBorders>
              <w:top w:val="nil"/>
              <w:left w:val="nil"/>
              <w:bottom w:val="single" w:sz="4" w:space="0" w:color="auto"/>
              <w:right w:val="single" w:sz="4" w:space="0" w:color="auto"/>
            </w:tcBorders>
            <w:shd w:val="clear" w:color="auto" w:fill="auto"/>
            <w:vAlign w:val="bottom"/>
            <w:hideMark/>
          </w:tcPr>
          <w:p w14:paraId="7112E34B" w14:textId="18D28A5C"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32.4</w:t>
            </w:r>
          </w:p>
        </w:tc>
        <w:tc>
          <w:tcPr>
            <w:tcW w:w="1050" w:type="dxa"/>
            <w:tcBorders>
              <w:top w:val="nil"/>
              <w:left w:val="nil"/>
              <w:bottom w:val="single" w:sz="4" w:space="0" w:color="auto"/>
              <w:right w:val="single" w:sz="4" w:space="0" w:color="auto"/>
            </w:tcBorders>
          </w:tcPr>
          <w:p w14:paraId="2FD136FB" w14:textId="29761873"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37.6</w:t>
            </w:r>
          </w:p>
        </w:tc>
      </w:tr>
      <w:tr w:rsidR="00FF51F7" w:rsidRPr="002E19F8" w14:paraId="6C4980D8" w14:textId="6F4F0CDD"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23C8FFF"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Hampshire</w:t>
            </w:r>
          </w:p>
        </w:tc>
        <w:tc>
          <w:tcPr>
            <w:tcW w:w="1008" w:type="dxa"/>
            <w:tcBorders>
              <w:top w:val="nil"/>
              <w:left w:val="nil"/>
              <w:bottom w:val="single" w:sz="4" w:space="0" w:color="auto"/>
              <w:right w:val="single" w:sz="4" w:space="0" w:color="auto"/>
            </w:tcBorders>
            <w:shd w:val="clear" w:color="auto" w:fill="auto"/>
            <w:hideMark/>
          </w:tcPr>
          <w:p w14:paraId="6712FFE9" w14:textId="52D106B8"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2.5</w:t>
            </w:r>
          </w:p>
        </w:tc>
        <w:tc>
          <w:tcPr>
            <w:tcW w:w="1008" w:type="dxa"/>
            <w:tcBorders>
              <w:top w:val="nil"/>
              <w:left w:val="nil"/>
              <w:bottom w:val="single" w:sz="4" w:space="0" w:color="auto"/>
              <w:right w:val="single" w:sz="4" w:space="0" w:color="auto"/>
            </w:tcBorders>
            <w:shd w:val="clear" w:color="auto" w:fill="auto"/>
            <w:vAlign w:val="bottom"/>
            <w:hideMark/>
          </w:tcPr>
          <w:p w14:paraId="05B172B9" w14:textId="15C1C865"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4.3</w:t>
            </w:r>
          </w:p>
        </w:tc>
        <w:tc>
          <w:tcPr>
            <w:tcW w:w="1050" w:type="dxa"/>
            <w:tcBorders>
              <w:top w:val="nil"/>
              <w:left w:val="nil"/>
              <w:bottom w:val="single" w:sz="4" w:space="0" w:color="auto"/>
              <w:right w:val="single" w:sz="4" w:space="0" w:color="auto"/>
            </w:tcBorders>
          </w:tcPr>
          <w:p w14:paraId="37AA14AC" w14:textId="41B4E0C3"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8.0</w:t>
            </w:r>
          </w:p>
        </w:tc>
      </w:tr>
      <w:tr w:rsidR="00FF51F7" w:rsidRPr="002E19F8" w14:paraId="1032FBF1" w14:textId="3E05165B"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AE0C5F2"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Middlesex</w:t>
            </w:r>
          </w:p>
        </w:tc>
        <w:tc>
          <w:tcPr>
            <w:tcW w:w="1008" w:type="dxa"/>
            <w:tcBorders>
              <w:top w:val="nil"/>
              <w:left w:val="nil"/>
              <w:bottom w:val="single" w:sz="4" w:space="0" w:color="auto"/>
              <w:right w:val="single" w:sz="4" w:space="0" w:color="auto"/>
            </w:tcBorders>
            <w:shd w:val="clear" w:color="auto" w:fill="auto"/>
            <w:hideMark/>
          </w:tcPr>
          <w:p w14:paraId="411F623C" w14:textId="1D041CF2"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18.8</w:t>
            </w:r>
          </w:p>
        </w:tc>
        <w:tc>
          <w:tcPr>
            <w:tcW w:w="1008" w:type="dxa"/>
            <w:tcBorders>
              <w:top w:val="nil"/>
              <w:left w:val="nil"/>
              <w:bottom w:val="single" w:sz="4" w:space="0" w:color="auto"/>
              <w:right w:val="single" w:sz="4" w:space="0" w:color="auto"/>
            </w:tcBorders>
            <w:shd w:val="clear" w:color="auto" w:fill="auto"/>
            <w:vAlign w:val="bottom"/>
            <w:hideMark/>
          </w:tcPr>
          <w:p w14:paraId="239F9C36" w14:textId="6E4531F8"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20.5</w:t>
            </w:r>
          </w:p>
        </w:tc>
        <w:tc>
          <w:tcPr>
            <w:tcW w:w="1050" w:type="dxa"/>
            <w:tcBorders>
              <w:top w:val="nil"/>
              <w:left w:val="nil"/>
              <w:bottom w:val="single" w:sz="4" w:space="0" w:color="auto"/>
              <w:right w:val="single" w:sz="4" w:space="0" w:color="auto"/>
            </w:tcBorders>
          </w:tcPr>
          <w:p w14:paraId="02DAE7A2" w14:textId="2863D312"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19.2</w:t>
            </w:r>
          </w:p>
        </w:tc>
      </w:tr>
      <w:tr w:rsidR="00FF51F7" w:rsidRPr="002E19F8" w14:paraId="4DF95D0C" w14:textId="0D38AF47"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EF7FD8F"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Norfolk</w:t>
            </w:r>
          </w:p>
        </w:tc>
        <w:tc>
          <w:tcPr>
            <w:tcW w:w="1008" w:type="dxa"/>
            <w:tcBorders>
              <w:top w:val="nil"/>
              <w:left w:val="nil"/>
              <w:bottom w:val="single" w:sz="4" w:space="0" w:color="auto"/>
              <w:right w:val="single" w:sz="4" w:space="0" w:color="auto"/>
            </w:tcBorders>
            <w:shd w:val="clear" w:color="auto" w:fill="auto"/>
            <w:hideMark/>
          </w:tcPr>
          <w:p w14:paraId="67CFBCCA" w14:textId="6F57CE7B"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12.0</w:t>
            </w:r>
          </w:p>
        </w:tc>
        <w:tc>
          <w:tcPr>
            <w:tcW w:w="1008" w:type="dxa"/>
            <w:tcBorders>
              <w:top w:val="nil"/>
              <w:left w:val="nil"/>
              <w:bottom w:val="single" w:sz="4" w:space="0" w:color="auto"/>
              <w:right w:val="single" w:sz="4" w:space="0" w:color="auto"/>
            </w:tcBorders>
            <w:shd w:val="clear" w:color="auto" w:fill="auto"/>
            <w:vAlign w:val="bottom"/>
            <w:hideMark/>
          </w:tcPr>
          <w:p w14:paraId="488DAEE9" w14:textId="38A443B3"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15.2</w:t>
            </w:r>
          </w:p>
        </w:tc>
        <w:tc>
          <w:tcPr>
            <w:tcW w:w="1050" w:type="dxa"/>
            <w:tcBorders>
              <w:top w:val="nil"/>
              <w:left w:val="nil"/>
              <w:bottom w:val="single" w:sz="4" w:space="0" w:color="auto"/>
              <w:right w:val="single" w:sz="4" w:space="0" w:color="auto"/>
            </w:tcBorders>
          </w:tcPr>
          <w:p w14:paraId="4F413CA5" w14:textId="4EB260FC"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9.1</w:t>
            </w:r>
          </w:p>
        </w:tc>
      </w:tr>
      <w:tr w:rsidR="00FF51F7" w:rsidRPr="002E19F8" w14:paraId="11C7EC64" w14:textId="09652447"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273623C"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Plymouth</w:t>
            </w:r>
          </w:p>
        </w:tc>
        <w:tc>
          <w:tcPr>
            <w:tcW w:w="1008" w:type="dxa"/>
            <w:tcBorders>
              <w:top w:val="nil"/>
              <w:left w:val="nil"/>
              <w:bottom w:val="single" w:sz="4" w:space="0" w:color="auto"/>
              <w:right w:val="single" w:sz="4" w:space="0" w:color="auto"/>
            </w:tcBorders>
            <w:shd w:val="clear" w:color="auto" w:fill="auto"/>
            <w:hideMark/>
          </w:tcPr>
          <w:p w14:paraId="7CC94F04" w14:textId="1A04348E"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14.9</w:t>
            </w:r>
          </w:p>
        </w:tc>
        <w:tc>
          <w:tcPr>
            <w:tcW w:w="1008" w:type="dxa"/>
            <w:tcBorders>
              <w:top w:val="nil"/>
              <w:left w:val="nil"/>
              <w:bottom w:val="single" w:sz="4" w:space="0" w:color="auto"/>
              <w:right w:val="single" w:sz="4" w:space="0" w:color="auto"/>
            </w:tcBorders>
            <w:shd w:val="clear" w:color="auto" w:fill="auto"/>
            <w:vAlign w:val="bottom"/>
            <w:hideMark/>
          </w:tcPr>
          <w:p w14:paraId="4021E601" w14:textId="12B2BF00"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14.5</w:t>
            </w:r>
          </w:p>
        </w:tc>
        <w:tc>
          <w:tcPr>
            <w:tcW w:w="1050" w:type="dxa"/>
            <w:tcBorders>
              <w:top w:val="nil"/>
              <w:left w:val="nil"/>
              <w:bottom w:val="single" w:sz="4" w:space="0" w:color="auto"/>
              <w:right w:val="single" w:sz="4" w:space="0" w:color="auto"/>
            </w:tcBorders>
          </w:tcPr>
          <w:p w14:paraId="7E131B10" w14:textId="3EE065D1"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12.6</w:t>
            </w:r>
          </w:p>
        </w:tc>
      </w:tr>
      <w:tr w:rsidR="00FF51F7" w:rsidRPr="002E19F8" w14:paraId="300770CD" w14:textId="516A7E6B"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DC47B64"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Suffolk</w:t>
            </w:r>
          </w:p>
        </w:tc>
        <w:tc>
          <w:tcPr>
            <w:tcW w:w="1008" w:type="dxa"/>
            <w:tcBorders>
              <w:top w:val="nil"/>
              <w:left w:val="nil"/>
              <w:bottom w:val="single" w:sz="4" w:space="0" w:color="auto"/>
              <w:right w:val="single" w:sz="4" w:space="0" w:color="auto"/>
            </w:tcBorders>
            <w:shd w:val="clear" w:color="auto" w:fill="auto"/>
            <w:hideMark/>
          </w:tcPr>
          <w:p w14:paraId="5FBF187D" w14:textId="734B3053"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47.9</w:t>
            </w:r>
          </w:p>
        </w:tc>
        <w:tc>
          <w:tcPr>
            <w:tcW w:w="1008" w:type="dxa"/>
            <w:tcBorders>
              <w:top w:val="nil"/>
              <w:left w:val="nil"/>
              <w:bottom w:val="single" w:sz="4" w:space="0" w:color="auto"/>
              <w:right w:val="single" w:sz="4" w:space="0" w:color="auto"/>
            </w:tcBorders>
            <w:shd w:val="clear" w:color="auto" w:fill="auto"/>
            <w:vAlign w:val="bottom"/>
            <w:hideMark/>
          </w:tcPr>
          <w:p w14:paraId="5AB9CE0F" w14:textId="5144A497"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56.6</w:t>
            </w:r>
          </w:p>
        </w:tc>
        <w:tc>
          <w:tcPr>
            <w:tcW w:w="1050" w:type="dxa"/>
            <w:tcBorders>
              <w:top w:val="nil"/>
              <w:left w:val="nil"/>
              <w:bottom w:val="single" w:sz="4" w:space="0" w:color="auto"/>
              <w:right w:val="single" w:sz="4" w:space="0" w:color="auto"/>
            </w:tcBorders>
          </w:tcPr>
          <w:p w14:paraId="6974DE1F" w14:textId="65137AA3"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54.4</w:t>
            </w:r>
          </w:p>
        </w:tc>
      </w:tr>
      <w:tr w:rsidR="00FF51F7" w:rsidRPr="002E19F8" w14:paraId="6A0E174F" w14:textId="11AD19FF"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87F30A1"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Worcester</w:t>
            </w:r>
          </w:p>
        </w:tc>
        <w:tc>
          <w:tcPr>
            <w:tcW w:w="1008" w:type="dxa"/>
            <w:tcBorders>
              <w:top w:val="nil"/>
              <w:left w:val="nil"/>
              <w:bottom w:val="single" w:sz="4" w:space="0" w:color="auto"/>
              <w:right w:val="single" w:sz="4" w:space="0" w:color="auto"/>
            </w:tcBorders>
            <w:shd w:val="clear" w:color="auto" w:fill="auto"/>
            <w:hideMark/>
          </w:tcPr>
          <w:p w14:paraId="288F6CFA" w14:textId="1838E9E5"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13.9</w:t>
            </w:r>
          </w:p>
        </w:tc>
        <w:tc>
          <w:tcPr>
            <w:tcW w:w="1008" w:type="dxa"/>
            <w:tcBorders>
              <w:top w:val="nil"/>
              <w:left w:val="nil"/>
              <w:bottom w:val="single" w:sz="4" w:space="0" w:color="auto"/>
              <w:right w:val="single" w:sz="4" w:space="0" w:color="auto"/>
            </w:tcBorders>
            <w:shd w:val="clear" w:color="auto" w:fill="auto"/>
            <w:vAlign w:val="bottom"/>
            <w:hideMark/>
          </w:tcPr>
          <w:p w14:paraId="550AC9D9" w14:textId="6FE537C4"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15.5</w:t>
            </w:r>
          </w:p>
        </w:tc>
        <w:tc>
          <w:tcPr>
            <w:tcW w:w="1050" w:type="dxa"/>
            <w:tcBorders>
              <w:top w:val="nil"/>
              <w:left w:val="nil"/>
              <w:bottom w:val="single" w:sz="4" w:space="0" w:color="auto"/>
              <w:right w:val="single" w:sz="4" w:space="0" w:color="auto"/>
            </w:tcBorders>
          </w:tcPr>
          <w:p w14:paraId="00A60C0D" w14:textId="71FF4770"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11.7</w:t>
            </w:r>
          </w:p>
        </w:tc>
      </w:tr>
      <w:tr w:rsidR="00FF51F7" w:rsidRPr="002E19F8" w14:paraId="3763E431" w14:textId="7569A342" w:rsidTr="6AFD1A91">
        <w:trPr>
          <w:trHeight w:val="302"/>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9A116EE" w14:textId="77777777" w:rsidR="00FF51F7" w:rsidRPr="002E19F8" w:rsidRDefault="00FF51F7" w:rsidP="00BE0F6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Statewide</w:t>
            </w:r>
          </w:p>
        </w:tc>
        <w:tc>
          <w:tcPr>
            <w:tcW w:w="1008" w:type="dxa"/>
            <w:tcBorders>
              <w:top w:val="nil"/>
              <w:left w:val="nil"/>
              <w:bottom w:val="single" w:sz="4" w:space="0" w:color="auto"/>
              <w:right w:val="single" w:sz="4" w:space="0" w:color="auto"/>
            </w:tcBorders>
            <w:shd w:val="clear" w:color="auto" w:fill="auto"/>
            <w:noWrap/>
            <w:vAlign w:val="bottom"/>
            <w:hideMark/>
          </w:tcPr>
          <w:p w14:paraId="27B53CFE" w14:textId="64C81E97"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19.1</w:t>
            </w:r>
          </w:p>
        </w:tc>
        <w:tc>
          <w:tcPr>
            <w:tcW w:w="1008" w:type="dxa"/>
            <w:tcBorders>
              <w:top w:val="nil"/>
              <w:left w:val="nil"/>
              <w:bottom w:val="single" w:sz="4" w:space="0" w:color="auto"/>
              <w:right w:val="single" w:sz="4" w:space="0" w:color="auto"/>
            </w:tcBorders>
            <w:shd w:val="clear" w:color="auto" w:fill="auto"/>
            <w:noWrap/>
            <w:vAlign w:val="bottom"/>
            <w:hideMark/>
          </w:tcPr>
          <w:p w14:paraId="4E7DDAEE" w14:textId="7B260344"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22.5</w:t>
            </w:r>
          </w:p>
        </w:tc>
        <w:tc>
          <w:tcPr>
            <w:tcW w:w="1050" w:type="dxa"/>
            <w:tcBorders>
              <w:top w:val="nil"/>
              <w:left w:val="nil"/>
              <w:bottom w:val="single" w:sz="4" w:space="0" w:color="auto"/>
              <w:right w:val="single" w:sz="4" w:space="0" w:color="auto"/>
            </w:tcBorders>
          </w:tcPr>
          <w:p w14:paraId="27DA486E" w14:textId="00EE20A4" w:rsidR="6AFD1A91" w:rsidRDefault="6AFD1A91" w:rsidP="6AFD1A91">
            <w:pPr>
              <w:spacing w:after="0" w:line="240" w:lineRule="auto"/>
              <w:jc w:val="right"/>
              <w:rPr>
                <w:rFonts w:ascii="Calibri" w:eastAsia="Calibri" w:hAnsi="Calibri" w:cs="Calibri"/>
                <w:color w:val="000000" w:themeColor="text1"/>
                <w:sz w:val="24"/>
                <w:szCs w:val="24"/>
              </w:rPr>
            </w:pPr>
            <w:r w:rsidRPr="6AFD1A91">
              <w:rPr>
                <w:rFonts w:ascii="Calibri" w:eastAsia="Calibri" w:hAnsi="Calibri" w:cs="Calibri"/>
                <w:color w:val="000000" w:themeColor="text1"/>
                <w:sz w:val="24"/>
                <w:szCs w:val="24"/>
              </w:rPr>
              <w:t>20.6</w:t>
            </w:r>
          </w:p>
        </w:tc>
      </w:tr>
    </w:tbl>
    <w:p w14:paraId="219B3F4B" w14:textId="09436EDE" w:rsidR="52C804C8" w:rsidRDefault="000078F5" w:rsidP="52C804C8">
      <w:pPr>
        <w:spacing w:before="120" w:after="0" w:line="240" w:lineRule="auto"/>
        <w:rPr>
          <w:sz w:val="24"/>
          <w:szCs w:val="24"/>
        </w:rPr>
      </w:pPr>
      <w:r w:rsidRPr="002E19F8">
        <w:rPr>
          <w:b/>
          <w:sz w:val="24"/>
          <w:szCs w:val="24"/>
        </w:rPr>
        <w:t>Highlights:</w:t>
      </w:r>
      <w:r w:rsidRPr="002E19F8">
        <w:rPr>
          <w:sz w:val="24"/>
          <w:szCs w:val="24"/>
        </w:rPr>
        <w:t xml:space="preserve"> </w:t>
      </w:r>
      <w:r w:rsidR="00615DD0" w:rsidRPr="00615DD0">
        <w:rPr>
          <w:sz w:val="24"/>
          <w:szCs w:val="24"/>
        </w:rPr>
        <w:t>Graph depicts rate per 100,000 population of infectious syphilis cases reported in Massachusetts by county comparing 2021 through 2023. The rate is highest in Suffolk county with a rate of 56.6 in 2022 before falling to 54.4 in 2023, followed by Hampden county with a rate of 37.6 in 2023. The lowest rates were in Hampshire and Franklin county.</w:t>
      </w:r>
    </w:p>
    <w:p w14:paraId="489548E1" w14:textId="77777777" w:rsidR="00615DD0" w:rsidRPr="002E19F8" w:rsidRDefault="00615DD0" w:rsidP="52C804C8">
      <w:pPr>
        <w:spacing w:before="120" w:after="0" w:line="240" w:lineRule="auto"/>
        <w:rPr>
          <w:b/>
          <w:bCs/>
          <w:sz w:val="24"/>
          <w:szCs w:val="24"/>
        </w:rPr>
      </w:pPr>
    </w:p>
    <w:p w14:paraId="7E59C4C8" w14:textId="2B628BE5" w:rsidR="000078F5" w:rsidRPr="002E19F8" w:rsidRDefault="000078F5" w:rsidP="52C804C8">
      <w:pPr>
        <w:spacing w:after="0" w:line="240" w:lineRule="auto"/>
        <w:rPr>
          <w:b/>
          <w:bCs/>
          <w:sz w:val="24"/>
          <w:szCs w:val="24"/>
        </w:rPr>
      </w:pPr>
      <w:r w:rsidRPr="002E19F8">
        <w:rPr>
          <w:b/>
          <w:sz w:val="24"/>
          <w:szCs w:val="24"/>
        </w:rPr>
        <w:t>Footnotes</w:t>
      </w:r>
      <w:r w:rsidR="7A7F3A0A" w:rsidRPr="002E19F8">
        <w:rPr>
          <w:b/>
          <w:bCs/>
          <w:sz w:val="24"/>
          <w:szCs w:val="24"/>
        </w:rPr>
        <w:t xml:space="preserve"> for Slide 17</w:t>
      </w:r>
    </w:p>
    <w:p w14:paraId="34E83EFA" w14:textId="77777777" w:rsidR="00966968" w:rsidRPr="00966968" w:rsidRDefault="00966968" w:rsidP="00966968">
      <w:pPr>
        <w:spacing w:after="0" w:line="240" w:lineRule="auto"/>
        <w:rPr>
          <w:sz w:val="24"/>
          <w:szCs w:val="24"/>
        </w:rPr>
      </w:pPr>
      <w:r w:rsidRPr="00966968">
        <w:rPr>
          <w:sz w:val="24"/>
          <w:szCs w:val="24"/>
        </w:rPr>
        <w:t>Data are current as of 07/17/2024 and are subject to change. </w:t>
      </w:r>
    </w:p>
    <w:p w14:paraId="4CC4D7C8" w14:textId="77777777" w:rsidR="00966968" w:rsidRPr="00966968" w:rsidRDefault="00966968" w:rsidP="00966968">
      <w:pPr>
        <w:spacing w:after="0" w:line="240" w:lineRule="auto"/>
        <w:rPr>
          <w:sz w:val="24"/>
          <w:szCs w:val="24"/>
        </w:rPr>
      </w:pPr>
      <w:r w:rsidRPr="00966968">
        <w:rPr>
          <w:sz w:val="24"/>
          <w:szCs w:val="24"/>
        </w:rPr>
        <w:t>Data Source: Massachusetts Department of Public Health/Bureau of Infectious Disease and Laboratory Sciences/ Division of STD Prevention and STD-HIV Surveillance.</w:t>
      </w:r>
    </w:p>
    <w:p w14:paraId="36970121" w14:textId="77777777" w:rsidR="00966968" w:rsidRPr="00966968" w:rsidRDefault="00966968" w:rsidP="00966968">
      <w:pPr>
        <w:spacing w:after="0" w:line="240" w:lineRule="auto"/>
        <w:rPr>
          <w:sz w:val="24"/>
          <w:szCs w:val="24"/>
        </w:rPr>
      </w:pPr>
      <w:r w:rsidRPr="00966968">
        <w:rPr>
          <w:sz w:val="24"/>
          <w:szCs w:val="24"/>
        </w:rPr>
        <w:t>Population denominators estimated by the University of Massachusetts Donahue Institute using a modified Hamilton-Perry model (Strate S, et al. Small Area Population Estimates for 2011 through 2020 report, Oct 2016).</w:t>
      </w:r>
    </w:p>
    <w:p w14:paraId="5A1310ED" w14:textId="77777777" w:rsidR="00966968" w:rsidRPr="00966968" w:rsidRDefault="00966968" w:rsidP="00966968">
      <w:pPr>
        <w:spacing w:after="0" w:line="240" w:lineRule="auto"/>
        <w:rPr>
          <w:sz w:val="24"/>
          <w:szCs w:val="24"/>
        </w:rPr>
      </w:pPr>
      <w:r w:rsidRPr="00966968">
        <w:rPr>
          <w:sz w:val="24"/>
          <w:szCs w:val="24"/>
        </w:rPr>
        <w:t>1. Infectious syphilis is defined as primary, secondary and early latent stages of syphilis within one year of infection.</w:t>
      </w:r>
    </w:p>
    <w:p w14:paraId="287D27F2" w14:textId="77777777" w:rsidR="00966968" w:rsidRPr="00966968" w:rsidRDefault="00966968" w:rsidP="00966968">
      <w:pPr>
        <w:spacing w:after="0" w:line="240" w:lineRule="auto"/>
        <w:rPr>
          <w:sz w:val="24"/>
          <w:szCs w:val="24"/>
        </w:rPr>
      </w:pPr>
      <w:r w:rsidRPr="00966968">
        <w:rPr>
          <w:sz w:val="24"/>
          <w:szCs w:val="24"/>
        </w:rPr>
        <w:t>2. Please consider the impact of the COVID-19 pandemic on infectious disease screening, treatment and surveillance in the interpretation of 2021-2023 data.</w:t>
      </w:r>
    </w:p>
    <w:p w14:paraId="07CA2BE3" w14:textId="19FEAE5D" w:rsidR="52C804C8" w:rsidRPr="002E19F8" w:rsidRDefault="52C804C8" w:rsidP="52C804C8">
      <w:pPr>
        <w:spacing w:after="0" w:line="240" w:lineRule="auto"/>
        <w:rPr>
          <w:b/>
          <w:bCs/>
          <w:sz w:val="24"/>
          <w:szCs w:val="24"/>
        </w:rPr>
      </w:pPr>
    </w:p>
    <w:p w14:paraId="533EA8F2" w14:textId="5080523C" w:rsidR="52C804C8" w:rsidRPr="002E19F8" w:rsidRDefault="52C804C8" w:rsidP="52C804C8">
      <w:pPr>
        <w:spacing w:after="0" w:line="240" w:lineRule="auto"/>
        <w:rPr>
          <w:b/>
          <w:bCs/>
          <w:sz w:val="24"/>
          <w:szCs w:val="24"/>
        </w:rPr>
      </w:pPr>
    </w:p>
    <w:p w14:paraId="7D2B473D" w14:textId="6B5A115E" w:rsidR="52C804C8" w:rsidRPr="002E19F8" w:rsidRDefault="52C804C8" w:rsidP="52C804C8">
      <w:pPr>
        <w:spacing w:after="0" w:line="240" w:lineRule="auto"/>
        <w:rPr>
          <w:b/>
          <w:bCs/>
          <w:sz w:val="24"/>
          <w:szCs w:val="24"/>
        </w:rPr>
      </w:pPr>
    </w:p>
    <w:p w14:paraId="3D13D5D6" w14:textId="43665D2C" w:rsidR="52C804C8" w:rsidRPr="002E19F8" w:rsidRDefault="52C804C8" w:rsidP="52C804C8">
      <w:pPr>
        <w:spacing w:after="0" w:line="240" w:lineRule="auto"/>
        <w:rPr>
          <w:b/>
          <w:bCs/>
          <w:sz w:val="24"/>
          <w:szCs w:val="24"/>
        </w:rPr>
      </w:pPr>
    </w:p>
    <w:p w14:paraId="2961E3F5" w14:textId="65ECDFFC" w:rsidR="52C804C8" w:rsidRPr="002E19F8" w:rsidRDefault="52C804C8" w:rsidP="52C804C8">
      <w:pPr>
        <w:spacing w:after="0" w:line="240" w:lineRule="auto"/>
        <w:rPr>
          <w:b/>
          <w:bCs/>
          <w:sz w:val="24"/>
          <w:szCs w:val="24"/>
        </w:rPr>
      </w:pPr>
    </w:p>
    <w:p w14:paraId="59D4F2A5" w14:textId="55642122" w:rsidR="52C804C8" w:rsidRPr="002E19F8" w:rsidRDefault="52C804C8" w:rsidP="52C804C8">
      <w:pPr>
        <w:spacing w:after="0" w:line="240" w:lineRule="auto"/>
        <w:rPr>
          <w:b/>
          <w:bCs/>
          <w:sz w:val="24"/>
          <w:szCs w:val="24"/>
        </w:rPr>
      </w:pPr>
    </w:p>
    <w:p w14:paraId="47389A83" w14:textId="0FD54174" w:rsidR="52C804C8" w:rsidRPr="002E19F8" w:rsidRDefault="52C804C8" w:rsidP="52C804C8">
      <w:pPr>
        <w:spacing w:after="0" w:line="240" w:lineRule="auto"/>
        <w:rPr>
          <w:b/>
          <w:bCs/>
          <w:sz w:val="24"/>
          <w:szCs w:val="24"/>
        </w:rPr>
      </w:pPr>
    </w:p>
    <w:p w14:paraId="67BC740A" w14:textId="54D0F1E7" w:rsidR="52C804C8" w:rsidRPr="002E19F8" w:rsidRDefault="52C804C8" w:rsidP="52C804C8">
      <w:pPr>
        <w:spacing w:after="0" w:line="240" w:lineRule="auto"/>
        <w:rPr>
          <w:b/>
          <w:bCs/>
          <w:sz w:val="24"/>
          <w:szCs w:val="24"/>
        </w:rPr>
      </w:pPr>
    </w:p>
    <w:p w14:paraId="45A8FA02" w14:textId="1CAC1BA0" w:rsidR="52C804C8" w:rsidRPr="002E19F8" w:rsidRDefault="52C804C8" w:rsidP="52C804C8">
      <w:pPr>
        <w:spacing w:after="0" w:line="240" w:lineRule="auto"/>
        <w:rPr>
          <w:b/>
          <w:bCs/>
          <w:sz w:val="24"/>
          <w:szCs w:val="24"/>
        </w:rPr>
      </w:pPr>
    </w:p>
    <w:p w14:paraId="5F477A22" w14:textId="103F2F07" w:rsidR="52C804C8" w:rsidRPr="002E19F8" w:rsidRDefault="52C804C8" w:rsidP="52C804C8">
      <w:pPr>
        <w:spacing w:after="0" w:line="240" w:lineRule="auto"/>
        <w:rPr>
          <w:b/>
          <w:bCs/>
          <w:sz w:val="24"/>
          <w:szCs w:val="24"/>
        </w:rPr>
      </w:pPr>
    </w:p>
    <w:p w14:paraId="6220AA38" w14:textId="359AF927" w:rsidR="52C804C8" w:rsidRPr="002E19F8" w:rsidRDefault="52C804C8" w:rsidP="52C804C8">
      <w:pPr>
        <w:spacing w:after="0" w:line="240" w:lineRule="auto"/>
        <w:rPr>
          <w:b/>
          <w:bCs/>
          <w:sz w:val="24"/>
          <w:szCs w:val="24"/>
        </w:rPr>
      </w:pPr>
    </w:p>
    <w:p w14:paraId="3D22009B" w14:textId="236FDEAE" w:rsidR="52C804C8" w:rsidRPr="002E19F8" w:rsidRDefault="52C804C8" w:rsidP="52C804C8">
      <w:pPr>
        <w:spacing w:after="0" w:line="240" w:lineRule="auto"/>
        <w:rPr>
          <w:b/>
          <w:bCs/>
          <w:sz w:val="24"/>
          <w:szCs w:val="24"/>
        </w:rPr>
      </w:pPr>
    </w:p>
    <w:p w14:paraId="5A85E8A5" w14:textId="44E2F3AD" w:rsidR="52C804C8" w:rsidRPr="002E19F8" w:rsidRDefault="52C804C8" w:rsidP="52C804C8">
      <w:pPr>
        <w:spacing w:after="0" w:line="240" w:lineRule="auto"/>
        <w:rPr>
          <w:b/>
          <w:bCs/>
          <w:sz w:val="24"/>
          <w:szCs w:val="24"/>
        </w:rPr>
      </w:pPr>
    </w:p>
    <w:p w14:paraId="708687FE" w14:textId="336A8770" w:rsidR="52C804C8" w:rsidRPr="002E19F8" w:rsidRDefault="52C804C8" w:rsidP="52C804C8">
      <w:pPr>
        <w:spacing w:after="0" w:line="240" w:lineRule="auto"/>
        <w:rPr>
          <w:b/>
          <w:bCs/>
          <w:sz w:val="24"/>
          <w:szCs w:val="24"/>
        </w:rPr>
      </w:pPr>
    </w:p>
    <w:p w14:paraId="1A76F76D" w14:textId="024F1035" w:rsidR="52C804C8" w:rsidRPr="002E19F8" w:rsidRDefault="52C804C8" w:rsidP="52C804C8">
      <w:pPr>
        <w:spacing w:after="0" w:line="240" w:lineRule="auto"/>
        <w:rPr>
          <w:b/>
          <w:bCs/>
          <w:sz w:val="24"/>
          <w:szCs w:val="24"/>
        </w:rPr>
      </w:pPr>
    </w:p>
    <w:p w14:paraId="2DDEADC7" w14:textId="39D83D64" w:rsidR="52C804C8" w:rsidRPr="002E19F8" w:rsidRDefault="52C804C8" w:rsidP="52C804C8">
      <w:pPr>
        <w:spacing w:after="0" w:line="240" w:lineRule="auto"/>
        <w:rPr>
          <w:b/>
          <w:bCs/>
          <w:sz w:val="24"/>
          <w:szCs w:val="24"/>
        </w:rPr>
      </w:pPr>
    </w:p>
    <w:p w14:paraId="77499A21" w14:textId="715CC0CB" w:rsidR="52C804C8" w:rsidRPr="002E19F8" w:rsidRDefault="52C804C8" w:rsidP="52C804C8">
      <w:pPr>
        <w:spacing w:after="0" w:line="240" w:lineRule="auto"/>
        <w:rPr>
          <w:b/>
          <w:bCs/>
          <w:sz w:val="24"/>
          <w:szCs w:val="24"/>
        </w:rPr>
      </w:pPr>
    </w:p>
    <w:p w14:paraId="22BBC263" w14:textId="2215920E" w:rsidR="52C804C8" w:rsidRPr="002E19F8" w:rsidRDefault="52C804C8" w:rsidP="52C804C8">
      <w:pPr>
        <w:spacing w:after="0" w:line="240" w:lineRule="auto"/>
        <w:rPr>
          <w:b/>
          <w:bCs/>
          <w:sz w:val="24"/>
          <w:szCs w:val="24"/>
        </w:rPr>
      </w:pPr>
    </w:p>
    <w:p w14:paraId="5F427095" w14:textId="532DEEBA" w:rsidR="52C804C8" w:rsidRPr="002E19F8" w:rsidRDefault="52C804C8" w:rsidP="52C804C8">
      <w:pPr>
        <w:spacing w:after="0" w:line="240" w:lineRule="auto"/>
        <w:rPr>
          <w:b/>
          <w:bCs/>
          <w:sz w:val="24"/>
          <w:szCs w:val="24"/>
        </w:rPr>
      </w:pPr>
    </w:p>
    <w:p w14:paraId="1C9E759F" w14:textId="3B124417" w:rsidR="52C804C8" w:rsidRPr="002E19F8" w:rsidRDefault="52C804C8" w:rsidP="52C804C8">
      <w:pPr>
        <w:spacing w:after="0" w:line="240" w:lineRule="auto"/>
        <w:rPr>
          <w:b/>
          <w:bCs/>
          <w:sz w:val="24"/>
          <w:szCs w:val="24"/>
        </w:rPr>
      </w:pPr>
    </w:p>
    <w:p w14:paraId="1C8C29E7" w14:textId="033431FE" w:rsidR="52C804C8" w:rsidRPr="002E19F8" w:rsidRDefault="52C804C8" w:rsidP="52C804C8">
      <w:pPr>
        <w:spacing w:after="0" w:line="240" w:lineRule="auto"/>
        <w:rPr>
          <w:b/>
          <w:bCs/>
          <w:sz w:val="24"/>
          <w:szCs w:val="24"/>
        </w:rPr>
      </w:pPr>
    </w:p>
    <w:p w14:paraId="27C15A5F" w14:textId="6C41BE15" w:rsidR="52C804C8" w:rsidRPr="002E19F8" w:rsidRDefault="52C804C8" w:rsidP="52C804C8">
      <w:pPr>
        <w:spacing w:after="0" w:line="240" w:lineRule="auto"/>
        <w:rPr>
          <w:b/>
          <w:bCs/>
          <w:sz w:val="24"/>
          <w:szCs w:val="24"/>
        </w:rPr>
      </w:pPr>
    </w:p>
    <w:p w14:paraId="0281037A" w14:textId="3A04123C" w:rsidR="52C804C8" w:rsidRPr="002E19F8" w:rsidRDefault="52C804C8" w:rsidP="52C804C8">
      <w:pPr>
        <w:spacing w:after="0" w:line="240" w:lineRule="auto"/>
        <w:rPr>
          <w:b/>
          <w:bCs/>
          <w:sz w:val="24"/>
          <w:szCs w:val="24"/>
        </w:rPr>
      </w:pPr>
    </w:p>
    <w:p w14:paraId="3015E9B9" w14:textId="55EF7BCD" w:rsidR="52C804C8" w:rsidRPr="002E19F8" w:rsidRDefault="52C804C8" w:rsidP="52C804C8">
      <w:pPr>
        <w:spacing w:after="0" w:line="240" w:lineRule="auto"/>
        <w:rPr>
          <w:b/>
          <w:bCs/>
          <w:sz w:val="24"/>
          <w:szCs w:val="24"/>
        </w:rPr>
      </w:pPr>
    </w:p>
    <w:p w14:paraId="21AA2FAB" w14:textId="66212A92" w:rsidR="52C804C8" w:rsidRPr="002E19F8" w:rsidRDefault="52C804C8" w:rsidP="52C804C8">
      <w:pPr>
        <w:spacing w:after="0" w:line="240" w:lineRule="auto"/>
        <w:rPr>
          <w:b/>
          <w:bCs/>
          <w:sz w:val="24"/>
          <w:szCs w:val="24"/>
        </w:rPr>
      </w:pPr>
    </w:p>
    <w:p w14:paraId="51FEEEE4" w14:textId="3E179BEB" w:rsidR="52C804C8" w:rsidRPr="002E19F8" w:rsidRDefault="52C804C8" w:rsidP="52C804C8">
      <w:pPr>
        <w:spacing w:after="0" w:line="240" w:lineRule="auto"/>
        <w:rPr>
          <w:b/>
          <w:bCs/>
          <w:sz w:val="24"/>
          <w:szCs w:val="24"/>
        </w:rPr>
      </w:pPr>
    </w:p>
    <w:p w14:paraId="5AB34924" w14:textId="7D68C42D" w:rsidR="52C804C8" w:rsidRPr="002E19F8" w:rsidRDefault="52C804C8" w:rsidP="52C804C8">
      <w:pPr>
        <w:spacing w:after="0" w:line="240" w:lineRule="auto"/>
        <w:rPr>
          <w:b/>
          <w:bCs/>
          <w:sz w:val="24"/>
          <w:szCs w:val="24"/>
        </w:rPr>
      </w:pPr>
    </w:p>
    <w:p w14:paraId="565749FE" w14:textId="4F8B27A8" w:rsidR="52C804C8" w:rsidRPr="002E19F8" w:rsidRDefault="52C804C8" w:rsidP="52C804C8">
      <w:pPr>
        <w:spacing w:after="0" w:line="240" w:lineRule="auto"/>
        <w:rPr>
          <w:b/>
          <w:bCs/>
          <w:sz w:val="24"/>
          <w:szCs w:val="24"/>
        </w:rPr>
      </w:pPr>
    </w:p>
    <w:p w14:paraId="6416D35D" w14:textId="41395910" w:rsidR="52C804C8" w:rsidRPr="002E19F8" w:rsidRDefault="52C804C8" w:rsidP="52C804C8">
      <w:pPr>
        <w:spacing w:after="0" w:line="240" w:lineRule="auto"/>
        <w:rPr>
          <w:b/>
          <w:bCs/>
          <w:sz w:val="24"/>
          <w:szCs w:val="24"/>
        </w:rPr>
      </w:pPr>
    </w:p>
    <w:p w14:paraId="49F1C1BD" w14:textId="58D3B809" w:rsidR="52C804C8" w:rsidRPr="002E19F8" w:rsidRDefault="52C804C8" w:rsidP="52C804C8">
      <w:pPr>
        <w:spacing w:after="0" w:line="240" w:lineRule="auto"/>
        <w:rPr>
          <w:b/>
          <w:bCs/>
          <w:sz w:val="24"/>
          <w:szCs w:val="24"/>
        </w:rPr>
      </w:pPr>
    </w:p>
    <w:p w14:paraId="0BD85B30" w14:textId="711430DD" w:rsidR="000078F5" w:rsidRDefault="000078F5" w:rsidP="00EC6FB0">
      <w:pPr>
        <w:spacing w:after="0" w:line="240" w:lineRule="auto"/>
        <w:rPr>
          <w:b/>
          <w:sz w:val="24"/>
          <w:szCs w:val="24"/>
        </w:rPr>
      </w:pPr>
    </w:p>
    <w:p w14:paraId="3AAE1D3C" w14:textId="77777777" w:rsidR="002E19F8" w:rsidRPr="002E19F8" w:rsidRDefault="002E19F8" w:rsidP="00EC6FB0">
      <w:pPr>
        <w:spacing w:after="0" w:line="240" w:lineRule="auto"/>
        <w:rPr>
          <w:b/>
          <w:sz w:val="24"/>
          <w:szCs w:val="24"/>
        </w:rPr>
      </w:pPr>
    </w:p>
    <w:p w14:paraId="6951F089" w14:textId="4FB4D727" w:rsidR="00BE0F6E" w:rsidRPr="002E19F8" w:rsidRDefault="00BE0F6E" w:rsidP="003F6E82">
      <w:pPr>
        <w:pStyle w:val="Heading2"/>
      </w:pPr>
      <w:bookmarkStart w:id="20" w:name="_Toc184132230"/>
      <w:r w:rsidRPr="002E19F8">
        <w:t xml:space="preserve">Slide 18 </w:t>
      </w:r>
      <w:r w:rsidR="00860D9B" w:rsidRPr="002E19F8">
        <w:t>–</w:t>
      </w:r>
      <w:r w:rsidRPr="002E19F8">
        <w:t xml:space="preserve"> </w:t>
      </w:r>
      <w:r w:rsidR="00860D9B" w:rsidRPr="002E19F8">
        <w:t>Confirmed and Probable Infectious Syphilis</w:t>
      </w:r>
      <w:r w:rsidR="00860D9B" w:rsidRPr="002E19F8">
        <w:rPr>
          <w:vertAlign w:val="superscript"/>
        </w:rPr>
        <w:t>1</w:t>
      </w:r>
      <w:r w:rsidR="00860D9B" w:rsidRPr="002E19F8">
        <w:t xml:space="preserve"> Rates by Stage of Infection, Massachusetts, 2010–202</w:t>
      </w:r>
      <w:r w:rsidR="00615DD0">
        <w:t>3</w:t>
      </w:r>
      <w:r w:rsidR="00860D9B" w:rsidRPr="002E19F8">
        <w:rPr>
          <w:vertAlign w:val="superscript"/>
        </w:rPr>
        <w:t>2</w:t>
      </w:r>
      <w:bookmarkEnd w:id="20"/>
    </w:p>
    <w:p w14:paraId="26C3C16A" w14:textId="15A4481B" w:rsidR="00860D9B" w:rsidRPr="002E19F8" w:rsidRDefault="00CC7CF1" w:rsidP="00EC6FB0">
      <w:pPr>
        <w:spacing w:after="0" w:line="240" w:lineRule="auto"/>
        <w:rPr>
          <w:sz w:val="24"/>
          <w:szCs w:val="24"/>
        </w:rPr>
      </w:pPr>
      <w:r>
        <w:rPr>
          <w:noProof/>
          <w:sz w:val="24"/>
          <w:szCs w:val="24"/>
        </w:rPr>
        <w:drawing>
          <wp:inline distT="0" distB="0" distL="0" distR="0" wp14:anchorId="7E32D6E1" wp14:editId="6E15090A">
            <wp:extent cx="5943600" cy="2005330"/>
            <wp:effectExtent l="0" t="0" r="0" b="0"/>
            <wp:docPr id="720401761" name="Picture 720401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1761" name="Picture 72040176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005330"/>
                    </a:xfrm>
                    <a:prstGeom prst="rect">
                      <a:avLst/>
                    </a:prstGeom>
                    <a:noFill/>
                    <a:ln>
                      <a:noFill/>
                    </a:ln>
                  </pic:spPr>
                </pic:pic>
              </a:graphicData>
            </a:graphic>
          </wp:inline>
        </w:drawing>
      </w:r>
    </w:p>
    <w:p w14:paraId="63771813" w14:textId="77777777" w:rsidR="00860D9B" w:rsidRPr="002E19F8" w:rsidRDefault="00860D9B" w:rsidP="52C804C8">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860D9B" w:rsidRPr="002E19F8" w14:paraId="10FDB38D" w14:textId="77777777" w:rsidTr="00860D9B">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FA6A" w14:textId="77777777" w:rsidR="00860D9B" w:rsidRPr="002E19F8" w:rsidRDefault="00860D9B" w:rsidP="00860D9B">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2A6F53" w14:textId="77777777" w:rsidR="00860D9B" w:rsidRPr="002E19F8" w:rsidRDefault="00860D9B" w:rsidP="00860D9B">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860D9B" w:rsidRPr="002E19F8" w14:paraId="4482611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06F2CF5" w14:textId="2D8C1D49"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FFFFFF" w:themeFill="background1"/>
            <w:vAlign w:val="center"/>
          </w:tcPr>
          <w:p w14:paraId="341C80B5" w14:textId="1E21A807"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465</w:t>
            </w:r>
          </w:p>
        </w:tc>
      </w:tr>
      <w:tr w:rsidR="00860D9B" w:rsidRPr="002E19F8" w14:paraId="3D85E94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8D3982E" w14:textId="5254C006"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FFFFFF" w:themeFill="background1"/>
            <w:vAlign w:val="center"/>
          </w:tcPr>
          <w:p w14:paraId="4881FAF8" w14:textId="0FD2E225"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500</w:t>
            </w:r>
          </w:p>
        </w:tc>
      </w:tr>
      <w:tr w:rsidR="00860D9B" w:rsidRPr="002E19F8" w14:paraId="73D2F594"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552A221" w14:textId="71697F61"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FFFFFF" w:themeFill="background1"/>
            <w:vAlign w:val="center"/>
          </w:tcPr>
          <w:p w14:paraId="5E22B051" w14:textId="1C7B60FD"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561</w:t>
            </w:r>
          </w:p>
        </w:tc>
      </w:tr>
      <w:tr w:rsidR="00860D9B" w:rsidRPr="002E19F8" w14:paraId="548B886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089E310" w14:textId="39C18029"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FFFFFF" w:themeFill="background1"/>
            <w:vAlign w:val="center"/>
          </w:tcPr>
          <w:p w14:paraId="14D899A8" w14:textId="14E2C88B"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701</w:t>
            </w:r>
          </w:p>
        </w:tc>
      </w:tr>
      <w:tr w:rsidR="00860D9B" w:rsidRPr="002E19F8" w14:paraId="21F90A3D"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7FC2D50" w14:textId="0123B5E3" w:rsidR="00860D9B" w:rsidRPr="002E19F8" w:rsidRDefault="00CE6B6E"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FFFFFF" w:themeFill="background1"/>
            <w:vAlign w:val="center"/>
          </w:tcPr>
          <w:p w14:paraId="70630663" w14:textId="321E10F4"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600</w:t>
            </w:r>
          </w:p>
        </w:tc>
      </w:tr>
      <w:tr w:rsidR="00860D9B" w:rsidRPr="002E19F8" w14:paraId="09E248D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A0A8CD1" w14:textId="3F9EF1B3"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31C912C8" w14:textId="4FAB2569"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798</w:t>
            </w:r>
          </w:p>
        </w:tc>
      </w:tr>
      <w:tr w:rsidR="00860D9B" w:rsidRPr="002E19F8" w14:paraId="63F152F0"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DDD27B" w14:textId="3688F607"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BE0A39C" w14:textId="78A13333"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860D9B" w:rsidRPr="002E19F8" w14:paraId="5BEBF86E"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07B507" w14:textId="49C524D5"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EB8A058" w14:textId="74F0D41F"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860D9B" w:rsidRPr="002E19F8" w14:paraId="4E9E4F05"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6711A" w14:textId="587AADBB"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A4D9D74" w14:textId="2B754412"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860D9B" w:rsidRPr="002E19F8" w14:paraId="5DFBA7A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4A5187" w14:textId="2BEF6500"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026724D" w14:textId="6AF1D5AD"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860D9B" w:rsidRPr="002E19F8" w14:paraId="3ABF30A0"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5C5811" w14:textId="2B51682E"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63AB3939" w14:textId="11A81E41"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860D9B" w:rsidRPr="002E19F8" w14:paraId="5E1299C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B939B3" w14:textId="264AC633"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3E75E20" w14:textId="7780CDB8"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860D9B" w:rsidRPr="002E19F8" w14:paraId="17F1767E" w14:textId="77777777" w:rsidTr="0096696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A29BA6" w14:textId="5BE747D0"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B39EACD" w14:textId="486F7E11" w:rsidR="00860D9B" w:rsidRPr="002E19F8" w:rsidRDefault="00860D9B" w:rsidP="00860D9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w:t>
            </w:r>
            <w:r w:rsidR="00EC17E4">
              <w:rPr>
                <w:rFonts w:ascii="Calibri" w:eastAsia="Times New Roman" w:hAnsi="Calibri" w:cs="Calibri"/>
                <w:color w:val="000000"/>
                <w:kern w:val="0"/>
                <w:sz w:val="24"/>
                <w:szCs w:val="24"/>
                <w14:ligatures w14:val="none"/>
              </w:rPr>
              <w:t>79</w:t>
            </w:r>
          </w:p>
        </w:tc>
      </w:tr>
      <w:tr w:rsidR="00966968" w:rsidRPr="002E19F8" w14:paraId="30866877" w14:textId="77777777" w:rsidTr="00966968">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C2349" w14:textId="63A746C8" w:rsidR="00966968" w:rsidRPr="002E19F8" w:rsidRDefault="00966968" w:rsidP="00860D9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66D26555" w14:textId="21793329" w:rsidR="00966968" w:rsidRPr="002E19F8" w:rsidRDefault="00EC17E4" w:rsidP="00860D9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bl>
    <w:p w14:paraId="21109EA3" w14:textId="6FA12D7C" w:rsidR="00562A71" w:rsidRPr="00562A71" w:rsidRDefault="00860D9B" w:rsidP="00562A71">
      <w:pPr>
        <w:spacing w:before="120" w:after="0" w:line="240" w:lineRule="auto"/>
        <w:rPr>
          <w:sz w:val="24"/>
          <w:szCs w:val="24"/>
        </w:rPr>
      </w:pPr>
      <w:r w:rsidRPr="002E19F8">
        <w:rPr>
          <w:b/>
          <w:sz w:val="24"/>
          <w:szCs w:val="24"/>
        </w:rPr>
        <w:t>Highlights:</w:t>
      </w:r>
      <w:r w:rsidRPr="002E19F8">
        <w:rPr>
          <w:sz w:val="24"/>
          <w:szCs w:val="24"/>
        </w:rPr>
        <w:t xml:space="preserve"> </w:t>
      </w:r>
      <w:r w:rsidR="00562A71" w:rsidRPr="00562A71">
        <w:rPr>
          <w:sz w:val="24"/>
          <w:szCs w:val="24"/>
        </w:rPr>
        <w:t xml:space="preserve">Graph depicts the differences between the rate of infectious syphilis diagnosed in the primary and secondary stage compared to those cases diagnosed in the early non-primary and non-secondary stages reported in Massachusetts from 2010 to 2023. There are three lines on the graph. One line for primary and secondary cases starting with a rate of 4.2 per 100,000 in 2010 and peaking with a rate of 11.6 in 2022, before falling to 10.4 in 2023. Another line for non-primary non-secondary cases starting wit a rate of 2.9 in 2010, peaking with a rate of 10.9 in 2022, before falling to 10.2 in 2023. The final line shows the total infectious syphilis starting with a rate of 7.1 in 2010 and peaking at a rate of 22.5 in 2022, before falling to 20.6 in 2023. </w:t>
      </w:r>
    </w:p>
    <w:p w14:paraId="65EBA650" w14:textId="15A28DD0" w:rsidR="00860D9B" w:rsidRPr="002E19F8" w:rsidRDefault="00562A71" w:rsidP="00562A71">
      <w:pPr>
        <w:spacing w:before="120" w:after="0" w:line="240" w:lineRule="auto"/>
        <w:rPr>
          <w:b/>
          <w:sz w:val="24"/>
          <w:szCs w:val="24"/>
        </w:rPr>
      </w:pPr>
      <w:r w:rsidRPr="00562A71">
        <w:rPr>
          <w:sz w:val="24"/>
          <w:szCs w:val="24"/>
        </w:rPr>
        <w:t>Note: Infectious syphilis is defined as primary, secondary and early latent (non-primary/non-secondary) stages of syphilis within one year of infection.</w:t>
      </w:r>
    </w:p>
    <w:p w14:paraId="7BAA0D80" w14:textId="7A9E1056" w:rsidR="52C804C8" w:rsidRPr="002E19F8" w:rsidRDefault="52C804C8" w:rsidP="52C804C8">
      <w:pPr>
        <w:spacing w:before="40" w:after="0" w:line="240" w:lineRule="auto"/>
        <w:rPr>
          <w:b/>
          <w:bCs/>
          <w:sz w:val="24"/>
          <w:szCs w:val="24"/>
        </w:rPr>
      </w:pPr>
    </w:p>
    <w:p w14:paraId="0F3BBA50" w14:textId="27941AEA" w:rsidR="52C804C8" w:rsidRPr="002E19F8" w:rsidRDefault="52C804C8" w:rsidP="52C804C8">
      <w:pPr>
        <w:spacing w:before="40" w:after="0" w:line="240" w:lineRule="auto"/>
        <w:rPr>
          <w:b/>
          <w:bCs/>
          <w:sz w:val="24"/>
          <w:szCs w:val="24"/>
        </w:rPr>
      </w:pPr>
    </w:p>
    <w:p w14:paraId="24D0C432" w14:textId="560AECC4" w:rsidR="00860D9B" w:rsidRPr="002E19F8" w:rsidRDefault="00860D9B" w:rsidP="52C804C8">
      <w:pPr>
        <w:spacing w:before="40" w:after="0" w:line="240" w:lineRule="auto"/>
        <w:rPr>
          <w:sz w:val="24"/>
          <w:szCs w:val="24"/>
        </w:rPr>
      </w:pPr>
      <w:r w:rsidRPr="002E19F8">
        <w:rPr>
          <w:b/>
          <w:sz w:val="24"/>
          <w:szCs w:val="24"/>
        </w:rPr>
        <w:t>Footnotes</w:t>
      </w:r>
      <w:r w:rsidR="3BDA54D9" w:rsidRPr="002E19F8">
        <w:rPr>
          <w:b/>
          <w:bCs/>
          <w:sz w:val="24"/>
          <w:szCs w:val="24"/>
        </w:rPr>
        <w:t xml:space="preserve"> for Slide 18</w:t>
      </w:r>
      <w:r w:rsidRPr="002E19F8">
        <w:rPr>
          <w:sz w:val="24"/>
          <w:szCs w:val="24"/>
        </w:rPr>
        <w:t xml:space="preserve"> </w:t>
      </w:r>
    </w:p>
    <w:p w14:paraId="6ABA074A" w14:textId="77777777" w:rsidR="00562A71" w:rsidRPr="00562A71" w:rsidRDefault="00562A71" w:rsidP="00562A71">
      <w:pPr>
        <w:spacing w:after="0" w:line="240" w:lineRule="auto"/>
        <w:rPr>
          <w:sz w:val="24"/>
          <w:szCs w:val="24"/>
        </w:rPr>
      </w:pPr>
      <w:r w:rsidRPr="00562A71">
        <w:rPr>
          <w:sz w:val="24"/>
          <w:szCs w:val="24"/>
        </w:rPr>
        <w:t>Data are current as of 07/17/2024 and are subject to change. </w:t>
      </w:r>
    </w:p>
    <w:p w14:paraId="7DB68F20" w14:textId="11F68061" w:rsidR="00562A71" w:rsidRPr="00562A71" w:rsidRDefault="00562A71" w:rsidP="00562A71">
      <w:pPr>
        <w:spacing w:after="0" w:line="240" w:lineRule="auto"/>
        <w:rPr>
          <w:sz w:val="24"/>
          <w:szCs w:val="24"/>
        </w:rPr>
      </w:pPr>
      <w:r w:rsidRPr="00562A71">
        <w:rPr>
          <w:sz w:val="24"/>
          <w:szCs w:val="24"/>
        </w:rPr>
        <w:t>Data Source: Massachusetts Department of Public Health/Bureau of Infectious Disease and Laboratory Sciences/Division of STD Prevention and STD-HIV Surveillance.</w:t>
      </w:r>
    </w:p>
    <w:p w14:paraId="5F9DB862" w14:textId="77777777" w:rsidR="00562A71" w:rsidRPr="00562A71" w:rsidRDefault="00562A71" w:rsidP="00562A71">
      <w:pPr>
        <w:spacing w:after="0" w:line="240" w:lineRule="auto"/>
        <w:rPr>
          <w:sz w:val="24"/>
          <w:szCs w:val="24"/>
        </w:rPr>
      </w:pPr>
      <w:r w:rsidRPr="00562A71">
        <w:rPr>
          <w:sz w:val="24"/>
          <w:szCs w:val="24"/>
        </w:rPr>
        <w:t>Population denominators estimated by the University of Massachusetts Donahue Institute using a modified Hamilton-Perry model (Strate S, et al. Small Area Population Estimates for 2011 through 2020 report, Oct 2016).</w:t>
      </w:r>
    </w:p>
    <w:p w14:paraId="40B767E2" w14:textId="77777777" w:rsidR="00562A71" w:rsidRPr="00562A71" w:rsidRDefault="00562A71" w:rsidP="00562A71">
      <w:pPr>
        <w:spacing w:after="0" w:line="240" w:lineRule="auto"/>
        <w:rPr>
          <w:sz w:val="24"/>
          <w:szCs w:val="24"/>
        </w:rPr>
      </w:pPr>
      <w:r w:rsidRPr="00562A71">
        <w:rPr>
          <w:sz w:val="24"/>
          <w:szCs w:val="24"/>
        </w:rPr>
        <w:t>1. Infectious syphilis is defined as primary, secondary and early latent stages of syphilis within one year of infection.</w:t>
      </w:r>
    </w:p>
    <w:p w14:paraId="57193299" w14:textId="77777777" w:rsidR="00562A71" w:rsidRPr="00562A71" w:rsidRDefault="00562A71" w:rsidP="00562A71">
      <w:pPr>
        <w:spacing w:after="0" w:line="240" w:lineRule="auto"/>
        <w:rPr>
          <w:sz w:val="24"/>
          <w:szCs w:val="24"/>
        </w:rPr>
      </w:pPr>
      <w:r w:rsidRPr="00562A71">
        <w:rPr>
          <w:sz w:val="24"/>
          <w:szCs w:val="24"/>
        </w:rPr>
        <w:t>2. Please consider the impact of the COVID-19 pandemic on infectious disease screening, treatment and surveillance in the interpretation of 2020-2023 data.</w:t>
      </w:r>
    </w:p>
    <w:p w14:paraId="062BE9F5" w14:textId="04D024BC" w:rsidR="52C804C8" w:rsidRPr="002E19F8" w:rsidRDefault="52C804C8" w:rsidP="52C804C8">
      <w:pPr>
        <w:spacing w:after="0" w:line="240" w:lineRule="auto"/>
        <w:rPr>
          <w:b/>
          <w:bCs/>
          <w:sz w:val="24"/>
          <w:szCs w:val="24"/>
        </w:rPr>
      </w:pPr>
    </w:p>
    <w:p w14:paraId="51FD9B26" w14:textId="35177427" w:rsidR="52C804C8" w:rsidRPr="002E19F8" w:rsidRDefault="52C804C8" w:rsidP="52C804C8">
      <w:pPr>
        <w:spacing w:after="0" w:line="240" w:lineRule="auto"/>
        <w:rPr>
          <w:b/>
          <w:bCs/>
          <w:sz w:val="24"/>
          <w:szCs w:val="24"/>
        </w:rPr>
      </w:pPr>
    </w:p>
    <w:p w14:paraId="6CF4976B" w14:textId="513D91AC" w:rsidR="52C804C8" w:rsidRPr="002E19F8" w:rsidRDefault="52C804C8" w:rsidP="52C804C8">
      <w:pPr>
        <w:spacing w:after="0" w:line="240" w:lineRule="auto"/>
        <w:rPr>
          <w:b/>
          <w:bCs/>
          <w:sz w:val="24"/>
          <w:szCs w:val="24"/>
        </w:rPr>
      </w:pPr>
    </w:p>
    <w:p w14:paraId="35FCB80B" w14:textId="64F8669C" w:rsidR="52C804C8" w:rsidRPr="002E19F8" w:rsidRDefault="52C804C8" w:rsidP="52C804C8">
      <w:pPr>
        <w:spacing w:after="0" w:line="240" w:lineRule="auto"/>
        <w:rPr>
          <w:b/>
          <w:bCs/>
          <w:sz w:val="24"/>
          <w:szCs w:val="24"/>
        </w:rPr>
      </w:pPr>
    </w:p>
    <w:p w14:paraId="6314C0AB" w14:textId="5120FB8F" w:rsidR="52C804C8" w:rsidRPr="002E19F8" w:rsidRDefault="52C804C8" w:rsidP="52C804C8">
      <w:pPr>
        <w:spacing w:after="0" w:line="240" w:lineRule="auto"/>
        <w:rPr>
          <w:b/>
          <w:bCs/>
          <w:sz w:val="24"/>
          <w:szCs w:val="24"/>
        </w:rPr>
      </w:pPr>
    </w:p>
    <w:p w14:paraId="1BE55B0E" w14:textId="5D924374" w:rsidR="52C804C8" w:rsidRPr="002E19F8" w:rsidRDefault="52C804C8" w:rsidP="52C804C8">
      <w:pPr>
        <w:spacing w:after="0" w:line="240" w:lineRule="auto"/>
        <w:rPr>
          <w:b/>
          <w:bCs/>
          <w:sz w:val="24"/>
          <w:szCs w:val="24"/>
        </w:rPr>
      </w:pPr>
    </w:p>
    <w:p w14:paraId="67A0A7E6" w14:textId="41890AE5" w:rsidR="52C804C8" w:rsidRPr="002E19F8" w:rsidRDefault="52C804C8" w:rsidP="52C804C8">
      <w:pPr>
        <w:spacing w:after="0" w:line="240" w:lineRule="auto"/>
        <w:rPr>
          <w:b/>
          <w:bCs/>
          <w:sz w:val="24"/>
          <w:szCs w:val="24"/>
        </w:rPr>
      </w:pPr>
    </w:p>
    <w:p w14:paraId="7FFAB4EE" w14:textId="5A79E0A5" w:rsidR="52C804C8" w:rsidRPr="002E19F8" w:rsidRDefault="52C804C8" w:rsidP="52C804C8">
      <w:pPr>
        <w:spacing w:after="0" w:line="240" w:lineRule="auto"/>
        <w:rPr>
          <w:b/>
          <w:bCs/>
          <w:sz w:val="24"/>
          <w:szCs w:val="24"/>
        </w:rPr>
      </w:pPr>
    </w:p>
    <w:p w14:paraId="209D0042" w14:textId="7E00D703" w:rsidR="52C804C8" w:rsidRPr="002E19F8" w:rsidRDefault="52C804C8" w:rsidP="52C804C8">
      <w:pPr>
        <w:spacing w:after="0" w:line="240" w:lineRule="auto"/>
        <w:rPr>
          <w:b/>
          <w:bCs/>
          <w:sz w:val="24"/>
          <w:szCs w:val="24"/>
        </w:rPr>
      </w:pPr>
    </w:p>
    <w:p w14:paraId="28605579" w14:textId="4FCB7E0A" w:rsidR="52C804C8" w:rsidRPr="002E19F8" w:rsidRDefault="52C804C8" w:rsidP="52C804C8">
      <w:pPr>
        <w:spacing w:after="0" w:line="240" w:lineRule="auto"/>
        <w:rPr>
          <w:b/>
          <w:bCs/>
          <w:sz w:val="24"/>
          <w:szCs w:val="24"/>
        </w:rPr>
      </w:pPr>
    </w:p>
    <w:p w14:paraId="529B381F" w14:textId="0C39967D" w:rsidR="52C804C8" w:rsidRPr="002E19F8" w:rsidRDefault="52C804C8" w:rsidP="52C804C8">
      <w:pPr>
        <w:spacing w:after="0" w:line="240" w:lineRule="auto"/>
        <w:rPr>
          <w:b/>
          <w:bCs/>
          <w:sz w:val="24"/>
          <w:szCs w:val="24"/>
        </w:rPr>
      </w:pPr>
    </w:p>
    <w:p w14:paraId="387BF3F0" w14:textId="622F2C10" w:rsidR="52C804C8" w:rsidRPr="002E19F8" w:rsidRDefault="52C804C8" w:rsidP="52C804C8">
      <w:pPr>
        <w:spacing w:after="0" w:line="240" w:lineRule="auto"/>
        <w:rPr>
          <w:b/>
          <w:bCs/>
          <w:sz w:val="24"/>
          <w:szCs w:val="24"/>
        </w:rPr>
      </w:pPr>
    </w:p>
    <w:p w14:paraId="72886352" w14:textId="54A4C350" w:rsidR="52C804C8" w:rsidRPr="002E19F8" w:rsidRDefault="52C804C8" w:rsidP="52C804C8">
      <w:pPr>
        <w:spacing w:after="0" w:line="240" w:lineRule="auto"/>
        <w:rPr>
          <w:b/>
          <w:bCs/>
          <w:sz w:val="24"/>
          <w:szCs w:val="24"/>
        </w:rPr>
      </w:pPr>
    </w:p>
    <w:p w14:paraId="35867244" w14:textId="1E45728B" w:rsidR="52C804C8" w:rsidRPr="002E19F8" w:rsidRDefault="52C804C8" w:rsidP="52C804C8">
      <w:pPr>
        <w:spacing w:after="0" w:line="240" w:lineRule="auto"/>
        <w:rPr>
          <w:b/>
          <w:bCs/>
          <w:sz w:val="24"/>
          <w:szCs w:val="24"/>
        </w:rPr>
      </w:pPr>
    </w:p>
    <w:p w14:paraId="13547C84" w14:textId="45EC6E79" w:rsidR="52C804C8" w:rsidRPr="002E19F8" w:rsidRDefault="52C804C8" w:rsidP="52C804C8">
      <w:pPr>
        <w:spacing w:after="0" w:line="240" w:lineRule="auto"/>
        <w:rPr>
          <w:b/>
          <w:bCs/>
          <w:sz w:val="24"/>
          <w:szCs w:val="24"/>
        </w:rPr>
      </w:pPr>
    </w:p>
    <w:p w14:paraId="0B1F62A0" w14:textId="1F581F4E" w:rsidR="52C804C8" w:rsidRPr="002E19F8" w:rsidRDefault="52C804C8" w:rsidP="52C804C8">
      <w:pPr>
        <w:spacing w:after="0" w:line="240" w:lineRule="auto"/>
        <w:rPr>
          <w:b/>
          <w:bCs/>
          <w:sz w:val="24"/>
          <w:szCs w:val="24"/>
        </w:rPr>
      </w:pPr>
    </w:p>
    <w:p w14:paraId="584CA9A1" w14:textId="699BD5A5" w:rsidR="52C804C8" w:rsidRPr="002E19F8" w:rsidRDefault="52C804C8" w:rsidP="52C804C8">
      <w:pPr>
        <w:spacing w:after="0" w:line="240" w:lineRule="auto"/>
        <w:rPr>
          <w:b/>
          <w:bCs/>
          <w:sz w:val="24"/>
          <w:szCs w:val="24"/>
        </w:rPr>
      </w:pPr>
    </w:p>
    <w:p w14:paraId="5CD11100" w14:textId="2B0369B1" w:rsidR="52C804C8" w:rsidRPr="002E19F8" w:rsidRDefault="52C804C8" w:rsidP="52C804C8">
      <w:pPr>
        <w:spacing w:after="0" w:line="240" w:lineRule="auto"/>
        <w:rPr>
          <w:b/>
          <w:bCs/>
          <w:sz w:val="24"/>
          <w:szCs w:val="24"/>
        </w:rPr>
      </w:pPr>
    </w:p>
    <w:p w14:paraId="229BEF2B" w14:textId="335EDB5D" w:rsidR="52C804C8" w:rsidRPr="002E19F8" w:rsidRDefault="52C804C8" w:rsidP="52C804C8">
      <w:pPr>
        <w:spacing w:after="0" w:line="240" w:lineRule="auto"/>
        <w:rPr>
          <w:b/>
          <w:bCs/>
          <w:sz w:val="24"/>
          <w:szCs w:val="24"/>
        </w:rPr>
      </w:pPr>
    </w:p>
    <w:p w14:paraId="365244BA" w14:textId="609AB4B1" w:rsidR="52C804C8" w:rsidRPr="002E19F8" w:rsidRDefault="52C804C8" w:rsidP="52C804C8">
      <w:pPr>
        <w:spacing w:after="0" w:line="240" w:lineRule="auto"/>
        <w:rPr>
          <w:b/>
          <w:bCs/>
          <w:sz w:val="24"/>
          <w:szCs w:val="24"/>
        </w:rPr>
      </w:pPr>
    </w:p>
    <w:p w14:paraId="4480DD3C" w14:textId="7EE0F2DA" w:rsidR="52C804C8" w:rsidRPr="002E19F8" w:rsidRDefault="52C804C8" w:rsidP="52C804C8">
      <w:pPr>
        <w:spacing w:after="0" w:line="240" w:lineRule="auto"/>
        <w:rPr>
          <w:b/>
          <w:bCs/>
          <w:sz w:val="24"/>
          <w:szCs w:val="24"/>
        </w:rPr>
      </w:pPr>
    </w:p>
    <w:p w14:paraId="2833233D" w14:textId="7C83BAC2" w:rsidR="52C804C8" w:rsidRPr="002E19F8" w:rsidRDefault="52C804C8" w:rsidP="52C804C8">
      <w:pPr>
        <w:spacing w:after="0" w:line="240" w:lineRule="auto"/>
        <w:rPr>
          <w:b/>
          <w:bCs/>
          <w:sz w:val="24"/>
          <w:szCs w:val="24"/>
        </w:rPr>
      </w:pPr>
    </w:p>
    <w:p w14:paraId="00DE7E19" w14:textId="277D68FF" w:rsidR="00860D9B" w:rsidRPr="002E19F8" w:rsidRDefault="00860D9B" w:rsidP="00EC6FB0">
      <w:pPr>
        <w:spacing w:after="0" w:line="240" w:lineRule="auto"/>
        <w:rPr>
          <w:b/>
          <w:sz w:val="24"/>
          <w:szCs w:val="24"/>
        </w:rPr>
      </w:pPr>
    </w:p>
    <w:p w14:paraId="04A4CD2A" w14:textId="6B21B366" w:rsidR="00CE6B6E" w:rsidRPr="002E19F8" w:rsidRDefault="00CE6B6E" w:rsidP="003F6E82">
      <w:pPr>
        <w:pStyle w:val="Heading2"/>
      </w:pPr>
      <w:bookmarkStart w:id="21" w:name="_Toc184132231"/>
      <w:r w:rsidRPr="002E19F8">
        <w:t>Slide 19 – Infectious Syphilis</w:t>
      </w:r>
      <w:r w:rsidRPr="002E19F8">
        <w:rPr>
          <w:vertAlign w:val="superscript"/>
        </w:rPr>
        <w:t xml:space="preserve">1 </w:t>
      </w:r>
      <w:r w:rsidRPr="002E19F8">
        <w:t>Reported Cases by Gender of Sex Partners, Massachusetts, 2015-202</w:t>
      </w:r>
      <w:r w:rsidR="00CC7CF1">
        <w:t>3</w:t>
      </w:r>
      <w:r w:rsidRPr="002E19F8">
        <w:rPr>
          <w:vertAlign w:val="superscript"/>
        </w:rPr>
        <w:t>2</w:t>
      </w:r>
      <w:bookmarkEnd w:id="21"/>
    </w:p>
    <w:p w14:paraId="218F16FA" w14:textId="7A9B0653" w:rsidR="00CE6B6E" w:rsidRPr="002E19F8" w:rsidRDefault="00735958" w:rsidP="00CE6B6E">
      <w:pPr>
        <w:spacing w:after="0" w:line="240" w:lineRule="auto"/>
        <w:rPr>
          <w:sz w:val="24"/>
          <w:szCs w:val="24"/>
        </w:rPr>
      </w:pPr>
      <w:r>
        <w:rPr>
          <w:noProof/>
          <w:sz w:val="24"/>
          <w:szCs w:val="24"/>
        </w:rPr>
        <w:drawing>
          <wp:inline distT="0" distB="0" distL="0" distR="0" wp14:anchorId="4C9343AC" wp14:editId="3808A97D">
            <wp:extent cx="5939155" cy="2181225"/>
            <wp:effectExtent l="0" t="0" r="4445" b="9525"/>
            <wp:docPr id="2116155259" name="Picture 211615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55259" name="Picture 211615525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2181225"/>
                    </a:xfrm>
                    <a:prstGeom prst="rect">
                      <a:avLst/>
                    </a:prstGeom>
                    <a:noFill/>
                    <a:ln>
                      <a:noFill/>
                    </a:ln>
                  </pic:spPr>
                </pic:pic>
              </a:graphicData>
            </a:graphic>
          </wp:inline>
        </w:drawing>
      </w:r>
    </w:p>
    <w:p w14:paraId="2A0D65DE" w14:textId="77777777" w:rsidR="00CE6B6E" w:rsidRPr="002E19F8" w:rsidRDefault="00CE6B6E" w:rsidP="52C804C8">
      <w:pPr>
        <w:spacing w:before="120"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CE6B6E" w:rsidRPr="002E19F8" w14:paraId="27C312E2" w14:textId="77777777" w:rsidTr="009611E4">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B6E9" w14:textId="77777777" w:rsidR="00CE6B6E" w:rsidRPr="002E19F8" w:rsidRDefault="00CE6B6E" w:rsidP="009611E4">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BAEA81" w14:textId="77777777" w:rsidR="00CE6B6E" w:rsidRPr="002E19F8" w:rsidRDefault="00CE6B6E" w:rsidP="009611E4">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CE6B6E" w:rsidRPr="002E19F8" w14:paraId="0EC11E6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1B82E8A" w14:textId="1A29782F"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11DE0DB9" w14:textId="0F16977E"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798</w:t>
            </w:r>
          </w:p>
        </w:tc>
      </w:tr>
      <w:tr w:rsidR="00CE6B6E" w:rsidRPr="002E19F8" w14:paraId="472748C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1B8BFCC" w14:textId="57941A03"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tcPr>
          <w:p w14:paraId="47A2AF2E" w14:textId="6A992D2E"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1,034</w:t>
            </w:r>
          </w:p>
        </w:tc>
      </w:tr>
      <w:tr w:rsidR="00CE6B6E" w:rsidRPr="002E19F8" w14:paraId="42FE53A1"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9200F06" w14:textId="3E5DA719"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tcPr>
          <w:p w14:paraId="6DED485F" w14:textId="1A3BD630"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1,107</w:t>
            </w:r>
          </w:p>
        </w:tc>
      </w:tr>
      <w:tr w:rsidR="00CE6B6E" w:rsidRPr="002E19F8" w14:paraId="78F826D5"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1DB2FB7" w14:textId="55C4B679"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tcPr>
          <w:p w14:paraId="40C24C5B" w14:textId="698843E7"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CE6B6E" w:rsidRPr="002E19F8" w14:paraId="397DADC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2F6A92C" w14:textId="7AD32B2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tcPr>
          <w:p w14:paraId="2BC4D720" w14:textId="1A582CFD"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CE6B6E" w:rsidRPr="002E19F8" w14:paraId="34D9F370"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581A71B" w14:textId="1C7791A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tcPr>
          <w:p w14:paraId="79F48687" w14:textId="59BF33C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CE6B6E" w:rsidRPr="002E19F8" w14:paraId="7E66074B"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5CD60C" w14:textId="6F66E0B4"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C8C5358" w14:textId="6EF0BA23"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CE6B6E" w:rsidRPr="002E19F8" w14:paraId="6FC5574F" w14:textId="77777777" w:rsidTr="005C66F3">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32CE85" w14:textId="403EBA5B"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7298AF9" w14:textId="6A9CEA25" w:rsidR="00CE6B6E" w:rsidRPr="002E19F8" w:rsidRDefault="00CE6B6E" w:rsidP="009611E4">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r w:rsidR="005C66F3" w:rsidRPr="002E19F8" w14:paraId="11E29CAE" w14:textId="77777777" w:rsidTr="005C66F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3066E" w14:textId="055C31DB" w:rsidR="005C66F3" w:rsidRPr="002E19F8" w:rsidRDefault="005C66F3" w:rsidP="009611E4">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7B8AAB82" w14:textId="03D502BA" w:rsidR="005C66F3" w:rsidRPr="002E19F8" w:rsidRDefault="005C66F3" w:rsidP="009611E4">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bl>
    <w:p w14:paraId="35925CCD" w14:textId="77777777" w:rsidR="003857FA" w:rsidRDefault="00CE6B6E" w:rsidP="003857FA">
      <w:pPr>
        <w:spacing w:before="240" w:line="240" w:lineRule="auto"/>
        <w:rPr>
          <w:sz w:val="24"/>
          <w:szCs w:val="24"/>
        </w:rPr>
      </w:pPr>
      <w:r w:rsidRPr="002E19F8">
        <w:rPr>
          <w:b/>
          <w:sz w:val="24"/>
          <w:szCs w:val="24"/>
        </w:rPr>
        <w:t>Highlights:</w:t>
      </w:r>
      <w:r w:rsidRPr="002E19F8">
        <w:rPr>
          <w:sz w:val="24"/>
          <w:szCs w:val="24"/>
        </w:rPr>
        <w:t xml:space="preserve"> </w:t>
      </w:r>
      <w:r w:rsidR="003857FA" w:rsidRPr="003857FA">
        <w:rPr>
          <w:sz w:val="24"/>
          <w:szCs w:val="24"/>
        </w:rPr>
        <w:t>Graph depicts the proportion of Massachusetts reported confirmed and probable infectious syphilis cases broken down by gender of sex partners for the years 2015 through 2023. The highest percentage of cases for each year reported male sex partners and are classified as MSM (men who have sex with men) making up a high of 77% of cases in 2017 and a resulting 58.8% of cases in 2023. In total, over the nine-year period, the proportion of cases by gender of sex partners were from highest to lowest: MSM, MSW (men who have sex with women), unknown males, women, and transgender individuals. For 2023, the order in frequency from highest to lowest is: MSM, women, MSW, unknown males, and individuals of transgender experience.</w:t>
      </w:r>
    </w:p>
    <w:p w14:paraId="415F6C6B" w14:textId="2E3B5756" w:rsidR="00CE6B6E" w:rsidRPr="002E19F8" w:rsidRDefault="003857FA" w:rsidP="003857FA">
      <w:pPr>
        <w:spacing w:before="240" w:line="240" w:lineRule="auto"/>
        <w:rPr>
          <w:sz w:val="24"/>
          <w:szCs w:val="24"/>
        </w:rPr>
      </w:pPr>
      <w:r w:rsidRPr="003857FA">
        <w:rPr>
          <w:sz w:val="24"/>
          <w:szCs w:val="24"/>
        </w:rPr>
        <w:t>Note: Infectious syphilis is defined as primary, secondary and early latent (non-primary/non-secondary) stages of syphilis within one year of infection.</w:t>
      </w:r>
    </w:p>
    <w:p w14:paraId="5788A3F6" w14:textId="247FCB17" w:rsidR="00CE6B6E" w:rsidRPr="002E19F8" w:rsidRDefault="00CE6B6E" w:rsidP="52C804C8">
      <w:pPr>
        <w:spacing w:after="0" w:line="240" w:lineRule="auto"/>
        <w:rPr>
          <w:sz w:val="24"/>
          <w:szCs w:val="24"/>
        </w:rPr>
      </w:pPr>
      <w:r w:rsidRPr="002E19F8">
        <w:rPr>
          <w:b/>
          <w:sz w:val="24"/>
          <w:szCs w:val="24"/>
        </w:rPr>
        <w:t>Footnotes</w:t>
      </w:r>
      <w:r w:rsidR="34A5F26E" w:rsidRPr="002E19F8">
        <w:rPr>
          <w:b/>
          <w:bCs/>
          <w:sz w:val="24"/>
          <w:szCs w:val="24"/>
        </w:rPr>
        <w:t xml:space="preserve"> for Slide 19</w:t>
      </w:r>
      <w:r w:rsidRPr="002E19F8">
        <w:rPr>
          <w:b/>
          <w:bCs/>
          <w:sz w:val="24"/>
          <w:szCs w:val="24"/>
        </w:rPr>
        <w:t xml:space="preserve"> </w:t>
      </w:r>
    </w:p>
    <w:p w14:paraId="5A555940" w14:textId="77777777" w:rsidR="003857FA" w:rsidRPr="003857FA" w:rsidRDefault="003857FA" w:rsidP="003857FA">
      <w:pPr>
        <w:spacing w:after="0" w:line="240" w:lineRule="auto"/>
        <w:rPr>
          <w:sz w:val="24"/>
          <w:szCs w:val="24"/>
        </w:rPr>
      </w:pPr>
      <w:r w:rsidRPr="003857FA">
        <w:rPr>
          <w:sz w:val="24"/>
          <w:szCs w:val="24"/>
        </w:rPr>
        <w:t>Data are current as of 07/17/2024 and are subject to change.</w:t>
      </w:r>
    </w:p>
    <w:p w14:paraId="174DC1D2" w14:textId="4A436788" w:rsidR="003857FA" w:rsidRPr="003857FA" w:rsidRDefault="003857FA" w:rsidP="003857FA">
      <w:pPr>
        <w:spacing w:after="0" w:line="240" w:lineRule="auto"/>
        <w:rPr>
          <w:sz w:val="24"/>
          <w:szCs w:val="24"/>
        </w:rPr>
      </w:pPr>
      <w:r w:rsidRPr="003857FA">
        <w:rPr>
          <w:sz w:val="24"/>
          <w:szCs w:val="24"/>
        </w:rPr>
        <w:t>Data Source: Massachusetts Department of Public Health/Bureau of Infectious Disease and Laboratory Sciences/Division of STD Prevention and STD-HIV Surveillance. </w:t>
      </w:r>
    </w:p>
    <w:p w14:paraId="1D115967" w14:textId="77777777" w:rsidR="003857FA" w:rsidRPr="003857FA" w:rsidRDefault="003857FA" w:rsidP="003857FA">
      <w:pPr>
        <w:spacing w:after="0" w:line="240" w:lineRule="auto"/>
        <w:rPr>
          <w:sz w:val="24"/>
          <w:szCs w:val="24"/>
        </w:rPr>
      </w:pPr>
      <w:r w:rsidRPr="003857FA">
        <w:rPr>
          <w:sz w:val="24"/>
          <w:szCs w:val="24"/>
        </w:rPr>
        <w:t>Note: National Notifiable Diseases Surveillance System (NNDSS) Congenital Syphilis case definition was updated in 2014.</w:t>
      </w:r>
    </w:p>
    <w:p w14:paraId="3D9F7C2A" w14:textId="77777777" w:rsidR="003857FA" w:rsidRPr="003857FA" w:rsidRDefault="003857FA" w:rsidP="003857FA">
      <w:pPr>
        <w:spacing w:after="0" w:line="240" w:lineRule="auto"/>
        <w:rPr>
          <w:sz w:val="24"/>
          <w:szCs w:val="24"/>
        </w:rPr>
      </w:pPr>
      <w:r w:rsidRPr="003857FA">
        <w:rPr>
          <w:sz w:val="24"/>
          <w:szCs w:val="24"/>
        </w:rPr>
        <w:t>1. Infectious syphilis is defined as primary, secondary and early latent stages of syphilis within one year of infection.</w:t>
      </w:r>
    </w:p>
    <w:p w14:paraId="2A6B367E" w14:textId="77777777" w:rsidR="003857FA" w:rsidRPr="003857FA" w:rsidRDefault="003857FA" w:rsidP="003857FA">
      <w:pPr>
        <w:spacing w:after="0" w:line="240" w:lineRule="auto"/>
        <w:rPr>
          <w:sz w:val="24"/>
          <w:szCs w:val="24"/>
        </w:rPr>
      </w:pPr>
      <w:r w:rsidRPr="003857FA">
        <w:rPr>
          <w:sz w:val="24"/>
          <w:szCs w:val="24"/>
        </w:rPr>
        <w:t>2. Please consider the impact of the COVID-19 pandemic on infectious disease screening, treatment and surveillance in the interpretation of 2020-2023 data. </w:t>
      </w:r>
    </w:p>
    <w:p w14:paraId="01FF952A" w14:textId="6E165471" w:rsidR="00860D9B" w:rsidRPr="002E19F8" w:rsidRDefault="003857FA" w:rsidP="003857FA">
      <w:pPr>
        <w:spacing w:after="0" w:line="240" w:lineRule="auto"/>
        <w:rPr>
          <w:b/>
          <w:sz w:val="24"/>
          <w:szCs w:val="24"/>
        </w:rPr>
      </w:pPr>
      <w:r w:rsidRPr="003857FA">
        <w:rPr>
          <w:sz w:val="24"/>
          <w:szCs w:val="24"/>
        </w:rPr>
        <w:t>3. The MSM (men who have sex with men) category includes MSMT,  MSMW, MSMWT, and MST with “W” referring to women and “T” referring to individuals of transgender experience</w:t>
      </w:r>
    </w:p>
    <w:p w14:paraId="3958036D" w14:textId="1C6DDC00" w:rsidR="00CE6B6E" w:rsidRPr="002E19F8" w:rsidRDefault="00CE6B6E" w:rsidP="52C804C8">
      <w:pPr>
        <w:spacing w:after="0" w:line="240" w:lineRule="auto"/>
        <w:rPr>
          <w:b/>
          <w:bCs/>
          <w:sz w:val="24"/>
          <w:szCs w:val="24"/>
        </w:rPr>
      </w:pPr>
    </w:p>
    <w:p w14:paraId="7949F337" w14:textId="333298B9" w:rsidR="00CE6B6E" w:rsidRPr="002E19F8" w:rsidRDefault="00CE6B6E" w:rsidP="52C804C8">
      <w:pPr>
        <w:spacing w:after="0" w:line="240" w:lineRule="auto"/>
        <w:rPr>
          <w:b/>
          <w:bCs/>
          <w:sz w:val="24"/>
          <w:szCs w:val="24"/>
        </w:rPr>
      </w:pPr>
    </w:p>
    <w:p w14:paraId="5B31C296" w14:textId="1BC8A2BD" w:rsidR="00CE6B6E" w:rsidRPr="002E19F8" w:rsidRDefault="00CE6B6E" w:rsidP="52C804C8">
      <w:pPr>
        <w:spacing w:after="0" w:line="240" w:lineRule="auto"/>
        <w:rPr>
          <w:b/>
          <w:bCs/>
          <w:sz w:val="24"/>
          <w:szCs w:val="24"/>
        </w:rPr>
      </w:pPr>
    </w:p>
    <w:p w14:paraId="2F0E182F" w14:textId="1DEA68EC" w:rsidR="00CE6B6E" w:rsidRPr="003233F8" w:rsidRDefault="00CE6B6E" w:rsidP="003D5C5F">
      <w:pPr>
        <w:pStyle w:val="Heading2"/>
      </w:pPr>
      <w:bookmarkStart w:id="22" w:name="_Toc184132232"/>
      <w:r w:rsidRPr="003233F8">
        <w:t>Slide 20</w:t>
      </w:r>
      <w:r w:rsidR="00210523" w:rsidRPr="003233F8">
        <w:t xml:space="preserve"> -</w:t>
      </w:r>
      <w:r w:rsidRPr="003233F8">
        <w:t xml:space="preserve"> </w:t>
      </w:r>
      <w:r w:rsidR="00D90AD5" w:rsidRPr="00D90AD5">
        <w:t>Congenital Syphilis Cases and Rate of Confirmed and Probable Infectious Syphilis</w:t>
      </w:r>
      <w:r w:rsidR="00D90AD5" w:rsidRPr="00D90AD5">
        <w:rPr>
          <w:vertAlign w:val="superscript"/>
        </w:rPr>
        <w:t>1</w:t>
      </w:r>
      <w:r w:rsidR="00D90AD5" w:rsidRPr="00D90AD5">
        <w:t xml:space="preserve"> Among Persons of Reproductive Potential Ages 15 to 49 Years, Massachusetts, 2010-2023</w:t>
      </w:r>
      <w:r w:rsidR="00D90AD5" w:rsidRPr="00D90AD5">
        <w:rPr>
          <w:vertAlign w:val="superscript"/>
        </w:rPr>
        <w:t>2</w:t>
      </w:r>
      <w:bookmarkEnd w:id="22"/>
    </w:p>
    <w:p w14:paraId="24DAC4A7" w14:textId="06D05E00" w:rsidR="00CE6B6E" w:rsidRPr="002E19F8" w:rsidRDefault="001226E8" w:rsidP="00EC6FB0">
      <w:pPr>
        <w:spacing w:after="0" w:line="240" w:lineRule="auto"/>
        <w:rPr>
          <w:sz w:val="24"/>
          <w:szCs w:val="24"/>
        </w:rPr>
      </w:pPr>
      <w:r>
        <w:rPr>
          <w:noProof/>
          <w:sz w:val="24"/>
          <w:szCs w:val="24"/>
        </w:rPr>
        <w:drawing>
          <wp:inline distT="0" distB="0" distL="0" distR="0" wp14:anchorId="6858366E" wp14:editId="3F5AE6C5">
            <wp:extent cx="5939155" cy="1843405"/>
            <wp:effectExtent l="0" t="0" r="4445" b="4445"/>
            <wp:docPr id="628063608" name="Picture 628063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63608" name="Picture 62806360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1843405"/>
                    </a:xfrm>
                    <a:prstGeom prst="rect">
                      <a:avLst/>
                    </a:prstGeom>
                    <a:noFill/>
                    <a:ln>
                      <a:noFill/>
                    </a:ln>
                  </pic:spPr>
                </pic:pic>
              </a:graphicData>
            </a:graphic>
          </wp:inline>
        </w:drawing>
      </w:r>
    </w:p>
    <w:p w14:paraId="432B13F2" w14:textId="2BF7AF27" w:rsidR="00CE6B6E" w:rsidRPr="002E19F8" w:rsidRDefault="00CE6B6E" w:rsidP="00CE6B6E">
      <w:pPr>
        <w:spacing w:after="0" w:line="240" w:lineRule="auto"/>
        <w:rPr>
          <w:b/>
          <w:sz w:val="24"/>
          <w:szCs w:val="24"/>
        </w:rPr>
      </w:pPr>
      <w:r w:rsidRPr="002E19F8">
        <w:rPr>
          <w:b/>
          <w:sz w:val="24"/>
          <w:szCs w:val="24"/>
        </w:rPr>
        <w:t>Table: Infectious Syphilis Cases Among Individuals Biologically Capable of Pregnancy</w:t>
      </w:r>
    </w:p>
    <w:tbl>
      <w:tblPr>
        <w:tblW w:w="1920" w:type="dxa"/>
        <w:tblLook w:val="0420" w:firstRow="1" w:lastRow="0" w:firstColumn="0" w:lastColumn="0" w:noHBand="0" w:noVBand="1"/>
      </w:tblPr>
      <w:tblGrid>
        <w:gridCol w:w="960"/>
        <w:gridCol w:w="960"/>
      </w:tblGrid>
      <w:tr w:rsidR="00CE6B6E" w:rsidRPr="002E19F8" w14:paraId="43A0E166" w14:textId="77777777" w:rsidTr="009611E4">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8F192" w14:textId="77777777" w:rsidR="00CE6B6E" w:rsidRPr="002E19F8" w:rsidRDefault="00CE6B6E" w:rsidP="009611E4">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4852E4" w14:textId="77777777" w:rsidR="00CE6B6E" w:rsidRPr="002E19F8" w:rsidRDefault="00CE6B6E" w:rsidP="009611E4">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210523" w:rsidRPr="002E19F8" w14:paraId="0AC7170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CE51707" w14:textId="32EDCFEF"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2010</w:t>
            </w:r>
          </w:p>
        </w:tc>
        <w:tc>
          <w:tcPr>
            <w:tcW w:w="960" w:type="dxa"/>
            <w:tcBorders>
              <w:top w:val="nil"/>
              <w:left w:val="nil"/>
              <w:bottom w:val="single" w:sz="4" w:space="0" w:color="auto"/>
              <w:right w:val="single" w:sz="4" w:space="0" w:color="auto"/>
            </w:tcBorders>
            <w:shd w:val="clear" w:color="auto" w:fill="FFFFFF" w:themeFill="background1"/>
            <w:vAlign w:val="center"/>
          </w:tcPr>
          <w:p w14:paraId="6BB14593" w14:textId="438F1D7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28</w:t>
            </w:r>
          </w:p>
        </w:tc>
      </w:tr>
      <w:tr w:rsidR="00210523" w:rsidRPr="002E19F8" w14:paraId="3A550E2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2CB66D9" w14:textId="2B4EB020"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2011</w:t>
            </w:r>
          </w:p>
        </w:tc>
        <w:tc>
          <w:tcPr>
            <w:tcW w:w="960" w:type="dxa"/>
            <w:tcBorders>
              <w:top w:val="nil"/>
              <w:left w:val="nil"/>
              <w:bottom w:val="single" w:sz="4" w:space="0" w:color="auto"/>
              <w:right w:val="single" w:sz="4" w:space="0" w:color="auto"/>
            </w:tcBorders>
            <w:shd w:val="clear" w:color="auto" w:fill="FFFFFF" w:themeFill="background1"/>
            <w:vAlign w:val="center"/>
          </w:tcPr>
          <w:p w14:paraId="20355D9D" w14:textId="646A129A"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42</w:t>
            </w:r>
          </w:p>
        </w:tc>
      </w:tr>
      <w:tr w:rsidR="00210523" w:rsidRPr="002E19F8" w14:paraId="41E2220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C0CB7E5" w14:textId="18DF7F6D"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2012</w:t>
            </w:r>
          </w:p>
        </w:tc>
        <w:tc>
          <w:tcPr>
            <w:tcW w:w="960" w:type="dxa"/>
            <w:tcBorders>
              <w:top w:val="nil"/>
              <w:left w:val="nil"/>
              <w:bottom w:val="single" w:sz="4" w:space="0" w:color="auto"/>
              <w:right w:val="single" w:sz="4" w:space="0" w:color="auto"/>
            </w:tcBorders>
            <w:shd w:val="clear" w:color="auto" w:fill="FFFFFF" w:themeFill="background1"/>
            <w:vAlign w:val="center"/>
          </w:tcPr>
          <w:p w14:paraId="3EF7C234" w14:textId="54589CDF"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43</w:t>
            </w:r>
          </w:p>
        </w:tc>
      </w:tr>
      <w:tr w:rsidR="00210523" w:rsidRPr="002E19F8" w14:paraId="70D8B62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B4037EB" w14:textId="45CD1AFA"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2013</w:t>
            </w:r>
          </w:p>
        </w:tc>
        <w:tc>
          <w:tcPr>
            <w:tcW w:w="960" w:type="dxa"/>
            <w:tcBorders>
              <w:top w:val="nil"/>
              <w:left w:val="nil"/>
              <w:bottom w:val="single" w:sz="4" w:space="0" w:color="auto"/>
              <w:right w:val="single" w:sz="4" w:space="0" w:color="auto"/>
            </w:tcBorders>
            <w:shd w:val="clear" w:color="auto" w:fill="FFFFFF" w:themeFill="background1"/>
            <w:vAlign w:val="center"/>
          </w:tcPr>
          <w:p w14:paraId="09ADEFE4" w14:textId="66870BAC"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w:t>
            </w:r>
          </w:p>
        </w:tc>
      </w:tr>
      <w:tr w:rsidR="00210523" w:rsidRPr="002E19F8" w14:paraId="769ADF2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4D1A69A" w14:textId="4F27389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2014</w:t>
            </w:r>
          </w:p>
        </w:tc>
        <w:tc>
          <w:tcPr>
            <w:tcW w:w="960" w:type="dxa"/>
            <w:tcBorders>
              <w:top w:val="nil"/>
              <w:left w:val="nil"/>
              <w:bottom w:val="single" w:sz="4" w:space="0" w:color="auto"/>
              <w:right w:val="single" w:sz="4" w:space="0" w:color="auto"/>
            </w:tcBorders>
            <w:shd w:val="clear" w:color="auto" w:fill="FFFFFF" w:themeFill="background1"/>
            <w:vAlign w:val="center"/>
          </w:tcPr>
          <w:p w14:paraId="39F13C16" w14:textId="65D7BE91"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w:t>
            </w:r>
          </w:p>
        </w:tc>
      </w:tr>
      <w:tr w:rsidR="00210523" w:rsidRPr="002E19F8" w14:paraId="4B849986"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DF3E78A"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2015</w:t>
            </w:r>
          </w:p>
        </w:tc>
        <w:tc>
          <w:tcPr>
            <w:tcW w:w="960" w:type="dxa"/>
            <w:tcBorders>
              <w:top w:val="nil"/>
              <w:left w:val="nil"/>
              <w:bottom w:val="single" w:sz="4" w:space="0" w:color="auto"/>
              <w:right w:val="single" w:sz="4" w:space="0" w:color="auto"/>
            </w:tcBorders>
            <w:shd w:val="clear" w:color="auto" w:fill="FFFFFF" w:themeFill="background1"/>
            <w:vAlign w:val="center"/>
          </w:tcPr>
          <w:p w14:paraId="610658AC" w14:textId="20B6AEE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50</w:t>
            </w:r>
          </w:p>
        </w:tc>
      </w:tr>
      <w:tr w:rsidR="00210523" w:rsidRPr="002E19F8" w14:paraId="0BF31078"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90277C1"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2016</w:t>
            </w:r>
          </w:p>
        </w:tc>
        <w:tc>
          <w:tcPr>
            <w:tcW w:w="960" w:type="dxa"/>
            <w:tcBorders>
              <w:top w:val="nil"/>
              <w:left w:val="nil"/>
              <w:bottom w:val="single" w:sz="4" w:space="0" w:color="auto"/>
              <w:right w:val="single" w:sz="4" w:space="0" w:color="auto"/>
            </w:tcBorders>
            <w:shd w:val="clear" w:color="auto" w:fill="FFFFFF" w:themeFill="background1"/>
            <w:vAlign w:val="center"/>
          </w:tcPr>
          <w:p w14:paraId="2EB90B4B" w14:textId="5C93D4C6"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74</w:t>
            </w:r>
          </w:p>
        </w:tc>
      </w:tr>
      <w:tr w:rsidR="00210523" w:rsidRPr="002E19F8" w14:paraId="3FF45AD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6CB855E"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2017</w:t>
            </w:r>
          </w:p>
        </w:tc>
        <w:tc>
          <w:tcPr>
            <w:tcW w:w="960" w:type="dxa"/>
            <w:tcBorders>
              <w:top w:val="nil"/>
              <w:left w:val="nil"/>
              <w:bottom w:val="single" w:sz="4" w:space="0" w:color="auto"/>
              <w:right w:val="single" w:sz="4" w:space="0" w:color="auto"/>
            </w:tcBorders>
            <w:shd w:val="clear" w:color="auto" w:fill="FFFFFF" w:themeFill="background1"/>
            <w:vAlign w:val="center"/>
          </w:tcPr>
          <w:p w14:paraId="48C81C59" w14:textId="4AF864D4"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55</w:t>
            </w:r>
          </w:p>
        </w:tc>
      </w:tr>
      <w:tr w:rsidR="00210523" w:rsidRPr="002E19F8" w14:paraId="4ADBC4CF"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1C4D17FD"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tcPr>
          <w:p w14:paraId="549DF563" w14:textId="29D97A73"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85</w:t>
            </w:r>
          </w:p>
        </w:tc>
      </w:tr>
      <w:tr w:rsidR="00210523" w:rsidRPr="002E19F8" w14:paraId="40FA45C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C1A1DFA"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tcPr>
          <w:p w14:paraId="40FCE56C" w14:textId="10E11ABB"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114</w:t>
            </w:r>
          </w:p>
        </w:tc>
      </w:tr>
      <w:tr w:rsidR="00210523" w:rsidRPr="002E19F8" w14:paraId="5C99159A"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C532866"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tcPr>
          <w:p w14:paraId="7D41B3BB" w14:textId="273BCA40"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101</w:t>
            </w:r>
          </w:p>
        </w:tc>
      </w:tr>
      <w:tr w:rsidR="00210523" w:rsidRPr="002E19F8" w14:paraId="23F63C59"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DE9AC5"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1E47200" w14:textId="427F88A1"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105</w:t>
            </w:r>
          </w:p>
        </w:tc>
      </w:tr>
      <w:tr w:rsidR="00210523" w:rsidRPr="002E19F8" w14:paraId="23623286" w14:textId="77777777" w:rsidTr="001226E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5EDB6" w14:textId="77777777"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F2D2E9E" w14:textId="4DB4CBB5" w:rsidR="00210523" w:rsidRPr="002E19F8" w:rsidRDefault="00210523" w:rsidP="00210523">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w:t>
            </w:r>
          </w:p>
        </w:tc>
      </w:tr>
      <w:tr w:rsidR="001226E8" w:rsidRPr="002E19F8" w14:paraId="54FEB263" w14:textId="77777777" w:rsidTr="001226E8">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52581" w14:textId="2B67ECA0" w:rsidR="001226E8" w:rsidRPr="002E19F8" w:rsidRDefault="001226E8" w:rsidP="00210523">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6C4CAFBC" w14:textId="47750EFB" w:rsidR="001226E8" w:rsidRPr="002E19F8" w:rsidRDefault="001226E8" w:rsidP="00210523">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196</w:t>
            </w:r>
          </w:p>
        </w:tc>
      </w:tr>
    </w:tbl>
    <w:p w14:paraId="20F9D4DE" w14:textId="6C4C9E99" w:rsidR="001F1F6B" w:rsidRPr="001F1F6B" w:rsidRDefault="00CE6B6E" w:rsidP="001F1F6B">
      <w:pPr>
        <w:spacing w:before="240" w:after="0" w:line="240" w:lineRule="auto"/>
        <w:rPr>
          <w:sz w:val="24"/>
          <w:szCs w:val="24"/>
        </w:rPr>
      </w:pPr>
      <w:r w:rsidRPr="002E19F8">
        <w:rPr>
          <w:b/>
          <w:sz w:val="24"/>
          <w:szCs w:val="24"/>
        </w:rPr>
        <w:t>Highlights:</w:t>
      </w:r>
      <w:r w:rsidRPr="002E19F8">
        <w:rPr>
          <w:sz w:val="24"/>
          <w:szCs w:val="24"/>
        </w:rPr>
        <w:t xml:space="preserve"> </w:t>
      </w:r>
      <w:r w:rsidR="001F1F6B" w:rsidRPr="001F1F6B">
        <w:rPr>
          <w:sz w:val="24"/>
          <w:szCs w:val="24"/>
        </w:rPr>
        <w:t>Graph depicts the case count for confirmed and probable congenital syphilis cases reported in Massachusetts between 2010 and 2023. The case counts are 1, 0, 1, 4, 3, 4, 4, 0, 0, 9, 10, 9, 11, and 14 for 2010, 2022, 2012, 2013, 2014, 2015, 2016, 2017, 2018, 2019, 2020, 2021, 2022, and 2023, respectively. Additionally, the graph shows a line depicting the rate per 100,000 population of confirmed and probable infectious syphilis among individuals thought to be capable of pregnancy ages 15 to 49 years which starts with a rate of 1.7 in 2010 and peaks in 2023 with a rate of 11.9.</w:t>
      </w:r>
    </w:p>
    <w:p w14:paraId="7206D7F1" w14:textId="2B68045E" w:rsidR="00CE6B6E" w:rsidRPr="002E19F8" w:rsidRDefault="001F1F6B" w:rsidP="001F1F6B">
      <w:pPr>
        <w:spacing w:before="240" w:after="0" w:line="240" w:lineRule="auto"/>
        <w:rPr>
          <w:sz w:val="24"/>
          <w:szCs w:val="24"/>
        </w:rPr>
      </w:pPr>
      <w:r w:rsidRPr="001F1F6B">
        <w:rPr>
          <w:sz w:val="24"/>
          <w:szCs w:val="24"/>
        </w:rPr>
        <w:t>Note: Infectious syphilis is defined as primary, secondary and early latent (non-primary/non-secondary) stages of syphilis within one year of infection.</w:t>
      </w:r>
    </w:p>
    <w:p w14:paraId="1F5418BF" w14:textId="56423EAB" w:rsidR="52C804C8" w:rsidRPr="002E19F8" w:rsidRDefault="52C804C8" w:rsidP="52C804C8">
      <w:pPr>
        <w:spacing w:after="0" w:line="240" w:lineRule="auto"/>
        <w:rPr>
          <w:sz w:val="24"/>
          <w:szCs w:val="24"/>
        </w:rPr>
      </w:pPr>
    </w:p>
    <w:p w14:paraId="5B56B26B" w14:textId="521AA7E8" w:rsidR="00CE6B6E" w:rsidRPr="002E19F8" w:rsidRDefault="00CE6B6E" w:rsidP="52C804C8">
      <w:pPr>
        <w:spacing w:after="0" w:line="240" w:lineRule="auto"/>
        <w:rPr>
          <w:sz w:val="24"/>
          <w:szCs w:val="24"/>
        </w:rPr>
      </w:pPr>
      <w:r w:rsidRPr="002E19F8">
        <w:rPr>
          <w:b/>
          <w:sz w:val="24"/>
          <w:szCs w:val="24"/>
        </w:rPr>
        <w:t>Footnotes</w:t>
      </w:r>
      <w:r w:rsidR="44F720DA" w:rsidRPr="002E19F8">
        <w:rPr>
          <w:b/>
          <w:bCs/>
          <w:sz w:val="24"/>
          <w:szCs w:val="24"/>
        </w:rPr>
        <w:t xml:space="preserve"> for Slide 20</w:t>
      </w:r>
      <w:r w:rsidRPr="002E19F8">
        <w:rPr>
          <w:sz w:val="24"/>
          <w:szCs w:val="24"/>
        </w:rPr>
        <w:t xml:space="preserve"> </w:t>
      </w:r>
    </w:p>
    <w:p w14:paraId="5DD662A3" w14:textId="77777777" w:rsidR="001F1F6B" w:rsidRPr="001F1F6B" w:rsidRDefault="001F1F6B" w:rsidP="001F1F6B">
      <w:pPr>
        <w:spacing w:after="0" w:line="240" w:lineRule="auto"/>
        <w:rPr>
          <w:sz w:val="24"/>
          <w:szCs w:val="24"/>
        </w:rPr>
      </w:pPr>
      <w:r w:rsidRPr="001F1F6B">
        <w:rPr>
          <w:sz w:val="24"/>
          <w:szCs w:val="24"/>
        </w:rPr>
        <w:t>Data are current as of 07/17/2024 and are subject to change.</w:t>
      </w:r>
    </w:p>
    <w:p w14:paraId="0492F297" w14:textId="4430745B" w:rsidR="001F1F6B" w:rsidRPr="001F1F6B" w:rsidRDefault="001F1F6B" w:rsidP="001F1F6B">
      <w:pPr>
        <w:spacing w:after="0" w:line="240" w:lineRule="auto"/>
        <w:rPr>
          <w:sz w:val="24"/>
          <w:szCs w:val="24"/>
        </w:rPr>
      </w:pPr>
      <w:r w:rsidRPr="001F1F6B">
        <w:rPr>
          <w:sz w:val="24"/>
          <w:szCs w:val="24"/>
        </w:rPr>
        <w:t>Data Source: Massachusetts Department of Public Health/Bureau of Infectious Disease and Laboratory Sciences/Division of STD Prevention. </w:t>
      </w:r>
    </w:p>
    <w:p w14:paraId="14714980" w14:textId="77777777" w:rsidR="001F1F6B" w:rsidRPr="001F1F6B" w:rsidRDefault="001F1F6B" w:rsidP="001F1F6B">
      <w:pPr>
        <w:spacing w:after="0" w:line="240" w:lineRule="auto"/>
        <w:rPr>
          <w:sz w:val="24"/>
          <w:szCs w:val="24"/>
        </w:rPr>
      </w:pPr>
      <w:r w:rsidRPr="001F1F6B">
        <w:rPr>
          <w:sz w:val="24"/>
          <w:szCs w:val="24"/>
        </w:rPr>
        <w:t>Population denominators estimated by the University of Massachusetts Donahue Institute using a modified Hamilton-Perry model (Strate S, et al. Small Area Population Estimates for 2011 through 2020 report, Oct 2016).</w:t>
      </w:r>
    </w:p>
    <w:p w14:paraId="591D6148" w14:textId="77777777" w:rsidR="001F1F6B" w:rsidRPr="001F1F6B" w:rsidRDefault="001F1F6B" w:rsidP="001F1F6B">
      <w:pPr>
        <w:spacing w:after="0" w:line="240" w:lineRule="auto"/>
        <w:rPr>
          <w:sz w:val="24"/>
          <w:szCs w:val="24"/>
        </w:rPr>
      </w:pPr>
      <w:r w:rsidRPr="001F1F6B">
        <w:rPr>
          <w:sz w:val="24"/>
          <w:szCs w:val="24"/>
        </w:rPr>
        <w:t>Note: National Notifiable Diseases Surveillance System (NNDSS) Congenital Syphilis case definition was updated in 2014.</w:t>
      </w:r>
    </w:p>
    <w:p w14:paraId="5729E052" w14:textId="77777777" w:rsidR="001F1F6B" w:rsidRPr="001F1F6B" w:rsidRDefault="001F1F6B" w:rsidP="001F1F6B">
      <w:pPr>
        <w:spacing w:after="0" w:line="240" w:lineRule="auto"/>
        <w:rPr>
          <w:sz w:val="24"/>
          <w:szCs w:val="24"/>
        </w:rPr>
      </w:pPr>
      <w:r w:rsidRPr="001F1F6B">
        <w:rPr>
          <w:sz w:val="24"/>
          <w:szCs w:val="24"/>
        </w:rPr>
        <w:t>1. Infectious syphilis is defined as primary, secondary and early latent stages of syphilis within one year of infection.</w:t>
      </w:r>
    </w:p>
    <w:p w14:paraId="7C8F8978" w14:textId="77777777" w:rsidR="001F1F6B" w:rsidRPr="001F1F6B" w:rsidRDefault="001F1F6B" w:rsidP="001F1F6B">
      <w:pPr>
        <w:spacing w:after="0" w:line="240" w:lineRule="auto"/>
        <w:rPr>
          <w:sz w:val="24"/>
          <w:szCs w:val="24"/>
        </w:rPr>
      </w:pPr>
      <w:r w:rsidRPr="001F1F6B">
        <w:rPr>
          <w:sz w:val="24"/>
          <w:szCs w:val="24"/>
        </w:rPr>
        <w:t>2. Please consider the impact of the COVID-19 pandemic on infectious disease screening, treatment and surveillance in the interpretation of 2020-2023 data.</w:t>
      </w:r>
    </w:p>
    <w:p w14:paraId="2999BF13" w14:textId="77777777" w:rsidR="001F1F6B" w:rsidRPr="001F1F6B" w:rsidRDefault="001F1F6B" w:rsidP="001F1F6B">
      <w:pPr>
        <w:spacing w:after="0" w:line="240" w:lineRule="auto"/>
        <w:rPr>
          <w:sz w:val="24"/>
          <w:szCs w:val="24"/>
        </w:rPr>
      </w:pPr>
      <w:r w:rsidRPr="001F1F6B">
        <w:rPr>
          <w:sz w:val="24"/>
          <w:szCs w:val="24"/>
        </w:rPr>
        <w:t xml:space="preserve">3. Persons of Reproductive Potential refers to individuals thought to be capable of pregnancy ages 15 to 49 years and not known to be assigned sex male at birth. </w:t>
      </w:r>
    </w:p>
    <w:p w14:paraId="0621654D" w14:textId="77777777" w:rsidR="00CE6B6E" w:rsidRPr="002E19F8" w:rsidRDefault="00CE6B6E" w:rsidP="00EC6FB0">
      <w:pPr>
        <w:spacing w:after="0" w:line="240" w:lineRule="auto"/>
        <w:rPr>
          <w:sz w:val="24"/>
          <w:szCs w:val="24"/>
        </w:rPr>
      </w:pPr>
    </w:p>
    <w:p w14:paraId="28FC55A7" w14:textId="437E233C" w:rsidR="004F3192" w:rsidRDefault="006541F6" w:rsidP="003D5C5F">
      <w:pPr>
        <w:pStyle w:val="Heading2"/>
      </w:pPr>
      <w:bookmarkStart w:id="23" w:name="_Toc184132233"/>
      <w:r w:rsidRPr="003233F8">
        <w:t xml:space="preserve">Slide 21 (title page) - </w:t>
      </w:r>
      <w:r w:rsidRPr="006541F6">
        <w:t xml:space="preserve">Comparison of Pregnant Person with All Stage Syphilis and Reportable Congenital Syphilis with Proportion of Congenital Cases Averted, Massachusetts, 2019 </w:t>
      </w:r>
      <w:r>
        <w:t>–</w:t>
      </w:r>
      <w:r w:rsidRPr="006541F6">
        <w:t xml:space="preserve"> 2023</w:t>
      </w:r>
      <w:bookmarkEnd w:id="23"/>
    </w:p>
    <w:p w14:paraId="168D8C39" w14:textId="16185E03" w:rsidR="006541F6" w:rsidRDefault="009603AA" w:rsidP="006541F6">
      <w:r w:rsidRPr="009603AA">
        <w:rPr>
          <w:noProof/>
        </w:rPr>
        <w:drawing>
          <wp:inline distT="0" distB="0" distL="0" distR="0" wp14:anchorId="5840039D" wp14:editId="639B2EA1">
            <wp:extent cx="5943600" cy="2520950"/>
            <wp:effectExtent l="0" t="0" r="0" b="0"/>
            <wp:docPr id="7" name="Picture 6">
              <a:extLst xmlns:a="http://schemas.openxmlformats.org/drawingml/2006/main">
                <a:ext uri="{FF2B5EF4-FFF2-40B4-BE49-F238E27FC236}">
                  <a16:creationId xmlns:a16="http://schemas.microsoft.com/office/drawing/2014/main" id="{7A81525F-021A-BD5B-D029-D43693F264A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81525F-021A-BD5B-D029-D43693F264AF}"/>
                        </a:ext>
                        <a:ext uri="{C183D7F6-B498-43B3-948B-1728B52AA6E4}">
                          <adec:decorative xmlns:adec="http://schemas.microsoft.com/office/drawing/2017/decorative" val="1"/>
                        </a:ext>
                      </a:extLst>
                    </pic:cNvPr>
                    <pic:cNvPicPr>
                      <a:picLocks noChangeAspect="1"/>
                    </pic:cNvPicPr>
                  </pic:nvPicPr>
                  <pic:blipFill>
                    <a:blip r:embed="rId25"/>
                    <a:stretch>
                      <a:fillRect/>
                    </a:stretch>
                  </pic:blipFill>
                  <pic:spPr>
                    <a:xfrm>
                      <a:off x="0" y="0"/>
                      <a:ext cx="5943600" cy="2520950"/>
                    </a:xfrm>
                    <a:prstGeom prst="rect">
                      <a:avLst/>
                    </a:prstGeom>
                  </pic:spPr>
                </pic:pic>
              </a:graphicData>
            </a:graphic>
          </wp:inline>
        </w:drawing>
      </w:r>
    </w:p>
    <w:p w14:paraId="2FC5F309" w14:textId="3B714F40" w:rsidR="00B30C90" w:rsidRPr="001F1F6B" w:rsidRDefault="00B30C90" w:rsidP="00B30C90">
      <w:pPr>
        <w:spacing w:before="240" w:after="0" w:line="240" w:lineRule="auto"/>
        <w:rPr>
          <w:sz w:val="24"/>
          <w:szCs w:val="24"/>
        </w:rPr>
      </w:pPr>
      <w:r w:rsidRPr="002E19F8">
        <w:rPr>
          <w:b/>
          <w:sz w:val="24"/>
          <w:szCs w:val="24"/>
        </w:rPr>
        <w:t>Highlights:</w:t>
      </w:r>
      <w:r w:rsidRPr="002E19F8">
        <w:rPr>
          <w:sz w:val="24"/>
          <w:szCs w:val="24"/>
        </w:rPr>
        <w:t xml:space="preserve"> </w:t>
      </w:r>
      <w:r w:rsidR="008B7006" w:rsidRPr="008B7006">
        <w:rPr>
          <w:sz w:val="24"/>
          <w:szCs w:val="24"/>
        </w:rPr>
        <w:t xml:space="preserve">Graph depicts the case count for confirmed and probable congenital syphilis cases reported in Massachusetts between 2019 and 2023. The case counts are 9, 10, 9, 11, and 14 for 2019, 2020, 2021, 2022, and 2023, respectively. Additionally, the graph shows the number of all stage syphilis cases among pregnant individuals who did not have a probable or confirmed congenital syphilis cases by year and the percentage of congenital syphilis cases averted. The number of all stage syphilis among pregnant person was who were not reportable congenital cases are 35, 27, 53, 66, and 91 for 2019, 2020, 2021, 2022, and 2023, respectively. With the proportion of congenital cases averted of 80%, </w:t>
      </w:r>
      <w:r w:rsidR="002461FD" w:rsidRPr="002461FD">
        <w:rPr>
          <w:sz w:val="24"/>
          <w:szCs w:val="24"/>
        </w:rPr>
        <w:t>73%, 85</w:t>
      </w:r>
      <w:r w:rsidR="008B7006" w:rsidRPr="008B7006">
        <w:rPr>
          <w:sz w:val="24"/>
          <w:szCs w:val="24"/>
        </w:rPr>
        <w:t xml:space="preserve">%, 86%,  and </w:t>
      </w:r>
      <w:r w:rsidR="002461FD" w:rsidRPr="002461FD">
        <w:rPr>
          <w:sz w:val="24"/>
          <w:szCs w:val="24"/>
        </w:rPr>
        <w:t>87</w:t>
      </w:r>
      <w:r w:rsidR="008B7006" w:rsidRPr="008B7006">
        <w:rPr>
          <w:sz w:val="24"/>
          <w:szCs w:val="24"/>
        </w:rPr>
        <w:t>% for 2019, 2020, 2021, 2022, and 2023, respectively.</w:t>
      </w:r>
    </w:p>
    <w:p w14:paraId="7A5A06FC" w14:textId="77777777" w:rsidR="00B30C90" w:rsidRPr="002E19F8" w:rsidRDefault="00B30C90" w:rsidP="00B30C90">
      <w:pPr>
        <w:spacing w:after="0" w:line="240" w:lineRule="auto"/>
        <w:rPr>
          <w:sz w:val="24"/>
          <w:szCs w:val="24"/>
        </w:rPr>
      </w:pPr>
    </w:p>
    <w:p w14:paraId="6ACAEA67" w14:textId="2F5CDFED" w:rsidR="00B30C90" w:rsidRPr="002E19F8" w:rsidRDefault="00B30C90" w:rsidP="00B30C90">
      <w:pPr>
        <w:spacing w:after="0" w:line="240" w:lineRule="auto"/>
        <w:rPr>
          <w:sz w:val="24"/>
          <w:szCs w:val="24"/>
        </w:rPr>
      </w:pPr>
      <w:r w:rsidRPr="002E19F8">
        <w:rPr>
          <w:b/>
          <w:sz w:val="24"/>
          <w:szCs w:val="24"/>
        </w:rPr>
        <w:t>Footnotes</w:t>
      </w:r>
      <w:r w:rsidRPr="002E19F8">
        <w:rPr>
          <w:b/>
          <w:bCs/>
          <w:sz w:val="24"/>
          <w:szCs w:val="24"/>
        </w:rPr>
        <w:t xml:space="preserve"> for Slide 2</w:t>
      </w:r>
      <w:r w:rsidR="008267B4">
        <w:rPr>
          <w:b/>
          <w:bCs/>
          <w:sz w:val="24"/>
          <w:szCs w:val="24"/>
        </w:rPr>
        <w:t>1</w:t>
      </w:r>
      <w:r w:rsidRPr="002E19F8">
        <w:rPr>
          <w:sz w:val="24"/>
          <w:szCs w:val="24"/>
        </w:rPr>
        <w:t xml:space="preserve"> </w:t>
      </w:r>
    </w:p>
    <w:p w14:paraId="10106522" w14:textId="77777777" w:rsidR="008B7006" w:rsidRPr="008B7006" w:rsidRDefault="008B7006" w:rsidP="008B7006">
      <w:pPr>
        <w:spacing w:after="0"/>
        <w:rPr>
          <w:sz w:val="24"/>
          <w:szCs w:val="24"/>
        </w:rPr>
      </w:pPr>
      <w:r w:rsidRPr="008B7006">
        <w:rPr>
          <w:sz w:val="24"/>
          <w:szCs w:val="24"/>
        </w:rPr>
        <w:t>Data are current as of 07/17/2024 and are subject to change.</w:t>
      </w:r>
    </w:p>
    <w:p w14:paraId="60048AB0" w14:textId="77777777" w:rsidR="008B7006" w:rsidRPr="008B7006" w:rsidRDefault="008B7006" w:rsidP="008B7006">
      <w:pPr>
        <w:spacing w:after="0"/>
        <w:rPr>
          <w:sz w:val="24"/>
          <w:szCs w:val="24"/>
        </w:rPr>
      </w:pPr>
      <w:r w:rsidRPr="008B7006">
        <w:rPr>
          <w:sz w:val="24"/>
          <w:szCs w:val="24"/>
        </w:rPr>
        <w:t>Data Source: Massachusetts Department of Public Health/Bureau of Infectious Disease and Laboratory Sciences/ Division of STD Prevention. </w:t>
      </w:r>
    </w:p>
    <w:p w14:paraId="29496AC4" w14:textId="77777777" w:rsidR="008B7006" w:rsidRPr="008B7006" w:rsidRDefault="008B7006" w:rsidP="008B7006">
      <w:pPr>
        <w:spacing w:after="0"/>
        <w:rPr>
          <w:sz w:val="24"/>
          <w:szCs w:val="24"/>
        </w:rPr>
      </w:pPr>
      <w:r w:rsidRPr="008B7006">
        <w:rPr>
          <w:sz w:val="24"/>
          <w:szCs w:val="24"/>
        </w:rPr>
        <w:t>Population denominators estimated by the University of Massachusetts Donahue Institute using a modified Hamilton-Perry model (Strate S, et al. Small Area Population Estimates for 2011 through 2020 report, Oct 2016).</w:t>
      </w:r>
    </w:p>
    <w:p w14:paraId="387B7D61" w14:textId="0091991B" w:rsidR="00B30C90" w:rsidRDefault="008B7006" w:rsidP="008B7006">
      <w:pPr>
        <w:spacing w:after="0"/>
        <w:rPr>
          <w:sz w:val="24"/>
          <w:szCs w:val="24"/>
        </w:rPr>
      </w:pPr>
      <w:r w:rsidRPr="008B7006">
        <w:rPr>
          <w:sz w:val="24"/>
          <w:szCs w:val="24"/>
        </w:rPr>
        <w:t>Please consider the impact of the COVID-19 pandemic on infectious disease screening, treatment and surveillance in the interpretation of 2020-2023 data.</w:t>
      </w:r>
    </w:p>
    <w:p w14:paraId="465BDFB2" w14:textId="77777777" w:rsidR="008267B4" w:rsidRPr="006541F6" w:rsidRDefault="008267B4" w:rsidP="008B7006">
      <w:pPr>
        <w:spacing w:after="0"/>
      </w:pPr>
    </w:p>
    <w:p w14:paraId="59BF38AE" w14:textId="11D90659" w:rsidR="45B78671" w:rsidRDefault="45B78671" w:rsidP="45B78671">
      <w:pPr>
        <w:spacing w:after="0"/>
      </w:pPr>
    </w:p>
    <w:p w14:paraId="0A8B66A9" w14:textId="7684EA4C" w:rsidR="00210523" w:rsidRDefault="00210523" w:rsidP="003D5C5F">
      <w:pPr>
        <w:pStyle w:val="Heading2"/>
      </w:pPr>
      <w:bookmarkStart w:id="24" w:name="_Toc184132234"/>
      <w:r w:rsidRPr="45B78671">
        <w:t>Slide 2</w:t>
      </w:r>
      <w:r w:rsidR="00084669" w:rsidRPr="45B78671">
        <w:t>2</w:t>
      </w:r>
      <w:r w:rsidRPr="45B78671">
        <w:t xml:space="preserve"> (title page) - Chlamydia, Gonorrhea, and Infectious Syphilis: Years 2018 to 202</w:t>
      </w:r>
      <w:r w:rsidR="37A100AD" w:rsidRPr="45B78671">
        <w:t>3</w:t>
      </w:r>
      <w:bookmarkEnd w:id="24"/>
      <w:r w:rsidRPr="45B78671">
        <w:t xml:space="preserve"> </w:t>
      </w:r>
    </w:p>
    <w:p w14:paraId="4678CA51" w14:textId="77777777" w:rsidR="008267B4" w:rsidRDefault="008267B4" w:rsidP="008267B4"/>
    <w:p w14:paraId="5E2222DC" w14:textId="77777777" w:rsidR="008267B4" w:rsidRPr="008267B4" w:rsidRDefault="008267B4" w:rsidP="008267B4"/>
    <w:p w14:paraId="3D480360" w14:textId="24C4390E" w:rsidR="00210523" w:rsidRPr="003233F8" w:rsidRDefault="00210523" w:rsidP="00004164">
      <w:pPr>
        <w:pStyle w:val="Heading2"/>
      </w:pPr>
      <w:bookmarkStart w:id="25" w:name="_Toc184132235"/>
      <w:r w:rsidRPr="003233F8">
        <w:t>Slide 2</w:t>
      </w:r>
      <w:r w:rsidR="00084669">
        <w:t>3</w:t>
      </w:r>
      <w:r w:rsidRPr="003233F8">
        <w:t xml:space="preserve"> - Social Vulnerability Index</w:t>
      </w:r>
      <w:bookmarkEnd w:id="25"/>
      <w:r w:rsidRPr="003233F8">
        <w:t> </w:t>
      </w:r>
    </w:p>
    <w:p w14:paraId="2C17527E" w14:textId="77777777" w:rsidR="00210523" w:rsidRPr="002E19F8" w:rsidRDefault="00210523" w:rsidP="52C804C8">
      <w:pPr>
        <w:spacing w:after="0" w:line="240" w:lineRule="auto"/>
        <w:rPr>
          <w:sz w:val="24"/>
          <w:szCs w:val="24"/>
        </w:rPr>
      </w:pPr>
      <w:r w:rsidRPr="002E19F8">
        <w:rPr>
          <w:sz w:val="24"/>
          <w:szCs w:val="24"/>
        </w:rPr>
        <w:t>Patient addresses were manually cleaned and geocoded utilizing SAS 9.4 </w:t>
      </w:r>
    </w:p>
    <w:p w14:paraId="15C46B17" w14:textId="77777777" w:rsidR="00210523" w:rsidRPr="002E19F8" w:rsidRDefault="00210523" w:rsidP="52C804C8">
      <w:pPr>
        <w:spacing w:after="0" w:line="240" w:lineRule="auto"/>
        <w:rPr>
          <w:sz w:val="24"/>
          <w:szCs w:val="24"/>
        </w:rPr>
      </w:pPr>
      <w:r w:rsidRPr="002E19F8">
        <w:rPr>
          <w:sz w:val="24"/>
          <w:szCs w:val="24"/>
        </w:rPr>
        <w:t>Social Vulnerability Index (SVI) was based on the patient’s home address. </w:t>
      </w:r>
    </w:p>
    <w:p w14:paraId="2B4D177D" w14:textId="77777777" w:rsidR="00210523" w:rsidRPr="002E19F8" w:rsidRDefault="00210523" w:rsidP="52C804C8">
      <w:pPr>
        <w:spacing w:after="0" w:line="240" w:lineRule="auto"/>
        <w:rPr>
          <w:sz w:val="24"/>
          <w:szCs w:val="24"/>
        </w:rPr>
      </w:pPr>
      <w:r w:rsidRPr="002E19F8">
        <w:rPr>
          <w:sz w:val="24"/>
          <w:szCs w:val="24"/>
        </w:rPr>
        <w:t>It characterizes community resilience/ability to withstand external hazards. </w:t>
      </w:r>
    </w:p>
    <w:p w14:paraId="478AF0D9" w14:textId="77777777" w:rsidR="00210523" w:rsidRPr="002E19F8" w:rsidRDefault="00210523" w:rsidP="52C804C8">
      <w:pPr>
        <w:spacing w:after="0" w:line="240" w:lineRule="auto"/>
        <w:rPr>
          <w:sz w:val="24"/>
          <w:szCs w:val="24"/>
        </w:rPr>
      </w:pPr>
      <w:r w:rsidRPr="002E19F8">
        <w:rPr>
          <w:sz w:val="24"/>
          <w:szCs w:val="24"/>
        </w:rPr>
        <w:t>SVI incorporates 15 demographic and socioeconomic variables from the US census.</w:t>
      </w:r>
    </w:p>
    <w:p w14:paraId="384697E3" w14:textId="77777777" w:rsidR="00210523" w:rsidRPr="002E19F8" w:rsidRDefault="00210523" w:rsidP="52C804C8">
      <w:pPr>
        <w:spacing w:after="0" w:line="240" w:lineRule="auto"/>
        <w:rPr>
          <w:sz w:val="24"/>
          <w:szCs w:val="24"/>
        </w:rPr>
      </w:pPr>
      <w:r w:rsidRPr="002E19F8">
        <w:rPr>
          <w:sz w:val="24"/>
          <w:szCs w:val="24"/>
        </w:rPr>
        <w:t>Patients’ census tracts are given a percentile rank and grouped as low, moderately low, moderately high, and high.</w:t>
      </w:r>
    </w:p>
    <w:p w14:paraId="073DBE41" w14:textId="77777777" w:rsidR="00210523" w:rsidRPr="002E19F8" w:rsidRDefault="00210523" w:rsidP="52C804C8">
      <w:pPr>
        <w:spacing w:after="0" w:line="240" w:lineRule="auto"/>
        <w:rPr>
          <w:sz w:val="24"/>
          <w:szCs w:val="24"/>
        </w:rPr>
      </w:pPr>
      <w:r w:rsidRPr="002E19F8">
        <w:rPr>
          <w:sz w:val="24"/>
          <w:szCs w:val="24"/>
        </w:rPr>
        <w:t> Higher percentile scores represent greater community vulnerability.</w:t>
      </w:r>
    </w:p>
    <w:p w14:paraId="66B86E78" w14:textId="77777777" w:rsidR="00210523" w:rsidRPr="002E19F8" w:rsidRDefault="00210523" w:rsidP="52C804C8">
      <w:pPr>
        <w:spacing w:after="0" w:line="240" w:lineRule="auto"/>
        <w:rPr>
          <w:sz w:val="24"/>
          <w:szCs w:val="24"/>
        </w:rPr>
      </w:pPr>
      <w:r w:rsidRPr="002E19F8">
        <w:rPr>
          <w:sz w:val="24"/>
          <w:szCs w:val="24"/>
        </w:rPr>
        <w:t>The CDC/ATSDR SVI database from 2018 was matched to cases from 2018-2019. </w:t>
      </w:r>
    </w:p>
    <w:p w14:paraId="026E3063" w14:textId="4C72EDE6" w:rsidR="00210523" w:rsidRPr="002E19F8" w:rsidRDefault="00210523" w:rsidP="52C804C8">
      <w:pPr>
        <w:spacing w:after="0" w:line="240" w:lineRule="auto"/>
        <w:rPr>
          <w:sz w:val="24"/>
          <w:szCs w:val="24"/>
        </w:rPr>
      </w:pPr>
      <w:r w:rsidRPr="002E19F8">
        <w:rPr>
          <w:sz w:val="24"/>
          <w:szCs w:val="24"/>
        </w:rPr>
        <w:t>The CDC/ATSDR SVI database from 2020 was matched to cases from 2020-2022.</w:t>
      </w:r>
    </w:p>
    <w:p w14:paraId="2FC0FBA1" w14:textId="20EE23C9" w:rsidR="00210523" w:rsidRPr="002E19F8" w:rsidRDefault="00210523" w:rsidP="00EC6FB0">
      <w:pPr>
        <w:spacing w:after="0" w:line="240" w:lineRule="auto"/>
        <w:rPr>
          <w:b/>
          <w:sz w:val="24"/>
          <w:szCs w:val="24"/>
        </w:rPr>
      </w:pPr>
    </w:p>
    <w:p w14:paraId="1B755B24" w14:textId="39BB806E" w:rsidR="52C804C8" w:rsidRPr="002E19F8" w:rsidRDefault="52C804C8" w:rsidP="52C804C8">
      <w:pPr>
        <w:spacing w:after="0" w:line="240" w:lineRule="auto"/>
        <w:rPr>
          <w:b/>
          <w:bCs/>
          <w:sz w:val="24"/>
          <w:szCs w:val="24"/>
        </w:rPr>
      </w:pPr>
    </w:p>
    <w:p w14:paraId="78298D79" w14:textId="3A9190C1" w:rsidR="52C804C8" w:rsidRPr="002E19F8" w:rsidRDefault="52C804C8" w:rsidP="52C804C8">
      <w:pPr>
        <w:spacing w:after="0" w:line="240" w:lineRule="auto"/>
        <w:rPr>
          <w:b/>
          <w:bCs/>
          <w:sz w:val="24"/>
          <w:szCs w:val="24"/>
        </w:rPr>
      </w:pPr>
    </w:p>
    <w:p w14:paraId="14337072" w14:textId="5A9E26E1" w:rsidR="52C804C8" w:rsidRPr="002E19F8" w:rsidRDefault="52C804C8" w:rsidP="52C804C8">
      <w:pPr>
        <w:spacing w:after="0" w:line="240" w:lineRule="auto"/>
        <w:rPr>
          <w:b/>
          <w:bCs/>
          <w:sz w:val="24"/>
          <w:szCs w:val="24"/>
        </w:rPr>
      </w:pPr>
    </w:p>
    <w:p w14:paraId="028A9411" w14:textId="20EC9674" w:rsidR="52C804C8" w:rsidRPr="002E19F8" w:rsidRDefault="52C804C8" w:rsidP="52C804C8">
      <w:pPr>
        <w:spacing w:after="0" w:line="240" w:lineRule="auto"/>
        <w:rPr>
          <w:b/>
          <w:bCs/>
          <w:sz w:val="24"/>
          <w:szCs w:val="24"/>
        </w:rPr>
      </w:pPr>
    </w:p>
    <w:p w14:paraId="72438010" w14:textId="0C3323CC" w:rsidR="52C804C8" w:rsidRPr="002E19F8" w:rsidRDefault="52C804C8" w:rsidP="52C804C8">
      <w:pPr>
        <w:spacing w:after="0" w:line="240" w:lineRule="auto"/>
        <w:rPr>
          <w:b/>
          <w:bCs/>
          <w:sz w:val="24"/>
          <w:szCs w:val="24"/>
        </w:rPr>
      </w:pPr>
    </w:p>
    <w:p w14:paraId="251A8117" w14:textId="057731AD" w:rsidR="52C804C8" w:rsidRPr="002E19F8" w:rsidRDefault="52C804C8" w:rsidP="52C804C8">
      <w:pPr>
        <w:spacing w:after="0" w:line="240" w:lineRule="auto"/>
        <w:rPr>
          <w:b/>
          <w:bCs/>
          <w:sz w:val="24"/>
          <w:szCs w:val="24"/>
        </w:rPr>
      </w:pPr>
    </w:p>
    <w:p w14:paraId="24F533C0" w14:textId="58A94724" w:rsidR="52C804C8" w:rsidRPr="002E19F8" w:rsidRDefault="52C804C8" w:rsidP="52C804C8">
      <w:pPr>
        <w:spacing w:after="0" w:line="240" w:lineRule="auto"/>
        <w:rPr>
          <w:b/>
          <w:bCs/>
          <w:sz w:val="24"/>
          <w:szCs w:val="24"/>
        </w:rPr>
      </w:pPr>
    </w:p>
    <w:p w14:paraId="0BD2679D" w14:textId="40BAD063" w:rsidR="52C804C8" w:rsidRPr="002E19F8" w:rsidRDefault="52C804C8" w:rsidP="52C804C8">
      <w:pPr>
        <w:spacing w:after="0" w:line="240" w:lineRule="auto"/>
        <w:rPr>
          <w:b/>
          <w:bCs/>
          <w:sz w:val="24"/>
          <w:szCs w:val="24"/>
        </w:rPr>
      </w:pPr>
    </w:p>
    <w:p w14:paraId="501C83E3" w14:textId="528ACFEF" w:rsidR="52C804C8" w:rsidRPr="002E19F8" w:rsidRDefault="52C804C8" w:rsidP="52C804C8">
      <w:pPr>
        <w:spacing w:after="0" w:line="240" w:lineRule="auto"/>
        <w:rPr>
          <w:b/>
          <w:bCs/>
          <w:sz w:val="24"/>
          <w:szCs w:val="24"/>
        </w:rPr>
      </w:pPr>
    </w:p>
    <w:p w14:paraId="7D87BE7E" w14:textId="1516471D" w:rsidR="004F3192" w:rsidRPr="002E19F8" w:rsidRDefault="004F3192">
      <w:pPr>
        <w:rPr>
          <w:b/>
          <w:bCs/>
          <w:sz w:val="24"/>
          <w:szCs w:val="24"/>
        </w:rPr>
      </w:pPr>
      <w:r w:rsidRPr="002E19F8">
        <w:rPr>
          <w:b/>
          <w:bCs/>
          <w:sz w:val="24"/>
          <w:szCs w:val="24"/>
        </w:rPr>
        <w:br w:type="page"/>
      </w:r>
    </w:p>
    <w:p w14:paraId="3577211D" w14:textId="6A2BC6B7" w:rsidR="00210523" w:rsidRPr="002E19F8" w:rsidRDefault="00210523" w:rsidP="00C46D69">
      <w:pPr>
        <w:pStyle w:val="Heading2"/>
        <w:rPr>
          <w:vertAlign w:val="superscript"/>
        </w:rPr>
      </w:pPr>
      <w:bookmarkStart w:id="26" w:name="_Toc184132236"/>
      <w:r w:rsidRPr="002E19F8">
        <w:t>Slide 2</w:t>
      </w:r>
      <w:r w:rsidR="00084669">
        <w:t>4</w:t>
      </w:r>
      <w:r w:rsidRPr="002E19F8">
        <w:t xml:space="preserve"> - Confirmed Chlamydia Case Percentages by Social Vulnerability Index, Massachusetts, 2018-202</w:t>
      </w:r>
      <w:r w:rsidR="008267B4">
        <w:t>3</w:t>
      </w:r>
      <w:r w:rsidRPr="002E19F8">
        <w:rPr>
          <w:vertAlign w:val="superscript"/>
        </w:rPr>
        <w:t>1</w:t>
      </w:r>
      <w:bookmarkEnd w:id="26"/>
    </w:p>
    <w:p w14:paraId="7DD6BB53" w14:textId="21EC02EE" w:rsidR="00210523" w:rsidRPr="002E19F8" w:rsidRDefault="003C1D70" w:rsidP="00EC6FB0">
      <w:pPr>
        <w:spacing w:after="0" w:line="240" w:lineRule="auto"/>
        <w:rPr>
          <w:b/>
          <w:sz w:val="24"/>
          <w:szCs w:val="24"/>
        </w:rPr>
      </w:pPr>
      <w:r w:rsidRPr="003C1D70">
        <w:rPr>
          <w:b/>
          <w:noProof/>
          <w:sz w:val="24"/>
          <w:szCs w:val="24"/>
        </w:rPr>
        <w:drawing>
          <wp:inline distT="0" distB="0" distL="0" distR="0" wp14:anchorId="763920B3" wp14:editId="7FCCF9F0">
            <wp:extent cx="5943600" cy="2386330"/>
            <wp:effectExtent l="0" t="0" r="0" b="0"/>
            <wp:docPr id="1236274540" name="Picture 1236274540" descr="Graph depicts the proportion of Massachusetts reported confirmed chlamydia cases broken down by SVI quartile for the years 2018 through 2023. The High SVI group is largest for each year, making up 41 to 48% of cases each year. Each year, the order in frequency from highest to lowest is: High, Moderately High, Moderately Low, Low, and Unknown SVI.">
              <a:extLst xmlns:a="http://schemas.openxmlformats.org/drawingml/2006/main">
                <a:ext uri="{FF2B5EF4-FFF2-40B4-BE49-F238E27FC236}">
                  <a16:creationId xmlns:a16="http://schemas.microsoft.com/office/drawing/2014/main" id="{60E9AEAE-7680-A2E1-A65E-06F3305FA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 depicts the proportion of Massachusetts reported confirmed chlamydia cases broken down by SVI quartile for the years 2018 through 2023. The High SVI group is largest for each year, making up 41 to 48% of cases each year. Each year, the order in frequency from highest to lowest is: High, Moderately High, Moderately Low, Low, and Unknown SVI.">
                      <a:extLst>
                        <a:ext uri="{FF2B5EF4-FFF2-40B4-BE49-F238E27FC236}">
                          <a16:creationId xmlns:a16="http://schemas.microsoft.com/office/drawing/2014/main" id="{60E9AEAE-7680-A2E1-A65E-06F3305FA11A}"/>
                        </a:ext>
                      </a:extLst>
                    </pic:cNvPr>
                    <pic:cNvPicPr>
                      <a:picLocks noChangeAspect="1"/>
                    </pic:cNvPicPr>
                  </pic:nvPicPr>
                  <pic:blipFill>
                    <a:blip r:embed="rId26"/>
                    <a:stretch>
                      <a:fillRect/>
                    </a:stretch>
                  </pic:blipFill>
                  <pic:spPr>
                    <a:xfrm>
                      <a:off x="0" y="0"/>
                      <a:ext cx="5943600" cy="2386330"/>
                    </a:xfrm>
                    <a:prstGeom prst="rect">
                      <a:avLst/>
                    </a:prstGeom>
                  </pic:spPr>
                </pic:pic>
              </a:graphicData>
            </a:graphic>
          </wp:inline>
        </w:drawing>
      </w:r>
    </w:p>
    <w:p w14:paraId="2BE02465" w14:textId="4CB46795" w:rsidR="00210523" w:rsidRPr="002E19F8" w:rsidRDefault="00210523" w:rsidP="52C804C8">
      <w:pPr>
        <w:spacing w:before="120" w:after="0" w:line="240" w:lineRule="auto"/>
        <w:rPr>
          <w:b/>
          <w:sz w:val="24"/>
          <w:szCs w:val="24"/>
        </w:rPr>
      </w:pPr>
      <w:r w:rsidRPr="002E19F8">
        <w:rPr>
          <w:b/>
          <w:sz w:val="24"/>
          <w:szCs w:val="24"/>
        </w:rPr>
        <w:t>Table: Chlamydia Annual Case Counts</w:t>
      </w:r>
    </w:p>
    <w:tbl>
      <w:tblPr>
        <w:tblStyle w:val="TableGrid"/>
        <w:tblW w:w="1920" w:type="dxa"/>
        <w:tblLook w:val="0420" w:firstRow="1" w:lastRow="0" w:firstColumn="0" w:lastColumn="0" w:noHBand="0" w:noVBand="1"/>
      </w:tblPr>
      <w:tblGrid>
        <w:gridCol w:w="960"/>
        <w:gridCol w:w="960"/>
      </w:tblGrid>
      <w:tr w:rsidR="00210523" w:rsidRPr="002E19F8" w14:paraId="51535CD2" w14:textId="77777777" w:rsidTr="00210523">
        <w:trPr>
          <w:trHeight w:val="290"/>
        </w:trPr>
        <w:tc>
          <w:tcPr>
            <w:tcW w:w="960" w:type="dxa"/>
            <w:noWrap/>
          </w:tcPr>
          <w:p w14:paraId="477E07F8" w14:textId="2A79BA3F"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Year</w:t>
            </w:r>
          </w:p>
        </w:tc>
        <w:tc>
          <w:tcPr>
            <w:tcW w:w="960" w:type="dxa"/>
          </w:tcPr>
          <w:p w14:paraId="49049EF8" w14:textId="1F032F2E"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Count</w:t>
            </w:r>
          </w:p>
        </w:tc>
      </w:tr>
      <w:tr w:rsidR="00210523" w:rsidRPr="002E19F8" w14:paraId="788AA8E3" w14:textId="77777777" w:rsidTr="00210523">
        <w:trPr>
          <w:trHeight w:val="290"/>
        </w:trPr>
        <w:tc>
          <w:tcPr>
            <w:tcW w:w="960" w:type="dxa"/>
            <w:noWrap/>
            <w:hideMark/>
          </w:tcPr>
          <w:p w14:paraId="6A320704"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hideMark/>
          </w:tcPr>
          <w:p w14:paraId="1C440543"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30,369</w:t>
            </w:r>
          </w:p>
        </w:tc>
      </w:tr>
      <w:tr w:rsidR="00210523" w:rsidRPr="002E19F8" w14:paraId="6E7B140F" w14:textId="77777777" w:rsidTr="00210523">
        <w:trPr>
          <w:trHeight w:val="290"/>
        </w:trPr>
        <w:tc>
          <w:tcPr>
            <w:tcW w:w="960" w:type="dxa"/>
            <w:noWrap/>
            <w:hideMark/>
          </w:tcPr>
          <w:p w14:paraId="7A7E0C97"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hideMark/>
          </w:tcPr>
          <w:p w14:paraId="50B5EE12"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31,634</w:t>
            </w:r>
          </w:p>
        </w:tc>
      </w:tr>
      <w:tr w:rsidR="00210523" w:rsidRPr="002E19F8" w14:paraId="24C2BF18" w14:textId="77777777" w:rsidTr="00210523">
        <w:trPr>
          <w:trHeight w:val="290"/>
        </w:trPr>
        <w:tc>
          <w:tcPr>
            <w:tcW w:w="960" w:type="dxa"/>
            <w:noWrap/>
            <w:hideMark/>
          </w:tcPr>
          <w:p w14:paraId="02BD7665"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hideMark/>
          </w:tcPr>
          <w:p w14:paraId="3973A662"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24,705</w:t>
            </w:r>
          </w:p>
        </w:tc>
      </w:tr>
      <w:tr w:rsidR="00210523" w:rsidRPr="002E19F8" w14:paraId="32FDE358" w14:textId="77777777" w:rsidTr="00210523">
        <w:trPr>
          <w:trHeight w:val="290"/>
        </w:trPr>
        <w:tc>
          <w:tcPr>
            <w:tcW w:w="960" w:type="dxa"/>
            <w:noWrap/>
            <w:hideMark/>
          </w:tcPr>
          <w:p w14:paraId="5E29BCC1"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hideMark/>
          </w:tcPr>
          <w:p w14:paraId="023B2B6F"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26,912</w:t>
            </w:r>
          </w:p>
        </w:tc>
      </w:tr>
      <w:tr w:rsidR="00210523" w:rsidRPr="002E19F8" w14:paraId="2057A4A9" w14:textId="77777777" w:rsidTr="00210523">
        <w:trPr>
          <w:trHeight w:val="290"/>
        </w:trPr>
        <w:tc>
          <w:tcPr>
            <w:tcW w:w="960" w:type="dxa"/>
            <w:noWrap/>
            <w:hideMark/>
          </w:tcPr>
          <w:p w14:paraId="51076C47"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hideMark/>
          </w:tcPr>
          <w:p w14:paraId="24D1D150" w14:textId="77777777" w:rsidR="00210523" w:rsidRPr="002E19F8" w:rsidRDefault="00210523" w:rsidP="009611E4">
            <w:pPr>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28,384</w:t>
            </w:r>
          </w:p>
        </w:tc>
      </w:tr>
      <w:tr w:rsidR="003C1D70" w:rsidRPr="002E19F8" w14:paraId="7E9DE3F9" w14:textId="77777777" w:rsidTr="00210523">
        <w:trPr>
          <w:trHeight w:val="290"/>
        </w:trPr>
        <w:tc>
          <w:tcPr>
            <w:tcW w:w="960" w:type="dxa"/>
            <w:noWrap/>
          </w:tcPr>
          <w:p w14:paraId="7F0CE27B" w14:textId="2899BDA1" w:rsidR="003C1D70" w:rsidRPr="002E19F8" w:rsidRDefault="003C1D70" w:rsidP="009611E4">
            <w:pPr>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960" w:type="dxa"/>
          </w:tcPr>
          <w:p w14:paraId="2C597302" w14:textId="000FA91F" w:rsidR="003C1D70" w:rsidRPr="002E19F8" w:rsidRDefault="003C1D70" w:rsidP="009611E4">
            <w:pPr>
              <w:jc w:val="center"/>
              <w:rPr>
                <w:rFonts w:eastAsia="Times New Roman"/>
                <w:color w:val="000000"/>
                <w:kern w:val="0"/>
                <w:sz w:val="24"/>
                <w:szCs w:val="24"/>
                <w14:ligatures w14:val="none"/>
              </w:rPr>
            </w:pPr>
            <w:r>
              <w:rPr>
                <w:rFonts w:eastAsia="Times New Roman"/>
                <w:color w:val="000000"/>
                <w:kern w:val="0"/>
                <w:sz w:val="24"/>
                <w:szCs w:val="24"/>
                <w14:ligatures w14:val="none"/>
              </w:rPr>
              <w:t>28,910</w:t>
            </w:r>
          </w:p>
        </w:tc>
      </w:tr>
    </w:tbl>
    <w:p w14:paraId="33C85B09" w14:textId="426DB492" w:rsidR="00210523" w:rsidRPr="002E19F8" w:rsidRDefault="00210523" w:rsidP="008C27CA">
      <w:pPr>
        <w:spacing w:before="240" w:after="0" w:line="240" w:lineRule="auto"/>
        <w:rPr>
          <w:sz w:val="24"/>
          <w:szCs w:val="24"/>
        </w:rPr>
      </w:pPr>
      <w:r w:rsidRPr="002E19F8">
        <w:rPr>
          <w:b/>
          <w:sz w:val="24"/>
          <w:szCs w:val="24"/>
        </w:rPr>
        <w:t>Highlights:</w:t>
      </w:r>
      <w:r w:rsidRPr="002E19F8">
        <w:rPr>
          <w:sz w:val="24"/>
          <w:szCs w:val="24"/>
        </w:rPr>
        <w:t xml:space="preserve"> </w:t>
      </w:r>
      <w:r w:rsidR="003C1D70" w:rsidRPr="003C1D70">
        <w:rPr>
          <w:sz w:val="24"/>
          <w:szCs w:val="24"/>
        </w:rPr>
        <w:t>Graph depicts the proportion of Massachusetts reported confirmed chlamydia cases broken down by SVI quartile for the years 2018 through 2023. The High SVI group is largest for each year, making up 41 to 48% of cases each year. Each year, the order in frequency from highest to lowest is: High, Moderately High, Moderately Low, Low, and Unknown SVI.</w:t>
      </w:r>
    </w:p>
    <w:p w14:paraId="74BB7837" w14:textId="77777777" w:rsidR="00210523" w:rsidRPr="002E19F8" w:rsidRDefault="00210523" w:rsidP="00EC6FB0">
      <w:pPr>
        <w:spacing w:after="0" w:line="240" w:lineRule="auto"/>
        <w:rPr>
          <w:sz w:val="24"/>
          <w:szCs w:val="24"/>
        </w:rPr>
      </w:pPr>
    </w:p>
    <w:p w14:paraId="1092B447" w14:textId="600341E6" w:rsidR="00210523" w:rsidRPr="002E19F8" w:rsidRDefault="00210523" w:rsidP="52C804C8">
      <w:pPr>
        <w:spacing w:after="0" w:line="240" w:lineRule="auto"/>
        <w:rPr>
          <w:b/>
          <w:bCs/>
          <w:sz w:val="24"/>
          <w:szCs w:val="24"/>
        </w:rPr>
      </w:pPr>
      <w:r w:rsidRPr="002E19F8">
        <w:rPr>
          <w:b/>
          <w:sz w:val="24"/>
          <w:szCs w:val="24"/>
        </w:rPr>
        <w:t>Footnotes</w:t>
      </w:r>
      <w:r w:rsidR="58ECEAF1" w:rsidRPr="002E19F8">
        <w:rPr>
          <w:b/>
          <w:bCs/>
          <w:sz w:val="24"/>
          <w:szCs w:val="24"/>
        </w:rPr>
        <w:t xml:space="preserve"> for Slide 2</w:t>
      </w:r>
      <w:r w:rsidR="00084669">
        <w:rPr>
          <w:b/>
          <w:bCs/>
          <w:sz w:val="24"/>
          <w:szCs w:val="24"/>
        </w:rPr>
        <w:t>4</w:t>
      </w:r>
    </w:p>
    <w:p w14:paraId="38BA6818" w14:textId="77777777" w:rsidR="00F3152C" w:rsidRPr="00F3152C" w:rsidRDefault="00F3152C" w:rsidP="00F3152C">
      <w:pPr>
        <w:spacing w:after="0" w:line="240" w:lineRule="auto"/>
        <w:rPr>
          <w:sz w:val="24"/>
          <w:szCs w:val="24"/>
        </w:rPr>
      </w:pPr>
      <w:r w:rsidRPr="00F3152C">
        <w:rPr>
          <w:sz w:val="24"/>
          <w:szCs w:val="24"/>
        </w:rPr>
        <w:t>Data are current as of 08/01/2024 and are subject to change. </w:t>
      </w:r>
    </w:p>
    <w:p w14:paraId="62382ABF" w14:textId="77777777" w:rsidR="00F3152C" w:rsidRPr="00F3152C" w:rsidRDefault="00F3152C" w:rsidP="00F3152C">
      <w:pPr>
        <w:spacing w:after="0" w:line="240" w:lineRule="auto"/>
        <w:rPr>
          <w:sz w:val="24"/>
          <w:szCs w:val="24"/>
        </w:rPr>
      </w:pPr>
      <w:r w:rsidRPr="00F3152C">
        <w:rPr>
          <w:sz w:val="24"/>
          <w:szCs w:val="24"/>
        </w:rPr>
        <w:t>Data Source: Massachusetts Department of Public Health/Bureau of Infectious Disease and Laboratory Sciences/ Division of STD Prevention and STD-HIV Surveillance.</w:t>
      </w:r>
    </w:p>
    <w:p w14:paraId="1FCCCCE9" w14:textId="77777777" w:rsidR="00F3152C" w:rsidRPr="00F3152C" w:rsidRDefault="00F3152C" w:rsidP="00F3152C">
      <w:pPr>
        <w:spacing w:after="0" w:line="240" w:lineRule="auto"/>
        <w:rPr>
          <w:sz w:val="24"/>
          <w:szCs w:val="24"/>
        </w:rPr>
      </w:pPr>
      <w:r w:rsidRPr="00F3152C">
        <w:rPr>
          <w:sz w:val="24"/>
          <w:szCs w:val="24"/>
        </w:rPr>
        <w:t>1. Please consider the impact of the COVID-19 pandemic on infectious disease screening, treatment and surveillance in the interpretation of 2020-2023 data.</w:t>
      </w:r>
    </w:p>
    <w:p w14:paraId="42F83D85" w14:textId="77777777" w:rsidR="00210523" w:rsidRPr="002E19F8" w:rsidRDefault="00210523" w:rsidP="00EC6FB0">
      <w:pPr>
        <w:spacing w:after="0" w:line="240" w:lineRule="auto"/>
        <w:rPr>
          <w:sz w:val="24"/>
          <w:szCs w:val="24"/>
        </w:rPr>
      </w:pPr>
    </w:p>
    <w:p w14:paraId="6548236F" w14:textId="77777777" w:rsidR="00210523" w:rsidRPr="002E19F8" w:rsidRDefault="00210523" w:rsidP="00EC6FB0">
      <w:pPr>
        <w:spacing w:after="0" w:line="240" w:lineRule="auto"/>
        <w:rPr>
          <w:sz w:val="24"/>
          <w:szCs w:val="24"/>
        </w:rPr>
      </w:pPr>
    </w:p>
    <w:p w14:paraId="6EAC38D3" w14:textId="09F5A503" w:rsidR="52C804C8" w:rsidRPr="002E19F8" w:rsidRDefault="52C804C8" w:rsidP="52C804C8">
      <w:pPr>
        <w:spacing w:after="0" w:line="240" w:lineRule="auto"/>
        <w:rPr>
          <w:sz w:val="24"/>
          <w:szCs w:val="24"/>
        </w:rPr>
      </w:pPr>
    </w:p>
    <w:p w14:paraId="08826BA7" w14:textId="2CB5188F" w:rsidR="52C804C8" w:rsidRPr="002E19F8" w:rsidRDefault="52C804C8" w:rsidP="52C804C8">
      <w:pPr>
        <w:spacing w:after="0" w:line="240" w:lineRule="auto"/>
        <w:rPr>
          <w:sz w:val="24"/>
          <w:szCs w:val="24"/>
        </w:rPr>
      </w:pPr>
    </w:p>
    <w:p w14:paraId="3F73F381" w14:textId="73C2F4DD" w:rsidR="52C804C8" w:rsidRPr="002E19F8" w:rsidRDefault="52C804C8" w:rsidP="52C804C8">
      <w:pPr>
        <w:spacing w:after="0" w:line="240" w:lineRule="auto"/>
        <w:rPr>
          <w:sz w:val="24"/>
          <w:szCs w:val="24"/>
        </w:rPr>
      </w:pPr>
    </w:p>
    <w:p w14:paraId="4AFEFFAC" w14:textId="75E0E9D2" w:rsidR="52C804C8" w:rsidRPr="002E19F8" w:rsidRDefault="52C804C8" w:rsidP="52C804C8">
      <w:pPr>
        <w:spacing w:after="0" w:line="240" w:lineRule="auto"/>
        <w:rPr>
          <w:sz w:val="24"/>
          <w:szCs w:val="24"/>
        </w:rPr>
      </w:pPr>
    </w:p>
    <w:p w14:paraId="02B31A6F" w14:textId="549242B6" w:rsidR="52C804C8" w:rsidRPr="002E19F8" w:rsidRDefault="52C804C8" w:rsidP="52C804C8">
      <w:pPr>
        <w:spacing w:after="0" w:line="240" w:lineRule="auto"/>
        <w:rPr>
          <w:sz w:val="24"/>
          <w:szCs w:val="24"/>
        </w:rPr>
      </w:pPr>
    </w:p>
    <w:p w14:paraId="6A1266F8" w14:textId="0F8F732F" w:rsidR="52C804C8" w:rsidRPr="002E19F8" w:rsidRDefault="52C804C8" w:rsidP="52C804C8">
      <w:pPr>
        <w:spacing w:after="0" w:line="240" w:lineRule="auto"/>
        <w:rPr>
          <w:sz w:val="24"/>
          <w:szCs w:val="24"/>
        </w:rPr>
      </w:pPr>
    </w:p>
    <w:p w14:paraId="3CE77EAF" w14:textId="4EC871B8" w:rsidR="00210523" w:rsidRPr="002E19F8" w:rsidRDefault="00210523" w:rsidP="00C46D69">
      <w:pPr>
        <w:pStyle w:val="Heading2"/>
      </w:pPr>
      <w:bookmarkStart w:id="27" w:name="_Toc184132237"/>
      <w:r w:rsidRPr="002E19F8">
        <w:t xml:space="preserve">Slides </w:t>
      </w:r>
      <w:r w:rsidR="00645E1B" w:rsidRPr="002E19F8">
        <w:t>2</w:t>
      </w:r>
      <w:r w:rsidR="00084669">
        <w:t>5</w:t>
      </w:r>
      <w:r w:rsidR="00645E1B" w:rsidRPr="002E19F8">
        <w:t>- Confirmed Chlamydia Case Percentages by Social Vulnerability Index and Gender, Massachusetts, 2018- 202</w:t>
      </w:r>
      <w:r w:rsidR="00F3152C">
        <w:t>3</w:t>
      </w:r>
      <w:r w:rsidR="00645E1B" w:rsidRPr="002E19F8">
        <w:rPr>
          <w:vertAlign w:val="superscript"/>
        </w:rPr>
        <w:t>1,2</w:t>
      </w:r>
      <w:bookmarkEnd w:id="27"/>
    </w:p>
    <w:p w14:paraId="013345D2" w14:textId="608B03F7" w:rsidR="00210523" w:rsidRPr="002E19F8" w:rsidRDefault="00F3152C" w:rsidP="00EC6FB0">
      <w:pPr>
        <w:spacing w:after="0" w:line="240" w:lineRule="auto"/>
        <w:rPr>
          <w:sz w:val="24"/>
          <w:szCs w:val="24"/>
        </w:rPr>
      </w:pPr>
      <w:r w:rsidRPr="00F3152C">
        <w:rPr>
          <w:noProof/>
          <w:sz w:val="24"/>
          <w:szCs w:val="24"/>
        </w:rPr>
        <w:drawing>
          <wp:inline distT="0" distB="0" distL="0" distR="0" wp14:anchorId="5023F5D8" wp14:editId="0BD1D8F6">
            <wp:extent cx="5943600" cy="2316480"/>
            <wp:effectExtent l="0" t="0" r="0" b="7620"/>
            <wp:docPr id="4" name="Picture 4" descr="Graph depicts the proportion of Massachusetts reported confirmed chlamydia cases broken down by SVI quartile and gender for the years 2018 through 2023. In 2023, 44% of female cases are High SVI, compared to 50% in males. 25% of female cases in 2023 are Moderately High SVI, 15% are Moderately Low SVI, 12% are Low SVI, and 4% are Unknown SVI. 25% of male cases in 2023 are Moderately High SVI, 15% are Moderately Low SVI, 13% are Low SVI, and 3% are Unknown SVI.">
              <a:extLst xmlns:a="http://schemas.openxmlformats.org/drawingml/2006/main">
                <a:ext uri="{FF2B5EF4-FFF2-40B4-BE49-F238E27FC236}">
                  <a16:creationId xmlns:a16="http://schemas.microsoft.com/office/drawing/2014/main" id="{8299DD78-8D1D-28F1-FE37-988BC38A6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the proportion of Massachusetts reported confirmed chlamydia cases broken down by SVI quartile and gender for the years 2018 through 2023. In 2023, 44% of female cases are High SVI, compared to 50% in males. 25% of female cases in 2023 are Moderately High SVI, 15% are Moderately Low SVI, 12% are Low SVI, and 4% are Unknown SVI. 25% of male cases in 2023 are Moderately High SVI, 15% are Moderately Low SVI, 13% are Low SVI, and 3% are Unknown SVI.">
                      <a:extLst>
                        <a:ext uri="{FF2B5EF4-FFF2-40B4-BE49-F238E27FC236}">
                          <a16:creationId xmlns:a16="http://schemas.microsoft.com/office/drawing/2014/main" id="{8299DD78-8D1D-28F1-FE37-988BC38A6F6F}"/>
                        </a:ext>
                      </a:extLst>
                    </pic:cNvPr>
                    <pic:cNvPicPr>
                      <a:picLocks noChangeAspect="1"/>
                    </pic:cNvPicPr>
                  </pic:nvPicPr>
                  <pic:blipFill>
                    <a:blip r:embed="rId27"/>
                    <a:stretch>
                      <a:fillRect/>
                    </a:stretch>
                  </pic:blipFill>
                  <pic:spPr>
                    <a:xfrm>
                      <a:off x="0" y="0"/>
                      <a:ext cx="5943600" cy="2316480"/>
                    </a:xfrm>
                    <a:prstGeom prst="rect">
                      <a:avLst/>
                    </a:prstGeom>
                  </pic:spPr>
                </pic:pic>
              </a:graphicData>
            </a:graphic>
          </wp:inline>
        </w:drawing>
      </w:r>
    </w:p>
    <w:p w14:paraId="1FF11CD3" w14:textId="0F557921" w:rsidR="00210523" w:rsidRPr="002E19F8" w:rsidRDefault="00645E1B" w:rsidP="52C804C8">
      <w:pPr>
        <w:spacing w:before="120" w:after="0" w:line="240" w:lineRule="auto"/>
        <w:rPr>
          <w:b/>
          <w:sz w:val="24"/>
          <w:szCs w:val="24"/>
        </w:rPr>
      </w:pPr>
      <w:r w:rsidRPr="002E19F8">
        <w:rPr>
          <w:b/>
          <w:sz w:val="24"/>
          <w:szCs w:val="24"/>
        </w:rPr>
        <w:t xml:space="preserve">Table: Chlamydia Case Couts by Gender </w:t>
      </w:r>
    </w:p>
    <w:tbl>
      <w:tblPr>
        <w:tblW w:w="3456" w:type="dxa"/>
        <w:tblLook w:val="0420" w:firstRow="1" w:lastRow="0" w:firstColumn="0" w:lastColumn="0" w:noHBand="0" w:noVBand="1"/>
      </w:tblPr>
      <w:tblGrid>
        <w:gridCol w:w="1152"/>
        <w:gridCol w:w="1152"/>
        <w:gridCol w:w="1152"/>
      </w:tblGrid>
      <w:tr w:rsidR="00645E1B" w:rsidRPr="002E19F8" w14:paraId="499556A2" w14:textId="77777777" w:rsidTr="004349DE">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BA9E6" w14:textId="77777777" w:rsidR="00645E1B" w:rsidRPr="002E19F8" w:rsidRDefault="00645E1B" w:rsidP="00645E1B">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51C05C" w14:textId="77777777" w:rsidR="00645E1B" w:rsidRPr="002E19F8" w:rsidRDefault="00645E1B" w:rsidP="00645E1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4D612B" w14:textId="77777777" w:rsidR="00645E1B" w:rsidRPr="002E19F8" w:rsidRDefault="00645E1B" w:rsidP="00645E1B">
            <w:pPr>
              <w:spacing w:after="0" w:line="240" w:lineRule="auto"/>
              <w:jc w:val="center"/>
              <w:rPr>
                <w:rFonts w:ascii="Calibri" w:eastAsia="Times New Roman" w:hAnsi="Calibri" w:cs="Calibri"/>
                <w:b/>
                <w:bCs/>
                <w:color w:val="000000"/>
                <w:kern w:val="0"/>
                <w:sz w:val="24"/>
                <w:szCs w:val="24"/>
                <w14:ligatures w14:val="none"/>
              </w:rPr>
            </w:pPr>
            <w:r w:rsidRPr="002E19F8">
              <w:rPr>
                <w:rFonts w:ascii="Calibri" w:eastAsia="Times New Roman" w:hAnsi="Calibri" w:cs="Calibri"/>
                <w:b/>
                <w:bCs/>
                <w:color w:val="000000"/>
                <w:kern w:val="0"/>
                <w:sz w:val="24"/>
                <w:szCs w:val="24"/>
                <w14:ligatures w14:val="none"/>
              </w:rPr>
              <w:t>Males</w:t>
            </w:r>
          </w:p>
        </w:tc>
      </w:tr>
      <w:tr w:rsidR="00645E1B" w:rsidRPr="002E19F8" w14:paraId="7F40C826"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01295E8B"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1CBE3C" w14:textId="53ABC864"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19,062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8BABF12" w14:textId="3A32055A"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11,252</w:t>
            </w:r>
          </w:p>
        </w:tc>
      </w:tr>
      <w:tr w:rsidR="00645E1B" w:rsidRPr="002E19F8" w14:paraId="70CBD8ED"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734B619C"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DEC9363" w14:textId="6051CD72"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19,408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7DEFE3A"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12,155</w:t>
            </w:r>
          </w:p>
        </w:tc>
      </w:tr>
      <w:tr w:rsidR="00645E1B" w:rsidRPr="002E19F8" w14:paraId="54E80A4B"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574DDE7A"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15CDB30" w14:textId="16B5C3AA"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15,677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251BDB8" w14:textId="6EFC0928"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8,949</w:t>
            </w:r>
          </w:p>
        </w:tc>
      </w:tr>
      <w:tr w:rsidR="00645E1B" w:rsidRPr="002E19F8" w14:paraId="58678B7B"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4DFBFE7"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76D1E6E4" w14:textId="2F7F3E2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16,799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6D93C132"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9,989</w:t>
            </w:r>
          </w:p>
        </w:tc>
      </w:tr>
      <w:tr w:rsidR="00645E1B" w:rsidRPr="002E19F8" w14:paraId="6D46EE6A" w14:textId="77777777" w:rsidTr="00F3152C">
        <w:trPr>
          <w:trHeight w:val="31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175ED251"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B71EBB" w14:textId="77777777"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17,388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22B358" w14:textId="2DEF154F" w:rsidR="00645E1B" w:rsidRPr="002E19F8" w:rsidRDefault="00645E1B" w:rsidP="00645E1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10,928</w:t>
            </w:r>
          </w:p>
        </w:tc>
      </w:tr>
      <w:tr w:rsidR="00F3152C" w:rsidRPr="002E19F8" w14:paraId="4868D149" w14:textId="77777777" w:rsidTr="00F3152C">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661A7" w14:textId="19A07AE8" w:rsidR="00F3152C" w:rsidRPr="002E19F8" w:rsidRDefault="00F3152C" w:rsidP="00645E1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13DD3543" w14:textId="3690F159" w:rsidR="00F3152C" w:rsidRPr="002E19F8" w:rsidRDefault="002D7668" w:rsidP="00645E1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17,675</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28510CE7" w14:textId="7A7A4CB8" w:rsidR="00F3152C" w:rsidRPr="002E19F8" w:rsidRDefault="002D7668" w:rsidP="00645E1B">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11,194</w:t>
            </w:r>
          </w:p>
        </w:tc>
      </w:tr>
    </w:tbl>
    <w:p w14:paraId="137673C7" w14:textId="67416B72" w:rsidR="00EA2247" w:rsidRPr="002E19F8" w:rsidRDefault="00EA2247" w:rsidP="008C27CA">
      <w:pPr>
        <w:spacing w:before="240" w:after="0" w:line="240" w:lineRule="auto"/>
        <w:rPr>
          <w:sz w:val="24"/>
          <w:szCs w:val="24"/>
        </w:rPr>
      </w:pPr>
      <w:r w:rsidRPr="002E19F8">
        <w:rPr>
          <w:b/>
          <w:sz w:val="24"/>
          <w:szCs w:val="24"/>
        </w:rPr>
        <w:t>Highlights:</w:t>
      </w:r>
      <w:r w:rsidRPr="002E19F8">
        <w:rPr>
          <w:sz w:val="24"/>
          <w:szCs w:val="24"/>
        </w:rPr>
        <w:t xml:space="preserve"> </w:t>
      </w:r>
      <w:r w:rsidR="002D7668" w:rsidRPr="002D7668">
        <w:rPr>
          <w:sz w:val="24"/>
          <w:szCs w:val="24"/>
        </w:rPr>
        <w:t>Graph depicts the proportion of Massachusetts reported confirmed chlamydia cases broken down by SVI quartile and gender for the years 2018 through 2023. In 2023, 44% of female cases are High SVI, compared to 50% in males. 25% of female cases in 2023 are Moderately High SVI, 15% are Moderately Low SVI, 12% are Low SVI, and 4% are Unknown SVI. 25% of male cases in 2023 are Moderately High SVI, 15% are Moderately Low SVI, 13% are Low SVI, and 3% are Unknown SVI.</w:t>
      </w:r>
    </w:p>
    <w:p w14:paraId="5E8DB389" w14:textId="42445204" w:rsidR="00210523" w:rsidRPr="002E19F8" w:rsidRDefault="00210523" w:rsidP="00EC6FB0">
      <w:pPr>
        <w:spacing w:after="0" w:line="240" w:lineRule="auto"/>
        <w:rPr>
          <w:sz w:val="24"/>
          <w:szCs w:val="24"/>
        </w:rPr>
      </w:pPr>
    </w:p>
    <w:p w14:paraId="3F7C661E" w14:textId="1E500463" w:rsidR="00210523" w:rsidRPr="002E19F8" w:rsidRDefault="00210523" w:rsidP="52C804C8">
      <w:pPr>
        <w:spacing w:after="0" w:line="240" w:lineRule="auto"/>
        <w:rPr>
          <w:b/>
          <w:bCs/>
          <w:sz w:val="24"/>
          <w:szCs w:val="24"/>
        </w:rPr>
      </w:pPr>
      <w:r w:rsidRPr="002E19F8">
        <w:rPr>
          <w:b/>
          <w:sz w:val="24"/>
          <w:szCs w:val="24"/>
        </w:rPr>
        <w:t>Footnotes</w:t>
      </w:r>
      <w:r w:rsidR="4C1FBE29" w:rsidRPr="002E19F8">
        <w:rPr>
          <w:b/>
          <w:bCs/>
          <w:sz w:val="24"/>
          <w:szCs w:val="24"/>
        </w:rPr>
        <w:t xml:space="preserve"> for Slide 2</w:t>
      </w:r>
      <w:r w:rsidR="00084669">
        <w:rPr>
          <w:b/>
          <w:bCs/>
          <w:sz w:val="24"/>
          <w:szCs w:val="24"/>
        </w:rPr>
        <w:t>5</w:t>
      </w:r>
    </w:p>
    <w:p w14:paraId="722D93FD" w14:textId="77777777" w:rsidR="003C5213" w:rsidRPr="003C5213" w:rsidRDefault="003C5213" w:rsidP="003C5213">
      <w:pPr>
        <w:spacing w:after="0" w:line="240" w:lineRule="auto"/>
        <w:rPr>
          <w:sz w:val="24"/>
          <w:szCs w:val="24"/>
        </w:rPr>
      </w:pPr>
      <w:r w:rsidRPr="003C5213">
        <w:rPr>
          <w:sz w:val="24"/>
          <w:szCs w:val="24"/>
        </w:rPr>
        <w:t>Data are current as of 08/01/2024 and are subject to change. </w:t>
      </w:r>
    </w:p>
    <w:p w14:paraId="59934C51" w14:textId="77777777" w:rsidR="003C5213" w:rsidRPr="003C5213" w:rsidRDefault="003C5213" w:rsidP="003C5213">
      <w:pPr>
        <w:spacing w:after="0" w:line="240" w:lineRule="auto"/>
        <w:rPr>
          <w:sz w:val="24"/>
          <w:szCs w:val="24"/>
        </w:rPr>
      </w:pPr>
      <w:r w:rsidRPr="003C5213">
        <w:rPr>
          <w:sz w:val="24"/>
          <w:szCs w:val="24"/>
        </w:rPr>
        <w:t>Data Source: Massachusetts Department of Public Health/Bureau of Infectious Disease and Laboratory Sciences/ Division of STD Prevention and STD-HIV Surveillance.</w:t>
      </w:r>
    </w:p>
    <w:p w14:paraId="6CE0A5D4" w14:textId="77777777" w:rsidR="003C5213" w:rsidRDefault="003C5213" w:rsidP="003C5213">
      <w:pPr>
        <w:numPr>
          <w:ilvl w:val="0"/>
          <w:numId w:val="25"/>
        </w:numPr>
        <w:spacing w:after="0" w:line="240" w:lineRule="auto"/>
        <w:rPr>
          <w:sz w:val="24"/>
          <w:szCs w:val="24"/>
        </w:rPr>
      </w:pPr>
      <w:r w:rsidRPr="003C5213">
        <w:rPr>
          <w:sz w:val="24"/>
          <w:szCs w:val="24"/>
        </w:rPr>
        <w:t xml:space="preserve">Please consider the impact of the COVID-19 pandemic on infectious disease screening, treatment and surveillance in the interpretation of 2020-2023 data. </w:t>
      </w:r>
    </w:p>
    <w:p w14:paraId="68571E68" w14:textId="0E79ACA3" w:rsidR="00EA2247" w:rsidRPr="003C5213" w:rsidRDefault="003C5213" w:rsidP="003C5213">
      <w:pPr>
        <w:numPr>
          <w:ilvl w:val="0"/>
          <w:numId w:val="25"/>
        </w:numPr>
        <w:spacing w:after="0" w:line="240" w:lineRule="auto"/>
        <w:rPr>
          <w:sz w:val="24"/>
          <w:szCs w:val="24"/>
        </w:rPr>
      </w:pPr>
      <w:r w:rsidRPr="003C5213">
        <w:rPr>
          <w:sz w:val="24"/>
          <w:szCs w:val="24"/>
        </w:rPr>
        <w:t>Individuals of transgender experience that do not have complete gender data may not be included within this slide</w:t>
      </w:r>
    </w:p>
    <w:p w14:paraId="0DEDF074" w14:textId="6432F347" w:rsidR="52C804C8" w:rsidRPr="002E19F8" w:rsidRDefault="52C804C8" w:rsidP="52C804C8">
      <w:pPr>
        <w:spacing w:after="0" w:line="240" w:lineRule="auto"/>
        <w:rPr>
          <w:sz w:val="24"/>
          <w:szCs w:val="24"/>
        </w:rPr>
      </w:pPr>
    </w:p>
    <w:p w14:paraId="056F0FFA" w14:textId="7E62283A" w:rsidR="52C804C8" w:rsidRPr="002E19F8" w:rsidRDefault="52C804C8" w:rsidP="52C804C8">
      <w:pPr>
        <w:spacing w:after="0" w:line="240" w:lineRule="auto"/>
        <w:rPr>
          <w:sz w:val="24"/>
          <w:szCs w:val="24"/>
        </w:rPr>
      </w:pPr>
    </w:p>
    <w:p w14:paraId="284737A7" w14:textId="5FF62F4F" w:rsidR="52C804C8" w:rsidRPr="002E19F8" w:rsidRDefault="52C804C8" w:rsidP="52C804C8">
      <w:pPr>
        <w:spacing w:after="0" w:line="240" w:lineRule="auto"/>
        <w:rPr>
          <w:sz w:val="24"/>
          <w:szCs w:val="24"/>
        </w:rPr>
      </w:pPr>
    </w:p>
    <w:p w14:paraId="1FA1515F" w14:textId="4AF9BC40" w:rsidR="52C804C8" w:rsidRPr="002E19F8" w:rsidRDefault="52C804C8" w:rsidP="52C804C8">
      <w:pPr>
        <w:spacing w:after="0" w:line="240" w:lineRule="auto"/>
        <w:rPr>
          <w:sz w:val="24"/>
          <w:szCs w:val="24"/>
        </w:rPr>
      </w:pPr>
    </w:p>
    <w:p w14:paraId="512870C3" w14:textId="68B40D45" w:rsidR="00EA2247" w:rsidRPr="002E19F8" w:rsidRDefault="00EA2247" w:rsidP="00C46D69">
      <w:pPr>
        <w:pStyle w:val="Heading2"/>
        <w:rPr>
          <w:vertAlign w:val="superscript"/>
        </w:rPr>
      </w:pPr>
      <w:bookmarkStart w:id="28" w:name="_Toc184132238"/>
      <w:r w:rsidRPr="002E19F8">
        <w:t>Slide 2</w:t>
      </w:r>
      <w:r w:rsidR="00084669">
        <w:t>6</w:t>
      </w:r>
      <w:r w:rsidRPr="002E19F8">
        <w:t>: Confirmed Gonorrhea Case Percentages by Social Vulnerability Index, Massachusetts, 2018-202</w:t>
      </w:r>
      <w:r w:rsidR="00F74CDC">
        <w:t>3</w:t>
      </w:r>
      <w:r w:rsidRPr="002E19F8">
        <w:rPr>
          <w:vertAlign w:val="superscript"/>
        </w:rPr>
        <w:t>1</w:t>
      </w:r>
      <w:bookmarkEnd w:id="28"/>
    </w:p>
    <w:p w14:paraId="793776E8" w14:textId="4BC647DE" w:rsidR="00EA2247" w:rsidRPr="002E19F8" w:rsidRDefault="00F74CDC" w:rsidP="00210523">
      <w:pPr>
        <w:spacing w:after="0" w:line="240" w:lineRule="auto"/>
        <w:rPr>
          <w:sz w:val="24"/>
          <w:szCs w:val="24"/>
        </w:rPr>
      </w:pPr>
      <w:r w:rsidRPr="00F74CDC">
        <w:rPr>
          <w:noProof/>
          <w:sz w:val="24"/>
          <w:szCs w:val="24"/>
        </w:rPr>
        <w:drawing>
          <wp:inline distT="0" distB="0" distL="0" distR="0" wp14:anchorId="10BFF40E" wp14:editId="368A2FAD">
            <wp:extent cx="5943600" cy="2401570"/>
            <wp:effectExtent l="0" t="0" r="0" b="0"/>
            <wp:docPr id="3" name="Picture 3" descr="Graph depicts the proportion of Massachusetts reported confirmed gonorrhea cases broken down by SVI quartile for the years 2018 through 2023. The High SVI group is largest for each year, making up 47 to 51% of cases each year. Each year, the order in frequency from highest to lowest is: High, Moderately High, Moderately Low, Low, and Unknown SVI.">
              <a:extLst xmlns:a="http://schemas.openxmlformats.org/drawingml/2006/main">
                <a:ext uri="{FF2B5EF4-FFF2-40B4-BE49-F238E27FC236}">
                  <a16:creationId xmlns:a16="http://schemas.microsoft.com/office/drawing/2014/main" id="{351E1B43-38DB-3DA2-F180-7186AC40C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 depicts the proportion of Massachusetts reported confirmed gonorrhea cases broken down by SVI quartile for the years 2018 through 2023. The High SVI group is largest for each year, making up 47 to 51% of cases each year. Each year, the order in frequency from highest to lowest is: High, Moderately High, Moderately Low, Low, and Unknown SVI.">
                      <a:extLst>
                        <a:ext uri="{FF2B5EF4-FFF2-40B4-BE49-F238E27FC236}">
                          <a16:creationId xmlns:a16="http://schemas.microsoft.com/office/drawing/2014/main" id="{351E1B43-38DB-3DA2-F180-7186AC40C28F}"/>
                        </a:ext>
                      </a:extLst>
                    </pic:cNvPr>
                    <pic:cNvPicPr>
                      <a:picLocks noChangeAspect="1"/>
                    </pic:cNvPicPr>
                  </pic:nvPicPr>
                  <pic:blipFill>
                    <a:blip r:embed="rId28"/>
                    <a:stretch>
                      <a:fillRect/>
                    </a:stretch>
                  </pic:blipFill>
                  <pic:spPr>
                    <a:xfrm>
                      <a:off x="0" y="0"/>
                      <a:ext cx="5943600" cy="2401570"/>
                    </a:xfrm>
                    <a:prstGeom prst="rect">
                      <a:avLst/>
                    </a:prstGeom>
                  </pic:spPr>
                </pic:pic>
              </a:graphicData>
            </a:graphic>
          </wp:inline>
        </w:drawing>
      </w:r>
    </w:p>
    <w:p w14:paraId="33A3D153" w14:textId="77777777" w:rsidR="003461A4" w:rsidRPr="002E19F8" w:rsidRDefault="003461A4" w:rsidP="52C804C8">
      <w:pPr>
        <w:spacing w:before="120" w:after="0" w:line="240" w:lineRule="auto"/>
        <w:rPr>
          <w:b/>
          <w:sz w:val="24"/>
          <w:szCs w:val="24"/>
        </w:rPr>
      </w:pPr>
      <w:r w:rsidRPr="002E19F8">
        <w:rPr>
          <w:b/>
          <w:sz w:val="24"/>
          <w:szCs w:val="24"/>
        </w:rPr>
        <w:t>Table: Gonorrhea Annual Case Counts</w:t>
      </w:r>
    </w:p>
    <w:tbl>
      <w:tblPr>
        <w:tblW w:w="1920" w:type="dxa"/>
        <w:tblLook w:val="0420" w:firstRow="1" w:lastRow="0" w:firstColumn="0" w:lastColumn="0" w:noHBand="0" w:noVBand="1"/>
      </w:tblPr>
      <w:tblGrid>
        <w:gridCol w:w="960"/>
        <w:gridCol w:w="960"/>
      </w:tblGrid>
      <w:tr w:rsidR="003461A4" w:rsidRPr="002E19F8" w14:paraId="31A49674" w14:textId="77777777">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2A8E"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Year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47556A"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Count</w:t>
            </w:r>
          </w:p>
        </w:tc>
      </w:tr>
      <w:tr w:rsidR="003461A4" w:rsidRPr="002E19F8" w14:paraId="2149954B"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001203"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auto"/>
            <w:vAlign w:val="center"/>
            <w:hideMark/>
          </w:tcPr>
          <w:p w14:paraId="5DBFC731"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7,660</w:t>
            </w:r>
          </w:p>
        </w:tc>
      </w:tr>
      <w:tr w:rsidR="003461A4" w:rsidRPr="002E19F8" w14:paraId="0E3BDD84"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126B4"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auto"/>
            <w:vAlign w:val="center"/>
            <w:hideMark/>
          </w:tcPr>
          <w:p w14:paraId="246693AB"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7,170</w:t>
            </w:r>
          </w:p>
        </w:tc>
      </w:tr>
      <w:tr w:rsidR="003461A4" w:rsidRPr="002E19F8" w14:paraId="40246714"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ADD4FD"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auto"/>
            <w:vAlign w:val="center"/>
            <w:hideMark/>
          </w:tcPr>
          <w:p w14:paraId="0CD0C50E"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7,303</w:t>
            </w:r>
          </w:p>
        </w:tc>
      </w:tr>
      <w:tr w:rsidR="003461A4" w:rsidRPr="002E19F8" w14:paraId="0087592B" w14:textId="7777777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933E8F"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auto"/>
            <w:vAlign w:val="center"/>
            <w:hideMark/>
          </w:tcPr>
          <w:p w14:paraId="5ED3DB0D"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8,099</w:t>
            </w:r>
          </w:p>
        </w:tc>
      </w:tr>
      <w:tr w:rsidR="003461A4" w:rsidRPr="002E19F8" w14:paraId="66808A63" w14:textId="77777777" w:rsidTr="00F74CD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74791F"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auto"/>
            <w:vAlign w:val="center"/>
            <w:hideMark/>
          </w:tcPr>
          <w:p w14:paraId="06578471" w14:textId="77777777"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9,218</w:t>
            </w:r>
          </w:p>
        </w:tc>
      </w:tr>
      <w:tr w:rsidR="00F74CDC" w:rsidRPr="002E19F8" w14:paraId="79A8DF71" w14:textId="77777777" w:rsidTr="00F74CDC">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8774B" w14:textId="5EC0636C" w:rsidR="00F74CDC" w:rsidRPr="002E19F8" w:rsidRDefault="00F74CD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auto"/>
            <w:vAlign w:val="center"/>
          </w:tcPr>
          <w:p w14:paraId="5B056963" w14:textId="6C9B55F3" w:rsidR="00F74CDC" w:rsidRPr="002E19F8" w:rsidRDefault="00F74CDC">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9,779</w:t>
            </w:r>
          </w:p>
        </w:tc>
      </w:tr>
    </w:tbl>
    <w:p w14:paraId="5863EB73" w14:textId="1EA6E281" w:rsidR="00EA2247" w:rsidRPr="002E19F8" w:rsidRDefault="00EA2247" w:rsidP="008C27CA">
      <w:pPr>
        <w:spacing w:before="240" w:line="240" w:lineRule="auto"/>
        <w:rPr>
          <w:sz w:val="24"/>
          <w:szCs w:val="24"/>
        </w:rPr>
      </w:pPr>
      <w:r w:rsidRPr="002E19F8">
        <w:rPr>
          <w:b/>
          <w:sz w:val="24"/>
          <w:szCs w:val="24"/>
        </w:rPr>
        <w:t>Highlights:</w:t>
      </w:r>
      <w:r w:rsidRPr="002E19F8">
        <w:rPr>
          <w:sz w:val="24"/>
          <w:szCs w:val="24"/>
        </w:rPr>
        <w:t xml:space="preserve"> </w:t>
      </w:r>
      <w:r w:rsidR="00B2510A" w:rsidRPr="00B2510A">
        <w:rPr>
          <w:sz w:val="24"/>
          <w:szCs w:val="24"/>
        </w:rPr>
        <w:t>Graph depicts the proportion of Massachusetts reported confirmed gonorrhea cases broken down by SVI quartile for the years 2018 through 2023. The High SVI group is largest for each year, making up 47 to 51% of cases each year. Each year, the order in frequency from highest to lowest is: High, Moderately High, Moderately Low, Low, and Unknown SVI.</w:t>
      </w:r>
    </w:p>
    <w:p w14:paraId="6EC99FE5" w14:textId="3BC42328" w:rsidR="003461A4" w:rsidRPr="002E19F8" w:rsidRDefault="00EA2247" w:rsidP="52C804C8">
      <w:pPr>
        <w:spacing w:after="0" w:line="240" w:lineRule="auto"/>
        <w:rPr>
          <w:b/>
          <w:bCs/>
          <w:sz w:val="24"/>
          <w:szCs w:val="24"/>
        </w:rPr>
      </w:pPr>
      <w:r w:rsidRPr="002E19F8">
        <w:rPr>
          <w:b/>
          <w:sz w:val="24"/>
          <w:szCs w:val="24"/>
        </w:rPr>
        <w:t>Footnotes</w:t>
      </w:r>
      <w:r w:rsidR="4FC8EE92" w:rsidRPr="002E19F8">
        <w:rPr>
          <w:b/>
          <w:bCs/>
          <w:sz w:val="24"/>
          <w:szCs w:val="24"/>
        </w:rPr>
        <w:t xml:space="preserve"> for Slide 2</w:t>
      </w:r>
      <w:r w:rsidR="00084669">
        <w:rPr>
          <w:b/>
          <w:bCs/>
          <w:sz w:val="24"/>
          <w:szCs w:val="24"/>
        </w:rPr>
        <w:t>6</w:t>
      </w:r>
    </w:p>
    <w:p w14:paraId="14F5491D" w14:textId="77777777" w:rsidR="00B2510A" w:rsidRPr="00B2510A" w:rsidRDefault="00B2510A" w:rsidP="00B2510A">
      <w:pPr>
        <w:spacing w:after="0" w:line="240" w:lineRule="auto"/>
        <w:rPr>
          <w:sz w:val="24"/>
          <w:szCs w:val="24"/>
        </w:rPr>
      </w:pPr>
      <w:r w:rsidRPr="00B2510A">
        <w:rPr>
          <w:sz w:val="24"/>
          <w:szCs w:val="24"/>
        </w:rPr>
        <w:t>Data are current as of 08/01/2024 and are subject to change. </w:t>
      </w:r>
    </w:p>
    <w:p w14:paraId="2102AB3D" w14:textId="77777777" w:rsidR="00B2510A" w:rsidRPr="00B2510A" w:rsidRDefault="00B2510A" w:rsidP="00B2510A">
      <w:pPr>
        <w:spacing w:after="0" w:line="240" w:lineRule="auto"/>
        <w:rPr>
          <w:sz w:val="24"/>
          <w:szCs w:val="24"/>
        </w:rPr>
      </w:pPr>
      <w:r w:rsidRPr="00B2510A">
        <w:rPr>
          <w:sz w:val="24"/>
          <w:szCs w:val="24"/>
        </w:rPr>
        <w:t>Data Source: Massachusetts Department of Public Health/Bureau of Infectious Disease and Laboratory Sciences/ Division of STD Prevention and STD-HIV Surveillance.</w:t>
      </w:r>
    </w:p>
    <w:p w14:paraId="7E70047F" w14:textId="77777777" w:rsidR="00B2510A" w:rsidRPr="00B2510A" w:rsidRDefault="00B2510A" w:rsidP="00B2510A">
      <w:pPr>
        <w:spacing w:after="0" w:line="240" w:lineRule="auto"/>
        <w:rPr>
          <w:sz w:val="24"/>
          <w:szCs w:val="24"/>
        </w:rPr>
      </w:pPr>
      <w:r w:rsidRPr="00B2510A">
        <w:rPr>
          <w:sz w:val="24"/>
          <w:szCs w:val="24"/>
        </w:rPr>
        <w:t>1. Please consider the impact of the COVID-19 pandemic on infectious disease screening, treatment and surveillance in the interpretation of 2020-2023 data.</w:t>
      </w:r>
    </w:p>
    <w:p w14:paraId="7EF1C7BB" w14:textId="0D18B4B0" w:rsidR="52C804C8" w:rsidRPr="002E19F8" w:rsidRDefault="52C804C8" w:rsidP="00B2510A">
      <w:pPr>
        <w:spacing w:after="0" w:line="240" w:lineRule="auto"/>
        <w:rPr>
          <w:b/>
          <w:bCs/>
          <w:sz w:val="24"/>
          <w:szCs w:val="24"/>
        </w:rPr>
      </w:pPr>
    </w:p>
    <w:p w14:paraId="5492411C" w14:textId="7737DD09" w:rsidR="52C804C8" w:rsidRPr="002E19F8" w:rsidRDefault="52C804C8" w:rsidP="52C804C8">
      <w:pPr>
        <w:spacing w:line="240" w:lineRule="auto"/>
        <w:rPr>
          <w:b/>
          <w:bCs/>
          <w:sz w:val="24"/>
          <w:szCs w:val="24"/>
        </w:rPr>
      </w:pPr>
    </w:p>
    <w:p w14:paraId="3B144ACB" w14:textId="64E4EE3B" w:rsidR="52C804C8" w:rsidRPr="002E19F8" w:rsidRDefault="52C804C8" w:rsidP="52C804C8">
      <w:pPr>
        <w:spacing w:line="240" w:lineRule="auto"/>
        <w:rPr>
          <w:b/>
          <w:bCs/>
          <w:sz w:val="24"/>
          <w:szCs w:val="24"/>
        </w:rPr>
      </w:pPr>
    </w:p>
    <w:p w14:paraId="32543DD7" w14:textId="3CB723BB" w:rsidR="52C804C8" w:rsidRPr="002E19F8" w:rsidRDefault="52C804C8" w:rsidP="52C804C8">
      <w:pPr>
        <w:spacing w:line="240" w:lineRule="auto"/>
        <w:rPr>
          <w:b/>
          <w:bCs/>
          <w:sz w:val="24"/>
          <w:szCs w:val="24"/>
        </w:rPr>
      </w:pPr>
    </w:p>
    <w:p w14:paraId="625C9860" w14:textId="7D260D64" w:rsidR="52C804C8" w:rsidRPr="002E19F8" w:rsidRDefault="52C804C8" w:rsidP="52C804C8">
      <w:pPr>
        <w:spacing w:line="240" w:lineRule="auto"/>
        <w:rPr>
          <w:b/>
          <w:bCs/>
          <w:sz w:val="24"/>
          <w:szCs w:val="24"/>
        </w:rPr>
      </w:pPr>
    </w:p>
    <w:p w14:paraId="10DC5FB5" w14:textId="748133B6" w:rsidR="52C804C8" w:rsidRPr="002E19F8" w:rsidRDefault="52C804C8" w:rsidP="52C804C8">
      <w:pPr>
        <w:spacing w:line="240" w:lineRule="auto"/>
        <w:rPr>
          <w:b/>
          <w:bCs/>
          <w:sz w:val="24"/>
          <w:szCs w:val="24"/>
        </w:rPr>
      </w:pPr>
    </w:p>
    <w:p w14:paraId="67BE040B" w14:textId="1621B271" w:rsidR="003461A4" w:rsidRPr="002E19F8" w:rsidRDefault="003461A4" w:rsidP="00C46D69">
      <w:pPr>
        <w:pStyle w:val="Heading2"/>
      </w:pPr>
      <w:bookmarkStart w:id="29" w:name="_Toc184132239"/>
      <w:r w:rsidRPr="002E19F8">
        <w:t>Slide 2</w:t>
      </w:r>
      <w:r w:rsidR="00084669">
        <w:t>7</w:t>
      </w:r>
      <w:r w:rsidRPr="002E19F8">
        <w:t>: Confirmed Gonorrhea Case Percentages by Social Vulnerability Index and Gender, Massachusetts, 2018-202</w:t>
      </w:r>
      <w:r w:rsidR="00B2510A">
        <w:t>3</w:t>
      </w:r>
      <w:r w:rsidRPr="002E19F8">
        <w:rPr>
          <w:vertAlign w:val="superscript"/>
        </w:rPr>
        <w:t>1,2</w:t>
      </w:r>
      <w:bookmarkEnd w:id="29"/>
    </w:p>
    <w:p w14:paraId="206FFFCC" w14:textId="11612EA5" w:rsidR="00EA2247" w:rsidRPr="002E19F8" w:rsidRDefault="00294818" w:rsidP="00210523">
      <w:pPr>
        <w:spacing w:after="0" w:line="240" w:lineRule="auto"/>
        <w:rPr>
          <w:sz w:val="24"/>
          <w:szCs w:val="24"/>
        </w:rPr>
      </w:pPr>
      <w:r w:rsidRPr="00294818">
        <w:rPr>
          <w:noProof/>
          <w:sz w:val="24"/>
          <w:szCs w:val="24"/>
        </w:rPr>
        <w:drawing>
          <wp:inline distT="0" distB="0" distL="0" distR="0" wp14:anchorId="58471AB9" wp14:editId="2A2B0C06">
            <wp:extent cx="5943600" cy="2338070"/>
            <wp:effectExtent l="0" t="0" r="0" b="5080"/>
            <wp:docPr id="1226830118" name="Picture 1226830118" descr="Graph depicts the proportion of Massachusetts reported confirmed gonorrhea cases broken down by SVI quartile and gender for the years 2018 through 2023. In 2023, 55% of female cases are High SVI, compared to 44% in males. 21% of female cases in 2023 are Moderately High SVI, 11% are Moderately Low SVI, 9% are Low SVI, and 4% are Unknown SVI. 26% of male cases in 2023 are Moderately High SVI, 15% are Moderately Low SVI, 12% are Low SVI, and 3% are Unknown SVI.">
              <a:extLst xmlns:a="http://schemas.openxmlformats.org/drawingml/2006/main">
                <a:ext uri="{FF2B5EF4-FFF2-40B4-BE49-F238E27FC236}">
                  <a16:creationId xmlns:a16="http://schemas.microsoft.com/office/drawing/2014/main" id="{9C14E576-A64B-F983-FEE1-94B12785D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the proportion of Massachusetts reported confirmed gonorrhea cases broken down by SVI quartile and gender for the years 2018 through 2023. In 2023, 55% of female cases are High SVI, compared to 44% in males. 21% of female cases in 2023 are Moderately High SVI, 11% are Moderately Low SVI, 9% are Low SVI, and 4% are Unknown SVI. 26% of male cases in 2023 are Moderately High SVI, 15% are Moderately Low SVI, 12% are Low SVI, and 3% are Unknown SVI.">
                      <a:extLst>
                        <a:ext uri="{FF2B5EF4-FFF2-40B4-BE49-F238E27FC236}">
                          <a16:creationId xmlns:a16="http://schemas.microsoft.com/office/drawing/2014/main" id="{9C14E576-A64B-F983-FEE1-94B12785DB88}"/>
                        </a:ext>
                      </a:extLst>
                    </pic:cNvPr>
                    <pic:cNvPicPr>
                      <a:picLocks noChangeAspect="1"/>
                    </pic:cNvPicPr>
                  </pic:nvPicPr>
                  <pic:blipFill>
                    <a:blip r:embed="rId29"/>
                    <a:stretch>
                      <a:fillRect/>
                    </a:stretch>
                  </pic:blipFill>
                  <pic:spPr>
                    <a:xfrm>
                      <a:off x="0" y="0"/>
                      <a:ext cx="5943600" cy="2338070"/>
                    </a:xfrm>
                    <a:prstGeom prst="rect">
                      <a:avLst/>
                    </a:prstGeom>
                  </pic:spPr>
                </pic:pic>
              </a:graphicData>
            </a:graphic>
          </wp:inline>
        </w:drawing>
      </w:r>
    </w:p>
    <w:p w14:paraId="072239D7" w14:textId="77777777" w:rsidR="003461A4" w:rsidRPr="002E19F8" w:rsidRDefault="003461A4" w:rsidP="00210523">
      <w:pPr>
        <w:spacing w:after="0" w:line="240" w:lineRule="auto"/>
        <w:rPr>
          <w:sz w:val="24"/>
          <w:szCs w:val="24"/>
        </w:rPr>
      </w:pPr>
    </w:p>
    <w:p w14:paraId="63AB7C5B" w14:textId="77777777" w:rsidR="003461A4" w:rsidRPr="002E19F8" w:rsidRDefault="003461A4" w:rsidP="003461A4">
      <w:pPr>
        <w:spacing w:after="0" w:line="240" w:lineRule="auto"/>
        <w:rPr>
          <w:b/>
          <w:sz w:val="24"/>
          <w:szCs w:val="24"/>
        </w:rPr>
      </w:pPr>
      <w:r w:rsidRPr="002E19F8">
        <w:rPr>
          <w:b/>
          <w:sz w:val="24"/>
          <w:szCs w:val="24"/>
        </w:rPr>
        <w:t>Table: Gonorrhea Annual Case Counts by Current Gender</w:t>
      </w:r>
    </w:p>
    <w:tbl>
      <w:tblPr>
        <w:tblW w:w="3456" w:type="dxa"/>
        <w:tblLook w:val="0420" w:firstRow="1" w:lastRow="0" w:firstColumn="0" w:lastColumn="0" w:noHBand="0" w:noVBand="1"/>
      </w:tblPr>
      <w:tblGrid>
        <w:gridCol w:w="1152"/>
        <w:gridCol w:w="1152"/>
        <w:gridCol w:w="1152"/>
      </w:tblGrid>
      <w:tr w:rsidR="003461A4" w:rsidRPr="002E19F8" w14:paraId="4CF8CC66" w14:textId="77777777" w:rsidTr="004349DE">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C5F1"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B0AE4F"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1BC247" w14:textId="77777777" w:rsidR="003461A4" w:rsidRPr="002E19F8" w:rsidRDefault="003461A4">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3461A4" w:rsidRPr="002E19F8" w14:paraId="27F33C1F"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FC63E24" w14:textId="26A0A584"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734AEA27" w14:textId="55827711"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2,293</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C05DCC5" w14:textId="7702A8E6"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5,347</w:t>
            </w:r>
          </w:p>
        </w:tc>
      </w:tr>
      <w:tr w:rsidR="003461A4" w:rsidRPr="002E19F8" w14:paraId="3A201754"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95640D6" w14:textId="44139F89"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3D0227D6" w14:textId="7D8ECE28"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2,132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6BF0B45" w14:textId="77666890"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5,002</w:t>
            </w:r>
          </w:p>
        </w:tc>
      </w:tr>
      <w:tr w:rsidR="003461A4" w:rsidRPr="002E19F8" w14:paraId="3AD0B1F2"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C2BD35E" w14:textId="07C74916"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3858C5E5" w14:textId="014B769C"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2,526</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0ACA8B3" w14:textId="14DCF77D"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4,741</w:t>
            </w:r>
          </w:p>
        </w:tc>
      </w:tr>
      <w:tr w:rsidR="003461A4" w:rsidRPr="002E19F8" w14:paraId="75C23A4A"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3475F5C" w14:textId="6D08D829"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4225372" w14:textId="112979A5"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2,707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3E7FC2F" w14:textId="68352D19"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5,367</w:t>
            </w:r>
          </w:p>
        </w:tc>
      </w:tr>
      <w:tr w:rsidR="003461A4" w:rsidRPr="002E19F8" w14:paraId="1001C1A2" w14:textId="77777777" w:rsidTr="0029481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74310F6" w14:textId="0F0E2D68"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2EE6C62" w14:textId="0695ACBC"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2,894</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FC0BC3A" w14:textId="09868DA4" w:rsidR="003461A4" w:rsidRPr="002E19F8" w:rsidRDefault="003461A4">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6,196</w:t>
            </w:r>
          </w:p>
        </w:tc>
      </w:tr>
      <w:tr w:rsidR="00294818" w:rsidRPr="002E19F8" w14:paraId="5E3B5DA2" w14:textId="77777777" w:rsidTr="00294818">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C3096" w14:textId="03B0EB8C" w:rsidR="00294818" w:rsidRPr="002E19F8" w:rsidRDefault="0029481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06B0F4E3" w14:textId="2279613C" w:rsidR="00294818" w:rsidRPr="002E19F8" w:rsidRDefault="0029481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3,077</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4DAF6ED2" w14:textId="18F3A31D" w:rsidR="00294818" w:rsidRPr="002E19F8" w:rsidRDefault="00294818">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6,672</w:t>
            </w:r>
          </w:p>
        </w:tc>
      </w:tr>
    </w:tbl>
    <w:p w14:paraId="3FE05E44" w14:textId="465BF0EE" w:rsidR="003461A4" w:rsidRPr="002E19F8" w:rsidRDefault="003461A4" w:rsidP="008C27CA">
      <w:pPr>
        <w:spacing w:before="240" w:line="240" w:lineRule="auto"/>
        <w:rPr>
          <w:sz w:val="24"/>
          <w:szCs w:val="24"/>
        </w:rPr>
      </w:pPr>
      <w:r w:rsidRPr="002E19F8">
        <w:rPr>
          <w:b/>
          <w:sz w:val="24"/>
          <w:szCs w:val="24"/>
        </w:rPr>
        <w:t>Highlights:</w:t>
      </w:r>
      <w:r w:rsidRPr="002E19F8">
        <w:rPr>
          <w:sz w:val="24"/>
          <w:szCs w:val="24"/>
        </w:rPr>
        <w:t xml:space="preserve"> </w:t>
      </w:r>
      <w:r w:rsidR="0047302F" w:rsidRPr="0047302F">
        <w:rPr>
          <w:sz w:val="24"/>
          <w:szCs w:val="24"/>
        </w:rPr>
        <w:t>Graph depicts the proportion of Massachusetts reported confirmed gonorrhea cases broken down by SVI quartile and gender for the years 2018 through 2023. In 2023, 55% of female cases are High SVI, compared to 44% in males. 21% of female cases in 2023 are Moderately High SVI, 11% are Moderately Low SVI, 9% are Low SVI, and 4% are Unknown SVI. 26% of male cases in 2023 are Moderately High SVI, 15% are Moderately Low SVI, 12% are Low SVI, and 3% are Unknown SVI.</w:t>
      </w:r>
    </w:p>
    <w:p w14:paraId="0AB5292A" w14:textId="6E13F792" w:rsidR="003461A4" w:rsidRPr="002E19F8" w:rsidRDefault="003461A4" w:rsidP="52C804C8">
      <w:pPr>
        <w:spacing w:after="0" w:line="240" w:lineRule="auto"/>
        <w:rPr>
          <w:b/>
          <w:bCs/>
          <w:sz w:val="24"/>
          <w:szCs w:val="24"/>
        </w:rPr>
      </w:pPr>
      <w:r w:rsidRPr="002E19F8">
        <w:rPr>
          <w:b/>
          <w:sz w:val="24"/>
          <w:szCs w:val="24"/>
        </w:rPr>
        <w:t>Footnotes</w:t>
      </w:r>
      <w:r w:rsidR="5954833D" w:rsidRPr="002E19F8">
        <w:rPr>
          <w:b/>
          <w:bCs/>
          <w:sz w:val="24"/>
          <w:szCs w:val="24"/>
        </w:rPr>
        <w:t xml:space="preserve"> for Slide 2</w:t>
      </w:r>
      <w:r w:rsidR="00084669">
        <w:rPr>
          <w:b/>
          <w:bCs/>
          <w:sz w:val="24"/>
          <w:szCs w:val="24"/>
        </w:rPr>
        <w:t>7</w:t>
      </w:r>
    </w:p>
    <w:p w14:paraId="4D247440" w14:textId="77777777" w:rsidR="0047302F" w:rsidRPr="0047302F" w:rsidRDefault="0047302F" w:rsidP="0047302F">
      <w:pPr>
        <w:spacing w:after="0" w:line="240" w:lineRule="auto"/>
        <w:rPr>
          <w:sz w:val="24"/>
          <w:szCs w:val="24"/>
        </w:rPr>
      </w:pPr>
      <w:r w:rsidRPr="0047302F">
        <w:rPr>
          <w:sz w:val="24"/>
          <w:szCs w:val="24"/>
        </w:rPr>
        <w:t>Data are current as of 08/01/2024 and are subject to change. </w:t>
      </w:r>
    </w:p>
    <w:p w14:paraId="0A8C904C" w14:textId="77777777" w:rsidR="0047302F" w:rsidRPr="0047302F" w:rsidRDefault="0047302F" w:rsidP="0047302F">
      <w:pPr>
        <w:spacing w:after="0" w:line="240" w:lineRule="auto"/>
        <w:rPr>
          <w:sz w:val="24"/>
          <w:szCs w:val="24"/>
        </w:rPr>
      </w:pPr>
      <w:r w:rsidRPr="0047302F">
        <w:rPr>
          <w:sz w:val="24"/>
          <w:szCs w:val="24"/>
        </w:rPr>
        <w:t>Data Source: Massachusetts Department of Public Health/Bureau of Infectious Disease and Laboratory Sciences/ Division of STD Prevention and STD-HIV Surveillance.</w:t>
      </w:r>
    </w:p>
    <w:p w14:paraId="4D886D4E" w14:textId="77777777" w:rsidR="0047302F" w:rsidRPr="0047302F" w:rsidRDefault="0047302F" w:rsidP="0047302F">
      <w:pPr>
        <w:numPr>
          <w:ilvl w:val="0"/>
          <w:numId w:val="26"/>
        </w:numPr>
        <w:spacing w:after="0" w:line="240" w:lineRule="auto"/>
        <w:rPr>
          <w:sz w:val="24"/>
          <w:szCs w:val="24"/>
        </w:rPr>
      </w:pPr>
      <w:r w:rsidRPr="0047302F">
        <w:rPr>
          <w:sz w:val="24"/>
          <w:szCs w:val="24"/>
        </w:rPr>
        <w:t xml:space="preserve">Please consider the impact of the COVID-19 pandemic on infectious disease screening, treatment and surveillance in the interpretation of 2020-2023 data. </w:t>
      </w:r>
    </w:p>
    <w:p w14:paraId="05D61DEF" w14:textId="77777777" w:rsidR="0047302F" w:rsidRPr="0047302F" w:rsidRDefault="0047302F" w:rsidP="0047302F">
      <w:pPr>
        <w:numPr>
          <w:ilvl w:val="0"/>
          <w:numId w:val="26"/>
        </w:numPr>
        <w:spacing w:after="0" w:line="240" w:lineRule="auto"/>
        <w:rPr>
          <w:sz w:val="24"/>
          <w:szCs w:val="24"/>
        </w:rPr>
      </w:pPr>
      <w:r w:rsidRPr="0047302F">
        <w:rPr>
          <w:sz w:val="24"/>
          <w:szCs w:val="24"/>
        </w:rPr>
        <w:t>Individuals of transgender experience that do not have complete gender data may not be included within this slide. </w:t>
      </w:r>
    </w:p>
    <w:p w14:paraId="13E7A652" w14:textId="77777777" w:rsidR="003461A4" w:rsidRPr="002E19F8" w:rsidRDefault="003461A4" w:rsidP="003461A4">
      <w:pPr>
        <w:spacing w:after="0" w:line="240" w:lineRule="auto"/>
        <w:rPr>
          <w:sz w:val="24"/>
          <w:szCs w:val="24"/>
        </w:rPr>
      </w:pPr>
    </w:p>
    <w:p w14:paraId="5B684A20" w14:textId="55348FE3" w:rsidR="52C804C8" w:rsidRPr="002E19F8" w:rsidRDefault="52C804C8" w:rsidP="52C804C8">
      <w:pPr>
        <w:spacing w:after="0" w:line="240" w:lineRule="auto"/>
        <w:rPr>
          <w:sz w:val="24"/>
          <w:szCs w:val="24"/>
        </w:rPr>
      </w:pPr>
    </w:p>
    <w:p w14:paraId="4A156D5F" w14:textId="445C862D" w:rsidR="52C804C8" w:rsidRPr="002E19F8" w:rsidRDefault="52C804C8" w:rsidP="52C804C8">
      <w:pPr>
        <w:spacing w:after="0" w:line="240" w:lineRule="auto"/>
        <w:rPr>
          <w:sz w:val="24"/>
          <w:szCs w:val="24"/>
        </w:rPr>
      </w:pPr>
    </w:p>
    <w:p w14:paraId="48FD5C80" w14:textId="443B9CDF" w:rsidR="52C804C8" w:rsidRPr="002E19F8" w:rsidRDefault="52C804C8" w:rsidP="52C804C8">
      <w:pPr>
        <w:spacing w:after="0" w:line="240" w:lineRule="auto"/>
        <w:rPr>
          <w:sz w:val="24"/>
          <w:szCs w:val="24"/>
        </w:rPr>
      </w:pPr>
    </w:p>
    <w:p w14:paraId="20739D35" w14:textId="27A0A356" w:rsidR="52C804C8" w:rsidRPr="002E19F8" w:rsidRDefault="52C804C8" w:rsidP="52C804C8">
      <w:pPr>
        <w:spacing w:after="0" w:line="240" w:lineRule="auto"/>
        <w:rPr>
          <w:sz w:val="24"/>
          <w:szCs w:val="24"/>
        </w:rPr>
      </w:pPr>
    </w:p>
    <w:p w14:paraId="656A026F" w14:textId="13673F5E" w:rsidR="003461A4" w:rsidRPr="002E19F8" w:rsidRDefault="003461A4" w:rsidP="00C46D69">
      <w:pPr>
        <w:pStyle w:val="Heading2"/>
        <w:rPr>
          <w:vertAlign w:val="superscript"/>
        </w:rPr>
      </w:pPr>
      <w:bookmarkStart w:id="30" w:name="_Toc184132240"/>
      <w:r w:rsidRPr="002E19F8">
        <w:t>Slide 2</w:t>
      </w:r>
      <w:r w:rsidR="00084669">
        <w:t>8</w:t>
      </w:r>
      <w:r w:rsidRPr="002E19F8">
        <w:t>: Confirmed and Probably Infectious Syphilis</w:t>
      </w:r>
      <w:r w:rsidRPr="002E19F8">
        <w:rPr>
          <w:vertAlign w:val="superscript"/>
        </w:rPr>
        <w:t>1</w:t>
      </w:r>
      <w:r w:rsidRPr="002E19F8">
        <w:t xml:space="preserve"> Case Percentages by Social Vulnerability Index, Massachusetts, 2018- 202</w:t>
      </w:r>
      <w:r w:rsidR="0047302F">
        <w:t>3</w:t>
      </w:r>
      <w:r w:rsidRPr="002E19F8">
        <w:rPr>
          <w:vertAlign w:val="superscript"/>
        </w:rPr>
        <w:t>2</w:t>
      </w:r>
      <w:bookmarkEnd w:id="30"/>
    </w:p>
    <w:p w14:paraId="70C0D405" w14:textId="4EFD1196" w:rsidR="003461A4" w:rsidRPr="002E19F8" w:rsidRDefault="00A34F59" w:rsidP="003461A4">
      <w:pPr>
        <w:spacing w:after="0" w:line="240" w:lineRule="auto"/>
        <w:rPr>
          <w:b/>
          <w:sz w:val="24"/>
          <w:szCs w:val="24"/>
          <w:vertAlign w:val="superscript"/>
        </w:rPr>
      </w:pPr>
      <w:r w:rsidRPr="00A34F59">
        <w:rPr>
          <w:b/>
          <w:noProof/>
          <w:sz w:val="24"/>
          <w:szCs w:val="24"/>
          <w:vertAlign w:val="superscript"/>
        </w:rPr>
        <w:drawing>
          <wp:inline distT="0" distB="0" distL="0" distR="0" wp14:anchorId="5D98903E" wp14:editId="03B1454E">
            <wp:extent cx="5943600" cy="2304415"/>
            <wp:effectExtent l="0" t="0" r="0" b="0"/>
            <wp:docPr id="1043337238" name="Picture 1043337238" descr="Graph depicts the proportion of Massachusetts reported confirmed and probable infectious syphilis cases broken down by SVI quartile for the years 2018 through 2023. The High SVI group is largest for each year, making up 42 to 48% of cases each year. Each year, the order in frequency from highest to lowest is: High, Moderately High, Moderately Low, Low, and Unknown SVI.">
              <a:extLst xmlns:a="http://schemas.openxmlformats.org/drawingml/2006/main">
                <a:ext uri="{FF2B5EF4-FFF2-40B4-BE49-F238E27FC236}">
                  <a16:creationId xmlns:a16="http://schemas.microsoft.com/office/drawing/2014/main" id="{0784DD75-5F7B-1D95-1485-A22F1DADB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the proportion of Massachusetts reported confirmed and probable infectious syphilis cases broken down by SVI quartile for the years 2018 through 2023. The High SVI group is largest for each year, making up 42 to 48% of cases each year. Each year, the order in frequency from highest to lowest is: High, Moderately High, Moderately Low, Low, and Unknown SVI.">
                      <a:extLst>
                        <a:ext uri="{FF2B5EF4-FFF2-40B4-BE49-F238E27FC236}">
                          <a16:creationId xmlns:a16="http://schemas.microsoft.com/office/drawing/2014/main" id="{0784DD75-5F7B-1D95-1485-A22F1DADBBA4}"/>
                        </a:ext>
                      </a:extLst>
                    </pic:cNvPr>
                    <pic:cNvPicPr>
                      <a:picLocks noChangeAspect="1"/>
                    </pic:cNvPicPr>
                  </pic:nvPicPr>
                  <pic:blipFill>
                    <a:blip r:embed="rId30"/>
                    <a:stretch>
                      <a:fillRect/>
                    </a:stretch>
                  </pic:blipFill>
                  <pic:spPr>
                    <a:xfrm>
                      <a:off x="0" y="0"/>
                      <a:ext cx="5943600" cy="2304415"/>
                    </a:xfrm>
                    <a:prstGeom prst="rect">
                      <a:avLst/>
                    </a:prstGeom>
                  </pic:spPr>
                </pic:pic>
              </a:graphicData>
            </a:graphic>
          </wp:inline>
        </w:drawing>
      </w:r>
    </w:p>
    <w:p w14:paraId="216753FF" w14:textId="77777777" w:rsidR="0037728B" w:rsidRPr="002E19F8" w:rsidRDefault="0037728B" w:rsidP="0037728B">
      <w:pPr>
        <w:spacing w:after="0" w:line="240" w:lineRule="auto"/>
        <w:rPr>
          <w:b/>
          <w:sz w:val="24"/>
          <w:szCs w:val="24"/>
        </w:rPr>
      </w:pPr>
      <w:r w:rsidRPr="002E19F8">
        <w:rPr>
          <w:b/>
          <w:sz w:val="24"/>
          <w:szCs w:val="24"/>
        </w:rPr>
        <w:t>Table: Infectious Syphilis Annual Case Counts</w:t>
      </w:r>
    </w:p>
    <w:tbl>
      <w:tblPr>
        <w:tblW w:w="1920" w:type="dxa"/>
        <w:tblLook w:val="0420" w:firstRow="1" w:lastRow="0" w:firstColumn="0" w:lastColumn="0" w:noHBand="0" w:noVBand="1"/>
      </w:tblPr>
      <w:tblGrid>
        <w:gridCol w:w="960"/>
        <w:gridCol w:w="960"/>
      </w:tblGrid>
      <w:tr w:rsidR="0037728B" w:rsidRPr="002E19F8" w14:paraId="68808D2D" w14:textId="77777777" w:rsidTr="0037728B">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19A8" w14:textId="77777777" w:rsidR="0037728B" w:rsidRPr="002E19F8" w:rsidRDefault="0037728B">
            <w:pPr>
              <w:spacing w:after="0" w:line="240" w:lineRule="auto"/>
              <w:jc w:val="center"/>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 xml:space="preserve">Year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FB0876" w14:textId="77777777" w:rsidR="0037728B" w:rsidRPr="002E19F8" w:rsidRDefault="0037728B">
            <w:pPr>
              <w:spacing w:after="0" w:line="240" w:lineRule="auto"/>
              <w:rPr>
                <w:rFonts w:ascii="Calibri" w:eastAsia="Times New Roman" w:hAnsi="Calibri" w:cs="Calibri"/>
                <w:b/>
                <w:color w:val="000000"/>
                <w:kern w:val="0"/>
                <w:sz w:val="24"/>
                <w:szCs w:val="24"/>
                <w14:ligatures w14:val="none"/>
              </w:rPr>
            </w:pPr>
            <w:r w:rsidRPr="002E19F8">
              <w:rPr>
                <w:rFonts w:ascii="Calibri" w:eastAsia="Times New Roman" w:hAnsi="Calibri" w:cs="Calibri"/>
                <w:b/>
                <w:color w:val="000000"/>
                <w:kern w:val="0"/>
                <w:sz w:val="24"/>
                <w:szCs w:val="24"/>
                <w14:ligatures w14:val="none"/>
              </w:rPr>
              <w:t>Count</w:t>
            </w:r>
          </w:p>
        </w:tc>
      </w:tr>
      <w:tr w:rsidR="0037728B" w:rsidRPr="002E19F8" w14:paraId="6D794E13"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B4F05C" w14:textId="1E5D8780"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675BA50" w14:textId="4F525877"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1,167</w:t>
            </w:r>
          </w:p>
        </w:tc>
      </w:tr>
      <w:tr w:rsidR="0037728B" w:rsidRPr="002E19F8" w14:paraId="012D9787"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B525E3" w14:textId="3DCB4F57"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D7B6062" w14:textId="5AB83EBF"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1,244</w:t>
            </w:r>
          </w:p>
        </w:tc>
      </w:tr>
      <w:tr w:rsidR="0037728B" w:rsidRPr="002E19F8" w14:paraId="53751EC1"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1AB656" w14:textId="27B595C4"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4D1E61A" w14:textId="2074C2F6"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1,159</w:t>
            </w:r>
          </w:p>
        </w:tc>
      </w:tr>
      <w:tr w:rsidR="0037728B" w:rsidRPr="002E19F8" w14:paraId="3AE5381C" w14:textId="77777777" w:rsidTr="52C804C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9AB81" w14:textId="47C7ABDC"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CA54218" w14:textId="22F2EDD7"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1,352</w:t>
            </w:r>
          </w:p>
        </w:tc>
      </w:tr>
      <w:tr w:rsidR="0037728B" w:rsidRPr="002E19F8" w14:paraId="62A9C474" w14:textId="77777777" w:rsidTr="00C7683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65627" w14:textId="44B1FB48"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643D0B0" w14:textId="0DF1AA5E" w:rsidR="0037728B" w:rsidRPr="002E19F8" w:rsidRDefault="0037728B">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1,593</w:t>
            </w:r>
          </w:p>
        </w:tc>
      </w:tr>
      <w:tr w:rsidR="00C7683C" w:rsidRPr="002E19F8" w14:paraId="148A96AC" w14:textId="77777777" w:rsidTr="00C7683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49A8B" w14:textId="15C51912" w:rsidR="00C7683C" w:rsidRPr="002E19F8" w:rsidRDefault="00C7683C">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tcPr>
          <w:p w14:paraId="45A98CC7" w14:textId="18EFDBDB" w:rsidR="00C7683C" w:rsidRPr="002E19F8" w:rsidRDefault="00C7683C">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1,449</w:t>
            </w:r>
          </w:p>
        </w:tc>
      </w:tr>
    </w:tbl>
    <w:p w14:paraId="6C17330F" w14:textId="4CDCE0AA" w:rsidR="003461A4" w:rsidRPr="002E19F8" w:rsidRDefault="003461A4" w:rsidP="008C27CA">
      <w:pPr>
        <w:spacing w:before="240" w:after="0" w:line="240" w:lineRule="auto"/>
        <w:rPr>
          <w:sz w:val="24"/>
          <w:szCs w:val="24"/>
        </w:rPr>
      </w:pPr>
      <w:r w:rsidRPr="002E19F8">
        <w:rPr>
          <w:b/>
          <w:sz w:val="24"/>
          <w:szCs w:val="24"/>
        </w:rPr>
        <w:t xml:space="preserve">Highlights: </w:t>
      </w:r>
      <w:r w:rsidR="00A34F59" w:rsidRPr="00A34F59">
        <w:rPr>
          <w:sz w:val="24"/>
          <w:szCs w:val="24"/>
        </w:rPr>
        <w:t>Graph depicts the proportion of Massachusetts reported confirmed and probable infectious syphilis cases broken down by SVI quartile for the years 2018 through 2023. The High SVI group is largest for each year, making up 42 to 48% of cases each year. Each year, the order in frequency from highest to lowest is: High, Moderately High, Moderately Low, Low, and Unknown SVI.</w:t>
      </w:r>
    </w:p>
    <w:p w14:paraId="0F5EC4ED" w14:textId="77777777" w:rsidR="003461A4" w:rsidRPr="002E19F8" w:rsidRDefault="003461A4" w:rsidP="003461A4">
      <w:pPr>
        <w:spacing w:after="0" w:line="240" w:lineRule="auto"/>
        <w:rPr>
          <w:sz w:val="24"/>
          <w:szCs w:val="24"/>
        </w:rPr>
      </w:pPr>
    </w:p>
    <w:p w14:paraId="5C3EC558" w14:textId="63E4AC52" w:rsidR="003461A4" w:rsidRPr="002E19F8" w:rsidRDefault="003461A4" w:rsidP="52C804C8">
      <w:pPr>
        <w:spacing w:after="0" w:line="240" w:lineRule="auto"/>
        <w:rPr>
          <w:sz w:val="24"/>
          <w:szCs w:val="24"/>
        </w:rPr>
      </w:pPr>
      <w:r w:rsidRPr="002E19F8">
        <w:rPr>
          <w:b/>
          <w:sz w:val="24"/>
          <w:szCs w:val="24"/>
        </w:rPr>
        <w:t>Footnotes</w:t>
      </w:r>
      <w:r w:rsidR="5EC81ED5" w:rsidRPr="002E19F8">
        <w:rPr>
          <w:b/>
          <w:bCs/>
          <w:sz w:val="24"/>
          <w:szCs w:val="24"/>
        </w:rPr>
        <w:t xml:space="preserve"> for Slide 2</w:t>
      </w:r>
      <w:r w:rsidR="00084669">
        <w:rPr>
          <w:b/>
          <w:bCs/>
          <w:sz w:val="24"/>
          <w:szCs w:val="24"/>
        </w:rPr>
        <w:t>8</w:t>
      </w:r>
      <w:r w:rsidRPr="002E19F8">
        <w:rPr>
          <w:sz w:val="24"/>
          <w:szCs w:val="24"/>
        </w:rPr>
        <w:t xml:space="preserve"> </w:t>
      </w:r>
    </w:p>
    <w:p w14:paraId="338FE5E6" w14:textId="77777777" w:rsidR="00A34F59" w:rsidRPr="00A34F59" w:rsidRDefault="00A34F59" w:rsidP="00A34F59">
      <w:pPr>
        <w:spacing w:after="0" w:line="240" w:lineRule="auto"/>
        <w:rPr>
          <w:sz w:val="24"/>
          <w:szCs w:val="24"/>
        </w:rPr>
      </w:pPr>
      <w:r w:rsidRPr="00A34F59">
        <w:rPr>
          <w:sz w:val="24"/>
          <w:szCs w:val="24"/>
        </w:rPr>
        <w:t>Data are current as of 07/17/2024 and are subject to change. </w:t>
      </w:r>
    </w:p>
    <w:p w14:paraId="327389F6" w14:textId="77777777" w:rsidR="00A34F59" w:rsidRPr="00A34F59" w:rsidRDefault="00A34F59" w:rsidP="00A34F59">
      <w:pPr>
        <w:spacing w:after="0" w:line="240" w:lineRule="auto"/>
        <w:rPr>
          <w:sz w:val="24"/>
          <w:szCs w:val="24"/>
        </w:rPr>
      </w:pPr>
      <w:r w:rsidRPr="00A34F59">
        <w:rPr>
          <w:sz w:val="24"/>
          <w:szCs w:val="24"/>
        </w:rPr>
        <w:t>Data Source: Massachusetts Department of Public Health/Bureau of Infectious Disease and Laboratory Sciences/ Division of STD Prevention and STD-HIV Surveillance.</w:t>
      </w:r>
    </w:p>
    <w:p w14:paraId="1580814E" w14:textId="77777777" w:rsidR="00A34F59" w:rsidRPr="00A34F59" w:rsidRDefault="00A34F59" w:rsidP="00A34F59">
      <w:pPr>
        <w:spacing w:after="0" w:line="240" w:lineRule="auto"/>
        <w:rPr>
          <w:sz w:val="24"/>
          <w:szCs w:val="24"/>
        </w:rPr>
      </w:pPr>
      <w:r w:rsidRPr="00A34F59">
        <w:rPr>
          <w:sz w:val="24"/>
          <w:szCs w:val="24"/>
        </w:rPr>
        <w:t>1. Infectious syphilis is defined as primary, secondary and early latent stages of syphilis within one year of infection.</w:t>
      </w:r>
    </w:p>
    <w:p w14:paraId="7DED4621" w14:textId="77777777" w:rsidR="00A34F59" w:rsidRPr="00A34F59" w:rsidRDefault="00A34F59" w:rsidP="00A34F59">
      <w:pPr>
        <w:spacing w:after="0" w:line="240" w:lineRule="auto"/>
        <w:rPr>
          <w:sz w:val="24"/>
          <w:szCs w:val="24"/>
        </w:rPr>
      </w:pPr>
      <w:r w:rsidRPr="00A34F59">
        <w:rPr>
          <w:sz w:val="24"/>
          <w:szCs w:val="24"/>
        </w:rPr>
        <w:t>2. Please consider the impact of the COVID-19 pandemic on infectious disease screening, treatment and surveillance in the interpretation of 2020-2023 data.</w:t>
      </w:r>
    </w:p>
    <w:p w14:paraId="27749624" w14:textId="77777777" w:rsidR="00392304" w:rsidRPr="002E19F8" w:rsidRDefault="00392304" w:rsidP="003461A4">
      <w:pPr>
        <w:spacing w:after="0" w:line="240" w:lineRule="auto"/>
        <w:rPr>
          <w:sz w:val="24"/>
          <w:szCs w:val="24"/>
        </w:rPr>
      </w:pPr>
    </w:p>
    <w:p w14:paraId="091F1139" w14:textId="35AA05BF" w:rsidR="52C804C8" w:rsidRPr="002E19F8" w:rsidRDefault="52C804C8" w:rsidP="52C804C8">
      <w:pPr>
        <w:spacing w:after="0" w:line="240" w:lineRule="auto"/>
        <w:rPr>
          <w:sz w:val="24"/>
          <w:szCs w:val="24"/>
        </w:rPr>
      </w:pPr>
    </w:p>
    <w:p w14:paraId="64BFE0F0" w14:textId="74254C50" w:rsidR="52C804C8" w:rsidRPr="002E19F8" w:rsidRDefault="52C804C8" w:rsidP="52C804C8">
      <w:pPr>
        <w:spacing w:after="0" w:line="240" w:lineRule="auto"/>
        <w:rPr>
          <w:sz w:val="24"/>
          <w:szCs w:val="24"/>
        </w:rPr>
      </w:pPr>
    </w:p>
    <w:p w14:paraId="44E3FA85" w14:textId="152E1527" w:rsidR="52C804C8" w:rsidRPr="002E19F8" w:rsidRDefault="52C804C8" w:rsidP="52C804C8">
      <w:pPr>
        <w:spacing w:after="0" w:line="240" w:lineRule="auto"/>
        <w:rPr>
          <w:sz w:val="24"/>
          <w:szCs w:val="24"/>
        </w:rPr>
      </w:pPr>
    </w:p>
    <w:p w14:paraId="1A9D53F4" w14:textId="6C906F9B" w:rsidR="00392304" w:rsidRPr="003233F8" w:rsidRDefault="00DD4AD7" w:rsidP="00004164">
      <w:pPr>
        <w:pStyle w:val="Heading2"/>
      </w:pPr>
      <w:bookmarkStart w:id="31" w:name="_Toc184132241"/>
      <w:r w:rsidRPr="003233F8">
        <w:t>Slide 2</w:t>
      </w:r>
      <w:r w:rsidR="00084669">
        <w:t>9</w:t>
      </w:r>
      <w:r w:rsidRPr="003233F8">
        <w:t>: Confirmed and Probable Infectious Syphilis</w:t>
      </w:r>
      <w:r w:rsidRPr="003233F8">
        <w:rPr>
          <w:vertAlign w:val="superscript"/>
        </w:rPr>
        <w:t>1</w:t>
      </w:r>
      <w:r w:rsidRPr="003233F8">
        <w:t xml:space="preserve"> Case Percentages by Social Vulnerability Index and Gender</w:t>
      </w:r>
      <w:r w:rsidRPr="003233F8">
        <w:rPr>
          <w:vertAlign w:val="superscript"/>
        </w:rPr>
        <w:t>2</w:t>
      </w:r>
      <w:r w:rsidRPr="003233F8">
        <w:t>, Massachusetts, 2018-202</w:t>
      </w:r>
      <w:r w:rsidR="00084669">
        <w:t>3</w:t>
      </w:r>
      <w:r w:rsidRPr="003233F8">
        <w:rPr>
          <w:vertAlign w:val="superscript"/>
        </w:rPr>
        <w:t>3</w:t>
      </w:r>
      <w:bookmarkEnd w:id="31"/>
      <w:r w:rsidRPr="003233F8">
        <w:rPr>
          <w:vertAlign w:val="superscript"/>
        </w:rPr>
        <w:t xml:space="preserve"> </w:t>
      </w:r>
    </w:p>
    <w:p w14:paraId="48AAA3BB" w14:textId="3795E457" w:rsidR="00392304" w:rsidRPr="002E19F8" w:rsidRDefault="00653332" w:rsidP="003461A4">
      <w:pPr>
        <w:spacing w:after="0" w:line="240" w:lineRule="auto"/>
        <w:rPr>
          <w:sz w:val="24"/>
          <w:szCs w:val="24"/>
        </w:rPr>
      </w:pPr>
      <w:r w:rsidRPr="00653332">
        <w:rPr>
          <w:noProof/>
          <w:sz w:val="24"/>
          <w:szCs w:val="24"/>
        </w:rPr>
        <w:drawing>
          <wp:inline distT="0" distB="0" distL="0" distR="0" wp14:anchorId="0C65BD98" wp14:editId="359BA996">
            <wp:extent cx="5943600" cy="2217420"/>
            <wp:effectExtent l="0" t="0" r="0" b="0"/>
            <wp:docPr id="2147183568" name="Picture 2147183568" descr="Graph depicts the proportion of Massachusetts reported confirmed and probable infectious syphilis cases broken down by SVI quartile and gender for the years 2018 through 2023. In 2023, 60% of female cases are High SVI, compared to 44% in males. 19% of female cases in 2023 are Moderately High SVI, 9% are Moderately Low SVI, 7% are Low SVI, and 5% are Unknown SVI. 25% of male cases in 2023 are Moderately High SVI, 16% are Moderately Low SVI, 11% are Low SVI, and 4% are Unknown SVI.">
              <a:extLst xmlns:a="http://schemas.openxmlformats.org/drawingml/2006/main">
                <a:ext uri="{FF2B5EF4-FFF2-40B4-BE49-F238E27FC236}">
                  <a16:creationId xmlns:a16="http://schemas.microsoft.com/office/drawing/2014/main" id="{1B110B56-8280-774B-20C9-0D23C82E2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 depicts the proportion of Massachusetts reported confirmed and probable infectious syphilis cases broken down by SVI quartile and gender for the years 2018 through 2023. In 2023, 60% of female cases are High SVI, compared to 44% in males. 19% of female cases in 2023 are Moderately High SVI, 9% are Moderately Low SVI, 7% are Low SVI, and 5% are Unknown SVI. 25% of male cases in 2023 are Moderately High SVI, 16% are Moderately Low SVI, 11% are Low SVI, and 4% are Unknown SVI.">
                      <a:extLst>
                        <a:ext uri="{FF2B5EF4-FFF2-40B4-BE49-F238E27FC236}">
                          <a16:creationId xmlns:a16="http://schemas.microsoft.com/office/drawing/2014/main" id="{1B110B56-8280-774B-20C9-0D23C82E2B6D}"/>
                        </a:ext>
                      </a:extLst>
                    </pic:cNvPr>
                    <pic:cNvPicPr>
                      <a:picLocks noChangeAspect="1"/>
                    </pic:cNvPicPr>
                  </pic:nvPicPr>
                  <pic:blipFill>
                    <a:blip r:embed="rId31"/>
                    <a:stretch>
                      <a:fillRect/>
                    </a:stretch>
                  </pic:blipFill>
                  <pic:spPr>
                    <a:xfrm>
                      <a:off x="0" y="0"/>
                      <a:ext cx="5943600" cy="2217420"/>
                    </a:xfrm>
                    <a:prstGeom prst="rect">
                      <a:avLst/>
                    </a:prstGeom>
                  </pic:spPr>
                </pic:pic>
              </a:graphicData>
            </a:graphic>
          </wp:inline>
        </w:drawing>
      </w:r>
    </w:p>
    <w:p w14:paraId="65D31518" w14:textId="77777777" w:rsidR="00DD4AD7" w:rsidRPr="002E19F8" w:rsidRDefault="00DD4AD7" w:rsidP="00DD4AD7">
      <w:pPr>
        <w:spacing w:after="0" w:line="240" w:lineRule="auto"/>
        <w:rPr>
          <w:b/>
          <w:sz w:val="24"/>
          <w:szCs w:val="24"/>
        </w:rPr>
      </w:pPr>
      <w:r w:rsidRPr="002E19F8">
        <w:rPr>
          <w:b/>
          <w:sz w:val="24"/>
          <w:szCs w:val="24"/>
        </w:rPr>
        <w:t>Table: Infectious Syphilis Annual Case Counts by Current Gender</w:t>
      </w:r>
    </w:p>
    <w:tbl>
      <w:tblPr>
        <w:tblW w:w="3456" w:type="dxa"/>
        <w:tblLook w:val="0420" w:firstRow="1" w:lastRow="0" w:firstColumn="0" w:lastColumn="0" w:noHBand="0" w:noVBand="1"/>
      </w:tblPr>
      <w:tblGrid>
        <w:gridCol w:w="1152"/>
        <w:gridCol w:w="1152"/>
        <w:gridCol w:w="1152"/>
      </w:tblGrid>
      <w:tr w:rsidR="00DD4AD7" w:rsidRPr="002E19F8" w14:paraId="122B4D6F" w14:textId="77777777" w:rsidTr="004349DE">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80A3" w14:textId="77777777" w:rsidR="00DD4AD7" w:rsidRPr="002E19F8" w:rsidRDefault="00DD4AD7">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 xml:space="preserve">Year </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27CC26" w14:textId="77777777" w:rsidR="00DD4AD7" w:rsidRPr="002E19F8" w:rsidRDefault="00DD4AD7">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CFACF7" w14:textId="77777777" w:rsidR="00DD4AD7" w:rsidRPr="002E19F8" w:rsidRDefault="00DD4AD7">
            <w:pPr>
              <w:spacing w:after="0" w:line="240" w:lineRule="auto"/>
              <w:jc w:val="center"/>
              <w:rPr>
                <w:rFonts w:eastAsia="Times New Roman"/>
                <w:b/>
                <w:color w:val="000000"/>
                <w:kern w:val="0"/>
                <w:sz w:val="24"/>
                <w:szCs w:val="24"/>
                <w14:ligatures w14:val="none"/>
              </w:rPr>
            </w:pPr>
            <w:r w:rsidRPr="002E19F8">
              <w:rPr>
                <w:rFonts w:eastAsia="Times New Roman"/>
                <w:b/>
                <w:color w:val="000000"/>
                <w:kern w:val="0"/>
                <w:sz w:val="24"/>
                <w:szCs w:val="24"/>
                <w14:ligatures w14:val="none"/>
              </w:rPr>
              <w:t>Males</w:t>
            </w:r>
          </w:p>
        </w:tc>
      </w:tr>
      <w:tr w:rsidR="00DD4AD7" w:rsidRPr="002E19F8" w14:paraId="6039E31E"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2465CAA" w14:textId="1298FF1A"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05DA839" w14:textId="39273C02"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1,055</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40B4A9B" w14:textId="7A491D24"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w:t>
            </w:r>
          </w:p>
        </w:tc>
      </w:tr>
      <w:tr w:rsidR="00DD4AD7" w:rsidRPr="002E19F8" w14:paraId="4F1604ED"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7CAD0B7" w14:textId="4DD143AD"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2019</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AB5B5A7" w14:textId="506E0333"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1,102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180691DA" w14:textId="1AFCE49D"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139</w:t>
            </w:r>
          </w:p>
        </w:tc>
      </w:tr>
      <w:tr w:rsidR="00DD4AD7" w:rsidRPr="002E19F8" w14:paraId="26FA52EA"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AC7E2CC" w14:textId="58444F36"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2020</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15478C4" w14:textId="3A0D72D5"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1,028</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0A9A3B6" w14:textId="2E7A9296"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130</w:t>
            </w:r>
          </w:p>
        </w:tc>
      </w:tr>
      <w:tr w:rsidR="00DD4AD7" w:rsidRPr="002E19F8" w14:paraId="512AD8B9" w14:textId="77777777" w:rsidTr="52C804C8">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6C4B9929" w14:textId="1F11B8B1"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2B3F9A4B" w14:textId="0F1474C6"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1,201</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420EE9C4" w14:textId="439558B1"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150</w:t>
            </w:r>
          </w:p>
        </w:tc>
      </w:tr>
      <w:tr w:rsidR="00DD4AD7" w:rsidRPr="002E19F8" w14:paraId="1BF4073A" w14:textId="77777777" w:rsidTr="00653332">
        <w:trPr>
          <w:trHeight w:val="310"/>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3C906D9" w14:textId="48AC87D7"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218A447" w14:textId="523A4CF7"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1,357</w:t>
            </w:r>
          </w:p>
        </w:tc>
        <w:tc>
          <w:tcPr>
            <w:tcW w:w="1152" w:type="dxa"/>
            <w:tcBorders>
              <w:top w:val="nil"/>
              <w:left w:val="nil"/>
              <w:bottom w:val="single" w:sz="4" w:space="0" w:color="auto"/>
              <w:right w:val="single" w:sz="4" w:space="0" w:color="auto"/>
            </w:tcBorders>
            <w:shd w:val="clear" w:color="auto" w:fill="FFFFFF" w:themeFill="background1"/>
            <w:vAlign w:val="center"/>
            <w:hideMark/>
          </w:tcPr>
          <w:p w14:paraId="0662EB92" w14:textId="33794A7C" w:rsidR="00DD4AD7" w:rsidRPr="002E19F8" w:rsidRDefault="00DD4AD7">
            <w:pPr>
              <w:spacing w:after="0" w:line="240" w:lineRule="auto"/>
              <w:jc w:val="center"/>
              <w:rPr>
                <w:rFonts w:eastAsia="Times New Roman"/>
                <w:color w:val="000000"/>
                <w:kern w:val="0"/>
                <w:sz w:val="24"/>
                <w:szCs w:val="24"/>
                <w14:ligatures w14:val="none"/>
              </w:rPr>
            </w:pPr>
            <w:r w:rsidRPr="002E19F8">
              <w:rPr>
                <w:rFonts w:eastAsia="Times New Roman"/>
                <w:color w:val="000000"/>
                <w:kern w:val="0"/>
                <w:sz w:val="24"/>
                <w:szCs w:val="24"/>
                <w14:ligatures w14:val="none"/>
              </w:rPr>
              <w:t>233</w:t>
            </w:r>
          </w:p>
        </w:tc>
      </w:tr>
      <w:tr w:rsidR="00A34F59" w:rsidRPr="002E19F8" w14:paraId="5245D9B9" w14:textId="77777777" w:rsidTr="00653332">
        <w:trPr>
          <w:trHeight w:val="31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634F8" w14:textId="00CD0964" w:rsidR="00A34F59" w:rsidRPr="002E19F8" w:rsidRDefault="00653332">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2023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620B03CE" w14:textId="0A624E6C" w:rsidR="00A34F59" w:rsidRPr="002E19F8" w:rsidRDefault="00653332">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1,183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14:paraId="5B9DDD76" w14:textId="074E0A4D" w:rsidR="00A34F59" w:rsidRPr="002E19F8" w:rsidRDefault="00653332">
            <w:pPr>
              <w:spacing w:after="0" w:line="240" w:lineRule="auto"/>
              <w:jc w:val="center"/>
              <w:rPr>
                <w:rFonts w:eastAsia="Times New Roman"/>
                <w:color w:val="000000"/>
                <w:kern w:val="0"/>
                <w:sz w:val="24"/>
                <w:szCs w:val="24"/>
                <w14:ligatures w14:val="none"/>
              </w:rPr>
            </w:pPr>
            <w:r>
              <w:rPr>
                <w:rFonts w:eastAsia="Times New Roman"/>
                <w:color w:val="000000"/>
                <w:kern w:val="0"/>
                <w:sz w:val="24"/>
                <w:szCs w:val="24"/>
                <w14:ligatures w14:val="none"/>
              </w:rPr>
              <w:t>264</w:t>
            </w:r>
          </w:p>
        </w:tc>
      </w:tr>
    </w:tbl>
    <w:p w14:paraId="5C6F83B3" w14:textId="34C6851F" w:rsidR="00DD4AD7" w:rsidRPr="002E19F8" w:rsidRDefault="00DD4AD7" w:rsidP="008C27CA">
      <w:pPr>
        <w:spacing w:before="240" w:after="0" w:line="240" w:lineRule="auto"/>
        <w:rPr>
          <w:sz w:val="24"/>
          <w:szCs w:val="24"/>
        </w:rPr>
      </w:pPr>
      <w:r w:rsidRPr="002E19F8">
        <w:rPr>
          <w:b/>
          <w:sz w:val="24"/>
          <w:szCs w:val="24"/>
        </w:rPr>
        <w:t xml:space="preserve">Highlights: </w:t>
      </w:r>
      <w:r w:rsidR="00653332" w:rsidRPr="00653332">
        <w:rPr>
          <w:sz w:val="24"/>
          <w:szCs w:val="24"/>
        </w:rPr>
        <w:t>Graph depicts the proportion of Massachusetts reported confirmed and probable infectious syphilis cases broken down by SVI quartile and gender for the years 2018 through 2023. In 2023, 60% of female cases are High SVI, compared to 44% in males. 19% of female cases in 2023 are Moderately High SVI, 9% are Moderately Low SVI, 7% are Low SVI, and 5% are Unknown SVI. 25% of male cases in 2023 are Moderately High SVI, 16% are Moderately Low SVI, 11% are Low SVI, and 4% are Unknown SVI.</w:t>
      </w:r>
    </w:p>
    <w:p w14:paraId="706D7C1B" w14:textId="77777777" w:rsidR="00DD4AD7" w:rsidRPr="002E19F8" w:rsidRDefault="00DD4AD7" w:rsidP="003461A4">
      <w:pPr>
        <w:spacing w:after="0" w:line="240" w:lineRule="auto"/>
        <w:rPr>
          <w:sz w:val="24"/>
          <w:szCs w:val="24"/>
        </w:rPr>
      </w:pPr>
    </w:p>
    <w:p w14:paraId="3939ACBC" w14:textId="1711ACC4" w:rsidR="00DD4AD7" w:rsidRPr="002E19F8" w:rsidRDefault="00DD4AD7" w:rsidP="52C804C8">
      <w:pPr>
        <w:spacing w:after="0" w:line="240" w:lineRule="auto"/>
        <w:rPr>
          <w:sz w:val="24"/>
          <w:szCs w:val="24"/>
        </w:rPr>
      </w:pPr>
      <w:r w:rsidRPr="002E19F8">
        <w:rPr>
          <w:b/>
          <w:sz w:val="24"/>
          <w:szCs w:val="24"/>
        </w:rPr>
        <w:t>Footnotes</w:t>
      </w:r>
      <w:r w:rsidR="65C0BD36" w:rsidRPr="002E19F8">
        <w:rPr>
          <w:b/>
          <w:bCs/>
          <w:sz w:val="24"/>
          <w:szCs w:val="24"/>
        </w:rPr>
        <w:t xml:space="preserve"> for Slide 2</w:t>
      </w:r>
      <w:r w:rsidR="006979F2">
        <w:rPr>
          <w:b/>
          <w:bCs/>
          <w:sz w:val="24"/>
          <w:szCs w:val="24"/>
        </w:rPr>
        <w:t>9</w:t>
      </w:r>
    </w:p>
    <w:p w14:paraId="287CCB92" w14:textId="77777777" w:rsidR="006979F2" w:rsidRPr="006979F2" w:rsidRDefault="006979F2" w:rsidP="006979F2">
      <w:pPr>
        <w:spacing w:after="0" w:line="240" w:lineRule="auto"/>
        <w:rPr>
          <w:sz w:val="24"/>
          <w:szCs w:val="24"/>
        </w:rPr>
      </w:pPr>
      <w:r w:rsidRPr="006979F2">
        <w:rPr>
          <w:sz w:val="24"/>
          <w:szCs w:val="24"/>
        </w:rPr>
        <w:t>Data are current as of 07/17/2024 and are subject to change. </w:t>
      </w:r>
    </w:p>
    <w:p w14:paraId="569A64BF" w14:textId="77777777" w:rsidR="006979F2" w:rsidRPr="006979F2" w:rsidRDefault="006979F2" w:rsidP="006979F2">
      <w:pPr>
        <w:spacing w:after="0" w:line="240" w:lineRule="auto"/>
        <w:rPr>
          <w:sz w:val="24"/>
          <w:szCs w:val="24"/>
        </w:rPr>
      </w:pPr>
      <w:r w:rsidRPr="006979F2">
        <w:rPr>
          <w:sz w:val="24"/>
          <w:szCs w:val="24"/>
        </w:rPr>
        <w:t>Data Source: Massachusetts Department of Public Health/Bureau of Infectious Disease and Laboratory Sciences/ Division of STD Prevention and STD-HIV Surveillance.</w:t>
      </w:r>
    </w:p>
    <w:p w14:paraId="7C17E2E0" w14:textId="77777777" w:rsidR="006979F2" w:rsidRPr="006979F2" w:rsidRDefault="006979F2" w:rsidP="006979F2">
      <w:pPr>
        <w:spacing w:after="0" w:line="240" w:lineRule="auto"/>
        <w:rPr>
          <w:sz w:val="24"/>
          <w:szCs w:val="24"/>
        </w:rPr>
      </w:pPr>
      <w:r w:rsidRPr="006979F2">
        <w:rPr>
          <w:sz w:val="24"/>
          <w:szCs w:val="24"/>
        </w:rPr>
        <w:t>1. Infectious syphilis is defined as primary, secondary and early latent stages of syphilis within one year of infection.</w:t>
      </w:r>
    </w:p>
    <w:p w14:paraId="3B67B65E" w14:textId="77777777" w:rsidR="006979F2" w:rsidRPr="006979F2" w:rsidRDefault="006979F2" w:rsidP="006979F2">
      <w:pPr>
        <w:spacing w:after="0" w:line="240" w:lineRule="auto"/>
        <w:rPr>
          <w:sz w:val="24"/>
          <w:szCs w:val="24"/>
        </w:rPr>
      </w:pPr>
      <w:r w:rsidRPr="006979F2">
        <w:rPr>
          <w:sz w:val="24"/>
          <w:szCs w:val="24"/>
        </w:rPr>
        <w:t>2. Individuals of transgender experience that do not have complete gender data may not be included within this slide. </w:t>
      </w:r>
    </w:p>
    <w:p w14:paraId="14CC0BE4" w14:textId="77777777" w:rsidR="006979F2" w:rsidRPr="006979F2" w:rsidRDefault="006979F2" w:rsidP="006979F2">
      <w:pPr>
        <w:spacing w:after="0" w:line="240" w:lineRule="auto"/>
        <w:rPr>
          <w:sz w:val="24"/>
          <w:szCs w:val="24"/>
        </w:rPr>
      </w:pPr>
      <w:r w:rsidRPr="006979F2">
        <w:rPr>
          <w:sz w:val="24"/>
          <w:szCs w:val="24"/>
        </w:rPr>
        <w:t>3. Please consider the impact of the COVID-19 pandemic on infectious disease screening, treatment and surveillance in the interpretation of 2020-2023 data.</w:t>
      </w:r>
    </w:p>
    <w:p w14:paraId="3F88EA30" w14:textId="77777777" w:rsidR="00DD4AD7" w:rsidRPr="002E19F8" w:rsidRDefault="00DD4AD7" w:rsidP="00DD4AD7">
      <w:pPr>
        <w:spacing w:after="0" w:line="240" w:lineRule="auto"/>
        <w:rPr>
          <w:sz w:val="24"/>
          <w:szCs w:val="24"/>
        </w:rPr>
      </w:pPr>
    </w:p>
    <w:p w14:paraId="6ECA3D7D" w14:textId="52FE5593" w:rsidR="52C804C8" w:rsidRPr="002E19F8" w:rsidRDefault="52C804C8" w:rsidP="52C804C8">
      <w:pPr>
        <w:spacing w:after="0" w:line="240" w:lineRule="auto"/>
        <w:rPr>
          <w:sz w:val="24"/>
          <w:szCs w:val="24"/>
        </w:rPr>
      </w:pPr>
    </w:p>
    <w:p w14:paraId="65781E84" w14:textId="77777777" w:rsidR="008C27CA" w:rsidRPr="002E19F8" w:rsidRDefault="008C27CA" w:rsidP="52C804C8">
      <w:pPr>
        <w:spacing w:after="0" w:line="240" w:lineRule="auto"/>
        <w:rPr>
          <w:sz w:val="24"/>
          <w:szCs w:val="24"/>
        </w:rPr>
      </w:pPr>
    </w:p>
    <w:p w14:paraId="69425A78" w14:textId="4740C225" w:rsidR="00BA16AE" w:rsidRPr="002E19F8" w:rsidRDefault="00BA16AE" w:rsidP="00C46D69">
      <w:pPr>
        <w:pStyle w:val="Heading2"/>
      </w:pPr>
      <w:bookmarkStart w:id="32" w:name="_Toc184132242"/>
      <w:r w:rsidRPr="002E19F8">
        <w:t xml:space="preserve">Slide </w:t>
      </w:r>
      <w:r w:rsidR="006979F2">
        <w:t>30</w:t>
      </w:r>
      <w:r w:rsidRPr="002E19F8">
        <w:t>: Confirmed and Probable Infectious Syphilis</w:t>
      </w:r>
      <w:r w:rsidRPr="002E19F8">
        <w:rPr>
          <w:vertAlign w:val="superscript"/>
        </w:rPr>
        <w:t>1</w:t>
      </w:r>
      <w:r w:rsidRPr="002E19F8">
        <w:t xml:space="preserve"> Case Percentages by Social Vulnerability Index and Race, Massachusetts, 2018- 202</w:t>
      </w:r>
      <w:r w:rsidR="006979F2">
        <w:t>3</w:t>
      </w:r>
      <w:r w:rsidRPr="002E19F8">
        <w:rPr>
          <w:vertAlign w:val="superscript"/>
        </w:rPr>
        <w:t>2</w:t>
      </w:r>
      <w:bookmarkEnd w:id="32"/>
    </w:p>
    <w:p w14:paraId="1A9EBE90" w14:textId="575308B0" w:rsidR="00BA16AE" w:rsidRPr="002E19F8" w:rsidRDefault="00931D46" w:rsidP="003461A4">
      <w:pPr>
        <w:spacing w:after="0" w:line="240" w:lineRule="auto"/>
        <w:rPr>
          <w:sz w:val="24"/>
          <w:szCs w:val="24"/>
        </w:rPr>
      </w:pPr>
      <w:r>
        <w:rPr>
          <w:noProof/>
          <w:sz w:val="24"/>
          <w:szCs w:val="24"/>
        </w:rPr>
        <w:drawing>
          <wp:inline distT="0" distB="0" distL="0" distR="0" wp14:anchorId="2E571025" wp14:editId="1D53DC8D">
            <wp:extent cx="5939155" cy="2085975"/>
            <wp:effectExtent l="0" t="0" r="4445" b="9525"/>
            <wp:docPr id="1643313052" name="Picture 1643313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13052" name="Picture 164331305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155" cy="2085975"/>
                    </a:xfrm>
                    <a:prstGeom prst="rect">
                      <a:avLst/>
                    </a:prstGeom>
                    <a:noFill/>
                    <a:ln>
                      <a:noFill/>
                    </a:ln>
                  </pic:spPr>
                </pic:pic>
              </a:graphicData>
            </a:graphic>
          </wp:inline>
        </w:drawing>
      </w:r>
    </w:p>
    <w:p w14:paraId="7D8BB2FF" w14:textId="0D6B2DFA" w:rsidR="004C51A6" w:rsidRPr="002E19F8" w:rsidRDefault="004C51A6" w:rsidP="003461A4">
      <w:pPr>
        <w:spacing w:after="0" w:line="240" w:lineRule="auto"/>
        <w:rPr>
          <w:sz w:val="24"/>
          <w:szCs w:val="24"/>
        </w:rPr>
      </w:pPr>
      <w:r w:rsidRPr="002E19F8">
        <w:rPr>
          <w:b/>
          <w:sz w:val="24"/>
          <w:szCs w:val="24"/>
        </w:rPr>
        <w:t>Table:</w:t>
      </w:r>
      <w:r w:rsidRPr="002E19F8">
        <w:rPr>
          <w:sz w:val="24"/>
          <w:szCs w:val="24"/>
        </w:rPr>
        <w:t xml:space="preserve"> </w:t>
      </w:r>
      <w:r w:rsidRPr="002E19F8">
        <w:rPr>
          <w:b/>
          <w:sz w:val="24"/>
          <w:szCs w:val="24"/>
        </w:rPr>
        <w:t>Infectious Syphilis Annual Case Counts by Selected Race and Ethnicity</w:t>
      </w:r>
    </w:p>
    <w:tbl>
      <w:tblPr>
        <w:tblW w:w="5184" w:type="dxa"/>
        <w:tblInd w:w="113" w:type="dxa"/>
        <w:tblLook w:val="04A0" w:firstRow="1" w:lastRow="0" w:firstColumn="1" w:lastColumn="0" w:noHBand="0" w:noVBand="1"/>
      </w:tblPr>
      <w:tblGrid>
        <w:gridCol w:w="1296"/>
        <w:gridCol w:w="1296"/>
        <w:gridCol w:w="1296"/>
        <w:gridCol w:w="1296"/>
      </w:tblGrid>
      <w:tr w:rsidR="004C51A6" w:rsidRPr="002E19F8" w14:paraId="172695F9" w14:textId="77777777" w:rsidTr="52C804C8">
        <w:trPr>
          <w:trHeight w:val="29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F2870"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Year(N)</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A5F1DDE"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White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7E098491"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Black</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4E2FB459" w14:textId="77777777" w:rsidR="004C51A6" w:rsidRPr="002E19F8" w:rsidRDefault="004C51A6" w:rsidP="004C51A6">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xml:space="preserve">Hispanic </w:t>
            </w:r>
          </w:p>
        </w:tc>
      </w:tr>
      <w:tr w:rsidR="004C51A6" w:rsidRPr="002E19F8" w14:paraId="4C61B791"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E542A8E"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2018</w:t>
            </w:r>
          </w:p>
        </w:tc>
        <w:tc>
          <w:tcPr>
            <w:tcW w:w="1296" w:type="dxa"/>
            <w:tcBorders>
              <w:top w:val="nil"/>
              <w:left w:val="nil"/>
              <w:bottom w:val="single" w:sz="4" w:space="0" w:color="auto"/>
              <w:right w:val="single" w:sz="4" w:space="0" w:color="auto"/>
            </w:tcBorders>
            <w:shd w:val="clear" w:color="auto" w:fill="auto"/>
            <w:noWrap/>
            <w:vAlign w:val="bottom"/>
            <w:hideMark/>
          </w:tcPr>
          <w:p w14:paraId="3DF14CCC"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469</w:t>
            </w:r>
          </w:p>
        </w:tc>
        <w:tc>
          <w:tcPr>
            <w:tcW w:w="1296" w:type="dxa"/>
            <w:tcBorders>
              <w:top w:val="nil"/>
              <w:left w:val="nil"/>
              <w:bottom w:val="single" w:sz="4" w:space="0" w:color="auto"/>
              <w:right w:val="single" w:sz="4" w:space="0" w:color="auto"/>
            </w:tcBorders>
            <w:shd w:val="clear" w:color="auto" w:fill="auto"/>
            <w:noWrap/>
            <w:vAlign w:val="bottom"/>
            <w:hideMark/>
          </w:tcPr>
          <w:p w14:paraId="6D1C0553"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196</w:t>
            </w:r>
          </w:p>
        </w:tc>
        <w:tc>
          <w:tcPr>
            <w:tcW w:w="1296" w:type="dxa"/>
            <w:tcBorders>
              <w:top w:val="nil"/>
              <w:left w:val="nil"/>
              <w:bottom w:val="single" w:sz="4" w:space="0" w:color="auto"/>
              <w:right w:val="single" w:sz="4" w:space="0" w:color="auto"/>
            </w:tcBorders>
            <w:shd w:val="clear" w:color="auto" w:fill="auto"/>
            <w:noWrap/>
            <w:vAlign w:val="bottom"/>
            <w:hideMark/>
          </w:tcPr>
          <w:p w14:paraId="67052B79"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314</w:t>
            </w:r>
          </w:p>
        </w:tc>
      </w:tr>
      <w:tr w:rsidR="004C51A6" w:rsidRPr="002E19F8" w14:paraId="5D726FF0"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BCC241E"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2019</w:t>
            </w:r>
          </w:p>
        </w:tc>
        <w:tc>
          <w:tcPr>
            <w:tcW w:w="1296" w:type="dxa"/>
            <w:tcBorders>
              <w:top w:val="nil"/>
              <w:left w:val="nil"/>
              <w:bottom w:val="single" w:sz="4" w:space="0" w:color="auto"/>
              <w:right w:val="single" w:sz="4" w:space="0" w:color="auto"/>
            </w:tcBorders>
            <w:shd w:val="clear" w:color="auto" w:fill="auto"/>
            <w:noWrap/>
            <w:vAlign w:val="bottom"/>
            <w:hideMark/>
          </w:tcPr>
          <w:p w14:paraId="41928910"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518</w:t>
            </w:r>
          </w:p>
        </w:tc>
        <w:tc>
          <w:tcPr>
            <w:tcW w:w="1296" w:type="dxa"/>
            <w:tcBorders>
              <w:top w:val="nil"/>
              <w:left w:val="nil"/>
              <w:bottom w:val="single" w:sz="4" w:space="0" w:color="auto"/>
              <w:right w:val="single" w:sz="4" w:space="0" w:color="auto"/>
            </w:tcBorders>
            <w:shd w:val="clear" w:color="auto" w:fill="auto"/>
            <w:noWrap/>
            <w:vAlign w:val="bottom"/>
            <w:hideMark/>
          </w:tcPr>
          <w:p w14:paraId="2DA0EF73"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207</w:t>
            </w:r>
          </w:p>
        </w:tc>
        <w:tc>
          <w:tcPr>
            <w:tcW w:w="1296" w:type="dxa"/>
            <w:tcBorders>
              <w:top w:val="nil"/>
              <w:left w:val="nil"/>
              <w:bottom w:val="single" w:sz="4" w:space="0" w:color="auto"/>
              <w:right w:val="single" w:sz="4" w:space="0" w:color="auto"/>
            </w:tcBorders>
            <w:shd w:val="clear" w:color="auto" w:fill="auto"/>
            <w:noWrap/>
            <w:vAlign w:val="bottom"/>
            <w:hideMark/>
          </w:tcPr>
          <w:p w14:paraId="120ED0F1"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347</w:t>
            </w:r>
          </w:p>
        </w:tc>
      </w:tr>
      <w:tr w:rsidR="004C51A6" w:rsidRPr="002E19F8" w14:paraId="60C0EEDD"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A3D217C"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2020</w:t>
            </w:r>
          </w:p>
        </w:tc>
        <w:tc>
          <w:tcPr>
            <w:tcW w:w="1296" w:type="dxa"/>
            <w:tcBorders>
              <w:top w:val="nil"/>
              <w:left w:val="nil"/>
              <w:bottom w:val="single" w:sz="4" w:space="0" w:color="auto"/>
              <w:right w:val="single" w:sz="4" w:space="0" w:color="auto"/>
            </w:tcBorders>
            <w:shd w:val="clear" w:color="auto" w:fill="auto"/>
            <w:noWrap/>
            <w:vAlign w:val="bottom"/>
            <w:hideMark/>
          </w:tcPr>
          <w:p w14:paraId="663A369C"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532</w:t>
            </w:r>
          </w:p>
        </w:tc>
        <w:tc>
          <w:tcPr>
            <w:tcW w:w="1296" w:type="dxa"/>
            <w:tcBorders>
              <w:top w:val="nil"/>
              <w:left w:val="nil"/>
              <w:bottom w:val="single" w:sz="4" w:space="0" w:color="auto"/>
              <w:right w:val="single" w:sz="4" w:space="0" w:color="auto"/>
            </w:tcBorders>
            <w:shd w:val="clear" w:color="auto" w:fill="auto"/>
            <w:noWrap/>
            <w:vAlign w:val="bottom"/>
            <w:hideMark/>
          </w:tcPr>
          <w:p w14:paraId="624DF116"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169</w:t>
            </w:r>
          </w:p>
        </w:tc>
        <w:tc>
          <w:tcPr>
            <w:tcW w:w="1296" w:type="dxa"/>
            <w:tcBorders>
              <w:top w:val="nil"/>
              <w:left w:val="nil"/>
              <w:bottom w:val="single" w:sz="4" w:space="0" w:color="auto"/>
              <w:right w:val="single" w:sz="4" w:space="0" w:color="auto"/>
            </w:tcBorders>
            <w:shd w:val="clear" w:color="auto" w:fill="auto"/>
            <w:noWrap/>
            <w:vAlign w:val="bottom"/>
            <w:hideMark/>
          </w:tcPr>
          <w:p w14:paraId="6326C0D7"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308</w:t>
            </w:r>
          </w:p>
        </w:tc>
      </w:tr>
      <w:tr w:rsidR="004C51A6" w:rsidRPr="002E19F8" w14:paraId="58B8EBEE" w14:textId="77777777" w:rsidTr="52C804C8">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49890AA"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2021</w:t>
            </w:r>
          </w:p>
        </w:tc>
        <w:tc>
          <w:tcPr>
            <w:tcW w:w="1296" w:type="dxa"/>
            <w:tcBorders>
              <w:top w:val="nil"/>
              <w:left w:val="nil"/>
              <w:bottom w:val="single" w:sz="4" w:space="0" w:color="auto"/>
              <w:right w:val="single" w:sz="4" w:space="0" w:color="auto"/>
            </w:tcBorders>
            <w:shd w:val="clear" w:color="auto" w:fill="auto"/>
            <w:noWrap/>
            <w:vAlign w:val="bottom"/>
            <w:hideMark/>
          </w:tcPr>
          <w:p w14:paraId="4BF2B7AD"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554</w:t>
            </w:r>
          </w:p>
        </w:tc>
        <w:tc>
          <w:tcPr>
            <w:tcW w:w="1296" w:type="dxa"/>
            <w:tcBorders>
              <w:top w:val="nil"/>
              <w:left w:val="nil"/>
              <w:bottom w:val="single" w:sz="4" w:space="0" w:color="auto"/>
              <w:right w:val="single" w:sz="4" w:space="0" w:color="auto"/>
            </w:tcBorders>
            <w:shd w:val="clear" w:color="auto" w:fill="auto"/>
            <w:noWrap/>
            <w:vAlign w:val="bottom"/>
            <w:hideMark/>
          </w:tcPr>
          <w:p w14:paraId="397D5398"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197</w:t>
            </w:r>
          </w:p>
        </w:tc>
        <w:tc>
          <w:tcPr>
            <w:tcW w:w="1296" w:type="dxa"/>
            <w:tcBorders>
              <w:top w:val="nil"/>
              <w:left w:val="nil"/>
              <w:bottom w:val="single" w:sz="4" w:space="0" w:color="auto"/>
              <w:right w:val="single" w:sz="4" w:space="0" w:color="auto"/>
            </w:tcBorders>
            <w:shd w:val="clear" w:color="auto" w:fill="auto"/>
            <w:noWrap/>
            <w:vAlign w:val="bottom"/>
            <w:hideMark/>
          </w:tcPr>
          <w:p w14:paraId="17FCCFB4"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356</w:t>
            </w:r>
          </w:p>
        </w:tc>
      </w:tr>
      <w:tr w:rsidR="004C51A6" w:rsidRPr="002E19F8" w14:paraId="541E5177" w14:textId="77777777" w:rsidTr="00121D36">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93FE480"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2022</w:t>
            </w:r>
          </w:p>
        </w:tc>
        <w:tc>
          <w:tcPr>
            <w:tcW w:w="1296" w:type="dxa"/>
            <w:tcBorders>
              <w:top w:val="nil"/>
              <w:left w:val="nil"/>
              <w:bottom w:val="single" w:sz="4" w:space="0" w:color="auto"/>
              <w:right w:val="single" w:sz="4" w:space="0" w:color="auto"/>
            </w:tcBorders>
            <w:shd w:val="clear" w:color="auto" w:fill="auto"/>
            <w:noWrap/>
            <w:vAlign w:val="bottom"/>
            <w:hideMark/>
          </w:tcPr>
          <w:p w14:paraId="332DD094"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607</w:t>
            </w:r>
          </w:p>
        </w:tc>
        <w:tc>
          <w:tcPr>
            <w:tcW w:w="1296" w:type="dxa"/>
            <w:tcBorders>
              <w:top w:val="nil"/>
              <w:left w:val="nil"/>
              <w:bottom w:val="single" w:sz="4" w:space="0" w:color="auto"/>
              <w:right w:val="single" w:sz="4" w:space="0" w:color="auto"/>
            </w:tcBorders>
            <w:shd w:val="clear" w:color="auto" w:fill="auto"/>
            <w:noWrap/>
            <w:vAlign w:val="bottom"/>
            <w:hideMark/>
          </w:tcPr>
          <w:p w14:paraId="7FA77B94"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270</w:t>
            </w:r>
          </w:p>
        </w:tc>
        <w:tc>
          <w:tcPr>
            <w:tcW w:w="1296" w:type="dxa"/>
            <w:tcBorders>
              <w:top w:val="nil"/>
              <w:left w:val="nil"/>
              <w:bottom w:val="single" w:sz="4" w:space="0" w:color="auto"/>
              <w:right w:val="single" w:sz="4" w:space="0" w:color="auto"/>
            </w:tcBorders>
            <w:shd w:val="clear" w:color="auto" w:fill="auto"/>
            <w:noWrap/>
            <w:vAlign w:val="bottom"/>
            <w:hideMark/>
          </w:tcPr>
          <w:p w14:paraId="573CD759" w14:textId="77777777" w:rsidR="004C51A6" w:rsidRPr="002E19F8" w:rsidRDefault="004C51A6" w:rsidP="004C51A6">
            <w:pPr>
              <w:spacing w:after="0" w:line="240" w:lineRule="auto"/>
              <w:jc w:val="right"/>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493</w:t>
            </w:r>
          </w:p>
        </w:tc>
      </w:tr>
      <w:tr w:rsidR="00121D36" w:rsidRPr="002E19F8" w14:paraId="0AEF1D95" w14:textId="77777777" w:rsidTr="00121D36">
        <w:trPr>
          <w:trHeight w:val="29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E27EF" w14:textId="3B3529F3" w:rsidR="00121D36" w:rsidRPr="002E19F8" w:rsidRDefault="00121D36" w:rsidP="004C51A6">
            <w:pPr>
              <w:spacing w:after="0" w:line="240" w:lineRule="auto"/>
              <w:jc w:val="right"/>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2023</w:t>
            </w:r>
          </w:p>
        </w:tc>
        <w:tc>
          <w:tcPr>
            <w:tcW w:w="1296" w:type="dxa"/>
            <w:tcBorders>
              <w:top w:val="single" w:sz="4" w:space="0" w:color="auto"/>
              <w:left w:val="nil"/>
              <w:bottom w:val="single" w:sz="4" w:space="0" w:color="auto"/>
              <w:right w:val="single" w:sz="4" w:space="0" w:color="auto"/>
            </w:tcBorders>
            <w:shd w:val="clear" w:color="auto" w:fill="auto"/>
            <w:noWrap/>
            <w:vAlign w:val="bottom"/>
          </w:tcPr>
          <w:p w14:paraId="031EECD2" w14:textId="2E80CAA8" w:rsidR="00121D36" w:rsidRPr="002E19F8" w:rsidRDefault="003E75D2" w:rsidP="004C51A6">
            <w:pPr>
              <w:spacing w:after="0" w:line="240" w:lineRule="auto"/>
              <w:jc w:val="right"/>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514</w:t>
            </w:r>
          </w:p>
        </w:tc>
        <w:tc>
          <w:tcPr>
            <w:tcW w:w="1296" w:type="dxa"/>
            <w:tcBorders>
              <w:top w:val="single" w:sz="4" w:space="0" w:color="auto"/>
              <w:left w:val="nil"/>
              <w:bottom w:val="single" w:sz="4" w:space="0" w:color="auto"/>
              <w:right w:val="single" w:sz="4" w:space="0" w:color="auto"/>
            </w:tcBorders>
            <w:shd w:val="clear" w:color="auto" w:fill="auto"/>
            <w:noWrap/>
            <w:vAlign w:val="bottom"/>
          </w:tcPr>
          <w:p w14:paraId="546FE478" w14:textId="7AA93335" w:rsidR="00121D36" w:rsidRPr="002E19F8" w:rsidRDefault="003E75D2" w:rsidP="004C51A6">
            <w:pPr>
              <w:spacing w:after="0" w:line="240" w:lineRule="auto"/>
              <w:jc w:val="right"/>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225</w:t>
            </w:r>
          </w:p>
        </w:tc>
        <w:tc>
          <w:tcPr>
            <w:tcW w:w="1296" w:type="dxa"/>
            <w:tcBorders>
              <w:top w:val="single" w:sz="4" w:space="0" w:color="auto"/>
              <w:left w:val="nil"/>
              <w:bottom w:val="single" w:sz="4" w:space="0" w:color="auto"/>
              <w:right w:val="single" w:sz="4" w:space="0" w:color="auto"/>
            </w:tcBorders>
            <w:shd w:val="clear" w:color="auto" w:fill="auto"/>
            <w:noWrap/>
            <w:vAlign w:val="bottom"/>
          </w:tcPr>
          <w:p w14:paraId="639CA191" w14:textId="2B2489EF" w:rsidR="00121D36" w:rsidRPr="002E19F8" w:rsidRDefault="003E75D2" w:rsidP="004C51A6">
            <w:pPr>
              <w:spacing w:after="0" w:line="240" w:lineRule="auto"/>
              <w:jc w:val="right"/>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510</w:t>
            </w:r>
          </w:p>
        </w:tc>
      </w:tr>
    </w:tbl>
    <w:p w14:paraId="645F7929" w14:textId="54933131" w:rsidR="004C51A6" w:rsidRPr="002E19F8" w:rsidRDefault="004C51A6" w:rsidP="008C27CA">
      <w:pPr>
        <w:spacing w:before="240" w:after="0" w:line="240" w:lineRule="auto"/>
        <w:rPr>
          <w:sz w:val="24"/>
          <w:szCs w:val="24"/>
        </w:rPr>
      </w:pPr>
      <w:r w:rsidRPr="002E19F8">
        <w:rPr>
          <w:b/>
          <w:sz w:val="24"/>
          <w:szCs w:val="24"/>
        </w:rPr>
        <w:t>Highlights:</w:t>
      </w:r>
      <w:r w:rsidRPr="002E19F8">
        <w:rPr>
          <w:sz w:val="24"/>
          <w:szCs w:val="24"/>
        </w:rPr>
        <w:t xml:space="preserve"> </w:t>
      </w:r>
      <w:r w:rsidR="00121D36" w:rsidRPr="00121D36">
        <w:rPr>
          <w:sz w:val="24"/>
          <w:szCs w:val="24"/>
        </w:rPr>
        <w:t>Graph depicts the proportion of Massachusetts reported confirmed and probable infectious syphilis cases broken down by SVI quartile and race for the years 2018 through 2023. Each year, NH White cases have a lower proportion of High SVI cases compared to NH Black and Hispanic cases. In 2023, 28% of NH White cases are High SVI, compared to 55% of NH Black cases and 66% of Hispanic cases.</w:t>
      </w:r>
    </w:p>
    <w:p w14:paraId="09DA4353" w14:textId="77777777" w:rsidR="004C51A6" w:rsidRPr="002E19F8" w:rsidRDefault="004C51A6" w:rsidP="003461A4">
      <w:pPr>
        <w:spacing w:after="0" w:line="240" w:lineRule="auto"/>
        <w:rPr>
          <w:b/>
          <w:sz w:val="24"/>
          <w:szCs w:val="24"/>
        </w:rPr>
      </w:pPr>
    </w:p>
    <w:p w14:paraId="79979968" w14:textId="2B606B56" w:rsidR="004C51A6" w:rsidRPr="002E19F8" w:rsidRDefault="004C51A6" w:rsidP="52C804C8">
      <w:pPr>
        <w:spacing w:after="0" w:line="240" w:lineRule="auto"/>
        <w:rPr>
          <w:sz w:val="24"/>
          <w:szCs w:val="24"/>
        </w:rPr>
      </w:pPr>
      <w:r w:rsidRPr="002E19F8">
        <w:rPr>
          <w:b/>
          <w:sz w:val="24"/>
          <w:szCs w:val="24"/>
        </w:rPr>
        <w:t>Footnotes</w:t>
      </w:r>
      <w:r w:rsidR="46C83186" w:rsidRPr="002E19F8">
        <w:rPr>
          <w:b/>
          <w:bCs/>
          <w:sz w:val="24"/>
          <w:szCs w:val="24"/>
        </w:rPr>
        <w:t xml:space="preserve"> for Slide </w:t>
      </w:r>
      <w:r w:rsidR="00C7683C">
        <w:rPr>
          <w:b/>
          <w:bCs/>
          <w:sz w:val="24"/>
          <w:szCs w:val="24"/>
        </w:rPr>
        <w:t>30</w:t>
      </w:r>
      <w:r w:rsidRPr="002E19F8">
        <w:rPr>
          <w:sz w:val="24"/>
          <w:szCs w:val="24"/>
        </w:rPr>
        <w:t xml:space="preserve"> </w:t>
      </w:r>
    </w:p>
    <w:p w14:paraId="27818B79" w14:textId="77777777" w:rsidR="00121D36" w:rsidRPr="00121D36" w:rsidRDefault="00121D36" w:rsidP="00121D36">
      <w:pPr>
        <w:spacing w:after="0" w:line="240" w:lineRule="auto"/>
        <w:rPr>
          <w:sz w:val="24"/>
          <w:szCs w:val="24"/>
        </w:rPr>
      </w:pPr>
      <w:r w:rsidRPr="00121D36">
        <w:rPr>
          <w:sz w:val="24"/>
          <w:szCs w:val="24"/>
        </w:rPr>
        <w:t>Data are current as of 07/17/2024 and are subject to change. </w:t>
      </w:r>
    </w:p>
    <w:p w14:paraId="2FD0703C" w14:textId="77777777" w:rsidR="00121D36" w:rsidRPr="00121D36" w:rsidRDefault="00121D36" w:rsidP="00121D36">
      <w:pPr>
        <w:spacing w:after="0" w:line="240" w:lineRule="auto"/>
        <w:rPr>
          <w:sz w:val="24"/>
          <w:szCs w:val="24"/>
        </w:rPr>
      </w:pPr>
      <w:r w:rsidRPr="00121D36">
        <w:rPr>
          <w:sz w:val="24"/>
          <w:szCs w:val="24"/>
        </w:rPr>
        <w:t>Data Source: Massachusetts Department of Public Health/Bureau of Infectious Disease and Laboratory Sciences/ Division of STD Prevention and STD-HIV Surveillance.</w:t>
      </w:r>
    </w:p>
    <w:p w14:paraId="6A6E6804" w14:textId="77777777" w:rsidR="00121D36" w:rsidRPr="00121D36" w:rsidRDefault="00121D36" w:rsidP="00121D36">
      <w:pPr>
        <w:spacing w:after="0" w:line="240" w:lineRule="auto"/>
        <w:rPr>
          <w:sz w:val="24"/>
          <w:szCs w:val="24"/>
        </w:rPr>
      </w:pPr>
      <w:r w:rsidRPr="00121D36">
        <w:rPr>
          <w:sz w:val="24"/>
          <w:szCs w:val="24"/>
        </w:rPr>
        <w:t>1. Infectious syphilis is defined as primary, secondary and early latent stages of syphilis within one year of infection.</w:t>
      </w:r>
    </w:p>
    <w:p w14:paraId="28994077" w14:textId="77777777" w:rsidR="00121D36" w:rsidRPr="00121D36" w:rsidRDefault="00121D36" w:rsidP="00121D36">
      <w:pPr>
        <w:spacing w:after="0" w:line="240" w:lineRule="auto"/>
        <w:rPr>
          <w:sz w:val="24"/>
          <w:szCs w:val="24"/>
        </w:rPr>
      </w:pPr>
      <w:r w:rsidRPr="00121D36">
        <w:rPr>
          <w:sz w:val="24"/>
          <w:szCs w:val="24"/>
        </w:rPr>
        <w:t>2. Please consider the impact of the COVID-19 pandemic on infectious disease screening, treatment and surveillance in the interpretation of 2020-2023 data.</w:t>
      </w:r>
    </w:p>
    <w:p w14:paraId="0AC44A5F" w14:textId="4A315306" w:rsidR="004C51A6" w:rsidRPr="002E19F8" w:rsidRDefault="004C51A6" w:rsidP="003461A4">
      <w:pPr>
        <w:spacing w:after="0" w:line="240" w:lineRule="auto"/>
        <w:rPr>
          <w:sz w:val="24"/>
          <w:szCs w:val="24"/>
        </w:rPr>
      </w:pPr>
    </w:p>
    <w:p w14:paraId="6B1220A5" w14:textId="11D7BEC8" w:rsidR="00410BB8" w:rsidRPr="002E19F8" w:rsidRDefault="00410BB8">
      <w:pPr>
        <w:rPr>
          <w:sz w:val="24"/>
          <w:szCs w:val="24"/>
        </w:rPr>
      </w:pPr>
      <w:r w:rsidRPr="002E19F8">
        <w:rPr>
          <w:sz w:val="24"/>
          <w:szCs w:val="24"/>
        </w:rPr>
        <w:br w:type="page"/>
      </w:r>
    </w:p>
    <w:p w14:paraId="124E7594" w14:textId="703A2D93" w:rsidR="004C51A6" w:rsidRPr="003233F8" w:rsidRDefault="004C51A6" w:rsidP="00004164">
      <w:pPr>
        <w:pStyle w:val="Heading2"/>
      </w:pPr>
      <w:bookmarkStart w:id="33" w:name="_Toc184132243"/>
      <w:r w:rsidRPr="003233F8">
        <w:t>Slide 3</w:t>
      </w:r>
      <w:r w:rsidR="003E75D2">
        <w:t>1</w:t>
      </w:r>
      <w:r w:rsidRPr="003233F8">
        <w:t>: Section Break</w:t>
      </w:r>
      <w:r w:rsidR="006D7AAE" w:rsidRPr="003233F8">
        <w:t>,</w:t>
      </w:r>
      <w:r w:rsidRPr="003233F8">
        <w:t xml:space="preserve"> Description of 202</w:t>
      </w:r>
      <w:r w:rsidR="003E75D2">
        <w:t>3</w:t>
      </w:r>
      <w:r w:rsidRPr="003233F8">
        <w:t xml:space="preserve"> STI Cases</w:t>
      </w:r>
      <w:bookmarkEnd w:id="33"/>
    </w:p>
    <w:p w14:paraId="32DE0378" w14:textId="2AF321C3" w:rsidR="004C51A6" w:rsidRPr="002E19F8" w:rsidRDefault="004C51A6" w:rsidP="004C51A6">
      <w:pPr>
        <w:spacing w:after="0" w:line="240" w:lineRule="auto"/>
        <w:rPr>
          <w:sz w:val="24"/>
          <w:szCs w:val="24"/>
        </w:rPr>
      </w:pPr>
      <w:r w:rsidRPr="002E19F8">
        <w:rPr>
          <w:sz w:val="24"/>
          <w:szCs w:val="24"/>
        </w:rPr>
        <w:t>Geographic Distribution by Age, Gender, Sexual Risk Categories, and Race-Ethnicity</w:t>
      </w:r>
    </w:p>
    <w:p w14:paraId="4E162029" w14:textId="77777777" w:rsidR="008C27CA" w:rsidRPr="002E19F8" w:rsidRDefault="008C27CA" w:rsidP="52C804C8">
      <w:pPr>
        <w:spacing w:after="0" w:line="240" w:lineRule="auto"/>
        <w:rPr>
          <w:sz w:val="24"/>
          <w:szCs w:val="24"/>
        </w:rPr>
      </w:pPr>
    </w:p>
    <w:p w14:paraId="0ABFD682" w14:textId="3973957F" w:rsidR="004C51A6" w:rsidRPr="002E19F8" w:rsidRDefault="004C51A6" w:rsidP="00C46D69">
      <w:pPr>
        <w:pStyle w:val="Heading2"/>
      </w:pPr>
      <w:bookmarkStart w:id="34" w:name="_Toc184132244"/>
      <w:r w:rsidRPr="002E19F8">
        <w:t>Slide 3</w:t>
      </w:r>
      <w:r w:rsidR="003E75D2">
        <w:t>2</w:t>
      </w:r>
      <w:r w:rsidRPr="002E19F8">
        <w:t>: Incident Rate of Confirmed Chlamydia Cases, per 100,000 Persons</w:t>
      </w:r>
      <w:r w:rsidRPr="002E19F8">
        <w:rPr>
          <w:vertAlign w:val="superscript"/>
        </w:rPr>
        <w:t>1</w:t>
      </w:r>
      <w:r w:rsidRPr="002E19F8">
        <w:t xml:space="preserve"> by City/Town</w:t>
      </w:r>
      <w:r w:rsidRPr="002E19F8">
        <w:rPr>
          <w:vertAlign w:val="superscript"/>
        </w:rPr>
        <w:t>2</w:t>
      </w:r>
      <w:r w:rsidRPr="002E19F8">
        <w:t>, Massachusetts, 202</w:t>
      </w:r>
      <w:r w:rsidR="003E75D2">
        <w:t>3</w:t>
      </w:r>
      <w:r w:rsidRPr="002E19F8">
        <w:rPr>
          <w:vertAlign w:val="superscript"/>
        </w:rPr>
        <w:t>3</w:t>
      </w:r>
      <w:bookmarkEnd w:id="34"/>
    </w:p>
    <w:p w14:paraId="66D1240D" w14:textId="17AD87B5" w:rsidR="004C51A6" w:rsidRPr="002E19F8" w:rsidRDefault="006C5E36" w:rsidP="003461A4">
      <w:pPr>
        <w:spacing w:after="0" w:line="240" w:lineRule="auto"/>
        <w:rPr>
          <w:sz w:val="24"/>
          <w:szCs w:val="24"/>
        </w:rPr>
      </w:pPr>
      <w:r w:rsidRPr="006C5E36">
        <w:rPr>
          <w:noProof/>
          <w:sz w:val="24"/>
          <w:szCs w:val="24"/>
        </w:rPr>
        <w:drawing>
          <wp:inline distT="0" distB="0" distL="0" distR="0" wp14:anchorId="773BE4BF" wp14:editId="7260139E">
            <wp:extent cx="5943600" cy="3740150"/>
            <wp:effectExtent l="0" t="0" r="0" b="0"/>
            <wp:docPr id="49068021" name="Picture 49068021" descr="Map of Massachusetts cities and towns color-coded to indicate the areas of the state with the highest chlamydia case rates in 2023. The cities that have the highest rates (greater than 600 per 100,000 persons) are Provincetown, Brockton, Springfield, Chelsea, Lawrence, Boston, Everett, Lynn, Holyoke, Truro, Randolph, Revere, Lowell, Malden, and New Bedford.">
              <a:extLst xmlns:a="http://schemas.openxmlformats.org/drawingml/2006/main">
                <a:ext uri="{FF2B5EF4-FFF2-40B4-BE49-F238E27FC236}">
                  <a16:creationId xmlns:a16="http://schemas.microsoft.com/office/drawing/2014/main" id="{BC4DFAA7-2F64-11E3-E458-0ADC71402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Massachusetts cities and towns color-coded to indicate the areas of the state with the highest chlamydia case rates in 2023. The cities that have the highest rates (greater than 600 per 100,000 persons) are Provincetown, Brockton, Springfield, Chelsea, Lawrence, Boston, Everett, Lynn, Holyoke, Truro, Randolph, Revere, Lowell, Malden, and New Bedford.">
                      <a:extLst>
                        <a:ext uri="{FF2B5EF4-FFF2-40B4-BE49-F238E27FC236}">
                          <a16:creationId xmlns:a16="http://schemas.microsoft.com/office/drawing/2014/main" id="{BC4DFAA7-2F64-11E3-E458-0ADC714026D9}"/>
                        </a:ext>
                      </a:extLst>
                    </pic:cNvPr>
                    <pic:cNvPicPr>
                      <a:picLocks noChangeAspect="1"/>
                    </pic:cNvPicPr>
                  </pic:nvPicPr>
                  <pic:blipFill>
                    <a:blip r:embed="rId33"/>
                    <a:stretch>
                      <a:fillRect/>
                    </a:stretch>
                  </pic:blipFill>
                  <pic:spPr>
                    <a:xfrm>
                      <a:off x="0" y="0"/>
                      <a:ext cx="5943600" cy="3740150"/>
                    </a:xfrm>
                    <a:prstGeom prst="rect">
                      <a:avLst/>
                    </a:prstGeom>
                  </pic:spPr>
                </pic:pic>
              </a:graphicData>
            </a:graphic>
          </wp:inline>
        </w:drawing>
      </w:r>
    </w:p>
    <w:p w14:paraId="25DD7BCE" w14:textId="188C268B" w:rsidR="00434FD6" w:rsidRDefault="004C51A6" w:rsidP="004C51A6">
      <w:pPr>
        <w:spacing w:after="0" w:line="240" w:lineRule="auto"/>
        <w:rPr>
          <w:sz w:val="24"/>
          <w:szCs w:val="24"/>
        </w:rPr>
      </w:pPr>
      <w:r w:rsidRPr="002E19F8">
        <w:rPr>
          <w:b/>
          <w:sz w:val="24"/>
          <w:szCs w:val="24"/>
        </w:rPr>
        <w:t>Highlights:</w:t>
      </w:r>
      <w:r w:rsidRPr="002E19F8">
        <w:rPr>
          <w:sz w:val="24"/>
          <w:szCs w:val="24"/>
        </w:rPr>
        <w:t xml:space="preserve"> </w:t>
      </w:r>
      <w:r w:rsidR="006C5E36" w:rsidRPr="006C5E36">
        <w:rPr>
          <w:sz w:val="24"/>
          <w:szCs w:val="24"/>
        </w:rPr>
        <w:t>Map of Massachusetts cities and towns color-coded to indicate the areas of the state with the highest chlamydia case rates in 2023. The cities that have the highest rates (greater than 600 per 100,000 persons) are Provincetown, Brockton, Springfield, Chelsea, Lawrence, Boston, Everett, Lynn, Holyoke, Truro, Randolph, Revere, Lowell, Malden, and New Bedford.</w:t>
      </w:r>
    </w:p>
    <w:p w14:paraId="532B7CDA" w14:textId="77777777" w:rsidR="00C7683C" w:rsidRPr="002E19F8" w:rsidRDefault="00C7683C" w:rsidP="004C51A6">
      <w:pPr>
        <w:spacing w:after="0" w:line="240" w:lineRule="auto"/>
        <w:rPr>
          <w:sz w:val="24"/>
          <w:szCs w:val="24"/>
        </w:rPr>
      </w:pPr>
    </w:p>
    <w:p w14:paraId="54925EA6" w14:textId="69245A70" w:rsidR="004C51A6" w:rsidRPr="002E19F8" w:rsidRDefault="004C51A6" w:rsidP="52C804C8">
      <w:pPr>
        <w:spacing w:after="0" w:line="240" w:lineRule="auto"/>
        <w:rPr>
          <w:b/>
          <w:bCs/>
          <w:sz w:val="24"/>
          <w:szCs w:val="24"/>
        </w:rPr>
      </w:pPr>
      <w:r w:rsidRPr="002E19F8">
        <w:rPr>
          <w:b/>
          <w:sz w:val="24"/>
          <w:szCs w:val="24"/>
        </w:rPr>
        <w:t>Footnotes</w:t>
      </w:r>
      <w:r w:rsidR="7116BD10" w:rsidRPr="002E19F8">
        <w:rPr>
          <w:b/>
          <w:bCs/>
          <w:sz w:val="24"/>
          <w:szCs w:val="24"/>
        </w:rPr>
        <w:t xml:space="preserve"> for Slide 3</w:t>
      </w:r>
      <w:r w:rsidR="006C5E36">
        <w:rPr>
          <w:b/>
          <w:bCs/>
          <w:sz w:val="24"/>
          <w:szCs w:val="24"/>
        </w:rPr>
        <w:t>2</w:t>
      </w:r>
    </w:p>
    <w:p w14:paraId="2AEFE753" w14:textId="77777777" w:rsidR="006C5E36" w:rsidRPr="006C5E36" w:rsidRDefault="006C5E36" w:rsidP="006C5E36">
      <w:pPr>
        <w:spacing w:after="0" w:line="240" w:lineRule="auto"/>
        <w:rPr>
          <w:sz w:val="24"/>
          <w:szCs w:val="24"/>
        </w:rPr>
      </w:pPr>
      <w:r w:rsidRPr="006C5E36">
        <w:rPr>
          <w:sz w:val="24"/>
          <w:szCs w:val="24"/>
        </w:rPr>
        <w:t>Data are current as of 08/01/2024 and are subject to change. </w:t>
      </w:r>
    </w:p>
    <w:p w14:paraId="508A2D6C" w14:textId="77777777" w:rsidR="006C5E36" w:rsidRPr="006C5E36" w:rsidRDefault="006C5E36" w:rsidP="006C5E36">
      <w:pPr>
        <w:spacing w:after="0" w:line="240" w:lineRule="auto"/>
        <w:rPr>
          <w:sz w:val="24"/>
          <w:szCs w:val="24"/>
        </w:rPr>
      </w:pPr>
      <w:r w:rsidRPr="006C5E36">
        <w:rPr>
          <w:sz w:val="24"/>
          <w:szCs w:val="24"/>
        </w:rPr>
        <w:t>Data Source: Massachusetts Department of Public Health/Bureau of Infectious Disease and Laboratory Sciences/ Division of STD Prevention and STD-HIV Surveillance.</w:t>
      </w:r>
    </w:p>
    <w:p w14:paraId="5FFD7301" w14:textId="77777777" w:rsidR="006C5E36" w:rsidRPr="006C5E36" w:rsidRDefault="006C5E36" w:rsidP="006C5E36">
      <w:pPr>
        <w:spacing w:after="0" w:line="240" w:lineRule="auto"/>
        <w:rPr>
          <w:sz w:val="24"/>
          <w:szCs w:val="24"/>
        </w:rPr>
      </w:pPr>
      <w:r w:rsidRPr="006C5E36">
        <w:rPr>
          <w:sz w:val="24"/>
          <w:szCs w:val="24"/>
        </w:rPr>
        <w:t>1. Population denominators estimated by the University of Massachusetts Donahue Institute using a modified Hamilton-Perry model (Strate S, et al. Small Area Population Estimates for 2011 through 2020 report, Oct 2016).</w:t>
      </w:r>
    </w:p>
    <w:p w14:paraId="1931E759" w14:textId="77777777" w:rsidR="006C5E36" w:rsidRPr="006C5E36" w:rsidRDefault="006C5E36" w:rsidP="006C5E36">
      <w:pPr>
        <w:spacing w:after="0" w:line="240" w:lineRule="auto"/>
        <w:rPr>
          <w:sz w:val="24"/>
          <w:szCs w:val="24"/>
        </w:rPr>
      </w:pPr>
      <w:r w:rsidRPr="006C5E36">
        <w:rPr>
          <w:sz w:val="24"/>
          <w:szCs w:val="24"/>
        </w:rPr>
        <w:t>2. There are no city/towns with &lt;10 cases of chlamydia that fall within the top two rate categories (≥600 cases per 100,000).</w:t>
      </w:r>
    </w:p>
    <w:p w14:paraId="2A851015" w14:textId="77777777" w:rsidR="006C5E36" w:rsidRPr="006C5E36" w:rsidRDefault="006C5E36" w:rsidP="006C5E36">
      <w:pPr>
        <w:spacing w:after="0" w:line="240" w:lineRule="auto"/>
        <w:rPr>
          <w:sz w:val="24"/>
          <w:szCs w:val="24"/>
        </w:rPr>
      </w:pPr>
      <w:r w:rsidRPr="006C5E36">
        <w:rPr>
          <w:sz w:val="24"/>
          <w:szCs w:val="24"/>
        </w:rPr>
        <w:t>3. Please consider the impact of the COVID-19 pandemic on infectious disease screening, treatment and surveillance in the interpretation of 2023 data. </w:t>
      </w:r>
    </w:p>
    <w:p w14:paraId="52EF62D0" w14:textId="70E04940" w:rsidR="004C51A6" w:rsidRPr="002E19F8" w:rsidRDefault="004C51A6" w:rsidP="004C51A6">
      <w:pPr>
        <w:spacing w:after="0" w:line="240" w:lineRule="auto"/>
        <w:rPr>
          <w:sz w:val="24"/>
          <w:szCs w:val="24"/>
        </w:rPr>
      </w:pPr>
    </w:p>
    <w:p w14:paraId="7A1BAD3B" w14:textId="672E4F98" w:rsidR="52C804C8" w:rsidRPr="002E19F8" w:rsidRDefault="52C804C8" w:rsidP="52C804C8">
      <w:pPr>
        <w:spacing w:after="0" w:line="240" w:lineRule="auto"/>
        <w:rPr>
          <w:sz w:val="24"/>
          <w:szCs w:val="24"/>
        </w:rPr>
      </w:pPr>
    </w:p>
    <w:p w14:paraId="1666F3EF" w14:textId="05DF75BC" w:rsidR="004C51A6" w:rsidRPr="002E19F8" w:rsidRDefault="004C51A6" w:rsidP="00C46D69">
      <w:pPr>
        <w:pStyle w:val="Heading2"/>
      </w:pPr>
      <w:bookmarkStart w:id="35" w:name="_Toc184132245"/>
      <w:r w:rsidRPr="002E19F8">
        <w:t>Slide 3</w:t>
      </w:r>
      <w:r w:rsidR="00F944F7">
        <w:t>3</w:t>
      </w:r>
      <w:r w:rsidRPr="002E19F8">
        <w:t xml:space="preserve">: </w:t>
      </w:r>
      <w:r w:rsidR="00F944F7" w:rsidRPr="00F944F7">
        <w:t>Absolute Rate Difference</w:t>
      </w:r>
      <w:r w:rsidR="00F944F7" w:rsidRPr="00F944F7">
        <w:rPr>
          <w:vertAlign w:val="superscript"/>
        </w:rPr>
        <w:t>1</w:t>
      </w:r>
      <w:r w:rsidR="00F944F7" w:rsidRPr="00F944F7">
        <w:t xml:space="preserve"> Comparing 2023 to 2019 for Confirmed Chlamydia Cases, per 100,000 Persons</w:t>
      </w:r>
      <w:r w:rsidR="00F944F7" w:rsidRPr="00F944F7">
        <w:rPr>
          <w:vertAlign w:val="superscript"/>
        </w:rPr>
        <w:t>2</w:t>
      </w:r>
      <w:r w:rsidR="00F944F7" w:rsidRPr="00F944F7">
        <w:t xml:space="preserve"> by City/Town, Massachusetts</w:t>
      </w:r>
      <w:bookmarkEnd w:id="35"/>
    </w:p>
    <w:p w14:paraId="7FED0B24" w14:textId="5F0E7E0E" w:rsidR="004C51A6" w:rsidRPr="002E19F8" w:rsidRDefault="004E4823" w:rsidP="003461A4">
      <w:pPr>
        <w:spacing w:after="0" w:line="240" w:lineRule="auto"/>
        <w:rPr>
          <w:sz w:val="24"/>
          <w:szCs w:val="24"/>
        </w:rPr>
      </w:pPr>
      <w:r>
        <w:rPr>
          <w:noProof/>
          <w:sz w:val="24"/>
          <w:szCs w:val="24"/>
        </w:rPr>
        <w:drawing>
          <wp:inline distT="0" distB="0" distL="0" distR="0" wp14:anchorId="5F205A0B" wp14:editId="3540BD8D">
            <wp:extent cx="5934075" cy="2472055"/>
            <wp:effectExtent l="0" t="0" r="9525" b="4445"/>
            <wp:docPr id="1630120536" name="Picture 1630120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20536" name="Picture 163012053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472055"/>
                    </a:xfrm>
                    <a:prstGeom prst="rect">
                      <a:avLst/>
                    </a:prstGeom>
                    <a:noFill/>
                    <a:ln>
                      <a:noFill/>
                    </a:ln>
                  </pic:spPr>
                </pic:pic>
              </a:graphicData>
            </a:graphic>
          </wp:inline>
        </w:drawing>
      </w:r>
    </w:p>
    <w:p w14:paraId="2CEA6C6D" w14:textId="3133B1F1" w:rsidR="004C51A6" w:rsidRPr="002E19F8" w:rsidRDefault="004C51A6" w:rsidP="52C804C8">
      <w:pPr>
        <w:spacing w:line="240" w:lineRule="auto"/>
        <w:rPr>
          <w:sz w:val="24"/>
          <w:szCs w:val="24"/>
        </w:rPr>
      </w:pPr>
      <w:r w:rsidRPr="002E19F8">
        <w:rPr>
          <w:b/>
          <w:sz w:val="24"/>
          <w:szCs w:val="24"/>
        </w:rPr>
        <w:t>Highlights:</w:t>
      </w:r>
      <w:r w:rsidRPr="002E19F8">
        <w:rPr>
          <w:sz w:val="24"/>
          <w:szCs w:val="24"/>
        </w:rPr>
        <w:t xml:space="preserve"> </w:t>
      </w:r>
      <w:r w:rsidR="00DB1A40" w:rsidRPr="00DB1A40">
        <w:rPr>
          <w:sz w:val="24"/>
          <w:szCs w:val="24"/>
        </w:rPr>
        <w:t>Map of Massachusetts cities and towns color-coded to indicate the range of absolute rate differences per 100,000 persons comparing 2023 chlamydia case rates to 2019 case rates. The darker the color in the scheme, the greater the difference between 2023 and 2019 case rates with purple coloring indicating rates were higher in 2019 and the gold coloring indicating rates were higher in 2023. The majority of cities and towns saw a drop in chlamydia case rates in 2023 compared with 2019 with the largest declines (less than -200 per 100,000 persons) occurring in Granville, Huntington, Lawrence, Amherst, West Boylston, Leverett, Gill, and New Salem; the greatest rate increases (greater than 200 per 100,000 persons) were seen in Truro, Chesterfield, Montgomery, Holbrook, and Nahant. The cities and towns that had zero cases for 2023 or 2019 and one or more cases for the opposing year are indicated on the map with a slash mark to acknowledge the absolute rate difference should be examined with caution.</w:t>
      </w:r>
    </w:p>
    <w:p w14:paraId="54EF59A8" w14:textId="384E69CA" w:rsidR="004C51A6" w:rsidRPr="002E19F8" w:rsidRDefault="004C51A6" w:rsidP="003461A4">
      <w:pPr>
        <w:spacing w:after="0" w:line="240" w:lineRule="auto"/>
        <w:rPr>
          <w:sz w:val="24"/>
          <w:szCs w:val="24"/>
        </w:rPr>
      </w:pPr>
    </w:p>
    <w:p w14:paraId="61C24C5F" w14:textId="12CE3EF9" w:rsidR="00434FD6" w:rsidRPr="002E19F8" w:rsidRDefault="00434FD6" w:rsidP="52C804C8">
      <w:pPr>
        <w:spacing w:after="0" w:line="240" w:lineRule="auto"/>
        <w:rPr>
          <w:sz w:val="24"/>
          <w:szCs w:val="24"/>
        </w:rPr>
      </w:pPr>
      <w:r w:rsidRPr="002E19F8">
        <w:rPr>
          <w:b/>
          <w:sz w:val="24"/>
          <w:szCs w:val="24"/>
        </w:rPr>
        <w:t>Footnotes</w:t>
      </w:r>
      <w:r w:rsidR="4FE4FD87" w:rsidRPr="002E19F8">
        <w:rPr>
          <w:b/>
          <w:bCs/>
          <w:sz w:val="24"/>
          <w:szCs w:val="24"/>
        </w:rPr>
        <w:t xml:space="preserve"> for Slide 3</w:t>
      </w:r>
      <w:r w:rsidR="00F75946">
        <w:rPr>
          <w:b/>
          <w:bCs/>
          <w:sz w:val="24"/>
          <w:szCs w:val="24"/>
        </w:rPr>
        <w:t>3</w:t>
      </w:r>
    </w:p>
    <w:p w14:paraId="27E3A9F1" w14:textId="77777777" w:rsidR="003F431B" w:rsidRPr="003F431B" w:rsidRDefault="003F431B" w:rsidP="003F431B">
      <w:pPr>
        <w:spacing w:after="0" w:line="240" w:lineRule="auto"/>
        <w:rPr>
          <w:sz w:val="24"/>
          <w:szCs w:val="24"/>
        </w:rPr>
      </w:pPr>
      <w:r w:rsidRPr="003F431B">
        <w:rPr>
          <w:sz w:val="24"/>
          <w:szCs w:val="24"/>
        </w:rPr>
        <w:t>Data are current as of 08/01/2024 and are subject to change. </w:t>
      </w:r>
    </w:p>
    <w:p w14:paraId="63FB4ADB" w14:textId="77777777" w:rsidR="003F431B" w:rsidRPr="003F431B" w:rsidRDefault="003F431B" w:rsidP="003F431B">
      <w:pPr>
        <w:spacing w:after="0" w:line="240" w:lineRule="auto"/>
        <w:rPr>
          <w:sz w:val="24"/>
          <w:szCs w:val="24"/>
        </w:rPr>
      </w:pPr>
      <w:r w:rsidRPr="003F431B">
        <w:rPr>
          <w:sz w:val="24"/>
          <w:szCs w:val="24"/>
        </w:rPr>
        <w:t>Data Source: Massachusetts Department of Public Health/Bureau of Infectious Disease and Laboratory Sciences/ Division of STD Prevention and STD-HIV Surveillance.</w:t>
      </w:r>
    </w:p>
    <w:p w14:paraId="3A739843" w14:textId="77777777" w:rsidR="003F431B" w:rsidRPr="003F431B" w:rsidRDefault="003F431B" w:rsidP="003F431B">
      <w:pPr>
        <w:spacing w:after="0" w:line="240" w:lineRule="auto"/>
        <w:rPr>
          <w:sz w:val="24"/>
          <w:szCs w:val="24"/>
        </w:rPr>
      </w:pPr>
      <w:r w:rsidRPr="003F431B">
        <w:rPr>
          <w:sz w:val="24"/>
          <w:szCs w:val="24"/>
        </w:rPr>
        <w:t xml:space="preserve">1. The darker the color in the scheme, the greater the difference between 2023 and 2019 chlamydia case rates with purple coloring indicating rates were higher in 2019 and gold coloring indicating rates were higher in 2023. </w:t>
      </w:r>
    </w:p>
    <w:p w14:paraId="7FA520F9" w14:textId="77777777" w:rsidR="003F431B" w:rsidRPr="003F431B" w:rsidRDefault="003F431B" w:rsidP="003F431B">
      <w:pPr>
        <w:spacing w:after="0" w:line="240" w:lineRule="auto"/>
        <w:rPr>
          <w:sz w:val="24"/>
          <w:szCs w:val="24"/>
        </w:rPr>
      </w:pPr>
      <w:r w:rsidRPr="003F431B">
        <w:rPr>
          <w:sz w:val="24"/>
          <w:szCs w:val="24"/>
        </w:rPr>
        <w:t xml:space="preserve">2. Population denominators estimated by the University of Massachusetts Donahue Institute using a modified Hamilton-Perry model (Strate S, et al. Small Area Population Estimates for 2011 through 2020 report, Oct 2016). </w:t>
      </w:r>
    </w:p>
    <w:p w14:paraId="4A4C2CB9" w14:textId="77777777" w:rsidR="004C51A6" w:rsidRPr="002E19F8" w:rsidRDefault="004C51A6" w:rsidP="003461A4">
      <w:pPr>
        <w:spacing w:after="0" w:line="240" w:lineRule="auto"/>
        <w:rPr>
          <w:sz w:val="24"/>
          <w:szCs w:val="24"/>
        </w:rPr>
      </w:pPr>
    </w:p>
    <w:p w14:paraId="46E2F4D2" w14:textId="3428B244" w:rsidR="52C804C8" w:rsidRPr="002E19F8" w:rsidRDefault="52C804C8" w:rsidP="52C804C8">
      <w:pPr>
        <w:spacing w:after="0" w:line="240" w:lineRule="auto"/>
        <w:rPr>
          <w:sz w:val="24"/>
          <w:szCs w:val="24"/>
        </w:rPr>
      </w:pPr>
    </w:p>
    <w:p w14:paraId="503C99BB" w14:textId="28717A86" w:rsidR="52C804C8" w:rsidRPr="002E19F8" w:rsidRDefault="52C804C8" w:rsidP="52C804C8">
      <w:pPr>
        <w:spacing w:after="0" w:line="240" w:lineRule="auto"/>
        <w:rPr>
          <w:sz w:val="24"/>
          <w:szCs w:val="24"/>
        </w:rPr>
      </w:pPr>
    </w:p>
    <w:p w14:paraId="7D71C0FF" w14:textId="122493C8" w:rsidR="52C804C8" w:rsidRPr="002E19F8" w:rsidRDefault="52C804C8" w:rsidP="52C804C8">
      <w:pPr>
        <w:spacing w:after="0" w:line="240" w:lineRule="auto"/>
        <w:rPr>
          <w:sz w:val="24"/>
          <w:szCs w:val="24"/>
        </w:rPr>
      </w:pPr>
    </w:p>
    <w:p w14:paraId="6C80BDC5" w14:textId="1A24FF35" w:rsidR="004C51A6" w:rsidRPr="002E19F8" w:rsidRDefault="007E7D3D" w:rsidP="00C46D69">
      <w:pPr>
        <w:pStyle w:val="Heading2"/>
      </w:pPr>
      <w:bookmarkStart w:id="36" w:name="_Toc184132246"/>
      <w:r w:rsidRPr="002E19F8">
        <w:t>Slide 3</w:t>
      </w:r>
      <w:r w:rsidR="00F75946">
        <w:t>4</w:t>
      </w:r>
      <w:r w:rsidRPr="002E19F8">
        <w:t>: Confirmed Chlamydia Case Rates per 100,000 Population by Gender</w:t>
      </w:r>
      <w:r w:rsidRPr="002E19F8">
        <w:rPr>
          <w:vertAlign w:val="superscript"/>
        </w:rPr>
        <w:t>1</w:t>
      </w:r>
      <w:r w:rsidRPr="002E19F8">
        <w:t xml:space="preserve"> and Age, Massachusetts, 202</w:t>
      </w:r>
      <w:r w:rsidR="00F75946">
        <w:t>3</w:t>
      </w:r>
      <w:r w:rsidRPr="002E19F8">
        <w:rPr>
          <w:vertAlign w:val="superscript"/>
        </w:rPr>
        <w:t>2</w:t>
      </w:r>
      <w:bookmarkEnd w:id="36"/>
    </w:p>
    <w:p w14:paraId="082356E3" w14:textId="673C8451" w:rsidR="004C51A6" w:rsidRPr="002E19F8" w:rsidRDefault="00F75946" w:rsidP="003461A4">
      <w:pPr>
        <w:spacing w:after="0" w:line="240" w:lineRule="auto"/>
        <w:rPr>
          <w:sz w:val="24"/>
          <w:szCs w:val="24"/>
        </w:rPr>
      </w:pPr>
      <w:r w:rsidRPr="00F75946">
        <w:rPr>
          <w:noProof/>
          <w:sz w:val="24"/>
          <w:szCs w:val="24"/>
        </w:rPr>
        <w:drawing>
          <wp:inline distT="0" distB="0" distL="0" distR="0" wp14:anchorId="17AD0D71" wp14:editId="7337910B">
            <wp:extent cx="5943600" cy="1965325"/>
            <wp:effectExtent l="0" t="0" r="0" b="0"/>
            <wp:docPr id="1319477871" name="Picture 1319477871" descr="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
              <a:extLst xmlns:a="http://schemas.openxmlformats.org/drawingml/2006/main">
                <a:ext uri="{FF2B5EF4-FFF2-40B4-BE49-F238E27FC236}">
                  <a16:creationId xmlns:a16="http://schemas.microsoft.com/office/drawing/2014/main" id="{C314F464-5486-D8B2-A932-0D6746DBA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
                      <a:extLst>
                        <a:ext uri="{FF2B5EF4-FFF2-40B4-BE49-F238E27FC236}">
                          <a16:creationId xmlns:a16="http://schemas.microsoft.com/office/drawing/2014/main" id="{C314F464-5486-D8B2-A932-0D6746DBAC67}"/>
                        </a:ext>
                      </a:extLst>
                    </pic:cNvPr>
                    <pic:cNvPicPr>
                      <a:picLocks noChangeAspect="1"/>
                    </pic:cNvPicPr>
                  </pic:nvPicPr>
                  <pic:blipFill>
                    <a:blip r:embed="rId35"/>
                    <a:stretch>
                      <a:fillRect/>
                    </a:stretch>
                  </pic:blipFill>
                  <pic:spPr>
                    <a:xfrm>
                      <a:off x="0" y="0"/>
                      <a:ext cx="5943600" cy="1965325"/>
                    </a:xfrm>
                    <a:prstGeom prst="rect">
                      <a:avLst/>
                    </a:prstGeom>
                  </pic:spPr>
                </pic:pic>
              </a:graphicData>
            </a:graphic>
          </wp:inline>
        </w:drawing>
      </w:r>
    </w:p>
    <w:p w14:paraId="0F3F4856" w14:textId="77777777" w:rsidR="004C51A6" w:rsidRPr="002E19F8" w:rsidRDefault="004C51A6" w:rsidP="003461A4">
      <w:pPr>
        <w:spacing w:after="0" w:line="240" w:lineRule="auto"/>
        <w:rPr>
          <w:sz w:val="24"/>
          <w:szCs w:val="24"/>
        </w:rPr>
      </w:pPr>
    </w:p>
    <w:p w14:paraId="3BDDE2FC" w14:textId="4AAE4319"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w:t>
      </w:r>
      <w:r w:rsidR="00EB410C" w:rsidRPr="00EB410C">
        <w:rPr>
          <w:sz w:val="24"/>
          <w:szCs w:val="24"/>
        </w:rPr>
        <w:t>Graph depicts chlamydia case rates per 100,000 population by age categories for the overall state, males, and females. For the overall state, the highest rate is among those 20-24 years. When looking at the gender specific rates, the age categories with the highest rates are 20-24 years for both males and females.</w:t>
      </w:r>
    </w:p>
    <w:p w14:paraId="0F48518C" w14:textId="23702D16" w:rsidR="007E7D3D" w:rsidRPr="002E19F8" w:rsidRDefault="007E7D3D" w:rsidP="52C804C8">
      <w:pPr>
        <w:spacing w:after="0" w:line="240" w:lineRule="auto"/>
        <w:rPr>
          <w:sz w:val="24"/>
          <w:szCs w:val="24"/>
        </w:rPr>
      </w:pPr>
      <w:r w:rsidRPr="002E19F8">
        <w:rPr>
          <w:b/>
          <w:sz w:val="24"/>
          <w:szCs w:val="24"/>
        </w:rPr>
        <w:t>Footnotes</w:t>
      </w:r>
      <w:r w:rsidR="254D0E53" w:rsidRPr="002E19F8">
        <w:rPr>
          <w:b/>
          <w:bCs/>
          <w:sz w:val="24"/>
          <w:szCs w:val="24"/>
        </w:rPr>
        <w:t xml:space="preserve"> for Slide 3</w:t>
      </w:r>
      <w:r w:rsidR="00EB410C">
        <w:rPr>
          <w:b/>
          <w:bCs/>
          <w:sz w:val="24"/>
          <w:szCs w:val="24"/>
        </w:rPr>
        <w:t>4</w:t>
      </w:r>
      <w:r w:rsidRPr="002E19F8">
        <w:rPr>
          <w:sz w:val="24"/>
          <w:szCs w:val="24"/>
        </w:rPr>
        <w:t xml:space="preserve"> </w:t>
      </w:r>
    </w:p>
    <w:p w14:paraId="573205CD" w14:textId="77777777" w:rsidR="00F75946" w:rsidRPr="00F75946" w:rsidRDefault="00F75946" w:rsidP="00F75946">
      <w:pPr>
        <w:spacing w:after="0" w:line="240" w:lineRule="auto"/>
        <w:rPr>
          <w:sz w:val="24"/>
          <w:szCs w:val="24"/>
        </w:rPr>
      </w:pPr>
      <w:r w:rsidRPr="00F75946">
        <w:rPr>
          <w:sz w:val="24"/>
          <w:szCs w:val="24"/>
        </w:rPr>
        <w:t>Data are current as of 08/01/2024 and are subject to change. </w:t>
      </w:r>
    </w:p>
    <w:p w14:paraId="35157DEA" w14:textId="5FA727D9" w:rsidR="00F75946" w:rsidRPr="00F75946" w:rsidRDefault="00F75946" w:rsidP="00F75946">
      <w:pPr>
        <w:spacing w:after="0" w:line="240" w:lineRule="auto"/>
        <w:rPr>
          <w:sz w:val="24"/>
          <w:szCs w:val="24"/>
        </w:rPr>
      </w:pPr>
      <w:r w:rsidRPr="00F75946">
        <w:rPr>
          <w:sz w:val="24"/>
          <w:szCs w:val="24"/>
        </w:rPr>
        <w:t>Data Source: Massachusetts Department of Public Health/Bureau of Infectious Disease and Laboratory Sciences/Division of STD Prevention and STD-HIV Surveillance.</w:t>
      </w:r>
    </w:p>
    <w:p w14:paraId="148C37D4" w14:textId="77777777" w:rsidR="00F75946" w:rsidRPr="00F75946" w:rsidRDefault="00F75946" w:rsidP="00F75946">
      <w:pPr>
        <w:spacing w:after="0" w:line="240" w:lineRule="auto"/>
        <w:rPr>
          <w:sz w:val="24"/>
          <w:szCs w:val="24"/>
        </w:rPr>
      </w:pPr>
      <w:r w:rsidRPr="00F75946">
        <w:rPr>
          <w:sz w:val="24"/>
          <w:szCs w:val="24"/>
        </w:rPr>
        <w:t>Population denominators estimated by the University of Massachusetts Donahue Institute using a modified Hamilton-Perry model (Strate S, et al. Small Area Population Estimates for 2011 through 2020 report, Oct 2016).</w:t>
      </w:r>
    </w:p>
    <w:p w14:paraId="62466DDF" w14:textId="77777777" w:rsidR="00F75946" w:rsidRPr="00F75946" w:rsidRDefault="00F75946" w:rsidP="00F75946">
      <w:pPr>
        <w:spacing w:after="0" w:line="240" w:lineRule="auto"/>
        <w:rPr>
          <w:sz w:val="24"/>
          <w:szCs w:val="24"/>
        </w:rPr>
      </w:pPr>
      <w:r w:rsidRPr="00F75946">
        <w:rPr>
          <w:sz w:val="24"/>
          <w:szCs w:val="24"/>
        </w:rPr>
        <w:t>1. In 2023, there were 20 individuals of transgender experience and 21 other individuals documented in our data system that MA DSTDP does not have current gender information for. 6 individuals had unknown age. These cases were excluded since rate for this population cannot be calculated at this time. </w:t>
      </w:r>
    </w:p>
    <w:p w14:paraId="42F1E425" w14:textId="77777777" w:rsidR="00F75946" w:rsidRPr="00F75946" w:rsidRDefault="00F75946" w:rsidP="00F75946">
      <w:pPr>
        <w:spacing w:after="0" w:line="240" w:lineRule="auto"/>
        <w:rPr>
          <w:sz w:val="24"/>
          <w:szCs w:val="24"/>
        </w:rPr>
      </w:pPr>
      <w:r w:rsidRPr="00F75946">
        <w:rPr>
          <w:sz w:val="24"/>
          <w:szCs w:val="24"/>
        </w:rPr>
        <w:t>2. Please consider the impact of the COVID-19 pandemic on infectious disease screening, treatment and surveillance in the interpretation of 2023 data.</w:t>
      </w:r>
    </w:p>
    <w:p w14:paraId="2B106DAD" w14:textId="4A59B2AA" w:rsidR="004C51A6" w:rsidRPr="002E19F8" w:rsidRDefault="004C51A6" w:rsidP="003461A4">
      <w:pPr>
        <w:spacing w:after="0" w:line="240" w:lineRule="auto"/>
        <w:rPr>
          <w:sz w:val="24"/>
          <w:szCs w:val="24"/>
        </w:rPr>
      </w:pPr>
    </w:p>
    <w:p w14:paraId="6AC7EABD" w14:textId="239E1142" w:rsidR="52C804C8" w:rsidRPr="002E19F8" w:rsidRDefault="52C804C8" w:rsidP="52C804C8">
      <w:pPr>
        <w:spacing w:after="0" w:line="240" w:lineRule="auto"/>
        <w:rPr>
          <w:sz w:val="24"/>
          <w:szCs w:val="24"/>
        </w:rPr>
      </w:pPr>
    </w:p>
    <w:p w14:paraId="1BC44C09" w14:textId="02E0BDC0" w:rsidR="52C804C8" w:rsidRPr="002E19F8" w:rsidRDefault="52C804C8" w:rsidP="52C804C8">
      <w:pPr>
        <w:spacing w:after="0" w:line="240" w:lineRule="auto"/>
        <w:rPr>
          <w:sz w:val="24"/>
          <w:szCs w:val="24"/>
        </w:rPr>
      </w:pPr>
    </w:p>
    <w:p w14:paraId="182C5C5C" w14:textId="79BBEC33" w:rsidR="52C804C8" w:rsidRPr="002E19F8" w:rsidRDefault="52C804C8" w:rsidP="52C804C8">
      <w:pPr>
        <w:spacing w:after="0" w:line="240" w:lineRule="auto"/>
        <w:rPr>
          <w:sz w:val="24"/>
          <w:szCs w:val="24"/>
        </w:rPr>
      </w:pPr>
    </w:p>
    <w:p w14:paraId="012FE830" w14:textId="78939A39" w:rsidR="52C804C8" w:rsidRPr="002E19F8" w:rsidRDefault="52C804C8" w:rsidP="52C804C8">
      <w:pPr>
        <w:spacing w:after="0" w:line="240" w:lineRule="auto"/>
        <w:rPr>
          <w:sz w:val="24"/>
          <w:szCs w:val="24"/>
        </w:rPr>
      </w:pPr>
    </w:p>
    <w:p w14:paraId="50C1504A" w14:textId="6841B845" w:rsidR="52C804C8" w:rsidRPr="002E19F8" w:rsidRDefault="52C804C8" w:rsidP="52C804C8">
      <w:pPr>
        <w:spacing w:after="0" w:line="240" w:lineRule="auto"/>
        <w:rPr>
          <w:sz w:val="24"/>
          <w:szCs w:val="24"/>
        </w:rPr>
      </w:pPr>
    </w:p>
    <w:p w14:paraId="6D76AB80" w14:textId="3BAF8072" w:rsidR="52C804C8" w:rsidRPr="002E19F8" w:rsidRDefault="52C804C8" w:rsidP="52C804C8">
      <w:pPr>
        <w:spacing w:after="0" w:line="240" w:lineRule="auto"/>
        <w:rPr>
          <w:sz w:val="24"/>
          <w:szCs w:val="24"/>
        </w:rPr>
      </w:pPr>
    </w:p>
    <w:p w14:paraId="17DC6DC8" w14:textId="2A2136D8" w:rsidR="52C804C8" w:rsidRPr="002E19F8" w:rsidRDefault="52C804C8" w:rsidP="52C804C8">
      <w:pPr>
        <w:spacing w:after="0" w:line="240" w:lineRule="auto"/>
        <w:rPr>
          <w:sz w:val="24"/>
          <w:szCs w:val="24"/>
        </w:rPr>
      </w:pPr>
    </w:p>
    <w:p w14:paraId="7DE366AC" w14:textId="3A5E7B77" w:rsidR="52C804C8" w:rsidRPr="002E19F8" w:rsidRDefault="52C804C8" w:rsidP="52C804C8">
      <w:pPr>
        <w:spacing w:after="0" w:line="240" w:lineRule="auto"/>
        <w:rPr>
          <w:sz w:val="24"/>
          <w:szCs w:val="24"/>
        </w:rPr>
      </w:pPr>
    </w:p>
    <w:p w14:paraId="27749792" w14:textId="37E9487E" w:rsidR="52C804C8" w:rsidRPr="002E19F8" w:rsidRDefault="52C804C8" w:rsidP="52C804C8">
      <w:pPr>
        <w:spacing w:after="0" w:line="240" w:lineRule="auto"/>
        <w:rPr>
          <w:sz w:val="24"/>
          <w:szCs w:val="24"/>
        </w:rPr>
      </w:pPr>
    </w:p>
    <w:p w14:paraId="6E50B765" w14:textId="3498D263" w:rsidR="52C804C8" w:rsidRPr="002E19F8" w:rsidRDefault="52C804C8" w:rsidP="52C804C8">
      <w:pPr>
        <w:spacing w:after="0" w:line="240" w:lineRule="auto"/>
        <w:rPr>
          <w:sz w:val="24"/>
          <w:szCs w:val="24"/>
        </w:rPr>
      </w:pPr>
    </w:p>
    <w:p w14:paraId="6D63C40B" w14:textId="1055E577" w:rsidR="52C804C8" w:rsidRPr="002E19F8" w:rsidRDefault="52C804C8" w:rsidP="52C804C8">
      <w:pPr>
        <w:spacing w:after="0" w:line="240" w:lineRule="auto"/>
        <w:rPr>
          <w:sz w:val="24"/>
          <w:szCs w:val="24"/>
        </w:rPr>
      </w:pPr>
    </w:p>
    <w:p w14:paraId="5616A77D" w14:textId="3B3E6209" w:rsidR="007E7D3D" w:rsidRPr="002E19F8" w:rsidRDefault="007E7D3D" w:rsidP="00C46D69">
      <w:pPr>
        <w:pStyle w:val="Heading2"/>
      </w:pPr>
      <w:bookmarkStart w:id="37" w:name="_Toc184132247"/>
      <w:r w:rsidRPr="002E19F8">
        <w:t>Slide 3</w:t>
      </w:r>
      <w:r w:rsidR="00A30483">
        <w:t>5</w:t>
      </w:r>
      <w:r w:rsidRPr="002E19F8">
        <w:t>: Incident Rate of Confirmed Gonorrhea Cases, per 100,000 Persons</w:t>
      </w:r>
      <w:r w:rsidRPr="002E19F8">
        <w:rPr>
          <w:vertAlign w:val="superscript"/>
        </w:rPr>
        <w:t>1</w:t>
      </w:r>
      <w:r w:rsidRPr="002E19F8">
        <w:t xml:space="preserve"> by City/Town</w:t>
      </w:r>
      <w:r w:rsidRPr="002E19F8">
        <w:rPr>
          <w:vertAlign w:val="superscript"/>
        </w:rPr>
        <w:t>2</w:t>
      </w:r>
      <w:r w:rsidRPr="002E19F8">
        <w:t>, Massachusetts, 202</w:t>
      </w:r>
      <w:r w:rsidR="00EB410C">
        <w:t>3</w:t>
      </w:r>
      <w:r w:rsidRPr="002E19F8">
        <w:rPr>
          <w:vertAlign w:val="superscript"/>
        </w:rPr>
        <w:t>3</w:t>
      </w:r>
      <w:bookmarkEnd w:id="37"/>
    </w:p>
    <w:p w14:paraId="7D309268" w14:textId="3130271F" w:rsidR="004C51A6" w:rsidRPr="002E19F8" w:rsidRDefault="00EB410C" w:rsidP="003461A4">
      <w:pPr>
        <w:spacing w:after="0" w:line="240" w:lineRule="auto"/>
        <w:rPr>
          <w:sz w:val="24"/>
          <w:szCs w:val="24"/>
        </w:rPr>
      </w:pPr>
      <w:r w:rsidRPr="00EB410C">
        <w:rPr>
          <w:noProof/>
          <w:sz w:val="24"/>
          <w:szCs w:val="24"/>
        </w:rPr>
        <w:drawing>
          <wp:inline distT="0" distB="0" distL="0" distR="0" wp14:anchorId="1F599CEA" wp14:editId="0E40DD23">
            <wp:extent cx="5943600" cy="3755390"/>
            <wp:effectExtent l="0" t="0" r="0" b="0"/>
            <wp:docPr id="52561225" name="Picture 52561225" descr="Map of Massachusetts cities and towns color-coded to indicate the areas of the state with the highest gonorrhea case rates in 2023. The city with the highest rate (&gt;500 per 100,000 persons) is Provincetown. Other cities that have the high rates (&gt;300 per 100,000 persons) are Truro, Boston, Brockton, Chelsea, and Springfield.">
              <a:extLst xmlns:a="http://schemas.openxmlformats.org/drawingml/2006/main">
                <a:ext uri="{FF2B5EF4-FFF2-40B4-BE49-F238E27FC236}">
                  <a16:creationId xmlns:a16="http://schemas.microsoft.com/office/drawing/2014/main" id="{78797956-1076-ED51-C9D6-588AD648E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Massachusetts cities and towns color-coded to indicate the areas of the state with the highest gonorrhea case rates in 2023. The city with the highest rate (&gt;500 per 100,000 persons) is Provincetown. Other cities that have the high rates (&gt;300 per 100,000 persons) are Truro, Boston, Brockton, Chelsea, and Springfield.">
                      <a:extLst>
                        <a:ext uri="{FF2B5EF4-FFF2-40B4-BE49-F238E27FC236}">
                          <a16:creationId xmlns:a16="http://schemas.microsoft.com/office/drawing/2014/main" id="{78797956-1076-ED51-C9D6-588AD648E61A}"/>
                        </a:ext>
                      </a:extLst>
                    </pic:cNvPr>
                    <pic:cNvPicPr>
                      <a:picLocks noChangeAspect="1"/>
                    </pic:cNvPicPr>
                  </pic:nvPicPr>
                  <pic:blipFill>
                    <a:blip r:embed="rId36"/>
                    <a:stretch>
                      <a:fillRect/>
                    </a:stretch>
                  </pic:blipFill>
                  <pic:spPr>
                    <a:xfrm>
                      <a:off x="0" y="0"/>
                      <a:ext cx="5943600" cy="3755390"/>
                    </a:xfrm>
                    <a:prstGeom prst="rect">
                      <a:avLst/>
                    </a:prstGeom>
                  </pic:spPr>
                </pic:pic>
              </a:graphicData>
            </a:graphic>
          </wp:inline>
        </w:drawing>
      </w:r>
    </w:p>
    <w:p w14:paraId="3CFF92CF" w14:textId="011B28AA"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w:t>
      </w:r>
      <w:r w:rsidR="00F345B9" w:rsidRPr="00F345B9">
        <w:rPr>
          <w:sz w:val="24"/>
          <w:szCs w:val="24"/>
        </w:rPr>
        <w:t>Map of Massachusetts cities and towns color-coded to indicate the areas of the state with the highest gonorrhea case rates in 2023. The city with the highest rate (&gt;500 per 100,000 persons) is Provincetown. Other cities that have the high rates (&gt;300 per 100,000 persons) are Truro, Boston, Brockton, Chelsea, and Springfield.</w:t>
      </w:r>
    </w:p>
    <w:p w14:paraId="2369ACCC" w14:textId="7D1DA8AD" w:rsidR="007E7D3D" w:rsidRPr="002E19F8" w:rsidRDefault="007E7D3D" w:rsidP="52C804C8">
      <w:pPr>
        <w:spacing w:after="0" w:line="240" w:lineRule="auto"/>
        <w:rPr>
          <w:b/>
          <w:bCs/>
          <w:sz w:val="24"/>
          <w:szCs w:val="24"/>
        </w:rPr>
      </w:pPr>
      <w:r w:rsidRPr="002E19F8">
        <w:rPr>
          <w:b/>
          <w:sz w:val="24"/>
          <w:szCs w:val="24"/>
        </w:rPr>
        <w:t>Footnotes</w:t>
      </w:r>
      <w:r w:rsidR="0C4C505D" w:rsidRPr="002E19F8">
        <w:rPr>
          <w:b/>
          <w:bCs/>
          <w:sz w:val="24"/>
          <w:szCs w:val="24"/>
        </w:rPr>
        <w:t xml:space="preserve"> for Slide 3</w:t>
      </w:r>
      <w:r w:rsidR="00F345B9">
        <w:rPr>
          <w:b/>
          <w:bCs/>
          <w:sz w:val="24"/>
          <w:szCs w:val="24"/>
        </w:rPr>
        <w:t>5</w:t>
      </w:r>
    </w:p>
    <w:p w14:paraId="0E5F91C8" w14:textId="77777777" w:rsidR="00F345B9" w:rsidRPr="00F345B9" w:rsidRDefault="00F345B9" w:rsidP="00F345B9">
      <w:pPr>
        <w:spacing w:after="0" w:line="240" w:lineRule="auto"/>
        <w:rPr>
          <w:sz w:val="24"/>
          <w:szCs w:val="24"/>
        </w:rPr>
      </w:pPr>
      <w:r w:rsidRPr="00F345B9">
        <w:rPr>
          <w:sz w:val="24"/>
          <w:szCs w:val="24"/>
        </w:rPr>
        <w:t>Data are current as of 08/01/2024 and are subject to change. </w:t>
      </w:r>
    </w:p>
    <w:p w14:paraId="036869FF" w14:textId="076242BE" w:rsidR="00F345B9" w:rsidRPr="00F345B9" w:rsidRDefault="00F345B9" w:rsidP="00F345B9">
      <w:pPr>
        <w:spacing w:after="0" w:line="240" w:lineRule="auto"/>
        <w:rPr>
          <w:sz w:val="24"/>
          <w:szCs w:val="24"/>
        </w:rPr>
      </w:pPr>
      <w:r w:rsidRPr="00F345B9">
        <w:rPr>
          <w:sz w:val="24"/>
          <w:szCs w:val="24"/>
        </w:rPr>
        <w:t>Data Source: Massachusetts Department of Public Health/Bureau of Infectious Disease and Laboratory Sciences/Division of STD Prevention and STD-HIV Surveillance.</w:t>
      </w:r>
    </w:p>
    <w:p w14:paraId="57B701ED" w14:textId="77777777" w:rsidR="00F345B9" w:rsidRPr="00F345B9" w:rsidRDefault="00F345B9" w:rsidP="00F345B9">
      <w:pPr>
        <w:spacing w:after="0" w:line="240" w:lineRule="auto"/>
        <w:rPr>
          <w:sz w:val="24"/>
          <w:szCs w:val="24"/>
        </w:rPr>
      </w:pPr>
      <w:r w:rsidRPr="00F345B9">
        <w:rPr>
          <w:sz w:val="24"/>
          <w:szCs w:val="24"/>
        </w:rPr>
        <w:t>1. Population denominators estimated by the University of Massachusetts Donahue Institute using a modified Hamilton-Perry model (Strate S, et al. Small Area Population Estimates for 2011 through 2020 report, Oct 2016).</w:t>
      </w:r>
    </w:p>
    <w:p w14:paraId="22D1B3F8" w14:textId="77777777" w:rsidR="00F345B9" w:rsidRPr="00F345B9" w:rsidRDefault="00F345B9" w:rsidP="00F345B9">
      <w:pPr>
        <w:spacing w:after="0" w:line="240" w:lineRule="auto"/>
        <w:rPr>
          <w:sz w:val="24"/>
          <w:szCs w:val="24"/>
        </w:rPr>
      </w:pPr>
      <w:r w:rsidRPr="00F345B9">
        <w:rPr>
          <w:sz w:val="24"/>
          <w:szCs w:val="24"/>
        </w:rPr>
        <w:t>2. There are two city/towns with &lt;10 cases of gonorrhea that fall within the top two rate categories (≥200 cases per 100,000): Chesterfield and Tyringham.</w:t>
      </w:r>
    </w:p>
    <w:p w14:paraId="61F206E3" w14:textId="77777777" w:rsidR="00F345B9" w:rsidRPr="00F345B9" w:rsidRDefault="00F345B9" w:rsidP="00F345B9">
      <w:pPr>
        <w:spacing w:after="0" w:line="240" w:lineRule="auto"/>
        <w:rPr>
          <w:sz w:val="24"/>
          <w:szCs w:val="24"/>
        </w:rPr>
      </w:pPr>
      <w:r w:rsidRPr="00F345B9">
        <w:rPr>
          <w:sz w:val="24"/>
          <w:szCs w:val="24"/>
        </w:rPr>
        <w:t>3. Please consider the impact of the COVID-19 pandemic on infectious disease screening, treatment and surveillance in the interpretation of 2023 data. </w:t>
      </w:r>
    </w:p>
    <w:p w14:paraId="339DC5C0" w14:textId="798A00C1" w:rsidR="007E7D3D" w:rsidRPr="002E19F8" w:rsidRDefault="007E7D3D" w:rsidP="003461A4">
      <w:pPr>
        <w:spacing w:after="0" w:line="240" w:lineRule="auto"/>
        <w:rPr>
          <w:sz w:val="24"/>
          <w:szCs w:val="24"/>
        </w:rPr>
      </w:pPr>
    </w:p>
    <w:p w14:paraId="49182939" w14:textId="0B9C572E" w:rsidR="52C804C8" w:rsidRPr="002E19F8" w:rsidRDefault="52C804C8" w:rsidP="52C804C8">
      <w:pPr>
        <w:spacing w:after="0" w:line="240" w:lineRule="auto"/>
        <w:rPr>
          <w:sz w:val="24"/>
          <w:szCs w:val="24"/>
        </w:rPr>
      </w:pPr>
    </w:p>
    <w:p w14:paraId="0AE4C746" w14:textId="0C65E328" w:rsidR="52C804C8" w:rsidRPr="002E19F8" w:rsidRDefault="52C804C8" w:rsidP="52C804C8">
      <w:pPr>
        <w:spacing w:after="0" w:line="240" w:lineRule="auto"/>
        <w:rPr>
          <w:sz w:val="24"/>
          <w:szCs w:val="24"/>
        </w:rPr>
      </w:pPr>
    </w:p>
    <w:p w14:paraId="322145FE" w14:textId="0B1F483E" w:rsidR="52C804C8" w:rsidRPr="002E19F8" w:rsidRDefault="52C804C8" w:rsidP="52C804C8">
      <w:pPr>
        <w:spacing w:after="0" w:line="240" w:lineRule="auto"/>
        <w:rPr>
          <w:sz w:val="24"/>
          <w:szCs w:val="24"/>
        </w:rPr>
      </w:pPr>
    </w:p>
    <w:p w14:paraId="50BBB71D" w14:textId="42287FBF" w:rsidR="52C804C8" w:rsidRPr="002E19F8" w:rsidRDefault="52C804C8" w:rsidP="52C804C8">
      <w:pPr>
        <w:spacing w:after="0" w:line="240" w:lineRule="auto"/>
        <w:rPr>
          <w:sz w:val="24"/>
          <w:szCs w:val="24"/>
        </w:rPr>
      </w:pPr>
    </w:p>
    <w:p w14:paraId="1363CCC9" w14:textId="7EF17358" w:rsidR="52C804C8" w:rsidRPr="002E19F8" w:rsidRDefault="52C804C8" w:rsidP="52C804C8">
      <w:pPr>
        <w:spacing w:after="0" w:line="240" w:lineRule="auto"/>
        <w:rPr>
          <w:sz w:val="24"/>
          <w:szCs w:val="24"/>
        </w:rPr>
      </w:pPr>
    </w:p>
    <w:p w14:paraId="1E452EDE" w14:textId="40B279C8" w:rsidR="007E7D3D" w:rsidRPr="002E19F8" w:rsidRDefault="007E7D3D" w:rsidP="00C46D69">
      <w:pPr>
        <w:pStyle w:val="Heading2"/>
      </w:pPr>
      <w:bookmarkStart w:id="38" w:name="_Toc184132248"/>
      <w:r w:rsidRPr="002E19F8">
        <w:t>Slide 3</w:t>
      </w:r>
      <w:r w:rsidR="00F345B9">
        <w:t>6</w:t>
      </w:r>
      <w:r w:rsidRPr="002E19F8">
        <w:t xml:space="preserve">: </w:t>
      </w:r>
      <w:r w:rsidR="00CC2268" w:rsidRPr="00CC2268">
        <w:t>Absolute Rate Difference</w:t>
      </w:r>
      <w:r w:rsidR="00CC2268" w:rsidRPr="00CC2268">
        <w:rPr>
          <w:vertAlign w:val="superscript"/>
        </w:rPr>
        <w:t>1</w:t>
      </w:r>
      <w:r w:rsidR="00CC2268" w:rsidRPr="00CC2268">
        <w:t xml:space="preserve"> Comparing 2023 to 2019 for Confirmed Gonorrhea Cases, per 100,000 Persons</w:t>
      </w:r>
      <w:r w:rsidR="00CC2268" w:rsidRPr="00CC2268">
        <w:rPr>
          <w:vertAlign w:val="superscript"/>
        </w:rPr>
        <w:t>2</w:t>
      </w:r>
      <w:r w:rsidR="00CC2268" w:rsidRPr="00CC2268">
        <w:t xml:space="preserve"> by City/Town, Massachusetts</w:t>
      </w:r>
      <w:bookmarkEnd w:id="38"/>
    </w:p>
    <w:p w14:paraId="7B6ADECA" w14:textId="44980F17" w:rsidR="007E7D3D" w:rsidRPr="002E19F8" w:rsidRDefault="00422339" w:rsidP="003461A4">
      <w:pPr>
        <w:spacing w:after="0" w:line="240" w:lineRule="auto"/>
        <w:rPr>
          <w:sz w:val="24"/>
          <w:szCs w:val="24"/>
        </w:rPr>
      </w:pPr>
      <w:r>
        <w:rPr>
          <w:noProof/>
          <w:sz w:val="24"/>
          <w:szCs w:val="24"/>
        </w:rPr>
        <w:drawing>
          <wp:inline distT="0" distB="0" distL="0" distR="0" wp14:anchorId="1619C9C5" wp14:editId="0FB4AA22">
            <wp:extent cx="5939155" cy="2472055"/>
            <wp:effectExtent l="0" t="0" r="4445" b="4445"/>
            <wp:docPr id="1517283144" name="Picture 1517283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3144" name="Picture 1517283144">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155" cy="2472055"/>
                    </a:xfrm>
                    <a:prstGeom prst="rect">
                      <a:avLst/>
                    </a:prstGeom>
                    <a:noFill/>
                    <a:ln>
                      <a:noFill/>
                    </a:ln>
                  </pic:spPr>
                </pic:pic>
              </a:graphicData>
            </a:graphic>
          </wp:inline>
        </w:drawing>
      </w:r>
    </w:p>
    <w:p w14:paraId="6D5B0FFA" w14:textId="36467A48"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w:t>
      </w:r>
      <w:r w:rsidR="00A30483" w:rsidRPr="00A30483">
        <w:rPr>
          <w:sz w:val="24"/>
          <w:szCs w:val="24"/>
        </w:rPr>
        <w:t>Map of Massachusetts cities and towns color-coded to indicate the range of absolute rate differences per 100,000 persons comparing 2023 gonorrhea case rates to 2019 case rates. The darker the color in the scheme, the greater the difference between 2023 and 2019 case rates with purple coloring indicating rates were higher in 2019 and the gold coloring indicating rates were higher in 2023. The majority of cities and towns saw a rise in gonorrhea case rates in 2023 compared with 2019 with the greatest increases (greater than 100 per 100,000 persons) occurring in Provincetown, Brockton, Revere, Malden, Lawrence, Boston, and Stoughton; the largest rate decline (less than -100 per 100,000 persons) was seen in Fitchburg. The cities and towns that had zero cases for 2023 or 2019 and one or more cases for the opposing year are indicated on the map with a slash mark to acknowledge the absolute rate difference should be examined with caution.</w:t>
      </w:r>
    </w:p>
    <w:p w14:paraId="763E8F91" w14:textId="6A08C6BB" w:rsidR="007E7D3D" w:rsidRPr="002E19F8" w:rsidRDefault="007E7D3D" w:rsidP="52C804C8">
      <w:pPr>
        <w:spacing w:after="0" w:line="240" w:lineRule="auto"/>
        <w:rPr>
          <w:b/>
          <w:bCs/>
          <w:sz w:val="24"/>
          <w:szCs w:val="24"/>
        </w:rPr>
      </w:pPr>
      <w:r w:rsidRPr="002E19F8">
        <w:rPr>
          <w:b/>
          <w:sz w:val="24"/>
          <w:szCs w:val="24"/>
        </w:rPr>
        <w:t>Footnotes</w:t>
      </w:r>
      <w:r w:rsidR="1A5FB632" w:rsidRPr="002E19F8">
        <w:rPr>
          <w:b/>
          <w:bCs/>
          <w:sz w:val="24"/>
          <w:szCs w:val="24"/>
        </w:rPr>
        <w:t xml:space="preserve"> for Slide 3</w:t>
      </w:r>
      <w:r w:rsidR="00A30483">
        <w:rPr>
          <w:b/>
          <w:bCs/>
          <w:sz w:val="24"/>
          <w:szCs w:val="24"/>
        </w:rPr>
        <w:t>6</w:t>
      </w:r>
    </w:p>
    <w:p w14:paraId="28658BA4" w14:textId="77777777" w:rsidR="00CC2268" w:rsidRPr="00CC2268" w:rsidRDefault="00CC2268" w:rsidP="00CC2268">
      <w:pPr>
        <w:spacing w:after="0" w:line="240" w:lineRule="auto"/>
        <w:rPr>
          <w:sz w:val="24"/>
          <w:szCs w:val="24"/>
        </w:rPr>
      </w:pPr>
      <w:r w:rsidRPr="00CC2268">
        <w:rPr>
          <w:sz w:val="24"/>
          <w:szCs w:val="24"/>
        </w:rPr>
        <w:t>Data are current as of 08/01/2024 and are subject to change. </w:t>
      </w:r>
    </w:p>
    <w:p w14:paraId="5AAADA95" w14:textId="1F4078AD" w:rsidR="00CC2268" w:rsidRPr="00CC2268" w:rsidRDefault="00CC2268" w:rsidP="00CC2268">
      <w:pPr>
        <w:spacing w:after="0" w:line="240" w:lineRule="auto"/>
        <w:rPr>
          <w:sz w:val="24"/>
          <w:szCs w:val="24"/>
        </w:rPr>
      </w:pPr>
      <w:r w:rsidRPr="00CC2268">
        <w:rPr>
          <w:sz w:val="24"/>
          <w:szCs w:val="24"/>
        </w:rPr>
        <w:t>Data Source: Massachusetts Department of Public Health/Bureau of Infectious Disease and Laboratory Sciences/Division of STD Prevention and STD-HIV Surveillance.</w:t>
      </w:r>
    </w:p>
    <w:p w14:paraId="67907552" w14:textId="77777777" w:rsidR="00CC2268" w:rsidRPr="00CC2268" w:rsidRDefault="00CC2268" w:rsidP="00CC2268">
      <w:pPr>
        <w:spacing w:after="0" w:line="240" w:lineRule="auto"/>
        <w:rPr>
          <w:sz w:val="24"/>
          <w:szCs w:val="24"/>
        </w:rPr>
      </w:pPr>
      <w:r w:rsidRPr="00CC2268">
        <w:rPr>
          <w:sz w:val="24"/>
          <w:szCs w:val="24"/>
        </w:rPr>
        <w:t>1. The darker the color in the scheme, the greater the difference between 2023 and 2019 gonorrhea case rates with purple coloring indicating rates were higher in 2019 and gold coloring indicating rates were higher in 2023.</w:t>
      </w:r>
    </w:p>
    <w:p w14:paraId="2BF1B9E9" w14:textId="77777777" w:rsidR="00CC2268" w:rsidRPr="00CC2268" w:rsidRDefault="00CC2268" w:rsidP="00CC2268">
      <w:pPr>
        <w:spacing w:after="0" w:line="240" w:lineRule="auto"/>
        <w:rPr>
          <w:sz w:val="24"/>
          <w:szCs w:val="24"/>
        </w:rPr>
      </w:pPr>
      <w:r w:rsidRPr="00CC2268">
        <w:rPr>
          <w:sz w:val="24"/>
          <w:szCs w:val="24"/>
        </w:rPr>
        <w:t>2. Population denominators estimated by the University of Massachusetts Donahue Institute using a modified Hamilton-Perry model (Strate S, et al. Small Area Population Estimates for 2011 through 2020 report, Oct 2016).</w:t>
      </w:r>
    </w:p>
    <w:p w14:paraId="374B4784" w14:textId="77777777" w:rsidR="007E7D3D" w:rsidRPr="002E19F8" w:rsidRDefault="007E7D3D" w:rsidP="52C804C8">
      <w:pPr>
        <w:spacing w:line="240" w:lineRule="auto"/>
        <w:rPr>
          <w:sz w:val="24"/>
          <w:szCs w:val="24"/>
        </w:rPr>
      </w:pPr>
    </w:p>
    <w:p w14:paraId="49721BBA" w14:textId="2AF4F5DA" w:rsidR="52C804C8" w:rsidRPr="002E19F8" w:rsidRDefault="52C804C8" w:rsidP="52C804C8">
      <w:pPr>
        <w:spacing w:line="240" w:lineRule="auto"/>
        <w:rPr>
          <w:sz w:val="24"/>
          <w:szCs w:val="24"/>
        </w:rPr>
      </w:pPr>
    </w:p>
    <w:p w14:paraId="7E506C20" w14:textId="54D02058" w:rsidR="52C804C8" w:rsidRPr="002E19F8" w:rsidRDefault="52C804C8" w:rsidP="52C804C8">
      <w:pPr>
        <w:spacing w:line="240" w:lineRule="auto"/>
        <w:rPr>
          <w:sz w:val="24"/>
          <w:szCs w:val="24"/>
        </w:rPr>
      </w:pPr>
    </w:p>
    <w:p w14:paraId="2CE44187" w14:textId="6C6ADBD0" w:rsidR="007E7D3D" w:rsidRPr="002E19F8" w:rsidRDefault="007E7D3D" w:rsidP="00C46D69">
      <w:pPr>
        <w:pStyle w:val="Heading2"/>
      </w:pPr>
      <w:bookmarkStart w:id="39" w:name="_Toc184132249"/>
      <w:r w:rsidRPr="002E19F8">
        <w:t>Slide 3</w:t>
      </w:r>
      <w:r w:rsidR="00094FD8">
        <w:t>7</w:t>
      </w:r>
      <w:r w:rsidRPr="002E19F8">
        <w:t>: Confirmed Gonorrhea Case Rates per 100,000 Population by Gender</w:t>
      </w:r>
      <w:r w:rsidRPr="002E19F8">
        <w:rPr>
          <w:vertAlign w:val="superscript"/>
        </w:rPr>
        <w:t>1</w:t>
      </w:r>
      <w:r w:rsidRPr="002E19F8">
        <w:t xml:space="preserve"> and Age, Massachusetts, 202</w:t>
      </w:r>
      <w:r w:rsidR="00094FD8">
        <w:t>3</w:t>
      </w:r>
      <w:r w:rsidRPr="002E19F8">
        <w:rPr>
          <w:vertAlign w:val="superscript"/>
        </w:rPr>
        <w:t>2</w:t>
      </w:r>
      <w:bookmarkEnd w:id="39"/>
    </w:p>
    <w:p w14:paraId="2AA913C4" w14:textId="7AF3F075" w:rsidR="007E7D3D" w:rsidRPr="002E19F8" w:rsidRDefault="0043708C" w:rsidP="003461A4">
      <w:pPr>
        <w:spacing w:after="0" w:line="240" w:lineRule="auto"/>
        <w:rPr>
          <w:sz w:val="24"/>
          <w:szCs w:val="24"/>
        </w:rPr>
      </w:pPr>
      <w:r w:rsidRPr="0043708C">
        <w:rPr>
          <w:noProof/>
          <w:sz w:val="24"/>
          <w:szCs w:val="24"/>
        </w:rPr>
        <w:drawing>
          <wp:inline distT="0" distB="0" distL="0" distR="0" wp14:anchorId="7B5CAD77" wp14:editId="676E5738">
            <wp:extent cx="5943600" cy="1985645"/>
            <wp:effectExtent l="0" t="0" r="0" b="0"/>
            <wp:docPr id="9" name="Picture 9" descr="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females and 25 to 29 years for males.">
              <a:extLst xmlns:a="http://schemas.openxmlformats.org/drawingml/2006/main">
                <a:ext uri="{FF2B5EF4-FFF2-40B4-BE49-F238E27FC236}">
                  <a16:creationId xmlns:a16="http://schemas.microsoft.com/office/drawing/2014/main" id="{B516CD2C-0DAB-93F0-D1E3-BD07A2A82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females and 25 to 29 years for males.">
                      <a:extLst>
                        <a:ext uri="{FF2B5EF4-FFF2-40B4-BE49-F238E27FC236}">
                          <a16:creationId xmlns:a16="http://schemas.microsoft.com/office/drawing/2014/main" id="{B516CD2C-0DAB-93F0-D1E3-BD07A2A82840}"/>
                        </a:ext>
                      </a:extLst>
                    </pic:cNvPr>
                    <pic:cNvPicPr>
                      <a:picLocks noChangeAspect="1"/>
                    </pic:cNvPicPr>
                  </pic:nvPicPr>
                  <pic:blipFill>
                    <a:blip r:embed="rId38"/>
                    <a:stretch>
                      <a:fillRect/>
                    </a:stretch>
                  </pic:blipFill>
                  <pic:spPr>
                    <a:xfrm>
                      <a:off x="0" y="0"/>
                      <a:ext cx="5943600" cy="1985645"/>
                    </a:xfrm>
                    <a:prstGeom prst="rect">
                      <a:avLst/>
                    </a:prstGeom>
                  </pic:spPr>
                </pic:pic>
              </a:graphicData>
            </a:graphic>
          </wp:inline>
        </w:drawing>
      </w:r>
    </w:p>
    <w:p w14:paraId="12FDCBD6" w14:textId="77777777" w:rsidR="007E7D3D" w:rsidRPr="002E19F8" w:rsidRDefault="007E7D3D" w:rsidP="003461A4">
      <w:pPr>
        <w:spacing w:after="0" w:line="240" w:lineRule="auto"/>
        <w:rPr>
          <w:sz w:val="24"/>
          <w:szCs w:val="24"/>
        </w:rPr>
      </w:pPr>
    </w:p>
    <w:p w14:paraId="6FCB5310" w14:textId="1423C4ED" w:rsidR="007E7D3D" w:rsidRPr="002E19F8" w:rsidRDefault="007E7D3D" w:rsidP="52C804C8">
      <w:pPr>
        <w:spacing w:line="240" w:lineRule="auto"/>
        <w:rPr>
          <w:b/>
          <w:sz w:val="24"/>
          <w:szCs w:val="24"/>
        </w:rPr>
      </w:pPr>
      <w:r w:rsidRPr="002E19F8">
        <w:rPr>
          <w:b/>
          <w:sz w:val="24"/>
          <w:szCs w:val="24"/>
        </w:rPr>
        <w:t xml:space="preserve">Highlights: </w:t>
      </w:r>
      <w:r w:rsidR="0043708C" w:rsidRPr="0043708C">
        <w:rPr>
          <w:sz w:val="24"/>
          <w:szCs w:val="24"/>
        </w:rPr>
        <w:t>Graph depicts gonorrhea case rates per 100,000 population by age categories for the overall state, males, and females. For the overall state, the highest rate is among those 20-24 years. When looking at the gender specific rates, the age categories with the highest rates are 20 to 24 years for females and 25 to 29 years for males.</w:t>
      </w:r>
    </w:p>
    <w:p w14:paraId="11490000" w14:textId="45DBD64A" w:rsidR="007E7D3D" w:rsidRPr="002E19F8" w:rsidRDefault="007E7D3D" w:rsidP="52C804C8">
      <w:pPr>
        <w:spacing w:after="0" w:line="240" w:lineRule="auto"/>
        <w:rPr>
          <w:b/>
          <w:bCs/>
          <w:sz w:val="24"/>
          <w:szCs w:val="24"/>
        </w:rPr>
      </w:pPr>
      <w:r w:rsidRPr="002E19F8">
        <w:rPr>
          <w:b/>
          <w:sz w:val="24"/>
          <w:szCs w:val="24"/>
        </w:rPr>
        <w:t>Footnotes</w:t>
      </w:r>
      <w:r w:rsidR="245A1387" w:rsidRPr="002E19F8">
        <w:rPr>
          <w:b/>
          <w:bCs/>
          <w:sz w:val="24"/>
          <w:szCs w:val="24"/>
        </w:rPr>
        <w:t xml:space="preserve"> for Slide 3</w:t>
      </w:r>
      <w:r w:rsidR="0043708C">
        <w:rPr>
          <w:b/>
          <w:bCs/>
          <w:sz w:val="24"/>
          <w:szCs w:val="24"/>
        </w:rPr>
        <w:t>7</w:t>
      </w:r>
    </w:p>
    <w:p w14:paraId="30EF054A" w14:textId="77777777" w:rsidR="0043708C" w:rsidRPr="0043708C" w:rsidRDefault="0043708C" w:rsidP="0043708C">
      <w:pPr>
        <w:spacing w:after="0" w:line="240" w:lineRule="auto"/>
        <w:rPr>
          <w:sz w:val="24"/>
          <w:szCs w:val="24"/>
        </w:rPr>
      </w:pPr>
      <w:r w:rsidRPr="0043708C">
        <w:rPr>
          <w:sz w:val="24"/>
          <w:szCs w:val="24"/>
        </w:rPr>
        <w:t>Data are current as of 08/01/2024 and are subject to change. </w:t>
      </w:r>
    </w:p>
    <w:p w14:paraId="5CAAC325" w14:textId="0CB033EA" w:rsidR="0043708C" w:rsidRPr="0043708C" w:rsidRDefault="0043708C" w:rsidP="0043708C">
      <w:pPr>
        <w:spacing w:after="0" w:line="240" w:lineRule="auto"/>
        <w:rPr>
          <w:sz w:val="24"/>
          <w:szCs w:val="24"/>
        </w:rPr>
      </w:pPr>
      <w:r w:rsidRPr="0043708C">
        <w:rPr>
          <w:sz w:val="24"/>
          <w:szCs w:val="24"/>
        </w:rPr>
        <w:t>Data Source: Massachusetts Department of Public Health/Bureau of Infectious Disease and Laboratory Sciences/Division of STD Prevention and STD-HIV Surveillance.</w:t>
      </w:r>
    </w:p>
    <w:p w14:paraId="1E0D456D" w14:textId="77777777" w:rsidR="0043708C" w:rsidRPr="0043708C" w:rsidRDefault="0043708C" w:rsidP="0043708C">
      <w:pPr>
        <w:spacing w:after="0" w:line="240" w:lineRule="auto"/>
        <w:rPr>
          <w:sz w:val="24"/>
          <w:szCs w:val="24"/>
        </w:rPr>
      </w:pPr>
      <w:r w:rsidRPr="0043708C">
        <w:rPr>
          <w:sz w:val="24"/>
          <w:szCs w:val="24"/>
        </w:rPr>
        <w:t>Population denominators estimated by the University of Massachusetts Donahue Institute using a modified Hamilton-Perry model (Strate S, et al. Small Area Population Estimates for 2011 through 2020 report, Oct 2016).</w:t>
      </w:r>
    </w:p>
    <w:p w14:paraId="7E2D180C" w14:textId="77777777" w:rsidR="0043708C" w:rsidRPr="0043708C" w:rsidRDefault="0043708C" w:rsidP="0043708C">
      <w:pPr>
        <w:spacing w:after="0" w:line="240" w:lineRule="auto"/>
        <w:rPr>
          <w:sz w:val="24"/>
          <w:szCs w:val="24"/>
        </w:rPr>
      </w:pPr>
      <w:r w:rsidRPr="0043708C">
        <w:rPr>
          <w:sz w:val="24"/>
          <w:szCs w:val="24"/>
        </w:rPr>
        <w:t>1. In 2023, there were 22 individuals of transgender experience and 8 other individuals documented in our data system that MA DSTDP does not have current gender information for. 3 individuals had unknown age. These cases were excluded since rate for this population cannot be calculated at this time. </w:t>
      </w:r>
    </w:p>
    <w:p w14:paraId="23008011" w14:textId="77777777" w:rsidR="0043708C" w:rsidRPr="0043708C" w:rsidRDefault="0043708C" w:rsidP="0043708C">
      <w:pPr>
        <w:spacing w:after="0" w:line="240" w:lineRule="auto"/>
        <w:rPr>
          <w:sz w:val="24"/>
          <w:szCs w:val="24"/>
        </w:rPr>
      </w:pPr>
      <w:r w:rsidRPr="0043708C">
        <w:rPr>
          <w:sz w:val="24"/>
          <w:szCs w:val="24"/>
        </w:rPr>
        <w:t>2. Please consider the impact of the COVID-19 pandemic on infectious disease screening, treatment and surveillance in the interpretation of 2023 data.</w:t>
      </w:r>
    </w:p>
    <w:p w14:paraId="06CEDA22" w14:textId="48D10BC8" w:rsidR="007E7D3D" w:rsidRPr="002E19F8" w:rsidRDefault="007E7D3D" w:rsidP="003461A4">
      <w:pPr>
        <w:spacing w:after="0" w:line="240" w:lineRule="auto"/>
        <w:rPr>
          <w:b/>
          <w:sz w:val="24"/>
          <w:szCs w:val="24"/>
        </w:rPr>
      </w:pPr>
    </w:p>
    <w:p w14:paraId="4ACB6935" w14:textId="104EA393" w:rsidR="52C804C8" w:rsidRPr="002E19F8" w:rsidRDefault="52C804C8" w:rsidP="52C804C8">
      <w:pPr>
        <w:spacing w:after="0" w:line="240" w:lineRule="auto"/>
        <w:rPr>
          <w:b/>
          <w:bCs/>
          <w:sz w:val="24"/>
          <w:szCs w:val="24"/>
        </w:rPr>
      </w:pPr>
    </w:p>
    <w:p w14:paraId="396F28F7" w14:textId="48C1DCA6" w:rsidR="52C804C8" w:rsidRPr="002E19F8" w:rsidRDefault="52C804C8" w:rsidP="52C804C8">
      <w:pPr>
        <w:spacing w:after="0" w:line="240" w:lineRule="auto"/>
        <w:rPr>
          <w:b/>
          <w:bCs/>
          <w:sz w:val="24"/>
          <w:szCs w:val="24"/>
        </w:rPr>
      </w:pPr>
    </w:p>
    <w:p w14:paraId="64CBEBB4" w14:textId="2ED2CAE4" w:rsidR="52C804C8" w:rsidRPr="002E19F8" w:rsidRDefault="52C804C8" w:rsidP="52C804C8">
      <w:pPr>
        <w:spacing w:after="0" w:line="240" w:lineRule="auto"/>
        <w:rPr>
          <w:b/>
          <w:bCs/>
          <w:sz w:val="24"/>
          <w:szCs w:val="24"/>
        </w:rPr>
      </w:pPr>
    </w:p>
    <w:p w14:paraId="30288C1F" w14:textId="7B2F78C4" w:rsidR="52C804C8" w:rsidRPr="002E19F8" w:rsidRDefault="52C804C8" w:rsidP="52C804C8">
      <w:pPr>
        <w:spacing w:after="0" w:line="240" w:lineRule="auto"/>
        <w:rPr>
          <w:b/>
          <w:bCs/>
          <w:sz w:val="24"/>
          <w:szCs w:val="24"/>
        </w:rPr>
      </w:pPr>
    </w:p>
    <w:p w14:paraId="698275C8" w14:textId="1C04F0AE" w:rsidR="52C804C8" w:rsidRPr="002E19F8" w:rsidRDefault="52C804C8" w:rsidP="52C804C8">
      <w:pPr>
        <w:spacing w:after="0" w:line="240" w:lineRule="auto"/>
        <w:rPr>
          <w:b/>
          <w:bCs/>
          <w:sz w:val="24"/>
          <w:szCs w:val="24"/>
        </w:rPr>
      </w:pPr>
    </w:p>
    <w:p w14:paraId="6499B952" w14:textId="18B2150F" w:rsidR="52C804C8" w:rsidRPr="002E19F8" w:rsidRDefault="52C804C8" w:rsidP="52C804C8">
      <w:pPr>
        <w:spacing w:after="0" w:line="240" w:lineRule="auto"/>
        <w:rPr>
          <w:b/>
          <w:bCs/>
          <w:sz w:val="24"/>
          <w:szCs w:val="24"/>
        </w:rPr>
      </w:pPr>
    </w:p>
    <w:p w14:paraId="3DCB7BFE" w14:textId="63797AAB" w:rsidR="52C804C8" w:rsidRPr="002E19F8" w:rsidRDefault="52C804C8" w:rsidP="52C804C8">
      <w:pPr>
        <w:spacing w:after="0" w:line="240" w:lineRule="auto"/>
        <w:rPr>
          <w:b/>
          <w:bCs/>
          <w:sz w:val="24"/>
          <w:szCs w:val="24"/>
        </w:rPr>
      </w:pPr>
    </w:p>
    <w:p w14:paraId="15378913" w14:textId="3D98066D" w:rsidR="52C804C8" w:rsidRPr="002E19F8" w:rsidRDefault="52C804C8" w:rsidP="52C804C8">
      <w:pPr>
        <w:spacing w:after="0" w:line="240" w:lineRule="auto"/>
        <w:rPr>
          <w:b/>
          <w:bCs/>
          <w:sz w:val="24"/>
          <w:szCs w:val="24"/>
        </w:rPr>
      </w:pPr>
    </w:p>
    <w:p w14:paraId="4D2C7A9F" w14:textId="0EE0F665" w:rsidR="52C804C8" w:rsidRPr="002E19F8" w:rsidRDefault="52C804C8" w:rsidP="52C804C8">
      <w:pPr>
        <w:spacing w:after="0" w:line="240" w:lineRule="auto"/>
        <w:rPr>
          <w:b/>
          <w:bCs/>
          <w:sz w:val="24"/>
          <w:szCs w:val="24"/>
        </w:rPr>
      </w:pPr>
    </w:p>
    <w:p w14:paraId="19E2D259" w14:textId="602176B1" w:rsidR="52C804C8" w:rsidRPr="002E19F8" w:rsidRDefault="52C804C8" w:rsidP="52C804C8">
      <w:pPr>
        <w:spacing w:after="0" w:line="240" w:lineRule="auto"/>
        <w:rPr>
          <w:b/>
          <w:bCs/>
          <w:sz w:val="24"/>
          <w:szCs w:val="24"/>
        </w:rPr>
      </w:pPr>
    </w:p>
    <w:p w14:paraId="50E89EAA" w14:textId="1DD94407" w:rsidR="007E7D3D" w:rsidRPr="002E19F8" w:rsidRDefault="007E7D3D" w:rsidP="003461A4">
      <w:pPr>
        <w:spacing w:after="0" w:line="240" w:lineRule="auto"/>
        <w:rPr>
          <w:sz w:val="24"/>
          <w:szCs w:val="24"/>
        </w:rPr>
      </w:pPr>
      <w:bookmarkStart w:id="40" w:name="_Toc184132250"/>
      <w:r w:rsidRPr="00C46D69">
        <w:rPr>
          <w:rStyle w:val="Heading2Char"/>
        </w:rPr>
        <w:t>Slide 3</w:t>
      </w:r>
      <w:r w:rsidR="0043708C">
        <w:rPr>
          <w:rStyle w:val="Heading2Char"/>
        </w:rPr>
        <w:t>8</w:t>
      </w:r>
      <w:r w:rsidRPr="00C46D69">
        <w:rPr>
          <w:rStyle w:val="Heading2Char"/>
        </w:rPr>
        <w:t>: Incident Rate of Infectious Syphilis</w:t>
      </w:r>
      <w:r w:rsidRPr="00F16935">
        <w:rPr>
          <w:rStyle w:val="Heading2Char"/>
          <w:vertAlign w:val="superscript"/>
        </w:rPr>
        <w:t>1</w:t>
      </w:r>
      <w:r w:rsidRPr="00C46D69">
        <w:rPr>
          <w:rStyle w:val="Heading2Char"/>
        </w:rPr>
        <w:t xml:space="preserve"> Cases, per 100,000 Persons</w:t>
      </w:r>
      <w:r w:rsidRPr="00F16935">
        <w:rPr>
          <w:rStyle w:val="Heading2Char"/>
          <w:vertAlign w:val="superscript"/>
        </w:rPr>
        <w:t>2</w:t>
      </w:r>
      <w:r w:rsidRPr="00C46D69">
        <w:rPr>
          <w:rStyle w:val="Heading2Char"/>
        </w:rPr>
        <w:t xml:space="preserve"> by City/Town, Massachusetts, 202</w:t>
      </w:r>
      <w:r w:rsidR="00FA5AD4">
        <w:rPr>
          <w:rStyle w:val="Heading2Char"/>
        </w:rPr>
        <w:t>3</w:t>
      </w:r>
      <w:r w:rsidRPr="00F16935">
        <w:rPr>
          <w:rStyle w:val="Heading2Char"/>
          <w:vertAlign w:val="superscript"/>
        </w:rPr>
        <w:t>3</w:t>
      </w:r>
      <w:bookmarkEnd w:id="40"/>
    </w:p>
    <w:p w14:paraId="47CFF1D9" w14:textId="5AE91D7B" w:rsidR="00F16935" w:rsidRDefault="00F16935" w:rsidP="52C804C8">
      <w:pPr>
        <w:spacing w:line="240" w:lineRule="auto"/>
        <w:rPr>
          <w:b/>
          <w:sz w:val="24"/>
          <w:szCs w:val="24"/>
        </w:rPr>
      </w:pPr>
      <w:r w:rsidRPr="00F16935">
        <w:rPr>
          <w:b/>
          <w:noProof/>
          <w:sz w:val="24"/>
          <w:szCs w:val="24"/>
        </w:rPr>
        <w:drawing>
          <wp:inline distT="0" distB="0" distL="0" distR="0" wp14:anchorId="3C1CD545" wp14:editId="1EFE67E5">
            <wp:extent cx="5943600" cy="3743325"/>
            <wp:effectExtent l="0" t="0" r="0" b="9525"/>
            <wp:docPr id="1148551823" name="Picture 1148551823" descr="Map of Massachusetts counties color-coded to indicate the areas of the state with the highest infectious syphilis case rates in 2023. The cities that have the highest rates (greater than 40 per 100,000 persons excluding towns with less than 10 cases) are Provincetown, Chelsea, Springfield, Boston, Holyoke, Revere, Malden, Somerville, and Everett.">
              <a:extLst xmlns:a="http://schemas.openxmlformats.org/drawingml/2006/main">
                <a:ext uri="{FF2B5EF4-FFF2-40B4-BE49-F238E27FC236}">
                  <a16:creationId xmlns:a16="http://schemas.microsoft.com/office/drawing/2014/main" id="{AFE35893-9E62-3CBA-5717-3B18CCE4D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 of Massachusetts counties color-coded to indicate the areas of the state with the highest infectious syphilis case rates in 2023. The cities that have the highest rates (greater than 40 per 100,000 persons excluding towns with less than 10 cases) are Provincetown, Chelsea, Springfield, Boston, Holyoke, Revere, Malden, Somerville, and Everett.">
                      <a:extLst>
                        <a:ext uri="{FF2B5EF4-FFF2-40B4-BE49-F238E27FC236}">
                          <a16:creationId xmlns:a16="http://schemas.microsoft.com/office/drawing/2014/main" id="{AFE35893-9E62-3CBA-5717-3B18CCE4DFF4}"/>
                        </a:ext>
                      </a:extLst>
                    </pic:cNvPr>
                    <pic:cNvPicPr>
                      <a:picLocks noChangeAspect="1"/>
                    </pic:cNvPicPr>
                  </pic:nvPicPr>
                  <pic:blipFill>
                    <a:blip r:embed="rId39"/>
                    <a:stretch>
                      <a:fillRect/>
                    </a:stretch>
                  </pic:blipFill>
                  <pic:spPr>
                    <a:xfrm>
                      <a:off x="0" y="0"/>
                      <a:ext cx="5943600" cy="3743325"/>
                    </a:xfrm>
                    <a:prstGeom prst="rect">
                      <a:avLst/>
                    </a:prstGeom>
                  </pic:spPr>
                </pic:pic>
              </a:graphicData>
            </a:graphic>
          </wp:inline>
        </w:drawing>
      </w:r>
    </w:p>
    <w:p w14:paraId="6E8F4784" w14:textId="3DCABE06" w:rsidR="007E7D3D" w:rsidRPr="002E19F8" w:rsidRDefault="007E7D3D" w:rsidP="52C804C8">
      <w:pPr>
        <w:spacing w:line="240" w:lineRule="auto"/>
        <w:rPr>
          <w:sz w:val="24"/>
          <w:szCs w:val="24"/>
        </w:rPr>
      </w:pPr>
      <w:r w:rsidRPr="002E19F8">
        <w:rPr>
          <w:b/>
          <w:sz w:val="24"/>
          <w:szCs w:val="24"/>
        </w:rPr>
        <w:t>Highlights:</w:t>
      </w:r>
      <w:r w:rsidRPr="002E19F8">
        <w:rPr>
          <w:sz w:val="24"/>
          <w:szCs w:val="24"/>
        </w:rPr>
        <w:t xml:space="preserve"> </w:t>
      </w:r>
      <w:r w:rsidR="00F16935" w:rsidRPr="00F16935">
        <w:rPr>
          <w:sz w:val="24"/>
          <w:szCs w:val="24"/>
        </w:rPr>
        <w:t>Map of Massachusetts counties color-coded to indicate the areas of the state with the highest infectious syphilis case rates in 2023. The cities that have the highest rates (greater than 40 per 100,000 persons excluding towns with less than 10 cases) are Provincetown, Chelsea, Springfield, Boston, Holyoke, Revere, Malden, Somerville, and Everett.</w:t>
      </w:r>
    </w:p>
    <w:p w14:paraId="634832B4" w14:textId="544E70DA" w:rsidR="007E7D3D" w:rsidRPr="002E19F8" w:rsidRDefault="007E7D3D" w:rsidP="52C804C8">
      <w:pPr>
        <w:spacing w:after="0" w:line="240" w:lineRule="auto"/>
        <w:rPr>
          <w:sz w:val="24"/>
          <w:szCs w:val="24"/>
        </w:rPr>
      </w:pPr>
      <w:r w:rsidRPr="002E19F8">
        <w:rPr>
          <w:b/>
          <w:sz w:val="24"/>
          <w:szCs w:val="24"/>
        </w:rPr>
        <w:t>Footnotes</w:t>
      </w:r>
      <w:r w:rsidR="0B595591" w:rsidRPr="002E19F8">
        <w:rPr>
          <w:b/>
          <w:bCs/>
          <w:sz w:val="24"/>
          <w:szCs w:val="24"/>
        </w:rPr>
        <w:t xml:space="preserve"> for Slide 3</w:t>
      </w:r>
      <w:r w:rsidR="00F16935">
        <w:rPr>
          <w:b/>
          <w:bCs/>
          <w:sz w:val="24"/>
          <w:szCs w:val="24"/>
        </w:rPr>
        <w:t>8</w:t>
      </w:r>
    </w:p>
    <w:p w14:paraId="6DC711F8" w14:textId="77777777" w:rsidR="00FA5AD4" w:rsidRPr="00FA5AD4" w:rsidRDefault="00FA5AD4" w:rsidP="00FA5AD4">
      <w:pPr>
        <w:spacing w:after="0" w:line="240" w:lineRule="auto"/>
        <w:rPr>
          <w:sz w:val="24"/>
          <w:szCs w:val="24"/>
        </w:rPr>
      </w:pPr>
      <w:r w:rsidRPr="00FA5AD4">
        <w:rPr>
          <w:sz w:val="24"/>
          <w:szCs w:val="24"/>
        </w:rPr>
        <w:t>Data are current as of 07/17/2024 and are subject to change. </w:t>
      </w:r>
    </w:p>
    <w:p w14:paraId="09094F48" w14:textId="5EC456A5" w:rsidR="00FA5AD4" w:rsidRPr="00FA5AD4" w:rsidRDefault="00FA5AD4" w:rsidP="00FA5AD4">
      <w:pPr>
        <w:spacing w:after="0" w:line="240" w:lineRule="auto"/>
        <w:rPr>
          <w:sz w:val="24"/>
          <w:szCs w:val="24"/>
        </w:rPr>
      </w:pPr>
      <w:r w:rsidRPr="00FA5AD4">
        <w:rPr>
          <w:sz w:val="24"/>
          <w:szCs w:val="24"/>
        </w:rPr>
        <w:t>Data Source: Massachusetts Department of Public Health/Bureau of Infectious Disease and Laboratory Sciences/Division of STD Prevention and STD-HIV Surveillance.</w:t>
      </w:r>
    </w:p>
    <w:p w14:paraId="45333E1E" w14:textId="77777777" w:rsidR="00FA5AD4" w:rsidRPr="00FA5AD4" w:rsidRDefault="00FA5AD4" w:rsidP="00FA5AD4">
      <w:pPr>
        <w:spacing w:after="0" w:line="240" w:lineRule="auto"/>
        <w:rPr>
          <w:sz w:val="24"/>
          <w:szCs w:val="24"/>
        </w:rPr>
      </w:pPr>
      <w:r w:rsidRPr="00FA5AD4">
        <w:rPr>
          <w:sz w:val="24"/>
          <w:szCs w:val="24"/>
        </w:rPr>
        <w:t>1. Infectious syphilis is defined as primary, secondary and early latent stages of syphilis within one year of infection.</w:t>
      </w:r>
    </w:p>
    <w:p w14:paraId="59E2F13E" w14:textId="77777777" w:rsidR="00FA5AD4" w:rsidRPr="00FA5AD4" w:rsidRDefault="00FA5AD4" w:rsidP="00FA5AD4">
      <w:pPr>
        <w:spacing w:after="0" w:line="240" w:lineRule="auto"/>
        <w:rPr>
          <w:sz w:val="24"/>
          <w:szCs w:val="24"/>
        </w:rPr>
      </w:pPr>
      <w:r w:rsidRPr="00FA5AD4">
        <w:rPr>
          <w:sz w:val="24"/>
          <w:szCs w:val="24"/>
        </w:rPr>
        <w:t>2. Population denominators estimated by the University of Massachusetts Donahue Institute using a modified Hamilton-Perry model (Strate S, et al. Small Area Population Estimates for 2011 through 2020 report, Oct 2016).</w:t>
      </w:r>
    </w:p>
    <w:p w14:paraId="724DCA63" w14:textId="77777777" w:rsidR="00FA5AD4" w:rsidRPr="00FA5AD4" w:rsidRDefault="00FA5AD4" w:rsidP="00FA5AD4">
      <w:pPr>
        <w:spacing w:after="0" w:line="240" w:lineRule="auto"/>
        <w:rPr>
          <w:sz w:val="24"/>
          <w:szCs w:val="24"/>
        </w:rPr>
      </w:pPr>
      <w:r w:rsidRPr="00FA5AD4">
        <w:rPr>
          <w:sz w:val="24"/>
          <w:szCs w:val="24"/>
        </w:rPr>
        <w:t>3. There are seven city/towns with &lt;10 cases of syphilis that fall within the top two rate categories (≥40 cases per 100,000): Chesterfield, Tisbury, Boxborough, Oakham, Becket, Huntington, and Winthrop,.</w:t>
      </w:r>
    </w:p>
    <w:p w14:paraId="2D5A2343" w14:textId="77777777" w:rsidR="00FA5AD4" w:rsidRPr="00FA5AD4" w:rsidRDefault="00FA5AD4" w:rsidP="00FA5AD4">
      <w:pPr>
        <w:spacing w:after="0" w:line="240" w:lineRule="auto"/>
        <w:rPr>
          <w:sz w:val="24"/>
          <w:szCs w:val="24"/>
        </w:rPr>
      </w:pPr>
      <w:r w:rsidRPr="00FA5AD4">
        <w:rPr>
          <w:sz w:val="24"/>
          <w:szCs w:val="24"/>
        </w:rPr>
        <w:t>4. Please consider the impact of the COVID-19 pandemic on infectious disease screening, treatment and surveillance in the interpretation of 2023 data. </w:t>
      </w:r>
    </w:p>
    <w:p w14:paraId="5DAD0FDE" w14:textId="7331766B" w:rsidR="007E7D3D" w:rsidRPr="002E19F8" w:rsidRDefault="007E7D3D" w:rsidP="003461A4">
      <w:pPr>
        <w:spacing w:after="0" w:line="240" w:lineRule="auto"/>
        <w:rPr>
          <w:sz w:val="24"/>
          <w:szCs w:val="24"/>
        </w:rPr>
      </w:pPr>
    </w:p>
    <w:p w14:paraId="7129F45E" w14:textId="77777777" w:rsidR="008C27CA" w:rsidRPr="002E19F8" w:rsidRDefault="008C27CA" w:rsidP="52C804C8">
      <w:pPr>
        <w:spacing w:after="0" w:line="240" w:lineRule="auto"/>
        <w:rPr>
          <w:sz w:val="24"/>
          <w:szCs w:val="24"/>
        </w:rPr>
      </w:pPr>
    </w:p>
    <w:p w14:paraId="1CF250F4" w14:textId="592D2E4B" w:rsidR="007E7D3D" w:rsidRPr="002E19F8" w:rsidRDefault="00AB659D" w:rsidP="00C46D69">
      <w:pPr>
        <w:pStyle w:val="Heading2"/>
      </w:pPr>
      <w:bookmarkStart w:id="41" w:name="_Toc184132251"/>
      <w:r w:rsidRPr="002E19F8">
        <w:t>Slide 3</w:t>
      </w:r>
      <w:r w:rsidR="00FA5AD4">
        <w:t>9</w:t>
      </w:r>
      <w:r w:rsidRPr="002E19F8">
        <w:t xml:space="preserve">: </w:t>
      </w:r>
      <w:r w:rsidR="00971BA2" w:rsidRPr="00971BA2">
        <w:t>Absolute Rate Difference</w:t>
      </w:r>
      <w:r w:rsidR="00971BA2" w:rsidRPr="00971BA2">
        <w:rPr>
          <w:vertAlign w:val="superscript"/>
        </w:rPr>
        <w:t>1</w:t>
      </w:r>
      <w:r w:rsidR="00971BA2" w:rsidRPr="00971BA2">
        <w:t xml:space="preserve"> Comparing 2023 to 2019 for Infectious Syphilis</w:t>
      </w:r>
      <w:r w:rsidR="00971BA2" w:rsidRPr="00971BA2">
        <w:rPr>
          <w:vertAlign w:val="superscript"/>
        </w:rPr>
        <w:t>2</w:t>
      </w:r>
      <w:r w:rsidR="00971BA2" w:rsidRPr="00971BA2">
        <w:t xml:space="preserve"> Cases, per 100,000 Persons</w:t>
      </w:r>
      <w:r w:rsidR="00971BA2" w:rsidRPr="00971BA2">
        <w:rPr>
          <w:vertAlign w:val="superscript"/>
        </w:rPr>
        <w:t>3</w:t>
      </w:r>
      <w:r w:rsidR="00971BA2" w:rsidRPr="00971BA2">
        <w:t xml:space="preserve"> by City/Town, Massachusetts</w:t>
      </w:r>
      <w:bookmarkEnd w:id="41"/>
    </w:p>
    <w:p w14:paraId="075D0797" w14:textId="7C2DE2DF" w:rsidR="00AB659D" w:rsidRPr="002E19F8" w:rsidRDefault="00B15BF3" w:rsidP="003461A4">
      <w:pPr>
        <w:spacing w:after="0" w:line="240" w:lineRule="auto"/>
        <w:rPr>
          <w:sz w:val="24"/>
          <w:szCs w:val="24"/>
        </w:rPr>
      </w:pPr>
      <w:r>
        <w:rPr>
          <w:noProof/>
          <w:sz w:val="24"/>
          <w:szCs w:val="24"/>
        </w:rPr>
        <w:drawing>
          <wp:inline distT="0" distB="0" distL="0" distR="0" wp14:anchorId="6809FFAE" wp14:editId="20EFA103">
            <wp:extent cx="5939155" cy="2433955"/>
            <wp:effectExtent l="0" t="0" r="4445" b="4445"/>
            <wp:docPr id="1309585559" name="Picture 1309585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85559" name="Picture 1309585559">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155" cy="2433955"/>
                    </a:xfrm>
                    <a:prstGeom prst="rect">
                      <a:avLst/>
                    </a:prstGeom>
                    <a:noFill/>
                    <a:ln>
                      <a:noFill/>
                    </a:ln>
                  </pic:spPr>
                </pic:pic>
              </a:graphicData>
            </a:graphic>
          </wp:inline>
        </w:drawing>
      </w:r>
    </w:p>
    <w:p w14:paraId="4A4D423C" w14:textId="6F35E389" w:rsidR="52C804C8" w:rsidRPr="002E19F8" w:rsidRDefault="00AB659D" w:rsidP="52C804C8">
      <w:pPr>
        <w:spacing w:after="0" w:line="240" w:lineRule="auto"/>
        <w:rPr>
          <w:sz w:val="24"/>
          <w:szCs w:val="24"/>
        </w:rPr>
      </w:pPr>
      <w:r w:rsidRPr="002E19F8">
        <w:rPr>
          <w:b/>
          <w:sz w:val="24"/>
          <w:szCs w:val="24"/>
        </w:rPr>
        <w:t xml:space="preserve">Highlights: </w:t>
      </w:r>
      <w:r w:rsidR="00971BA2" w:rsidRPr="00971BA2">
        <w:rPr>
          <w:sz w:val="24"/>
          <w:szCs w:val="24"/>
        </w:rPr>
        <w:t>Map of Massachusetts cities and towns color-coded to indicate the range of absolute rate differences per 100,000 persons comparing 2023 infectious syphilis case rates to 2019 case rates. The darker the color in the scheme, the greater the difference between 2023 and 2019 case rates with purple coloring indicating rates were higher in 2019 and the gold coloring indicating rates were higher in 2023. An approximately even number of cities and towns saw a rise and fall in infectious syphilis case rates in 2023 compared with 2019 with the greatest increases (greater than 20 per 100,000 persons) occurring in Provincetown, Chelsea, Springfield, Salem, Winthrop, and Hudson; the largest rate declines (less than -20 per 100,000 persons) were seen in Nahant, Chatham, Rutland, Leicester, and Ayer. The cities and towns that had zero cases for 2023 or 2019 and one or more cases for the opposing year are indicated on the map with a slash mark to acknowledge the absolute rate difference should be examined with caution.</w:t>
      </w:r>
    </w:p>
    <w:p w14:paraId="0870E1AD" w14:textId="798F1086" w:rsidR="00AB659D" w:rsidRPr="002E19F8" w:rsidRDefault="00AB659D" w:rsidP="52C804C8">
      <w:pPr>
        <w:spacing w:after="0" w:line="240" w:lineRule="auto"/>
        <w:rPr>
          <w:b/>
          <w:bCs/>
          <w:sz w:val="24"/>
          <w:szCs w:val="24"/>
        </w:rPr>
      </w:pPr>
      <w:r w:rsidRPr="002E19F8">
        <w:rPr>
          <w:b/>
          <w:sz w:val="24"/>
          <w:szCs w:val="24"/>
        </w:rPr>
        <w:t>Footnotes</w:t>
      </w:r>
      <w:r w:rsidR="4498D844" w:rsidRPr="002E19F8">
        <w:rPr>
          <w:b/>
          <w:bCs/>
          <w:sz w:val="24"/>
          <w:szCs w:val="24"/>
        </w:rPr>
        <w:t xml:space="preserve"> for Slide 3</w:t>
      </w:r>
      <w:r w:rsidR="00971BA2">
        <w:rPr>
          <w:b/>
          <w:bCs/>
          <w:sz w:val="24"/>
          <w:szCs w:val="24"/>
        </w:rPr>
        <w:t>9</w:t>
      </w:r>
    </w:p>
    <w:p w14:paraId="0A3066BF" w14:textId="77777777" w:rsidR="00971BA2" w:rsidRPr="00971BA2" w:rsidRDefault="00971BA2" w:rsidP="00971BA2">
      <w:pPr>
        <w:spacing w:after="0" w:line="240" w:lineRule="auto"/>
        <w:rPr>
          <w:sz w:val="24"/>
          <w:szCs w:val="24"/>
        </w:rPr>
      </w:pPr>
      <w:r w:rsidRPr="00971BA2">
        <w:rPr>
          <w:sz w:val="24"/>
          <w:szCs w:val="24"/>
        </w:rPr>
        <w:t>Data are current as of 07/17/2024 and are subject to change. </w:t>
      </w:r>
    </w:p>
    <w:p w14:paraId="7DE25C83" w14:textId="2D3CF273" w:rsidR="00971BA2" w:rsidRPr="00971BA2" w:rsidRDefault="00971BA2" w:rsidP="00971BA2">
      <w:pPr>
        <w:spacing w:after="0" w:line="240" w:lineRule="auto"/>
        <w:rPr>
          <w:sz w:val="24"/>
          <w:szCs w:val="24"/>
        </w:rPr>
      </w:pPr>
      <w:r w:rsidRPr="00971BA2">
        <w:rPr>
          <w:sz w:val="24"/>
          <w:szCs w:val="24"/>
        </w:rPr>
        <w:t>Data Source: Massachusetts Department of Public Health/Bureau of Infectious Disease and Laboratory Sciences/Division of STD Prevention and STD-HIV Surveillance.</w:t>
      </w:r>
    </w:p>
    <w:p w14:paraId="70041775" w14:textId="77777777" w:rsidR="00971BA2" w:rsidRPr="00971BA2" w:rsidRDefault="00971BA2" w:rsidP="00971BA2">
      <w:pPr>
        <w:spacing w:after="0" w:line="240" w:lineRule="auto"/>
        <w:rPr>
          <w:sz w:val="24"/>
          <w:szCs w:val="24"/>
        </w:rPr>
      </w:pPr>
      <w:r w:rsidRPr="00971BA2">
        <w:rPr>
          <w:sz w:val="24"/>
          <w:szCs w:val="24"/>
        </w:rPr>
        <w:t>1. The darker the color in the scheme, the greater the difference between 2023 and 2019 infectious syphilis case rates with purple coloring indicating rates were higher in 2019 and gold coloring indicating rates were higher in 2023.</w:t>
      </w:r>
    </w:p>
    <w:p w14:paraId="6804C5BC" w14:textId="77777777" w:rsidR="00971BA2" w:rsidRPr="00971BA2" w:rsidRDefault="00971BA2" w:rsidP="00971BA2">
      <w:pPr>
        <w:spacing w:after="0" w:line="240" w:lineRule="auto"/>
        <w:rPr>
          <w:sz w:val="24"/>
          <w:szCs w:val="24"/>
        </w:rPr>
      </w:pPr>
      <w:r w:rsidRPr="00971BA2">
        <w:rPr>
          <w:sz w:val="24"/>
          <w:szCs w:val="24"/>
        </w:rPr>
        <w:t>2. Infectious syphilis is defined as primary, secondary and early latent stages of syphilis within one year of infection.</w:t>
      </w:r>
    </w:p>
    <w:p w14:paraId="1A229C3C" w14:textId="77777777" w:rsidR="00971BA2" w:rsidRPr="00971BA2" w:rsidRDefault="00971BA2" w:rsidP="00971BA2">
      <w:pPr>
        <w:spacing w:after="0" w:line="240" w:lineRule="auto"/>
        <w:rPr>
          <w:sz w:val="24"/>
          <w:szCs w:val="24"/>
        </w:rPr>
      </w:pPr>
      <w:r w:rsidRPr="00971BA2">
        <w:rPr>
          <w:sz w:val="24"/>
          <w:szCs w:val="24"/>
        </w:rPr>
        <w:t>3. Population denominators estimated by the University of Massachusetts Donahue Institute using a modified Hamilton-Perry model (Strate S, et al. Small Area Population Estimates for 2011 through 2020 report, Oct 2016).</w:t>
      </w:r>
    </w:p>
    <w:p w14:paraId="21CFEB93" w14:textId="77777777" w:rsidR="00AB659D" w:rsidRPr="002E19F8" w:rsidRDefault="00AB659D" w:rsidP="00AB659D">
      <w:pPr>
        <w:spacing w:after="0" w:line="240" w:lineRule="auto"/>
        <w:rPr>
          <w:sz w:val="24"/>
          <w:szCs w:val="24"/>
        </w:rPr>
      </w:pPr>
      <w:r w:rsidRPr="002E19F8">
        <w:rPr>
          <w:sz w:val="24"/>
          <w:szCs w:val="24"/>
        </w:rPr>
        <w:t>3. There are eight city/towns with &lt;10 cases of syphilis that fall within the top two rate categories (≥40 cases per 100,000): Chesterfield, Winthrop, Phillipston, Strockbridge, Russell, Truro, Springfield, and Ayer.</w:t>
      </w:r>
    </w:p>
    <w:p w14:paraId="544A8E7B" w14:textId="77777777" w:rsidR="008C27CA" w:rsidRPr="002E19F8" w:rsidRDefault="008C27CA" w:rsidP="52C804C8">
      <w:pPr>
        <w:spacing w:after="0" w:line="240" w:lineRule="auto"/>
        <w:rPr>
          <w:b/>
          <w:bCs/>
          <w:sz w:val="24"/>
          <w:szCs w:val="24"/>
        </w:rPr>
      </w:pPr>
    </w:p>
    <w:p w14:paraId="201FBDDE" w14:textId="114D40E7" w:rsidR="007E7D3D" w:rsidRPr="002E19F8" w:rsidRDefault="00AB659D" w:rsidP="00C46D69">
      <w:pPr>
        <w:pStyle w:val="Heading2"/>
      </w:pPr>
      <w:bookmarkStart w:id="42" w:name="_Toc184132252"/>
      <w:r w:rsidRPr="002E19F8">
        <w:t xml:space="preserve">Slide </w:t>
      </w:r>
      <w:r w:rsidR="00254950">
        <w:t>40</w:t>
      </w:r>
      <w:r w:rsidRPr="002E19F8">
        <w:t>: Confirmed and Probable Infectious Syphilis</w:t>
      </w:r>
      <w:r w:rsidRPr="002E19F8">
        <w:rPr>
          <w:vertAlign w:val="superscript"/>
        </w:rPr>
        <w:t>1</w:t>
      </w:r>
      <w:r w:rsidRPr="002E19F8">
        <w:t xml:space="preserve"> Cases per 100,000 Population by Gender</w:t>
      </w:r>
      <w:r w:rsidRPr="002E19F8">
        <w:rPr>
          <w:vertAlign w:val="superscript"/>
        </w:rPr>
        <w:t>2</w:t>
      </w:r>
      <w:r w:rsidRPr="002E19F8">
        <w:t xml:space="preserve"> and Age, Massachusetts, 202</w:t>
      </w:r>
      <w:r w:rsidR="00E47715">
        <w:t>3</w:t>
      </w:r>
      <w:r w:rsidRPr="002E19F8">
        <w:rPr>
          <w:vertAlign w:val="superscript"/>
        </w:rPr>
        <w:t>3</w:t>
      </w:r>
      <w:bookmarkEnd w:id="42"/>
    </w:p>
    <w:p w14:paraId="213CE7D2" w14:textId="61388166" w:rsidR="00AB659D" w:rsidRPr="002E19F8" w:rsidRDefault="00E47715" w:rsidP="003461A4">
      <w:pPr>
        <w:spacing w:after="0" w:line="240" w:lineRule="auto"/>
        <w:rPr>
          <w:b/>
          <w:sz w:val="24"/>
          <w:szCs w:val="24"/>
        </w:rPr>
      </w:pPr>
      <w:r w:rsidRPr="00E47715">
        <w:rPr>
          <w:b/>
          <w:noProof/>
          <w:sz w:val="24"/>
          <w:szCs w:val="24"/>
        </w:rPr>
        <w:drawing>
          <wp:inline distT="0" distB="0" distL="0" distR="0" wp14:anchorId="4FC8FEFE" wp14:editId="590EC264">
            <wp:extent cx="5943600" cy="1948180"/>
            <wp:effectExtent l="0" t="0" r="0" b="0"/>
            <wp:docPr id="1929801839" name="Picture 1929801839" descr="Graph depicts infectious syphilis rates per 100,000 population by age categories for the overall state, males, and females. For the overall state, the highest rate is among those 30-34 years. When looking at the gender specific rates, the age categories with the highest rates are 25 to 29 years for females and 30 to 34 years for males.">
              <a:extLst xmlns:a="http://schemas.openxmlformats.org/drawingml/2006/main">
                <a:ext uri="{FF2B5EF4-FFF2-40B4-BE49-F238E27FC236}">
                  <a16:creationId xmlns:a16="http://schemas.microsoft.com/office/drawing/2014/main" id="{B65CBDBD-12E0-60A4-2EDF-A4ED38653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 depicts infectious syphilis rates per 100,000 population by age categories for the overall state, males, and females. For the overall state, the highest rate is among those 30-34 years. When looking at the gender specific rates, the age categories with the highest rates are 25 to 29 years for females and 30 to 34 years for males.">
                      <a:extLst>
                        <a:ext uri="{FF2B5EF4-FFF2-40B4-BE49-F238E27FC236}">
                          <a16:creationId xmlns:a16="http://schemas.microsoft.com/office/drawing/2014/main" id="{B65CBDBD-12E0-60A4-2EDF-A4ED38653124}"/>
                        </a:ext>
                      </a:extLst>
                    </pic:cNvPr>
                    <pic:cNvPicPr>
                      <a:picLocks noChangeAspect="1"/>
                    </pic:cNvPicPr>
                  </pic:nvPicPr>
                  <pic:blipFill>
                    <a:blip r:embed="rId41"/>
                    <a:stretch>
                      <a:fillRect/>
                    </a:stretch>
                  </pic:blipFill>
                  <pic:spPr>
                    <a:xfrm>
                      <a:off x="0" y="0"/>
                      <a:ext cx="5943600" cy="1948180"/>
                    </a:xfrm>
                    <a:prstGeom prst="rect">
                      <a:avLst/>
                    </a:prstGeom>
                  </pic:spPr>
                </pic:pic>
              </a:graphicData>
            </a:graphic>
          </wp:inline>
        </w:drawing>
      </w:r>
    </w:p>
    <w:p w14:paraId="0B17A2BA" w14:textId="77777777" w:rsidR="00AB659D" w:rsidRPr="002E19F8" w:rsidRDefault="00AB659D" w:rsidP="003461A4">
      <w:pPr>
        <w:spacing w:after="0" w:line="240" w:lineRule="auto"/>
        <w:rPr>
          <w:sz w:val="24"/>
          <w:szCs w:val="24"/>
        </w:rPr>
      </w:pPr>
    </w:p>
    <w:p w14:paraId="05FD9402" w14:textId="25F20B84" w:rsidR="00AB659D" w:rsidRPr="002E19F8" w:rsidRDefault="00AB659D" w:rsidP="52C804C8">
      <w:pPr>
        <w:spacing w:after="0" w:line="240" w:lineRule="auto"/>
        <w:rPr>
          <w:sz w:val="24"/>
          <w:szCs w:val="24"/>
        </w:rPr>
      </w:pPr>
      <w:r w:rsidRPr="002E19F8">
        <w:rPr>
          <w:b/>
          <w:sz w:val="24"/>
          <w:szCs w:val="24"/>
        </w:rPr>
        <w:t>Highlights:</w:t>
      </w:r>
      <w:r w:rsidRPr="002E19F8">
        <w:rPr>
          <w:sz w:val="24"/>
          <w:szCs w:val="24"/>
        </w:rPr>
        <w:t xml:space="preserve"> </w:t>
      </w:r>
      <w:r w:rsidR="00254950" w:rsidRPr="00254950">
        <w:rPr>
          <w:sz w:val="24"/>
          <w:szCs w:val="24"/>
        </w:rPr>
        <w:t>Graph depicts infectious syphilis rates per 100,000 population by age categories for the overall state, males, and females. For the overall state, the highest rate is among those 30-34 years. When looking at the gender specific rates, the age categories with the highest rates are 25 to 29 years for females and 30 to 34 years for males.</w:t>
      </w:r>
    </w:p>
    <w:p w14:paraId="595546E5" w14:textId="6247ECB9" w:rsidR="52C804C8" w:rsidRPr="002E19F8" w:rsidRDefault="52C804C8" w:rsidP="52C804C8">
      <w:pPr>
        <w:spacing w:after="0" w:line="240" w:lineRule="auto"/>
        <w:rPr>
          <w:sz w:val="24"/>
          <w:szCs w:val="24"/>
        </w:rPr>
      </w:pPr>
    </w:p>
    <w:p w14:paraId="10B3CEA3" w14:textId="1FB197F4" w:rsidR="006D7AAE" w:rsidRPr="002E19F8" w:rsidRDefault="00AB659D" w:rsidP="52C804C8">
      <w:pPr>
        <w:spacing w:after="0" w:line="240" w:lineRule="auto"/>
        <w:rPr>
          <w:sz w:val="24"/>
          <w:szCs w:val="24"/>
        </w:rPr>
      </w:pPr>
      <w:r w:rsidRPr="002E19F8">
        <w:rPr>
          <w:b/>
          <w:sz w:val="24"/>
          <w:szCs w:val="24"/>
        </w:rPr>
        <w:t>Footnotes</w:t>
      </w:r>
      <w:r w:rsidR="10CCF129" w:rsidRPr="002E19F8">
        <w:rPr>
          <w:b/>
          <w:bCs/>
          <w:sz w:val="24"/>
          <w:szCs w:val="24"/>
        </w:rPr>
        <w:t xml:space="preserve"> for Slide</w:t>
      </w:r>
      <w:r w:rsidR="00254950">
        <w:rPr>
          <w:b/>
          <w:bCs/>
          <w:sz w:val="24"/>
          <w:szCs w:val="24"/>
        </w:rPr>
        <w:t xml:space="preserve"> 40</w:t>
      </w:r>
    </w:p>
    <w:p w14:paraId="7D37F1BC" w14:textId="77777777" w:rsidR="00E47715" w:rsidRPr="00E47715" w:rsidRDefault="00E47715" w:rsidP="00E47715">
      <w:pPr>
        <w:spacing w:after="0" w:line="240" w:lineRule="auto"/>
        <w:rPr>
          <w:sz w:val="24"/>
          <w:szCs w:val="24"/>
        </w:rPr>
      </w:pPr>
      <w:r w:rsidRPr="00E47715">
        <w:rPr>
          <w:sz w:val="24"/>
          <w:szCs w:val="24"/>
        </w:rPr>
        <w:t>Data are current as of 07/17/2024 and are subject to change. </w:t>
      </w:r>
    </w:p>
    <w:p w14:paraId="6641C184" w14:textId="0E8BB01C" w:rsidR="00E47715" w:rsidRPr="00E47715" w:rsidRDefault="00E47715" w:rsidP="00E47715">
      <w:pPr>
        <w:spacing w:after="0" w:line="240" w:lineRule="auto"/>
        <w:rPr>
          <w:sz w:val="24"/>
          <w:szCs w:val="24"/>
        </w:rPr>
      </w:pPr>
      <w:r w:rsidRPr="00E47715">
        <w:rPr>
          <w:sz w:val="24"/>
          <w:szCs w:val="24"/>
        </w:rPr>
        <w:t>Data Source: Massachusetts Department of Public Health/Bureau of Infectious Disease and Laboratory Sciences/Division of STD Prevention and STD-HIV Surveillance.</w:t>
      </w:r>
    </w:p>
    <w:p w14:paraId="03A9C77D" w14:textId="77777777" w:rsidR="00E47715" w:rsidRPr="00E47715" w:rsidRDefault="00E47715" w:rsidP="00E47715">
      <w:pPr>
        <w:spacing w:after="0" w:line="240" w:lineRule="auto"/>
        <w:rPr>
          <w:sz w:val="24"/>
          <w:szCs w:val="24"/>
        </w:rPr>
      </w:pPr>
      <w:r w:rsidRPr="00E47715">
        <w:rPr>
          <w:sz w:val="24"/>
          <w:szCs w:val="24"/>
        </w:rPr>
        <w:t>Population denominators estimated by the University of Massachusetts Donahue Institute using a modified Hamilton-Perry model (Strate S, et al. Small Area Population Estimates for 2011 through 2020 report, Oct 2016).</w:t>
      </w:r>
    </w:p>
    <w:p w14:paraId="2356B46B" w14:textId="77777777" w:rsidR="00E47715" w:rsidRPr="00E47715" w:rsidRDefault="00E47715" w:rsidP="00E47715">
      <w:pPr>
        <w:spacing w:after="0" w:line="240" w:lineRule="auto"/>
        <w:rPr>
          <w:sz w:val="24"/>
          <w:szCs w:val="24"/>
        </w:rPr>
      </w:pPr>
      <w:r w:rsidRPr="00E47715">
        <w:rPr>
          <w:sz w:val="24"/>
          <w:szCs w:val="24"/>
        </w:rPr>
        <w:t>1. Infectious syphilis is defined as primary, secondary and early latent stages of syphilis within one year of infection.</w:t>
      </w:r>
    </w:p>
    <w:p w14:paraId="50543494" w14:textId="77777777" w:rsidR="00E47715" w:rsidRPr="00E47715" w:rsidRDefault="00E47715" w:rsidP="00E47715">
      <w:pPr>
        <w:spacing w:after="0" w:line="240" w:lineRule="auto"/>
        <w:rPr>
          <w:sz w:val="24"/>
          <w:szCs w:val="24"/>
        </w:rPr>
      </w:pPr>
      <w:r w:rsidRPr="00E47715">
        <w:rPr>
          <w:sz w:val="24"/>
          <w:szCs w:val="24"/>
        </w:rPr>
        <w:t>2. In 2023, there were 2 individuals of transgender experience documented in our data system and MA DSTDP does not have current gender information for those individuals. These cases were excluded since rate for this population cannot be calculated at this time. </w:t>
      </w:r>
    </w:p>
    <w:p w14:paraId="4971E516" w14:textId="77777777" w:rsidR="00E47715" w:rsidRPr="00E47715" w:rsidRDefault="00E47715" w:rsidP="00E47715">
      <w:pPr>
        <w:spacing w:after="0" w:line="240" w:lineRule="auto"/>
        <w:rPr>
          <w:sz w:val="24"/>
          <w:szCs w:val="24"/>
        </w:rPr>
      </w:pPr>
      <w:r w:rsidRPr="00E47715">
        <w:rPr>
          <w:sz w:val="24"/>
          <w:szCs w:val="24"/>
        </w:rPr>
        <w:t>3. Please consider the impact of the COVID-19 pandemic on infectious disease screening, treatment and surveillance in the interpretation of 2023 data.</w:t>
      </w:r>
    </w:p>
    <w:p w14:paraId="64D496B4" w14:textId="4769A6C7" w:rsidR="00AB659D" w:rsidRPr="002E19F8" w:rsidRDefault="00AB659D" w:rsidP="003461A4">
      <w:pPr>
        <w:spacing w:after="0" w:line="240" w:lineRule="auto"/>
        <w:rPr>
          <w:b/>
          <w:sz w:val="24"/>
          <w:szCs w:val="24"/>
        </w:rPr>
      </w:pPr>
    </w:p>
    <w:p w14:paraId="1DA1313F" w14:textId="50BD95F9" w:rsidR="52C804C8" w:rsidRPr="002E19F8" w:rsidRDefault="52C804C8" w:rsidP="52C804C8">
      <w:pPr>
        <w:spacing w:after="0" w:line="240" w:lineRule="auto"/>
        <w:rPr>
          <w:b/>
          <w:bCs/>
          <w:sz w:val="24"/>
          <w:szCs w:val="24"/>
        </w:rPr>
      </w:pPr>
    </w:p>
    <w:p w14:paraId="6EF96BD2" w14:textId="4AA4E7DE" w:rsidR="52C804C8" w:rsidRPr="002E19F8" w:rsidRDefault="52C804C8" w:rsidP="52C804C8">
      <w:pPr>
        <w:spacing w:after="0" w:line="240" w:lineRule="auto"/>
        <w:rPr>
          <w:b/>
          <w:bCs/>
          <w:sz w:val="24"/>
          <w:szCs w:val="24"/>
        </w:rPr>
      </w:pPr>
    </w:p>
    <w:p w14:paraId="2A2D07D2" w14:textId="556C7FC5" w:rsidR="52C804C8" w:rsidRPr="002E19F8" w:rsidRDefault="52C804C8" w:rsidP="52C804C8">
      <w:pPr>
        <w:spacing w:after="0" w:line="240" w:lineRule="auto"/>
        <w:rPr>
          <w:b/>
          <w:bCs/>
          <w:sz w:val="24"/>
          <w:szCs w:val="24"/>
        </w:rPr>
      </w:pPr>
    </w:p>
    <w:p w14:paraId="6746E4D3" w14:textId="362C7464" w:rsidR="52C804C8" w:rsidRPr="002E19F8" w:rsidRDefault="52C804C8" w:rsidP="52C804C8">
      <w:pPr>
        <w:spacing w:after="0" w:line="240" w:lineRule="auto"/>
        <w:rPr>
          <w:b/>
          <w:bCs/>
          <w:sz w:val="24"/>
          <w:szCs w:val="24"/>
        </w:rPr>
      </w:pPr>
    </w:p>
    <w:p w14:paraId="5CE09BC1" w14:textId="26A12D03" w:rsidR="52C804C8" w:rsidRPr="002E19F8" w:rsidRDefault="52C804C8" w:rsidP="52C804C8">
      <w:pPr>
        <w:spacing w:after="0" w:line="240" w:lineRule="auto"/>
        <w:rPr>
          <w:b/>
          <w:bCs/>
          <w:sz w:val="24"/>
          <w:szCs w:val="24"/>
        </w:rPr>
      </w:pPr>
    </w:p>
    <w:p w14:paraId="561C1852" w14:textId="64E063C5" w:rsidR="52C804C8" w:rsidRPr="002E19F8" w:rsidRDefault="52C804C8" w:rsidP="52C804C8">
      <w:pPr>
        <w:spacing w:after="0" w:line="240" w:lineRule="auto"/>
        <w:rPr>
          <w:b/>
          <w:bCs/>
          <w:sz w:val="24"/>
          <w:szCs w:val="24"/>
        </w:rPr>
      </w:pPr>
    </w:p>
    <w:p w14:paraId="603DE3CE" w14:textId="42EA4BEC" w:rsidR="52C804C8" w:rsidRPr="002E19F8" w:rsidRDefault="52C804C8" w:rsidP="52C804C8">
      <w:pPr>
        <w:spacing w:after="0" w:line="240" w:lineRule="auto"/>
        <w:rPr>
          <w:b/>
          <w:bCs/>
          <w:sz w:val="24"/>
          <w:szCs w:val="24"/>
        </w:rPr>
      </w:pPr>
    </w:p>
    <w:p w14:paraId="24347EB8" w14:textId="4242C423" w:rsidR="52C804C8" w:rsidRPr="002E19F8" w:rsidRDefault="52C804C8" w:rsidP="52C804C8">
      <w:pPr>
        <w:spacing w:after="0" w:line="240" w:lineRule="auto"/>
        <w:rPr>
          <w:b/>
          <w:bCs/>
          <w:sz w:val="24"/>
          <w:szCs w:val="24"/>
        </w:rPr>
      </w:pPr>
    </w:p>
    <w:p w14:paraId="5B1E8BDC" w14:textId="274ED7C1" w:rsidR="52C804C8" w:rsidRPr="002E19F8" w:rsidRDefault="52C804C8" w:rsidP="52C804C8">
      <w:pPr>
        <w:spacing w:after="0" w:line="240" w:lineRule="auto"/>
        <w:rPr>
          <w:b/>
          <w:bCs/>
          <w:sz w:val="24"/>
          <w:szCs w:val="24"/>
        </w:rPr>
      </w:pPr>
    </w:p>
    <w:p w14:paraId="1E698D01" w14:textId="10FABBBF" w:rsidR="00AB659D" w:rsidRPr="003233F8" w:rsidRDefault="006D7AAE" w:rsidP="00D40DF4">
      <w:pPr>
        <w:pStyle w:val="Heading1"/>
        <w:rPr>
          <w:sz w:val="26"/>
          <w:szCs w:val="26"/>
        </w:rPr>
      </w:pPr>
      <w:bookmarkStart w:id="43" w:name="_Toc184132253"/>
      <w:r w:rsidRPr="003233F8">
        <w:rPr>
          <w:sz w:val="26"/>
          <w:szCs w:val="26"/>
        </w:rPr>
        <w:t>Slide 4</w:t>
      </w:r>
      <w:r w:rsidR="00254950">
        <w:rPr>
          <w:sz w:val="26"/>
          <w:szCs w:val="26"/>
        </w:rPr>
        <w:t>1</w:t>
      </w:r>
      <w:r w:rsidRPr="003233F8">
        <w:rPr>
          <w:sz w:val="26"/>
          <w:szCs w:val="26"/>
        </w:rPr>
        <w:t>: Comparison of the Rate of Confirmed and Probable Infectious Syphilis</w:t>
      </w:r>
      <w:r w:rsidRPr="003233F8">
        <w:rPr>
          <w:sz w:val="26"/>
          <w:szCs w:val="26"/>
          <w:vertAlign w:val="superscript"/>
        </w:rPr>
        <w:t>1</w:t>
      </w:r>
      <w:r w:rsidRPr="003233F8">
        <w:rPr>
          <w:sz w:val="26"/>
          <w:szCs w:val="26"/>
        </w:rPr>
        <w:t xml:space="preserve"> Cases by Gender</w:t>
      </w:r>
      <w:r w:rsidRPr="003233F8">
        <w:rPr>
          <w:sz w:val="26"/>
          <w:szCs w:val="26"/>
          <w:vertAlign w:val="superscript"/>
        </w:rPr>
        <w:t>2</w:t>
      </w:r>
      <w:r w:rsidRPr="003233F8">
        <w:rPr>
          <w:sz w:val="26"/>
          <w:szCs w:val="26"/>
        </w:rPr>
        <w:t xml:space="preserve"> and Race and Ethnicity</w:t>
      </w:r>
      <w:r w:rsidRPr="003233F8">
        <w:rPr>
          <w:sz w:val="26"/>
          <w:szCs w:val="26"/>
          <w:vertAlign w:val="superscript"/>
        </w:rPr>
        <w:t>3</w:t>
      </w:r>
      <w:r w:rsidRPr="003233F8">
        <w:rPr>
          <w:sz w:val="26"/>
          <w:szCs w:val="26"/>
        </w:rPr>
        <w:t>, Massachusetts, 202</w:t>
      </w:r>
      <w:r w:rsidR="00254950">
        <w:rPr>
          <w:sz w:val="26"/>
          <w:szCs w:val="26"/>
        </w:rPr>
        <w:t>3</w:t>
      </w:r>
      <w:r w:rsidRPr="003233F8">
        <w:rPr>
          <w:sz w:val="26"/>
          <w:szCs w:val="26"/>
          <w:vertAlign w:val="superscript"/>
        </w:rPr>
        <w:t>4</w:t>
      </w:r>
      <w:bookmarkEnd w:id="43"/>
    </w:p>
    <w:p w14:paraId="0D1A18B9" w14:textId="003CE20B" w:rsidR="006D7AAE" w:rsidRPr="002E19F8" w:rsidRDefault="00B047BC" w:rsidP="003461A4">
      <w:pPr>
        <w:spacing w:after="0" w:line="240" w:lineRule="auto"/>
        <w:rPr>
          <w:sz w:val="24"/>
          <w:szCs w:val="24"/>
        </w:rPr>
      </w:pPr>
      <w:r>
        <w:rPr>
          <w:rFonts w:ascii="Calibri" w:hAnsi="Calibri" w:cs="Calibri"/>
          <w:noProof/>
          <w:color w:val="000000"/>
          <w:sz w:val="24"/>
          <w:szCs w:val="24"/>
          <w:shd w:val="clear" w:color="auto" w:fill="FFFFFF"/>
        </w:rPr>
        <w:drawing>
          <wp:inline distT="0" distB="0" distL="0" distR="0" wp14:anchorId="7CC545D6" wp14:editId="2400AE95">
            <wp:extent cx="5943600" cy="2052955"/>
            <wp:effectExtent l="0" t="0" r="0" b="4445"/>
            <wp:docPr id="1183217084" name="Picture 1183217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17084" name="Picture 118321708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052955"/>
                    </a:xfrm>
                    <a:prstGeom prst="rect">
                      <a:avLst/>
                    </a:prstGeom>
                    <a:noFill/>
                    <a:ln>
                      <a:noFill/>
                    </a:ln>
                  </pic:spPr>
                </pic:pic>
              </a:graphicData>
            </a:graphic>
          </wp:inline>
        </w:drawing>
      </w:r>
      <w:r w:rsidR="00725819" w:rsidRPr="002E19F8">
        <w:rPr>
          <w:rFonts w:ascii="Calibri" w:hAnsi="Calibri" w:cs="Calibri"/>
          <w:color w:val="000000"/>
          <w:sz w:val="24"/>
          <w:szCs w:val="24"/>
          <w:shd w:val="clear" w:color="auto" w:fill="FFFFFF"/>
        </w:rPr>
        <w:br/>
      </w:r>
    </w:p>
    <w:p w14:paraId="643020D3" w14:textId="4D25345D" w:rsidR="006D7AAE" w:rsidRPr="002E19F8" w:rsidRDefault="006D7AAE" w:rsidP="45B78671">
      <w:pPr>
        <w:spacing w:after="0" w:line="240" w:lineRule="auto"/>
        <w:rPr>
          <w:b/>
          <w:bCs/>
          <w:sz w:val="24"/>
          <w:szCs w:val="24"/>
        </w:rPr>
      </w:pPr>
      <w:r w:rsidRPr="45B78671">
        <w:rPr>
          <w:b/>
          <w:bCs/>
          <w:sz w:val="24"/>
          <w:szCs w:val="24"/>
        </w:rPr>
        <w:t>Table: Infectious syphilis 202</w:t>
      </w:r>
      <w:r w:rsidR="0E1BAAFE" w:rsidRPr="45B78671">
        <w:rPr>
          <w:b/>
          <w:bCs/>
          <w:sz w:val="24"/>
          <w:szCs w:val="24"/>
        </w:rPr>
        <w:t xml:space="preserve">3 </w:t>
      </w:r>
      <w:r w:rsidRPr="45B78671">
        <w:rPr>
          <w:b/>
          <w:bCs/>
          <w:sz w:val="24"/>
          <w:szCs w:val="24"/>
        </w:rPr>
        <w:t>case counts by race and ethnicity and gender</w:t>
      </w:r>
    </w:p>
    <w:tbl>
      <w:tblPr>
        <w:tblW w:w="4752" w:type="dxa"/>
        <w:tblInd w:w="113" w:type="dxa"/>
        <w:tblLook w:val="04A0" w:firstRow="1" w:lastRow="0" w:firstColumn="1" w:lastColumn="0" w:noHBand="0" w:noVBand="1"/>
      </w:tblPr>
      <w:tblGrid>
        <w:gridCol w:w="1296"/>
        <w:gridCol w:w="1152"/>
        <w:gridCol w:w="1152"/>
        <w:gridCol w:w="1152"/>
      </w:tblGrid>
      <w:tr w:rsidR="006D7AAE" w:rsidRPr="002E19F8" w14:paraId="5B467EDC" w14:textId="77777777" w:rsidTr="52C804C8">
        <w:trPr>
          <w:trHeight w:val="29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DC79"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CE2CEC4" w14:textId="4AA56FE8" w:rsidR="006D7AAE" w:rsidRPr="002E19F8" w:rsidRDefault="006D7AAE" w:rsidP="00123015">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Males</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2339FA" w14:textId="77777777" w:rsidR="006D7AAE" w:rsidRPr="002E19F8" w:rsidRDefault="006D7AAE" w:rsidP="00123015">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Females</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6740090" w14:textId="77777777" w:rsidR="006D7AAE" w:rsidRPr="002E19F8" w:rsidRDefault="006D7AAE" w:rsidP="00123015">
            <w:pPr>
              <w:spacing w:after="0" w:line="240" w:lineRule="auto"/>
              <w:jc w:val="center"/>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Total</w:t>
            </w:r>
          </w:p>
        </w:tc>
      </w:tr>
      <w:tr w:rsidR="006D7AAE" w:rsidRPr="002E19F8" w14:paraId="7A4C9585" w14:textId="77777777" w:rsidTr="00123015">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A7DA327"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Total</w:t>
            </w:r>
          </w:p>
        </w:tc>
        <w:tc>
          <w:tcPr>
            <w:tcW w:w="1152" w:type="dxa"/>
            <w:tcBorders>
              <w:top w:val="nil"/>
              <w:left w:val="nil"/>
              <w:bottom w:val="single" w:sz="4" w:space="0" w:color="auto"/>
              <w:right w:val="single" w:sz="4" w:space="0" w:color="auto"/>
            </w:tcBorders>
            <w:shd w:val="clear" w:color="auto" w:fill="auto"/>
            <w:noWrap/>
            <w:vAlign w:val="bottom"/>
          </w:tcPr>
          <w:p w14:paraId="00E8D1DC" w14:textId="540E4EC3"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1,183</w:t>
            </w:r>
          </w:p>
        </w:tc>
        <w:tc>
          <w:tcPr>
            <w:tcW w:w="1152" w:type="dxa"/>
            <w:tcBorders>
              <w:top w:val="nil"/>
              <w:left w:val="nil"/>
              <w:bottom w:val="single" w:sz="4" w:space="0" w:color="auto"/>
              <w:right w:val="single" w:sz="4" w:space="0" w:color="auto"/>
            </w:tcBorders>
            <w:shd w:val="clear" w:color="auto" w:fill="auto"/>
            <w:noWrap/>
            <w:vAlign w:val="bottom"/>
          </w:tcPr>
          <w:p w14:paraId="7EC78B5B" w14:textId="2AD05099"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264</w:t>
            </w:r>
          </w:p>
        </w:tc>
        <w:tc>
          <w:tcPr>
            <w:tcW w:w="1152" w:type="dxa"/>
            <w:tcBorders>
              <w:top w:val="nil"/>
              <w:left w:val="nil"/>
              <w:bottom w:val="single" w:sz="4" w:space="0" w:color="auto"/>
              <w:right w:val="single" w:sz="4" w:space="0" w:color="auto"/>
            </w:tcBorders>
            <w:shd w:val="clear" w:color="auto" w:fill="auto"/>
            <w:noWrap/>
            <w:vAlign w:val="bottom"/>
          </w:tcPr>
          <w:p w14:paraId="483A293B" w14:textId="2E7A6915"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1,447</w:t>
            </w:r>
          </w:p>
        </w:tc>
      </w:tr>
      <w:tr w:rsidR="006D7AAE" w:rsidRPr="002E19F8" w14:paraId="6A33DEBE" w14:textId="77777777" w:rsidTr="00123015">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7110E65"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White</w:t>
            </w:r>
          </w:p>
        </w:tc>
        <w:tc>
          <w:tcPr>
            <w:tcW w:w="1152" w:type="dxa"/>
            <w:tcBorders>
              <w:top w:val="nil"/>
              <w:left w:val="nil"/>
              <w:bottom w:val="single" w:sz="4" w:space="0" w:color="auto"/>
              <w:right w:val="single" w:sz="4" w:space="0" w:color="auto"/>
            </w:tcBorders>
            <w:shd w:val="clear" w:color="auto" w:fill="auto"/>
            <w:noWrap/>
            <w:vAlign w:val="bottom"/>
          </w:tcPr>
          <w:p w14:paraId="146214EE" w14:textId="776F2444"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439</w:t>
            </w:r>
          </w:p>
        </w:tc>
        <w:tc>
          <w:tcPr>
            <w:tcW w:w="1152" w:type="dxa"/>
            <w:tcBorders>
              <w:top w:val="nil"/>
              <w:left w:val="nil"/>
              <w:bottom w:val="single" w:sz="4" w:space="0" w:color="auto"/>
              <w:right w:val="single" w:sz="4" w:space="0" w:color="auto"/>
            </w:tcBorders>
            <w:shd w:val="clear" w:color="auto" w:fill="auto"/>
            <w:noWrap/>
            <w:vAlign w:val="bottom"/>
          </w:tcPr>
          <w:p w14:paraId="11C9B8F1" w14:textId="0FFE5EC0"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73</w:t>
            </w:r>
          </w:p>
        </w:tc>
        <w:tc>
          <w:tcPr>
            <w:tcW w:w="1152" w:type="dxa"/>
            <w:tcBorders>
              <w:top w:val="nil"/>
              <w:left w:val="nil"/>
              <w:bottom w:val="single" w:sz="4" w:space="0" w:color="auto"/>
              <w:right w:val="single" w:sz="4" w:space="0" w:color="auto"/>
            </w:tcBorders>
            <w:shd w:val="clear" w:color="auto" w:fill="auto"/>
            <w:noWrap/>
            <w:vAlign w:val="bottom"/>
          </w:tcPr>
          <w:p w14:paraId="02C8BE29" w14:textId="34073283"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512</w:t>
            </w:r>
          </w:p>
        </w:tc>
      </w:tr>
      <w:tr w:rsidR="006D7AAE" w:rsidRPr="002E19F8" w14:paraId="68C413BC" w14:textId="77777777" w:rsidTr="00123015">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2F5138A"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Asian</w:t>
            </w:r>
          </w:p>
        </w:tc>
        <w:tc>
          <w:tcPr>
            <w:tcW w:w="1152" w:type="dxa"/>
            <w:tcBorders>
              <w:top w:val="nil"/>
              <w:left w:val="nil"/>
              <w:bottom w:val="single" w:sz="4" w:space="0" w:color="auto"/>
              <w:right w:val="single" w:sz="4" w:space="0" w:color="auto"/>
            </w:tcBorders>
            <w:shd w:val="clear" w:color="auto" w:fill="auto"/>
            <w:noWrap/>
            <w:vAlign w:val="bottom"/>
          </w:tcPr>
          <w:p w14:paraId="6EFB70EB" w14:textId="3EDEE897"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40</w:t>
            </w:r>
          </w:p>
        </w:tc>
        <w:tc>
          <w:tcPr>
            <w:tcW w:w="1152" w:type="dxa"/>
            <w:tcBorders>
              <w:top w:val="nil"/>
              <w:left w:val="nil"/>
              <w:bottom w:val="single" w:sz="4" w:space="0" w:color="auto"/>
              <w:right w:val="single" w:sz="4" w:space="0" w:color="auto"/>
            </w:tcBorders>
            <w:shd w:val="clear" w:color="auto" w:fill="auto"/>
            <w:noWrap/>
            <w:vAlign w:val="bottom"/>
          </w:tcPr>
          <w:p w14:paraId="3F27D4C4" w14:textId="088DCCAA"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6</w:t>
            </w:r>
          </w:p>
        </w:tc>
        <w:tc>
          <w:tcPr>
            <w:tcW w:w="1152" w:type="dxa"/>
            <w:tcBorders>
              <w:top w:val="nil"/>
              <w:left w:val="nil"/>
              <w:bottom w:val="single" w:sz="4" w:space="0" w:color="auto"/>
              <w:right w:val="single" w:sz="4" w:space="0" w:color="auto"/>
            </w:tcBorders>
            <w:shd w:val="clear" w:color="auto" w:fill="auto"/>
            <w:noWrap/>
            <w:vAlign w:val="bottom"/>
          </w:tcPr>
          <w:p w14:paraId="761A4488" w14:textId="3D42D817"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46</w:t>
            </w:r>
          </w:p>
        </w:tc>
      </w:tr>
      <w:tr w:rsidR="006D7AAE" w:rsidRPr="002E19F8" w14:paraId="220FAC81" w14:textId="77777777" w:rsidTr="00123015">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535F6BA"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 xml:space="preserve">Hispanic </w:t>
            </w:r>
          </w:p>
        </w:tc>
        <w:tc>
          <w:tcPr>
            <w:tcW w:w="1152" w:type="dxa"/>
            <w:tcBorders>
              <w:top w:val="nil"/>
              <w:left w:val="nil"/>
              <w:bottom w:val="single" w:sz="4" w:space="0" w:color="auto"/>
              <w:right w:val="single" w:sz="4" w:space="0" w:color="auto"/>
            </w:tcBorders>
            <w:shd w:val="clear" w:color="auto" w:fill="auto"/>
            <w:noWrap/>
            <w:vAlign w:val="bottom"/>
          </w:tcPr>
          <w:p w14:paraId="424718D5" w14:textId="07B0AE5B"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394</w:t>
            </w:r>
          </w:p>
        </w:tc>
        <w:tc>
          <w:tcPr>
            <w:tcW w:w="1152" w:type="dxa"/>
            <w:tcBorders>
              <w:top w:val="nil"/>
              <w:left w:val="nil"/>
              <w:bottom w:val="single" w:sz="4" w:space="0" w:color="auto"/>
              <w:right w:val="single" w:sz="4" w:space="0" w:color="auto"/>
            </w:tcBorders>
            <w:shd w:val="clear" w:color="auto" w:fill="auto"/>
            <w:noWrap/>
            <w:vAlign w:val="bottom"/>
          </w:tcPr>
          <w:p w14:paraId="3C90865C" w14:textId="3FE4335F"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116</w:t>
            </w:r>
          </w:p>
        </w:tc>
        <w:tc>
          <w:tcPr>
            <w:tcW w:w="1152" w:type="dxa"/>
            <w:tcBorders>
              <w:top w:val="nil"/>
              <w:left w:val="nil"/>
              <w:bottom w:val="single" w:sz="4" w:space="0" w:color="auto"/>
              <w:right w:val="single" w:sz="4" w:space="0" w:color="auto"/>
            </w:tcBorders>
            <w:shd w:val="clear" w:color="auto" w:fill="auto"/>
            <w:noWrap/>
            <w:vAlign w:val="bottom"/>
          </w:tcPr>
          <w:p w14:paraId="0F7F4F3E" w14:textId="3886CF2E"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510</w:t>
            </w:r>
          </w:p>
        </w:tc>
      </w:tr>
      <w:tr w:rsidR="006D7AAE" w:rsidRPr="002E19F8" w14:paraId="41E7239E" w14:textId="77777777" w:rsidTr="00123015">
        <w:trPr>
          <w:trHeight w:val="290"/>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E59A66E" w14:textId="77777777" w:rsidR="006D7AAE" w:rsidRPr="002E19F8" w:rsidRDefault="006D7AAE" w:rsidP="006D7AAE">
            <w:pPr>
              <w:spacing w:after="0" w:line="240" w:lineRule="auto"/>
              <w:rPr>
                <w:rFonts w:ascii="Calibri" w:eastAsia="Times New Roman" w:hAnsi="Calibri" w:cs="Calibri"/>
                <w:color w:val="000000"/>
                <w:kern w:val="0"/>
                <w:sz w:val="24"/>
                <w:szCs w:val="24"/>
                <w14:ligatures w14:val="none"/>
              </w:rPr>
            </w:pPr>
            <w:r w:rsidRPr="002E19F8">
              <w:rPr>
                <w:rFonts w:ascii="Calibri" w:eastAsia="Times New Roman" w:hAnsi="Calibri" w:cs="Calibri"/>
                <w:color w:val="000000"/>
                <w:kern w:val="0"/>
                <w:sz w:val="24"/>
                <w:szCs w:val="24"/>
                <w14:ligatures w14:val="none"/>
              </w:rPr>
              <w:t>NH Black</w:t>
            </w:r>
          </w:p>
        </w:tc>
        <w:tc>
          <w:tcPr>
            <w:tcW w:w="1152" w:type="dxa"/>
            <w:tcBorders>
              <w:top w:val="nil"/>
              <w:left w:val="nil"/>
              <w:bottom w:val="single" w:sz="4" w:space="0" w:color="auto"/>
              <w:right w:val="single" w:sz="4" w:space="0" w:color="auto"/>
            </w:tcBorders>
            <w:shd w:val="clear" w:color="auto" w:fill="auto"/>
            <w:noWrap/>
            <w:vAlign w:val="bottom"/>
          </w:tcPr>
          <w:p w14:paraId="6052B46F" w14:textId="665187BD"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208</w:t>
            </w:r>
          </w:p>
        </w:tc>
        <w:tc>
          <w:tcPr>
            <w:tcW w:w="1152" w:type="dxa"/>
            <w:tcBorders>
              <w:top w:val="nil"/>
              <w:left w:val="nil"/>
              <w:bottom w:val="single" w:sz="4" w:space="0" w:color="auto"/>
              <w:right w:val="single" w:sz="4" w:space="0" w:color="auto"/>
            </w:tcBorders>
            <w:shd w:val="clear" w:color="auto" w:fill="auto"/>
            <w:noWrap/>
            <w:vAlign w:val="bottom"/>
          </w:tcPr>
          <w:p w14:paraId="5FE0E46F" w14:textId="589AF505"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47</w:t>
            </w:r>
          </w:p>
        </w:tc>
        <w:tc>
          <w:tcPr>
            <w:tcW w:w="1152" w:type="dxa"/>
            <w:tcBorders>
              <w:top w:val="nil"/>
              <w:left w:val="nil"/>
              <w:bottom w:val="single" w:sz="4" w:space="0" w:color="auto"/>
              <w:right w:val="single" w:sz="4" w:space="0" w:color="auto"/>
            </w:tcBorders>
            <w:shd w:val="clear" w:color="auto" w:fill="auto"/>
            <w:noWrap/>
            <w:vAlign w:val="bottom"/>
          </w:tcPr>
          <w:p w14:paraId="51A8558F" w14:textId="2BCF4C0E" w:rsidR="006D7AAE" w:rsidRPr="002E19F8" w:rsidRDefault="00123015" w:rsidP="00123015">
            <w:pPr>
              <w:spacing w:after="0" w:line="240" w:lineRule="auto"/>
              <w:jc w:val="center"/>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255</w:t>
            </w:r>
          </w:p>
        </w:tc>
      </w:tr>
    </w:tbl>
    <w:p w14:paraId="7FAEF62D" w14:textId="77777777" w:rsidR="006D7AAE" w:rsidRPr="002E19F8" w:rsidRDefault="006D7AAE" w:rsidP="003461A4">
      <w:pPr>
        <w:spacing w:after="0" w:line="240" w:lineRule="auto"/>
        <w:rPr>
          <w:sz w:val="24"/>
          <w:szCs w:val="24"/>
        </w:rPr>
      </w:pPr>
    </w:p>
    <w:p w14:paraId="70DF9C29" w14:textId="5FF9E30C" w:rsidR="006D7AAE" w:rsidRPr="002E19F8" w:rsidRDefault="006D7AAE" w:rsidP="52C804C8">
      <w:pPr>
        <w:spacing w:line="240" w:lineRule="auto"/>
        <w:rPr>
          <w:sz w:val="24"/>
          <w:szCs w:val="24"/>
        </w:rPr>
      </w:pPr>
      <w:r w:rsidRPr="002E19F8">
        <w:rPr>
          <w:b/>
          <w:sz w:val="24"/>
          <w:szCs w:val="24"/>
        </w:rPr>
        <w:t>Highlights:</w:t>
      </w:r>
      <w:r w:rsidRPr="002E19F8">
        <w:rPr>
          <w:sz w:val="24"/>
          <w:szCs w:val="24"/>
        </w:rPr>
        <w:t xml:space="preserve"> </w:t>
      </w:r>
      <w:r w:rsidR="008A7418" w:rsidRPr="008A7418">
        <w:rPr>
          <w:sz w:val="24"/>
          <w:szCs w:val="24"/>
        </w:rPr>
        <w:t>Graph depicts infectious syphilis rates per 100,000 population by age and race/ethnicity categories for the overall state, males, and females. For all infectious syphilis cases, the highest rate is among Hispanic/Latinx and Non-Hispanic/Latinx Black for both male and females.</w:t>
      </w:r>
    </w:p>
    <w:p w14:paraId="3AF5C36B" w14:textId="64010E2F" w:rsidR="006D7AAE" w:rsidRPr="002E19F8" w:rsidRDefault="006D7AAE" w:rsidP="52C804C8">
      <w:pPr>
        <w:spacing w:after="0" w:line="240" w:lineRule="auto"/>
        <w:rPr>
          <w:b/>
          <w:bCs/>
          <w:sz w:val="24"/>
          <w:szCs w:val="24"/>
        </w:rPr>
      </w:pPr>
      <w:r w:rsidRPr="002E19F8">
        <w:rPr>
          <w:b/>
          <w:sz w:val="24"/>
          <w:szCs w:val="24"/>
        </w:rPr>
        <w:t>Footnotes</w:t>
      </w:r>
      <w:r w:rsidR="3A1CBDBE" w:rsidRPr="002E19F8">
        <w:rPr>
          <w:b/>
          <w:bCs/>
          <w:sz w:val="24"/>
          <w:szCs w:val="24"/>
        </w:rPr>
        <w:t xml:space="preserve"> for Slide 4</w:t>
      </w:r>
      <w:r w:rsidR="00707538">
        <w:rPr>
          <w:b/>
          <w:bCs/>
          <w:sz w:val="24"/>
          <w:szCs w:val="24"/>
        </w:rPr>
        <w:t>1</w:t>
      </w:r>
    </w:p>
    <w:p w14:paraId="319D55D5" w14:textId="77777777" w:rsidR="008A7418" w:rsidRPr="008A7418" w:rsidRDefault="008A7418" w:rsidP="008A7418">
      <w:pPr>
        <w:spacing w:after="0" w:line="240" w:lineRule="auto"/>
        <w:rPr>
          <w:sz w:val="24"/>
          <w:szCs w:val="24"/>
        </w:rPr>
      </w:pPr>
      <w:r w:rsidRPr="008A7418">
        <w:rPr>
          <w:sz w:val="24"/>
          <w:szCs w:val="24"/>
        </w:rPr>
        <w:t>Data are current as of 07/17/2024 and are subject to change. </w:t>
      </w:r>
    </w:p>
    <w:p w14:paraId="7BF2A398" w14:textId="162DFEF2" w:rsidR="008A7418" w:rsidRPr="008A7418" w:rsidRDefault="008A7418" w:rsidP="008A7418">
      <w:pPr>
        <w:spacing w:after="0" w:line="240" w:lineRule="auto"/>
        <w:rPr>
          <w:sz w:val="24"/>
          <w:szCs w:val="24"/>
        </w:rPr>
      </w:pPr>
      <w:r w:rsidRPr="008A7418">
        <w:rPr>
          <w:sz w:val="24"/>
          <w:szCs w:val="24"/>
        </w:rPr>
        <w:t>Data Source: Massachusetts Department of Public Health/Bureau of Infectious Disease and Laboratory Sciences/Division of STD Prevention and STD-HIV Surveillance.</w:t>
      </w:r>
    </w:p>
    <w:p w14:paraId="267AE88B" w14:textId="77777777" w:rsidR="008A7418" w:rsidRPr="008A7418" w:rsidRDefault="008A7418" w:rsidP="008A7418">
      <w:pPr>
        <w:spacing w:after="0" w:line="240" w:lineRule="auto"/>
        <w:rPr>
          <w:sz w:val="24"/>
          <w:szCs w:val="24"/>
        </w:rPr>
      </w:pPr>
      <w:r w:rsidRPr="008A7418">
        <w:rPr>
          <w:sz w:val="24"/>
          <w:szCs w:val="24"/>
        </w:rPr>
        <w:t>Population denominators estimated by the University of Massachusetts Donahue Institute using a modified Hamilton-Perry model (Strate S, et al. Small Area Population Estimates for 2011 through 2020 report, Oct 2016).</w:t>
      </w:r>
    </w:p>
    <w:p w14:paraId="5437ECBE" w14:textId="77777777" w:rsidR="008A7418" w:rsidRPr="008A7418" w:rsidRDefault="008A7418" w:rsidP="008A7418">
      <w:pPr>
        <w:numPr>
          <w:ilvl w:val="0"/>
          <w:numId w:val="27"/>
        </w:numPr>
        <w:spacing w:after="0" w:line="240" w:lineRule="auto"/>
        <w:rPr>
          <w:sz w:val="24"/>
          <w:szCs w:val="24"/>
        </w:rPr>
      </w:pPr>
      <w:r w:rsidRPr="008A7418">
        <w:rPr>
          <w:sz w:val="24"/>
          <w:szCs w:val="24"/>
        </w:rPr>
        <w:t>Infectious syphilis is defined as primary, secondary and early latent stages of syphilis within one year of infection.</w:t>
      </w:r>
    </w:p>
    <w:p w14:paraId="00822379" w14:textId="77777777" w:rsidR="008A7418" w:rsidRPr="008A7418" w:rsidRDefault="008A7418" w:rsidP="008A7418">
      <w:pPr>
        <w:numPr>
          <w:ilvl w:val="0"/>
          <w:numId w:val="27"/>
        </w:numPr>
        <w:spacing w:after="0" w:line="240" w:lineRule="auto"/>
        <w:rPr>
          <w:sz w:val="24"/>
          <w:szCs w:val="24"/>
        </w:rPr>
      </w:pPr>
      <w:r w:rsidRPr="008A7418">
        <w:rPr>
          <w:sz w:val="24"/>
          <w:szCs w:val="24"/>
        </w:rPr>
        <w:t>In 2023, there were 2 individuals of transgender experience documented in our data system and MA DSTDP does not have current gender information for those individuals. These cases were excluded since rate for this population cannot be calculated at this time.  </w:t>
      </w:r>
    </w:p>
    <w:p w14:paraId="1B978265" w14:textId="77777777" w:rsidR="008A7418" w:rsidRPr="008A7418" w:rsidRDefault="008A7418" w:rsidP="008A7418">
      <w:pPr>
        <w:numPr>
          <w:ilvl w:val="0"/>
          <w:numId w:val="27"/>
        </w:numPr>
        <w:spacing w:after="0" w:line="240" w:lineRule="auto"/>
        <w:rPr>
          <w:sz w:val="24"/>
          <w:szCs w:val="24"/>
        </w:rPr>
      </w:pPr>
      <w:r w:rsidRPr="008A7418">
        <w:rPr>
          <w:sz w:val="24"/>
          <w:szCs w:val="24"/>
        </w:rPr>
        <w:t>Those cases reported among non-Hispanic/Latinx individuals with other race categories were excluded based on small counts (5.4% of cases). Cases with unknown race and ethnicity were excluded because rates could not be calculated (3.1% of cases).</w:t>
      </w:r>
    </w:p>
    <w:p w14:paraId="752C11C4" w14:textId="0E0CF56B" w:rsidR="008A7418" w:rsidRPr="00707538" w:rsidRDefault="008A7418" w:rsidP="002D130E">
      <w:pPr>
        <w:numPr>
          <w:ilvl w:val="0"/>
          <w:numId w:val="27"/>
        </w:numPr>
        <w:spacing w:after="0" w:line="240" w:lineRule="auto"/>
        <w:rPr>
          <w:sz w:val="24"/>
          <w:szCs w:val="24"/>
        </w:rPr>
      </w:pPr>
      <w:r w:rsidRPr="008A7418">
        <w:rPr>
          <w:sz w:val="24"/>
          <w:szCs w:val="24"/>
        </w:rPr>
        <w:t>Please consider the impact of the COVID-19 pandemic on infectious disease screening, treatment and surveillance in the interpretation of 2023 data.</w:t>
      </w:r>
    </w:p>
    <w:p w14:paraId="0E7DC3F7" w14:textId="53B4E182" w:rsidR="006D7AAE" w:rsidRPr="003233F8" w:rsidRDefault="006D7AAE" w:rsidP="00D40DF4">
      <w:pPr>
        <w:pStyle w:val="Heading1"/>
        <w:rPr>
          <w:sz w:val="26"/>
          <w:szCs w:val="26"/>
        </w:rPr>
      </w:pPr>
      <w:bookmarkStart w:id="44" w:name="_Toc184132254"/>
      <w:r w:rsidRPr="003233F8">
        <w:rPr>
          <w:sz w:val="26"/>
          <w:szCs w:val="26"/>
        </w:rPr>
        <w:t>Slide 4</w:t>
      </w:r>
      <w:r w:rsidR="00707538">
        <w:rPr>
          <w:sz w:val="26"/>
          <w:szCs w:val="26"/>
        </w:rPr>
        <w:t>2</w:t>
      </w:r>
      <w:r w:rsidRPr="003233F8">
        <w:rPr>
          <w:sz w:val="26"/>
          <w:szCs w:val="26"/>
        </w:rPr>
        <w:t>: Section Break, HIV Co-infection</w:t>
      </w:r>
      <w:bookmarkEnd w:id="44"/>
    </w:p>
    <w:p w14:paraId="125FABCF" w14:textId="52296B3F" w:rsidR="006D7AAE" w:rsidRPr="003233F8" w:rsidRDefault="00707538" w:rsidP="003461A4">
      <w:pPr>
        <w:spacing w:after="0" w:line="240" w:lineRule="auto"/>
        <w:rPr>
          <w:sz w:val="26"/>
          <w:szCs w:val="26"/>
        </w:rPr>
      </w:pPr>
      <w:r w:rsidRPr="00707538">
        <w:rPr>
          <w:sz w:val="26"/>
          <w:szCs w:val="26"/>
        </w:rPr>
        <w:t>STI and HIV Co-infection for Chlamydia, Gonorrhea, and Infectious Syphilis by Age and Sexual Risk Categories</w:t>
      </w:r>
    </w:p>
    <w:p w14:paraId="09DE705F" w14:textId="48BD4A91" w:rsidR="006D7AAE" w:rsidRPr="003233F8" w:rsidRDefault="006D7AAE" w:rsidP="00D40DF4">
      <w:pPr>
        <w:pStyle w:val="Heading1"/>
        <w:rPr>
          <w:sz w:val="26"/>
          <w:szCs w:val="26"/>
        </w:rPr>
      </w:pPr>
      <w:bookmarkStart w:id="45" w:name="_Toc184132255"/>
      <w:r w:rsidRPr="003233F8">
        <w:rPr>
          <w:sz w:val="26"/>
          <w:szCs w:val="26"/>
        </w:rPr>
        <w:t>Slide 4</w:t>
      </w:r>
      <w:r w:rsidR="00707538">
        <w:rPr>
          <w:sz w:val="26"/>
          <w:szCs w:val="26"/>
        </w:rPr>
        <w:t>3</w:t>
      </w:r>
      <w:r w:rsidRPr="003233F8">
        <w:rPr>
          <w:sz w:val="26"/>
          <w:szCs w:val="26"/>
        </w:rPr>
        <w:t xml:space="preserve">: </w:t>
      </w:r>
      <w:r w:rsidR="00B10A89" w:rsidRPr="00B10A89">
        <w:rPr>
          <w:sz w:val="26"/>
          <w:szCs w:val="26"/>
        </w:rPr>
        <w:t>2023</w:t>
      </w:r>
      <w:r w:rsidR="00B10A89" w:rsidRPr="00B10A89">
        <w:rPr>
          <w:sz w:val="26"/>
          <w:szCs w:val="26"/>
          <w:vertAlign w:val="superscript"/>
        </w:rPr>
        <w:t>1</w:t>
      </w:r>
      <w:r w:rsidR="00B10A89" w:rsidRPr="00B10A89">
        <w:rPr>
          <w:sz w:val="26"/>
          <w:szCs w:val="26"/>
        </w:rPr>
        <w:t xml:space="preserve"> HIV</w:t>
      </w:r>
      <w:r w:rsidR="00B10A89" w:rsidRPr="00B10A89">
        <w:rPr>
          <w:sz w:val="26"/>
          <w:szCs w:val="26"/>
          <w:vertAlign w:val="superscript"/>
        </w:rPr>
        <w:t>2</w:t>
      </w:r>
      <w:r w:rsidR="00B10A89" w:rsidRPr="00B10A89">
        <w:rPr>
          <w:sz w:val="26"/>
          <w:szCs w:val="26"/>
        </w:rPr>
        <w:t xml:space="preserve"> Co-Infected Chlamydia and Gonorrhea Cases</w:t>
      </w:r>
      <w:bookmarkEnd w:id="45"/>
    </w:p>
    <w:p w14:paraId="69121B99" w14:textId="77777777" w:rsidR="00B10A89" w:rsidRDefault="00B10A89" w:rsidP="006D7AAE">
      <w:pPr>
        <w:spacing w:after="0" w:line="240" w:lineRule="auto"/>
        <w:rPr>
          <w:sz w:val="24"/>
          <w:szCs w:val="24"/>
        </w:rPr>
      </w:pPr>
    </w:p>
    <w:p w14:paraId="1B47755D" w14:textId="77777777" w:rsidR="00B10A89" w:rsidRPr="00B10A89" w:rsidRDefault="00B10A89" w:rsidP="00B10A89">
      <w:pPr>
        <w:spacing w:after="0" w:line="240" w:lineRule="auto"/>
        <w:rPr>
          <w:sz w:val="24"/>
          <w:szCs w:val="24"/>
        </w:rPr>
      </w:pPr>
      <w:r w:rsidRPr="00B10A89">
        <w:rPr>
          <w:sz w:val="24"/>
          <w:szCs w:val="24"/>
        </w:rPr>
        <w:t>Chlamydia with HIV Co-Infection</w:t>
      </w:r>
    </w:p>
    <w:p w14:paraId="1F6E35DF" w14:textId="77777777" w:rsidR="00B10A89" w:rsidRPr="00B10A89" w:rsidRDefault="00B10A89" w:rsidP="00B10A89">
      <w:pPr>
        <w:numPr>
          <w:ilvl w:val="1"/>
          <w:numId w:val="28"/>
        </w:numPr>
        <w:spacing w:after="0" w:line="240" w:lineRule="auto"/>
        <w:rPr>
          <w:sz w:val="24"/>
          <w:szCs w:val="24"/>
        </w:rPr>
      </w:pPr>
      <w:r w:rsidRPr="00B10A89">
        <w:rPr>
          <w:sz w:val="24"/>
          <w:szCs w:val="24"/>
        </w:rPr>
        <w:t>2.3% of chlamydia cases were HIV co-infection (N = 28,910)</w:t>
      </w:r>
    </w:p>
    <w:p w14:paraId="6215719E" w14:textId="77777777" w:rsidR="00B10A89" w:rsidRPr="00B10A89" w:rsidRDefault="00B10A89" w:rsidP="00B10A89">
      <w:pPr>
        <w:numPr>
          <w:ilvl w:val="1"/>
          <w:numId w:val="28"/>
        </w:numPr>
        <w:spacing w:after="0" w:line="240" w:lineRule="auto"/>
        <w:rPr>
          <w:sz w:val="24"/>
          <w:szCs w:val="24"/>
        </w:rPr>
      </w:pPr>
      <w:r w:rsidRPr="00B10A89">
        <w:rPr>
          <w:sz w:val="24"/>
          <w:szCs w:val="24"/>
        </w:rPr>
        <w:t>As age increases the proportion of HIV co-infection increases</w:t>
      </w:r>
    </w:p>
    <w:p w14:paraId="6BB4B0C8" w14:textId="77777777" w:rsidR="00B10A89" w:rsidRPr="00B10A89" w:rsidRDefault="00B10A89" w:rsidP="00B10A89">
      <w:pPr>
        <w:numPr>
          <w:ilvl w:val="2"/>
          <w:numId w:val="28"/>
        </w:numPr>
        <w:spacing w:after="0" w:line="240" w:lineRule="auto"/>
        <w:rPr>
          <w:sz w:val="24"/>
          <w:szCs w:val="24"/>
        </w:rPr>
      </w:pPr>
      <w:r w:rsidRPr="00B10A89">
        <w:rPr>
          <w:sz w:val="24"/>
          <w:szCs w:val="24"/>
        </w:rPr>
        <w:t>1.1% of cases in their 20s are HIV co-infected </w:t>
      </w:r>
    </w:p>
    <w:p w14:paraId="0DEEE890" w14:textId="77777777" w:rsidR="00B10A89" w:rsidRPr="00B10A89" w:rsidRDefault="00B10A89" w:rsidP="00B10A89">
      <w:pPr>
        <w:numPr>
          <w:ilvl w:val="2"/>
          <w:numId w:val="28"/>
        </w:numPr>
        <w:spacing w:after="0" w:line="240" w:lineRule="auto"/>
        <w:rPr>
          <w:sz w:val="24"/>
          <w:szCs w:val="24"/>
        </w:rPr>
      </w:pPr>
      <w:r w:rsidRPr="00B10A89">
        <w:rPr>
          <w:sz w:val="24"/>
          <w:szCs w:val="24"/>
        </w:rPr>
        <w:t>16.4% of cases 50+ are HIV co-infected</w:t>
      </w:r>
    </w:p>
    <w:p w14:paraId="215C9230" w14:textId="77777777" w:rsidR="00B10A89" w:rsidRPr="00B10A89" w:rsidRDefault="00B10A89" w:rsidP="00B10A89">
      <w:pPr>
        <w:spacing w:after="0" w:line="240" w:lineRule="auto"/>
        <w:rPr>
          <w:sz w:val="24"/>
          <w:szCs w:val="24"/>
        </w:rPr>
      </w:pPr>
      <w:r w:rsidRPr="00B10A89">
        <w:rPr>
          <w:sz w:val="24"/>
          <w:szCs w:val="24"/>
        </w:rPr>
        <w:t xml:space="preserve">Gonorrhea with HIV Co-Infection </w:t>
      </w:r>
    </w:p>
    <w:p w14:paraId="776105EA" w14:textId="77777777" w:rsidR="00B10A89" w:rsidRPr="00B10A89" w:rsidRDefault="00B10A89" w:rsidP="00B10A89">
      <w:pPr>
        <w:numPr>
          <w:ilvl w:val="1"/>
          <w:numId w:val="29"/>
        </w:numPr>
        <w:spacing w:after="0" w:line="240" w:lineRule="auto"/>
        <w:rPr>
          <w:sz w:val="24"/>
          <w:szCs w:val="24"/>
        </w:rPr>
      </w:pPr>
      <w:r w:rsidRPr="00B10A89">
        <w:rPr>
          <w:sz w:val="24"/>
          <w:szCs w:val="24"/>
        </w:rPr>
        <w:t>7.4% of gonorrhea cases were co-infected with HIV (N = 9,779)</w:t>
      </w:r>
    </w:p>
    <w:p w14:paraId="602CD0FA" w14:textId="77777777" w:rsidR="00B10A89" w:rsidRPr="00B10A89" w:rsidRDefault="00B10A89" w:rsidP="00B10A89">
      <w:pPr>
        <w:numPr>
          <w:ilvl w:val="1"/>
          <w:numId w:val="29"/>
        </w:numPr>
        <w:spacing w:after="0" w:line="240" w:lineRule="auto"/>
        <w:rPr>
          <w:sz w:val="24"/>
          <w:szCs w:val="24"/>
        </w:rPr>
      </w:pPr>
      <w:r w:rsidRPr="00B10A89">
        <w:rPr>
          <w:sz w:val="24"/>
          <w:szCs w:val="24"/>
        </w:rPr>
        <w:t>As age increases the proportion of HIV co-infection increases</w:t>
      </w:r>
    </w:p>
    <w:p w14:paraId="3259E11C" w14:textId="77777777" w:rsidR="00B10A89" w:rsidRPr="00B10A89" w:rsidRDefault="00B10A89" w:rsidP="00B10A89">
      <w:pPr>
        <w:numPr>
          <w:ilvl w:val="2"/>
          <w:numId w:val="29"/>
        </w:numPr>
        <w:spacing w:after="0" w:line="240" w:lineRule="auto"/>
        <w:rPr>
          <w:sz w:val="24"/>
          <w:szCs w:val="24"/>
        </w:rPr>
      </w:pPr>
      <w:r w:rsidRPr="00B10A89">
        <w:rPr>
          <w:sz w:val="24"/>
          <w:szCs w:val="24"/>
        </w:rPr>
        <w:t>3.8% of cases in their 20s are HIV co-infected </w:t>
      </w:r>
    </w:p>
    <w:p w14:paraId="3D1DC44A" w14:textId="77777777" w:rsidR="00B10A89" w:rsidRPr="00B10A89" w:rsidRDefault="00B10A89" w:rsidP="00B10A89">
      <w:pPr>
        <w:numPr>
          <w:ilvl w:val="2"/>
          <w:numId w:val="29"/>
        </w:numPr>
        <w:spacing w:after="0" w:line="240" w:lineRule="auto"/>
        <w:rPr>
          <w:sz w:val="24"/>
          <w:szCs w:val="24"/>
        </w:rPr>
      </w:pPr>
      <w:r w:rsidRPr="00B10A89">
        <w:rPr>
          <w:sz w:val="24"/>
          <w:szCs w:val="24"/>
        </w:rPr>
        <w:t>19.9% of cases 50+ are HIV co-infected</w:t>
      </w:r>
    </w:p>
    <w:p w14:paraId="396A113F" w14:textId="77777777" w:rsidR="006D7AAE" w:rsidRPr="002E19F8" w:rsidRDefault="006D7AAE" w:rsidP="003461A4">
      <w:pPr>
        <w:spacing w:after="0" w:line="240" w:lineRule="auto"/>
        <w:rPr>
          <w:sz w:val="24"/>
          <w:szCs w:val="24"/>
        </w:rPr>
      </w:pPr>
    </w:p>
    <w:p w14:paraId="466FFB6C" w14:textId="1C5376F5" w:rsidR="006D7AAE" w:rsidRPr="002E19F8" w:rsidRDefault="006D7AAE" w:rsidP="52C804C8">
      <w:pPr>
        <w:spacing w:after="0" w:line="240" w:lineRule="auto"/>
        <w:rPr>
          <w:b/>
          <w:bCs/>
          <w:sz w:val="24"/>
          <w:szCs w:val="24"/>
        </w:rPr>
      </w:pPr>
      <w:r w:rsidRPr="002E19F8">
        <w:rPr>
          <w:b/>
          <w:sz w:val="24"/>
          <w:szCs w:val="24"/>
        </w:rPr>
        <w:t>Footnotes</w:t>
      </w:r>
      <w:r w:rsidR="3D685141" w:rsidRPr="002E19F8">
        <w:rPr>
          <w:b/>
          <w:bCs/>
          <w:sz w:val="24"/>
          <w:szCs w:val="24"/>
        </w:rPr>
        <w:t xml:space="preserve"> for Slide 4</w:t>
      </w:r>
      <w:r w:rsidR="00B10A89">
        <w:rPr>
          <w:b/>
          <w:bCs/>
          <w:sz w:val="24"/>
          <w:szCs w:val="24"/>
        </w:rPr>
        <w:t>3</w:t>
      </w:r>
    </w:p>
    <w:p w14:paraId="4E580E57" w14:textId="7D9A433B" w:rsidR="00F82C8F" w:rsidRPr="00F82C8F" w:rsidRDefault="00F82C8F" w:rsidP="00F82C8F">
      <w:pPr>
        <w:spacing w:after="0" w:line="240" w:lineRule="auto"/>
        <w:rPr>
          <w:sz w:val="24"/>
          <w:szCs w:val="24"/>
        </w:rPr>
      </w:pPr>
      <w:r w:rsidRPr="00F82C8F">
        <w:rPr>
          <w:sz w:val="24"/>
          <w:szCs w:val="24"/>
        </w:rPr>
        <w:t>Data are current as of 08/01/2023 and are subject to change. Data Source: Massachusetts Department of Public Health/Bureau of Infectious Disease and Laboratory Sciences/Division of STD Prevention and STD-HIV Surveillance. </w:t>
      </w:r>
    </w:p>
    <w:p w14:paraId="232AEDC2" w14:textId="77777777" w:rsidR="00F82C8F" w:rsidRPr="00F82C8F" w:rsidRDefault="00F82C8F" w:rsidP="00F82C8F">
      <w:pPr>
        <w:spacing w:after="0" w:line="240" w:lineRule="auto"/>
        <w:rPr>
          <w:sz w:val="24"/>
          <w:szCs w:val="24"/>
        </w:rPr>
      </w:pPr>
      <w:r w:rsidRPr="00F82C8F">
        <w:rPr>
          <w:sz w:val="24"/>
          <w:szCs w:val="24"/>
        </w:rPr>
        <w:t>1. Please consider the impact of the COVID-19 pandemic on infectious disease screening, treatment and surveillance in the interpretation of 2023 data.</w:t>
      </w:r>
    </w:p>
    <w:p w14:paraId="40EFF043" w14:textId="77777777" w:rsidR="00F82C8F" w:rsidRPr="00F82C8F" w:rsidRDefault="00F82C8F" w:rsidP="00F82C8F">
      <w:pPr>
        <w:spacing w:after="0" w:line="240" w:lineRule="auto"/>
        <w:rPr>
          <w:sz w:val="24"/>
          <w:szCs w:val="24"/>
        </w:rPr>
      </w:pPr>
      <w:r w:rsidRPr="00F82C8F">
        <w:rPr>
          <w:sz w:val="24"/>
          <w:szCs w:val="24"/>
        </w:rPr>
        <w:t>2. HIV status is based on a full year match with HIV Surveillance data.</w:t>
      </w:r>
    </w:p>
    <w:p w14:paraId="5396F703" w14:textId="3E36132D" w:rsidR="52C804C8" w:rsidRPr="002E19F8" w:rsidRDefault="52C804C8" w:rsidP="6AFD1A91">
      <w:pPr>
        <w:spacing w:after="0" w:line="240" w:lineRule="auto"/>
        <w:rPr>
          <w:sz w:val="24"/>
          <w:szCs w:val="24"/>
        </w:rPr>
      </w:pPr>
    </w:p>
    <w:p w14:paraId="38CDD8B3" w14:textId="775EE894" w:rsidR="006D7AAE" w:rsidRPr="003233F8" w:rsidRDefault="006D7AAE" w:rsidP="00D40DF4">
      <w:pPr>
        <w:pStyle w:val="Heading1"/>
        <w:rPr>
          <w:sz w:val="26"/>
          <w:szCs w:val="26"/>
        </w:rPr>
      </w:pPr>
      <w:bookmarkStart w:id="46" w:name="_Toc184132256"/>
      <w:r w:rsidRPr="003233F8">
        <w:rPr>
          <w:sz w:val="26"/>
          <w:szCs w:val="26"/>
        </w:rPr>
        <w:t>Slide 4</w:t>
      </w:r>
      <w:r w:rsidR="00F82C8F">
        <w:rPr>
          <w:sz w:val="26"/>
          <w:szCs w:val="26"/>
        </w:rPr>
        <w:t>4</w:t>
      </w:r>
      <w:r w:rsidRPr="003233F8">
        <w:rPr>
          <w:sz w:val="26"/>
          <w:szCs w:val="26"/>
        </w:rPr>
        <w:t xml:space="preserve">: </w:t>
      </w:r>
      <w:r w:rsidR="00F82C8F" w:rsidRPr="00F82C8F">
        <w:rPr>
          <w:sz w:val="26"/>
          <w:szCs w:val="26"/>
        </w:rPr>
        <w:t>2023</w:t>
      </w:r>
      <w:r w:rsidR="00F82C8F" w:rsidRPr="00F82C8F">
        <w:rPr>
          <w:sz w:val="26"/>
          <w:szCs w:val="26"/>
          <w:vertAlign w:val="superscript"/>
        </w:rPr>
        <w:t>1</w:t>
      </w:r>
      <w:r w:rsidR="00F82C8F" w:rsidRPr="00F82C8F">
        <w:rPr>
          <w:sz w:val="26"/>
          <w:szCs w:val="26"/>
        </w:rPr>
        <w:t xml:space="preserve"> HIV</w:t>
      </w:r>
      <w:r w:rsidR="00F82C8F" w:rsidRPr="00F82C8F">
        <w:rPr>
          <w:sz w:val="26"/>
          <w:szCs w:val="26"/>
          <w:vertAlign w:val="superscript"/>
        </w:rPr>
        <w:t>2</w:t>
      </w:r>
      <w:r w:rsidR="00F82C8F" w:rsidRPr="00F82C8F">
        <w:rPr>
          <w:sz w:val="26"/>
          <w:szCs w:val="26"/>
        </w:rPr>
        <w:t xml:space="preserve"> Co-Infected Infectious Syphilis Cases</w:t>
      </w:r>
      <w:r w:rsidR="00F82C8F" w:rsidRPr="00F82C8F">
        <w:rPr>
          <w:sz w:val="26"/>
          <w:szCs w:val="26"/>
          <w:vertAlign w:val="superscript"/>
        </w:rPr>
        <w:t>3</w:t>
      </w:r>
      <w:bookmarkEnd w:id="46"/>
    </w:p>
    <w:p w14:paraId="223C8D46" w14:textId="77777777" w:rsidR="00D576B5" w:rsidRPr="00D576B5" w:rsidRDefault="00D576B5" w:rsidP="00D576B5">
      <w:pPr>
        <w:spacing w:after="0" w:line="240" w:lineRule="auto"/>
        <w:rPr>
          <w:sz w:val="24"/>
          <w:szCs w:val="24"/>
        </w:rPr>
      </w:pPr>
      <w:r w:rsidRPr="00D576B5">
        <w:rPr>
          <w:sz w:val="24"/>
          <w:szCs w:val="24"/>
        </w:rPr>
        <w:t>26.4% of infectious syphilis cases were co-infected with HIV (N = 1,449)</w:t>
      </w:r>
    </w:p>
    <w:p w14:paraId="08048363" w14:textId="77777777" w:rsidR="00D576B5" w:rsidRPr="00D576B5" w:rsidRDefault="00D576B5" w:rsidP="00D576B5">
      <w:pPr>
        <w:spacing w:after="0" w:line="240" w:lineRule="auto"/>
        <w:rPr>
          <w:sz w:val="24"/>
          <w:szCs w:val="24"/>
        </w:rPr>
      </w:pPr>
      <w:r w:rsidRPr="00D576B5">
        <w:rPr>
          <w:sz w:val="24"/>
          <w:szCs w:val="24"/>
        </w:rPr>
        <w:t>As age increases the proportion of HIV co-infection increases</w:t>
      </w:r>
    </w:p>
    <w:p w14:paraId="30310EFC" w14:textId="77777777" w:rsidR="00D576B5" w:rsidRPr="00D576B5" w:rsidRDefault="00D576B5" w:rsidP="00D576B5">
      <w:pPr>
        <w:numPr>
          <w:ilvl w:val="1"/>
          <w:numId w:val="30"/>
        </w:numPr>
        <w:spacing w:after="0" w:line="240" w:lineRule="auto"/>
        <w:rPr>
          <w:sz w:val="24"/>
          <w:szCs w:val="24"/>
        </w:rPr>
      </w:pPr>
      <w:r w:rsidRPr="00D576B5">
        <w:rPr>
          <w:sz w:val="24"/>
          <w:szCs w:val="24"/>
        </w:rPr>
        <w:t>12.6% of cases in their 20s are HIV co-infected</w:t>
      </w:r>
    </w:p>
    <w:p w14:paraId="65189EDB" w14:textId="77777777" w:rsidR="00D576B5" w:rsidRPr="00D576B5" w:rsidRDefault="00D576B5" w:rsidP="00D576B5">
      <w:pPr>
        <w:numPr>
          <w:ilvl w:val="1"/>
          <w:numId w:val="30"/>
        </w:numPr>
        <w:spacing w:after="0" w:line="240" w:lineRule="auto"/>
        <w:rPr>
          <w:sz w:val="24"/>
          <w:szCs w:val="24"/>
        </w:rPr>
      </w:pPr>
      <w:r w:rsidRPr="00D576B5">
        <w:rPr>
          <w:sz w:val="24"/>
          <w:szCs w:val="24"/>
        </w:rPr>
        <w:t>42.8% of cases 50+ are HIV co-infected</w:t>
      </w:r>
    </w:p>
    <w:p w14:paraId="7C931212" w14:textId="77777777" w:rsidR="00D576B5" w:rsidRPr="00D576B5" w:rsidRDefault="00D576B5" w:rsidP="00D576B5">
      <w:pPr>
        <w:spacing w:after="0" w:line="240" w:lineRule="auto"/>
        <w:rPr>
          <w:sz w:val="24"/>
          <w:szCs w:val="24"/>
        </w:rPr>
      </w:pPr>
      <w:r w:rsidRPr="00D576B5">
        <w:rPr>
          <w:sz w:val="24"/>
          <w:szCs w:val="24"/>
        </w:rPr>
        <w:t>Of individuals co-infected with HIV and infectious syphilis, 77.8% were MSM</w:t>
      </w:r>
      <w:r w:rsidRPr="00D576B5">
        <w:rPr>
          <w:sz w:val="24"/>
          <w:szCs w:val="24"/>
          <w:vertAlign w:val="superscript"/>
        </w:rPr>
        <w:t>4</w:t>
      </w:r>
      <w:r w:rsidRPr="00D576B5">
        <w:rPr>
          <w:sz w:val="24"/>
          <w:szCs w:val="24"/>
        </w:rPr>
        <w:t xml:space="preserve"> (N = 382), compared with 52.0% for those with no known HIV diagnosis (N = 1067). </w:t>
      </w:r>
    </w:p>
    <w:p w14:paraId="31292690" w14:textId="77777777" w:rsidR="00D576B5" w:rsidRPr="00D576B5" w:rsidRDefault="00D576B5" w:rsidP="00D576B5">
      <w:pPr>
        <w:spacing w:after="0" w:line="240" w:lineRule="auto"/>
        <w:rPr>
          <w:sz w:val="24"/>
          <w:szCs w:val="24"/>
        </w:rPr>
      </w:pPr>
      <w:r w:rsidRPr="00D576B5">
        <w:rPr>
          <w:sz w:val="24"/>
          <w:szCs w:val="24"/>
        </w:rPr>
        <w:t>Of known MSM individuals infected with infectious syphilis (N = 852), 34.9% were co-infected with HIV.</w:t>
      </w:r>
    </w:p>
    <w:p w14:paraId="12B93D0E" w14:textId="77777777" w:rsidR="00D576B5" w:rsidRPr="00D576B5" w:rsidRDefault="00D576B5" w:rsidP="00D576B5">
      <w:pPr>
        <w:spacing w:after="0" w:line="240" w:lineRule="auto"/>
        <w:rPr>
          <w:sz w:val="24"/>
          <w:szCs w:val="24"/>
        </w:rPr>
      </w:pPr>
      <w:r w:rsidRPr="00D576B5">
        <w:rPr>
          <w:sz w:val="24"/>
          <w:szCs w:val="24"/>
        </w:rPr>
        <w:t>8.6% of co-infected individuals were newly diagnosed with HIV within 30 days of infectious syphilis event date; 91.4% had a prior HIV diagnosis.</w:t>
      </w:r>
    </w:p>
    <w:p w14:paraId="12716960" w14:textId="77777777" w:rsidR="006D7AAE" w:rsidRPr="002E19F8" w:rsidRDefault="006D7AAE" w:rsidP="003461A4">
      <w:pPr>
        <w:spacing w:after="0" w:line="240" w:lineRule="auto"/>
        <w:rPr>
          <w:b/>
          <w:sz w:val="24"/>
          <w:szCs w:val="24"/>
        </w:rPr>
      </w:pPr>
    </w:p>
    <w:p w14:paraId="4F102411" w14:textId="57E0DADD" w:rsidR="006D7AAE" w:rsidRPr="002E19F8" w:rsidRDefault="006D7AAE" w:rsidP="52C804C8">
      <w:pPr>
        <w:spacing w:after="0" w:line="240" w:lineRule="auto"/>
        <w:rPr>
          <w:b/>
          <w:bCs/>
          <w:sz w:val="24"/>
          <w:szCs w:val="24"/>
        </w:rPr>
      </w:pPr>
      <w:r w:rsidRPr="002E19F8">
        <w:rPr>
          <w:b/>
          <w:sz w:val="24"/>
          <w:szCs w:val="24"/>
        </w:rPr>
        <w:t>Footnotes</w:t>
      </w:r>
      <w:r w:rsidR="5BDCAACF" w:rsidRPr="002E19F8">
        <w:rPr>
          <w:b/>
          <w:bCs/>
          <w:sz w:val="24"/>
          <w:szCs w:val="24"/>
        </w:rPr>
        <w:t xml:space="preserve"> for Slide 4</w:t>
      </w:r>
      <w:r w:rsidR="00A94724">
        <w:rPr>
          <w:b/>
          <w:bCs/>
          <w:sz w:val="24"/>
          <w:szCs w:val="24"/>
        </w:rPr>
        <w:t>4</w:t>
      </w:r>
      <w:r w:rsidRPr="002E19F8">
        <w:rPr>
          <w:b/>
          <w:bCs/>
          <w:sz w:val="24"/>
          <w:szCs w:val="24"/>
        </w:rPr>
        <w:t xml:space="preserve"> </w:t>
      </w:r>
    </w:p>
    <w:p w14:paraId="059C2755" w14:textId="22122CEA" w:rsidR="00D576B5" w:rsidRPr="00D576B5" w:rsidRDefault="00D576B5" w:rsidP="00D576B5">
      <w:pPr>
        <w:spacing w:after="0" w:line="240" w:lineRule="auto"/>
        <w:rPr>
          <w:sz w:val="24"/>
          <w:szCs w:val="24"/>
        </w:rPr>
      </w:pPr>
      <w:r w:rsidRPr="00D576B5">
        <w:rPr>
          <w:sz w:val="24"/>
          <w:szCs w:val="24"/>
        </w:rPr>
        <w:t>Data are current as of 07/17/2024 and are subject to change. Data Source: Massachusetts Department of Public Health/Bureau of Infectious Disease and Laboratory Sciences/Division of STD Prevention and STD-HIV Surveillance. </w:t>
      </w:r>
    </w:p>
    <w:p w14:paraId="529D9D4D" w14:textId="77777777" w:rsidR="00D576B5" w:rsidRPr="00D576B5" w:rsidRDefault="00D576B5" w:rsidP="00D576B5">
      <w:pPr>
        <w:spacing w:after="0" w:line="240" w:lineRule="auto"/>
        <w:rPr>
          <w:sz w:val="24"/>
          <w:szCs w:val="24"/>
        </w:rPr>
      </w:pPr>
      <w:r w:rsidRPr="00D576B5">
        <w:rPr>
          <w:sz w:val="24"/>
          <w:szCs w:val="24"/>
        </w:rPr>
        <w:t>1. Please consider the impact of the COVID-19 pandemic on infectious disease screening, treatment and surveillance in the interpretation of 2023 data.</w:t>
      </w:r>
    </w:p>
    <w:p w14:paraId="03A8805F" w14:textId="77777777" w:rsidR="00D576B5" w:rsidRPr="00D576B5" w:rsidRDefault="00D576B5" w:rsidP="00D576B5">
      <w:pPr>
        <w:spacing w:after="0" w:line="240" w:lineRule="auto"/>
        <w:rPr>
          <w:sz w:val="24"/>
          <w:szCs w:val="24"/>
        </w:rPr>
      </w:pPr>
      <w:r w:rsidRPr="00D576B5">
        <w:rPr>
          <w:sz w:val="24"/>
          <w:szCs w:val="24"/>
        </w:rPr>
        <w:t>2. HIV status is based on a full year match with HIV Surveillance data.</w:t>
      </w:r>
    </w:p>
    <w:p w14:paraId="7251777A" w14:textId="77777777" w:rsidR="00D576B5" w:rsidRPr="00D576B5" w:rsidRDefault="00D576B5" w:rsidP="00D576B5">
      <w:pPr>
        <w:spacing w:after="0" w:line="240" w:lineRule="auto"/>
        <w:rPr>
          <w:sz w:val="24"/>
          <w:szCs w:val="24"/>
        </w:rPr>
      </w:pPr>
      <w:r w:rsidRPr="00D576B5">
        <w:rPr>
          <w:sz w:val="24"/>
          <w:szCs w:val="24"/>
        </w:rPr>
        <w:t>3. Infectious syphilis is defined as primary, secondary and early latent stages of syphilis within one year of infection.</w:t>
      </w:r>
    </w:p>
    <w:p w14:paraId="3A6181A6" w14:textId="77777777" w:rsidR="00D576B5" w:rsidRPr="00D576B5" w:rsidRDefault="00D576B5" w:rsidP="00D576B5">
      <w:pPr>
        <w:spacing w:after="0" w:line="240" w:lineRule="auto"/>
        <w:rPr>
          <w:sz w:val="24"/>
          <w:szCs w:val="24"/>
        </w:rPr>
      </w:pPr>
      <w:r w:rsidRPr="00D576B5">
        <w:rPr>
          <w:sz w:val="24"/>
          <w:szCs w:val="24"/>
        </w:rPr>
        <w:t>4. The MSM (men who have sex with men) category includes MSMT,  MSMW, and MSMWT with “W” referring to women and “T” referring to individuals of transgender experience.</w:t>
      </w:r>
    </w:p>
    <w:p w14:paraId="33529722" w14:textId="3E92BD8D" w:rsidR="006D7AAE" w:rsidRPr="002E19F8" w:rsidRDefault="006D7AAE" w:rsidP="003461A4">
      <w:pPr>
        <w:spacing w:after="0" w:line="240" w:lineRule="auto"/>
        <w:rPr>
          <w:b/>
          <w:sz w:val="24"/>
          <w:szCs w:val="24"/>
        </w:rPr>
      </w:pPr>
    </w:p>
    <w:p w14:paraId="603D1A38" w14:textId="2BBFB548" w:rsidR="52C804C8" w:rsidRPr="002E19F8" w:rsidRDefault="52C804C8" w:rsidP="52C804C8">
      <w:pPr>
        <w:spacing w:after="0" w:line="240" w:lineRule="auto"/>
        <w:rPr>
          <w:b/>
          <w:bCs/>
          <w:sz w:val="24"/>
          <w:szCs w:val="24"/>
        </w:rPr>
      </w:pPr>
    </w:p>
    <w:p w14:paraId="10919F82" w14:textId="0AF764BE" w:rsidR="52C804C8" w:rsidRPr="002E19F8" w:rsidRDefault="52C804C8" w:rsidP="52C804C8">
      <w:pPr>
        <w:spacing w:after="0" w:line="240" w:lineRule="auto"/>
        <w:rPr>
          <w:b/>
          <w:bCs/>
          <w:sz w:val="24"/>
          <w:szCs w:val="24"/>
        </w:rPr>
      </w:pPr>
    </w:p>
    <w:p w14:paraId="2FEF1203" w14:textId="20B6876B" w:rsidR="52C804C8" w:rsidRPr="002E19F8" w:rsidRDefault="52C804C8" w:rsidP="6AFD1A91">
      <w:pPr>
        <w:spacing w:after="0" w:line="240" w:lineRule="auto"/>
        <w:rPr>
          <w:b/>
          <w:bCs/>
          <w:sz w:val="24"/>
          <w:szCs w:val="24"/>
        </w:rPr>
      </w:pPr>
    </w:p>
    <w:p w14:paraId="735FC0FA" w14:textId="302BA7EA" w:rsidR="006D7AAE" w:rsidRPr="003233F8" w:rsidRDefault="007C46F5" w:rsidP="00D40DF4">
      <w:pPr>
        <w:pStyle w:val="Heading1"/>
        <w:rPr>
          <w:sz w:val="26"/>
          <w:szCs w:val="26"/>
        </w:rPr>
      </w:pPr>
      <w:bookmarkStart w:id="47" w:name="_Toc184132257"/>
      <w:r w:rsidRPr="003233F8">
        <w:rPr>
          <w:sz w:val="26"/>
          <w:szCs w:val="26"/>
        </w:rPr>
        <w:t>Slide 4</w:t>
      </w:r>
      <w:r w:rsidR="00A94724">
        <w:rPr>
          <w:sz w:val="26"/>
          <w:szCs w:val="26"/>
        </w:rPr>
        <w:t>5</w:t>
      </w:r>
      <w:r w:rsidRPr="003233F8">
        <w:rPr>
          <w:sz w:val="26"/>
          <w:szCs w:val="26"/>
        </w:rPr>
        <w:t>: Comparison of Infectious Syphilis</w:t>
      </w:r>
      <w:r w:rsidRPr="003233F8">
        <w:rPr>
          <w:sz w:val="26"/>
          <w:szCs w:val="26"/>
          <w:vertAlign w:val="superscript"/>
        </w:rPr>
        <w:t>1</w:t>
      </w:r>
      <w:r w:rsidRPr="003233F8">
        <w:rPr>
          <w:sz w:val="26"/>
          <w:szCs w:val="26"/>
        </w:rPr>
        <w:t xml:space="preserve"> Cases by HIV</w:t>
      </w:r>
      <w:r w:rsidRPr="003233F8">
        <w:rPr>
          <w:sz w:val="26"/>
          <w:szCs w:val="26"/>
          <w:vertAlign w:val="superscript"/>
        </w:rPr>
        <w:t>2</w:t>
      </w:r>
      <w:r w:rsidRPr="003233F8">
        <w:rPr>
          <w:sz w:val="26"/>
          <w:szCs w:val="26"/>
        </w:rPr>
        <w:t xml:space="preserve"> Co-Infection </w:t>
      </w:r>
      <w:r w:rsidR="00D576B5">
        <w:rPr>
          <w:sz w:val="26"/>
          <w:szCs w:val="26"/>
        </w:rPr>
        <w:t xml:space="preserve">Status </w:t>
      </w:r>
      <w:r w:rsidRPr="003233F8">
        <w:rPr>
          <w:sz w:val="26"/>
          <w:szCs w:val="26"/>
        </w:rPr>
        <w:t>and Age</w:t>
      </w:r>
      <w:r w:rsidRPr="003233F8">
        <w:rPr>
          <w:sz w:val="26"/>
          <w:szCs w:val="26"/>
          <w:vertAlign w:val="superscript"/>
        </w:rPr>
        <w:t>3</w:t>
      </w:r>
      <w:r w:rsidRPr="003233F8">
        <w:rPr>
          <w:sz w:val="26"/>
          <w:szCs w:val="26"/>
        </w:rPr>
        <w:t>, Massachusetts, 202</w:t>
      </w:r>
      <w:r w:rsidR="00D576B5">
        <w:rPr>
          <w:sz w:val="26"/>
          <w:szCs w:val="26"/>
        </w:rPr>
        <w:t>3</w:t>
      </w:r>
      <w:r w:rsidRPr="003233F8">
        <w:rPr>
          <w:sz w:val="26"/>
          <w:szCs w:val="26"/>
          <w:vertAlign w:val="superscript"/>
        </w:rPr>
        <w:t>4</w:t>
      </w:r>
      <w:bookmarkEnd w:id="47"/>
    </w:p>
    <w:p w14:paraId="7E8B51B2" w14:textId="116BD801" w:rsidR="007C46F5" w:rsidRPr="002E19F8" w:rsidRDefault="008F01BB" w:rsidP="003461A4">
      <w:pPr>
        <w:spacing w:after="0" w:line="240" w:lineRule="auto"/>
        <w:rPr>
          <w:b/>
          <w:sz w:val="24"/>
          <w:szCs w:val="24"/>
        </w:rPr>
      </w:pPr>
      <w:r w:rsidRPr="008F01BB">
        <w:rPr>
          <w:b/>
          <w:noProof/>
          <w:sz w:val="24"/>
          <w:szCs w:val="24"/>
        </w:rPr>
        <w:drawing>
          <wp:inline distT="0" distB="0" distL="0" distR="0" wp14:anchorId="714A5548" wp14:editId="053D433B">
            <wp:extent cx="5943600" cy="2198370"/>
            <wp:effectExtent l="0" t="0" r="0" b="0"/>
            <wp:docPr id="10" name="Picture 10" descr="Graph depicts infectious syphilis case percentages for age categories by HIV co-infection status. The proportion of infectious syphilis cases with HIV co-infection were highest among those age 45 to 54 followed by those age 30 to 34. The proportion of cases with HIV co-infection were lowest among those 15 to 19 years followed by those age 20 to 24 years as well as those over the age of 65 years.">
              <a:extLst xmlns:a="http://schemas.openxmlformats.org/drawingml/2006/main">
                <a:ext uri="{FF2B5EF4-FFF2-40B4-BE49-F238E27FC236}">
                  <a16:creationId xmlns:a16="http://schemas.microsoft.com/office/drawing/2014/main" id="{F9A57383-EC9B-6E33-6AE1-94AB27269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 depicts infectious syphilis case percentages for age categories by HIV co-infection status. The proportion of infectious syphilis cases with HIV co-infection were highest among those age 45 to 54 followed by those age 30 to 34. The proportion of cases with HIV co-infection were lowest among those 15 to 19 years followed by those age 20 to 24 years as well as those over the age of 65 years.">
                      <a:extLst>
                        <a:ext uri="{FF2B5EF4-FFF2-40B4-BE49-F238E27FC236}">
                          <a16:creationId xmlns:a16="http://schemas.microsoft.com/office/drawing/2014/main" id="{F9A57383-EC9B-6E33-6AE1-94AB27269BCA}"/>
                        </a:ext>
                      </a:extLst>
                    </pic:cNvPr>
                    <pic:cNvPicPr>
                      <a:picLocks noChangeAspect="1"/>
                    </pic:cNvPicPr>
                  </pic:nvPicPr>
                  <pic:blipFill>
                    <a:blip r:embed="rId43"/>
                    <a:stretch>
                      <a:fillRect/>
                    </a:stretch>
                  </pic:blipFill>
                  <pic:spPr>
                    <a:xfrm>
                      <a:off x="0" y="0"/>
                      <a:ext cx="5943600" cy="2198370"/>
                    </a:xfrm>
                    <a:prstGeom prst="rect">
                      <a:avLst/>
                    </a:prstGeom>
                  </pic:spPr>
                </pic:pic>
              </a:graphicData>
            </a:graphic>
          </wp:inline>
        </w:drawing>
      </w:r>
    </w:p>
    <w:p w14:paraId="00231C8E" w14:textId="77777777" w:rsidR="006D7AAE" w:rsidRPr="002E19F8" w:rsidRDefault="006D7AAE" w:rsidP="003461A4">
      <w:pPr>
        <w:spacing w:after="0" w:line="240" w:lineRule="auto"/>
        <w:rPr>
          <w:b/>
          <w:sz w:val="24"/>
          <w:szCs w:val="24"/>
        </w:rPr>
      </w:pPr>
    </w:p>
    <w:p w14:paraId="0746D993" w14:textId="762F040A" w:rsidR="007C46F5" w:rsidRPr="002E19F8" w:rsidRDefault="007C46F5" w:rsidP="003461A4">
      <w:pPr>
        <w:spacing w:after="0" w:line="240" w:lineRule="auto"/>
        <w:rPr>
          <w:sz w:val="24"/>
          <w:szCs w:val="24"/>
        </w:rPr>
      </w:pPr>
      <w:r w:rsidRPr="002E19F8">
        <w:rPr>
          <w:b/>
          <w:sz w:val="24"/>
          <w:szCs w:val="24"/>
        </w:rPr>
        <w:t xml:space="preserve">Highlights: </w:t>
      </w:r>
      <w:r w:rsidR="008F01BB" w:rsidRPr="008F01BB">
        <w:rPr>
          <w:sz w:val="24"/>
          <w:szCs w:val="24"/>
        </w:rPr>
        <w:t>Graph depicts infectious syphilis case percentages for age categories by HIV co-infection status. The proportion of infectious syphilis cases with HIV co-infection were highest among those age 45 to 54 followed by those age 30 to 34. The proportion of cases with HIV co-infection were lowest among those 15 to 19 years followed by those age 20 to 24 years as well as those over the age of 65 years.</w:t>
      </w:r>
    </w:p>
    <w:p w14:paraId="3DEBEEF3" w14:textId="77777777" w:rsidR="007C46F5" w:rsidRPr="002E19F8" w:rsidRDefault="007C46F5" w:rsidP="003461A4">
      <w:pPr>
        <w:spacing w:after="0" w:line="240" w:lineRule="auto"/>
        <w:rPr>
          <w:sz w:val="24"/>
          <w:szCs w:val="24"/>
        </w:rPr>
      </w:pPr>
    </w:p>
    <w:p w14:paraId="2CF13763" w14:textId="391FAE57" w:rsidR="007C46F5" w:rsidRPr="002E19F8" w:rsidRDefault="007C46F5" w:rsidP="52C804C8">
      <w:pPr>
        <w:spacing w:after="0" w:line="240" w:lineRule="auto"/>
        <w:rPr>
          <w:b/>
          <w:bCs/>
          <w:sz w:val="24"/>
          <w:szCs w:val="24"/>
        </w:rPr>
      </w:pPr>
      <w:r w:rsidRPr="002E19F8">
        <w:rPr>
          <w:b/>
          <w:sz w:val="24"/>
          <w:szCs w:val="24"/>
        </w:rPr>
        <w:t>Footnotes</w:t>
      </w:r>
      <w:r w:rsidR="521845B7" w:rsidRPr="002E19F8">
        <w:rPr>
          <w:b/>
          <w:bCs/>
          <w:sz w:val="24"/>
          <w:szCs w:val="24"/>
        </w:rPr>
        <w:t xml:space="preserve"> for Slide </w:t>
      </w:r>
      <w:r w:rsidR="00A94724">
        <w:rPr>
          <w:b/>
          <w:bCs/>
          <w:sz w:val="24"/>
          <w:szCs w:val="24"/>
        </w:rPr>
        <w:t>45</w:t>
      </w:r>
    </w:p>
    <w:p w14:paraId="0E40BB56" w14:textId="77777777" w:rsidR="008F01BB" w:rsidRPr="008F01BB" w:rsidRDefault="008F01BB" w:rsidP="008F01BB">
      <w:pPr>
        <w:spacing w:after="0" w:line="240" w:lineRule="auto"/>
        <w:rPr>
          <w:sz w:val="24"/>
          <w:szCs w:val="24"/>
        </w:rPr>
      </w:pPr>
      <w:r w:rsidRPr="008F01BB">
        <w:rPr>
          <w:sz w:val="24"/>
          <w:szCs w:val="24"/>
        </w:rPr>
        <w:t>Data are current as of 07/17/2024 and are subject to change.</w:t>
      </w:r>
    </w:p>
    <w:p w14:paraId="645F9D9E" w14:textId="2E51D7DD" w:rsidR="008F01BB" w:rsidRPr="008F01BB" w:rsidRDefault="008F01BB" w:rsidP="008F01BB">
      <w:pPr>
        <w:spacing w:after="0" w:line="240" w:lineRule="auto"/>
        <w:rPr>
          <w:sz w:val="24"/>
          <w:szCs w:val="24"/>
        </w:rPr>
      </w:pPr>
      <w:r w:rsidRPr="008F01BB">
        <w:rPr>
          <w:sz w:val="24"/>
          <w:szCs w:val="24"/>
        </w:rPr>
        <w:t>Data Source: Massachusetts Department of Public Health/Bureau of Infectious Disease and Laboratory Sciences/Division of STD Prevention and STD-HIV Surveillance. </w:t>
      </w:r>
    </w:p>
    <w:p w14:paraId="432EAC43" w14:textId="77777777" w:rsidR="008F01BB" w:rsidRPr="008F01BB" w:rsidRDefault="008F01BB" w:rsidP="008F01BB">
      <w:pPr>
        <w:spacing w:after="0" w:line="240" w:lineRule="auto"/>
        <w:rPr>
          <w:sz w:val="24"/>
          <w:szCs w:val="24"/>
        </w:rPr>
      </w:pPr>
      <w:r w:rsidRPr="008F01BB">
        <w:rPr>
          <w:sz w:val="24"/>
          <w:szCs w:val="24"/>
        </w:rPr>
        <w:t>1. Infectious syphilis is defined as primary, secondary and early latent stages of syphilis within one year of infection.</w:t>
      </w:r>
    </w:p>
    <w:p w14:paraId="70935576" w14:textId="77777777" w:rsidR="008F01BB" w:rsidRPr="008F01BB" w:rsidRDefault="008F01BB" w:rsidP="008F01BB">
      <w:pPr>
        <w:spacing w:after="0" w:line="240" w:lineRule="auto"/>
        <w:rPr>
          <w:sz w:val="24"/>
          <w:szCs w:val="24"/>
        </w:rPr>
      </w:pPr>
      <w:r w:rsidRPr="008F01BB">
        <w:rPr>
          <w:sz w:val="24"/>
          <w:szCs w:val="24"/>
        </w:rPr>
        <w:t>2. HIV status is based on a full year match with HIV Surveillance data.</w:t>
      </w:r>
    </w:p>
    <w:p w14:paraId="5F4288E0" w14:textId="77777777" w:rsidR="008F01BB" w:rsidRPr="008F01BB" w:rsidRDefault="008F01BB" w:rsidP="008F01BB">
      <w:pPr>
        <w:spacing w:after="0" w:line="240" w:lineRule="auto"/>
        <w:rPr>
          <w:sz w:val="24"/>
          <w:szCs w:val="24"/>
        </w:rPr>
      </w:pPr>
      <w:r w:rsidRPr="008F01BB">
        <w:rPr>
          <w:sz w:val="24"/>
          <w:szCs w:val="24"/>
        </w:rPr>
        <w:t xml:space="preserve">3. Individuals younger than 15 years are not included within this slide due to low case counts. </w:t>
      </w:r>
    </w:p>
    <w:p w14:paraId="1689E0B4" w14:textId="77777777" w:rsidR="008F01BB" w:rsidRPr="008F01BB" w:rsidRDefault="008F01BB" w:rsidP="008F01BB">
      <w:pPr>
        <w:spacing w:after="0" w:line="240" w:lineRule="auto"/>
        <w:rPr>
          <w:sz w:val="24"/>
          <w:szCs w:val="24"/>
        </w:rPr>
      </w:pPr>
      <w:r w:rsidRPr="008F01BB">
        <w:rPr>
          <w:sz w:val="24"/>
          <w:szCs w:val="24"/>
        </w:rPr>
        <w:t>4. Please consider the impact of the COVID-19 pandemic on infectious disease screening, treatment and surveillance in the interpretation of 2023 data.</w:t>
      </w:r>
    </w:p>
    <w:p w14:paraId="2A95A77C" w14:textId="308B7C0A" w:rsidR="007C46F5" w:rsidRPr="002E19F8" w:rsidRDefault="007C46F5" w:rsidP="003461A4">
      <w:pPr>
        <w:spacing w:after="0" w:line="240" w:lineRule="auto"/>
        <w:rPr>
          <w:b/>
          <w:sz w:val="24"/>
          <w:szCs w:val="24"/>
        </w:rPr>
      </w:pPr>
    </w:p>
    <w:p w14:paraId="2A940311" w14:textId="6EDEA60E" w:rsidR="52C804C8" w:rsidRPr="002E19F8" w:rsidRDefault="52C804C8" w:rsidP="52C804C8">
      <w:pPr>
        <w:spacing w:after="0" w:line="240" w:lineRule="auto"/>
        <w:rPr>
          <w:b/>
          <w:bCs/>
          <w:sz w:val="24"/>
          <w:szCs w:val="24"/>
        </w:rPr>
      </w:pPr>
    </w:p>
    <w:p w14:paraId="176A8EE1" w14:textId="06D80942" w:rsidR="52C804C8" w:rsidRPr="002E19F8" w:rsidRDefault="52C804C8" w:rsidP="52C804C8">
      <w:pPr>
        <w:spacing w:after="0" w:line="240" w:lineRule="auto"/>
        <w:rPr>
          <w:b/>
          <w:bCs/>
          <w:sz w:val="24"/>
          <w:szCs w:val="24"/>
        </w:rPr>
      </w:pPr>
    </w:p>
    <w:p w14:paraId="23242D31" w14:textId="6A215C2B" w:rsidR="52C804C8" w:rsidRPr="002E19F8" w:rsidRDefault="52C804C8" w:rsidP="52C804C8">
      <w:pPr>
        <w:spacing w:after="0" w:line="240" w:lineRule="auto"/>
        <w:rPr>
          <w:b/>
          <w:bCs/>
          <w:sz w:val="24"/>
          <w:szCs w:val="24"/>
        </w:rPr>
      </w:pPr>
    </w:p>
    <w:p w14:paraId="01F7BA98" w14:textId="0013FEA3" w:rsidR="52C804C8" w:rsidRPr="002E19F8" w:rsidRDefault="52C804C8" w:rsidP="52C804C8">
      <w:pPr>
        <w:spacing w:after="0" w:line="240" w:lineRule="auto"/>
        <w:rPr>
          <w:b/>
          <w:bCs/>
          <w:sz w:val="24"/>
          <w:szCs w:val="24"/>
        </w:rPr>
      </w:pPr>
    </w:p>
    <w:p w14:paraId="21D8C8F7" w14:textId="69E81FAB" w:rsidR="52C804C8" w:rsidRPr="002E19F8" w:rsidRDefault="52C804C8" w:rsidP="52C804C8">
      <w:pPr>
        <w:spacing w:after="0" w:line="240" w:lineRule="auto"/>
        <w:rPr>
          <w:b/>
          <w:bCs/>
          <w:sz w:val="24"/>
          <w:szCs w:val="24"/>
        </w:rPr>
      </w:pPr>
    </w:p>
    <w:p w14:paraId="0D73F34A" w14:textId="037E1A4E" w:rsidR="52C804C8" w:rsidRPr="002E19F8" w:rsidRDefault="52C804C8" w:rsidP="52C804C8">
      <w:pPr>
        <w:spacing w:after="0" w:line="240" w:lineRule="auto"/>
        <w:rPr>
          <w:b/>
          <w:bCs/>
          <w:sz w:val="24"/>
          <w:szCs w:val="24"/>
        </w:rPr>
      </w:pPr>
    </w:p>
    <w:p w14:paraId="3862A0EC" w14:textId="08C31AB1" w:rsidR="52C804C8" w:rsidRPr="002E19F8" w:rsidRDefault="52C804C8" w:rsidP="52C804C8">
      <w:pPr>
        <w:spacing w:after="0" w:line="240" w:lineRule="auto"/>
        <w:rPr>
          <w:b/>
          <w:bCs/>
          <w:sz w:val="24"/>
          <w:szCs w:val="24"/>
        </w:rPr>
      </w:pPr>
    </w:p>
    <w:p w14:paraId="5D961AFE" w14:textId="14B9FB64" w:rsidR="52C804C8" w:rsidRPr="002E19F8" w:rsidRDefault="52C804C8" w:rsidP="52C804C8">
      <w:pPr>
        <w:spacing w:after="0" w:line="240" w:lineRule="auto"/>
        <w:rPr>
          <w:b/>
          <w:bCs/>
          <w:sz w:val="24"/>
          <w:szCs w:val="24"/>
        </w:rPr>
      </w:pPr>
    </w:p>
    <w:p w14:paraId="2C61CD83" w14:textId="044A96E2" w:rsidR="52C804C8" w:rsidRPr="002E19F8" w:rsidRDefault="52C804C8" w:rsidP="52C804C8">
      <w:pPr>
        <w:spacing w:after="0" w:line="240" w:lineRule="auto"/>
        <w:rPr>
          <w:b/>
          <w:bCs/>
          <w:sz w:val="24"/>
          <w:szCs w:val="24"/>
        </w:rPr>
      </w:pPr>
    </w:p>
    <w:p w14:paraId="1D3241AB" w14:textId="59CE38CC" w:rsidR="52C804C8" w:rsidRPr="002E19F8" w:rsidRDefault="52C804C8" w:rsidP="52C804C8">
      <w:pPr>
        <w:spacing w:after="0" w:line="240" w:lineRule="auto"/>
        <w:rPr>
          <w:b/>
          <w:bCs/>
          <w:sz w:val="24"/>
          <w:szCs w:val="24"/>
        </w:rPr>
      </w:pPr>
    </w:p>
    <w:p w14:paraId="0E95AB53" w14:textId="10EE35A2" w:rsidR="52C804C8" w:rsidRPr="002E19F8" w:rsidRDefault="52C804C8" w:rsidP="52C804C8">
      <w:pPr>
        <w:spacing w:after="0" w:line="240" w:lineRule="auto"/>
        <w:rPr>
          <w:b/>
          <w:bCs/>
          <w:sz w:val="24"/>
          <w:szCs w:val="24"/>
        </w:rPr>
      </w:pPr>
    </w:p>
    <w:p w14:paraId="231C9ABF" w14:textId="3C93A171" w:rsidR="006D7AAE" w:rsidRPr="003233F8" w:rsidRDefault="007C46F5" w:rsidP="00D40DF4">
      <w:pPr>
        <w:pStyle w:val="Heading1"/>
        <w:rPr>
          <w:sz w:val="26"/>
          <w:szCs w:val="26"/>
        </w:rPr>
      </w:pPr>
      <w:bookmarkStart w:id="48" w:name="_Toc184132258"/>
      <w:r w:rsidRPr="003233F8">
        <w:rPr>
          <w:sz w:val="26"/>
          <w:szCs w:val="26"/>
        </w:rPr>
        <w:t>Slide 4</w:t>
      </w:r>
      <w:r w:rsidR="00A94724">
        <w:rPr>
          <w:sz w:val="26"/>
          <w:szCs w:val="26"/>
        </w:rPr>
        <w:t>6</w:t>
      </w:r>
      <w:r w:rsidRPr="003233F8">
        <w:rPr>
          <w:sz w:val="26"/>
          <w:szCs w:val="26"/>
        </w:rPr>
        <w:t>: Comparison of Infectious Syphilis</w:t>
      </w:r>
      <w:r w:rsidRPr="003233F8">
        <w:rPr>
          <w:sz w:val="26"/>
          <w:szCs w:val="26"/>
          <w:vertAlign w:val="superscript"/>
        </w:rPr>
        <w:t>1</w:t>
      </w:r>
      <w:r w:rsidRPr="003233F8">
        <w:rPr>
          <w:sz w:val="26"/>
          <w:szCs w:val="26"/>
        </w:rPr>
        <w:t xml:space="preserve"> Cases by HIV</w:t>
      </w:r>
      <w:r w:rsidRPr="003233F8">
        <w:rPr>
          <w:sz w:val="26"/>
          <w:szCs w:val="26"/>
          <w:vertAlign w:val="superscript"/>
        </w:rPr>
        <w:t>2</w:t>
      </w:r>
      <w:r w:rsidRPr="003233F8">
        <w:rPr>
          <w:sz w:val="26"/>
          <w:szCs w:val="26"/>
        </w:rPr>
        <w:t xml:space="preserve"> Co-Infection and Race/Ethnicity, Massachusetts, 202</w:t>
      </w:r>
      <w:r w:rsidR="00A94724">
        <w:rPr>
          <w:sz w:val="26"/>
          <w:szCs w:val="26"/>
        </w:rPr>
        <w:t>3</w:t>
      </w:r>
      <w:r w:rsidRPr="003233F8">
        <w:rPr>
          <w:sz w:val="26"/>
          <w:szCs w:val="26"/>
          <w:vertAlign w:val="superscript"/>
        </w:rPr>
        <w:t>3</w:t>
      </w:r>
      <w:bookmarkEnd w:id="48"/>
    </w:p>
    <w:p w14:paraId="7D8A90B2" w14:textId="1580148B" w:rsidR="007C46F5" w:rsidRPr="002E19F8" w:rsidRDefault="002219EA" w:rsidP="003461A4">
      <w:pPr>
        <w:spacing w:after="0" w:line="240" w:lineRule="auto"/>
        <w:rPr>
          <w:sz w:val="24"/>
          <w:szCs w:val="24"/>
        </w:rPr>
      </w:pPr>
      <w:r w:rsidRPr="002219EA">
        <w:rPr>
          <w:noProof/>
          <w:sz w:val="24"/>
          <w:szCs w:val="24"/>
        </w:rPr>
        <w:drawing>
          <wp:inline distT="0" distB="0" distL="0" distR="0" wp14:anchorId="6DA0CEE4" wp14:editId="1E94C7EE">
            <wp:extent cx="5943600" cy="2264410"/>
            <wp:effectExtent l="0" t="0" r="0" b="2540"/>
            <wp:docPr id="8" name="Picture 8" descr="Graph depicts infectious syphilis case percentages for race/ethnicity categories by HIV co-infection status. The proportion of infectious syphilis cases with HIV co-infection is highest among Non-Hispanic Whites followed by Hispanic and then Non-Hispanic Black individuals.">
              <a:extLst xmlns:a="http://schemas.openxmlformats.org/drawingml/2006/main">
                <a:ext uri="{FF2B5EF4-FFF2-40B4-BE49-F238E27FC236}">
                  <a16:creationId xmlns:a16="http://schemas.microsoft.com/office/drawing/2014/main" id="{BA4B9C62-3A7F-6F06-8509-B593DB0E3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 depicts infectious syphilis case percentages for race/ethnicity categories by HIV co-infection status. The proportion of infectious syphilis cases with HIV co-infection is highest among Non-Hispanic Whites followed by Hispanic and then Non-Hispanic Black individuals.">
                      <a:extLst>
                        <a:ext uri="{FF2B5EF4-FFF2-40B4-BE49-F238E27FC236}">
                          <a16:creationId xmlns:a16="http://schemas.microsoft.com/office/drawing/2014/main" id="{BA4B9C62-3A7F-6F06-8509-B593DB0E30D5}"/>
                        </a:ext>
                      </a:extLst>
                    </pic:cNvPr>
                    <pic:cNvPicPr>
                      <a:picLocks noChangeAspect="1"/>
                    </pic:cNvPicPr>
                  </pic:nvPicPr>
                  <pic:blipFill>
                    <a:blip r:embed="rId44"/>
                    <a:stretch>
                      <a:fillRect/>
                    </a:stretch>
                  </pic:blipFill>
                  <pic:spPr>
                    <a:xfrm>
                      <a:off x="0" y="0"/>
                      <a:ext cx="5943600" cy="2264410"/>
                    </a:xfrm>
                    <a:prstGeom prst="rect">
                      <a:avLst/>
                    </a:prstGeom>
                  </pic:spPr>
                </pic:pic>
              </a:graphicData>
            </a:graphic>
          </wp:inline>
        </w:drawing>
      </w:r>
    </w:p>
    <w:p w14:paraId="4E076169" w14:textId="5E82D969" w:rsidR="007C46F5" w:rsidRPr="002E19F8" w:rsidRDefault="007C46F5" w:rsidP="52C804C8">
      <w:pPr>
        <w:spacing w:line="240" w:lineRule="auto"/>
        <w:rPr>
          <w:sz w:val="24"/>
          <w:szCs w:val="24"/>
        </w:rPr>
      </w:pPr>
      <w:r w:rsidRPr="002E19F8">
        <w:rPr>
          <w:b/>
          <w:sz w:val="24"/>
          <w:szCs w:val="24"/>
        </w:rPr>
        <w:t>Highlights:</w:t>
      </w:r>
      <w:r w:rsidRPr="002E19F8">
        <w:rPr>
          <w:sz w:val="24"/>
          <w:szCs w:val="24"/>
        </w:rPr>
        <w:t xml:space="preserve"> </w:t>
      </w:r>
      <w:r w:rsidR="002219EA" w:rsidRPr="002219EA">
        <w:rPr>
          <w:sz w:val="24"/>
          <w:szCs w:val="24"/>
        </w:rPr>
        <w:t>Graph depicts infectious syphilis case percentages for race/ethnicity categories by HIV co-infection status. The proportion of infectious syphilis cases with HIV co-infection is highest among Non-Hispanic Whites followed by Hispanic and then Non-Hispanic Black individuals.</w:t>
      </w:r>
    </w:p>
    <w:p w14:paraId="1CF2D8D5" w14:textId="65645F7C" w:rsidR="007C46F5" w:rsidRPr="002E19F8" w:rsidRDefault="007C46F5" w:rsidP="52C804C8">
      <w:pPr>
        <w:spacing w:after="0" w:line="240" w:lineRule="auto"/>
        <w:rPr>
          <w:sz w:val="24"/>
          <w:szCs w:val="24"/>
        </w:rPr>
      </w:pPr>
      <w:r w:rsidRPr="002E19F8">
        <w:rPr>
          <w:b/>
          <w:sz w:val="24"/>
          <w:szCs w:val="24"/>
        </w:rPr>
        <w:t>Footnotes</w:t>
      </w:r>
      <w:r w:rsidR="43274E8E" w:rsidRPr="002E19F8">
        <w:rPr>
          <w:b/>
          <w:bCs/>
          <w:sz w:val="24"/>
          <w:szCs w:val="24"/>
        </w:rPr>
        <w:t xml:space="preserve"> for Slide </w:t>
      </w:r>
      <w:r w:rsidR="00A94724">
        <w:rPr>
          <w:b/>
          <w:bCs/>
          <w:sz w:val="24"/>
          <w:szCs w:val="24"/>
        </w:rPr>
        <w:t>46</w:t>
      </w:r>
      <w:r w:rsidRPr="002E19F8">
        <w:rPr>
          <w:sz w:val="24"/>
          <w:szCs w:val="24"/>
        </w:rPr>
        <w:t xml:space="preserve"> </w:t>
      </w:r>
    </w:p>
    <w:p w14:paraId="2B50DF8F" w14:textId="77777777" w:rsidR="002219EA" w:rsidRPr="002219EA" w:rsidRDefault="002219EA" w:rsidP="002219EA">
      <w:pPr>
        <w:spacing w:after="0" w:line="240" w:lineRule="auto"/>
        <w:rPr>
          <w:sz w:val="24"/>
          <w:szCs w:val="24"/>
        </w:rPr>
      </w:pPr>
      <w:r w:rsidRPr="002219EA">
        <w:rPr>
          <w:sz w:val="24"/>
          <w:szCs w:val="24"/>
        </w:rPr>
        <w:t>Data are current as of 07/17/2024 and are subject to change.</w:t>
      </w:r>
    </w:p>
    <w:p w14:paraId="589D4265" w14:textId="14D2FE5F" w:rsidR="002219EA" w:rsidRPr="002219EA" w:rsidRDefault="002219EA" w:rsidP="002219EA">
      <w:pPr>
        <w:spacing w:after="0" w:line="240" w:lineRule="auto"/>
        <w:rPr>
          <w:sz w:val="24"/>
          <w:szCs w:val="24"/>
        </w:rPr>
      </w:pPr>
      <w:r w:rsidRPr="002219EA">
        <w:rPr>
          <w:sz w:val="24"/>
          <w:szCs w:val="24"/>
        </w:rPr>
        <w:t xml:space="preserve">Data Source: Massachusetts Department of Public Health/Bureau of Infectious Disease and Laboratory Sciences/Division of STD Prevention. </w:t>
      </w:r>
    </w:p>
    <w:p w14:paraId="2409078B" w14:textId="77777777" w:rsidR="002219EA" w:rsidRPr="002219EA" w:rsidRDefault="002219EA" w:rsidP="002219EA">
      <w:pPr>
        <w:spacing w:after="0" w:line="240" w:lineRule="auto"/>
        <w:rPr>
          <w:sz w:val="24"/>
          <w:szCs w:val="24"/>
        </w:rPr>
      </w:pPr>
      <w:r w:rsidRPr="002219EA">
        <w:rPr>
          <w:sz w:val="24"/>
          <w:szCs w:val="24"/>
        </w:rPr>
        <w:t>1. Infectious syphilis is defined as primary, secondary and early latent stages of syphilis within one year of infection.</w:t>
      </w:r>
    </w:p>
    <w:p w14:paraId="097313BA" w14:textId="77777777" w:rsidR="002219EA" w:rsidRPr="002219EA" w:rsidRDefault="002219EA" w:rsidP="002219EA">
      <w:pPr>
        <w:spacing w:after="0" w:line="240" w:lineRule="auto"/>
        <w:rPr>
          <w:sz w:val="24"/>
          <w:szCs w:val="24"/>
        </w:rPr>
      </w:pPr>
      <w:r w:rsidRPr="002219EA">
        <w:rPr>
          <w:sz w:val="24"/>
          <w:szCs w:val="24"/>
        </w:rPr>
        <w:t>2. HIV status is based on a full year match with HIV Surveillance data.</w:t>
      </w:r>
    </w:p>
    <w:p w14:paraId="00191178" w14:textId="1551BC2C" w:rsidR="52C804C8" w:rsidRPr="002E19F8" w:rsidRDefault="002219EA" w:rsidP="52C804C8">
      <w:pPr>
        <w:spacing w:after="0" w:line="240" w:lineRule="auto"/>
        <w:rPr>
          <w:sz w:val="24"/>
          <w:szCs w:val="24"/>
        </w:rPr>
      </w:pPr>
      <w:r w:rsidRPr="45B78671">
        <w:rPr>
          <w:sz w:val="24"/>
          <w:szCs w:val="24"/>
        </w:rPr>
        <w:t>3. Please consider the impact of the COVID-19 pandemic on infectious disease screening, treatment and surveillance in the interpretation of 2023 data</w:t>
      </w:r>
    </w:p>
    <w:p w14:paraId="4CA2EAD3" w14:textId="7536FDC5" w:rsidR="007C46F5" w:rsidRPr="003233F8" w:rsidRDefault="007C46F5" w:rsidP="00D40DF4">
      <w:pPr>
        <w:pStyle w:val="Heading1"/>
        <w:rPr>
          <w:sz w:val="26"/>
          <w:szCs w:val="26"/>
        </w:rPr>
      </w:pPr>
      <w:bookmarkStart w:id="49" w:name="_Toc184132259"/>
      <w:r w:rsidRPr="45B78671">
        <w:rPr>
          <w:sz w:val="26"/>
          <w:szCs w:val="26"/>
        </w:rPr>
        <w:t>Slide 4</w:t>
      </w:r>
      <w:r w:rsidR="002219EA" w:rsidRPr="45B78671">
        <w:rPr>
          <w:sz w:val="26"/>
          <w:szCs w:val="26"/>
        </w:rPr>
        <w:t>7</w:t>
      </w:r>
      <w:r w:rsidRPr="45B78671">
        <w:rPr>
          <w:sz w:val="26"/>
          <w:szCs w:val="26"/>
        </w:rPr>
        <w:t>: 202</w:t>
      </w:r>
      <w:r w:rsidR="1714C0E1" w:rsidRPr="45B78671">
        <w:rPr>
          <w:sz w:val="26"/>
          <w:szCs w:val="26"/>
        </w:rPr>
        <w:t>3</w:t>
      </w:r>
      <w:r w:rsidRPr="45B78671">
        <w:rPr>
          <w:sz w:val="26"/>
          <w:szCs w:val="26"/>
        </w:rPr>
        <w:t xml:space="preserve"> Summary Slide</w:t>
      </w:r>
      <w:bookmarkEnd w:id="49"/>
    </w:p>
    <w:p w14:paraId="443B71BB" w14:textId="54C9C6B8" w:rsidR="00017EF3" w:rsidRPr="00017EF3" w:rsidRDefault="00017EF3" w:rsidP="00017EF3">
      <w:pPr>
        <w:pStyle w:val="ListParagraph"/>
        <w:numPr>
          <w:ilvl w:val="0"/>
          <w:numId w:val="31"/>
        </w:numPr>
        <w:spacing w:after="0" w:line="240" w:lineRule="auto"/>
        <w:rPr>
          <w:sz w:val="24"/>
          <w:szCs w:val="24"/>
        </w:rPr>
      </w:pPr>
      <w:r w:rsidRPr="00017EF3">
        <w:rPr>
          <w:sz w:val="24"/>
          <w:szCs w:val="24"/>
        </w:rPr>
        <w:t>Chlamydia: The 2023 Massachusetts state rate was 411.2 per 100,000</w:t>
      </w:r>
    </w:p>
    <w:p w14:paraId="3786EFD8" w14:textId="77777777" w:rsidR="00017EF3" w:rsidRPr="00017EF3" w:rsidRDefault="00017EF3" w:rsidP="00017EF3">
      <w:pPr>
        <w:numPr>
          <w:ilvl w:val="1"/>
          <w:numId w:val="31"/>
        </w:numPr>
        <w:spacing w:after="0" w:line="240" w:lineRule="auto"/>
        <w:rPr>
          <w:sz w:val="24"/>
          <w:szCs w:val="24"/>
        </w:rPr>
      </w:pPr>
      <w:r w:rsidRPr="00017EF3">
        <w:rPr>
          <w:sz w:val="24"/>
          <w:szCs w:val="24"/>
        </w:rPr>
        <w:t>The highest rate of chlamydia cases was among females 20 to 24 years with a rate of 2,631.0 cases per 100,000 population</w:t>
      </w:r>
      <w:r w:rsidRPr="00017EF3">
        <w:rPr>
          <w:sz w:val="24"/>
          <w:szCs w:val="24"/>
          <w:vertAlign w:val="superscript"/>
        </w:rPr>
        <w:t>*</w:t>
      </w:r>
    </w:p>
    <w:p w14:paraId="4EAC144C" w14:textId="77777777" w:rsidR="00017EF3" w:rsidRPr="00017EF3" w:rsidRDefault="00017EF3" w:rsidP="00017EF3">
      <w:pPr>
        <w:numPr>
          <w:ilvl w:val="1"/>
          <w:numId w:val="31"/>
        </w:numPr>
        <w:spacing w:after="0" w:line="240" w:lineRule="auto"/>
        <w:rPr>
          <w:sz w:val="24"/>
          <w:szCs w:val="24"/>
        </w:rPr>
      </w:pPr>
      <w:r w:rsidRPr="00017EF3">
        <w:rPr>
          <w:sz w:val="24"/>
          <w:szCs w:val="24"/>
        </w:rPr>
        <w:t> Gonorrhea: The 2023 Massachusetts state rate was 139.1 per 100,000</w:t>
      </w:r>
    </w:p>
    <w:p w14:paraId="3A9397DA" w14:textId="77777777" w:rsidR="00017EF3" w:rsidRPr="00017EF3" w:rsidRDefault="00017EF3" w:rsidP="00017EF3">
      <w:pPr>
        <w:numPr>
          <w:ilvl w:val="1"/>
          <w:numId w:val="31"/>
        </w:numPr>
        <w:spacing w:after="0" w:line="240" w:lineRule="auto"/>
        <w:rPr>
          <w:sz w:val="24"/>
          <w:szCs w:val="24"/>
        </w:rPr>
      </w:pPr>
      <w:r w:rsidRPr="00017EF3">
        <w:rPr>
          <w:sz w:val="24"/>
          <w:szCs w:val="24"/>
        </w:rPr>
        <w:t>The highest rate of gonorrhea cases was among males 25 to 29 years with a rate of 543.0 cases per 100,000 population</w:t>
      </w:r>
    </w:p>
    <w:p w14:paraId="4B3563C8" w14:textId="77777777" w:rsidR="00017EF3" w:rsidRPr="00017EF3" w:rsidRDefault="00017EF3" w:rsidP="00017EF3">
      <w:pPr>
        <w:numPr>
          <w:ilvl w:val="1"/>
          <w:numId w:val="31"/>
        </w:numPr>
        <w:spacing w:after="0" w:line="240" w:lineRule="auto"/>
        <w:rPr>
          <w:sz w:val="24"/>
          <w:szCs w:val="24"/>
        </w:rPr>
      </w:pPr>
      <w:r w:rsidRPr="00017EF3">
        <w:rPr>
          <w:sz w:val="24"/>
          <w:szCs w:val="24"/>
        </w:rPr>
        <w:t> Infectious Syphilis: The 2023 Massachusetts state rate was 20.6 per 100,000</w:t>
      </w:r>
    </w:p>
    <w:p w14:paraId="5A41C479" w14:textId="77777777" w:rsidR="00017EF3" w:rsidRPr="00017EF3" w:rsidRDefault="00017EF3" w:rsidP="00017EF3">
      <w:pPr>
        <w:numPr>
          <w:ilvl w:val="1"/>
          <w:numId w:val="31"/>
        </w:numPr>
        <w:spacing w:after="0" w:line="240" w:lineRule="auto"/>
        <w:rPr>
          <w:sz w:val="24"/>
          <w:szCs w:val="24"/>
        </w:rPr>
      </w:pPr>
      <w:r w:rsidRPr="00017EF3">
        <w:rPr>
          <w:sz w:val="24"/>
          <w:szCs w:val="24"/>
        </w:rPr>
        <w:t>The highest rate of infectious syphilis cases was among males 30 to 34 years with a rate of 93.9 cases per 100,000 population</w:t>
      </w:r>
    </w:p>
    <w:p w14:paraId="281B477A" w14:textId="77777777" w:rsidR="00017EF3" w:rsidRPr="00017EF3" w:rsidRDefault="00017EF3" w:rsidP="00017EF3">
      <w:pPr>
        <w:numPr>
          <w:ilvl w:val="0"/>
          <w:numId w:val="32"/>
        </w:numPr>
        <w:spacing w:after="0" w:line="240" w:lineRule="auto"/>
        <w:rPr>
          <w:sz w:val="24"/>
          <w:szCs w:val="24"/>
        </w:rPr>
      </w:pPr>
      <w:r w:rsidRPr="00017EF3">
        <w:rPr>
          <w:sz w:val="24"/>
          <w:szCs w:val="24"/>
        </w:rPr>
        <w:t> Congenital syphilis cases maintained the increased number of reportable cases seen from 2019 to 2023</w:t>
      </w:r>
    </w:p>
    <w:p w14:paraId="3991CDEA" w14:textId="77777777" w:rsidR="00017EF3" w:rsidRPr="00017EF3" w:rsidRDefault="00017EF3" w:rsidP="00017EF3">
      <w:pPr>
        <w:numPr>
          <w:ilvl w:val="1"/>
          <w:numId w:val="32"/>
        </w:numPr>
        <w:spacing w:after="0" w:line="240" w:lineRule="auto"/>
        <w:rPr>
          <w:sz w:val="24"/>
          <w:szCs w:val="24"/>
        </w:rPr>
      </w:pPr>
      <w:r w:rsidRPr="00017EF3">
        <w:rPr>
          <w:sz w:val="24"/>
          <w:szCs w:val="24"/>
        </w:rPr>
        <w:t>The overall increases in infectious syphilis rates in persons of reproductive potential based on age and reported sex assigned at birth and the increase in reportable congenital syphilis cases led to a recommendation for universal third trimester screening in 2020, on top of routine screening for syphilis upon entry into prenatal care in Massachusetts.</w:t>
      </w:r>
    </w:p>
    <w:p w14:paraId="4537C35A" w14:textId="77777777" w:rsidR="007C46F5" w:rsidRPr="002E19F8" w:rsidRDefault="007C46F5" w:rsidP="007C46F5">
      <w:pPr>
        <w:spacing w:after="0" w:line="240" w:lineRule="auto"/>
        <w:ind w:left="1440"/>
        <w:rPr>
          <w:sz w:val="24"/>
          <w:szCs w:val="24"/>
        </w:rPr>
      </w:pPr>
    </w:p>
    <w:p w14:paraId="23B4A34B" w14:textId="175C9D4A" w:rsidR="007C46F5" w:rsidRPr="002E19F8" w:rsidRDefault="007C46F5" w:rsidP="52C804C8">
      <w:pPr>
        <w:spacing w:after="0" w:line="240" w:lineRule="auto"/>
        <w:rPr>
          <w:b/>
          <w:bCs/>
          <w:sz w:val="24"/>
          <w:szCs w:val="24"/>
        </w:rPr>
      </w:pPr>
      <w:r w:rsidRPr="002E19F8">
        <w:rPr>
          <w:b/>
          <w:sz w:val="24"/>
          <w:szCs w:val="24"/>
        </w:rPr>
        <w:t>Footnotes</w:t>
      </w:r>
      <w:r w:rsidR="3A878451" w:rsidRPr="002E19F8">
        <w:rPr>
          <w:b/>
          <w:bCs/>
          <w:sz w:val="24"/>
          <w:szCs w:val="24"/>
        </w:rPr>
        <w:t xml:space="preserve"> for Slide 4</w:t>
      </w:r>
      <w:r w:rsidR="00EF362D">
        <w:rPr>
          <w:b/>
          <w:bCs/>
          <w:sz w:val="24"/>
          <w:szCs w:val="24"/>
        </w:rPr>
        <w:t>7</w:t>
      </w:r>
    </w:p>
    <w:p w14:paraId="4C815B55" w14:textId="51620C62" w:rsidR="00E461A0" w:rsidRPr="00E461A0" w:rsidRDefault="00E461A0" w:rsidP="00E461A0">
      <w:pPr>
        <w:spacing w:after="0" w:line="240" w:lineRule="auto"/>
        <w:rPr>
          <w:sz w:val="24"/>
          <w:szCs w:val="24"/>
        </w:rPr>
      </w:pPr>
      <w:r w:rsidRPr="00E461A0">
        <w:rPr>
          <w:sz w:val="24"/>
          <w:szCs w:val="24"/>
        </w:rPr>
        <w:t xml:space="preserve">Data Source: Massachusetts Department of Public Health/Bureau of Infectious Disease and Laboratory Sciences/Division of STD Prevention. </w:t>
      </w:r>
    </w:p>
    <w:p w14:paraId="1999A68B" w14:textId="77777777" w:rsidR="00E461A0" w:rsidRPr="00E461A0" w:rsidRDefault="00E461A0" w:rsidP="00E461A0">
      <w:pPr>
        <w:spacing w:after="0" w:line="240" w:lineRule="auto"/>
        <w:rPr>
          <w:sz w:val="24"/>
          <w:szCs w:val="24"/>
        </w:rPr>
      </w:pPr>
      <w:r w:rsidRPr="00E461A0">
        <w:rPr>
          <w:sz w:val="24"/>
          <w:szCs w:val="24"/>
        </w:rPr>
        <w:t>Data are current as of 08/01/2024 and are subject to change</w:t>
      </w:r>
    </w:p>
    <w:p w14:paraId="3696F418" w14:textId="77777777" w:rsidR="00E461A0" w:rsidRPr="00E461A0" w:rsidRDefault="00E461A0" w:rsidP="00E461A0">
      <w:pPr>
        <w:spacing w:after="0" w:line="240" w:lineRule="auto"/>
        <w:rPr>
          <w:sz w:val="24"/>
          <w:szCs w:val="24"/>
        </w:rPr>
      </w:pPr>
      <w:r w:rsidRPr="00E461A0">
        <w:rPr>
          <w:sz w:val="24"/>
          <w:szCs w:val="24"/>
        </w:rPr>
        <w:t xml:space="preserve">* Population based on 2019 University of Massachusetts Donahue Institute Estimates </w:t>
      </w:r>
    </w:p>
    <w:p w14:paraId="2E8793D8" w14:textId="08CFC9BB" w:rsidR="007C46F5" w:rsidRPr="002E19F8" w:rsidRDefault="007C46F5" w:rsidP="003461A4">
      <w:pPr>
        <w:spacing w:after="0" w:line="240" w:lineRule="auto"/>
        <w:rPr>
          <w:sz w:val="24"/>
          <w:szCs w:val="24"/>
        </w:rPr>
      </w:pPr>
    </w:p>
    <w:p w14:paraId="04DEA550" w14:textId="019A99B2" w:rsidR="52C804C8" w:rsidRPr="002E19F8" w:rsidRDefault="52C804C8" w:rsidP="52C804C8">
      <w:pPr>
        <w:spacing w:after="0" w:line="240" w:lineRule="auto"/>
        <w:rPr>
          <w:sz w:val="24"/>
          <w:szCs w:val="24"/>
        </w:rPr>
      </w:pPr>
    </w:p>
    <w:p w14:paraId="332CECA3" w14:textId="4016C966" w:rsidR="52C804C8" w:rsidRPr="002E19F8" w:rsidRDefault="52C804C8" w:rsidP="52C804C8">
      <w:pPr>
        <w:spacing w:after="0" w:line="240" w:lineRule="auto"/>
        <w:rPr>
          <w:sz w:val="24"/>
          <w:szCs w:val="24"/>
        </w:rPr>
      </w:pPr>
    </w:p>
    <w:p w14:paraId="0CE84457" w14:textId="7DA1CE0A" w:rsidR="52C804C8" w:rsidRPr="002E19F8" w:rsidRDefault="52C804C8" w:rsidP="52C804C8">
      <w:pPr>
        <w:spacing w:after="0" w:line="240" w:lineRule="auto"/>
        <w:rPr>
          <w:sz w:val="24"/>
          <w:szCs w:val="24"/>
        </w:rPr>
      </w:pPr>
    </w:p>
    <w:p w14:paraId="6D7EF5B5" w14:textId="4CF9DEC1" w:rsidR="52C804C8" w:rsidRPr="002E19F8" w:rsidRDefault="52C804C8" w:rsidP="52C804C8">
      <w:pPr>
        <w:spacing w:after="0" w:line="240" w:lineRule="auto"/>
        <w:rPr>
          <w:sz w:val="24"/>
          <w:szCs w:val="24"/>
        </w:rPr>
      </w:pPr>
    </w:p>
    <w:p w14:paraId="5BEBC711" w14:textId="20EB3FCA" w:rsidR="52C804C8" w:rsidRPr="002E19F8" w:rsidRDefault="52C804C8" w:rsidP="52C804C8">
      <w:pPr>
        <w:spacing w:after="0" w:line="240" w:lineRule="auto"/>
        <w:rPr>
          <w:sz w:val="24"/>
          <w:szCs w:val="24"/>
        </w:rPr>
      </w:pPr>
    </w:p>
    <w:p w14:paraId="4CB7C00C" w14:textId="572D4807" w:rsidR="52C804C8" w:rsidRPr="002E19F8" w:rsidRDefault="52C804C8" w:rsidP="52C804C8">
      <w:pPr>
        <w:spacing w:after="0" w:line="240" w:lineRule="auto"/>
        <w:rPr>
          <w:sz w:val="24"/>
          <w:szCs w:val="24"/>
        </w:rPr>
      </w:pPr>
    </w:p>
    <w:p w14:paraId="53B41F05" w14:textId="7C9D29A9" w:rsidR="52C804C8" w:rsidRPr="002E19F8" w:rsidRDefault="52C804C8" w:rsidP="52C804C8">
      <w:pPr>
        <w:spacing w:after="0" w:line="240" w:lineRule="auto"/>
        <w:rPr>
          <w:sz w:val="24"/>
          <w:szCs w:val="24"/>
        </w:rPr>
      </w:pPr>
    </w:p>
    <w:p w14:paraId="28682C99" w14:textId="5BFF9D95" w:rsidR="52C804C8" w:rsidRPr="002E19F8" w:rsidRDefault="52C804C8" w:rsidP="52C804C8">
      <w:pPr>
        <w:spacing w:after="0" w:line="240" w:lineRule="auto"/>
        <w:rPr>
          <w:sz w:val="24"/>
          <w:szCs w:val="24"/>
        </w:rPr>
      </w:pPr>
    </w:p>
    <w:p w14:paraId="58C7D7E7" w14:textId="69B2D398" w:rsidR="52C804C8" w:rsidRPr="002E19F8" w:rsidRDefault="52C804C8" w:rsidP="52C804C8">
      <w:pPr>
        <w:spacing w:after="0" w:line="240" w:lineRule="auto"/>
        <w:rPr>
          <w:sz w:val="24"/>
          <w:szCs w:val="24"/>
        </w:rPr>
      </w:pPr>
    </w:p>
    <w:p w14:paraId="165AE341" w14:textId="4D0FF13E" w:rsidR="52C804C8" w:rsidRPr="002E19F8" w:rsidRDefault="52C804C8" w:rsidP="52C804C8">
      <w:pPr>
        <w:spacing w:after="0" w:line="240" w:lineRule="auto"/>
        <w:rPr>
          <w:sz w:val="24"/>
          <w:szCs w:val="24"/>
        </w:rPr>
      </w:pPr>
    </w:p>
    <w:p w14:paraId="3A815D9C" w14:textId="368F4A32" w:rsidR="52C804C8" w:rsidRPr="002E19F8" w:rsidRDefault="52C804C8" w:rsidP="52C804C8">
      <w:pPr>
        <w:spacing w:after="0" w:line="240" w:lineRule="auto"/>
        <w:rPr>
          <w:sz w:val="24"/>
          <w:szCs w:val="24"/>
        </w:rPr>
      </w:pPr>
    </w:p>
    <w:p w14:paraId="77EA12F2" w14:textId="50795785" w:rsidR="52C804C8" w:rsidRPr="002E19F8" w:rsidRDefault="52C804C8" w:rsidP="52C804C8">
      <w:pPr>
        <w:spacing w:after="0" w:line="240" w:lineRule="auto"/>
        <w:rPr>
          <w:sz w:val="24"/>
          <w:szCs w:val="24"/>
        </w:rPr>
      </w:pPr>
    </w:p>
    <w:p w14:paraId="006A7DDA" w14:textId="4A6404B7" w:rsidR="52C804C8" w:rsidRPr="002E19F8" w:rsidRDefault="52C804C8" w:rsidP="52C804C8">
      <w:pPr>
        <w:spacing w:after="0" w:line="240" w:lineRule="auto"/>
        <w:rPr>
          <w:sz w:val="24"/>
          <w:szCs w:val="24"/>
        </w:rPr>
      </w:pPr>
    </w:p>
    <w:p w14:paraId="517D27FA" w14:textId="47958AB6" w:rsidR="52C804C8" w:rsidRPr="002E19F8" w:rsidRDefault="52C804C8" w:rsidP="52C804C8">
      <w:pPr>
        <w:spacing w:after="0" w:line="240" w:lineRule="auto"/>
        <w:rPr>
          <w:sz w:val="24"/>
          <w:szCs w:val="24"/>
        </w:rPr>
      </w:pPr>
    </w:p>
    <w:p w14:paraId="68F4B968" w14:textId="1DE848F0" w:rsidR="52C804C8" w:rsidRPr="002E19F8" w:rsidRDefault="52C804C8" w:rsidP="52C804C8">
      <w:pPr>
        <w:spacing w:after="0" w:line="240" w:lineRule="auto"/>
        <w:rPr>
          <w:sz w:val="24"/>
          <w:szCs w:val="24"/>
        </w:rPr>
      </w:pPr>
    </w:p>
    <w:p w14:paraId="5122BE57" w14:textId="642FCDE0" w:rsidR="52C804C8" w:rsidRPr="002E19F8" w:rsidRDefault="52C804C8" w:rsidP="52C804C8">
      <w:pPr>
        <w:spacing w:after="0" w:line="240" w:lineRule="auto"/>
        <w:rPr>
          <w:sz w:val="24"/>
          <w:szCs w:val="24"/>
        </w:rPr>
      </w:pPr>
    </w:p>
    <w:p w14:paraId="76BBD6EE" w14:textId="446A7944" w:rsidR="52C804C8" w:rsidRPr="002E19F8" w:rsidRDefault="52C804C8" w:rsidP="52C804C8">
      <w:pPr>
        <w:spacing w:after="0" w:line="240" w:lineRule="auto"/>
        <w:rPr>
          <w:sz w:val="24"/>
          <w:szCs w:val="24"/>
        </w:rPr>
      </w:pPr>
    </w:p>
    <w:p w14:paraId="44C59944" w14:textId="18B64E2A" w:rsidR="52C804C8" w:rsidRPr="002E19F8" w:rsidRDefault="52C804C8" w:rsidP="52C804C8">
      <w:pPr>
        <w:spacing w:after="0" w:line="240" w:lineRule="auto"/>
        <w:rPr>
          <w:sz w:val="24"/>
          <w:szCs w:val="24"/>
        </w:rPr>
      </w:pPr>
    </w:p>
    <w:p w14:paraId="5D40E324" w14:textId="187A2486" w:rsidR="52C804C8" w:rsidRPr="002E19F8" w:rsidRDefault="52C804C8" w:rsidP="52C804C8">
      <w:pPr>
        <w:spacing w:after="0" w:line="240" w:lineRule="auto"/>
        <w:rPr>
          <w:sz w:val="24"/>
          <w:szCs w:val="24"/>
        </w:rPr>
      </w:pPr>
    </w:p>
    <w:p w14:paraId="5703B682" w14:textId="0B4471F8" w:rsidR="6AFD1A91" w:rsidRDefault="6AFD1A91" w:rsidP="6AFD1A91">
      <w:pPr>
        <w:spacing w:after="0" w:line="240" w:lineRule="auto"/>
        <w:rPr>
          <w:sz w:val="24"/>
          <w:szCs w:val="24"/>
        </w:rPr>
      </w:pPr>
    </w:p>
    <w:p w14:paraId="6F65502F" w14:textId="42BC54AC" w:rsidR="6AFD1A91" w:rsidRDefault="6AFD1A91" w:rsidP="6AFD1A91">
      <w:pPr>
        <w:spacing w:after="0" w:line="240" w:lineRule="auto"/>
        <w:rPr>
          <w:sz w:val="24"/>
          <w:szCs w:val="24"/>
        </w:rPr>
      </w:pPr>
    </w:p>
    <w:p w14:paraId="382A819E" w14:textId="3E054858" w:rsidR="6AFD1A91" w:rsidRDefault="6AFD1A91" w:rsidP="6AFD1A91">
      <w:pPr>
        <w:spacing w:after="0" w:line="240" w:lineRule="auto"/>
        <w:rPr>
          <w:sz w:val="24"/>
          <w:szCs w:val="24"/>
        </w:rPr>
      </w:pPr>
    </w:p>
    <w:p w14:paraId="239107DD" w14:textId="438B73BB" w:rsidR="6AFD1A91" w:rsidRDefault="6AFD1A91" w:rsidP="6AFD1A91">
      <w:pPr>
        <w:spacing w:after="0" w:line="240" w:lineRule="auto"/>
        <w:rPr>
          <w:sz w:val="24"/>
          <w:szCs w:val="24"/>
        </w:rPr>
      </w:pPr>
    </w:p>
    <w:p w14:paraId="5F74D183" w14:textId="72762568" w:rsidR="6AFD1A91" w:rsidRDefault="6AFD1A91" w:rsidP="6AFD1A91">
      <w:pPr>
        <w:spacing w:after="0" w:line="240" w:lineRule="auto"/>
        <w:rPr>
          <w:sz w:val="24"/>
          <w:szCs w:val="24"/>
        </w:rPr>
      </w:pPr>
    </w:p>
    <w:p w14:paraId="08EB6D4F" w14:textId="51BF7B80" w:rsidR="6AFD1A91" w:rsidRDefault="6AFD1A91" w:rsidP="6AFD1A91">
      <w:pPr>
        <w:spacing w:after="0" w:line="240" w:lineRule="auto"/>
        <w:rPr>
          <w:sz w:val="24"/>
          <w:szCs w:val="24"/>
        </w:rPr>
      </w:pPr>
    </w:p>
    <w:p w14:paraId="255B04D6" w14:textId="25DEC569" w:rsidR="6AFD1A91" w:rsidRDefault="6AFD1A91" w:rsidP="6AFD1A91">
      <w:pPr>
        <w:spacing w:after="0" w:line="240" w:lineRule="auto"/>
        <w:rPr>
          <w:sz w:val="24"/>
          <w:szCs w:val="24"/>
        </w:rPr>
      </w:pPr>
    </w:p>
    <w:p w14:paraId="51D4CEC9" w14:textId="3C0CEBB2" w:rsidR="6AFD1A91" w:rsidRDefault="6AFD1A91" w:rsidP="6AFD1A91">
      <w:pPr>
        <w:spacing w:after="0" w:line="240" w:lineRule="auto"/>
        <w:rPr>
          <w:sz w:val="24"/>
          <w:szCs w:val="24"/>
        </w:rPr>
      </w:pPr>
    </w:p>
    <w:p w14:paraId="2DA40F4E" w14:textId="6DF77E59" w:rsidR="6AFD1A91" w:rsidRDefault="6AFD1A91" w:rsidP="6AFD1A91">
      <w:pPr>
        <w:spacing w:after="0" w:line="240" w:lineRule="auto"/>
        <w:rPr>
          <w:sz w:val="24"/>
          <w:szCs w:val="24"/>
        </w:rPr>
      </w:pPr>
    </w:p>
    <w:p w14:paraId="68F7E501" w14:textId="6EE32B2A" w:rsidR="6AFD1A91" w:rsidRDefault="6AFD1A91" w:rsidP="6AFD1A91">
      <w:pPr>
        <w:spacing w:after="0" w:line="240" w:lineRule="auto"/>
        <w:rPr>
          <w:sz w:val="24"/>
          <w:szCs w:val="24"/>
        </w:rPr>
      </w:pPr>
    </w:p>
    <w:p w14:paraId="5F88B7AB" w14:textId="476E702C" w:rsidR="007C46F5" w:rsidRPr="003233F8" w:rsidRDefault="007C46F5" w:rsidP="00D40DF4">
      <w:pPr>
        <w:pStyle w:val="Heading1"/>
        <w:rPr>
          <w:sz w:val="26"/>
          <w:szCs w:val="26"/>
        </w:rPr>
      </w:pPr>
      <w:bookmarkStart w:id="50" w:name="_Toc184132260"/>
      <w:r w:rsidRPr="003233F8">
        <w:rPr>
          <w:sz w:val="26"/>
          <w:szCs w:val="26"/>
        </w:rPr>
        <w:t>Slide 4</w:t>
      </w:r>
      <w:r w:rsidR="00E461A0">
        <w:rPr>
          <w:sz w:val="26"/>
          <w:szCs w:val="26"/>
        </w:rPr>
        <w:t>8</w:t>
      </w:r>
      <w:r w:rsidRPr="003233F8">
        <w:rPr>
          <w:sz w:val="26"/>
          <w:szCs w:val="26"/>
        </w:rPr>
        <w:t>: Technical Data Notes</w:t>
      </w:r>
      <w:bookmarkEnd w:id="50"/>
    </w:p>
    <w:p w14:paraId="51FEF96D" w14:textId="77777777" w:rsidR="007C46F5" w:rsidRPr="002E19F8" w:rsidRDefault="007C46F5" w:rsidP="003461A4">
      <w:pPr>
        <w:spacing w:after="0" w:line="240" w:lineRule="auto"/>
        <w:rPr>
          <w:sz w:val="24"/>
          <w:szCs w:val="24"/>
        </w:rPr>
      </w:pPr>
    </w:p>
    <w:p w14:paraId="14170696" w14:textId="77777777" w:rsidR="00E461A0" w:rsidRPr="00E461A0" w:rsidRDefault="00E461A0" w:rsidP="00E461A0">
      <w:pPr>
        <w:numPr>
          <w:ilvl w:val="0"/>
          <w:numId w:val="33"/>
        </w:numPr>
        <w:spacing w:after="0" w:line="240" w:lineRule="auto"/>
        <w:rPr>
          <w:sz w:val="24"/>
          <w:szCs w:val="24"/>
        </w:rPr>
      </w:pPr>
      <w:r w:rsidRPr="00E461A0">
        <w:rPr>
          <w:sz w:val="24"/>
          <w:szCs w:val="24"/>
        </w:rPr>
        <w:t xml:space="preserve">STI and HIV specific laboratory and case management information are reported directly to the Department of Public Health and maintained in the Massachusetts integrated disease surveillance and case management system, MAVEN </w:t>
      </w:r>
    </w:p>
    <w:p w14:paraId="52646C60" w14:textId="77777777" w:rsidR="00E461A0" w:rsidRPr="00E461A0" w:rsidRDefault="00E461A0" w:rsidP="00E461A0">
      <w:pPr>
        <w:numPr>
          <w:ilvl w:val="1"/>
          <w:numId w:val="34"/>
        </w:numPr>
        <w:spacing w:after="0" w:line="240" w:lineRule="auto"/>
        <w:rPr>
          <w:sz w:val="24"/>
          <w:szCs w:val="24"/>
        </w:rPr>
      </w:pPr>
      <w:r w:rsidRPr="00E461A0">
        <w:rPr>
          <w:sz w:val="24"/>
          <w:szCs w:val="24"/>
        </w:rPr>
        <w:t>The majority (&gt;90%) of laboratory test results are reported via electronic laboratory reporting</w:t>
      </w:r>
    </w:p>
    <w:p w14:paraId="719E8E71" w14:textId="77777777" w:rsidR="00E461A0" w:rsidRPr="00E461A0" w:rsidRDefault="00E461A0" w:rsidP="00E461A0">
      <w:pPr>
        <w:numPr>
          <w:ilvl w:val="1"/>
          <w:numId w:val="34"/>
        </w:numPr>
        <w:spacing w:after="0" w:line="240" w:lineRule="auto"/>
        <w:rPr>
          <w:sz w:val="24"/>
          <w:szCs w:val="24"/>
        </w:rPr>
      </w:pPr>
      <w:r w:rsidRPr="00E461A0">
        <w:rPr>
          <w:sz w:val="24"/>
          <w:szCs w:val="24"/>
        </w:rPr>
        <w:t>Case management information is reported via electronic medical record feeds, case reporting forms and collected by epidemiologists</w:t>
      </w:r>
    </w:p>
    <w:p w14:paraId="6ACB70A5" w14:textId="77777777" w:rsidR="00E461A0" w:rsidRPr="00E461A0" w:rsidRDefault="00E461A0" w:rsidP="00E461A0">
      <w:pPr>
        <w:numPr>
          <w:ilvl w:val="1"/>
          <w:numId w:val="34"/>
        </w:numPr>
        <w:spacing w:after="0" w:line="240" w:lineRule="auto"/>
        <w:rPr>
          <w:sz w:val="24"/>
          <w:szCs w:val="24"/>
        </w:rPr>
      </w:pPr>
      <w:r w:rsidRPr="00E461A0">
        <w:rPr>
          <w:sz w:val="24"/>
          <w:szCs w:val="24"/>
        </w:rPr>
        <w:t xml:space="preserve">Data are routinely reviewed, cleaned, and analyzed by surveillance epidemiologists </w:t>
      </w:r>
    </w:p>
    <w:p w14:paraId="19AD63DA" w14:textId="77777777" w:rsidR="00E461A0" w:rsidRPr="00E461A0" w:rsidRDefault="00E461A0" w:rsidP="00E461A0">
      <w:pPr>
        <w:numPr>
          <w:ilvl w:val="1"/>
          <w:numId w:val="34"/>
        </w:numPr>
        <w:spacing w:after="0" w:line="240" w:lineRule="auto"/>
        <w:rPr>
          <w:sz w:val="24"/>
          <w:szCs w:val="24"/>
        </w:rPr>
      </w:pPr>
      <w:r w:rsidRPr="00E461A0">
        <w:rPr>
          <w:sz w:val="24"/>
          <w:szCs w:val="24"/>
        </w:rPr>
        <w:t>Routine reports are shared with internal and external stakeholders</w:t>
      </w:r>
    </w:p>
    <w:p w14:paraId="6B2395AF" w14:textId="02E3AE8A" w:rsidR="52C804C8" w:rsidRPr="002E19F8" w:rsidRDefault="00E461A0" w:rsidP="45B78671">
      <w:pPr>
        <w:numPr>
          <w:ilvl w:val="1"/>
          <w:numId w:val="34"/>
        </w:numPr>
        <w:spacing w:after="0" w:line="240" w:lineRule="auto"/>
        <w:rPr>
          <w:sz w:val="24"/>
          <w:szCs w:val="24"/>
        </w:rPr>
      </w:pPr>
      <w:r w:rsidRPr="45B78671">
        <w:rPr>
          <w:sz w:val="24"/>
          <w:szCs w:val="24"/>
        </w:rPr>
        <w:t>All data are collected and maintained according to strict confidentiality and security requirements</w:t>
      </w:r>
    </w:p>
    <w:p w14:paraId="243D9ADE" w14:textId="578355E7" w:rsidR="52C804C8" w:rsidRPr="002E19F8" w:rsidRDefault="52C804C8" w:rsidP="52C804C8">
      <w:pPr>
        <w:spacing w:after="0" w:line="240" w:lineRule="auto"/>
        <w:rPr>
          <w:sz w:val="24"/>
          <w:szCs w:val="24"/>
        </w:rPr>
      </w:pPr>
    </w:p>
    <w:p w14:paraId="2DF6E6DB" w14:textId="4FB12E32" w:rsidR="52C804C8" w:rsidRPr="002E19F8" w:rsidRDefault="52C804C8" w:rsidP="52C804C8">
      <w:pPr>
        <w:spacing w:after="0" w:line="240" w:lineRule="auto"/>
        <w:rPr>
          <w:sz w:val="24"/>
          <w:szCs w:val="24"/>
        </w:rPr>
      </w:pPr>
    </w:p>
    <w:p w14:paraId="42311823" w14:textId="64304708" w:rsidR="00654303" w:rsidRPr="002E19F8" w:rsidRDefault="00654303" w:rsidP="003233F8">
      <w:r w:rsidRPr="002E19F8">
        <w:t>Slide 4</w:t>
      </w:r>
      <w:r w:rsidR="00E461A0">
        <w:t>9</w:t>
      </w:r>
      <w:r w:rsidRPr="002E19F8">
        <w:t>: Technical Data Notes (Continued)</w:t>
      </w:r>
    </w:p>
    <w:p w14:paraId="6806E700" w14:textId="77777777" w:rsidR="00F414E3" w:rsidRPr="00F414E3" w:rsidRDefault="00F414E3" w:rsidP="00F414E3">
      <w:pPr>
        <w:numPr>
          <w:ilvl w:val="0"/>
          <w:numId w:val="35"/>
        </w:numPr>
        <w:spacing w:after="0" w:line="240" w:lineRule="auto"/>
        <w:rPr>
          <w:sz w:val="24"/>
          <w:szCs w:val="24"/>
        </w:rPr>
      </w:pPr>
      <w:r w:rsidRPr="00F414E3">
        <w:rPr>
          <w:sz w:val="24"/>
          <w:szCs w:val="24"/>
        </w:rPr>
        <w:t>Case classifications (confirmed, probable or suspect) are based on CSTE/CDC case definitions for nationally notifiable infectious diseases.</w:t>
      </w:r>
    </w:p>
    <w:p w14:paraId="6BD8D1CD" w14:textId="77777777" w:rsidR="00F414E3" w:rsidRPr="00F414E3" w:rsidRDefault="00F414E3" w:rsidP="00F414E3">
      <w:pPr>
        <w:numPr>
          <w:ilvl w:val="1"/>
          <w:numId w:val="35"/>
        </w:numPr>
        <w:spacing w:after="0" w:line="240" w:lineRule="auto"/>
        <w:rPr>
          <w:sz w:val="24"/>
          <w:szCs w:val="24"/>
        </w:rPr>
      </w:pPr>
      <w:r w:rsidRPr="00F414E3">
        <w:rPr>
          <w:sz w:val="24"/>
          <w:szCs w:val="24"/>
        </w:rPr>
        <w:t xml:space="preserve">For full STI case classifications, see: </w:t>
      </w:r>
      <w:hyperlink r:id="rId45" w:history="1">
        <w:r w:rsidRPr="00F414E3">
          <w:rPr>
            <w:rStyle w:val="Hyperlink"/>
            <w:sz w:val="24"/>
            <w:szCs w:val="24"/>
          </w:rPr>
          <w:t>https://www.cdc.gov/std/statistics/2019/case-definitions.htm</w:t>
        </w:r>
      </w:hyperlink>
    </w:p>
    <w:p w14:paraId="77F58767" w14:textId="77777777" w:rsidR="00F414E3" w:rsidRPr="00F414E3" w:rsidRDefault="00F414E3" w:rsidP="00F414E3">
      <w:pPr>
        <w:numPr>
          <w:ilvl w:val="1"/>
          <w:numId w:val="35"/>
        </w:numPr>
        <w:spacing w:after="0" w:line="240" w:lineRule="auto"/>
        <w:rPr>
          <w:sz w:val="24"/>
          <w:szCs w:val="24"/>
        </w:rPr>
      </w:pPr>
      <w:r w:rsidRPr="00F414E3">
        <w:rPr>
          <w:sz w:val="24"/>
          <w:szCs w:val="24"/>
        </w:rPr>
        <w:t>All data in this report are accurate as of their analysis date and are subject to change. Common reasons for data changes include amendments to reporting and routine data cleaning.</w:t>
      </w:r>
    </w:p>
    <w:p w14:paraId="215863D8" w14:textId="77777777" w:rsidR="00F414E3" w:rsidRPr="00F414E3" w:rsidRDefault="00F414E3" w:rsidP="00F414E3">
      <w:pPr>
        <w:numPr>
          <w:ilvl w:val="0"/>
          <w:numId w:val="35"/>
        </w:numPr>
        <w:spacing w:after="0" w:line="240" w:lineRule="auto"/>
        <w:rPr>
          <w:sz w:val="24"/>
          <w:szCs w:val="24"/>
        </w:rPr>
      </w:pPr>
      <w:r w:rsidRPr="00F414E3">
        <w:rPr>
          <w:sz w:val="24"/>
          <w:szCs w:val="24"/>
        </w:rPr>
        <w:t>Transgender individuals are included in current gender identity categories, except where noted due to incomplete information on current gender identity. Nonbinary gender identity is captured but suppressed according to Massachusetts privacy and confidentiality rules. Collection of transgender data categories began in mid-2014.</w:t>
      </w:r>
    </w:p>
    <w:p w14:paraId="56FB1ED3" w14:textId="77777777" w:rsidR="00F414E3" w:rsidRPr="00F414E3" w:rsidRDefault="00F414E3" w:rsidP="00F414E3">
      <w:pPr>
        <w:numPr>
          <w:ilvl w:val="0"/>
          <w:numId w:val="35"/>
        </w:numPr>
        <w:spacing w:after="0" w:line="240" w:lineRule="auto"/>
        <w:rPr>
          <w:sz w:val="24"/>
          <w:szCs w:val="24"/>
        </w:rPr>
      </w:pPr>
      <w:r w:rsidRPr="45B78671">
        <w:rPr>
          <w:sz w:val="24"/>
          <w:szCs w:val="24"/>
        </w:rPr>
        <w:t>Gender of sex partners categories for this report include: MSM = men who have sex with men, MSW = men who have sex with women, WSM = women who have sex with men, Other = include transgender sexual risk categories and females who have sex with females or both male and female partners, and Unknown are cases reported without sexual risk. These categories are based on patient and provider report and do not necessarily reflect an individual’s sexual identity in relation to gender (i.e. gay, bisexual, heterosexual, etc).</w:t>
      </w:r>
    </w:p>
    <w:p w14:paraId="56D075F4" w14:textId="7033F1BF" w:rsidR="52C804C8" w:rsidRPr="002E19F8" w:rsidRDefault="52C804C8" w:rsidP="52C804C8">
      <w:pPr>
        <w:spacing w:after="0" w:line="240" w:lineRule="auto"/>
        <w:rPr>
          <w:sz w:val="24"/>
          <w:szCs w:val="24"/>
        </w:rPr>
      </w:pPr>
    </w:p>
    <w:p w14:paraId="2ABA4BBF" w14:textId="10140D93" w:rsidR="52C804C8" w:rsidRPr="002E19F8" w:rsidRDefault="52C804C8" w:rsidP="52C804C8">
      <w:pPr>
        <w:spacing w:after="0" w:line="240" w:lineRule="auto"/>
        <w:rPr>
          <w:sz w:val="24"/>
          <w:szCs w:val="24"/>
        </w:rPr>
      </w:pPr>
    </w:p>
    <w:p w14:paraId="37FA9CEC" w14:textId="577C34E2" w:rsidR="52C804C8" w:rsidRPr="002E19F8" w:rsidRDefault="52C804C8" w:rsidP="52C804C8">
      <w:pPr>
        <w:spacing w:after="0" w:line="240" w:lineRule="auto"/>
        <w:rPr>
          <w:sz w:val="24"/>
          <w:szCs w:val="24"/>
        </w:rPr>
      </w:pPr>
    </w:p>
    <w:p w14:paraId="38015C6F" w14:textId="22E115CF" w:rsidR="52C804C8" w:rsidRPr="002E19F8" w:rsidRDefault="52C804C8" w:rsidP="52C804C8">
      <w:pPr>
        <w:spacing w:after="0" w:line="240" w:lineRule="auto"/>
        <w:rPr>
          <w:sz w:val="24"/>
          <w:szCs w:val="24"/>
        </w:rPr>
      </w:pPr>
    </w:p>
    <w:p w14:paraId="1CE2F4B3" w14:textId="115427A3" w:rsidR="52C804C8" w:rsidRPr="002E19F8" w:rsidRDefault="52C804C8" w:rsidP="52C804C8">
      <w:pPr>
        <w:spacing w:after="0" w:line="240" w:lineRule="auto"/>
        <w:rPr>
          <w:sz w:val="24"/>
          <w:szCs w:val="24"/>
        </w:rPr>
      </w:pPr>
    </w:p>
    <w:p w14:paraId="0636307C" w14:textId="002E2119" w:rsidR="52C804C8" w:rsidRPr="002E19F8" w:rsidRDefault="52C804C8" w:rsidP="52C804C8">
      <w:pPr>
        <w:spacing w:after="0" w:line="240" w:lineRule="auto"/>
        <w:rPr>
          <w:sz w:val="24"/>
          <w:szCs w:val="24"/>
        </w:rPr>
      </w:pPr>
    </w:p>
    <w:p w14:paraId="2E20F7BE" w14:textId="5F9E5CB6" w:rsidR="52C804C8" w:rsidRPr="002E19F8" w:rsidRDefault="52C804C8" w:rsidP="6AFD1A91">
      <w:pPr>
        <w:spacing w:after="0" w:line="240" w:lineRule="auto"/>
        <w:rPr>
          <w:sz w:val="24"/>
          <w:szCs w:val="24"/>
        </w:rPr>
      </w:pPr>
    </w:p>
    <w:p w14:paraId="4AE57FBD" w14:textId="08488745" w:rsidR="00654303" w:rsidRPr="003233F8" w:rsidRDefault="00654303" w:rsidP="00D40DF4">
      <w:pPr>
        <w:pStyle w:val="Heading1"/>
        <w:rPr>
          <w:sz w:val="26"/>
          <w:szCs w:val="26"/>
        </w:rPr>
      </w:pPr>
      <w:bookmarkStart w:id="51" w:name="_Toc184132261"/>
      <w:r w:rsidRPr="003233F8">
        <w:rPr>
          <w:sz w:val="26"/>
          <w:szCs w:val="26"/>
        </w:rPr>
        <w:t xml:space="preserve">Slide </w:t>
      </w:r>
      <w:r w:rsidR="00F414E3">
        <w:rPr>
          <w:sz w:val="26"/>
          <w:szCs w:val="26"/>
        </w:rPr>
        <w:t>50</w:t>
      </w:r>
      <w:r w:rsidRPr="003233F8">
        <w:rPr>
          <w:sz w:val="26"/>
          <w:szCs w:val="26"/>
        </w:rPr>
        <w:t>: Coronavirus 2019 (COVID-19): Impact of Other Reportable Infections</w:t>
      </w:r>
      <w:bookmarkEnd w:id="51"/>
      <w:r w:rsidRPr="003233F8">
        <w:rPr>
          <w:sz w:val="26"/>
          <w:szCs w:val="26"/>
        </w:rPr>
        <w:t>  </w:t>
      </w:r>
    </w:p>
    <w:p w14:paraId="2C6187F2" w14:textId="0A4A034C" w:rsidR="00F414E3" w:rsidRPr="00F414E3" w:rsidRDefault="00F414E3" w:rsidP="00F414E3">
      <w:pPr>
        <w:spacing w:after="0" w:line="240" w:lineRule="auto"/>
        <w:rPr>
          <w:sz w:val="24"/>
          <w:szCs w:val="24"/>
        </w:rPr>
      </w:pPr>
      <w:r w:rsidRPr="45B78671">
        <w:rPr>
          <w:sz w:val="24"/>
          <w:szCs w:val="24"/>
        </w:rPr>
        <w:t>When reviewing 2020-202</w:t>
      </w:r>
      <w:r w:rsidR="50476855" w:rsidRPr="45B78671">
        <w:rPr>
          <w:sz w:val="24"/>
          <w:szCs w:val="24"/>
        </w:rPr>
        <w:t>3</w:t>
      </w:r>
      <w:r w:rsidRPr="45B78671">
        <w:rPr>
          <w:sz w:val="24"/>
          <w:szCs w:val="24"/>
        </w:rPr>
        <w:t xml:space="preserve"> data for Massachusetts, please note the impact of the coronavirus 2019 (COVID-19) pandemic on infectious disease screening, treatment, and surveillance. Nationally, CDC observed a sharp decline in reported STD cases from March-April 2020, compared to March-April 2019. </w:t>
      </w:r>
    </w:p>
    <w:p w14:paraId="34A91BB7" w14:textId="77777777" w:rsidR="00F414E3" w:rsidRPr="00F414E3" w:rsidRDefault="00F414E3" w:rsidP="00F414E3">
      <w:pPr>
        <w:spacing w:after="0" w:line="240" w:lineRule="auto"/>
        <w:rPr>
          <w:sz w:val="24"/>
          <w:szCs w:val="24"/>
        </w:rPr>
      </w:pPr>
      <w:r w:rsidRPr="00F414E3">
        <w:rPr>
          <w:sz w:val="24"/>
          <w:szCs w:val="24"/>
        </w:rPr>
        <w:t>Three factors were cited as likely contributing to the initial decrease in reported cases: </w:t>
      </w:r>
    </w:p>
    <w:p w14:paraId="56991C49" w14:textId="77777777" w:rsidR="00F414E3" w:rsidRPr="00F414E3" w:rsidRDefault="00F414E3" w:rsidP="00F414E3">
      <w:pPr>
        <w:numPr>
          <w:ilvl w:val="1"/>
          <w:numId w:val="36"/>
        </w:numPr>
        <w:spacing w:after="0" w:line="240" w:lineRule="auto"/>
        <w:rPr>
          <w:sz w:val="24"/>
          <w:szCs w:val="24"/>
        </w:rPr>
      </w:pPr>
      <w:r w:rsidRPr="00F414E3">
        <w:rPr>
          <w:sz w:val="24"/>
          <w:szCs w:val="24"/>
        </w:rPr>
        <w:t>Reduced screening – many health care clinics limited in-person visits to symptomatic cases or closed </w:t>
      </w:r>
    </w:p>
    <w:p w14:paraId="4ADF106F" w14:textId="77777777" w:rsidR="00F414E3" w:rsidRPr="00F414E3" w:rsidRDefault="00F414E3" w:rsidP="00F414E3">
      <w:pPr>
        <w:numPr>
          <w:ilvl w:val="1"/>
          <w:numId w:val="36"/>
        </w:numPr>
        <w:spacing w:after="0" w:line="240" w:lineRule="auto"/>
        <w:rPr>
          <w:sz w:val="24"/>
          <w:szCs w:val="24"/>
        </w:rPr>
      </w:pPr>
      <w:r w:rsidRPr="00F414E3">
        <w:rPr>
          <w:sz w:val="24"/>
          <w:szCs w:val="24"/>
        </w:rPr>
        <w:t>Limited resources – many state and local health department STD staff were redirected from routine STD responsibilities to COVID-19 activities, which affected STD tracking capacity and reporting</w:t>
      </w:r>
    </w:p>
    <w:p w14:paraId="6A864C16" w14:textId="77777777" w:rsidR="00F414E3" w:rsidRPr="00F414E3" w:rsidRDefault="00F414E3" w:rsidP="00F414E3">
      <w:pPr>
        <w:numPr>
          <w:ilvl w:val="1"/>
          <w:numId w:val="36"/>
        </w:numPr>
        <w:spacing w:after="0" w:line="240" w:lineRule="auto"/>
        <w:rPr>
          <w:sz w:val="24"/>
          <w:szCs w:val="24"/>
        </w:rPr>
      </w:pPr>
      <w:r w:rsidRPr="00F414E3">
        <w:rPr>
          <w:sz w:val="24"/>
          <w:szCs w:val="24"/>
        </w:rPr>
        <w:t>Stay-at-home orders (March 24 through April 7</w:t>
      </w:r>
      <w:r w:rsidRPr="00F414E3">
        <w:rPr>
          <w:sz w:val="24"/>
          <w:szCs w:val="24"/>
          <w:vertAlign w:val="superscript"/>
        </w:rPr>
        <w:t>th</w:t>
      </w:r>
      <w:r w:rsidRPr="00F414E3">
        <w:rPr>
          <w:sz w:val="24"/>
          <w:szCs w:val="24"/>
        </w:rPr>
        <w:t>, 2020) – which were intended to reduce COVID-19 spread may have influenced sexual behaviors and reduced STD transmission</w:t>
      </w:r>
      <w:r w:rsidRPr="00F414E3">
        <w:rPr>
          <w:sz w:val="24"/>
          <w:szCs w:val="24"/>
          <w:vertAlign w:val="superscript"/>
        </w:rPr>
        <w:t>1 </w:t>
      </w:r>
    </w:p>
    <w:p w14:paraId="3D21D90F" w14:textId="77777777" w:rsidR="00F414E3" w:rsidRPr="00F414E3" w:rsidRDefault="00F414E3" w:rsidP="00F414E3">
      <w:pPr>
        <w:spacing w:after="0" w:line="240" w:lineRule="auto"/>
        <w:rPr>
          <w:sz w:val="24"/>
          <w:szCs w:val="24"/>
        </w:rPr>
      </w:pPr>
      <w:r w:rsidRPr="00F414E3">
        <w:rPr>
          <w:sz w:val="24"/>
          <w:szCs w:val="24"/>
        </w:rPr>
        <w:t>As the impact of the COVID-19 pandemic continues, it’s full effect on case reporting and efforts to control the spread of infectious disease in the Commonwealth has yet to be determined. As such, please interpret 2020 infectious disease data with caution.</w:t>
      </w:r>
    </w:p>
    <w:p w14:paraId="0C14493E" w14:textId="77777777" w:rsidR="00654303" w:rsidRPr="002E19F8" w:rsidRDefault="00654303" w:rsidP="003461A4">
      <w:pPr>
        <w:spacing w:after="0" w:line="240" w:lineRule="auto"/>
        <w:rPr>
          <w:b/>
          <w:sz w:val="24"/>
          <w:szCs w:val="24"/>
        </w:rPr>
      </w:pPr>
    </w:p>
    <w:p w14:paraId="29FD926A" w14:textId="6FBC2D00" w:rsidR="00654303" w:rsidRPr="002E19F8" w:rsidRDefault="00654303" w:rsidP="52C804C8">
      <w:pPr>
        <w:spacing w:after="0" w:line="240" w:lineRule="auto"/>
        <w:rPr>
          <w:b/>
          <w:bCs/>
          <w:sz w:val="24"/>
          <w:szCs w:val="24"/>
        </w:rPr>
      </w:pPr>
      <w:r w:rsidRPr="002E19F8">
        <w:rPr>
          <w:b/>
          <w:sz w:val="24"/>
          <w:szCs w:val="24"/>
        </w:rPr>
        <w:t>Footnotes</w:t>
      </w:r>
      <w:r w:rsidR="47987F31" w:rsidRPr="002E19F8">
        <w:rPr>
          <w:b/>
          <w:bCs/>
          <w:sz w:val="24"/>
          <w:szCs w:val="24"/>
        </w:rPr>
        <w:t xml:space="preserve"> for Slide </w:t>
      </w:r>
      <w:r w:rsidR="001B30EC">
        <w:rPr>
          <w:b/>
          <w:bCs/>
          <w:sz w:val="24"/>
          <w:szCs w:val="24"/>
        </w:rPr>
        <w:t>50</w:t>
      </w:r>
    </w:p>
    <w:p w14:paraId="311341FC" w14:textId="77777777" w:rsidR="001B30EC" w:rsidRPr="001B30EC" w:rsidRDefault="001B30EC" w:rsidP="001B30EC">
      <w:pPr>
        <w:numPr>
          <w:ilvl w:val="0"/>
          <w:numId w:val="37"/>
        </w:numPr>
        <w:spacing w:after="0" w:line="240" w:lineRule="auto"/>
        <w:rPr>
          <w:sz w:val="24"/>
          <w:szCs w:val="24"/>
        </w:rPr>
      </w:pPr>
      <w:r w:rsidRPr="001B30EC">
        <w:rPr>
          <w:sz w:val="24"/>
          <w:szCs w:val="24"/>
        </w:rPr>
        <w:t xml:space="preserve">CDC Press Release, July 16, 2021: Trends in STD case reports during the U.S. COVID-19 pandemic, January-December 2020 available at: </w:t>
      </w:r>
      <w:hyperlink r:id="rId46" w:history="1">
        <w:r w:rsidRPr="001B30EC">
          <w:rPr>
            <w:rStyle w:val="Hyperlink"/>
            <w:sz w:val="24"/>
            <w:szCs w:val="24"/>
          </w:rPr>
          <w:t>https://www.cdc.gov/</w:t>
        </w:r>
      </w:hyperlink>
      <w:hyperlink r:id="rId47" w:history="1">
        <w:r w:rsidRPr="001B30EC">
          <w:rPr>
            <w:rStyle w:val="Hyperlink"/>
            <w:sz w:val="24"/>
            <w:szCs w:val="24"/>
          </w:rPr>
          <w:t>nchhstp</w:t>
        </w:r>
      </w:hyperlink>
      <w:hyperlink r:id="rId48" w:history="1">
        <w:r w:rsidRPr="001B30EC">
          <w:rPr>
            <w:rStyle w:val="Hyperlink"/>
            <w:sz w:val="24"/>
            <w:szCs w:val="24"/>
          </w:rPr>
          <w:t>/newsroom/2021/2020-std-trend-report.html</w:t>
        </w:r>
      </w:hyperlink>
      <w:r w:rsidRPr="001B30EC">
        <w:rPr>
          <w:sz w:val="24"/>
          <w:szCs w:val="24"/>
        </w:rPr>
        <w:t>”</w:t>
      </w:r>
    </w:p>
    <w:p w14:paraId="049703DA" w14:textId="77777777" w:rsidR="00654303" w:rsidRPr="002E19F8" w:rsidRDefault="00654303" w:rsidP="003461A4">
      <w:pPr>
        <w:spacing w:after="0" w:line="240" w:lineRule="auto"/>
        <w:rPr>
          <w:sz w:val="24"/>
          <w:szCs w:val="24"/>
        </w:rPr>
      </w:pPr>
    </w:p>
    <w:p w14:paraId="1C724C7F" w14:textId="7C32CB3F" w:rsidR="52C804C8" w:rsidRPr="002E19F8" w:rsidRDefault="52C804C8" w:rsidP="52C804C8">
      <w:pPr>
        <w:spacing w:after="0" w:line="240" w:lineRule="auto"/>
        <w:rPr>
          <w:sz w:val="24"/>
          <w:szCs w:val="24"/>
        </w:rPr>
      </w:pPr>
    </w:p>
    <w:p w14:paraId="6E98ADFF" w14:textId="1786B47C" w:rsidR="00654303" w:rsidRPr="003233F8" w:rsidRDefault="00654303" w:rsidP="00D40DF4">
      <w:pPr>
        <w:pStyle w:val="Heading1"/>
        <w:rPr>
          <w:sz w:val="26"/>
          <w:szCs w:val="26"/>
        </w:rPr>
      </w:pPr>
      <w:bookmarkStart w:id="52" w:name="_Toc184132262"/>
      <w:r w:rsidRPr="003233F8">
        <w:rPr>
          <w:sz w:val="26"/>
          <w:szCs w:val="26"/>
        </w:rPr>
        <w:t>Slide 5</w:t>
      </w:r>
      <w:r w:rsidR="001B30EC">
        <w:rPr>
          <w:sz w:val="26"/>
          <w:szCs w:val="26"/>
        </w:rPr>
        <w:t>1</w:t>
      </w:r>
      <w:r w:rsidRPr="003233F8">
        <w:rPr>
          <w:sz w:val="26"/>
          <w:szCs w:val="26"/>
        </w:rPr>
        <w:t>: Closing Slide</w:t>
      </w:r>
      <w:bookmarkEnd w:id="52"/>
    </w:p>
    <w:p w14:paraId="3E97D1AD" w14:textId="62FBBD43" w:rsidR="00654303" w:rsidRPr="002E19F8" w:rsidRDefault="00654303" w:rsidP="52C804C8">
      <w:pPr>
        <w:spacing w:line="240" w:lineRule="auto"/>
        <w:rPr>
          <w:sz w:val="24"/>
          <w:szCs w:val="24"/>
        </w:rPr>
      </w:pPr>
      <w:r w:rsidRPr="002E19F8">
        <w:rPr>
          <w:sz w:val="24"/>
          <w:szCs w:val="24"/>
        </w:rPr>
        <w:t>If you have questions or to request more information: call the Massachusetts Department of Public Health, Division of STD Prevention, at 617-983-6940</w:t>
      </w:r>
    </w:p>
    <w:p w14:paraId="2BB21253" w14:textId="6153A00E" w:rsidR="00654303" w:rsidRPr="002E19F8" w:rsidRDefault="00654303" w:rsidP="003461A4">
      <w:pPr>
        <w:spacing w:after="0" w:line="240" w:lineRule="auto"/>
        <w:rPr>
          <w:sz w:val="24"/>
          <w:szCs w:val="24"/>
        </w:rPr>
      </w:pPr>
    </w:p>
    <w:sectPr w:rsidR="00654303" w:rsidRPr="002E19F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BEE8D" w14:textId="77777777" w:rsidR="00EF29BF" w:rsidRDefault="00EF29BF" w:rsidP="009E7EA1">
      <w:pPr>
        <w:spacing w:after="0" w:line="240" w:lineRule="auto"/>
      </w:pPr>
      <w:r>
        <w:separator/>
      </w:r>
    </w:p>
  </w:endnote>
  <w:endnote w:type="continuationSeparator" w:id="0">
    <w:p w14:paraId="1EF15D6E" w14:textId="77777777" w:rsidR="00EF29BF" w:rsidRDefault="00EF29BF" w:rsidP="009E7EA1">
      <w:pPr>
        <w:spacing w:after="0" w:line="240" w:lineRule="auto"/>
      </w:pPr>
      <w:r>
        <w:continuationSeparator/>
      </w:r>
    </w:p>
  </w:endnote>
  <w:endnote w:type="continuationNotice" w:id="1">
    <w:p w14:paraId="2D018E26" w14:textId="77777777" w:rsidR="00EF29BF" w:rsidRDefault="00EF2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295069"/>
      <w:docPartObj>
        <w:docPartGallery w:val="Page Numbers (Bottom of Page)"/>
        <w:docPartUnique/>
      </w:docPartObj>
    </w:sdtPr>
    <w:sdtEndPr>
      <w:rPr>
        <w:noProof/>
      </w:rPr>
    </w:sdtEndPr>
    <w:sdtContent>
      <w:p w14:paraId="00CEEA20" w14:textId="472F9A35" w:rsidR="00151B32" w:rsidRDefault="00151B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82A469" w14:textId="77777777" w:rsidR="00151B32" w:rsidRDefault="00151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5C8F1" w14:textId="77777777" w:rsidR="00EF29BF" w:rsidRDefault="00EF29BF" w:rsidP="009E7EA1">
      <w:pPr>
        <w:spacing w:after="0" w:line="240" w:lineRule="auto"/>
      </w:pPr>
      <w:r>
        <w:separator/>
      </w:r>
    </w:p>
  </w:footnote>
  <w:footnote w:type="continuationSeparator" w:id="0">
    <w:p w14:paraId="5DAAACFD" w14:textId="77777777" w:rsidR="00EF29BF" w:rsidRDefault="00EF29BF" w:rsidP="009E7EA1">
      <w:pPr>
        <w:spacing w:after="0" w:line="240" w:lineRule="auto"/>
      </w:pPr>
      <w:r>
        <w:continuationSeparator/>
      </w:r>
    </w:p>
  </w:footnote>
  <w:footnote w:type="continuationNotice" w:id="1">
    <w:p w14:paraId="69522ED6" w14:textId="77777777" w:rsidR="00EF29BF" w:rsidRDefault="00EF29BF">
      <w:pPr>
        <w:spacing w:after="0" w:line="240" w:lineRule="auto"/>
      </w:pPr>
    </w:p>
  </w:footnote>
  <w:footnote w:id="2">
    <w:p w14:paraId="3B809955" w14:textId="77777777" w:rsidR="009E7EA1" w:rsidRPr="008E0170" w:rsidRDefault="009E7EA1" w:rsidP="009E7EA1">
      <w:pPr>
        <w:pStyle w:val="FootnoteText"/>
        <w:rPr>
          <w:rFonts w:ascii="Calibri" w:eastAsia="Calibri" w:hAnsi="Calibri" w:cs="Calibri"/>
          <w:color w:val="3333FF"/>
        </w:rPr>
      </w:pPr>
      <w:r w:rsidRPr="00A360E9">
        <w:rPr>
          <w:rStyle w:val="FootnoteReference"/>
        </w:rPr>
        <w:footnoteRef/>
      </w:r>
      <w:r w:rsidRPr="00A360E9">
        <w:t xml:space="preserve"> </w:t>
      </w:r>
      <w:r w:rsidRPr="00A360E9">
        <w:rPr>
          <w:rFonts w:ascii="Calibri" w:eastAsia="Calibri" w:hAnsi="Calibri" w:cs="Calibri"/>
        </w:rPr>
        <w:t xml:space="preserve">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8E0170">
          <w:rPr>
            <w:rStyle w:val="Hyperlink"/>
            <w:rFonts w:ascii="Calibri" w:eastAsia="Calibri" w:hAnsi="Calibri" w:cs="Calibri"/>
            <w:color w:val="3333FF"/>
          </w:rPr>
          <w:t>https://www.mass.gov/service-details/partner-services-program-information-for-healthcare-providers</w:t>
        </w:r>
      </w:hyperlink>
      <w:r w:rsidRPr="008E0170">
        <w:rPr>
          <w:rFonts w:ascii="Calibri" w:eastAsia="Calibri" w:hAnsi="Calibri" w:cs="Calibri"/>
          <w:color w:val="3333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61B"/>
    <w:multiLevelType w:val="hybridMultilevel"/>
    <w:tmpl w:val="D3282C5E"/>
    <w:lvl w:ilvl="0" w:tplc="90988116">
      <w:start w:val="1"/>
      <w:numFmt w:val="decimal"/>
      <w:lvlText w:val="%1."/>
      <w:lvlJc w:val="left"/>
      <w:pPr>
        <w:tabs>
          <w:tab w:val="num" w:pos="720"/>
        </w:tabs>
        <w:ind w:left="720" w:hanging="360"/>
      </w:pPr>
    </w:lvl>
    <w:lvl w:ilvl="1" w:tplc="AA66A8A0" w:tentative="1">
      <w:start w:val="1"/>
      <w:numFmt w:val="decimal"/>
      <w:lvlText w:val="%2."/>
      <w:lvlJc w:val="left"/>
      <w:pPr>
        <w:tabs>
          <w:tab w:val="num" w:pos="1440"/>
        </w:tabs>
        <w:ind w:left="1440" w:hanging="360"/>
      </w:pPr>
    </w:lvl>
    <w:lvl w:ilvl="2" w:tplc="A4E2DECA" w:tentative="1">
      <w:start w:val="1"/>
      <w:numFmt w:val="decimal"/>
      <w:lvlText w:val="%3."/>
      <w:lvlJc w:val="left"/>
      <w:pPr>
        <w:tabs>
          <w:tab w:val="num" w:pos="2160"/>
        </w:tabs>
        <w:ind w:left="2160" w:hanging="360"/>
      </w:pPr>
    </w:lvl>
    <w:lvl w:ilvl="3" w:tplc="6D9682DE" w:tentative="1">
      <w:start w:val="1"/>
      <w:numFmt w:val="decimal"/>
      <w:lvlText w:val="%4."/>
      <w:lvlJc w:val="left"/>
      <w:pPr>
        <w:tabs>
          <w:tab w:val="num" w:pos="2880"/>
        </w:tabs>
        <w:ind w:left="2880" w:hanging="360"/>
      </w:pPr>
    </w:lvl>
    <w:lvl w:ilvl="4" w:tplc="FA1E0F9A" w:tentative="1">
      <w:start w:val="1"/>
      <w:numFmt w:val="decimal"/>
      <w:lvlText w:val="%5."/>
      <w:lvlJc w:val="left"/>
      <w:pPr>
        <w:tabs>
          <w:tab w:val="num" w:pos="3600"/>
        </w:tabs>
        <w:ind w:left="3600" w:hanging="360"/>
      </w:pPr>
    </w:lvl>
    <w:lvl w:ilvl="5" w:tplc="0DCA5C46" w:tentative="1">
      <w:start w:val="1"/>
      <w:numFmt w:val="decimal"/>
      <w:lvlText w:val="%6."/>
      <w:lvlJc w:val="left"/>
      <w:pPr>
        <w:tabs>
          <w:tab w:val="num" w:pos="4320"/>
        </w:tabs>
        <w:ind w:left="4320" w:hanging="360"/>
      </w:pPr>
    </w:lvl>
    <w:lvl w:ilvl="6" w:tplc="5D609032" w:tentative="1">
      <w:start w:val="1"/>
      <w:numFmt w:val="decimal"/>
      <w:lvlText w:val="%7."/>
      <w:lvlJc w:val="left"/>
      <w:pPr>
        <w:tabs>
          <w:tab w:val="num" w:pos="5040"/>
        </w:tabs>
        <w:ind w:left="5040" w:hanging="360"/>
      </w:pPr>
    </w:lvl>
    <w:lvl w:ilvl="7" w:tplc="31DABF7C" w:tentative="1">
      <w:start w:val="1"/>
      <w:numFmt w:val="decimal"/>
      <w:lvlText w:val="%8."/>
      <w:lvlJc w:val="left"/>
      <w:pPr>
        <w:tabs>
          <w:tab w:val="num" w:pos="5760"/>
        </w:tabs>
        <w:ind w:left="5760" w:hanging="360"/>
      </w:pPr>
    </w:lvl>
    <w:lvl w:ilvl="8" w:tplc="6B061C2C" w:tentative="1">
      <w:start w:val="1"/>
      <w:numFmt w:val="decimal"/>
      <w:lvlText w:val="%9."/>
      <w:lvlJc w:val="left"/>
      <w:pPr>
        <w:tabs>
          <w:tab w:val="num" w:pos="6480"/>
        </w:tabs>
        <w:ind w:left="6480" w:hanging="360"/>
      </w:pPr>
    </w:lvl>
  </w:abstractNum>
  <w:abstractNum w:abstractNumId="1" w15:restartNumberingAfterBreak="0">
    <w:nsid w:val="015F3519"/>
    <w:multiLevelType w:val="hybridMultilevel"/>
    <w:tmpl w:val="735E5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D4DA9"/>
    <w:multiLevelType w:val="hybridMultilevel"/>
    <w:tmpl w:val="4184C3EC"/>
    <w:lvl w:ilvl="0" w:tplc="EF8E993C">
      <w:start w:val="1"/>
      <w:numFmt w:val="bullet"/>
      <w:lvlText w:val="•"/>
      <w:lvlJc w:val="left"/>
      <w:pPr>
        <w:tabs>
          <w:tab w:val="num" w:pos="720"/>
        </w:tabs>
        <w:ind w:left="720" w:hanging="360"/>
      </w:pPr>
      <w:rPr>
        <w:rFonts w:ascii="Arial" w:hAnsi="Arial" w:hint="default"/>
      </w:rPr>
    </w:lvl>
    <w:lvl w:ilvl="1" w:tplc="341A1B18">
      <w:start w:val="1"/>
      <w:numFmt w:val="bullet"/>
      <w:lvlText w:val="•"/>
      <w:lvlJc w:val="left"/>
      <w:pPr>
        <w:tabs>
          <w:tab w:val="num" w:pos="1440"/>
        </w:tabs>
        <w:ind w:left="1440" w:hanging="360"/>
      </w:pPr>
      <w:rPr>
        <w:rFonts w:ascii="Arial" w:hAnsi="Arial" w:hint="default"/>
      </w:rPr>
    </w:lvl>
    <w:lvl w:ilvl="2" w:tplc="A83473FC" w:tentative="1">
      <w:start w:val="1"/>
      <w:numFmt w:val="bullet"/>
      <w:lvlText w:val="•"/>
      <w:lvlJc w:val="left"/>
      <w:pPr>
        <w:tabs>
          <w:tab w:val="num" w:pos="2160"/>
        </w:tabs>
        <w:ind w:left="2160" w:hanging="360"/>
      </w:pPr>
      <w:rPr>
        <w:rFonts w:ascii="Arial" w:hAnsi="Arial" w:hint="default"/>
      </w:rPr>
    </w:lvl>
    <w:lvl w:ilvl="3" w:tplc="28D83A56" w:tentative="1">
      <w:start w:val="1"/>
      <w:numFmt w:val="bullet"/>
      <w:lvlText w:val="•"/>
      <w:lvlJc w:val="left"/>
      <w:pPr>
        <w:tabs>
          <w:tab w:val="num" w:pos="2880"/>
        </w:tabs>
        <w:ind w:left="2880" w:hanging="360"/>
      </w:pPr>
      <w:rPr>
        <w:rFonts w:ascii="Arial" w:hAnsi="Arial" w:hint="default"/>
      </w:rPr>
    </w:lvl>
    <w:lvl w:ilvl="4" w:tplc="7F3EF4CE" w:tentative="1">
      <w:start w:val="1"/>
      <w:numFmt w:val="bullet"/>
      <w:lvlText w:val="•"/>
      <w:lvlJc w:val="left"/>
      <w:pPr>
        <w:tabs>
          <w:tab w:val="num" w:pos="3600"/>
        </w:tabs>
        <w:ind w:left="3600" w:hanging="360"/>
      </w:pPr>
      <w:rPr>
        <w:rFonts w:ascii="Arial" w:hAnsi="Arial" w:hint="default"/>
      </w:rPr>
    </w:lvl>
    <w:lvl w:ilvl="5" w:tplc="44C81E30" w:tentative="1">
      <w:start w:val="1"/>
      <w:numFmt w:val="bullet"/>
      <w:lvlText w:val="•"/>
      <w:lvlJc w:val="left"/>
      <w:pPr>
        <w:tabs>
          <w:tab w:val="num" w:pos="4320"/>
        </w:tabs>
        <w:ind w:left="4320" w:hanging="360"/>
      </w:pPr>
      <w:rPr>
        <w:rFonts w:ascii="Arial" w:hAnsi="Arial" w:hint="default"/>
      </w:rPr>
    </w:lvl>
    <w:lvl w:ilvl="6" w:tplc="5DA64748" w:tentative="1">
      <w:start w:val="1"/>
      <w:numFmt w:val="bullet"/>
      <w:lvlText w:val="•"/>
      <w:lvlJc w:val="left"/>
      <w:pPr>
        <w:tabs>
          <w:tab w:val="num" w:pos="5040"/>
        </w:tabs>
        <w:ind w:left="5040" w:hanging="360"/>
      </w:pPr>
      <w:rPr>
        <w:rFonts w:ascii="Arial" w:hAnsi="Arial" w:hint="default"/>
      </w:rPr>
    </w:lvl>
    <w:lvl w:ilvl="7" w:tplc="FD065E3C" w:tentative="1">
      <w:start w:val="1"/>
      <w:numFmt w:val="bullet"/>
      <w:lvlText w:val="•"/>
      <w:lvlJc w:val="left"/>
      <w:pPr>
        <w:tabs>
          <w:tab w:val="num" w:pos="5760"/>
        </w:tabs>
        <w:ind w:left="5760" w:hanging="360"/>
      </w:pPr>
      <w:rPr>
        <w:rFonts w:ascii="Arial" w:hAnsi="Arial" w:hint="default"/>
      </w:rPr>
    </w:lvl>
    <w:lvl w:ilvl="8" w:tplc="B1DCB0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197AE9"/>
    <w:multiLevelType w:val="hybridMultilevel"/>
    <w:tmpl w:val="71404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349EB"/>
    <w:multiLevelType w:val="hybridMultilevel"/>
    <w:tmpl w:val="E51E43EE"/>
    <w:lvl w:ilvl="0" w:tplc="8EA859F6">
      <w:start w:val="1"/>
      <w:numFmt w:val="bullet"/>
      <w:lvlText w:val="•"/>
      <w:lvlJc w:val="left"/>
      <w:pPr>
        <w:tabs>
          <w:tab w:val="num" w:pos="720"/>
        </w:tabs>
        <w:ind w:left="720" w:hanging="360"/>
      </w:pPr>
      <w:rPr>
        <w:rFonts w:ascii="Times New Roman" w:hAnsi="Times New Roman" w:hint="default"/>
      </w:rPr>
    </w:lvl>
    <w:lvl w:ilvl="1" w:tplc="A4FABEC8">
      <w:numFmt w:val="bullet"/>
      <w:lvlText w:val="–"/>
      <w:lvlJc w:val="left"/>
      <w:pPr>
        <w:tabs>
          <w:tab w:val="num" w:pos="1440"/>
        </w:tabs>
        <w:ind w:left="1440" w:hanging="360"/>
      </w:pPr>
      <w:rPr>
        <w:rFonts w:ascii="Calibri" w:hAnsi="Calibri" w:hint="default"/>
      </w:rPr>
    </w:lvl>
    <w:lvl w:ilvl="2" w:tplc="A3D25500" w:tentative="1">
      <w:start w:val="1"/>
      <w:numFmt w:val="bullet"/>
      <w:lvlText w:val="•"/>
      <w:lvlJc w:val="left"/>
      <w:pPr>
        <w:tabs>
          <w:tab w:val="num" w:pos="2160"/>
        </w:tabs>
        <w:ind w:left="2160" w:hanging="360"/>
      </w:pPr>
      <w:rPr>
        <w:rFonts w:ascii="Times New Roman" w:hAnsi="Times New Roman" w:hint="default"/>
      </w:rPr>
    </w:lvl>
    <w:lvl w:ilvl="3" w:tplc="45566DC0" w:tentative="1">
      <w:start w:val="1"/>
      <w:numFmt w:val="bullet"/>
      <w:lvlText w:val="•"/>
      <w:lvlJc w:val="left"/>
      <w:pPr>
        <w:tabs>
          <w:tab w:val="num" w:pos="2880"/>
        </w:tabs>
        <w:ind w:left="2880" w:hanging="360"/>
      </w:pPr>
      <w:rPr>
        <w:rFonts w:ascii="Times New Roman" w:hAnsi="Times New Roman" w:hint="default"/>
      </w:rPr>
    </w:lvl>
    <w:lvl w:ilvl="4" w:tplc="C7300FF8" w:tentative="1">
      <w:start w:val="1"/>
      <w:numFmt w:val="bullet"/>
      <w:lvlText w:val="•"/>
      <w:lvlJc w:val="left"/>
      <w:pPr>
        <w:tabs>
          <w:tab w:val="num" w:pos="3600"/>
        </w:tabs>
        <w:ind w:left="3600" w:hanging="360"/>
      </w:pPr>
      <w:rPr>
        <w:rFonts w:ascii="Times New Roman" w:hAnsi="Times New Roman" w:hint="default"/>
      </w:rPr>
    </w:lvl>
    <w:lvl w:ilvl="5" w:tplc="06D8F446" w:tentative="1">
      <w:start w:val="1"/>
      <w:numFmt w:val="bullet"/>
      <w:lvlText w:val="•"/>
      <w:lvlJc w:val="left"/>
      <w:pPr>
        <w:tabs>
          <w:tab w:val="num" w:pos="4320"/>
        </w:tabs>
        <w:ind w:left="4320" w:hanging="360"/>
      </w:pPr>
      <w:rPr>
        <w:rFonts w:ascii="Times New Roman" w:hAnsi="Times New Roman" w:hint="default"/>
      </w:rPr>
    </w:lvl>
    <w:lvl w:ilvl="6" w:tplc="C5F86210" w:tentative="1">
      <w:start w:val="1"/>
      <w:numFmt w:val="bullet"/>
      <w:lvlText w:val="•"/>
      <w:lvlJc w:val="left"/>
      <w:pPr>
        <w:tabs>
          <w:tab w:val="num" w:pos="5040"/>
        </w:tabs>
        <w:ind w:left="5040" w:hanging="360"/>
      </w:pPr>
      <w:rPr>
        <w:rFonts w:ascii="Times New Roman" w:hAnsi="Times New Roman" w:hint="default"/>
      </w:rPr>
    </w:lvl>
    <w:lvl w:ilvl="7" w:tplc="681C6C0E" w:tentative="1">
      <w:start w:val="1"/>
      <w:numFmt w:val="bullet"/>
      <w:lvlText w:val="•"/>
      <w:lvlJc w:val="left"/>
      <w:pPr>
        <w:tabs>
          <w:tab w:val="num" w:pos="5760"/>
        </w:tabs>
        <w:ind w:left="5760" w:hanging="360"/>
      </w:pPr>
      <w:rPr>
        <w:rFonts w:ascii="Times New Roman" w:hAnsi="Times New Roman" w:hint="default"/>
      </w:rPr>
    </w:lvl>
    <w:lvl w:ilvl="8" w:tplc="E15664E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C21177"/>
    <w:multiLevelType w:val="hybridMultilevel"/>
    <w:tmpl w:val="6706B9F0"/>
    <w:lvl w:ilvl="0" w:tplc="B57020BC">
      <w:start w:val="1"/>
      <w:numFmt w:val="bullet"/>
      <w:lvlText w:val="•"/>
      <w:lvlJc w:val="left"/>
      <w:pPr>
        <w:tabs>
          <w:tab w:val="num" w:pos="720"/>
        </w:tabs>
        <w:ind w:left="720" w:hanging="360"/>
      </w:pPr>
      <w:rPr>
        <w:rFonts w:ascii="Arial" w:hAnsi="Arial" w:hint="default"/>
      </w:rPr>
    </w:lvl>
    <w:lvl w:ilvl="1" w:tplc="35541E36">
      <w:numFmt w:val="bullet"/>
      <w:lvlText w:val="–"/>
      <w:lvlJc w:val="left"/>
      <w:pPr>
        <w:tabs>
          <w:tab w:val="num" w:pos="1440"/>
        </w:tabs>
        <w:ind w:left="1440" w:hanging="360"/>
      </w:pPr>
      <w:rPr>
        <w:rFonts w:ascii="Calibri" w:hAnsi="Calibri" w:hint="default"/>
      </w:rPr>
    </w:lvl>
    <w:lvl w:ilvl="2" w:tplc="4510D9AE" w:tentative="1">
      <w:start w:val="1"/>
      <w:numFmt w:val="bullet"/>
      <w:lvlText w:val="•"/>
      <w:lvlJc w:val="left"/>
      <w:pPr>
        <w:tabs>
          <w:tab w:val="num" w:pos="2160"/>
        </w:tabs>
        <w:ind w:left="2160" w:hanging="360"/>
      </w:pPr>
      <w:rPr>
        <w:rFonts w:ascii="Arial" w:hAnsi="Arial" w:hint="default"/>
      </w:rPr>
    </w:lvl>
    <w:lvl w:ilvl="3" w:tplc="896A471E" w:tentative="1">
      <w:start w:val="1"/>
      <w:numFmt w:val="bullet"/>
      <w:lvlText w:val="•"/>
      <w:lvlJc w:val="left"/>
      <w:pPr>
        <w:tabs>
          <w:tab w:val="num" w:pos="2880"/>
        </w:tabs>
        <w:ind w:left="2880" w:hanging="360"/>
      </w:pPr>
      <w:rPr>
        <w:rFonts w:ascii="Arial" w:hAnsi="Arial" w:hint="default"/>
      </w:rPr>
    </w:lvl>
    <w:lvl w:ilvl="4" w:tplc="BEE4D0E4" w:tentative="1">
      <w:start w:val="1"/>
      <w:numFmt w:val="bullet"/>
      <w:lvlText w:val="•"/>
      <w:lvlJc w:val="left"/>
      <w:pPr>
        <w:tabs>
          <w:tab w:val="num" w:pos="3600"/>
        </w:tabs>
        <w:ind w:left="3600" w:hanging="360"/>
      </w:pPr>
      <w:rPr>
        <w:rFonts w:ascii="Arial" w:hAnsi="Arial" w:hint="default"/>
      </w:rPr>
    </w:lvl>
    <w:lvl w:ilvl="5" w:tplc="57DE6BE0" w:tentative="1">
      <w:start w:val="1"/>
      <w:numFmt w:val="bullet"/>
      <w:lvlText w:val="•"/>
      <w:lvlJc w:val="left"/>
      <w:pPr>
        <w:tabs>
          <w:tab w:val="num" w:pos="4320"/>
        </w:tabs>
        <w:ind w:left="4320" w:hanging="360"/>
      </w:pPr>
      <w:rPr>
        <w:rFonts w:ascii="Arial" w:hAnsi="Arial" w:hint="default"/>
      </w:rPr>
    </w:lvl>
    <w:lvl w:ilvl="6" w:tplc="F9CA6C7A" w:tentative="1">
      <w:start w:val="1"/>
      <w:numFmt w:val="bullet"/>
      <w:lvlText w:val="•"/>
      <w:lvlJc w:val="left"/>
      <w:pPr>
        <w:tabs>
          <w:tab w:val="num" w:pos="5040"/>
        </w:tabs>
        <w:ind w:left="5040" w:hanging="360"/>
      </w:pPr>
      <w:rPr>
        <w:rFonts w:ascii="Arial" w:hAnsi="Arial" w:hint="default"/>
      </w:rPr>
    </w:lvl>
    <w:lvl w:ilvl="7" w:tplc="EEEEAF92" w:tentative="1">
      <w:start w:val="1"/>
      <w:numFmt w:val="bullet"/>
      <w:lvlText w:val="•"/>
      <w:lvlJc w:val="left"/>
      <w:pPr>
        <w:tabs>
          <w:tab w:val="num" w:pos="5760"/>
        </w:tabs>
        <w:ind w:left="5760" w:hanging="360"/>
      </w:pPr>
      <w:rPr>
        <w:rFonts w:ascii="Arial" w:hAnsi="Arial" w:hint="default"/>
      </w:rPr>
    </w:lvl>
    <w:lvl w:ilvl="8" w:tplc="DF88FC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62451E"/>
    <w:multiLevelType w:val="hybridMultilevel"/>
    <w:tmpl w:val="AB08F7DE"/>
    <w:lvl w:ilvl="0" w:tplc="BFDE608A">
      <w:start w:val="1"/>
      <w:numFmt w:val="bullet"/>
      <w:lvlText w:val="•"/>
      <w:lvlJc w:val="left"/>
      <w:pPr>
        <w:tabs>
          <w:tab w:val="num" w:pos="720"/>
        </w:tabs>
        <w:ind w:left="720" w:hanging="360"/>
      </w:pPr>
      <w:rPr>
        <w:rFonts w:ascii="Arial" w:hAnsi="Arial" w:hint="default"/>
      </w:rPr>
    </w:lvl>
    <w:lvl w:ilvl="1" w:tplc="E4D68E4A">
      <w:numFmt w:val="bullet"/>
      <w:lvlText w:val="•"/>
      <w:lvlJc w:val="left"/>
      <w:pPr>
        <w:tabs>
          <w:tab w:val="num" w:pos="1440"/>
        </w:tabs>
        <w:ind w:left="1440" w:hanging="360"/>
      </w:pPr>
      <w:rPr>
        <w:rFonts w:ascii="Arial" w:hAnsi="Arial" w:hint="default"/>
      </w:rPr>
    </w:lvl>
    <w:lvl w:ilvl="2" w:tplc="0FDA8DB6">
      <w:numFmt w:val="bullet"/>
      <w:lvlText w:val="•"/>
      <w:lvlJc w:val="left"/>
      <w:pPr>
        <w:tabs>
          <w:tab w:val="num" w:pos="2160"/>
        </w:tabs>
        <w:ind w:left="2160" w:hanging="360"/>
      </w:pPr>
      <w:rPr>
        <w:rFonts w:ascii="Arial" w:hAnsi="Arial" w:hint="default"/>
      </w:rPr>
    </w:lvl>
    <w:lvl w:ilvl="3" w:tplc="E964488E" w:tentative="1">
      <w:start w:val="1"/>
      <w:numFmt w:val="bullet"/>
      <w:lvlText w:val="•"/>
      <w:lvlJc w:val="left"/>
      <w:pPr>
        <w:tabs>
          <w:tab w:val="num" w:pos="2880"/>
        </w:tabs>
        <w:ind w:left="2880" w:hanging="360"/>
      </w:pPr>
      <w:rPr>
        <w:rFonts w:ascii="Arial" w:hAnsi="Arial" w:hint="default"/>
      </w:rPr>
    </w:lvl>
    <w:lvl w:ilvl="4" w:tplc="C22A7CAA" w:tentative="1">
      <w:start w:val="1"/>
      <w:numFmt w:val="bullet"/>
      <w:lvlText w:val="•"/>
      <w:lvlJc w:val="left"/>
      <w:pPr>
        <w:tabs>
          <w:tab w:val="num" w:pos="3600"/>
        </w:tabs>
        <w:ind w:left="3600" w:hanging="360"/>
      </w:pPr>
      <w:rPr>
        <w:rFonts w:ascii="Arial" w:hAnsi="Arial" w:hint="default"/>
      </w:rPr>
    </w:lvl>
    <w:lvl w:ilvl="5" w:tplc="2B2EF60A" w:tentative="1">
      <w:start w:val="1"/>
      <w:numFmt w:val="bullet"/>
      <w:lvlText w:val="•"/>
      <w:lvlJc w:val="left"/>
      <w:pPr>
        <w:tabs>
          <w:tab w:val="num" w:pos="4320"/>
        </w:tabs>
        <w:ind w:left="4320" w:hanging="360"/>
      </w:pPr>
      <w:rPr>
        <w:rFonts w:ascii="Arial" w:hAnsi="Arial" w:hint="default"/>
      </w:rPr>
    </w:lvl>
    <w:lvl w:ilvl="6" w:tplc="7784893E" w:tentative="1">
      <w:start w:val="1"/>
      <w:numFmt w:val="bullet"/>
      <w:lvlText w:val="•"/>
      <w:lvlJc w:val="left"/>
      <w:pPr>
        <w:tabs>
          <w:tab w:val="num" w:pos="5040"/>
        </w:tabs>
        <w:ind w:left="5040" w:hanging="360"/>
      </w:pPr>
      <w:rPr>
        <w:rFonts w:ascii="Arial" w:hAnsi="Arial" w:hint="default"/>
      </w:rPr>
    </w:lvl>
    <w:lvl w:ilvl="7" w:tplc="8A708FF0" w:tentative="1">
      <w:start w:val="1"/>
      <w:numFmt w:val="bullet"/>
      <w:lvlText w:val="•"/>
      <w:lvlJc w:val="left"/>
      <w:pPr>
        <w:tabs>
          <w:tab w:val="num" w:pos="5760"/>
        </w:tabs>
        <w:ind w:left="5760" w:hanging="360"/>
      </w:pPr>
      <w:rPr>
        <w:rFonts w:ascii="Arial" w:hAnsi="Arial" w:hint="default"/>
      </w:rPr>
    </w:lvl>
    <w:lvl w:ilvl="8" w:tplc="7A1A9C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7F356B"/>
    <w:multiLevelType w:val="hybridMultilevel"/>
    <w:tmpl w:val="30F0C2CA"/>
    <w:lvl w:ilvl="0" w:tplc="539E4B26">
      <w:start w:val="1"/>
      <w:numFmt w:val="decimal"/>
      <w:lvlText w:val="%1."/>
      <w:lvlJc w:val="left"/>
      <w:pPr>
        <w:tabs>
          <w:tab w:val="num" w:pos="360"/>
        </w:tabs>
        <w:ind w:left="360" w:hanging="360"/>
      </w:pPr>
      <w:rPr>
        <w:rFonts w:asciiTheme="minorHAnsi" w:eastAsiaTheme="minorHAnsi" w:hAnsiTheme="minorHAnsi" w:cstheme="minorBidi"/>
      </w:rPr>
    </w:lvl>
    <w:lvl w:ilvl="1" w:tplc="15022C68" w:tentative="1">
      <w:start w:val="1"/>
      <w:numFmt w:val="decimal"/>
      <w:lvlText w:val="%2."/>
      <w:lvlJc w:val="left"/>
      <w:pPr>
        <w:tabs>
          <w:tab w:val="num" w:pos="1080"/>
        </w:tabs>
        <w:ind w:left="1080" w:hanging="360"/>
      </w:pPr>
    </w:lvl>
    <w:lvl w:ilvl="2" w:tplc="F522BED8" w:tentative="1">
      <w:start w:val="1"/>
      <w:numFmt w:val="decimal"/>
      <w:lvlText w:val="%3."/>
      <w:lvlJc w:val="left"/>
      <w:pPr>
        <w:tabs>
          <w:tab w:val="num" w:pos="1800"/>
        </w:tabs>
        <w:ind w:left="1800" w:hanging="360"/>
      </w:pPr>
    </w:lvl>
    <w:lvl w:ilvl="3" w:tplc="D56A038E" w:tentative="1">
      <w:start w:val="1"/>
      <w:numFmt w:val="decimal"/>
      <w:lvlText w:val="%4."/>
      <w:lvlJc w:val="left"/>
      <w:pPr>
        <w:tabs>
          <w:tab w:val="num" w:pos="2520"/>
        </w:tabs>
        <w:ind w:left="2520" w:hanging="360"/>
      </w:pPr>
    </w:lvl>
    <w:lvl w:ilvl="4" w:tplc="BFDE59CE" w:tentative="1">
      <w:start w:val="1"/>
      <w:numFmt w:val="decimal"/>
      <w:lvlText w:val="%5."/>
      <w:lvlJc w:val="left"/>
      <w:pPr>
        <w:tabs>
          <w:tab w:val="num" w:pos="3240"/>
        </w:tabs>
        <w:ind w:left="3240" w:hanging="360"/>
      </w:pPr>
    </w:lvl>
    <w:lvl w:ilvl="5" w:tplc="C986A3FE" w:tentative="1">
      <w:start w:val="1"/>
      <w:numFmt w:val="decimal"/>
      <w:lvlText w:val="%6."/>
      <w:lvlJc w:val="left"/>
      <w:pPr>
        <w:tabs>
          <w:tab w:val="num" w:pos="3960"/>
        </w:tabs>
        <w:ind w:left="3960" w:hanging="360"/>
      </w:pPr>
    </w:lvl>
    <w:lvl w:ilvl="6" w:tplc="F390A70C" w:tentative="1">
      <w:start w:val="1"/>
      <w:numFmt w:val="decimal"/>
      <w:lvlText w:val="%7."/>
      <w:lvlJc w:val="left"/>
      <w:pPr>
        <w:tabs>
          <w:tab w:val="num" w:pos="4680"/>
        </w:tabs>
        <w:ind w:left="4680" w:hanging="360"/>
      </w:pPr>
    </w:lvl>
    <w:lvl w:ilvl="7" w:tplc="21A87426" w:tentative="1">
      <w:start w:val="1"/>
      <w:numFmt w:val="decimal"/>
      <w:lvlText w:val="%8."/>
      <w:lvlJc w:val="left"/>
      <w:pPr>
        <w:tabs>
          <w:tab w:val="num" w:pos="5400"/>
        </w:tabs>
        <w:ind w:left="5400" w:hanging="360"/>
      </w:pPr>
    </w:lvl>
    <w:lvl w:ilvl="8" w:tplc="66C0524A" w:tentative="1">
      <w:start w:val="1"/>
      <w:numFmt w:val="decimal"/>
      <w:lvlText w:val="%9."/>
      <w:lvlJc w:val="left"/>
      <w:pPr>
        <w:tabs>
          <w:tab w:val="num" w:pos="6120"/>
        </w:tabs>
        <w:ind w:left="6120" w:hanging="360"/>
      </w:pPr>
    </w:lvl>
  </w:abstractNum>
  <w:abstractNum w:abstractNumId="8" w15:restartNumberingAfterBreak="0">
    <w:nsid w:val="1FDD20D1"/>
    <w:multiLevelType w:val="hybridMultilevel"/>
    <w:tmpl w:val="BB122D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910CB8"/>
    <w:multiLevelType w:val="hybridMultilevel"/>
    <w:tmpl w:val="3A0C6E1E"/>
    <w:lvl w:ilvl="0" w:tplc="02FCD8F4">
      <w:start w:val="1"/>
      <w:numFmt w:val="decimal"/>
      <w:lvlText w:val="%1."/>
      <w:lvlJc w:val="left"/>
      <w:pPr>
        <w:tabs>
          <w:tab w:val="num" w:pos="360"/>
        </w:tabs>
        <w:ind w:left="360" w:hanging="360"/>
      </w:pPr>
    </w:lvl>
    <w:lvl w:ilvl="1" w:tplc="943A063E" w:tentative="1">
      <w:start w:val="1"/>
      <w:numFmt w:val="decimal"/>
      <w:lvlText w:val="%2."/>
      <w:lvlJc w:val="left"/>
      <w:pPr>
        <w:tabs>
          <w:tab w:val="num" w:pos="1080"/>
        </w:tabs>
        <w:ind w:left="1080" w:hanging="360"/>
      </w:pPr>
    </w:lvl>
    <w:lvl w:ilvl="2" w:tplc="FCC6DB88" w:tentative="1">
      <w:start w:val="1"/>
      <w:numFmt w:val="decimal"/>
      <w:lvlText w:val="%3."/>
      <w:lvlJc w:val="left"/>
      <w:pPr>
        <w:tabs>
          <w:tab w:val="num" w:pos="1800"/>
        </w:tabs>
        <w:ind w:left="1800" w:hanging="360"/>
      </w:pPr>
    </w:lvl>
    <w:lvl w:ilvl="3" w:tplc="7E38CE16" w:tentative="1">
      <w:start w:val="1"/>
      <w:numFmt w:val="decimal"/>
      <w:lvlText w:val="%4."/>
      <w:lvlJc w:val="left"/>
      <w:pPr>
        <w:tabs>
          <w:tab w:val="num" w:pos="2520"/>
        </w:tabs>
        <w:ind w:left="2520" w:hanging="360"/>
      </w:pPr>
    </w:lvl>
    <w:lvl w:ilvl="4" w:tplc="9CECAEC8" w:tentative="1">
      <w:start w:val="1"/>
      <w:numFmt w:val="decimal"/>
      <w:lvlText w:val="%5."/>
      <w:lvlJc w:val="left"/>
      <w:pPr>
        <w:tabs>
          <w:tab w:val="num" w:pos="3240"/>
        </w:tabs>
        <w:ind w:left="3240" w:hanging="360"/>
      </w:pPr>
    </w:lvl>
    <w:lvl w:ilvl="5" w:tplc="9C3E8CEA" w:tentative="1">
      <w:start w:val="1"/>
      <w:numFmt w:val="decimal"/>
      <w:lvlText w:val="%6."/>
      <w:lvlJc w:val="left"/>
      <w:pPr>
        <w:tabs>
          <w:tab w:val="num" w:pos="3960"/>
        </w:tabs>
        <w:ind w:left="3960" w:hanging="360"/>
      </w:pPr>
    </w:lvl>
    <w:lvl w:ilvl="6" w:tplc="60B69C42" w:tentative="1">
      <w:start w:val="1"/>
      <w:numFmt w:val="decimal"/>
      <w:lvlText w:val="%7."/>
      <w:lvlJc w:val="left"/>
      <w:pPr>
        <w:tabs>
          <w:tab w:val="num" w:pos="4680"/>
        </w:tabs>
        <w:ind w:left="4680" w:hanging="360"/>
      </w:pPr>
    </w:lvl>
    <w:lvl w:ilvl="7" w:tplc="054EDA7C" w:tentative="1">
      <w:start w:val="1"/>
      <w:numFmt w:val="decimal"/>
      <w:lvlText w:val="%8."/>
      <w:lvlJc w:val="left"/>
      <w:pPr>
        <w:tabs>
          <w:tab w:val="num" w:pos="5400"/>
        </w:tabs>
        <w:ind w:left="5400" w:hanging="360"/>
      </w:pPr>
    </w:lvl>
    <w:lvl w:ilvl="8" w:tplc="5AB07D40" w:tentative="1">
      <w:start w:val="1"/>
      <w:numFmt w:val="decimal"/>
      <w:lvlText w:val="%9."/>
      <w:lvlJc w:val="left"/>
      <w:pPr>
        <w:tabs>
          <w:tab w:val="num" w:pos="6120"/>
        </w:tabs>
        <w:ind w:left="6120" w:hanging="360"/>
      </w:pPr>
    </w:lvl>
  </w:abstractNum>
  <w:abstractNum w:abstractNumId="10" w15:restartNumberingAfterBreak="0">
    <w:nsid w:val="23E36237"/>
    <w:multiLevelType w:val="hybridMultilevel"/>
    <w:tmpl w:val="27C2A5BE"/>
    <w:lvl w:ilvl="0" w:tplc="1A14EAC2">
      <w:start w:val="1"/>
      <w:numFmt w:val="bullet"/>
      <w:lvlText w:val="o"/>
      <w:lvlJc w:val="left"/>
      <w:pPr>
        <w:tabs>
          <w:tab w:val="num" w:pos="720"/>
        </w:tabs>
        <w:ind w:left="720" w:hanging="360"/>
      </w:pPr>
      <w:rPr>
        <w:rFonts w:ascii="Courier New" w:hAnsi="Courier New" w:hint="default"/>
      </w:rPr>
    </w:lvl>
    <w:lvl w:ilvl="1" w:tplc="9BE4E764">
      <w:start w:val="1"/>
      <w:numFmt w:val="bullet"/>
      <w:lvlText w:val="o"/>
      <w:lvlJc w:val="left"/>
      <w:pPr>
        <w:tabs>
          <w:tab w:val="num" w:pos="1440"/>
        </w:tabs>
        <w:ind w:left="1440" w:hanging="360"/>
      </w:pPr>
      <w:rPr>
        <w:rFonts w:ascii="Courier New" w:hAnsi="Courier New" w:hint="default"/>
      </w:rPr>
    </w:lvl>
    <w:lvl w:ilvl="2" w:tplc="A052DF60" w:tentative="1">
      <w:start w:val="1"/>
      <w:numFmt w:val="bullet"/>
      <w:lvlText w:val="o"/>
      <w:lvlJc w:val="left"/>
      <w:pPr>
        <w:tabs>
          <w:tab w:val="num" w:pos="2160"/>
        </w:tabs>
        <w:ind w:left="2160" w:hanging="360"/>
      </w:pPr>
      <w:rPr>
        <w:rFonts w:ascii="Courier New" w:hAnsi="Courier New" w:hint="default"/>
      </w:rPr>
    </w:lvl>
    <w:lvl w:ilvl="3" w:tplc="0DE2D5D4" w:tentative="1">
      <w:start w:val="1"/>
      <w:numFmt w:val="bullet"/>
      <w:lvlText w:val="o"/>
      <w:lvlJc w:val="left"/>
      <w:pPr>
        <w:tabs>
          <w:tab w:val="num" w:pos="2880"/>
        </w:tabs>
        <w:ind w:left="2880" w:hanging="360"/>
      </w:pPr>
      <w:rPr>
        <w:rFonts w:ascii="Courier New" w:hAnsi="Courier New" w:hint="default"/>
      </w:rPr>
    </w:lvl>
    <w:lvl w:ilvl="4" w:tplc="D1B0F3BE" w:tentative="1">
      <w:start w:val="1"/>
      <w:numFmt w:val="bullet"/>
      <w:lvlText w:val="o"/>
      <w:lvlJc w:val="left"/>
      <w:pPr>
        <w:tabs>
          <w:tab w:val="num" w:pos="3600"/>
        </w:tabs>
        <w:ind w:left="3600" w:hanging="360"/>
      </w:pPr>
      <w:rPr>
        <w:rFonts w:ascii="Courier New" w:hAnsi="Courier New" w:hint="default"/>
      </w:rPr>
    </w:lvl>
    <w:lvl w:ilvl="5" w:tplc="5226F1E6" w:tentative="1">
      <w:start w:val="1"/>
      <w:numFmt w:val="bullet"/>
      <w:lvlText w:val="o"/>
      <w:lvlJc w:val="left"/>
      <w:pPr>
        <w:tabs>
          <w:tab w:val="num" w:pos="4320"/>
        </w:tabs>
        <w:ind w:left="4320" w:hanging="360"/>
      </w:pPr>
      <w:rPr>
        <w:rFonts w:ascii="Courier New" w:hAnsi="Courier New" w:hint="default"/>
      </w:rPr>
    </w:lvl>
    <w:lvl w:ilvl="6" w:tplc="C4BE268C" w:tentative="1">
      <w:start w:val="1"/>
      <w:numFmt w:val="bullet"/>
      <w:lvlText w:val="o"/>
      <w:lvlJc w:val="left"/>
      <w:pPr>
        <w:tabs>
          <w:tab w:val="num" w:pos="5040"/>
        </w:tabs>
        <w:ind w:left="5040" w:hanging="360"/>
      </w:pPr>
      <w:rPr>
        <w:rFonts w:ascii="Courier New" w:hAnsi="Courier New" w:hint="default"/>
      </w:rPr>
    </w:lvl>
    <w:lvl w:ilvl="7" w:tplc="38D810B6" w:tentative="1">
      <w:start w:val="1"/>
      <w:numFmt w:val="bullet"/>
      <w:lvlText w:val="o"/>
      <w:lvlJc w:val="left"/>
      <w:pPr>
        <w:tabs>
          <w:tab w:val="num" w:pos="5760"/>
        </w:tabs>
        <w:ind w:left="5760" w:hanging="360"/>
      </w:pPr>
      <w:rPr>
        <w:rFonts w:ascii="Courier New" w:hAnsi="Courier New" w:hint="default"/>
      </w:rPr>
    </w:lvl>
    <w:lvl w:ilvl="8" w:tplc="9AE483EE"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4DA07B5"/>
    <w:multiLevelType w:val="hybridMultilevel"/>
    <w:tmpl w:val="B136FEB4"/>
    <w:lvl w:ilvl="0" w:tplc="D25CC9DC">
      <w:start w:val="1"/>
      <w:numFmt w:val="bullet"/>
      <w:lvlText w:val="•"/>
      <w:lvlJc w:val="left"/>
      <w:pPr>
        <w:tabs>
          <w:tab w:val="num" w:pos="720"/>
        </w:tabs>
        <w:ind w:left="720" w:hanging="360"/>
      </w:pPr>
      <w:rPr>
        <w:rFonts w:ascii="Arial" w:hAnsi="Arial" w:hint="default"/>
      </w:rPr>
    </w:lvl>
    <w:lvl w:ilvl="1" w:tplc="B504CB20">
      <w:start w:val="1"/>
      <w:numFmt w:val="bullet"/>
      <w:lvlText w:val="•"/>
      <w:lvlJc w:val="left"/>
      <w:pPr>
        <w:tabs>
          <w:tab w:val="num" w:pos="1440"/>
        </w:tabs>
        <w:ind w:left="1440" w:hanging="360"/>
      </w:pPr>
      <w:rPr>
        <w:rFonts w:ascii="Arial" w:hAnsi="Arial" w:hint="default"/>
      </w:rPr>
    </w:lvl>
    <w:lvl w:ilvl="2" w:tplc="13E6CABC" w:tentative="1">
      <w:start w:val="1"/>
      <w:numFmt w:val="bullet"/>
      <w:lvlText w:val="•"/>
      <w:lvlJc w:val="left"/>
      <w:pPr>
        <w:tabs>
          <w:tab w:val="num" w:pos="2160"/>
        </w:tabs>
        <w:ind w:left="2160" w:hanging="360"/>
      </w:pPr>
      <w:rPr>
        <w:rFonts w:ascii="Arial" w:hAnsi="Arial" w:hint="default"/>
      </w:rPr>
    </w:lvl>
    <w:lvl w:ilvl="3" w:tplc="03B46148" w:tentative="1">
      <w:start w:val="1"/>
      <w:numFmt w:val="bullet"/>
      <w:lvlText w:val="•"/>
      <w:lvlJc w:val="left"/>
      <w:pPr>
        <w:tabs>
          <w:tab w:val="num" w:pos="2880"/>
        </w:tabs>
        <w:ind w:left="2880" w:hanging="360"/>
      </w:pPr>
      <w:rPr>
        <w:rFonts w:ascii="Arial" w:hAnsi="Arial" w:hint="default"/>
      </w:rPr>
    </w:lvl>
    <w:lvl w:ilvl="4" w:tplc="5B925F24" w:tentative="1">
      <w:start w:val="1"/>
      <w:numFmt w:val="bullet"/>
      <w:lvlText w:val="•"/>
      <w:lvlJc w:val="left"/>
      <w:pPr>
        <w:tabs>
          <w:tab w:val="num" w:pos="3600"/>
        </w:tabs>
        <w:ind w:left="3600" w:hanging="360"/>
      </w:pPr>
      <w:rPr>
        <w:rFonts w:ascii="Arial" w:hAnsi="Arial" w:hint="default"/>
      </w:rPr>
    </w:lvl>
    <w:lvl w:ilvl="5" w:tplc="3F725EAA" w:tentative="1">
      <w:start w:val="1"/>
      <w:numFmt w:val="bullet"/>
      <w:lvlText w:val="•"/>
      <w:lvlJc w:val="left"/>
      <w:pPr>
        <w:tabs>
          <w:tab w:val="num" w:pos="4320"/>
        </w:tabs>
        <w:ind w:left="4320" w:hanging="360"/>
      </w:pPr>
      <w:rPr>
        <w:rFonts w:ascii="Arial" w:hAnsi="Arial" w:hint="default"/>
      </w:rPr>
    </w:lvl>
    <w:lvl w:ilvl="6" w:tplc="21EE27C8" w:tentative="1">
      <w:start w:val="1"/>
      <w:numFmt w:val="bullet"/>
      <w:lvlText w:val="•"/>
      <w:lvlJc w:val="left"/>
      <w:pPr>
        <w:tabs>
          <w:tab w:val="num" w:pos="5040"/>
        </w:tabs>
        <w:ind w:left="5040" w:hanging="360"/>
      </w:pPr>
      <w:rPr>
        <w:rFonts w:ascii="Arial" w:hAnsi="Arial" w:hint="default"/>
      </w:rPr>
    </w:lvl>
    <w:lvl w:ilvl="7" w:tplc="7A8006D4" w:tentative="1">
      <w:start w:val="1"/>
      <w:numFmt w:val="bullet"/>
      <w:lvlText w:val="•"/>
      <w:lvlJc w:val="left"/>
      <w:pPr>
        <w:tabs>
          <w:tab w:val="num" w:pos="5760"/>
        </w:tabs>
        <w:ind w:left="5760" w:hanging="360"/>
      </w:pPr>
      <w:rPr>
        <w:rFonts w:ascii="Arial" w:hAnsi="Arial" w:hint="default"/>
      </w:rPr>
    </w:lvl>
    <w:lvl w:ilvl="8" w:tplc="48B480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F71B36"/>
    <w:multiLevelType w:val="hybridMultilevel"/>
    <w:tmpl w:val="4D729734"/>
    <w:lvl w:ilvl="0" w:tplc="0DC20AE4">
      <w:start w:val="1"/>
      <w:numFmt w:val="bullet"/>
      <w:lvlText w:val="•"/>
      <w:lvlJc w:val="left"/>
      <w:pPr>
        <w:tabs>
          <w:tab w:val="num" w:pos="720"/>
        </w:tabs>
        <w:ind w:left="720" w:hanging="360"/>
      </w:pPr>
      <w:rPr>
        <w:rFonts w:ascii="Arial" w:hAnsi="Arial" w:hint="default"/>
      </w:rPr>
    </w:lvl>
    <w:lvl w:ilvl="1" w:tplc="3C8294D0">
      <w:start w:val="1"/>
      <w:numFmt w:val="bullet"/>
      <w:lvlText w:val="•"/>
      <w:lvlJc w:val="left"/>
      <w:pPr>
        <w:tabs>
          <w:tab w:val="num" w:pos="1440"/>
        </w:tabs>
        <w:ind w:left="1440" w:hanging="360"/>
      </w:pPr>
      <w:rPr>
        <w:rFonts w:ascii="Arial" w:hAnsi="Arial" w:hint="default"/>
      </w:rPr>
    </w:lvl>
    <w:lvl w:ilvl="2" w:tplc="724E83FA" w:tentative="1">
      <w:start w:val="1"/>
      <w:numFmt w:val="bullet"/>
      <w:lvlText w:val="•"/>
      <w:lvlJc w:val="left"/>
      <w:pPr>
        <w:tabs>
          <w:tab w:val="num" w:pos="2160"/>
        </w:tabs>
        <w:ind w:left="2160" w:hanging="360"/>
      </w:pPr>
      <w:rPr>
        <w:rFonts w:ascii="Arial" w:hAnsi="Arial" w:hint="default"/>
      </w:rPr>
    </w:lvl>
    <w:lvl w:ilvl="3" w:tplc="78CEF284" w:tentative="1">
      <w:start w:val="1"/>
      <w:numFmt w:val="bullet"/>
      <w:lvlText w:val="•"/>
      <w:lvlJc w:val="left"/>
      <w:pPr>
        <w:tabs>
          <w:tab w:val="num" w:pos="2880"/>
        </w:tabs>
        <w:ind w:left="2880" w:hanging="360"/>
      </w:pPr>
      <w:rPr>
        <w:rFonts w:ascii="Arial" w:hAnsi="Arial" w:hint="default"/>
      </w:rPr>
    </w:lvl>
    <w:lvl w:ilvl="4" w:tplc="7104FE80" w:tentative="1">
      <w:start w:val="1"/>
      <w:numFmt w:val="bullet"/>
      <w:lvlText w:val="•"/>
      <w:lvlJc w:val="left"/>
      <w:pPr>
        <w:tabs>
          <w:tab w:val="num" w:pos="3600"/>
        </w:tabs>
        <w:ind w:left="3600" w:hanging="360"/>
      </w:pPr>
      <w:rPr>
        <w:rFonts w:ascii="Arial" w:hAnsi="Arial" w:hint="default"/>
      </w:rPr>
    </w:lvl>
    <w:lvl w:ilvl="5" w:tplc="04CA0CF8" w:tentative="1">
      <w:start w:val="1"/>
      <w:numFmt w:val="bullet"/>
      <w:lvlText w:val="•"/>
      <w:lvlJc w:val="left"/>
      <w:pPr>
        <w:tabs>
          <w:tab w:val="num" w:pos="4320"/>
        </w:tabs>
        <w:ind w:left="4320" w:hanging="360"/>
      </w:pPr>
      <w:rPr>
        <w:rFonts w:ascii="Arial" w:hAnsi="Arial" w:hint="default"/>
      </w:rPr>
    </w:lvl>
    <w:lvl w:ilvl="6" w:tplc="03E6CBD4" w:tentative="1">
      <w:start w:val="1"/>
      <w:numFmt w:val="bullet"/>
      <w:lvlText w:val="•"/>
      <w:lvlJc w:val="left"/>
      <w:pPr>
        <w:tabs>
          <w:tab w:val="num" w:pos="5040"/>
        </w:tabs>
        <w:ind w:left="5040" w:hanging="360"/>
      </w:pPr>
      <w:rPr>
        <w:rFonts w:ascii="Arial" w:hAnsi="Arial" w:hint="default"/>
      </w:rPr>
    </w:lvl>
    <w:lvl w:ilvl="7" w:tplc="0566744E" w:tentative="1">
      <w:start w:val="1"/>
      <w:numFmt w:val="bullet"/>
      <w:lvlText w:val="•"/>
      <w:lvlJc w:val="left"/>
      <w:pPr>
        <w:tabs>
          <w:tab w:val="num" w:pos="5760"/>
        </w:tabs>
        <w:ind w:left="5760" w:hanging="360"/>
      </w:pPr>
      <w:rPr>
        <w:rFonts w:ascii="Arial" w:hAnsi="Arial" w:hint="default"/>
      </w:rPr>
    </w:lvl>
    <w:lvl w:ilvl="8" w:tplc="6C6276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F64A3E"/>
    <w:multiLevelType w:val="hybridMultilevel"/>
    <w:tmpl w:val="C02E41CA"/>
    <w:lvl w:ilvl="0" w:tplc="6AEE957E">
      <w:start w:val="1"/>
      <w:numFmt w:val="bullet"/>
      <w:lvlText w:val="•"/>
      <w:lvlJc w:val="left"/>
      <w:pPr>
        <w:tabs>
          <w:tab w:val="num" w:pos="720"/>
        </w:tabs>
        <w:ind w:left="720" w:hanging="360"/>
      </w:pPr>
      <w:rPr>
        <w:rFonts w:ascii="Times New Roman" w:hAnsi="Times New Roman" w:hint="default"/>
      </w:rPr>
    </w:lvl>
    <w:lvl w:ilvl="1" w:tplc="7EF4EE62">
      <w:numFmt w:val="bullet"/>
      <w:lvlText w:val="–"/>
      <w:lvlJc w:val="left"/>
      <w:pPr>
        <w:tabs>
          <w:tab w:val="num" w:pos="1440"/>
        </w:tabs>
        <w:ind w:left="1440" w:hanging="360"/>
      </w:pPr>
      <w:rPr>
        <w:rFonts w:ascii="Calibri" w:hAnsi="Calibri" w:hint="default"/>
      </w:rPr>
    </w:lvl>
    <w:lvl w:ilvl="2" w:tplc="EAA44ADE" w:tentative="1">
      <w:start w:val="1"/>
      <w:numFmt w:val="bullet"/>
      <w:lvlText w:val="•"/>
      <w:lvlJc w:val="left"/>
      <w:pPr>
        <w:tabs>
          <w:tab w:val="num" w:pos="2160"/>
        </w:tabs>
        <w:ind w:left="2160" w:hanging="360"/>
      </w:pPr>
      <w:rPr>
        <w:rFonts w:ascii="Times New Roman" w:hAnsi="Times New Roman" w:hint="default"/>
      </w:rPr>
    </w:lvl>
    <w:lvl w:ilvl="3" w:tplc="7504B926" w:tentative="1">
      <w:start w:val="1"/>
      <w:numFmt w:val="bullet"/>
      <w:lvlText w:val="•"/>
      <w:lvlJc w:val="left"/>
      <w:pPr>
        <w:tabs>
          <w:tab w:val="num" w:pos="2880"/>
        </w:tabs>
        <w:ind w:left="2880" w:hanging="360"/>
      </w:pPr>
      <w:rPr>
        <w:rFonts w:ascii="Times New Roman" w:hAnsi="Times New Roman" w:hint="default"/>
      </w:rPr>
    </w:lvl>
    <w:lvl w:ilvl="4" w:tplc="820CA30C" w:tentative="1">
      <w:start w:val="1"/>
      <w:numFmt w:val="bullet"/>
      <w:lvlText w:val="•"/>
      <w:lvlJc w:val="left"/>
      <w:pPr>
        <w:tabs>
          <w:tab w:val="num" w:pos="3600"/>
        </w:tabs>
        <w:ind w:left="3600" w:hanging="360"/>
      </w:pPr>
      <w:rPr>
        <w:rFonts w:ascii="Times New Roman" w:hAnsi="Times New Roman" w:hint="default"/>
      </w:rPr>
    </w:lvl>
    <w:lvl w:ilvl="5" w:tplc="9EB4C892" w:tentative="1">
      <w:start w:val="1"/>
      <w:numFmt w:val="bullet"/>
      <w:lvlText w:val="•"/>
      <w:lvlJc w:val="left"/>
      <w:pPr>
        <w:tabs>
          <w:tab w:val="num" w:pos="4320"/>
        </w:tabs>
        <w:ind w:left="4320" w:hanging="360"/>
      </w:pPr>
      <w:rPr>
        <w:rFonts w:ascii="Times New Roman" w:hAnsi="Times New Roman" w:hint="default"/>
      </w:rPr>
    </w:lvl>
    <w:lvl w:ilvl="6" w:tplc="FBC69C60" w:tentative="1">
      <w:start w:val="1"/>
      <w:numFmt w:val="bullet"/>
      <w:lvlText w:val="•"/>
      <w:lvlJc w:val="left"/>
      <w:pPr>
        <w:tabs>
          <w:tab w:val="num" w:pos="5040"/>
        </w:tabs>
        <w:ind w:left="5040" w:hanging="360"/>
      </w:pPr>
      <w:rPr>
        <w:rFonts w:ascii="Times New Roman" w:hAnsi="Times New Roman" w:hint="default"/>
      </w:rPr>
    </w:lvl>
    <w:lvl w:ilvl="7" w:tplc="A70E67D0" w:tentative="1">
      <w:start w:val="1"/>
      <w:numFmt w:val="bullet"/>
      <w:lvlText w:val="•"/>
      <w:lvlJc w:val="left"/>
      <w:pPr>
        <w:tabs>
          <w:tab w:val="num" w:pos="5760"/>
        </w:tabs>
        <w:ind w:left="5760" w:hanging="360"/>
      </w:pPr>
      <w:rPr>
        <w:rFonts w:ascii="Times New Roman" w:hAnsi="Times New Roman" w:hint="default"/>
      </w:rPr>
    </w:lvl>
    <w:lvl w:ilvl="8" w:tplc="198093E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E62791"/>
    <w:multiLevelType w:val="hybridMultilevel"/>
    <w:tmpl w:val="60CE5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94C80"/>
    <w:multiLevelType w:val="hybridMultilevel"/>
    <w:tmpl w:val="27AEBB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765528"/>
    <w:multiLevelType w:val="hybridMultilevel"/>
    <w:tmpl w:val="6B00701A"/>
    <w:lvl w:ilvl="0" w:tplc="2BB2D2CE">
      <w:start w:val="1"/>
      <w:numFmt w:val="decimal"/>
      <w:lvlText w:val="%1."/>
      <w:lvlJc w:val="left"/>
      <w:pPr>
        <w:tabs>
          <w:tab w:val="num" w:pos="360"/>
        </w:tabs>
        <w:ind w:left="360" w:hanging="360"/>
      </w:pPr>
    </w:lvl>
    <w:lvl w:ilvl="1" w:tplc="D8F234AA" w:tentative="1">
      <w:start w:val="1"/>
      <w:numFmt w:val="decimal"/>
      <w:lvlText w:val="%2."/>
      <w:lvlJc w:val="left"/>
      <w:pPr>
        <w:tabs>
          <w:tab w:val="num" w:pos="1080"/>
        </w:tabs>
        <w:ind w:left="1080" w:hanging="360"/>
      </w:pPr>
    </w:lvl>
    <w:lvl w:ilvl="2" w:tplc="C3648278" w:tentative="1">
      <w:start w:val="1"/>
      <w:numFmt w:val="decimal"/>
      <w:lvlText w:val="%3."/>
      <w:lvlJc w:val="left"/>
      <w:pPr>
        <w:tabs>
          <w:tab w:val="num" w:pos="1800"/>
        </w:tabs>
        <w:ind w:left="1800" w:hanging="360"/>
      </w:pPr>
    </w:lvl>
    <w:lvl w:ilvl="3" w:tplc="B3622886" w:tentative="1">
      <w:start w:val="1"/>
      <w:numFmt w:val="decimal"/>
      <w:lvlText w:val="%4."/>
      <w:lvlJc w:val="left"/>
      <w:pPr>
        <w:tabs>
          <w:tab w:val="num" w:pos="2520"/>
        </w:tabs>
        <w:ind w:left="2520" w:hanging="360"/>
      </w:pPr>
    </w:lvl>
    <w:lvl w:ilvl="4" w:tplc="E892D628" w:tentative="1">
      <w:start w:val="1"/>
      <w:numFmt w:val="decimal"/>
      <w:lvlText w:val="%5."/>
      <w:lvlJc w:val="left"/>
      <w:pPr>
        <w:tabs>
          <w:tab w:val="num" w:pos="3240"/>
        </w:tabs>
        <w:ind w:left="3240" w:hanging="360"/>
      </w:pPr>
    </w:lvl>
    <w:lvl w:ilvl="5" w:tplc="7006210E" w:tentative="1">
      <w:start w:val="1"/>
      <w:numFmt w:val="decimal"/>
      <w:lvlText w:val="%6."/>
      <w:lvlJc w:val="left"/>
      <w:pPr>
        <w:tabs>
          <w:tab w:val="num" w:pos="3960"/>
        </w:tabs>
        <w:ind w:left="3960" w:hanging="360"/>
      </w:pPr>
    </w:lvl>
    <w:lvl w:ilvl="6" w:tplc="711C9C2C" w:tentative="1">
      <w:start w:val="1"/>
      <w:numFmt w:val="decimal"/>
      <w:lvlText w:val="%7."/>
      <w:lvlJc w:val="left"/>
      <w:pPr>
        <w:tabs>
          <w:tab w:val="num" w:pos="4680"/>
        </w:tabs>
        <w:ind w:left="4680" w:hanging="360"/>
      </w:pPr>
    </w:lvl>
    <w:lvl w:ilvl="7" w:tplc="B824ABA6" w:tentative="1">
      <w:start w:val="1"/>
      <w:numFmt w:val="decimal"/>
      <w:lvlText w:val="%8."/>
      <w:lvlJc w:val="left"/>
      <w:pPr>
        <w:tabs>
          <w:tab w:val="num" w:pos="5400"/>
        </w:tabs>
        <w:ind w:left="5400" w:hanging="360"/>
      </w:pPr>
    </w:lvl>
    <w:lvl w:ilvl="8" w:tplc="B2F620C2" w:tentative="1">
      <w:start w:val="1"/>
      <w:numFmt w:val="decimal"/>
      <w:lvlText w:val="%9."/>
      <w:lvlJc w:val="left"/>
      <w:pPr>
        <w:tabs>
          <w:tab w:val="num" w:pos="6120"/>
        </w:tabs>
        <w:ind w:left="6120" w:hanging="360"/>
      </w:pPr>
    </w:lvl>
  </w:abstractNum>
  <w:abstractNum w:abstractNumId="17" w15:restartNumberingAfterBreak="0">
    <w:nsid w:val="3199748F"/>
    <w:multiLevelType w:val="hybridMultilevel"/>
    <w:tmpl w:val="BEBA8302"/>
    <w:lvl w:ilvl="0" w:tplc="04090001">
      <w:start w:val="1"/>
      <w:numFmt w:val="bullet"/>
      <w:lvlText w:val=""/>
      <w:lvlJc w:val="left"/>
      <w:pPr>
        <w:tabs>
          <w:tab w:val="num" w:pos="720"/>
        </w:tabs>
        <w:ind w:left="720" w:hanging="360"/>
      </w:pPr>
      <w:rPr>
        <w:rFonts w:ascii="Symbol" w:hAnsi="Symbol" w:hint="default"/>
      </w:rPr>
    </w:lvl>
    <w:lvl w:ilvl="1" w:tplc="F86CF03C">
      <w:start w:val="1"/>
      <w:numFmt w:val="bullet"/>
      <w:lvlText w:val="–"/>
      <w:lvlJc w:val="left"/>
      <w:pPr>
        <w:tabs>
          <w:tab w:val="num" w:pos="1440"/>
        </w:tabs>
        <w:ind w:left="1440" w:hanging="360"/>
      </w:pPr>
      <w:rPr>
        <w:rFonts w:ascii="Calibri" w:hAnsi="Calibri" w:hint="default"/>
      </w:rPr>
    </w:lvl>
    <w:lvl w:ilvl="2" w:tplc="C0C8368C" w:tentative="1">
      <w:start w:val="1"/>
      <w:numFmt w:val="bullet"/>
      <w:lvlText w:val="–"/>
      <w:lvlJc w:val="left"/>
      <w:pPr>
        <w:tabs>
          <w:tab w:val="num" w:pos="2160"/>
        </w:tabs>
        <w:ind w:left="2160" w:hanging="360"/>
      </w:pPr>
      <w:rPr>
        <w:rFonts w:ascii="Calibri" w:hAnsi="Calibri" w:hint="default"/>
      </w:rPr>
    </w:lvl>
    <w:lvl w:ilvl="3" w:tplc="2668BE4C" w:tentative="1">
      <w:start w:val="1"/>
      <w:numFmt w:val="bullet"/>
      <w:lvlText w:val="–"/>
      <w:lvlJc w:val="left"/>
      <w:pPr>
        <w:tabs>
          <w:tab w:val="num" w:pos="2880"/>
        </w:tabs>
        <w:ind w:left="2880" w:hanging="360"/>
      </w:pPr>
      <w:rPr>
        <w:rFonts w:ascii="Calibri" w:hAnsi="Calibri" w:hint="default"/>
      </w:rPr>
    </w:lvl>
    <w:lvl w:ilvl="4" w:tplc="07849598" w:tentative="1">
      <w:start w:val="1"/>
      <w:numFmt w:val="bullet"/>
      <w:lvlText w:val="–"/>
      <w:lvlJc w:val="left"/>
      <w:pPr>
        <w:tabs>
          <w:tab w:val="num" w:pos="3600"/>
        </w:tabs>
        <w:ind w:left="3600" w:hanging="360"/>
      </w:pPr>
      <w:rPr>
        <w:rFonts w:ascii="Calibri" w:hAnsi="Calibri" w:hint="default"/>
      </w:rPr>
    </w:lvl>
    <w:lvl w:ilvl="5" w:tplc="8A2C6068" w:tentative="1">
      <w:start w:val="1"/>
      <w:numFmt w:val="bullet"/>
      <w:lvlText w:val="–"/>
      <w:lvlJc w:val="left"/>
      <w:pPr>
        <w:tabs>
          <w:tab w:val="num" w:pos="4320"/>
        </w:tabs>
        <w:ind w:left="4320" w:hanging="360"/>
      </w:pPr>
      <w:rPr>
        <w:rFonts w:ascii="Calibri" w:hAnsi="Calibri" w:hint="default"/>
      </w:rPr>
    </w:lvl>
    <w:lvl w:ilvl="6" w:tplc="ECC28C44" w:tentative="1">
      <w:start w:val="1"/>
      <w:numFmt w:val="bullet"/>
      <w:lvlText w:val="–"/>
      <w:lvlJc w:val="left"/>
      <w:pPr>
        <w:tabs>
          <w:tab w:val="num" w:pos="5040"/>
        </w:tabs>
        <w:ind w:left="5040" w:hanging="360"/>
      </w:pPr>
      <w:rPr>
        <w:rFonts w:ascii="Calibri" w:hAnsi="Calibri" w:hint="default"/>
      </w:rPr>
    </w:lvl>
    <w:lvl w:ilvl="7" w:tplc="7DE6727E" w:tentative="1">
      <w:start w:val="1"/>
      <w:numFmt w:val="bullet"/>
      <w:lvlText w:val="–"/>
      <w:lvlJc w:val="left"/>
      <w:pPr>
        <w:tabs>
          <w:tab w:val="num" w:pos="5760"/>
        </w:tabs>
        <w:ind w:left="5760" w:hanging="360"/>
      </w:pPr>
      <w:rPr>
        <w:rFonts w:ascii="Calibri" w:hAnsi="Calibri" w:hint="default"/>
      </w:rPr>
    </w:lvl>
    <w:lvl w:ilvl="8" w:tplc="B14EADDC"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1DD1DBB"/>
    <w:multiLevelType w:val="hybridMultilevel"/>
    <w:tmpl w:val="6464A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04C5E"/>
    <w:multiLevelType w:val="hybridMultilevel"/>
    <w:tmpl w:val="200CF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70F93"/>
    <w:multiLevelType w:val="hybridMultilevel"/>
    <w:tmpl w:val="6E3C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532072"/>
    <w:multiLevelType w:val="hybridMultilevel"/>
    <w:tmpl w:val="E3EC60B2"/>
    <w:lvl w:ilvl="0" w:tplc="1AB88384">
      <w:start w:val="1"/>
      <w:numFmt w:val="bullet"/>
      <w:lvlText w:val="–"/>
      <w:lvlJc w:val="left"/>
      <w:pPr>
        <w:tabs>
          <w:tab w:val="num" w:pos="720"/>
        </w:tabs>
        <w:ind w:left="720" w:hanging="360"/>
      </w:pPr>
      <w:rPr>
        <w:rFonts w:ascii="Calibri" w:hAnsi="Calibri" w:hint="default"/>
      </w:rPr>
    </w:lvl>
    <w:lvl w:ilvl="1" w:tplc="F306F176">
      <w:start w:val="1"/>
      <w:numFmt w:val="bullet"/>
      <w:lvlText w:val="–"/>
      <w:lvlJc w:val="left"/>
      <w:pPr>
        <w:tabs>
          <w:tab w:val="num" w:pos="1440"/>
        </w:tabs>
        <w:ind w:left="1440" w:hanging="360"/>
      </w:pPr>
      <w:rPr>
        <w:rFonts w:ascii="Calibri" w:hAnsi="Calibri" w:hint="default"/>
      </w:rPr>
    </w:lvl>
    <w:lvl w:ilvl="2" w:tplc="DCCE8306" w:tentative="1">
      <w:start w:val="1"/>
      <w:numFmt w:val="bullet"/>
      <w:lvlText w:val="–"/>
      <w:lvlJc w:val="left"/>
      <w:pPr>
        <w:tabs>
          <w:tab w:val="num" w:pos="2160"/>
        </w:tabs>
        <w:ind w:left="2160" w:hanging="360"/>
      </w:pPr>
      <w:rPr>
        <w:rFonts w:ascii="Calibri" w:hAnsi="Calibri" w:hint="default"/>
      </w:rPr>
    </w:lvl>
    <w:lvl w:ilvl="3" w:tplc="E90AC2BC" w:tentative="1">
      <w:start w:val="1"/>
      <w:numFmt w:val="bullet"/>
      <w:lvlText w:val="–"/>
      <w:lvlJc w:val="left"/>
      <w:pPr>
        <w:tabs>
          <w:tab w:val="num" w:pos="2880"/>
        </w:tabs>
        <w:ind w:left="2880" w:hanging="360"/>
      </w:pPr>
      <w:rPr>
        <w:rFonts w:ascii="Calibri" w:hAnsi="Calibri" w:hint="default"/>
      </w:rPr>
    </w:lvl>
    <w:lvl w:ilvl="4" w:tplc="5EC649B0" w:tentative="1">
      <w:start w:val="1"/>
      <w:numFmt w:val="bullet"/>
      <w:lvlText w:val="–"/>
      <w:lvlJc w:val="left"/>
      <w:pPr>
        <w:tabs>
          <w:tab w:val="num" w:pos="3600"/>
        </w:tabs>
        <w:ind w:left="3600" w:hanging="360"/>
      </w:pPr>
      <w:rPr>
        <w:rFonts w:ascii="Calibri" w:hAnsi="Calibri" w:hint="default"/>
      </w:rPr>
    </w:lvl>
    <w:lvl w:ilvl="5" w:tplc="7916DF3C" w:tentative="1">
      <w:start w:val="1"/>
      <w:numFmt w:val="bullet"/>
      <w:lvlText w:val="–"/>
      <w:lvlJc w:val="left"/>
      <w:pPr>
        <w:tabs>
          <w:tab w:val="num" w:pos="4320"/>
        </w:tabs>
        <w:ind w:left="4320" w:hanging="360"/>
      </w:pPr>
      <w:rPr>
        <w:rFonts w:ascii="Calibri" w:hAnsi="Calibri" w:hint="default"/>
      </w:rPr>
    </w:lvl>
    <w:lvl w:ilvl="6" w:tplc="82BAB0AC" w:tentative="1">
      <w:start w:val="1"/>
      <w:numFmt w:val="bullet"/>
      <w:lvlText w:val="–"/>
      <w:lvlJc w:val="left"/>
      <w:pPr>
        <w:tabs>
          <w:tab w:val="num" w:pos="5040"/>
        </w:tabs>
        <w:ind w:left="5040" w:hanging="360"/>
      </w:pPr>
      <w:rPr>
        <w:rFonts w:ascii="Calibri" w:hAnsi="Calibri" w:hint="default"/>
      </w:rPr>
    </w:lvl>
    <w:lvl w:ilvl="7" w:tplc="3334B370" w:tentative="1">
      <w:start w:val="1"/>
      <w:numFmt w:val="bullet"/>
      <w:lvlText w:val="–"/>
      <w:lvlJc w:val="left"/>
      <w:pPr>
        <w:tabs>
          <w:tab w:val="num" w:pos="5760"/>
        </w:tabs>
        <w:ind w:left="5760" w:hanging="360"/>
      </w:pPr>
      <w:rPr>
        <w:rFonts w:ascii="Calibri" w:hAnsi="Calibri" w:hint="default"/>
      </w:rPr>
    </w:lvl>
    <w:lvl w:ilvl="8" w:tplc="78001D66"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3ACC6392"/>
    <w:multiLevelType w:val="hybridMultilevel"/>
    <w:tmpl w:val="1E52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865F0E"/>
    <w:multiLevelType w:val="hybridMultilevel"/>
    <w:tmpl w:val="A81A9730"/>
    <w:lvl w:ilvl="0" w:tplc="A7BA2C5E">
      <w:start w:val="1"/>
      <w:numFmt w:val="decimal"/>
      <w:lvlText w:val="%1."/>
      <w:lvlJc w:val="left"/>
      <w:pPr>
        <w:tabs>
          <w:tab w:val="num" w:pos="360"/>
        </w:tabs>
        <w:ind w:left="360" w:hanging="360"/>
      </w:pPr>
    </w:lvl>
    <w:lvl w:ilvl="1" w:tplc="92F42420" w:tentative="1">
      <w:start w:val="1"/>
      <w:numFmt w:val="decimal"/>
      <w:lvlText w:val="%2."/>
      <w:lvlJc w:val="left"/>
      <w:pPr>
        <w:tabs>
          <w:tab w:val="num" w:pos="1080"/>
        </w:tabs>
        <w:ind w:left="1080" w:hanging="360"/>
      </w:pPr>
    </w:lvl>
    <w:lvl w:ilvl="2" w:tplc="34040A82" w:tentative="1">
      <w:start w:val="1"/>
      <w:numFmt w:val="decimal"/>
      <w:lvlText w:val="%3."/>
      <w:lvlJc w:val="left"/>
      <w:pPr>
        <w:tabs>
          <w:tab w:val="num" w:pos="1800"/>
        </w:tabs>
        <w:ind w:left="1800" w:hanging="360"/>
      </w:pPr>
    </w:lvl>
    <w:lvl w:ilvl="3" w:tplc="6E04206E" w:tentative="1">
      <w:start w:val="1"/>
      <w:numFmt w:val="decimal"/>
      <w:lvlText w:val="%4."/>
      <w:lvlJc w:val="left"/>
      <w:pPr>
        <w:tabs>
          <w:tab w:val="num" w:pos="2520"/>
        </w:tabs>
        <w:ind w:left="2520" w:hanging="360"/>
      </w:pPr>
    </w:lvl>
    <w:lvl w:ilvl="4" w:tplc="8744B5F6" w:tentative="1">
      <w:start w:val="1"/>
      <w:numFmt w:val="decimal"/>
      <w:lvlText w:val="%5."/>
      <w:lvlJc w:val="left"/>
      <w:pPr>
        <w:tabs>
          <w:tab w:val="num" w:pos="3240"/>
        </w:tabs>
        <w:ind w:left="3240" w:hanging="360"/>
      </w:pPr>
    </w:lvl>
    <w:lvl w:ilvl="5" w:tplc="1B8C2102" w:tentative="1">
      <w:start w:val="1"/>
      <w:numFmt w:val="decimal"/>
      <w:lvlText w:val="%6."/>
      <w:lvlJc w:val="left"/>
      <w:pPr>
        <w:tabs>
          <w:tab w:val="num" w:pos="3960"/>
        </w:tabs>
        <w:ind w:left="3960" w:hanging="360"/>
      </w:pPr>
    </w:lvl>
    <w:lvl w:ilvl="6" w:tplc="9DAC3DB0" w:tentative="1">
      <w:start w:val="1"/>
      <w:numFmt w:val="decimal"/>
      <w:lvlText w:val="%7."/>
      <w:lvlJc w:val="left"/>
      <w:pPr>
        <w:tabs>
          <w:tab w:val="num" w:pos="4680"/>
        </w:tabs>
        <w:ind w:left="4680" w:hanging="360"/>
      </w:pPr>
    </w:lvl>
    <w:lvl w:ilvl="7" w:tplc="DF8A34AA" w:tentative="1">
      <w:start w:val="1"/>
      <w:numFmt w:val="decimal"/>
      <w:lvlText w:val="%8."/>
      <w:lvlJc w:val="left"/>
      <w:pPr>
        <w:tabs>
          <w:tab w:val="num" w:pos="5400"/>
        </w:tabs>
        <w:ind w:left="5400" w:hanging="360"/>
      </w:pPr>
    </w:lvl>
    <w:lvl w:ilvl="8" w:tplc="D57C7C7C" w:tentative="1">
      <w:start w:val="1"/>
      <w:numFmt w:val="decimal"/>
      <w:lvlText w:val="%9."/>
      <w:lvlJc w:val="left"/>
      <w:pPr>
        <w:tabs>
          <w:tab w:val="num" w:pos="6120"/>
        </w:tabs>
        <w:ind w:left="6120" w:hanging="360"/>
      </w:pPr>
    </w:lvl>
  </w:abstractNum>
  <w:abstractNum w:abstractNumId="24" w15:restartNumberingAfterBreak="0">
    <w:nsid w:val="425C7DA9"/>
    <w:multiLevelType w:val="hybridMultilevel"/>
    <w:tmpl w:val="311A1F2C"/>
    <w:lvl w:ilvl="0" w:tplc="4858EAEE">
      <w:start w:val="1"/>
      <w:numFmt w:val="bullet"/>
      <w:lvlText w:val="•"/>
      <w:lvlJc w:val="left"/>
      <w:pPr>
        <w:tabs>
          <w:tab w:val="num" w:pos="720"/>
        </w:tabs>
        <w:ind w:left="720" w:hanging="360"/>
      </w:pPr>
      <w:rPr>
        <w:rFonts w:ascii="Arial" w:hAnsi="Arial" w:hint="default"/>
      </w:rPr>
    </w:lvl>
    <w:lvl w:ilvl="1" w:tplc="3D64B2D2">
      <w:numFmt w:val="bullet"/>
      <w:lvlText w:val="–"/>
      <w:lvlJc w:val="left"/>
      <w:pPr>
        <w:tabs>
          <w:tab w:val="num" w:pos="1440"/>
        </w:tabs>
        <w:ind w:left="1440" w:hanging="360"/>
      </w:pPr>
      <w:rPr>
        <w:rFonts w:ascii="Calibri" w:hAnsi="Calibri" w:hint="default"/>
      </w:rPr>
    </w:lvl>
    <w:lvl w:ilvl="2" w:tplc="D328448A" w:tentative="1">
      <w:start w:val="1"/>
      <w:numFmt w:val="bullet"/>
      <w:lvlText w:val="•"/>
      <w:lvlJc w:val="left"/>
      <w:pPr>
        <w:tabs>
          <w:tab w:val="num" w:pos="2160"/>
        </w:tabs>
        <w:ind w:left="2160" w:hanging="360"/>
      </w:pPr>
      <w:rPr>
        <w:rFonts w:ascii="Arial" w:hAnsi="Arial" w:hint="default"/>
      </w:rPr>
    </w:lvl>
    <w:lvl w:ilvl="3" w:tplc="EBA8277A" w:tentative="1">
      <w:start w:val="1"/>
      <w:numFmt w:val="bullet"/>
      <w:lvlText w:val="•"/>
      <w:lvlJc w:val="left"/>
      <w:pPr>
        <w:tabs>
          <w:tab w:val="num" w:pos="2880"/>
        </w:tabs>
        <w:ind w:left="2880" w:hanging="360"/>
      </w:pPr>
      <w:rPr>
        <w:rFonts w:ascii="Arial" w:hAnsi="Arial" w:hint="default"/>
      </w:rPr>
    </w:lvl>
    <w:lvl w:ilvl="4" w:tplc="F87074B6" w:tentative="1">
      <w:start w:val="1"/>
      <w:numFmt w:val="bullet"/>
      <w:lvlText w:val="•"/>
      <w:lvlJc w:val="left"/>
      <w:pPr>
        <w:tabs>
          <w:tab w:val="num" w:pos="3600"/>
        </w:tabs>
        <w:ind w:left="3600" w:hanging="360"/>
      </w:pPr>
      <w:rPr>
        <w:rFonts w:ascii="Arial" w:hAnsi="Arial" w:hint="default"/>
      </w:rPr>
    </w:lvl>
    <w:lvl w:ilvl="5" w:tplc="02ACE538" w:tentative="1">
      <w:start w:val="1"/>
      <w:numFmt w:val="bullet"/>
      <w:lvlText w:val="•"/>
      <w:lvlJc w:val="left"/>
      <w:pPr>
        <w:tabs>
          <w:tab w:val="num" w:pos="4320"/>
        </w:tabs>
        <w:ind w:left="4320" w:hanging="360"/>
      </w:pPr>
      <w:rPr>
        <w:rFonts w:ascii="Arial" w:hAnsi="Arial" w:hint="default"/>
      </w:rPr>
    </w:lvl>
    <w:lvl w:ilvl="6" w:tplc="43F2226A" w:tentative="1">
      <w:start w:val="1"/>
      <w:numFmt w:val="bullet"/>
      <w:lvlText w:val="•"/>
      <w:lvlJc w:val="left"/>
      <w:pPr>
        <w:tabs>
          <w:tab w:val="num" w:pos="5040"/>
        </w:tabs>
        <w:ind w:left="5040" w:hanging="360"/>
      </w:pPr>
      <w:rPr>
        <w:rFonts w:ascii="Arial" w:hAnsi="Arial" w:hint="default"/>
      </w:rPr>
    </w:lvl>
    <w:lvl w:ilvl="7" w:tplc="B1EC30E0" w:tentative="1">
      <w:start w:val="1"/>
      <w:numFmt w:val="bullet"/>
      <w:lvlText w:val="•"/>
      <w:lvlJc w:val="left"/>
      <w:pPr>
        <w:tabs>
          <w:tab w:val="num" w:pos="5760"/>
        </w:tabs>
        <w:ind w:left="5760" w:hanging="360"/>
      </w:pPr>
      <w:rPr>
        <w:rFonts w:ascii="Arial" w:hAnsi="Arial" w:hint="default"/>
      </w:rPr>
    </w:lvl>
    <w:lvl w:ilvl="8" w:tplc="81FC18F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C301EF"/>
    <w:multiLevelType w:val="hybridMultilevel"/>
    <w:tmpl w:val="D222D9F4"/>
    <w:lvl w:ilvl="0" w:tplc="0BE6C46E">
      <w:start w:val="1"/>
      <w:numFmt w:val="bullet"/>
      <w:lvlText w:val="o"/>
      <w:lvlJc w:val="left"/>
      <w:pPr>
        <w:tabs>
          <w:tab w:val="num" w:pos="720"/>
        </w:tabs>
        <w:ind w:left="720" w:hanging="360"/>
      </w:pPr>
      <w:rPr>
        <w:rFonts w:ascii="Courier New" w:hAnsi="Courier New" w:hint="default"/>
      </w:rPr>
    </w:lvl>
    <w:lvl w:ilvl="1" w:tplc="4AEEF3A8">
      <w:start w:val="1"/>
      <w:numFmt w:val="bullet"/>
      <w:lvlText w:val="o"/>
      <w:lvlJc w:val="left"/>
      <w:pPr>
        <w:tabs>
          <w:tab w:val="num" w:pos="1440"/>
        </w:tabs>
        <w:ind w:left="1440" w:hanging="360"/>
      </w:pPr>
      <w:rPr>
        <w:rFonts w:ascii="Courier New" w:hAnsi="Courier New" w:hint="default"/>
      </w:rPr>
    </w:lvl>
    <w:lvl w:ilvl="2" w:tplc="0E786A4E">
      <w:numFmt w:val="bullet"/>
      <w:lvlText w:val=""/>
      <w:lvlJc w:val="left"/>
      <w:pPr>
        <w:tabs>
          <w:tab w:val="num" w:pos="2160"/>
        </w:tabs>
        <w:ind w:left="2160" w:hanging="360"/>
      </w:pPr>
      <w:rPr>
        <w:rFonts w:ascii="Wingdings" w:hAnsi="Wingdings" w:hint="default"/>
      </w:rPr>
    </w:lvl>
    <w:lvl w:ilvl="3" w:tplc="A214681E" w:tentative="1">
      <w:start w:val="1"/>
      <w:numFmt w:val="bullet"/>
      <w:lvlText w:val="o"/>
      <w:lvlJc w:val="left"/>
      <w:pPr>
        <w:tabs>
          <w:tab w:val="num" w:pos="2880"/>
        </w:tabs>
        <w:ind w:left="2880" w:hanging="360"/>
      </w:pPr>
      <w:rPr>
        <w:rFonts w:ascii="Courier New" w:hAnsi="Courier New" w:hint="default"/>
      </w:rPr>
    </w:lvl>
    <w:lvl w:ilvl="4" w:tplc="BE0A35F0" w:tentative="1">
      <w:start w:val="1"/>
      <w:numFmt w:val="bullet"/>
      <w:lvlText w:val="o"/>
      <w:lvlJc w:val="left"/>
      <w:pPr>
        <w:tabs>
          <w:tab w:val="num" w:pos="3600"/>
        </w:tabs>
        <w:ind w:left="3600" w:hanging="360"/>
      </w:pPr>
      <w:rPr>
        <w:rFonts w:ascii="Courier New" w:hAnsi="Courier New" w:hint="default"/>
      </w:rPr>
    </w:lvl>
    <w:lvl w:ilvl="5" w:tplc="876E3252" w:tentative="1">
      <w:start w:val="1"/>
      <w:numFmt w:val="bullet"/>
      <w:lvlText w:val="o"/>
      <w:lvlJc w:val="left"/>
      <w:pPr>
        <w:tabs>
          <w:tab w:val="num" w:pos="4320"/>
        </w:tabs>
        <w:ind w:left="4320" w:hanging="360"/>
      </w:pPr>
      <w:rPr>
        <w:rFonts w:ascii="Courier New" w:hAnsi="Courier New" w:hint="default"/>
      </w:rPr>
    </w:lvl>
    <w:lvl w:ilvl="6" w:tplc="EAE01160" w:tentative="1">
      <w:start w:val="1"/>
      <w:numFmt w:val="bullet"/>
      <w:lvlText w:val="o"/>
      <w:lvlJc w:val="left"/>
      <w:pPr>
        <w:tabs>
          <w:tab w:val="num" w:pos="5040"/>
        </w:tabs>
        <w:ind w:left="5040" w:hanging="360"/>
      </w:pPr>
      <w:rPr>
        <w:rFonts w:ascii="Courier New" w:hAnsi="Courier New" w:hint="default"/>
      </w:rPr>
    </w:lvl>
    <w:lvl w:ilvl="7" w:tplc="15DE40A8" w:tentative="1">
      <w:start w:val="1"/>
      <w:numFmt w:val="bullet"/>
      <w:lvlText w:val="o"/>
      <w:lvlJc w:val="left"/>
      <w:pPr>
        <w:tabs>
          <w:tab w:val="num" w:pos="5760"/>
        </w:tabs>
        <w:ind w:left="5760" w:hanging="360"/>
      </w:pPr>
      <w:rPr>
        <w:rFonts w:ascii="Courier New" w:hAnsi="Courier New" w:hint="default"/>
      </w:rPr>
    </w:lvl>
    <w:lvl w:ilvl="8" w:tplc="B6A6B694"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508055E"/>
    <w:multiLevelType w:val="hybridMultilevel"/>
    <w:tmpl w:val="227AE99E"/>
    <w:lvl w:ilvl="0" w:tplc="10363BF6">
      <w:start w:val="1"/>
      <w:numFmt w:val="bullet"/>
      <w:lvlText w:val="o"/>
      <w:lvlJc w:val="left"/>
      <w:pPr>
        <w:tabs>
          <w:tab w:val="num" w:pos="720"/>
        </w:tabs>
        <w:ind w:left="720" w:hanging="360"/>
      </w:pPr>
      <w:rPr>
        <w:rFonts w:ascii="Courier New" w:hAnsi="Courier New" w:hint="default"/>
      </w:rPr>
    </w:lvl>
    <w:lvl w:ilvl="1" w:tplc="D278C748">
      <w:start w:val="1"/>
      <w:numFmt w:val="bullet"/>
      <w:lvlText w:val="o"/>
      <w:lvlJc w:val="left"/>
      <w:pPr>
        <w:tabs>
          <w:tab w:val="num" w:pos="1440"/>
        </w:tabs>
        <w:ind w:left="1440" w:hanging="360"/>
      </w:pPr>
      <w:rPr>
        <w:rFonts w:ascii="Courier New" w:hAnsi="Courier New" w:hint="default"/>
      </w:rPr>
    </w:lvl>
    <w:lvl w:ilvl="2" w:tplc="8C1CAF9C" w:tentative="1">
      <w:start w:val="1"/>
      <w:numFmt w:val="bullet"/>
      <w:lvlText w:val="o"/>
      <w:lvlJc w:val="left"/>
      <w:pPr>
        <w:tabs>
          <w:tab w:val="num" w:pos="2160"/>
        </w:tabs>
        <w:ind w:left="2160" w:hanging="360"/>
      </w:pPr>
      <w:rPr>
        <w:rFonts w:ascii="Courier New" w:hAnsi="Courier New" w:hint="default"/>
      </w:rPr>
    </w:lvl>
    <w:lvl w:ilvl="3" w:tplc="A372EFEA" w:tentative="1">
      <w:start w:val="1"/>
      <w:numFmt w:val="bullet"/>
      <w:lvlText w:val="o"/>
      <w:lvlJc w:val="left"/>
      <w:pPr>
        <w:tabs>
          <w:tab w:val="num" w:pos="2880"/>
        </w:tabs>
        <w:ind w:left="2880" w:hanging="360"/>
      </w:pPr>
      <w:rPr>
        <w:rFonts w:ascii="Courier New" w:hAnsi="Courier New" w:hint="default"/>
      </w:rPr>
    </w:lvl>
    <w:lvl w:ilvl="4" w:tplc="70784604" w:tentative="1">
      <w:start w:val="1"/>
      <w:numFmt w:val="bullet"/>
      <w:lvlText w:val="o"/>
      <w:lvlJc w:val="left"/>
      <w:pPr>
        <w:tabs>
          <w:tab w:val="num" w:pos="3600"/>
        </w:tabs>
        <w:ind w:left="3600" w:hanging="360"/>
      </w:pPr>
      <w:rPr>
        <w:rFonts w:ascii="Courier New" w:hAnsi="Courier New" w:hint="default"/>
      </w:rPr>
    </w:lvl>
    <w:lvl w:ilvl="5" w:tplc="69F6671C" w:tentative="1">
      <w:start w:val="1"/>
      <w:numFmt w:val="bullet"/>
      <w:lvlText w:val="o"/>
      <w:lvlJc w:val="left"/>
      <w:pPr>
        <w:tabs>
          <w:tab w:val="num" w:pos="4320"/>
        </w:tabs>
        <w:ind w:left="4320" w:hanging="360"/>
      </w:pPr>
      <w:rPr>
        <w:rFonts w:ascii="Courier New" w:hAnsi="Courier New" w:hint="default"/>
      </w:rPr>
    </w:lvl>
    <w:lvl w:ilvl="6" w:tplc="2A0EC850" w:tentative="1">
      <w:start w:val="1"/>
      <w:numFmt w:val="bullet"/>
      <w:lvlText w:val="o"/>
      <w:lvlJc w:val="left"/>
      <w:pPr>
        <w:tabs>
          <w:tab w:val="num" w:pos="5040"/>
        </w:tabs>
        <w:ind w:left="5040" w:hanging="360"/>
      </w:pPr>
      <w:rPr>
        <w:rFonts w:ascii="Courier New" w:hAnsi="Courier New" w:hint="default"/>
      </w:rPr>
    </w:lvl>
    <w:lvl w:ilvl="7" w:tplc="1F94C974" w:tentative="1">
      <w:start w:val="1"/>
      <w:numFmt w:val="bullet"/>
      <w:lvlText w:val="o"/>
      <w:lvlJc w:val="left"/>
      <w:pPr>
        <w:tabs>
          <w:tab w:val="num" w:pos="5760"/>
        </w:tabs>
        <w:ind w:left="5760" w:hanging="360"/>
      </w:pPr>
      <w:rPr>
        <w:rFonts w:ascii="Courier New" w:hAnsi="Courier New" w:hint="default"/>
      </w:rPr>
    </w:lvl>
    <w:lvl w:ilvl="8" w:tplc="E3B8C9BA"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49AD2D04"/>
    <w:multiLevelType w:val="hybridMultilevel"/>
    <w:tmpl w:val="23F86DF6"/>
    <w:lvl w:ilvl="0" w:tplc="161699A2">
      <w:start w:val="1"/>
      <w:numFmt w:val="decimal"/>
      <w:lvlText w:val="%1."/>
      <w:lvlJc w:val="left"/>
      <w:pPr>
        <w:tabs>
          <w:tab w:val="num" w:pos="360"/>
        </w:tabs>
        <w:ind w:left="360" w:hanging="360"/>
      </w:pPr>
      <w:rPr>
        <w:rFonts w:asciiTheme="minorHAnsi" w:eastAsiaTheme="minorHAnsi" w:hAnsiTheme="minorHAnsi" w:cstheme="minorBidi"/>
      </w:rPr>
    </w:lvl>
    <w:lvl w:ilvl="1" w:tplc="387084BC" w:tentative="1">
      <w:start w:val="1"/>
      <w:numFmt w:val="decimal"/>
      <w:lvlText w:val="%2."/>
      <w:lvlJc w:val="left"/>
      <w:pPr>
        <w:tabs>
          <w:tab w:val="num" w:pos="1080"/>
        </w:tabs>
        <w:ind w:left="1080" w:hanging="360"/>
      </w:pPr>
    </w:lvl>
    <w:lvl w:ilvl="2" w:tplc="B4FA7CD6" w:tentative="1">
      <w:start w:val="1"/>
      <w:numFmt w:val="decimal"/>
      <w:lvlText w:val="%3."/>
      <w:lvlJc w:val="left"/>
      <w:pPr>
        <w:tabs>
          <w:tab w:val="num" w:pos="1800"/>
        </w:tabs>
        <w:ind w:left="1800" w:hanging="360"/>
      </w:pPr>
    </w:lvl>
    <w:lvl w:ilvl="3" w:tplc="C01455A0" w:tentative="1">
      <w:start w:val="1"/>
      <w:numFmt w:val="decimal"/>
      <w:lvlText w:val="%4."/>
      <w:lvlJc w:val="left"/>
      <w:pPr>
        <w:tabs>
          <w:tab w:val="num" w:pos="2520"/>
        </w:tabs>
        <w:ind w:left="2520" w:hanging="360"/>
      </w:pPr>
    </w:lvl>
    <w:lvl w:ilvl="4" w:tplc="2EA27CD4" w:tentative="1">
      <w:start w:val="1"/>
      <w:numFmt w:val="decimal"/>
      <w:lvlText w:val="%5."/>
      <w:lvlJc w:val="left"/>
      <w:pPr>
        <w:tabs>
          <w:tab w:val="num" w:pos="3240"/>
        </w:tabs>
        <w:ind w:left="3240" w:hanging="360"/>
      </w:pPr>
    </w:lvl>
    <w:lvl w:ilvl="5" w:tplc="4E6E415C" w:tentative="1">
      <w:start w:val="1"/>
      <w:numFmt w:val="decimal"/>
      <w:lvlText w:val="%6."/>
      <w:lvlJc w:val="left"/>
      <w:pPr>
        <w:tabs>
          <w:tab w:val="num" w:pos="3960"/>
        </w:tabs>
        <w:ind w:left="3960" w:hanging="360"/>
      </w:pPr>
    </w:lvl>
    <w:lvl w:ilvl="6" w:tplc="DAF0BFE0" w:tentative="1">
      <w:start w:val="1"/>
      <w:numFmt w:val="decimal"/>
      <w:lvlText w:val="%7."/>
      <w:lvlJc w:val="left"/>
      <w:pPr>
        <w:tabs>
          <w:tab w:val="num" w:pos="4680"/>
        </w:tabs>
        <w:ind w:left="4680" w:hanging="360"/>
      </w:pPr>
    </w:lvl>
    <w:lvl w:ilvl="7" w:tplc="A454DE92" w:tentative="1">
      <w:start w:val="1"/>
      <w:numFmt w:val="decimal"/>
      <w:lvlText w:val="%8."/>
      <w:lvlJc w:val="left"/>
      <w:pPr>
        <w:tabs>
          <w:tab w:val="num" w:pos="5400"/>
        </w:tabs>
        <w:ind w:left="5400" w:hanging="360"/>
      </w:pPr>
    </w:lvl>
    <w:lvl w:ilvl="8" w:tplc="17B4AD52" w:tentative="1">
      <w:start w:val="1"/>
      <w:numFmt w:val="decimal"/>
      <w:lvlText w:val="%9."/>
      <w:lvlJc w:val="left"/>
      <w:pPr>
        <w:tabs>
          <w:tab w:val="num" w:pos="6120"/>
        </w:tabs>
        <w:ind w:left="6120" w:hanging="360"/>
      </w:pPr>
    </w:lvl>
  </w:abstractNum>
  <w:abstractNum w:abstractNumId="28" w15:restartNumberingAfterBreak="0">
    <w:nsid w:val="4EA84554"/>
    <w:multiLevelType w:val="hybridMultilevel"/>
    <w:tmpl w:val="B854DF02"/>
    <w:lvl w:ilvl="0" w:tplc="ED8A622C">
      <w:start w:val="1"/>
      <w:numFmt w:val="bullet"/>
      <w:lvlText w:val="o"/>
      <w:lvlJc w:val="left"/>
      <w:pPr>
        <w:tabs>
          <w:tab w:val="num" w:pos="720"/>
        </w:tabs>
        <w:ind w:left="720" w:hanging="360"/>
      </w:pPr>
      <w:rPr>
        <w:rFonts w:ascii="Courier New" w:hAnsi="Courier New" w:hint="default"/>
      </w:rPr>
    </w:lvl>
    <w:lvl w:ilvl="1" w:tplc="B52830B2">
      <w:start w:val="1"/>
      <w:numFmt w:val="bullet"/>
      <w:lvlText w:val="o"/>
      <w:lvlJc w:val="left"/>
      <w:pPr>
        <w:tabs>
          <w:tab w:val="num" w:pos="1440"/>
        </w:tabs>
        <w:ind w:left="1440" w:hanging="360"/>
      </w:pPr>
      <w:rPr>
        <w:rFonts w:ascii="Courier New" w:hAnsi="Courier New" w:hint="default"/>
      </w:rPr>
    </w:lvl>
    <w:lvl w:ilvl="2" w:tplc="800E17A4">
      <w:numFmt w:val="bullet"/>
      <w:lvlText w:val=""/>
      <w:lvlJc w:val="left"/>
      <w:pPr>
        <w:tabs>
          <w:tab w:val="num" w:pos="2160"/>
        </w:tabs>
        <w:ind w:left="2160" w:hanging="360"/>
      </w:pPr>
      <w:rPr>
        <w:rFonts w:ascii="Wingdings" w:hAnsi="Wingdings" w:hint="default"/>
      </w:rPr>
    </w:lvl>
    <w:lvl w:ilvl="3" w:tplc="4274C6FA" w:tentative="1">
      <w:start w:val="1"/>
      <w:numFmt w:val="bullet"/>
      <w:lvlText w:val="o"/>
      <w:lvlJc w:val="left"/>
      <w:pPr>
        <w:tabs>
          <w:tab w:val="num" w:pos="2880"/>
        </w:tabs>
        <w:ind w:left="2880" w:hanging="360"/>
      </w:pPr>
      <w:rPr>
        <w:rFonts w:ascii="Courier New" w:hAnsi="Courier New" w:hint="default"/>
      </w:rPr>
    </w:lvl>
    <w:lvl w:ilvl="4" w:tplc="06F89502" w:tentative="1">
      <w:start w:val="1"/>
      <w:numFmt w:val="bullet"/>
      <w:lvlText w:val="o"/>
      <w:lvlJc w:val="left"/>
      <w:pPr>
        <w:tabs>
          <w:tab w:val="num" w:pos="3600"/>
        </w:tabs>
        <w:ind w:left="3600" w:hanging="360"/>
      </w:pPr>
      <w:rPr>
        <w:rFonts w:ascii="Courier New" w:hAnsi="Courier New" w:hint="default"/>
      </w:rPr>
    </w:lvl>
    <w:lvl w:ilvl="5" w:tplc="12A2148E" w:tentative="1">
      <w:start w:val="1"/>
      <w:numFmt w:val="bullet"/>
      <w:lvlText w:val="o"/>
      <w:lvlJc w:val="left"/>
      <w:pPr>
        <w:tabs>
          <w:tab w:val="num" w:pos="4320"/>
        </w:tabs>
        <w:ind w:left="4320" w:hanging="360"/>
      </w:pPr>
      <w:rPr>
        <w:rFonts w:ascii="Courier New" w:hAnsi="Courier New" w:hint="default"/>
      </w:rPr>
    </w:lvl>
    <w:lvl w:ilvl="6" w:tplc="FC641B36" w:tentative="1">
      <w:start w:val="1"/>
      <w:numFmt w:val="bullet"/>
      <w:lvlText w:val="o"/>
      <w:lvlJc w:val="left"/>
      <w:pPr>
        <w:tabs>
          <w:tab w:val="num" w:pos="5040"/>
        </w:tabs>
        <w:ind w:left="5040" w:hanging="360"/>
      </w:pPr>
      <w:rPr>
        <w:rFonts w:ascii="Courier New" w:hAnsi="Courier New" w:hint="default"/>
      </w:rPr>
    </w:lvl>
    <w:lvl w:ilvl="7" w:tplc="3B2A20EE" w:tentative="1">
      <w:start w:val="1"/>
      <w:numFmt w:val="bullet"/>
      <w:lvlText w:val="o"/>
      <w:lvlJc w:val="left"/>
      <w:pPr>
        <w:tabs>
          <w:tab w:val="num" w:pos="5760"/>
        </w:tabs>
        <w:ind w:left="5760" w:hanging="360"/>
      </w:pPr>
      <w:rPr>
        <w:rFonts w:ascii="Courier New" w:hAnsi="Courier New" w:hint="default"/>
      </w:rPr>
    </w:lvl>
    <w:lvl w:ilvl="8" w:tplc="BF3255D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FFD624E"/>
    <w:multiLevelType w:val="hybridMultilevel"/>
    <w:tmpl w:val="1BDC2358"/>
    <w:lvl w:ilvl="0" w:tplc="582CEE74">
      <w:start w:val="1"/>
      <w:numFmt w:val="bullet"/>
      <w:lvlText w:val="o"/>
      <w:lvlJc w:val="left"/>
      <w:pPr>
        <w:tabs>
          <w:tab w:val="num" w:pos="720"/>
        </w:tabs>
        <w:ind w:left="720" w:hanging="360"/>
      </w:pPr>
      <w:rPr>
        <w:rFonts w:ascii="Courier New" w:hAnsi="Courier New" w:hint="default"/>
      </w:rPr>
    </w:lvl>
    <w:lvl w:ilvl="1" w:tplc="7B920DEA">
      <w:start w:val="1"/>
      <w:numFmt w:val="bullet"/>
      <w:lvlText w:val="o"/>
      <w:lvlJc w:val="left"/>
      <w:pPr>
        <w:tabs>
          <w:tab w:val="num" w:pos="1440"/>
        </w:tabs>
        <w:ind w:left="1440" w:hanging="360"/>
      </w:pPr>
      <w:rPr>
        <w:rFonts w:ascii="Courier New" w:hAnsi="Courier New" w:hint="default"/>
      </w:rPr>
    </w:lvl>
    <w:lvl w:ilvl="2" w:tplc="504E23B0">
      <w:numFmt w:val="bullet"/>
      <w:lvlText w:val=""/>
      <w:lvlJc w:val="left"/>
      <w:pPr>
        <w:tabs>
          <w:tab w:val="num" w:pos="2160"/>
        </w:tabs>
        <w:ind w:left="2160" w:hanging="360"/>
      </w:pPr>
      <w:rPr>
        <w:rFonts w:ascii="Wingdings" w:hAnsi="Wingdings" w:hint="default"/>
      </w:rPr>
    </w:lvl>
    <w:lvl w:ilvl="3" w:tplc="6A084A92" w:tentative="1">
      <w:start w:val="1"/>
      <w:numFmt w:val="bullet"/>
      <w:lvlText w:val="o"/>
      <w:lvlJc w:val="left"/>
      <w:pPr>
        <w:tabs>
          <w:tab w:val="num" w:pos="2880"/>
        </w:tabs>
        <w:ind w:left="2880" w:hanging="360"/>
      </w:pPr>
      <w:rPr>
        <w:rFonts w:ascii="Courier New" w:hAnsi="Courier New" w:hint="default"/>
      </w:rPr>
    </w:lvl>
    <w:lvl w:ilvl="4" w:tplc="52DA08E4" w:tentative="1">
      <w:start w:val="1"/>
      <w:numFmt w:val="bullet"/>
      <w:lvlText w:val="o"/>
      <w:lvlJc w:val="left"/>
      <w:pPr>
        <w:tabs>
          <w:tab w:val="num" w:pos="3600"/>
        </w:tabs>
        <w:ind w:left="3600" w:hanging="360"/>
      </w:pPr>
      <w:rPr>
        <w:rFonts w:ascii="Courier New" w:hAnsi="Courier New" w:hint="default"/>
      </w:rPr>
    </w:lvl>
    <w:lvl w:ilvl="5" w:tplc="7172A756" w:tentative="1">
      <w:start w:val="1"/>
      <w:numFmt w:val="bullet"/>
      <w:lvlText w:val="o"/>
      <w:lvlJc w:val="left"/>
      <w:pPr>
        <w:tabs>
          <w:tab w:val="num" w:pos="4320"/>
        </w:tabs>
        <w:ind w:left="4320" w:hanging="360"/>
      </w:pPr>
      <w:rPr>
        <w:rFonts w:ascii="Courier New" w:hAnsi="Courier New" w:hint="default"/>
      </w:rPr>
    </w:lvl>
    <w:lvl w:ilvl="6" w:tplc="20A24102" w:tentative="1">
      <w:start w:val="1"/>
      <w:numFmt w:val="bullet"/>
      <w:lvlText w:val="o"/>
      <w:lvlJc w:val="left"/>
      <w:pPr>
        <w:tabs>
          <w:tab w:val="num" w:pos="5040"/>
        </w:tabs>
        <w:ind w:left="5040" w:hanging="360"/>
      </w:pPr>
      <w:rPr>
        <w:rFonts w:ascii="Courier New" w:hAnsi="Courier New" w:hint="default"/>
      </w:rPr>
    </w:lvl>
    <w:lvl w:ilvl="7" w:tplc="58E84792" w:tentative="1">
      <w:start w:val="1"/>
      <w:numFmt w:val="bullet"/>
      <w:lvlText w:val="o"/>
      <w:lvlJc w:val="left"/>
      <w:pPr>
        <w:tabs>
          <w:tab w:val="num" w:pos="5760"/>
        </w:tabs>
        <w:ind w:left="5760" w:hanging="360"/>
      </w:pPr>
      <w:rPr>
        <w:rFonts w:ascii="Courier New" w:hAnsi="Courier New" w:hint="default"/>
      </w:rPr>
    </w:lvl>
    <w:lvl w:ilvl="8" w:tplc="04A46A76"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53FB1C52"/>
    <w:multiLevelType w:val="hybridMultilevel"/>
    <w:tmpl w:val="5E069030"/>
    <w:lvl w:ilvl="0" w:tplc="19286996">
      <w:start w:val="1"/>
      <w:numFmt w:val="bullet"/>
      <w:lvlText w:val="•"/>
      <w:lvlJc w:val="left"/>
      <w:pPr>
        <w:tabs>
          <w:tab w:val="num" w:pos="720"/>
        </w:tabs>
        <w:ind w:left="720" w:hanging="360"/>
      </w:pPr>
      <w:rPr>
        <w:rFonts w:ascii="Arial" w:hAnsi="Arial" w:hint="default"/>
      </w:rPr>
    </w:lvl>
    <w:lvl w:ilvl="1" w:tplc="3BD23992">
      <w:start w:val="1"/>
      <w:numFmt w:val="bullet"/>
      <w:lvlText w:val="•"/>
      <w:lvlJc w:val="left"/>
      <w:pPr>
        <w:tabs>
          <w:tab w:val="num" w:pos="1440"/>
        </w:tabs>
        <w:ind w:left="1440" w:hanging="360"/>
      </w:pPr>
      <w:rPr>
        <w:rFonts w:ascii="Arial" w:hAnsi="Arial" w:hint="default"/>
      </w:rPr>
    </w:lvl>
    <w:lvl w:ilvl="2" w:tplc="0BD42B38" w:tentative="1">
      <w:start w:val="1"/>
      <w:numFmt w:val="bullet"/>
      <w:lvlText w:val="•"/>
      <w:lvlJc w:val="left"/>
      <w:pPr>
        <w:tabs>
          <w:tab w:val="num" w:pos="2160"/>
        </w:tabs>
        <w:ind w:left="2160" w:hanging="360"/>
      </w:pPr>
      <w:rPr>
        <w:rFonts w:ascii="Arial" w:hAnsi="Arial" w:hint="default"/>
      </w:rPr>
    </w:lvl>
    <w:lvl w:ilvl="3" w:tplc="5B8A33B2" w:tentative="1">
      <w:start w:val="1"/>
      <w:numFmt w:val="bullet"/>
      <w:lvlText w:val="•"/>
      <w:lvlJc w:val="left"/>
      <w:pPr>
        <w:tabs>
          <w:tab w:val="num" w:pos="2880"/>
        </w:tabs>
        <w:ind w:left="2880" w:hanging="360"/>
      </w:pPr>
      <w:rPr>
        <w:rFonts w:ascii="Arial" w:hAnsi="Arial" w:hint="default"/>
      </w:rPr>
    </w:lvl>
    <w:lvl w:ilvl="4" w:tplc="B04613DE" w:tentative="1">
      <w:start w:val="1"/>
      <w:numFmt w:val="bullet"/>
      <w:lvlText w:val="•"/>
      <w:lvlJc w:val="left"/>
      <w:pPr>
        <w:tabs>
          <w:tab w:val="num" w:pos="3600"/>
        </w:tabs>
        <w:ind w:left="3600" w:hanging="360"/>
      </w:pPr>
      <w:rPr>
        <w:rFonts w:ascii="Arial" w:hAnsi="Arial" w:hint="default"/>
      </w:rPr>
    </w:lvl>
    <w:lvl w:ilvl="5" w:tplc="999A1082" w:tentative="1">
      <w:start w:val="1"/>
      <w:numFmt w:val="bullet"/>
      <w:lvlText w:val="•"/>
      <w:lvlJc w:val="left"/>
      <w:pPr>
        <w:tabs>
          <w:tab w:val="num" w:pos="4320"/>
        </w:tabs>
        <w:ind w:left="4320" w:hanging="360"/>
      </w:pPr>
      <w:rPr>
        <w:rFonts w:ascii="Arial" w:hAnsi="Arial" w:hint="default"/>
      </w:rPr>
    </w:lvl>
    <w:lvl w:ilvl="6" w:tplc="C346D58E" w:tentative="1">
      <w:start w:val="1"/>
      <w:numFmt w:val="bullet"/>
      <w:lvlText w:val="•"/>
      <w:lvlJc w:val="left"/>
      <w:pPr>
        <w:tabs>
          <w:tab w:val="num" w:pos="5040"/>
        </w:tabs>
        <w:ind w:left="5040" w:hanging="360"/>
      </w:pPr>
      <w:rPr>
        <w:rFonts w:ascii="Arial" w:hAnsi="Arial" w:hint="default"/>
      </w:rPr>
    </w:lvl>
    <w:lvl w:ilvl="7" w:tplc="2F22A9F4" w:tentative="1">
      <w:start w:val="1"/>
      <w:numFmt w:val="bullet"/>
      <w:lvlText w:val="•"/>
      <w:lvlJc w:val="left"/>
      <w:pPr>
        <w:tabs>
          <w:tab w:val="num" w:pos="5760"/>
        </w:tabs>
        <w:ind w:left="5760" w:hanging="360"/>
      </w:pPr>
      <w:rPr>
        <w:rFonts w:ascii="Arial" w:hAnsi="Arial" w:hint="default"/>
      </w:rPr>
    </w:lvl>
    <w:lvl w:ilvl="8" w:tplc="97C878A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4C3CD1"/>
    <w:multiLevelType w:val="hybridMultilevel"/>
    <w:tmpl w:val="172A2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71975"/>
    <w:multiLevelType w:val="hybridMultilevel"/>
    <w:tmpl w:val="96F238EA"/>
    <w:lvl w:ilvl="0" w:tplc="DB2483E0">
      <w:start w:val="1"/>
      <w:numFmt w:val="decimal"/>
      <w:lvlText w:val="%1."/>
      <w:lvlJc w:val="left"/>
      <w:pPr>
        <w:tabs>
          <w:tab w:val="num" w:pos="360"/>
        </w:tabs>
        <w:ind w:left="360" w:hanging="360"/>
      </w:pPr>
    </w:lvl>
    <w:lvl w:ilvl="1" w:tplc="CB90FD02" w:tentative="1">
      <w:start w:val="1"/>
      <w:numFmt w:val="decimal"/>
      <w:lvlText w:val="%2."/>
      <w:lvlJc w:val="left"/>
      <w:pPr>
        <w:tabs>
          <w:tab w:val="num" w:pos="1080"/>
        </w:tabs>
        <w:ind w:left="1080" w:hanging="360"/>
      </w:pPr>
    </w:lvl>
    <w:lvl w:ilvl="2" w:tplc="00A61B44" w:tentative="1">
      <w:start w:val="1"/>
      <w:numFmt w:val="decimal"/>
      <w:lvlText w:val="%3."/>
      <w:lvlJc w:val="left"/>
      <w:pPr>
        <w:tabs>
          <w:tab w:val="num" w:pos="1800"/>
        </w:tabs>
        <w:ind w:left="1800" w:hanging="360"/>
      </w:pPr>
    </w:lvl>
    <w:lvl w:ilvl="3" w:tplc="70CCC25E" w:tentative="1">
      <w:start w:val="1"/>
      <w:numFmt w:val="decimal"/>
      <w:lvlText w:val="%4."/>
      <w:lvlJc w:val="left"/>
      <w:pPr>
        <w:tabs>
          <w:tab w:val="num" w:pos="2520"/>
        </w:tabs>
        <w:ind w:left="2520" w:hanging="360"/>
      </w:pPr>
    </w:lvl>
    <w:lvl w:ilvl="4" w:tplc="0A28E76E" w:tentative="1">
      <w:start w:val="1"/>
      <w:numFmt w:val="decimal"/>
      <w:lvlText w:val="%5."/>
      <w:lvlJc w:val="left"/>
      <w:pPr>
        <w:tabs>
          <w:tab w:val="num" w:pos="3240"/>
        </w:tabs>
        <w:ind w:left="3240" w:hanging="360"/>
      </w:pPr>
    </w:lvl>
    <w:lvl w:ilvl="5" w:tplc="0736FC00" w:tentative="1">
      <w:start w:val="1"/>
      <w:numFmt w:val="decimal"/>
      <w:lvlText w:val="%6."/>
      <w:lvlJc w:val="left"/>
      <w:pPr>
        <w:tabs>
          <w:tab w:val="num" w:pos="3960"/>
        </w:tabs>
        <w:ind w:left="3960" w:hanging="360"/>
      </w:pPr>
    </w:lvl>
    <w:lvl w:ilvl="6" w:tplc="5950A446" w:tentative="1">
      <w:start w:val="1"/>
      <w:numFmt w:val="decimal"/>
      <w:lvlText w:val="%7."/>
      <w:lvlJc w:val="left"/>
      <w:pPr>
        <w:tabs>
          <w:tab w:val="num" w:pos="4680"/>
        </w:tabs>
        <w:ind w:left="4680" w:hanging="360"/>
      </w:pPr>
    </w:lvl>
    <w:lvl w:ilvl="7" w:tplc="7E7830EA" w:tentative="1">
      <w:start w:val="1"/>
      <w:numFmt w:val="decimal"/>
      <w:lvlText w:val="%8."/>
      <w:lvlJc w:val="left"/>
      <w:pPr>
        <w:tabs>
          <w:tab w:val="num" w:pos="5400"/>
        </w:tabs>
        <w:ind w:left="5400" w:hanging="360"/>
      </w:pPr>
    </w:lvl>
    <w:lvl w:ilvl="8" w:tplc="CA688CEE" w:tentative="1">
      <w:start w:val="1"/>
      <w:numFmt w:val="decimal"/>
      <w:lvlText w:val="%9."/>
      <w:lvlJc w:val="left"/>
      <w:pPr>
        <w:tabs>
          <w:tab w:val="num" w:pos="6120"/>
        </w:tabs>
        <w:ind w:left="6120" w:hanging="360"/>
      </w:pPr>
    </w:lvl>
  </w:abstractNum>
  <w:abstractNum w:abstractNumId="33" w15:restartNumberingAfterBreak="0">
    <w:nsid w:val="5E652597"/>
    <w:multiLevelType w:val="hybridMultilevel"/>
    <w:tmpl w:val="97B699C0"/>
    <w:lvl w:ilvl="0" w:tplc="FE92AF1C">
      <w:start w:val="1"/>
      <w:numFmt w:val="bullet"/>
      <w:lvlText w:val="o"/>
      <w:lvlJc w:val="left"/>
      <w:pPr>
        <w:tabs>
          <w:tab w:val="num" w:pos="720"/>
        </w:tabs>
        <w:ind w:left="720" w:hanging="360"/>
      </w:pPr>
      <w:rPr>
        <w:rFonts w:ascii="Courier New" w:hAnsi="Courier New" w:hint="default"/>
      </w:rPr>
    </w:lvl>
    <w:lvl w:ilvl="1" w:tplc="493036C4">
      <w:start w:val="1"/>
      <w:numFmt w:val="bullet"/>
      <w:lvlText w:val="o"/>
      <w:lvlJc w:val="left"/>
      <w:pPr>
        <w:tabs>
          <w:tab w:val="num" w:pos="1440"/>
        </w:tabs>
        <w:ind w:left="1440" w:hanging="360"/>
      </w:pPr>
      <w:rPr>
        <w:rFonts w:ascii="Courier New" w:hAnsi="Courier New" w:hint="default"/>
      </w:rPr>
    </w:lvl>
    <w:lvl w:ilvl="2" w:tplc="4D867ABE">
      <w:numFmt w:val="bullet"/>
      <w:lvlText w:val=""/>
      <w:lvlJc w:val="left"/>
      <w:pPr>
        <w:tabs>
          <w:tab w:val="num" w:pos="2160"/>
        </w:tabs>
        <w:ind w:left="2160" w:hanging="360"/>
      </w:pPr>
      <w:rPr>
        <w:rFonts w:ascii="Wingdings" w:hAnsi="Wingdings" w:hint="default"/>
      </w:rPr>
    </w:lvl>
    <w:lvl w:ilvl="3" w:tplc="6F4C3068" w:tentative="1">
      <w:start w:val="1"/>
      <w:numFmt w:val="bullet"/>
      <w:lvlText w:val="o"/>
      <w:lvlJc w:val="left"/>
      <w:pPr>
        <w:tabs>
          <w:tab w:val="num" w:pos="2880"/>
        </w:tabs>
        <w:ind w:left="2880" w:hanging="360"/>
      </w:pPr>
      <w:rPr>
        <w:rFonts w:ascii="Courier New" w:hAnsi="Courier New" w:hint="default"/>
      </w:rPr>
    </w:lvl>
    <w:lvl w:ilvl="4" w:tplc="570AA73A" w:tentative="1">
      <w:start w:val="1"/>
      <w:numFmt w:val="bullet"/>
      <w:lvlText w:val="o"/>
      <w:lvlJc w:val="left"/>
      <w:pPr>
        <w:tabs>
          <w:tab w:val="num" w:pos="3600"/>
        </w:tabs>
        <w:ind w:left="3600" w:hanging="360"/>
      </w:pPr>
      <w:rPr>
        <w:rFonts w:ascii="Courier New" w:hAnsi="Courier New" w:hint="default"/>
      </w:rPr>
    </w:lvl>
    <w:lvl w:ilvl="5" w:tplc="E71E2C9A" w:tentative="1">
      <w:start w:val="1"/>
      <w:numFmt w:val="bullet"/>
      <w:lvlText w:val="o"/>
      <w:lvlJc w:val="left"/>
      <w:pPr>
        <w:tabs>
          <w:tab w:val="num" w:pos="4320"/>
        </w:tabs>
        <w:ind w:left="4320" w:hanging="360"/>
      </w:pPr>
      <w:rPr>
        <w:rFonts w:ascii="Courier New" w:hAnsi="Courier New" w:hint="default"/>
      </w:rPr>
    </w:lvl>
    <w:lvl w:ilvl="6" w:tplc="68CA676E" w:tentative="1">
      <w:start w:val="1"/>
      <w:numFmt w:val="bullet"/>
      <w:lvlText w:val="o"/>
      <w:lvlJc w:val="left"/>
      <w:pPr>
        <w:tabs>
          <w:tab w:val="num" w:pos="5040"/>
        </w:tabs>
        <w:ind w:left="5040" w:hanging="360"/>
      </w:pPr>
      <w:rPr>
        <w:rFonts w:ascii="Courier New" w:hAnsi="Courier New" w:hint="default"/>
      </w:rPr>
    </w:lvl>
    <w:lvl w:ilvl="7" w:tplc="5AAAB238" w:tentative="1">
      <w:start w:val="1"/>
      <w:numFmt w:val="bullet"/>
      <w:lvlText w:val="o"/>
      <w:lvlJc w:val="left"/>
      <w:pPr>
        <w:tabs>
          <w:tab w:val="num" w:pos="5760"/>
        </w:tabs>
        <w:ind w:left="5760" w:hanging="360"/>
      </w:pPr>
      <w:rPr>
        <w:rFonts w:ascii="Courier New" w:hAnsi="Courier New" w:hint="default"/>
      </w:rPr>
    </w:lvl>
    <w:lvl w:ilvl="8" w:tplc="BDCE17B0"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691D3FEF"/>
    <w:multiLevelType w:val="hybridMultilevel"/>
    <w:tmpl w:val="7EC0F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664E7"/>
    <w:multiLevelType w:val="hybridMultilevel"/>
    <w:tmpl w:val="E8022BB8"/>
    <w:lvl w:ilvl="0" w:tplc="FFFFFFFF">
      <w:start w:val="1"/>
      <w:numFmt w:val="bullet"/>
      <w:lvlText w:val="•"/>
      <w:lvlJc w:val="left"/>
      <w:pPr>
        <w:tabs>
          <w:tab w:val="num" w:pos="720"/>
        </w:tabs>
        <w:ind w:left="720" w:hanging="360"/>
      </w:pPr>
      <w:rPr>
        <w:rFonts w:ascii="Arial" w:hAnsi="Arial" w:hint="default"/>
      </w:rPr>
    </w:lvl>
    <w:lvl w:ilvl="1" w:tplc="A4FABEC8">
      <w:numFmt w:val="bullet"/>
      <w:lvlText w:val="–"/>
      <w:lvlJc w:val="left"/>
      <w:pPr>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CB2E41"/>
    <w:multiLevelType w:val="hybridMultilevel"/>
    <w:tmpl w:val="51CED910"/>
    <w:lvl w:ilvl="0" w:tplc="DBB8E0E8">
      <w:start w:val="1"/>
      <w:numFmt w:val="bullet"/>
      <w:lvlText w:val="–"/>
      <w:lvlJc w:val="left"/>
      <w:pPr>
        <w:tabs>
          <w:tab w:val="num" w:pos="720"/>
        </w:tabs>
        <w:ind w:left="720" w:hanging="360"/>
      </w:pPr>
      <w:rPr>
        <w:rFonts w:ascii="Calibri" w:hAnsi="Calibri" w:hint="default"/>
      </w:rPr>
    </w:lvl>
    <w:lvl w:ilvl="1" w:tplc="C9A09044">
      <w:start w:val="1"/>
      <w:numFmt w:val="bullet"/>
      <w:lvlText w:val="–"/>
      <w:lvlJc w:val="left"/>
      <w:pPr>
        <w:tabs>
          <w:tab w:val="num" w:pos="1440"/>
        </w:tabs>
        <w:ind w:left="1440" w:hanging="360"/>
      </w:pPr>
      <w:rPr>
        <w:rFonts w:ascii="Calibri" w:hAnsi="Calibri" w:hint="default"/>
      </w:rPr>
    </w:lvl>
    <w:lvl w:ilvl="2" w:tplc="0C9032B6">
      <w:numFmt w:val="bullet"/>
      <w:lvlText w:val="o"/>
      <w:lvlJc w:val="left"/>
      <w:pPr>
        <w:tabs>
          <w:tab w:val="num" w:pos="2160"/>
        </w:tabs>
        <w:ind w:left="2160" w:hanging="360"/>
      </w:pPr>
      <w:rPr>
        <w:rFonts w:ascii="Courier New" w:hAnsi="Courier New" w:hint="default"/>
      </w:rPr>
    </w:lvl>
    <w:lvl w:ilvl="3" w:tplc="B660F304" w:tentative="1">
      <w:start w:val="1"/>
      <w:numFmt w:val="bullet"/>
      <w:lvlText w:val="–"/>
      <w:lvlJc w:val="left"/>
      <w:pPr>
        <w:tabs>
          <w:tab w:val="num" w:pos="2880"/>
        </w:tabs>
        <w:ind w:left="2880" w:hanging="360"/>
      </w:pPr>
      <w:rPr>
        <w:rFonts w:ascii="Calibri" w:hAnsi="Calibri" w:hint="default"/>
      </w:rPr>
    </w:lvl>
    <w:lvl w:ilvl="4" w:tplc="9F04F3E8" w:tentative="1">
      <w:start w:val="1"/>
      <w:numFmt w:val="bullet"/>
      <w:lvlText w:val="–"/>
      <w:lvlJc w:val="left"/>
      <w:pPr>
        <w:tabs>
          <w:tab w:val="num" w:pos="3600"/>
        </w:tabs>
        <w:ind w:left="3600" w:hanging="360"/>
      </w:pPr>
      <w:rPr>
        <w:rFonts w:ascii="Calibri" w:hAnsi="Calibri" w:hint="default"/>
      </w:rPr>
    </w:lvl>
    <w:lvl w:ilvl="5" w:tplc="94DE6D54" w:tentative="1">
      <w:start w:val="1"/>
      <w:numFmt w:val="bullet"/>
      <w:lvlText w:val="–"/>
      <w:lvlJc w:val="left"/>
      <w:pPr>
        <w:tabs>
          <w:tab w:val="num" w:pos="4320"/>
        </w:tabs>
        <w:ind w:left="4320" w:hanging="360"/>
      </w:pPr>
      <w:rPr>
        <w:rFonts w:ascii="Calibri" w:hAnsi="Calibri" w:hint="default"/>
      </w:rPr>
    </w:lvl>
    <w:lvl w:ilvl="6" w:tplc="9BAC9946" w:tentative="1">
      <w:start w:val="1"/>
      <w:numFmt w:val="bullet"/>
      <w:lvlText w:val="–"/>
      <w:lvlJc w:val="left"/>
      <w:pPr>
        <w:tabs>
          <w:tab w:val="num" w:pos="5040"/>
        </w:tabs>
        <w:ind w:left="5040" w:hanging="360"/>
      </w:pPr>
      <w:rPr>
        <w:rFonts w:ascii="Calibri" w:hAnsi="Calibri" w:hint="default"/>
      </w:rPr>
    </w:lvl>
    <w:lvl w:ilvl="7" w:tplc="AE740984" w:tentative="1">
      <w:start w:val="1"/>
      <w:numFmt w:val="bullet"/>
      <w:lvlText w:val="–"/>
      <w:lvlJc w:val="left"/>
      <w:pPr>
        <w:tabs>
          <w:tab w:val="num" w:pos="5760"/>
        </w:tabs>
        <w:ind w:left="5760" w:hanging="360"/>
      </w:pPr>
      <w:rPr>
        <w:rFonts w:ascii="Calibri" w:hAnsi="Calibri" w:hint="default"/>
      </w:rPr>
    </w:lvl>
    <w:lvl w:ilvl="8" w:tplc="5B924780" w:tentative="1">
      <w:start w:val="1"/>
      <w:numFmt w:val="bullet"/>
      <w:lvlText w:val="–"/>
      <w:lvlJc w:val="left"/>
      <w:pPr>
        <w:tabs>
          <w:tab w:val="num" w:pos="6480"/>
        </w:tabs>
        <w:ind w:left="6480" w:hanging="360"/>
      </w:pPr>
      <w:rPr>
        <w:rFonts w:ascii="Calibri" w:hAnsi="Calibri" w:hint="default"/>
      </w:rPr>
    </w:lvl>
  </w:abstractNum>
  <w:num w:numId="1" w16cid:durableId="1391610797">
    <w:abstractNumId w:val="6"/>
  </w:num>
  <w:num w:numId="2" w16cid:durableId="1770080715">
    <w:abstractNumId w:val="27"/>
  </w:num>
  <w:num w:numId="3" w16cid:durableId="1184055890">
    <w:abstractNumId w:val="19"/>
  </w:num>
  <w:num w:numId="4" w16cid:durableId="1823035817">
    <w:abstractNumId w:val="15"/>
  </w:num>
  <w:num w:numId="5" w16cid:durableId="1116677007">
    <w:abstractNumId w:val="8"/>
  </w:num>
  <w:num w:numId="6" w16cid:durableId="1867251779">
    <w:abstractNumId w:val="18"/>
  </w:num>
  <w:num w:numId="7" w16cid:durableId="232201264">
    <w:abstractNumId w:val="31"/>
  </w:num>
  <w:num w:numId="8" w16cid:durableId="139346045">
    <w:abstractNumId w:val="3"/>
  </w:num>
  <w:num w:numId="9" w16cid:durableId="2010937083">
    <w:abstractNumId w:val="34"/>
  </w:num>
  <w:num w:numId="10" w16cid:durableId="1784107504">
    <w:abstractNumId w:val="20"/>
  </w:num>
  <w:num w:numId="11" w16cid:durableId="585194753">
    <w:abstractNumId w:val="7"/>
  </w:num>
  <w:num w:numId="12" w16cid:durableId="1989167225">
    <w:abstractNumId w:val="25"/>
  </w:num>
  <w:num w:numId="13" w16cid:durableId="866257068">
    <w:abstractNumId w:val="28"/>
  </w:num>
  <w:num w:numId="14" w16cid:durableId="1397241573">
    <w:abstractNumId w:val="10"/>
  </w:num>
  <w:num w:numId="15" w16cid:durableId="923218984">
    <w:abstractNumId w:val="36"/>
  </w:num>
  <w:num w:numId="16" w16cid:durableId="311957182">
    <w:abstractNumId w:val="21"/>
  </w:num>
  <w:num w:numId="17" w16cid:durableId="1926648052">
    <w:abstractNumId w:val="24"/>
  </w:num>
  <w:num w:numId="18" w16cid:durableId="34353334">
    <w:abstractNumId w:val="30"/>
  </w:num>
  <w:num w:numId="19" w16cid:durableId="1071540804">
    <w:abstractNumId w:val="4"/>
  </w:num>
  <w:num w:numId="20" w16cid:durableId="2064677117">
    <w:abstractNumId w:val="12"/>
  </w:num>
  <w:num w:numId="21" w16cid:durableId="2050298327">
    <w:abstractNumId w:val="22"/>
  </w:num>
  <w:num w:numId="22" w16cid:durableId="509485739">
    <w:abstractNumId w:val="1"/>
  </w:num>
  <w:num w:numId="23" w16cid:durableId="963730369">
    <w:abstractNumId w:val="9"/>
  </w:num>
  <w:num w:numId="24" w16cid:durableId="853156293">
    <w:abstractNumId w:val="14"/>
  </w:num>
  <w:num w:numId="25" w16cid:durableId="168756113">
    <w:abstractNumId w:val="32"/>
  </w:num>
  <w:num w:numId="26" w16cid:durableId="146869404">
    <w:abstractNumId w:val="16"/>
  </w:num>
  <w:num w:numId="27" w16cid:durableId="426344442">
    <w:abstractNumId w:val="23"/>
  </w:num>
  <w:num w:numId="28" w16cid:durableId="1658604714">
    <w:abstractNumId w:val="29"/>
  </w:num>
  <w:num w:numId="29" w16cid:durableId="506864762">
    <w:abstractNumId w:val="33"/>
  </w:num>
  <w:num w:numId="30" w16cid:durableId="1307785698">
    <w:abstractNumId w:val="26"/>
  </w:num>
  <w:num w:numId="31" w16cid:durableId="1082919789">
    <w:abstractNumId w:val="17"/>
  </w:num>
  <w:num w:numId="32" w16cid:durableId="949357729">
    <w:abstractNumId w:val="5"/>
  </w:num>
  <w:num w:numId="33" w16cid:durableId="1612126470">
    <w:abstractNumId w:val="11"/>
  </w:num>
  <w:num w:numId="34" w16cid:durableId="1308241134">
    <w:abstractNumId w:val="35"/>
  </w:num>
  <w:num w:numId="35" w16cid:durableId="347147803">
    <w:abstractNumId w:val="13"/>
  </w:num>
  <w:num w:numId="36" w16cid:durableId="361594433">
    <w:abstractNumId w:val="2"/>
  </w:num>
  <w:num w:numId="37" w16cid:durableId="219022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EA1"/>
    <w:rsid w:val="00004164"/>
    <w:rsid w:val="000078F5"/>
    <w:rsid w:val="00010EED"/>
    <w:rsid w:val="00017EF3"/>
    <w:rsid w:val="00024FC6"/>
    <w:rsid w:val="00026BE9"/>
    <w:rsid w:val="0003464D"/>
    <w:rsid w:val="00042A50"/>
    <w:rsid w:val="00053475"/>
    <w:rsid w:val="00054CD8"/>
    <w:rsid w:val="0005DDDA"/>
    <w:rsid w:val="000807A0"/>
    <w:rsid w:val="00084669"/>
    <w:rsid w:val="000946F0"/>
    <w:rsid w:val="00094FD8"/>
    <w:rsid w:val="000A13E7"/>
    <w:rsid w:val="000B2E8F"/>
    <w:rsid w:val="000C6C95"/>
    <w:rsid w:val="000E774F"/>
    <w:rsid w:val="000F03B8"/>
    <w:rsid w:val="000F0F2E"/>
    <w:rsid w:val="000F6950"/>
    <w:rsid w:val="00106877"/>
    <w:rsid w:val="00106A2C"/>
    <w:rsid w:val="001143C3"/>
    <w:rsid w:val="00116E0D"/>
    <w:rsid w:val="00121D36"/>
    <w:rsid w:val="001226E8"/>
    <w:rsid w:val="00123015"/>
    <w:rsid w:val="0012475E"/>
    <w:rsid w:val="00136FA2"/>
    <w:rsid w:val="0014135D"/>
    <w:rsid w:val="00143CC0"/>
    <w:rsid w:val="00151B32"/>
    <w:rsid w:val="00154C16"/>
    <w:rsid w:val="00172742"/>
    <w:rsid w:val="00175919"/>
    <w:rsid w:val="001844A9"/>
    <w:rsid w:val="001A5242"/>
    <w:rsid w:val="001A6036"/>
    <w:rsid w:val="001B30EC"/>
    <w:rsid w:val="001C1142"/>
    <w:rsid w:val="001C277E"/>
    <w:rsid w:val="001E4437"/>
    <w:rsid w:val="001F1F6B"/>
    <w:rsid w:val="002033DB"/>
    <w:rsid w:val="00210523"/>
    <w:rsid w:val="00211658"/>
    <w:rsid w:val="002123FA"/>
    <w:rsid w:val="002219EA"/>
    <w:rsid w:val="002221EA"/>
    <w:rsid w:val="00227E43"/>
    <w:rsid w:val="00230E0E"/>
    <w:rsid w:val="00233563"/>
    <w:rsid w:val="002461FD"/>
    <w:rsid w:val="00250612"/>
    <w:rsid w:val="00250C9D"/>
    <w:rsid w:val="00254950"/>
    <w:rsid w:val="00255D59"/>
    <w:rsid w:val="00260CDE"/>
    <w:rsid w:val="002661DE"/>
    <w:rsid w:val="00267471"/>
    <w:rsid w:val="00284B4E"/>
    <w:rsid w:val="00294818"/>
    <w:rsid w:val="002A01ED"/>
    <w:rsid w:val="002A385D"/>
    <w:rsid w:val="002C1AC3"/>
    <w:rsid w:val="002C1BAF"/>
    <w:rsid w:val="002C6FAB"/>
    <w:rsid w:val="002D130E"/>
    <w:rsid w:val="002D7668"/>
    <w:rsid w:val="002E1099"/>
    <w:rsid w:val="002E19F8"/>
    <w:rsid w:val="002E5EFF"/>
    <w:rsid w:val="002F30AB"/>
    <w:rsid w:val="002F4A3C"/>
    <w:rsid w:val="002F7AE5"/>
    <w:rsid w:val="0031719F"/>
    <w:rsid w:val="003233F8"/>
    <w:rsid w:val="00323CFF"/>
    <w:rsid w:val="0032524C"/>
    <w:rsid w:val="00333855"/>
    <w:rsid w:val="00336D56"/>
    <w:rsid w:val="003461A4"/>
    <w:rsid w:val="00356131"/>
    <w:rsid w:val="00364362"/>
    <w:rsid w:val="003643BF"/>
    <w:rsid w:val="0037728B"/>
    <w:rsid w:val="003772AB"/>
    <w:rsid w:val="003836A9"/>
    <w:rsid w:val="003857FA"/>
    <w:rsid w:val="00385F19"/>
    <w:rsid w:val="00387E96"/>
    <w:rsid w:val="00392304"/>
    <w:rsid w:val="003928F6"/>
    <w:rsid w:val="003948B8"/>
    <w:rsid w:val="003A27A3"/>
    <w:rsid w:val="003A30BF"/>
    <w:rsid w:val="003B3851"/>
    <w:rsid w:val="003B568F"/>
    <w:rsid w:val="003C1D70"/>
    <w:rsid w:val="003C3F9E"/>
    <w:rsid w:val="003C5213"/>
    <w:rsid w:val="003D5C5F"/>
    <w:rsid w:val="003D63A9"/>
    <w:rsid w:val="003E2B5D"/>
    <w:rsid w:val="003E7306"/>
    <w:rsid w:val="003E75D2"/>
    <w:rsid w:val="003F431B"/>
    <w:rsid w:val="003F5D72"/>
    <w:rsid w:val="003F6E82"/>
    <w:rsid w:val="004021BC"/>
    <w:rsid w:val="00404A8E"/>
    <w:rsid w:val="00404EAA"/>
    <w:rsid w:val="00407082"/>
    <w:rsid w:val="00410BB8"/>
    <w:rsid w:val="00422339"/>
    <w:rsid w:val="00426A9B"/>
    <w:rsid w:val="0043274B"/>
    <w:rsid w:val="004329C1"/>
    <w:rsid w:val="0043396C"/>
    <w:rsid w:val="004349DE"/>
    <w:rsid w:val="00434FD6"/>
    <w:rsid w:val="0043708C"/>
    <w:rsid w:val="004411F9"/>
    <w:rsid w:val="00451B48"/>
    <w:rsid w:val="00451E67"/>
    <w:rsid w:val="004550B2"/>
    <w:rsid w:val="00463B84"/>
    <w:rsid w:val="0046414F"/>
    <w:rsid w:val="0046461E"/>
    <w:rsid w:val="00466DB0"/>
    <w:rsid w:val="00467139"/>
    <w:rsid w:val="00470000"/>
    <w:rsid w:val="0047302F"/>
    <w:rsid w:val="00476B6E"/>
    <w:rsid w:val="00477174"/>
    <w:rsid w:val="00483864"/>
    <w:rsid w:val="00490D88"/>
    <w:rsid w:val="00494986"/>
    <w:rsid w:val="004959FC"/>
    <w:rsid w:val="004A20A1"/>
    <w:rsid w:val="004B0F71"/>
    <w:rsid w:val="004B26AC"/>
    <w:rsid w:val="004C51A6"/>
    <w:rsid w:val="004E034A"/>
    <w:rsid w:val="004E4823"/>
    <w:rsid w:val="004E619F"/>
    <w:rsid w:val="004F147A"/>
    <w:rsid w:val="004F3192"/>
    <w:rsid w:val="004F44C0"/>
    <w:rsid w:val="004F6CE5"/>
    <w:rsid w:val="004F74C8"/>
    <w:rsid w:val="00501C86"/>
    <w:rsid w:val="00501F01"/>
    <w:rsid w:val="00521A11"/>
    <w:rsid w:val="00523883"/>
    <w:rsid w:val="005256C9"/>
    <w:rsid w:val="005256DC"/>
    <w:rsid w:val="00544A6E"/>
    <w:rsid w:val="00546535"/>
    <w:rsid w:val="005507C2"/>
    <w:rsid w:val="00561771"/>
    <w:rsid w:val="00561FAD"/>
    <w:rsid w:val="00562A71"/>
    <w:rsid w:val="00563642"/>
    <w:rsid w:val="005658B3"/>
    <w:rsid w:val="0057090F"/>
    <w:rsid w:val="00573098"/>
    <w:rsid w:val="00577C85"/>
    <w:rsid w:val="0058106D"/>
    <w:rsid w:val="005843F8"/>
    <w:rsid w:val="00586563"/>
    <w:rsid w:val="005911E8"/>
    <w:rsid w:val="00592F78"/>
    <w:rsid w:val="005974EB"/>
    <w:rsid w:val="005B2DD8"/>
    <w:rsid w:val="005C213E"/>
    <w:rsid w:val="005C66F3"/>
    <w:rsid w:val="005D0247"/>
    <w:rsid w:val="005D094D"/>
    <w:rsid w:val="005E5398"/>
    <w:rsid w:val="005F478D"/>
    <w:rsid w:val="006001D0"/>
    <w:rsid w:val="0060582C"/>
    <w:rsid w:val="0061225C"/>
    <w:rsid w:val="00615DD0"/>
    <w:rsid w:val="00617031"/>
    <w:rsid w:val="006228DB"/>
    <w:rsid w:val="00626FED"/>
    <w:rsid w:val="00642A83"/>
    <w:rsid w:val="00645E1B"/>
    <w:rsid w:val="00653332"/>
    <w:rsid w:val="006541F6"/>
    <w:rsid w:val="00654303"/>
    <w:rsid w:val="0065512F"/>
    <w:rsid w:val="006924A1"/>
    <w:rsid w:val="00693779"/>
    <w:rsid w:val="006950B7"/>
    <w:rsid w:val="00697347"/>
    <w:rsid w:val="006979F2"/>
    <w:rsid w:val="006A7D12"/>
    <w:rsid w:val="006B7A22"/>
    <w:rsid w:val="006B7EF8"/>
    <w:rsid w:val="006C5E36"/>
    <w:rsid w:val="006D2994"/>
    <w:rsid w:val="006D7AAE"/>
    <w:rsid w:val="006E6E74"/>
    <w:rsid w:val="00707538"/>
    <w:rsid w:val="00712676"/>
    <w:rsid w:val="00725819"/>
    <w:rsid w:val="00735958"/>
    <w:rsid w:val="00736608"/>
    <w:rsid w:val="00737DA7"/>
    <w:rsid w:val="00740DAF"/>
    <w:rsid w:val="007462A9"/>
    <w:rsid w:val="00754C14"/>
    <w:rsid w:val="0075757C"/>
    <w:rsid w:val="007727B6"/>
    <w:rsid w:val="0077704F"/>
    <w:rsid w:val="007824BD"/>
    <w:rsid w:val="00783E94"/>
    <w:rsid w:val="0078520B"/>
    <w:rsid w:val="007865C6"/>
    <w:rsid w:val="00793A4A"/>
    <w:rsid w:val="00794DA2"/>
    <w:rsid w:val="007954B2"/>
    <w:rsid w:val="007A78A5"/>
    <w:rsid w:val="007A7D2E"/>
    <w:rsid w:val="007B0A2C"/>
    <w:rsid w:val="007C46F5"/>
    <w:rsid w:val="007D31E7"/>
    <w:rsid w:val="007E504C"/>
    <w:rsid w:val="007E7D3D"/>
    <w:rsid w:val="007F19B1"/>
    <w:rsid w:val="00816898"/>
    <w:rsid w:val="00816FA8"/>
    <w:rsid w:val="008254E0"/>
    <w:rsid w:val="008255E7"/>
    <w:rsid w:val="008267B4"/>
    <w:rsid w:val="00826933"/>
    <w:rsid w:val="008271F5"/>
    <w:rsid w:val="0083127B"/>
    <w:rsid w:val="008521C8"/>
    <w:rsid w:val="008575A1"/>
    <w:rsid w:val="00860A4E"/>
    <w:rsid w:val="00860D9B"/>
    <w:rsid w:val="00861F35"/>
    <w:rsid w:val="00862AF4"/>
    <w:rsid w:val="0087096F"/>
    <w:rsid w:val="00891A69"/>
    <w:rsid w:val="00894A3A"/>
    <w:rsid w:val="008A0B88"/>
    <w:rsid w:val="008A1A84"/>
    <w:rsid w:val="008A2C9E"/>
    <w:rsid w:val="008A4D82"/>
    <w:rsid w:val="008A7418"/>
    <w:rsid w:val="008A764C"/>
    <w:rsid w:val="008B28A3"/>
    <w:rsid w:val="008B6388"/>
    <w:rsid w:val="008B6EEA"/>
    <w:rsid w:val="008B7006"/>
    <w:rsid w:val="008C27CA"/>
    <w:rsid w:val="008C31BE"/>
    <w:rsid w:val="008C49C0"/>
    <w:rsid w:val="008D3B53"/>
    <w:rsid w:val="008D6ACF"/>
    <w:rsid w:val="008E5EBC"/>
    <w:rsid w:val="008F01BB"/>
    <w:rsid w:val="00931965"/>
    <w:rsid w:val="00931D46"/>
    <w:rsid w:val="00936F51"/>
    <w:rsid w:val="00943239"/>
    <w:rsid w:val="00943D9C"/>
    <w:rsid w:val="00950F1B"/>
    <w:rsid w:val="009603AA"/>
    <w:rsid w:val="009611E4"/>
    <w:rsid w:val="00966414"/>
    <w:rsid w:val="00966968"/>
    <w:rsid w:val="00971BA2"/>
    <w:rsid w:val="009902C9"/>
    <w:rsid w:val="0099463E"/>
    <w:rsid w:val="009A3AE2"/>
    <w:rsid w:val="009A7929"/>
    <w:rsid w:val="009B7960"/>
    <w:rsid w:val="009C7F5D"/>
    <w:rsid w:val="009D6346"/>
    <w:rsid w:val="009D7CC9"/>
    <w:rsid w:val="009E7EA1"/>
    <w:rsid w:val="00A06856"/>
    <w:rsid w:val="00A06D38"/>
    <w:rsid w:val="00A24F53"/>
    <w:rsid w:val="00A2519B"/>
    <w:rsid w:val="00A30483"/>
    <w:rsid w:val="00A305F0"/>
    <w:rsid w:val="00A315C6"/>
    <w:rsid w:val="00A34F59"/>
    <w:rsid w:val="00A45436"/>
    <w:rsid w:val="00A4656C"/>
    <w:rsid w:val="00A546C7"/>
    <w:rsid w:val="00A64992"/>
    <w:rsid w:val="00A662E8"/>
    <w:rsid w:val="00A80F68"/>
    <w:rsid w:val="00A8729D"/>
    <w:rsid w:val="00A87303"/>
    <w:rsid w:val="00A90ECA"/>
    <w:rsid w:val="00A92E4B"/>
    <w:rsid w:val="00A94724"/>
    <w:rsid w:val="00AA3D75"/>
    <w:rsid w:val="00AB1694"/>
    <w:rsid w:val="00AB182B"/>
    <w:rsid w:val="00AB659D"/>
    <w:rsid w:val="00AC3D6A"/>
    <w:rsid w:val="00AD2A0B"/>
    <w:rsid w:val="00AE65A8"/>
    <w:rsid w:val="00AF61C1"/>
    <w:rsid w:val="00B047BC"/>
    <w:rsid w:val="00B10A89"/>
    <w:rsid w:val="00B12457"/>
    <w:rsid w:val="00B148DB"/>
    <w:rsid w:val="00B15BF3"/>
    <w:rsid w:val="00B2510A"/>
    <w:rsid w:val="00B26AFA"/>
    <w:rsid w:val="00B30C90"/>
    <w:rsid w:val="00B44269"/>
    <w:rsid w:val="00B46990"/>
    <w:rsid w:val="00B47AEF"/>
    <w:rsid w:val="00B51008"/>
    <w:rsid w:val="00B5148B"/>
    <w:rsid w:val="00B55561"/>
    <w:rsid w:val="00B57892"/>
    <w:rsid w:val="00B6430B"/>
    <w:rsid w:val="00B64563"/>
    <w:rsid w:val="00B6536B"/>
    <w:rsid w:val="00B6700E"/>
    <w:rsid w:val="00B8362C"/>
    <w:rsid w:val="00B901C5"/>
    <w:rsid w:val="00B975CB"/>
    <w:rsid w:val="00BA16AE"/>
    <w:rsid w:val="00BA2EA7"/>
    <w:rsid w:val="00BB4DC8"/>
    <w:rsid w:val="00BC4906"/>
    <w:rsid w:val="00BE0E21"/>
    <w:rsid w:val="00BE0F6E"/>
    <w:rsid w:val="00BF3420"/>
    <w:rsid w:val="00BF3C8D"/>
    <w:rsid w:val="00C04DD2"/>
    <w:rsid w:val="00C20DDE"/>
    <w:rsid w:val="00C23880"/>
    <w:rsid w:val="00C33FDF"/>
    <w:rsid w:val="00C46D69"/>
    <w:rsid w:val="00C607C4"/>
    <w:rsid w:val="00C6176E"/>
    <w:rsid w:val="00C65528"/>
    <w:rsid w:val="00C66298"/>
    <w:rsid w:val="00C71EDF"/>
    <w:rsid w:val="00C7683C"/>
    <w:rsid w:val="00C80B4B"/>
    <w:rsid w:val="00C87998"/>
    <w:rsid w:val="00C90628"/>
    <w:rsid w:val="00C94DA5"/>
    <w:rsid w:val="00C95A5C"/>
    <w:rsid w:val="00CA321B"/>
    <w:rsid w:val="00CC2268"/>
    <w:rsid w:val="00CC243C"/>
    <w:rsid w:val="00CC25DC"/>
    <w:rsid w:val="00CC2DA4"/>
    <w:rsid w:val="00CC7CF1"/>
    <w:rsid w:val="00CD73F8"/>
    <w:rsid w:val="00CE239C"/>
    <w:rsid w:val="00CE6B6E"/>
    <w:rsid w:val="00CE732C"/>
    <w:rsid w:val="00CF1F3A"/>
    <w:rsid w:val="00CF4229"/>
    <w:rsid w:val="00D01E48"/>
    <w:rsid w:val="00D04218"/>
    <w:rsid w:val="00D3062F"/>
    <w:rsid w:val="00D307C0"/>
    <w:rsid w:val="00D34287"/>
    <w:rsid w:val="00D401B8"/>
    <w:rsid w:val="00D40DF4"/>
    <w:rsid w:val="00D51711"/>
    <w:rsid w:val="00D52B89"/>
    <w:rsid w:val="00D54227"/>
    <w:rsid w:val="00D576B5"/>
    <w:rsid w:val="00D62A17"/>
    <w:rsid w:val="00D6318B"/>
    <w:rsid w:val="00D63420"/>
    <w:rsid w:val="00D65821"/>
    <w:rsid w:val="00D80EF5"/>
    <w:rsid w:val="00D90053"/>
    <w:rsid w:val="00D90AD5"/>
    <w:rsid w:val="00DA088C"/>
    <w:rsid w:val="00DA12D2"/>
    <w:rsid w:val="00DA207D"/>
    <w:rsid w:val="00DA26D6"/>
    <w:rsid w:val="00DB13C7"/>
    <w:rsid w:val="00DB1A40"/>
    <w:rsid w:val="00DC0409"/>
    <w:rsid w:val="00DC4830"/>
    <w:rsid w:val="00DD4AD7"/>
    <w:rsid w:val="00DD6272"/>
    <w:rsid w:val="00DE505E"/>
    <w:rsid w:val="00DF1FA2"/>
    <w:rsid w:val="00DF5998"/>
    <w:rsid w:val="00E00738"/>
    <w:rsid w:val="00E159AB"/>
    <w:rsid w:val="00E33CEE"/>
    <w:rsid w:val="00E34701"/>
    <w:rsid w:val="00E40391"/>
    <w:rsid w:val="00E461A0"/>
    <w:rsid w:val="00E47715"/>
    <w:rsid w:val="00E54AD7"/>
    <w:rsid w:val="00E611E2"/>
    <w:rsid w:val="00E66C8F"/>
    <w:rsid w:val="00E76BE7"/>
    <w:rsid w:val="00E87016"/>
    <w:rsid w:val="00E91C6B"/>
    <w:rsid w:val="00E95261"/>
    <w:rsid w:val="00E97029"/>
    <w:rsid w:val="00E97E80"/>
    <w:rsid w:val="00E97F99"/>
    <w:rsid w:val="00EA2247"/>
    <w:rsid w:val="00EB410C"/>
    <w:rsid w:val="00EC169E"/>
    <w:rsid w:val="00EC17E4"/>
    <w:rsid w:val="00EC318C"/>
    <w:rsid w:val="00EC6FB0"/>
    <w:rsid w:val="00EF29BF"/>
    <w:rsid w:val="00EF362D"/>
    <w:rsid w:val="00F1666D"/>
    <w:rsid w:val="00F16935"/>
    <w:rsid w:val="00F2311F"/>
    <w:rsid w:val="00F235D7"/>
    <w:rsid w:val="00F31082"/>
    <w:rsid w:val="00F3152C"/>
    <w:rsid w:val="00F31D54"/>
    <w:rsid w:val="00F32150"/>
    <w:rsid w:val="00F345B9"/>
    <w:rsid w:val="00F414E3"/>
    <w:rsid w:val="00F45A15"/>
    <w:rsid w:val="00F74CDC"/>
    <w:rsid w:val="00F75946"/>
    <w:rsid w:val="00F809E0"/>
    <w:rsid w:val="00F82C8F"/>
    <w:rsid w:val="00F834F4"/>
    <w:rsid w:val="00F84838"/>
    <w:rsid w:val="00F849CC"/>
    <w:rsid w:val="00F84C46"/>
    <w:rsid w:val="00F912FA"/>
    <w:rsid w:val="00F944F7"/>
    <w:rsid w:val="00F94F35"/>
    <w:rsid w:val="00FA00DB"/>
    <w:rsid w:val="00FA18EB"/>
    <w:rsid w:val="00FA3042"/>
    <w:rsid w:val="00FA5AD4"/>
    <w:rsid w:val="00FA5D14"/>
    <w:rsid w:val="00FA79C1"/>
    <w:rsid w:val="00FB2633"/>
    <w:rsid w:val="00FB70B0"/>
    <w:rsid w:val="00FD57B2"/>
    <w:rsid w:val="00FE29BE"/>
    <w:rsid w:val="00FF51F7"/>
    <w:rsid w:val="00FF7973"/>
    <w:rsid w:val="00FF7BAC"/>
    <w:rsid w:val="023F713E"/>
    <w:rsid w:val="0261E3B4"/>
    <w:rsid w:val="04262CDB"/>
    <w:rsid w:val="0457F730"/>
    <w:rsid w:val="0519EFCE"/>
    <w:rsid w:val="0545F131"/>
    <w:rsid w:val="05975D9A"/>
    <w:rsid w:val="06378F90"/>
    <w:rsid w:val="06A8BAB3"/>
    <w:rsid w:val="06F2C57B"/>
    <w:rsid w:val="073ED969"/>
    <w:rsid w:val="0776F5FA"/>
    <w:rsid w:val="07A3E319"/>
    <w:rsid w:val="07AE007E"/>
    <w:rsid w:val="0800C315"/>
    <w:rsid w:val="085859BE"/>
    <w:rsid w:val="088E2593"/>
    <w:rsid w:val="08A51C75"/>
    <w:rsid w:val="0950D301"/>
    <w:rsid w:val="09EA6877"/>
    <w:rsid w:val="0A036CB8"/>
    <w:rsid w:val="0A82140C"/>
    <w:rsid w:val="0AA2679D"/>
    <w:rsid w:val="0ACC30E2"/>
    <w:rsid w:val="0B595591"/>
    <w:rsid w:val="0BE30518"/>
    <w:rsid w:val="0BF436FB"/>
    <w:rsid w:val="0C4C505D"/>
    <w:rsid w:val="0E1BAAFE"/>
    <w:rsid w:val="0EAFF60F"/>
    <w:rsid w:val="0EE4787C"/>
    <w:rsid w:val="101712A2"/>
    <w:rsid w:val="10CCF129"/>
    <w:rsid w:val="123E9F30"/>
    <w:rsid w:val="128FC6BA"/>
    <w:rsid w:val="136E155E"/>
    <w:rsid w:val="13CB05BA"/>
    <w:rsid w:val="14E50F12"/>
    <w:rsid w:val="163C209B"/>
    <w:rsid w:val="1668C95D"/>
    <w:rsid w:val="16CCEE4A"/>
    <w:rsid w:val="16D84EDB"/>
    <w:rsid w:val="16E97E1F"/>
    <w:rsid w:val="16EF1A4E"/>
    <w:rsid w:val="1714C0E1"/>
    <w:rsid w:val="18741F3C"/>
    <w:rsid w:val="1A445440"/>
    <w:rsid w:val="1A5FB632"/>
    <w:rsid w:val="1B84236E"/>
    <w:rsid w:val="1B9297A1"/>
    <w:rsid w:val="1BD34405"/>
    <w:rsid w:val="1BEF87FD"/>
    <w:rsid w:val="1C04C927"/>
    <w:rsid w:val="1CE73DEC"/>
    <w:rsid w:val="1D58BFA3"/>
    <w:rsid w:val="1D62CCA5"/>
    <w:rsid w:val="1DEF596C"/>
    <w:rsid w:val="1F7015F2"/>
    <w:rsid w:val="1F797A62"/>
    <w:rsid w:val="20248C97"/>
    <w:rsid w:val="20E258B3"/>
    <w:rsid w:val="2151DE31"/>
    <w:rsid w:val="21796238"/>
    <w:rsid w:val="222C30C6"/>
    <w:rsid w:val="24499373"/>
    <w:rsid w:val="244DA47A"/>
    <w:rsid w:val="245A1387"/>
    <w:rsid w:val="254D0E53"/>
    <w:rsid w:val="25B3AE77"/>
    <w:rsid w:val="25FAA41F"/>
    <w:rsid w:val="26F8C054"/>
    <w:rsid w:val="280F4DE2"/>
    <w:rsid w:val="281ABD88"/>
    <w:rsid w:val="289B724A"/>
    <w:rsid w:val="2932A408"/>
    <w:rsid w:val="29503E2E"/>
    <w:rsid w:val="2A5BF993"/>
    <w:rsid w:val="2C90137C"/>
    <w:rsid w:val="2C982C5D"/>
    <w:rsid w:val="2CD5064E"/>
    <w:rsid w:val="2DCECB12"/>
    <w:rsid w:val="2DD4ACE1"/>
    <w:rsid w:val="2DD76254"/>
    <w:rsid w:val="2E2BE3DD"/>
    <w:rsid w:val="2FE0DC9B"/>
    <w:rsid w:val="2FF971B0"/>
    <w:rsid w:val="30BE9E5F"/>
    <w:rsid w:val="30BFF48D"/>
    <w:rsid w:val="30DCB86F"/>
    <w:rsid w:val="30FAF9B7"/>
    <w:rsid w:val="31B396BD"/>
    <w:rsid w:val="32CE7803"/>
    <w:rsid w:val="32DA7D55"/>
    <w:rsid w:val="332CFD32"/>
    <w:rsid w:val="345F4AE8"/>
    <w:rsid w:val="34A312E7"/>
    <w:rsid w:val="34A5F26E"/>
    <w:rsid w:val="353E1AD9"/>
    <w:rsid w:val="35F32DC3"/>
    <w:rsid w:val="3636F5C2"/>
    <w:rsid w:val="37A100AD"/>
    <w:rsid w:val="37D2C623"/>
    <w:rsid w:val="383110CA"/>
    <w:rsid w:val="38F2538B"/>
    <w:rsid w:val="3A1CBDBE"/>
    <w:rsid w:val="3A878451"/>
    <w:rsid w:val="3A8D638E"/>
    <w:rsid w:val="3BDA54D9"/>
    <w:rsid w:val="3CBD5AF0"/>
    <w:rsid w:val="3D685141"/>
    <w:rsid w:val="3EDBF043"/>
    <w:rsid w:val="3F10F2EF"/>
    <w:rsid w:val="4097CDF0"/>
    <w:rsid w:val="40EA3CF3"/>
    <w:rsid w:val="413844C5"/>
    <w:rsid w:val="420EEA97"/>
    <w:rsid w:val="43274E8E"/>
    <w:rsid w:val="43BB0215"/>
    <w:rsid w:val="4498D844"/>
    <w:rsid w:val="44F720DA"/>
    <w:rsid w:val="459F4532"/>
    <w:rsid w:val="45B78671"/>
    <w:rsid w:val="46C83186"/>
    <w:rsid w:val="46FF78DB"/>
    <w:rsid w:val="47987F31"/>
    <w:rsid w:val="49087755"/>
    <w:rsid w:val="4952DAC9"/>
    <w:rsid w:val="4A182252"/>
    <w:rsid w:val="4A4EF5EE"/>
    <w:rsid w:val="4ABACE4F"/>
    <w:rsid w:val="4B52274B"/>
    <w:rsid w:val="4C1FBE29"/>
    <w:rsid w:val="4D370CD0"/>
    <w:rsid w:val="4E648AC0"/>
    <w:rsid w:val="4FC8EE92"/>
    <w:rsid w:val="4FE4FD87"/>
    <w:rsid w:val="50476855"/>
    <w:rsid w:val="51CA723C"/>
    <w:rsid w:val="521845B7"/>
    <w:rsid w:val="52C804C8"/>
    <w:rsid w:val="55557388"/>
    <w:rsid w:val="55A2B52E"/>
    <w:rsid w:val="564D724E"/>
    <w:rsid w:val="56D8A1F1"/>
    <w:rsid w:val="5711D4BA"/>
    <w:rsid w:val="5758DCDC"/>
    <w:rsid w:val="57CE8043"/>
    <w:rsid w:val="57E11565"/>
    <w:rsid w:val="57F5C066"/>
    <w:rsid w:val="583012DB"/>
    <w:rsid w:val="58ECEAF1"/>
    <w:rsid w:val="5954833D"/>
    <w:rsid w:val="5ABC56C8"/>
    <w:rsid w:val="5B8734EE"/>
    <w:rsid w:val="5BBC4639"/>
    <w:rsid w:val="5BDCAACF"/>
    <w:rsid w:val="5C5E37BD"/>
    <w:rsid w:val="5C5F3BB1"/>
    <w:rsid w:val="5CFDDB48"/>
    <w:rsid w:val="5D297051"/>
    <w:rsid w:val="5E3DC1C7"/>
    <w:rsid w:val="5EC81ED5"/>
    <w:rsid w:val="5F0FCDAC"/>
    <w:rsid w:val="5F50D757"/>
    <w:rsid w:val="5F902C32"/>
    <w:rsid w:val="5FD99228"/>
    <w:rsid w:val="61769C11"/>
    <w:rsid w:val="61C9FE5A"/>
    <w:rsid w:val="621ACE33"/>
    <w:rsid w:val="62887819"/>
    <w:rsid w:val="62A11A11"/>
    <w:rsid w:val="637763A1"/>
    <w:rsid w:val="63F6AD23"/>
    <w:rsid w:val="6493DAEE"/>
    <w:rsid w:val="6503606C"/>
    <w:rsid w:val="65526EF5"/>
    <w:rsid w:val="65C0BD36"/>
    <w:rsid w:val="65D98ADE"/>
    <w:rsid w:val="669F30CD"/>
    <w:rsid w:val="66F2CC62"/>
    <w:rsid w:val="685486D2"/>
    <w:rsid w:val="68F86740"/>
    <w:rsid w:val="69128029"/>
    <w:rsid w:val="6960290D"/>
    <w:rsid w:val="6A985AEE"/>
    <w:rsid w:val="6AFD1A91"/>
    <w:rsid w:val="6B798519"/>
    <w:rsid w:val="6D1D9427"/>
    <w:rsid w:val="6D95E18C"/>
    <w:rsid w:val="6FFDCDB8"/>
    <w:rsid w:val="7116BD10"/>
    <w:rsid w:val="720F72D8"/>
    <w:rsid w:val="72245545"/>
    <w:rsid w:val="7282F254"/>
    <w:rsid w:val="728D610C"/>
    <w:rsid w:val="7401F14A"/>
    <w:rsid w:val="743B9B34"/>
    <w:rsid w:val="74F4B14F"/>
    <w:rsid w:val="757BB0A4"/>
    <w:rsid w:val="75C501CE"/>
    <w:rsid w:val="75D7DAD4"/>
    <w:rsid w:val="7608C9CD"/>
    <w:rsid w:val="7934BB41"/>
    <w:rsid w:val="79CC5726"/>
    <w:rsid w:val="79E877FD"/>
    <w:rsid w:val="7A1F3A80"/>
    <w:rsid w:val="7A5E0A51"/>
    <w:rsid w:val="7A6F4555"/>
    <w:rsid w:val="7A7C521A"/>
    <w:rsid w:val="7A7F3A0A"/>
    <w:rsid w:val="7AB9FE84"/>
    <w:rsid w:val="7C71489E"/>
    <w:rsid w:val="7CBF9E41"/>
    <w:rsid w:val="7E95FE78"/>
    <w:rsid w:val="7F9756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5236"/>
  <w15:docId w15:val="{DB1504F3-7D59-41A7-863D-CC8A3272E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1A4"/>
  </w:style>
  <w:style w:type="paragraph" w:styleId="Heading1">
    <w:name w:val="heading 1"/>
    <w:basedOn w:val="Normal"/>
    <w:next w:val="Normal"/>
    <w:link w:val="Heading1Char"/>
    <w:uiPriority w:val="9"/>
    <w:qFormat/>
    <w:rsid w:val="003B56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6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7EA1"/>
    <w:rPr>
      <w:color w:val="0563C1" w:themeColor="hyperlink"/>
      <w:u w:val="single"/>
    </w:rPr>
  </w:style>
  <w:style w:type="paragraph" w:styleId="FootnoteText">
    <w:name w:val="footnote text"/>
    <w:basedOn w:val="Normal"/>
    <w:link w:val="FootnoteTextChar"/>
    <w:uiPriority w:val="99"/>
    <w:unhideWhenUsed/>
    <w:rsid w:val="009E7EA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9E7EA1"/>
    <w:rPr>
      <w:kern w:val="0"/>
      <w:sz w:val="20"/>
      <w:szCs w:val="20"/>
      <w14:ligatures w14:val="none"/>
    </w:rPr>
  </w:style>
  <w:style w:type="character" w:styleId="FootnoteReference">
    <w:name w:val="footnote reference"/>
    <w:basedOn w:val="DefaultParagraphFont"/>
    <w:uiPriority w:val="99"/>
    <w:semiHidden/>
    <w:unhideWhenUsed/>
    <w:rsid w:val="009E7EA1"/>
    <w:rPr>
      <w:vertAlign w:val="superscript"/>
    </w:rPr>
  </w:style>
  <w:style w:type="paragraph" w:styleId="NormalWeb">
    <w:name w:val="Normal (Web)"/>
    <w:basedOn w:val="Normal"/>
    <w:uiPriority w:val="99"/>
    <w:semiHidden/>
    <w:unhideWhenUsed/>
    <w:rsid w:val="004671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467139"/>
    <w:pPr>
      <w:ind w:left="720"/>
      <w:contextualSpacing/>
    </w:pPr>
  </w:style>
  <w:style w:type="character" w:styleId="CommentReference">
    <w:name w:val="annotation reference"/>
    <w:basedOn w:val="DefaultParagraphFont"/>
    <w:uiPriority w:val="99"/>
    <w:semiHidden/>
    <w:unhideWhenUsed/>
    <w:rsid w:val="0061225C"/>
    <w:rPr>
      <w:sz w:val="16"/>
      <w:szCs w:val="16"/>
    </w:rPr>
  </w:style>
  <w:style w:type="paragraph" w:styleId="CommentText">
    <w:name w:val="annotation text"/>
    <w:basedOn w:val="Normal"/>
    <w:link w:val="CommentTextChar"/>
    <w:uiPriority w:val="99"/>
    <w:unhideWhenUsed/>
    <w:rsid w:val="0061225C"/>
    <w:pPr>
      <w:spacing w:line="240" w:lineRule="auto"/>
    </w:pPr>
    <w:rPr>
      <w:sz w:val="20"/>
      <w:szCs w:val="20"/>
    </w:rPr>
  </w:style>
  <w:style w:type="character" w:customStyle="1" w:styleId="CommentTextChar">
    <w:name w:val="Comment Text Char"/>
    <w:basedOn w:val="DefaultParagraphFont"/>
    <w:link w:val="CommentText"/>
    <w:uiPriority w:val="99"/>
    <w:rsid w:val="0061225C"/>
    <w:rPr>
      <w:sz w:val="20"/>
      <w:szCs w:val="20"/>
    </w:rPr>
  </w:style>
  <w:style w:type="paragraph" w:styleId="CommentSubject">
    <w:name w:val="annotation subject"/>
    <w:basedOn w:val="CommentText"/>
    <w:next w:val="CommentText"/>
    <w:link w:val="CommentSubjectChar"/>
    <w:uiPriority w:val="99"/>
    <w:semiHidden/>
    <w:unhideWhenUsed/>
    <w:rsid w:val="0061225C"/>
    <w:rPr>
      <w:b/>
      <w:bCs/>
    </w:rPr>
  </w:style>
  <w:style w:type="character" w:customStyle="1" w:styleId="CommentSubjectChar">
    <w:name w:val="Comment Subject Char"/>
    <w:basedOn w:val="CommentTextChar"/>
    <w:link w:val="CommentSubject"/>
    <w:uiPriority w:val="99"/>
    <w:semiHidden/>
    <w:rsid w:val="0061225C"/>
    <w:rPr>
      <w:b/>
      <w:bCs/>
      <w:sz w:val="20"/>
      <w:szCs w:val="20"/>
    </w:rPr>
  </w:style>
  <w:style w:type="table" w:styleId="TableGrid">
    <w:name w:val="Table Grid"/>
    <w:basedOn w:val="TableNormal"/>
    <w:uiPriority w:val="39"/>
    <w:rsid w:val="00210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4303"/>
    <w:rPr>
      <w:color w:val="605E5C"/>
      <w:shd w:val="clear" w:color="auto" w:fill="E1DFDD"/>
    </w:rPr>
  </w:style>
  <w:style w:type="paragraph" w:styleId="Header">
    <w:name w:val="header"/>
    <w:basedOn w:val="Normal"/>
    <w:link w:val="HeaderChar"/>
    <w:uiPriority w:val="99"/>
    <w:unhideWhenUsed/>
    <w:rsid w:val="00D30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7C0"/>
  </w:style>
  <w:style w:type="paragraph" w:styleId="Footer">
    <w:name w:val="footer"/>
    <w:basedOn w:val="Normal"/>
    <w:link w:val="FooterChar"/>
    <w:uiPriority w:val="99"/>
    <w:unhideWhenUsed/>
    <w:rsid w:val="00D30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7C0"/>
  </w:style>
  <w:style w:type="paragraph" w:styleId="Revision">
    <w:name w:val="Revision"/>
    <w:hidden/>
    <w:uiPriority w:val="99"/>
    <w:semiHidden/>
    <w:rsid w:val="00F849CC"/>
    <w:pPr>
      <w:spacing w:after="0" w:line="240" w:lineRule="auto"/>
    </w:pPr>
  </w:style>
  <w:style w:type="character" w:customStyle="1" w:styleId="wacimagecontainer">
    <w:name w:val="wacimagecontainer"/>
    <w:basedOn w:val="DefaultParagraphFont"/>
    <w:rsid w:val="007D31E7"/>
  </w:style>
  <w:style w:type="character" w:customStyle="1" w:styleId="Heading1Char">
    <w:name w:val="Heading 1 Char"/>
    <w:basedOn w:val="DefaultParagraphFont"/>
    <w:link w:val="Heading1"/>
    <w:uiPriority w:val="9"/>
    <w:rsid w:val="003B568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B568F"/>
    <w:pPr>
      <w:outlineLvl w:val="9"/>
    </w:pPr>
    <w:rPr>
      <w:kern w:val="0"/>
      <w14:ligatures w14:val="none"/>
    </w:rPr>
  </w:style>
  <w:style w:type="character" w:customStyle="1" w:styleId="Heading2Char">
    <w:name w:val="Heading 2 Char"/>
    <w:basedOn w:val="DefaultParagraphFont"/>
    <w:link w:val="Heading2"/>
    <w:uiPriority w:val="9"/>
    <w:rsid w:val="003F6E8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F6E82"/>
    <w:pPr>
      <w:spacing w:after="100"/>
    </w:pPr>
  </w:style>
  <w:style w:type="paragraph" w:styleId="TOC2">
    <w:name w:val="toc 2"/>
    <w:basedOn w:val="Normal"/>
    <w:next w:val="Normal"/>
    <w:autoRedefine/>
    <w:uiPriority w:val="39"/>
    <w:unhideWhenUsed/>
    <w:rsid w:val="003F6E82"/>
    <w:pPr>
      <w:spacing w:after="100"/>
      <w:ind w:left="220"/>
    </w:pPr>
  </w:style>
  <w:style w:type="character" w:styleId="Mention">
    <w:name w:val="Mention"/>
    <w:basedOn w:val="DefaultParagraphFont"/>
    <w:uiPriority w:val="99"/>
    <w:unhideWhenUsed/>
    <w:rsid w:val="003338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3">
      <w:bodyDiv w:val="1"/>
      <w:marLeft w:val="0"/>
      <w:marRight w:val="0"/>
      <w:marTop w:val="0"/>
      <w:marBottom w:val="0"/>
      <w:divBdr>
        <w:top w:val="none" w:sz="0" w:space="0" w:color="auto"/>
        <w:left w:val="none" w:sz="0" w:space="0" w:color="auto"/>
        <w:bottom w:val="none" w:sz="0" w:space="0" w:color="auto"/>
        <w:right w:val="none" w:sz="0" w:space="0" w:color="auto"/>
      </w:divBdr>
    </w:div>
    <w:div w:id="1247279">
      <w:bodyDiv w:val="1"/>
      <w:marLeft w:val="0"/>
      <w:marRight w:val="0"/>
      <w:marTop w:val="0"/>
      <w:marBottom w:val="0"/>
      <w:divBdr>
        <w:top w:val="none" w:sz="0" w:space="0" w:color="auto"/>
        <w:left w:val="none" w:sz="0" w:space="0" w:color="auto"/>
        <w:bottom w:val="none" w:sz="0" w:space="0" w:color="auto"/>
        <w:right w:val="none" w:sz="0" w:space="0" w:color="auto"/>
      </w:divBdr>
    </w:div>
    <w:div w:id="13456611">
      <w:bodyDiv w:val="1"/>
      <w:marLeft w:val="0"/>
      <w:marRight w:val="0"/>
      <w:marTop w:val="0"/>
      <w:marBottom w:val="0"/>
      <w:divBdr>
        <w:top w:val="none" w:sz="0" w:space="0" w:color="auto"/>
        <w:left w:val="none" w:sz="0" w:space="0" w:color="auto"/>
        <w:bottom w:val="none" w:sz="0" w:space="0" w:color="auto"/>
        <w:right w:val="none" w:sz="0" w:space="0" w:color="auto"/>
      </w:divBdr>
    </w:div>
    <w:div w:id="14693202">
      <w:bodyDiv w:val="1"/>
      <w:marLeft w:val="0"/>
      <w:marRight w:val="0"/>
      <w:marTop w:val="0"/>
      <w:marBottom w:val="0"/>
      <w:divBdr>
        <w:top w:val="none" w:sz="0" w:space="0" w:color="auto"/>
        <w:left w:val="none" w:sz="0" w:space="0" w:color="auto"/>
        <w:bottom w:val="none" w:sz="0" w:space="0" w:color="auto"/>
        <w:right w:val="none" w:sz="0" w:space="0" w:color="auto"/>
      </w:divBdr>
    </w:div>
    <w:div w:id="18364041">
      <w:bodyDiv w:val="1"/>
      <w:marLeft w:val="0"/>
      <w:marRight w:val="0"/>
      <w:marTop w:val="0"/>
      <w:marBottom w:val="0"/>
      <w:divBdr>
        <w:top w:val="none" w:sz="0" w:space="0" w:color="auto"/>
        <w:left w:val="none" w:sz="0" w:space="0" w:color="auto"/>
        <w:bottom w:val="none" w:sz="0" w:space="0" w:color="auto"/>
        <w:right w:val="none" w:sz="0" w:space="0" w:color="auto"/>
      </w:divBdr>
      <w:divsChild>
        <w:div w:id="115149667">
          <w:marLeft w:val="547"/>
          <w:marRight w:val="0"/>
          <w:marTop w:val="96"/>
          <w:marBottom w:val="0"/>
          <w:divBdr>
            <w:top w:val="none" w:sz="0" w:space="0" w:color="auto"/>
            <w:left w:val="none" w:sz="0" w:space="0" w:color="auto"/>
            <w:bottom w:val="none" w:sz="0" w:space="0" w:color="auto"/>
            <w:right w:val="none" w:sz="0" w:space="0" w:color="auto"/>
          </w:divBdr>
        </w:div>
        <w:div w:id="339502040">
          <w:marLeft w:val="547"/>
          <w:marRight w:val="0"/>
          <w:marTop w:val="96"/>
          <w:marBottom w:val="0"/>
          <w:divBdr>
            <w:top w:val="none" w:sz="0" w:space="0" w:color="auto"/>
            <w:left w:val="none" w:sz="0" w:space="0" w:color="auto"/>
            <w:bottom w:val="none" w:sz="0" w:space="0" w:color="auto"/>
            <w:right w:val="none" w:sz="0" w:space="0" w:color="auto"/>
          </w:divBdr>
        </w:div>
        <w:div w:id="504899989">
          <w:marLeft w:val="1987"/>
          <w:marRight w:val="0"/>
          <w:marTop w:val="96"/>
          <w:marBottom w:val="0"/>
          <w:divBdr>
            <w:top w:val="none" w:sz="0" w:space="0" w:color="auto"/>
            <w:left w:val="none" w:sz="0" w:space="0" w:color="auto"/>
            <w:bottom w:val="none" w:sz="0" w:space="0" w:color="auto"/>
            <w:right w:val="none" w:sz="0" w:space="0" w:color="auto"/>
          </w:divBdr>
        </w:div>
        <w:div w:id="816652527">
          <w:marLeft w:val="547"/>
          <w:marRight w:val="0"/>
          <w:marTop w:val="96"/>
          <w:marBottom w:val="0"/>
          <w:divBdr>
            <w:top w:val="none" w:sz="0" w:space="0" w:color="auto"/>
            <w:left w:val="none" w:sz="0" w:space="0" w:color="auto"/>
            <w:bottom w:val="none" w:sz="0" w:space="0" w:color="auto"/>
            <w:right w:val="none" w:sz="0" w:space="0" w:color="auto"/>
          </w:divBdr>
        </w:div>
        <w:div w:id="872352367">
          <w:marLeft w:val="547"/>
          <w:marRight w:val="0"/>
          <w:marTop w:val="96"/>
          <w:marBottom w:val="0"/>
          <w:divBdr>
            <w:top w:val="none" w:sz="0" w:space="0" w:color="auto"/>
            <w:left w:val="none" w:sz="0" w:space="0" w:color="auto"/>
            <w:bottom w:val="none" w:sz="0" w:space="0" w:color="auto"/>
            <w:right w:val="none" w:sz="0" w:space="0" w:color="auto"/>
          </w:divBdr>
        </w:div>
        <w:div w:id="895354682">
          <w:marLeft w:val="1267"/>
          <w:marRight w:val="0"/>
          <w:marTop w:val="96"/>
          <w:marBottom w:val="0"/>
          <w:divBdr>
            <w:top w:val="none" w:sz="0" w:space="0" w:color="auto"/>
            <w:left w:val="none" w:sz="0" w:space="0" w:color="auto"/>
            <w:bottom w:val="none" w:sz="0" w:space="0" w:color="auto"/>
            <w:right w:val="none" w:sz="0" w:space="0" w:color="auto"/>
          </w:divBdr>
        </w:div>
        <w:div w:id="1211771853">
          <w:marLeft w:val="1267"/>
          <w:marRight w:val="0"/>
          <w:marTop w:val="96"/>
          <w:marBottom w:val="0"/>
          <w:divBdr>
            <w:top w:val="none" w:sz="0" w:space="0" w:color="auto"/>
            <w:left w:val="none" w:sz="0" w:space="0" w:color="auto"/>
            <w:bottom w:val="none" w:sz="0" w:space="0" w:color="auto"/>
            <w:right w:val="none" w:sz="0" w:space="0" w:color="auto"/>
          </w:divBdr>
        </w:div>
        <w:div w:id="1236890545">
          <w:marLeft w:val="547"/>
          <w:marRight w:val="0"/>
          <w:marTop w:val="96"/>
          <w:marBottom w:val="0"/>
          <w:divBdr>
            <w:top w:val="none" w:sz="0" w:space="0" w:color="auto"/>
            <w:left w:val="none" w:sz="0" w:space="0" w:color="auto"/>
            <w:bottom w:val="none" w:sz="0" w:space="0" w:color="auto"/>
            <w:right w:val="none" w:sz="0" w:space="0" w:color="auto"/>
          </w:divBdr>
        </w:div>
        <w:div w:id="1702976887">
          <w:marLeft w:val="1987"/>
          <w:marRight w:val="0"/>
          <w:marTop w:val="96"/>
          <w:marBottom w:val="0"/>
          <w:divBdr>
            <w:top w:val="none" w:sz="0" w:space="0" w:color="auto"/>
            <w:left w:val="none" w:sz="0" w:space="0" w:color="auto"/>
            <w:bottom w:val="none" w:sz="0" w:space="0" w:color="auto"/>
            <w:right w:val="none" w:sz="0" w:space="0" w:color="auto"/>
          </w:divBdr>
        </w:div>
        <w:div w:id="2014412412">
          <w:marLeft w:val="1987"/>
          <w:marRight w:val="0"/>
          <w:marTop w:val="96"/>
          <w:marBottom w:val="0"/>
          <w:divBdr>
            <w:top w:val="none" w:sz="0" w:space="0" w:color="auto"/>
            <w:left w:val="none" w:sz="0" w:space="0" w:color="auto"/>
            <w:bottom w:val="none" w:sz="0" w:space="0" w:color="auto"/>
            <w:right w:val="none" w:sz="0" w:space="0" w:color="auto"/>
          </w:divBdr>
        </w:div>
      </w:divsChild>
    </w:div>
    <w:div w:id="20402556">
      <w:bodyDiv w:val="1"/>
      <w:marLeft w:val="0"/>
      <w:marRight w:val="0"/>
      <w:marTop w:val="0"/>
      <w:marBottom w:val="0"/>
      <w:divBdr>
        <w:top w:val="none" w:sz="0" w:space="0" w:color="auto"/>
        <w:left w:val="none" w:sz="0" w:space="0" w:color="auto"/>
        <w:bottom w:val="none" w:sz="0" w:space="0" w:color="auto"/>
        <w:right w:val="none" w:sz="0" w:space="0" w:color="auto"/>
      </w:divBdr>
    </w:div>
    <w:div w:id="34931907">
      <w:bodyDiv w:val="1"/>
      <w:marLeft w:val="0"/>
      <w:marRight w:val="0"/>
      <w:marTop w:val="0"/>
      <w:marBottom w:val="0"/>
      <w:divBdr>
        <w:top w:val="none" w:sz="0" w:space="0" w:color="auto"/>
        <w:left w:val="none" w:sz="0" w:space="0" w:color="auto"/>
        <w:bottom w:val="none" w:sz="0" w:space="0" w:color="auto"/>
        <w:right w:val="none" w:sz="0" w:space="0" w:color="auto"/>
      </w:divBdr>
    </w:div>
    <w:div w:id="45185382">
      <w:bodyDiv w:val="1"/>
      <w:marLeft w:val="0"/>
      <w:marRight w:val="0"/>
      <w:marTop w:val="0"/>
      <w:marBottom w:val="0"/>
      <w:divBdr>
        <w:top w:val="none" w:sz="0" w:space="0" w:color="auto"/>
        <w:left w:val="none" w:sz="0" w:space="0" w:color="auto"/>
        <w:bottom w:val="none" w:sz="0" w:space="0" w:color="auto"/>
        <w:right w:val="none" w:sz="0" w:space="0" w:color="auto"/>
      </w:divBdr>
    </w:div>
    <w:div w:id="48383927">
      <w:bodyDiv w:val="1"/>
      <w:marLeft w:val="0"/>
      <w:marRight w:val="0"/>
      <w:marTop w:val="0"/>
      <w:marBottom w:val="0"/>
      <w:divBdr>
        <w:top w:val="none" w:sz="0" w:space="0" w:color="auto"/>
        <w:left w:val="none" w:sz="0" w:space="0" w:color="auto"/>
        <w:bottom w:val="none" w:sz="0" w:space="0" w:color="auto"/>
        <w:right w:val="none" w:sz="0" w:space="0" w:color="auto"/>
      </w:divBdr>
    </w:div>
    <w:div w:id="68581415">
      <w:bodyDiv w:val="1"/>
      <w:marLeft w:val="0"/>
      <w:marRight w:val="0"/>
      <w:marTop w:val="0"/>
      <w:marBottom w:val="0"/>
      <w:divBdr>
        <w:top w:val="none" w:sz="0" w:space="0" w:color="auto"/>
        <w:left w:val="none" w:sz="0" w:space="0" w:color="auto"/>
        <w:bottom w:val="none" w:sz="0" w:space="0" w:color="auto"/>
        <w:right w:val="none" w:sz="0" w:space="0" w:color="auto"/>
      </w:divBdr>
    </w:div>
    <w:div w:id="73362446">
      <w:bodyDiv w:val="1"/>
      <w:marLeft w:val="0"/>
      <w:marRight w:val="0"/>
      <w:marTop w:val="0"/>
      <w:marBottom w:val="0"/>
      <w:divBdr>
        <w:top w:val="none" w:sz="0" w:space="0" w:color="auto"/>
        <w:left w:val="none" w:sz="0" w:space="0" w:color="auto"/>
        <w:bottom w:val="none" w:sz="0" w:space="0" w:color="auto"/>
        <w:right w:val="none" w:sz="0" w:space="0" w:color="auto"/>
      </w:divBdr>
    </w:div>
    <w:div w:id="74205007">
      <w:bodyDiv w:val="1"/>
      <w:marLeft w:val="0"/>
      <w:marRight w:val="0"/>
      <w:marTop w:val="0"/>
      <w:marBottom w:val="0"/>
      <w:divBdr>
        <w:top w:val="none" w:sz="0" w:space="0" w:color="auto"/>
        <w:left w:val="none" w:sz="0" w:space="0" w:color="auto"/>
        <w:bottom w:val="none" w:sz="0" w:space="0" w:color="auto"/>
        <w:right w:val="none" w:sz="0" w:space="0" w:color="auto"/>
      </w:divBdr>
    </w:div>
    <w:div w:id="83230814">
      <w:bodyDiv w:val="1"/>
      <w:marLeft w:val="0"/>
      <w:marRight w:val="0"/>
      <w:marTop w:val="0"/>
      <w:marBottom w:val="0"/>
      <w:divBdr>
        <w:top w:val="none" w:sz="0" w:space="0" w:color="auto"/>
        <w:left w:val="none" w:sz="0" w:space="0" w:color="auto"/>
        <w:bottom w:val="none" w:sz="0" w:space="0" w:color="auto"/>
        <w:right w:val="none" w:sz="0" w:space="0" w:color="auto"/>
      </w:divBdr>
    </w:div>
    <w:div w:id="89278488">
      <w:bodyDiv w:val="1"/>
      <w:marLeft w:val="0"/>
      <w:marRight w:val="0"/>
      <w:marTop w:val="0"/>
      <w:marBottom w:val="0"/>
      <w:divBdr>
        <w:top w:val="none" w:sz="0" w:space="0" w:color="auto"/>
        <w:left w:val="none" w:sz="0" w:space="0" w:color="auto"/>
        <w:bottom w:val="none" w:sz="0" w:space="0" w:color="auto"/>
        <w:right w:val="none" w:sz="0" w:space="0" w:color="auto"/>
      </w:divBdr>
      <w:divsChild>
        <w:div w:id="156502851">
          <w:marLeft w:val="720"/>
          <w:marRight w:val="0"/>
          <w:marTop w:val="40"/>
          <w:marBottom w:val="0"/>
          <w:divBdr>
            <w:top w:val="none" w:sz="0" w:space="0" w:color="auto"/>
            <w:left w:val="none" w:sz="0" w:space="0" w:color="auto"/>
            <w:bottom w:val="none" w:sz="0" w:space="0" w:color="auto"/>
            <w:right w:val="none" w:sz="0" w:space="0" w:color="auto"/>
          </w:divBdr>
        </w:div>
        <w:div w:id="530189613">
          <w:marLeft w:val="720"/>
          <w:marRight w:val="0"/>
          <w:marTop w:val="40"/>
          <w:marBottom w:val="0"/>
          <w:divBdr>
            <w:top w:val="none" w:sz="0" w:space="0" w:color="auto"/>
            <w:left w:val="none" w:sz="0" w:space="0" w:color="auto"/>
            <w:bottom w:val="none" w:sz="0" w:space="0" w:color="auto"/>
            <w:right w:val="none" w:sz="0" w:space="0" w:color="auto"/>
          </w:divBdr>
        </w:div>
        <w:div w:id="718477271">
          <w:marLeft w:val="720"/>
          <w:marRight w:val="0"/>
          <w:marTop w:val="40"/>
          <w:marBottom w:val="0"/>
          <w:divBdr>
            <w:top w:val="none" w:sz="0" w:space="0" w:color="auto"/>
            <w:left w:val="none" w:sz="0" w:space="0" w:color="auto"/>
            <w:bottom w:val="none" w:sz="0" w:space="0" w:color="auto"/>
            <w:right w:val="none" w:sz="0" w:space="0" w:color="auto"/>
          </w:divBdr>
        </w:div>
        <w:div w:id="1040786176">
          <w:marLeft w:val="0"/>
          <w:marRight w:val="0"/>
          <w:marTop w:val="40"/>
          <w:marBottom w:val="0"/>
          <w:divBdr>
            <w:top w:val="none" w:sz="0" w:space="0" w:color="auto"/>
            <w:left w:val="none" w:sz="0" w:space="0" w:color="auto"/>
            <w:bottom w:val="none" w:sz="0" w:space="0" w:color="auto"/>
            <w:right w:val="none" w:sz="0" w:space="0" w:color="auto"/>
          </w:divBdr>
        </w:div>
        <w:div w:id="1458064285">
          <w:marLeft w:val="0"/>
          <w:marRight w:val="0"/>
          <w:marTop w:val="40"/>
          <w:marBottom w:val="0"/>
          <w:divBdr>
            <w:top w:val="none" w:sz="0" w:space="0" w:color="auto"/>
            <w:left w:val="none" w:sz="0" w:space="0" w:color="auto"/>
            <w:bottom w:val="none" w:sz="0" w:space="0" w:color="auto"/>
            <w:right w:val="none" w:sz="0" w:space="0" w:color="auto"/>
          </w:divBdr>
        </w:div>
        <w:div w:id="1886483306">
          <w:marLeft w:val="0"/>
          <w:marRight w:val="0"/>
          <w:marTop w:val="40"/>
          <w:marBottom w:val="0"/>
          <w:divBdr>
            <w:top w:val="none" w:sz="0" w:space="0" w:color="auto"/>
            <w:left w:val="none" w:sz="0" w:space="0" w:color="auto"/>
            <w:bottom w:val="none" w:sz="0" w:space="0" w:color="auto"/>
            <w:right w:val="none" w:sz="0" w:space="0" w:color="auto"/>
          </w:divBdr>
        </w:div>
        <w:div w:id="2143573250">
          <w:marLeft w:val="720"/>
          <w:marRight w:val="0"/>
          <w:marTop w:val="40"/>
          <w:marBottom w:val="0"/>
          <w:divBdr>
            <w:top w:val="none" w:sz="0" w:space="0" w:color="auto"/>
            <w:left w:val="none" w:sz="0" w:space="0" w:color="auto"/>
            <w:bottom w:val="none" w:sz="0" w:space="0" w:color="auto"/>
            <w:right w:val="none" w:sz="0" w:space="0" w:color="auto"/>
          </w:divBdr>
        </w:div>
      </w:divsChild>
    </w:div>
    <w:div w:id="121273036">
      <w:bodyDiv w:val="1"/>
      <w:marLeft w:val="0"/>
      <w:marRight w:val="0"/>
      <w:marTop w:val="0"/>
      <w:marBottom w:val="0"/>
      <w:divBdr>
        <w:top w:val="none" w:sz="0" w:space="0" w:color="auto"/>
        <w:left w:val="none" w:sz="0" w:space="0" w:color="auto"/>
        <w:bottom w:val="none" w:sz="0" w:space="0" w:color="auto"/>
        <w:right w:val="none" w:sz="0" w:space="0" w:color="auto"/>
      </w:divBdr>
    </w:div>
    <w:div w:id="126363808">
      <w:bodyDiv w:val="1"/>
      <w:marLeft w:val="0"/>
      <w:marRight w:val="0"/>
      <w:marTop w:val="0"/>
      <w:marBottom w:val="0"/>
      <w:divBdr>
        <w:top w:val="none" w:sz="0" w:space="0" w:color="auto"/>
        <w:left w:val="none" w:sz="0" w:space="0" w:color="auto"/>
        <w:bottom w:val="none" w:sz="0" w:space="0" w:color="auto"/>
        <w:right w:val="none" w:sz="0" w:space="0" w:color="auto"/>
      </w:divBdr>
      <w:divsChild>
        <w:div w:id="119299626">
          <w:marLeft w:val="547"/>
          <w:marRight w:val="0"/>
          <w:marTop w:val="86"/>
          <w:marBottom w:val="0"/>
          <w:divBdr>
            <w:top w:val="none" w:sz="0" w:space="0" w:color="auto"/>
            <w:left w:val="none" w:sz="0" w:space="0" w:color="auto"/>
            <w:bottom w:val="none" w:sz="0" w:space="0" w:color="auto"/>
            <w:right w:val="none" w:sz="0" w:space="0" w:color="auto"/>
          </w:divBdr>
        </w:div>
        <w:div w:id="202837469">
          <w:marLeft w:val="720"/>
          <w:marRight w:val="0"/>
          <w:marTop w:val="86"/>
          <w:marBottom w:val="0"/>
          <w:divBdr>
            <w:top w:val="none" w:sz="0" w:space="0" w:color="auto"/>
            <w:left w:val="none" w:sz="0" w:space="0" w:color="auto"/>
            <w:bottom w:val="none" w:sz="0" w:space="0" w:color="auto"/>
            <w:right w:val="none" w:sz="0" w:space="0" w:color="auto"/>
          </w:divBdr>
        </w:div>
        <w:div w:id="602301224">
          <w:marLeft w:val="547"/>
          <w:marRight w:val="0"/>
          <w:marTop w:val="86"/>
          <w:marBottom w:val="0"/>
          <w:divBdr>
            <w:top w:val="none" w:sz="0" w:space="0" w:color="auto"/>
            <w:left w:val="none" w:sz="0" w:space="0" w:color="auto"/>
            <w:bottom w:val="none" w:sz="0" w:space="0" w:color="auto"/>
            <w:right w:val="none" w:sz="0" w:space="0" w:color="auto"/>
          </w:divBdr>
        </w:div>
        <w:div w:id="752816710">
          <w:marLeft w:val="547"/>
          <w:marRight w:val="0"/>
          <w:marTop w:val="86"/>
          <w:marBottom w:val="0"/>
          <w:divBdr>
            <w:top w:val="none" w:sz="0" w:space="0" w:color="auto"/>
            <w:left w:val="none" w:sz="0" w:space="0" w:color="auto"/>
            <w:bottom w:val="none" w:sz="0" w:space="0" w:color="auto"/>
            <w:right w:val="none" w:sz="0" w:space="0" w:color="auto"/>
          </w:divBdr>
        </w:div>
        <w:div w:id="1231892491">
          <w:marLeft w:val="720"/>
          <w:marRight w:val="0"/>
          <w:marTop w:val="86"/>
          <w:marBottom w:val="0"/>
          <w:divBdr>
            <w:top w:val="none" w:sz="0" w:space="0" w:color="auto"/>
            <w:left w:val="none" w:sz="0" w:space="0" w:color="auto"/>
            <w:bottom w:val="none" w:sz="0" w:space="0" w:color="auto"/>
            <w:right w:val="none" w:sz="0" w:space="0" w:color="auto"/>
          </w:divBdr>
        </w:div>
      </w:divsChild>
    </w:div>
    <w:div w:id="129716368">
      <w:bodyDiv w:val="1"/>
      <w:marLeft w:val="0"/>
      <w:marRight w:val="0"/>
      <w:marTop w:val="0"/>
      <w:marBottom w:val="0"/>
      <w:divBdr>
        <w:top w:val="none" w:sz="0" w:space="0" w:color="auto"/>
        <w:left w:val="none" w:sz="0" w:space="0" w:color="auto"/>
        <w:bottom w:val="none" w:sz="0" w:space="0" w:color="auto"/>
        <w:right w:val="none" w:sz="0" w:space="0" w:color="auto"/>
      </w:divBdr>
    </w:div>
    <w:div w:id="132255565">
      <w:bodyDiv w:val="1"/>
      <w:marLeft w:val="0"/>
      <w:marRight w:val="0"/>
      <w:marTop w:val="0"/>
      <w:marBottom w:val="0"/>
      <w:divBdr>
        <w:top w:val="none" w:sz="0" w:space="0" w:color="auto"/>
        <w:left w:val="none" w:sz="0" w:space="0" w:color="auto"/>
        <w:bottom w:val="none" w:sz="0" w:space="0" w:color="auto"/>
        <w:right w:val="none" w:sz="0" w:space="0" w:color="auto"/>
      </w:divBdr>
    </w:div>
    <w:div w:id="134107694">
      <w:bodyDiv w:val="1"/>
      <w:marLeft w:val="0"/>
      <w:marRight w:val="0"/>
      <w:marTop w:val="0"/>
      <w:marBottom w:val="0"/>
      <w:divBdr>
        <w:top w:val="none" w:sz="0" w:space="0" w:color="auto"/>
        <w:left w:val="none" w:sz="0" w:space="0" w:color="auto"/>
        <w:bottom w:val="none" w:sz="0" w:space="0" w:color="auto"/>
        <w:right w:val="none" w:sz="0" w:space="0" w:color="auto"/>
      </w:divBdr>
      <w:divsChild>
        <w:div w:id="84887199">
          <w:marLeft w:val="547"/>
          <w:marRight w:val="0"/>
          <w:marTop w:val="86"/>
          <w:marBottom w:val="0"/>
          <w:divBdr>
            <w:top w:val="none" w:sz="0" w:space="0" w:color="auto"/>
            <w:left w:val="none" w:sz="0" w:space="0" w:color="auto"/>
            <w:bottom w:val="none" w:sz="0" w:space="0" w:color="auto"/>
            <w:right w:val="none" w:sz="0" w:space="0" w:color="auto"/>
          </w:divBdr>
        </w:div>
        <w:div w:id="523370931">
          <w:marLeft w:val="720"/>
          <w:marRight w:val="0"/>
          <w:marTop w:val="86"/>
          <w:marBottom w:val="0"/>
          <w:divBdr>
            <w:top w:val="none" w:sz="0" w:space="0" w:color="auto"/>
            <w:left w:val="none" w:sz="0" w:space="0" w:color="auto"/>
            <w:bottom w:val="none" w:sz="0" w:space="0" w:color="auto"/>
            <w:right w:val="none" w:sz="0" w:space="0" w:color="auto"/>
          </w:divBdr>
        </w:div>
        <w:div w:id="1612936364">
          <w:marLeft w:val="547"/>
          <w:marRight w:val="0"/>
          <w:marTop w:val="86"/>
          <w:marBottom w:val="0"/>
          <w:divBdr>
            <w:top w:val="none" w:sz="0" w:space="0" w:color="auto"/>
            <w:left w:val="none" w:sz="0" w:space="0" w:color="auto"/>
            <w:bottom w:val="none" w:sz="0" w:space="0" w:color="auto"/>
            <w:right w:val="none" w:sz="0" w:space="0" w:color="auto"/>
          </w:divBdr>
        </w:div>
        <w:div w:id="2006475971">
          <w:marLeft w:val="720"/>
          <w:marRight w:val="0"/>
          <w:marTop w:val="86"/>
          <w:marBottom w:val="0"/>
          <w:divBdr>
            <w:top w:val="none" w:sz="0" w:space="0" w:color="auto"/>
            <w:left w:val="none" w:sz="0" w:space="0" w:color="auto"/>
            <w:bottom w:val="none" w:sz="0" w:space="0" w:color="auto"/>
            <w:right w:val="none" w:sz="0" w:space="0" w:color="auto"/>
          </w:divBdr>
        </w:div>
        <w:div w:id="2011790041">
          <w:marLeft w:val="547"/>
          <w:marRight w:val="0"/>
          <w:marTop w:val="86"/>
          <w:marBottom w:val="0"/>
          <w:divBdr>
            <w:top w:val="none" w:sz="0" w:space="0" w:color="auto"/>
            <w:left w:val="none" w:sz="0" w:space="0" w:color="auto"/>
            <w:bottom w:val="none" w:sz="0" w:space="0" w:color="auto"/>
            <w:right w:val="none" w:sz="0" w:space="0" w:color="auto"/>
          </w:divBdr>
        </w:div>
      </w:divsChild>
    </w:div>
    <w:div w:id="153690176">
      <w:bodyDiv w:val="1"/>
      <w:marLeft w:val="0"/>
      <w:marRight w:val="0"/>
      <w:marTop w:val="0"/>
      <w:marBottom w:val="0"/>
      <w:divBdr>
        <w:top w:val="none" w:sz="0" w:space="0" w:color="auto"/>
        <w:left w:val="none" w:sz="0" w:space="0" w:color="auto"/>
        <w:bottom w:val="none" w:sz="0" w:space="0" w:color="auto"/>
        <w:right w:val="none" w:sz="0" w:space="0" w:color="auto"/>
      </w:divBdr>
      <w:divsChild>
        <w:div w:id="1036586262">
          <w:marLeft w:val="360"/>
          <w:marRight w:val="0"/>
          <w:marTop w:val="0"/>
          <w:marBottom w:val="0"/>
          <w:divBdr>
            <w:top w:val="none" w:sz="0" w:space="0" w:color="auto"/>
            <w:left w:val="none" w:sz="0" w:space="0" w:color="auto"/>
            <w:bottom w:val="none" w:sz="0" w:space="0" w:color="auto"/>
            <w:right w:val="none" w:sz="0" w:space="0" w:color="auto"/>
          </w:divBdr>
        </w:div>
        <w:div w:id="1870754010">
          <w:marLeft w:val="360"/>
          <w:marRight w:val="0"/>
          <w:marTop w:val="0"/>
          <w:marBottom w:val="0"/>
          <w:divBdr>
            <w:top w:val="none" w:sz="0" w:space="0" w:color="auto"/>
            <w:left w:val="none" w:sz="0" w:space="0" w:color="auto"/>
            <w:bottom w:val="none" w:sz="0" w:space="0" w:color="auto"/>
            <w:right w:val="none" w:sz="0" w:space="0" w:color="auto"/>
          </w:divBdr>
        </w:div>
      </w:divsChild>
    </w:div>
    <w:div w:id="168493652">
      <w:bodyDiv w:val="1"/>
      <w:marLeft w:val="0"/>
      <w:marRight w:val="0"/>
      <w:marTop w:val="0"/>
      <w:marBottom w:val="0"/>
      <w:divBdr>
        <w:top w:val="none" w:sz="0" w:space="0" w:color="auto"/>
        <w:left w:val="none" w:sz="0" w:space="0" w:color="auto"/>
        <w:bottom w:val="none" w:sz="0" w:space="0" w:color="auto"/>
        <w:right w:val="none" w:sz="0" w:space="0" w:color="auto"/>
      </w:divBdr>
    </w:div>
    <w:div w:id="171727040">
      <w:bodyDiv w:val="1"/>
      <w:marLeft w:val="0"/>
      <w:marRight w:val="0"/>
      <w:marTop w:val="0"/>
      <w:marBottom w:val="0"/>
      <w:divBdr>
        <w:top w:val="none" w:sz="0" w:space="0" w:color="auto"/>
        <w:left w:val="none" w:sz="0" w:space="0" w:color="auto"/>
        <w:bottom w:val="none" w:sz="0" w:space="0" w:color="auto"/>
        <w:right w:val="none" w:sz="0" w:space="0" w:color="auto"/>
      </w:divBdr>
    </w:div>
    <w:div w:id="182600540">
      <w:bodyDiv w:val="1"/>
      <w:marLeft w:val="0"/>
      <w:marRight w:val="0"/>
      <w:marTop w:val="0"/>
      <w:marBottom w:val="0"/>
      <w:divBdr>
        <w:top w:val="none" w:sz="0" w:space="0" w:color="auto"/>
        <w:left w:val="none" w:sz="0" w:space="0" w:color="auto"/>
        <w:bottom w:val="none" w:sz="0" w:space="0" w:color="auto"/>
        <w:right w:val="none" w:sz="0" w:space="0" w:color="auto"/>
      </w:divBdr>
    </w:div>
    <w:div w:id="185366215">
      <w:bodyDiv w:val="1"/>
      <w:marLeft w:val="0"/>
      <w:marRight w:val="0"/>
      <w:marTop w:val="0"/>
      <w:marBottom w:val="0"/>
      <w:divBdr>
        <w:top w:val="none" w:sz="0" w:space="0" w:color="auto"/>
        <w:left w:val="none" w:sz="0" w:space="0" w:color="auto"/>
        <w:bottom w:val="none" w:sz="0" w:space="0" w:color="auto"/>
        <w:right w:val="none" w:sz="0" w:space="0" w:color="auto"/>
      </w:divBdr>
    </w:div>
    <w:div w:id="203834875">
      <w:bodyDiv w:val="1"/>
      <w:marLeft w:val="0"/>
      <w:marRight w:val="0"/>
      <w:marTop w:val="0"/>
      <w:marBottom w:val="0"/>
      <w:divBdr>
        <w:top w:val="none" w:sz="0" w:space="0" w:color="auto"/>
        <w:left w:val="none" w:sz="0" w:space="0" w:color="auto"/>
        <w:bottom w:val="none" w:sz="0" w:space="0" w:color="auto"/>
        <w:right w:val="none" w:sz="0" w:space="0" w:color="auto"/>
      </w:divBdr>
    </w:div>
    <w:div w:id="207422711">
      <w:bodyDiv w:val="1"/>
      <w:marLeft w:val="0"/>
      <w:marRight w:val="0"/>
      <w:marTop w:val="0"/>
      <w:marBottom w:val="0"/>
      <w:divBdr>
        <w:top w:val="none" w:sz="0" w:space="0" w:color="auto"/>
        <w:left w:val="none" w:sz="0" w:space="0" w:color="auto"/>
        <w:bottom w:val="none" w:sz="0" w:space="0" w:color="auto"/>
        <w:right w:val="none" w:sz="0" w:space="0" w:color="auto"/>
      </w:divBdr>
    </w:div>
    <w:div w:id="218325167">
      <w:bodyDiv w:val="1"/>
      <w:marLeft w:val="0"/>
      <w:marRight w:val="0"/>
      <w:marTop w:val="0"/>
      <w:marBottom w:val="0"/>
      <w:divBdr>
        <w:top w:val="none" w:sz="0" w:space="0" w:color="auto"/>
        <w:left w:val="none" w:sz="0" w:space="0" w:color="auto"/>
        <w:bottom w:val="none" w:sz="0" w:space="0" w:color="auto"/>
        <w:right w:val="none" w:sz="0" w:space="0" w:color="auto"/>
      </w:divBdr>
    </w:div>
    <w:div w:id="221644255">
      <w:bodyDiv w:val="1"/>
      <w:marLeft w:val="0"/>
      <w:marRight w:val="0"/>
      <w:marTop w:val="0"/>
      <w:marBottom w:val="0"/>
      <w:divBdr>
        <w:top w:val="none" w:sz="0" w:space="0" w:color="auto"/>
        <w:left w:val="none" w:sz="0" w:space="0" w:color="auto"/>
        <w:bottom w:val="none" w:sz="0" w:space="0" w:color="auto"/>
        <w:right w:val="none" w:sz="0" w:space="0" w:color="auto"/>
      </w:divBdr>
    </w:div>
    <w:div w:id="253439724">
      <w:bodyDiv w:val="1"/>
      <w:marLeft w:val="0"/>
      <w:marRight w:val="0"/>
      <w:marTop w:val="0"/>
      <w:marBottom w:val="0"/>
      <w:divBdr>
        <w:top w:val="none" w:sz="0" w:space="0" w:color="auto"/>
        <w:left w:val="none" w:sz="0" w:space="0" w:color="auto"/>
        <w:bottom w:val="none" w:sz="0" w:space="0" w:color="auto"/>
        <w:right w:val="none" w:sz="0" w:space="0" w:color="auto"/>
      </w:divBdr>
    </w:div>
    <w:div w:id="270087797">
      <w:bodyDiv w:val="1"/>
      <w:marLeft w:val="0"/>
      <w:marRight w:val="0"/>
      <w:marTop w:val="0"/>
      <w:marBottom w:val="0"/>
      <w:divBdr>
        <w:top w:val="none" w:sz="0" w:space="0" w:color="auto"/>
        <w:left w:val="none" w:sz="0" w:space="0" w:color="auto"/>
        <w:bottom w:val="none" w:sz="0" w:space="0" w:color="auto"/>
        <w:right w:val="none" w:sz="0" w:space="0" w:color="auto"/>
      </w:divBdr>
    </w:div>
    <w:div w:id="276067052">
      <w:bodyDiv w:val="1"/>
      <w:marLeft w:val="0"/>
      <w:marRight w:val="0"/>
      <w:marTop w:val="0"/>
      <w:marBottom w:val="0"/>
      <w:divBdr>
        <w:top w:val="none" w:sz="0" w:space="0" w:color="auto"/>
        <w:left w:val="none" w:sz="0" w:space="0" w:color="auto"/>
        <w:bottom w:val="none" w:sz="0" w:space="0" w:color="auto"/>
        <w:right w:val="none" w:sz="0" w:space="0" w:color="auto"/>
      </w:divBdr>
      <w:divsChild>
        <w:div w:id="1659074432">
          <w:marLeft w:val="360"/>
          <w:marRight w:val="0"/>
          <w:marTop w:val="0"/>
          <w:marBottom w:val="0"/>
          <w:divBdr>
            <w:top w:val="none" w:sz="0" w:space="0" w:color="auto"/>
            <w:left w:val="none" w:sz="0" w:space="0" w:color="auto"/>
            <w:bottom w:val="none" w:sz="0" w:space="0" w:color="auto"/>
            <w:right w:val="none" w:sz="0" w:space="0" w:color="auto"/>
          </w:divBdr>
        </w:div>
      </w:divsChild>
    </w:div>
    <w:div w:id="314915233">
      <w:bodyDiv w:val="1"/>
      <w:marLeft w:val="0"/>
      <w:marRight w:val="0"/>
      <w:marTop w:val="0"/>
      <w:marBottom w:val="0"/>
      <w:divBdr>
        <w:top w:val="none" w:sz="0" w:space="0" w:color="auto"/>
        <w:left w:val="none" w:sz="0" w:space="0" w:color="auto"/>
        <w:bottom w:val="none" w:sz="0" w:space="0" w:color="auto"/>
        <w:right w:val="none" w:sz="0" w:space="0" w:color="auto"/>
      </w:divBdr>
      <w:divsChild>
        <w:div w:id="490294646">
          <w:marLeft w:val="360"/>
          <w:marRight w:val="0"/>
          <w:marTop w:val="0"/>
          <w:marBottom w:val="0"/>
          <w:divBdr>
            <w:top w:val="none" w:sz="0" w:space="0" w:color="auto"/>
            <w:left w:val="none" w:sz="0" w:space="0" w:color="auto"/>
            <w:bottom w:val="none" w:sz="0" w:space="0" w:color="auto"/>
            <w:right w:val="none" w:sz="0" w:space="0" w:color="auto"/>
          </w:divBdr>
        </w:div>
        <w:div w:id="817577489">
          <w:marLeft w:val="360"/>
          <w:marRight w:val="0"/>
          <w:marTop w:val="0"/>
          <w:marBottom w:val="0"/>
          <w:divBdr>
            <w:top w:val="none" w:sz="0" w:space="0" w:color="auto"/>
            <w:left w:val="none" w:sz="0" w:space="0" w:color="auto"/>
            <w:bottom w:val="none" w:sz="0" w:space="0" w:color="auto"/>
            <w:right w:val="none" w:sz="0" w:space="0" w:color="auto"/>
          </w:divBdr>
        </w:div>
        <w:div w:id="1280335909">
          <w:marLeft w:val="360"/>
          <w:marRight w:val="0"/>
          <w:marTop w:val="0"/>
          <w:marBottom w:val="0"/>
          <w:divBdr>
            <w:top w:val="none" w:sz="0" w:space="0" w:color="auto"/>
            <w:left w:val="none" w:sz="0" w:space="0" w:color="auto"/>
            <w:bottom w:val="none" w:sz="0" w:space="0" w:color="auto"/>
            <w:right w:val="none" w:sz="0" w:space="0" w:color="auto"/>
          </w:divBdr>
        </w:div>
        <w:div w:id="1876503095">
          <w:marLeft w:val="360"/>
          <w:marRight w:val="0"/>
          <w:marTop w:val="0"/>
          <w:marBottom w:val="0"/>
          <w:divBdr>
            <w:top w:val="none" w:sz="0" w:space="0" w:color="auto"/>
            <w:left w:val="none" w:sz="0" w:space="0" w:color="auto"/>
            <w:bottom w:val="none" w:sz="0" w:space="0" w:color="auto"/>
            <w:right w:val="none" w:sz="0" w:space="0" w:color="auto"/>
          </w:divBdr>
        </w:div>
      </w:divsChild>
    </w:div>
    <w:div w:id="325402566">
      <w:bodyDiv w:val="1"/>
      <w:marLeft w:val="0"/>
      <w:marRight w:val="0"/>
      <w:marTop w:val="0"/>
      <w:marBottom w:val="0"/>
      <w:divBdr>
        <w:top w:val="none" w:sz="0" w:space="0" w:color="auto"/>
        <w:left w:val="none" w:sz="0" w:space="0" w:color="auto"/>
        <w:bottom w:val="none" w:sz="0" w:space="0" w:color="auto"/>
        <w:right w:val="none" w:sz="0" w:space="0" w:color="auto"/>
      </w:divBdr>
    </w:div>
    <w:div w:id="341208284">
      <w:bodyDiv w:val="1"/>
      <w:marLeft w:val="0"/>
      <w:marRight w:val="0"/>
      <w:marTop w:val="0"/>
      <w:marBottom w:val="0"/>
      <w:divBdr>
        <w:top w:val="none" w:sz="0" w:space="0" w:color="auto"/>
        <w:left w:val="none" w:sz="0" w:space="0" w:color="auto"/>
        <w:bottom w:val="none" w:sz="0" w:space="0" w:color="auto"/>
        <w:right w:val="none" w:sz="0" w:space="0" w:color="auto"/>
      </w:divBdr>
    </w:div>
    <w:div w:id="342971927">
      <w:bodyDiv w:val="1"/>
      <w:marLeft w:val="0"/>
      <w:marRight w:val="0"/>
      <w:marTop w:val="0"/>
      <w:marBottom w:val="0"/>
      <w:divBdr>
        <w:top w:val="none" w:sz="0" w:space="0" w:color="auto"/>
        <w:left w:val="none" w:sz="0" w:space="0" w:color="auto"/>
        <w:bottom w:val="none" w:sz="0" w:space="0" w:color="auto"/>
        <w:right w:val="none" w:sz="0" w:space="0" w:color="auto"/>
      </w:divBdr>
    </w:div>
    <w:div w:id="346178013">
      <w:bodyDiv w:val="1"/>
      <w:marLeft w:val="0"/>
      <w:marRight w:val="0"/>
      <w:marTop w:val="0"/>
      <w:marBottom w:val="0"/>
      <w:divBdr>
        <w:top w:val="none" w:sz="0" w:space="0" w:color="auto"/>
        <w:left w:val="none" w:sz="0" w:space="0" w:color="auto"/>
        <w:bottom w:val="none" w:sz="0" w:space="0" w:color="auto"/>
        <w:right w:val="none" w:sz="0" w:space="0" w:color="auto"/>
      </w:divBdr>
    </w:div>
    <w:div w:id="347221401">
      <w:bodyDiv w:val="1"/>
      <w:marLeft w:val="0"/>
      <w:marRight w:val="0"/>
      <w:marTop w:val="0"/>
      <w:marBottom w:val="0"/>
      <w:divBdr>
        <w:top w:val="none" w:sz="0" w:space="0" w:color="auto"/>
        <w:left w:val="none" w:sz="0" w:space="0" w:color="auto"/>
        <w:bottom w:val="none" w:sz="0" w:space="0" w:color="auto"/>
        <w:right w:val="none" w:sz="0" w:space="0" w:color="auto"/>
      </w:divBdr>
    </w:div>
    <w:div w:id="348913924">
      <w:bodyDiv w:val="1"/>
      <w:marLeft w:val="0"/>
      <w:marRight w:val="0"/>
      <w:marTop w:val="0"/>
      <w:marBottom w:val="0"/>
      <w:divBdr>
        <w:top w:val="none" w:sz="0" w:space="0" w:color="auto"/>
        <w:left w:val="none" w:sz="0" w:space="0" w:color="auto"/>
        <w:bottom w:val="none" w:sz="0" w:space="0" w:color="auto"/>
        <w:right w:val="none" w:sz="0" w:space="0" w:color="auto"/>
      </w:divBdr>
    </w:div>
    <w:div w:id="364866821">
      <w:bodyDiv w:val="1"/>
      <w:marLeft w:val="0"/>
      <w:marRight w:val="0"/>
      <w:marTop w:val="0"/>
      <w:marBottom w:val="0"/>
      <w:divBdr>
        <w:top w:val="none" w:sz="0" w:space="0" w:color="auto"/>
        <w:left w:val="none" w:sz="0" w:space="0" w:color="auto"/>
        <w:bottom w:val="none" w:sz="0" w:space="0" w:color="auto"/>
        <w:right w:val="none" w:sz="0" w:space="0" w:color="auto"/>
      </w:divBdr>
      <w:divsChild>
        <w:div w:id="304356344">
          <w:marLeft w:val="547"/>
          <w:marRight w:val="0"/>
          <w:marTop w:val="96"/>
          <w:marBottom w:val="0"/>
          <w:divBdr>
            <w:top w:val="none" w:sz="0" w:space="0" w:color="auto"/>
            <w:left w:val="none" w:sz="0" w:space="0" w:color="auto"/>
            <w:bottom w:val="none" w:sz="0" w:space="0" w:color="auto"/>
            <w:right w:val="none" w:sz="0" w:space="0" w:color="auto"/>
          </w:divBdr>
        </w:div>
        <w:div w:id="730810977">
          <w:marLeft w:val="720"/>
          <w:marRight w:val="0"/>
          <w:marTop w:val="96"/>
          <w:marBottom w:val="0"/>
          <w:divBdr>
            <w:top w:val="none" w:sz="0" w:space="0" w:color="auto"/>
            <w:left w:val="none" w:sz="0" w:space="0" w:color="auto"/>
            <w:bottom w:val="none" w:sz="0" w:space="0" w:color="auto"/>
            <w:right w:val="none" w:sz="0" w:space="0" w:color="auto"/>
          </w:divBdr>
        </w:div>
        <w:div w:id="992217584">
          <w:marLeft w:val="720"/>
          <w:marRight w:val="0"/>
          <w:marTop w:val="96"/>
          <w:marBottom w:val="0"/>
          <w:divBdr>
            <w:top w:val="none" w:sz="0" w:space="0" w:color="auto"/>
            <w:left w:val="none" w:sz="0" w:space="0" w:color="auto"/>
            <w:bottom w:val="none" w:sz="0" w:space="0" w:color="auto"/>
            <w:right w:val="none" w:sz="0" w:space="0" w:color="auto"/>
          </w:divBdr>
        </w:div>
        <w:div w:id="1052733034">
          <w:marLeft w:val="720"/>
          <w:marRight w:val="0"/>
          <w:marTop w:val="96"/>
          <w:marBottom w:val="0"/>
          <w:divBdr>
            <w:top w:val="none" w:sz="0" w:space="0" w:color="auto"/>
            <w:left w:val="none" w:sz="0" w:space="0" w:color="auto"/>
            <w:bottom w:val="none" w:sz="0" w:space="0" w:color="auto"/>
            <w:right w:val="none" w:sz="0" w:space="0" w:color="auto"/>
          </w:divBdr>
        </w:div>
        <w:div w:id="1548251034">
          <w:marLeft w:val="720"/>
          <w:marRight w:val="0"/>
          <w:marTop w:val="96"/>
          <w:marBottom w:val="0"/>
          <w:divBdr>
            <w:top w:val="none" w:sz="0" w:space="0" w:color="auto"/>
            <w:left w:val="none" w:sz="0" w:space="0" w:color="auto"/>
            <w:bottom w:val="none" w:sz="0" w:space="0" w:color="auto"/>
            <w:right w:val="none" w:sz="0" w:space="0" w:color="auto"/>
          </w:divBdr>
        </w:div>
        <w:div w:id="1804040758">
          <w:marLeft w:val="720"/>
          <w:marRight w:val="0"/>
          <w:marTop w:val="96"/>
          <w:marBottom w:val="0"/>
          <w:divBdr>
            <w:top w:val="none" w:sz="0" w:space="0" w:color="auto"/>
            <w:left w:val="none" w:sz="0" w:space="0" w:color="auto"/>
            <w:bottom w:val="none" w:sz="0" w:space="0" w:color="auto"/>
            <w:right w:val="none" w:sz="0" w:space="0" w:color="auto"/>
          </w:divBdr>
        </w:div>
      </w:divsChild>
    </w:div>
    <w:div w:id="370618070">
      <w:bodyDiv w:val="1"/>
      <w:marLeft w:val="0"/>
      <w:marRight w:val="0"/>
      <w:marTop w:val="0"/>
      <w:marBottom w:val="0"/>
      <w:divBdr>
        <w:top w:val="none" w:sz="0" w:space="0" w:color="auto"/>
        <w:left w:val="none" w:sz="0" w:space="0" w:color="auto"/>
        <w:bottom w:val="none" w:sz="0" w:space="0" w:color="auto"/>
        <w:right w:val="none" w:sz="0" w:space="0" w:color="auto"/>
      </w:divBdr>
      <w:divsChild>
        <w:div w:id="170921883">
          <w:marLeft w:val="720"/>
          <w:marRight w:val="0"/>
          <w:marTop w:val="0"/>
          <w:marBottom w:val="0"/>
          <w:divBdr>
            <w:top w:val="none" w:sz="0" w:space="0" w:color="auto"/>
            <w:left w:val="none" w:sz="0" w:space="0" w:color="auto"/>
            <w:bottom w:val="none" w:sz="0" w:space="0" w:color="auto"/>
            <w:right w:val="none" w:sz="0" w:space="0" w:color="auto"/>
          </w:divBdr>
        </w:div>
        <w:div w:id="205338434">
          <w:marLeft w:val="720"/>
          <w:marRight w:val="0"/>
          <w:marTop w:val="0"/>
          <w:marBottom w:val="0"/>
          <w:divBdr>
            <w:top w:val="none" w:sz="0" w:space="0" w:color="auto"/>
            <w:left w:val="none" w:sz="0" w:space="0" w:color="auto"/>
            <w:bottom w:val="none" w:sz="0" w:space="0" w:color="auto"/>
            <w:right w:val="none" w:sz="0" w:space="0" w:color="auto"/>
          </w:divBdr>
        </w:div>
        <w:div w:id="418406212">
          <w:marLeft w:val="1440"/>
          <w:marRight w:val="0"/>
          <w:marTop w:val="0"/>
          <w:marBottom w:val="0"/>
          <w:divBdr>
            <w:top w:val="none" w:sz="0" w:space="0" w:color="auto"/>
            <w:left w:val="none" w:sz="0" w:space="0" w:color="auto"/>
            <w:bottom w:val="none" w:sz="0" w:space="0" w:color="auto"/>
            <w:right w:val="none" w:sz="0" w:space="0" w:color="auto"/>
          </w:divBdr>
        </w:div>
        <w:div w:id="444084381">
          <w:marLeft w:val="1440"/>
          <w:marRight w:val="0"/>
          <w:marTop w:val="0"/>
          <w:marBottom w:val="0"/>
          <w:divBdr>
            <w:top w:val="none" w:sz="0" w:space="0" w:color="auto"/>
            <w:left w:val="none" w:sz="0" w:space="0" w:color="auto"/>
            <w:bottom w:val="none" w:sz="0" w:space="0" w:color="auto"/>
            <w:right w:val="none" w:sz="0" w:space="0" w:color="auto"/>
          </w:divBdr>
        </w:div>
        <w:div w:id="582420980">
          <w:marLeft w:val="1440"/>
          <w:marRight w:val="0"/>
          <w:marTop w:val="0"/>
          <w:marBottom w:val="0"/>
          <w:divBdr>
            <w:top w:val="none" w:sz="0" w:space="0" w:color="auto"/>
            <w:left w:val="none" w:sz="0" w:space="0" w:color="auto"/>
            <w:bottom w:val="none" w:sz="0" w:space="0" w:color="auto"/>
            <w:right w:val="none" w:sz="0" w:space="0" w:color="auto"/>
          </w:divBdr>
        </w:div>
        <w:div w:id="851336670">
          <w:marLeft w:val="1440"/>
          <w:marRight w:val="0"/>
          <w:marTop w:val="0"/>
          <w:marBottom w:val="0"/>
          <w:divBdr>
            <w:top w:val="none" w:sz="0" w:space="0" w:color="auto"/>
            <w:left w:val="none" w:sz="0" w:space="0" w:color="auto"/>
            <w:bottom w:val="none" w:sz="0" w:space="0" w:color="auto"/>
            <w:right w:val="none" w:sz="0" w:space="0" w:color="auto"/>
          </w:divBdr>
        </w:div>
      </w:divsChild>
    </w:div>
    <w:div w:id="370813769">
      <w:bodyDiv w:val="1"/>
      <w:marLeft w:val="0"/>
      <w:marRight w:val="0"/>
      <w:marTop w:val="0"/>
      <w:marBottom w:val="0"/>
      <w:divBdr>
        <w:top w:val="none" w:sz="0" w:space="0" w:color="auto"/>
        <w:left w:val="none" w:sz="0" w:space="0" w:color="auto"/>
        <w:bottom w:val="none" w:sz="0" w:space="0" w:color="auto"/>
        <w:right w:val="none" w:sz="0" w:space="0" w:color="auto"/>
      </w:divBdr>
    </w:div>
    <w:div w:id="390733096">
      <w:bodyDiv w:val="1"/>
      <w:marLeft w:val="0"/>
      <w:marRight w:val="0"/>
      <w:marTop w:val="0"/>
      <w:marBottom w:val="0"/>
      <w:divBdr>
        <w:top w:val="none" w:sz="0" w:space="0" w:color="auto"/>
        <w:left w:val="none" w:sz="0" w:space="0" w:color="auto"/>
        <w:bottom w:val="none" w:sz="0" w:space="0" w:color="auto"/>
        <w:right w:val="none" w:sz="0" w:space="0" w:color="auto"/>
      </w:divBdr>
    </w:div>
    <w:div w:id="407196715">
      <w:bodyDiv w:val="1"/>
      <w:marLeft w:val="0"/>
      <w:marRight w:val="0"/>
      <w:marTop w:val="0"/>
      <w:marBottom w:val="0"/>
      <w:divBdr>
        <w:top w:val="none" w:sz="0" w:space="0" w:color="auto"/>
        <w:left w:val="none" w:sz="0" w:space="0" w:color="auto"/>
        <w:bottom w:val="none" w:sz="0" w:space="0" w:color="auto"/>
        <w:right w:val="none" w:sz="0" w:space="0" w:color="auto"/>
      </w:divBdr>
    </w:div>
    <w:div w:id="422262268">
      <w:bodyDiv w:val="1"/>
      <w:marLeft w:val="0"/>
      <w:marRight w:val="0"/>
      <w:marTop w:val="0"/>
      <w:marBottom w:val="0"/>
      <w:divBdr>
        <w:top w:val="none" w:sz="0" w:space="0" w:color="auto"/>
        <w:left w:val="none" w:sz="0" w:space="0" w:color="auto"/>
        <w:bottom w:val="none" w:sz="0" w:space="0" w:color="auto"/>
        <w:right w:val="none" w:sz="0" w:space="0" w:color="auto"/>
      </w:divBdr>
    </w:div>
    <w:div w:id="429549206">
      <w:bodyDiv w:val="1"/>
      <w:marLeft w:val="0"/>
      <w:marRight w:val="0"/>
      <w:marTop w:val="0"/>
      <w:marBottom w:val="0"/>
      <w:divBdr>
        <w:top w:val="none" w:sz="0" w:space="0" w:color="auto"/>
        <w:left w:val="none" w:sz="0" w:space="0" w:color="auto"/>
        <w:bottom w:val="none" w:sz="0" w:space="0" w:color="auto"/>
        <w:right w:val="none" w:sz="0" w:space="0" w:color="auto"/>
      </w:divBdr>
    </w:div>
    <w:div w:id="432556935">
      <w:bodyDiv w:val="1"/>
      <w:marLeft w:val="0"/>
      <w:marRight w:val="0"/>
      <w:marTop w:val="0"/>
      <w:marBottom w:val="0"/>
      <w:divBdr>
        <w:top w:val="none" w:sz="0" w:space="0" w:color="auto"/>
        <w:left w:val="none" w:sz="0" w:space="0" w:color="auto"/>
        <w:bottom w:val="none" w:sz="0" w:space="0" w:color="auto"/>
        <w:right w:val="none" w:sz="0" w:space="0" w:color="auto"/>
      </w:divBdr>
    </w:div>
    <w:div w:id="454183403">
      <w:bodyDiv w:val="1"/>
      <w:marLeft w:val="0"/>
      <w:marRight w:val="0"/>
      <w:marTop w:val="0"/>
      <w:marBottom w:val="0"/>
      <w:divBdr>
        <w:top w:val="none" w:sz="0" w:space="0" w:color="auto"/>
        <w:left w:val="none" w:sz="0" w:space="0" w:color="auto"/>
        <w:bottom w:val="none" w:sz="0" w:space="0" w:color="auto"/>
        <w:right w:val="none" w:sz="0" w:space="0" w:color="auto"/>
      </w:divBdr>
      <w:divsChild>
        <w:div w:id="1594969336">
          <w:marLeft w:val="0"/>
          <w:marRight w:val="0"/>
          <w:marTop w:val="0"/>
          <w:marBottom w:val="0"/>
          <w:divBdr>
            <w:top w:val="none" w:sz="0" w:space="0" w:color="auto"/>
            <w:left w:val="none" w:sz="0" w:space="0" w:color="auto"/>
            <w:bottom w:val="none" w:sz="0" w:space="0" w:color="auto"/>
            <w:right w:val="none" w:sz="0" w:space="0" w:color="auto"/>
          </w:divBdr>
          <w:divsChild>
            <w:div w:id="19420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4111">
      <w:bodyDiv w:val="1"/>
      <w:marLeft w:val="0"/>
      <w:marRight w:val="0"/>
      <w:marTop w:val="0"/>
      <w:marBottom w:val="0"/>
      <w:divBdr>
        <w:top w:val="none" w:sz="0" w:space="0" w:color="auto"/>
        <w:left w:val="none" w:sz="0" w:space="0" w:color="auto"/>
        <w:bottom w:val="none" w:sz="0" w:space="0" w:color="auto"/>
        <w:right w:val="none" w:sz="0" w:space="0" w:color="auto"/>
      </w:divBdr>
    </w:div>
    <w:div w:id="459226959">
      <w:bodyDiv w:val="1"/>
      <w:marLeft w:val="0"/>
      <w:marRight w:val="0"/>
      <w:marTop w:val="0"/>
      <w:marBottom w:val="0"/>
      <w:divBdr>
        <w:top w:val="none" w:sz="0" w:space="0" w:color="auto"/>
        <w:left w:val="none" w:sz="0" w:space="0" w:color="auto"/>
        <w:bottom w:val="none" w:sz="0" w:space="0" w:color="auto"/>
        <w:right w:val="none" w:sz="0" w:space="0" w:color="auto"/>
      </w:divBdr>
    </w:div>
    <w:div w:id="466899579">
      <w:bodyDiv w:val="1"/>
      <w:marLeft w:val="0"/>
      <w:marRight w:val="0"/>
      <w:marTop w:val="0"/>
      <w:marBottom w:val="0"/>
      <w:divBdr>
        <w:top w:val="none" w:sz="0" w:space="0" w:color="auto"/>
        <w:left w:val="none" w:sz="0" w:space="0" w:color="auto"/>
        <w:bottom w:val="none" w:sz="0" w:space="0" w:color="auto"/>
        <w:right w:val="none" w:sz="0" w:space="0" w:color="auto"/>
      </w:divBdr>
    </w:div>
    <w:div w:id="502865460">
      <w:bodyDiv w:val="1"/>
      <w:marLeft w:val="0"/>
      <w:marRight w:val="0"/>
      <w:marTop w:val="0"/>
      <w:marBottom w:val="0"/>
      <w:divBdr>
        <w:top w:val="none" w:sz="0" w:space="0" w:color="auto"/>
        <w:left w:val="none" w:sz="0" w:space="0" w:color="auto"/>
        <w:bottom w:val="none" w:sz="0" w:space="0" w:color="auto"/>
        <w:right w:val="none" w:sz="0" w:space="0" w:color="auto"/>
      </w:divBdr>
      <w:divsChild>
        <w:div w:id="402341269">
          <w:marLeft w:val="720"/>
          <w:marRight w:val="0"/>
          <w:marTop w:val="40"/>
          <w:marBottom w:val="0"/>
          <w:divBdr>
            <w:top w:val="none" w:sz="0" w:space="0" w:color="auto"/>
            <w:left w:val="none" w:sz="0" w:space="0" w:color="auto"/>
            <w:bottom w:val="none" w:sz="0" w:space="0" w:color="auto"/>
            <w:right w:val="none" w:sz="0" w:space="0" w:color="auto"/>
          </w:divBdr>
        </w:div>
        <w:div w:id="882719039">
          <w:marLeft w:val="720"/>
          <w:marRight w:val="0"/>
          <w:marTop w:val="40"/>
          <w:marBottom w:val="0"/>
          <w:divBdr>
            <w:top w:val="none" w:sz="0" w:space="0" w:color="auto"/>
            <w:left w:val="none" w:sz="0" w:space="0" w:color="auto"/>
            <w:bottom w:val="none" w:sz="0" w:space="0" w:color="auto"/>
            <w:right w:val="none" w:sz="0" w:space="0" w:color="auto"/>
          </w:divBdr>
        </w:div>
        <w:div w:id="981815090">
          <w:marLeft w:val="0"/>
          <w:marRight w:val="0"/>
          <w:marTop w:val="40"/>
          <w:marBottom w:val="0"/>
          <w:divBdr>
            <w:top w:val="none" w:sz="0" w:space="0" w:color="auto"/>
            <w:left w:val="none" w:sz="0" w:space="0" w:color="auto"/>
            <w:bottom w:val="none" w:sz="0" w:space="0" w:color="auto"/>
            <w:right w:val="none" w:sz="0" w:space="0" w:color="auto"/>
          </w:divBdr>
        </w:div>
        <w:div w:id="1000545615">
          <w:marLeft w:val="720"/>
          <w:marRight w:val="0"/>
          <w:marTop w:val="40"/>
          <w:marBottom w:val="0"/>
          <w:divBdr>
            <w:top w:val="none" w:sz="0" w:space="0" w:color="auto"/>
            <w:left w:val="none" w:sz="0" w:space="0" w:color="auto"/>
            <w:bottom w:val="none" w:sz="0" w:space="0" w:color="auto"/>
            <w:right w:val="none" w:sz="0" w:space="0" w:color="auto"/>
          </w:divBdr>
        </w:div>
        <w:div w:id="1205170482">
          <w:marLeft w:val="0"/>
          <w:marRight w:val="0"/>
          <w:marTop w:val="40"/>
          <w:marBottom w:val="0"/>
          <w:divBdr>
            <w:top w:val="none" w:sz="0" w:space="0" w:color="auto"/>
            <w:left w:val="none" w:sz="0" w:space="0" w:color="auto"/>
            <w:bottom w:val="none" w:sz="0" w:space="0" w:color="auto"/>
            <w:right w:val="none" w:sz="0" w:space="0" w:color="auto"/>
          </w:divBdr>
        </w:div>
        <w:div w:id="1218857994">
          <w:marLeft w:val="0"/>
          <w:marRight w:val="0"/>
          <w:marTop w:val="40"/>
          <w:marBottom w:val="0"/>
          <w:divBdr>
            <w:top w:val="none" w:sz="0" w:space="0" w:color="auto"/>
            <w:left w:val="none" w:sz="0" w:space="0" w:color="auto"/>
            <w:bottom w:val="none" w:sz="0" w:space="0" w:color="auto"/>
            <w:right w:val="none" w:sz="0" w:space="0" w:color="auto"/>
          </w:divBdr>
        </w:div>
        <w:div w:id="1715736371">
          <w:marLeft w:val="720"/>
          <w:marRight w:val="0"/>
          <w:marTop w:val="40"/>
          <w:marBottom w:val="0"/>
          <w:divBdr>
            <w:top w:val="none" w:sz="0" w:space="0" w:color="auto"/>
            <w:left w:val="none" w:sz="0" w:space="0" w:color="auto"/>
            <w:bottom w:val="none" w:sz="0" w:space="0" w:color="auto"/>
            <w:right w:val="none" w:sz="0" w:space="0" w:color="auto"/>
          </w:divBdr>
        </w:div>
      </w:divsChild>
    </w:div>
    <w:div w:id="505899782">
      <w:bodyDiv w:val="1"/>
      <w:marLeft w:val="0"/>
      <w:marRight w:val="0"/>
      <w:marTop w:val="0"/>
      <w:marBottom w:val="0"/>
      <w:divBdr>
        <w:top w:val="none" w:sz="0" w:space="0" w:color="auto"/>
        <w:left w:val="none" w:sz="0" w:space="0" w:color="auto"/>
        <w:bottom w:val="none" w:sz="0" w:space="0" w:color="auto"/>
        <w:right w:val="none" w:sz="0" w:space="0" w:color="auto"/>
      </w:divBdr>
    </w:div>
    <w:div w:id="510727366">
      <w:bodyDiv w:val="1"/>
      <w:marLeft w:val="0"/>
      <w:marRight w:val="0"/>
      <w:marTop w:val="0"/>
      <w:marBottom w:val="0"/>
      <w:divBdr>
        <w:top w:val="none" w:sz="0" w:space="0" w:color="auto"/>
        <w:left w:val="none" w:sz="0" w:space="0" w:color="auto"/>
        <w:bottom w:val="none" w:sz="0" w:space="0" w:color="auto"/>
        <w:right w:val="none" w:sz="0" w:space="0" w:color="auto"/>
      </w:divBdr>
    </w:div>
    <w:div w:id="514997059">
      <w:bodyDiv w:val="1"/>
      <w:marLeft w:val="0"/>
      <w:marRight w:val="0"/>
      <w:marTop w:val="0"/>
      <w:marBottom w:val="0"/>
      <w:divBdr>
        <w:top w:val="none" w:sz="0" w:space="0" w:color="auto"/>
        <w:left w:val="none" w:sz="0" w:space="0" w:color="auto"/>
        <w:bottom w:val="none" w:sz="0" w:space="0" w:color="auto"/>
        <w:right w:val="none" w:sz="0" w:space="0" w:color="auto"/>
      </w:divBdr>
    </w:div>
    <w:div w:id="518472711">
      <w:bodyDiv w:val="1"/>
      <w:marLeft w:val="0"/>
      <w:marRight w:val="0"/>
      <w:marTop w:val="0"/>
      <w:marBottom w:val="0"/>
      <w:divBdr>
        <w:top w:val="none" w:sz="0" w:space="0" w:color="auto"/>
        <w:left w:val="none" w:sz="0" w:space="0" w:color="auto"/>
        <w:bottom w:val="none" w:sz="0" w:space="0" w:color="auto"/>
        <w:right w:val="none" w:sz="0" w:space="0" w:color="auto"/>
      </w:divBdr>
    </w:div>
    <w:div w:id="525171696">
      <w:bodyDiv w:val="1"/>
      <w:marLeft w:val="0"/>
      <w:marRight w:val="0"/>
      <w:marTop w:val="0"/>
      <w:marBottom w:val="0"/>
      <w:divBdr>
        <w:top w:val="none" w:sz="0" w:space="0" w:color="auto"/>
        <w:left w:val="none" w:sz="0" w:space="0" w:color="auto"/>
        <w:bottom w:val="none" w:sz="0" w:space="0" w:color="auto"/>
        <w:right w:val="none" w:sz="0" w:space="0" w:color="auto"/>
      </w:divBdr>
    </w:div>
    <w:div w:id="525289727">
      <w:bodyDiv w:val="1"/>
      <w:marLeft w:val="0"/>
      <w:marRight w:val="0"/>
      <w:marTop w:val="0"/>
      <w:marBottom w:val="0"/>
      <w:divBdr>
        <w:top w:val="none" w:sz="0" w:space="0" w:color="auto"/>
        <w:left w:val="none" w:sz="0" w:space="0" w:color="auto"/>
        <w:bottom w:val="none" w:sz="0" w:space="0" w:color="auto"/>
        <w:right w:val="none" w:sz="0" w:space="0" w:color="auto"/>
      </w:divBdr>
    </w:div>
    <w:div w:id="533466942">
      <w:bodyDiv w:val="1"/>
      <w:marLeft w:val="0"/>
      <w:marRight w:val="0"/>
      <w:marTop w:val="0"/>
      <w:marBottom w:val="0"/>
      <w:divBdr>
        <w:top w:val="none" w:sz="0" w:space="0" w:color="auto"/>
        <w:left w:val="none" w:sz="0" w:space="0" w:color="auto"/>
        <w:bottom w:val="none" w:sz="0" w:space="0" w:color="auto"/>
        <w:right w:val="none" w:sz="0" w:space="0" w:color="auto"/>
      </w:divBdr>
    </w:div>
    <w:div w:id="540094752">
      <w:bodyDiv w:val="1"/>
      <w:marLeft w:val="0"/>
      <w:marRight w:val="0"/>
      <w:marTop w:val="0"/>
      <w:marBottom w:val="0"/>
      <w:divBdr>
        <w:top w:val="none" w:sz="0" w:space="0" w:color="auto"/>
        <w:left w:val="none" w:sz="0" w:space="0" w:color="auto"/>
        <w:bottom w:val="none" w:sz="0" w:space="0" w:color="auto"/>
        <w:right w:val="none" w:sz="0" w:space="0" w:color="auto"/>
      </w:divBdr>
    </w:div>
    <w:div w:id="548883603">
      <w:bodyDiv w:val="1"/>
      <w:marLeft w:val="0"/>
      <w:marRight w:val="0"/>
      <w:marTop w:val="0"/>
      <w:marBottom w:val="0"/>
      <w:divBdr>
        <w:top w:val="none" w:sz="0" w:space="0" w:color="auto"/>
        <w:left w:val="none" w:sz="0" w:space="0" w:color="auto"/>
        <w:bottom w:val="none" w:sz="0" w:space="0" w:color="auto"/>
        <w:right w:val="none" w:sz="0" w:space="0" w:color="auto"/>
      </w:divBdr>
    </w:div>
    <w:div w:id="564876828">
      <w:bodyDiv w:val="1"/>
      <w:marLeft w:val="0"/>
      <w:marRight w:val="0"/>
      <w:marTop w:val="0"/>
      <w:marBottom w:val="0"/>
      <w:divBdr>
        <w:top w:val="none" w:sz="0" w:space="0" w:color="auto"/>
        <w:left w:val="none" w:sz="0" w:space="0" w:color="auto"/>
        <w:bottom w:val="none" w:sz="0" w:space="0" w:color="auto"/>
        <w:right w:val="none" w:sz="0" w:space="0" w:color="auto"/>
      </w:divBdr>
      <w:divsChild>
        <w:div w:id="213275514">
          <w:marLeft w:val="720"/>
          <w:marRight w:val="0"/>
          <w:marTop w:val="240"/>
          <w:marBottom w:val="0"/>
          <w:divBdr>
            <w:top w:val="none" w:sz="0" w:space="0" w:color="auto"/>
            <w:left w:val="none" w:sz="0" w:space="0" w:color="auto"/>
            <w:bottom w:val="none" w:sz="0" w:space="0" w:color="auto"/>
            <w:right w:val="none" w:sz="0" w:space="0" w:color="auto"/>
          </w:divBdr>
        </w:div>
        <w:div w:id="1182085846">
          <w:marLeft w:val="720"/>
          <w:marRight w:val="0"/>
          <w:marTop w:val="240"/>
          <w:marBottom w:val="0"/>
          <w:divBdr>
            <w:top w:val="none" w:sz="0" w:space="0" w:color="auto"/>
            <w:left w:val="none" w:sz="0" w:space="0" w:color="auto"/>
            <w:bottom w:val="none" w:sz="0" w:space="0" w:color="auto"/>
            <w:right w:val="none" w:sz="0" w:space="0" w:color="auto"/>
          </w:divBdr>
        </w:div>
      </w:divsChild>
    </w:div>
    <w:div w:id="569971545">
      <w:bodyDiv w:val="1"/>
      <w:marLeft w:val="0"/>
      <w:marRight w:val="0"/>
      <w:marTop w:val="0"/>
      <w:marBottom w:val="0"/>
      <w:divBdr>
        <w:top w:val="none" w:sz="0" w:space="0" w:color="auto"/>
        <w:left w:val="none" w:sz="0" w:space="0" w:color="auto"/>
        <w:bottom w:val="none" w:sz="0" w:space="0" w:color="auto"/>
        <w:right w:val="none" w:sz="0" w:space="0" w:color="auto"/>
      </w:divBdr>
    </w:div>
    <w:div w:id="575474342">
      <w:bodyDiv w:val="1"/>
      <w:marLeft w:val="0"/>
      <w:marRight w:val="0"/>
      <w:marTop w:val="0"/>
      <w:marBottom w:val="0"/>
      <w:divBdr>
        <w:top w:val="none" w:sz="0" w:space="0" w:color="auto"/>
        <w:left w:val="none" w:sz="0" w:space="0" w:color="auto"/>
        <w:bottom w:val="none" w:sz="0" w:space="0" w:color="auto"/>
        <w:right w:val="none" w:sz="0" w:space="0" w:color="auto"/>
      </w:divBdr>
    </w:div>
    <w:div w:id="582029604">
      <w:bodyDiv w:val="1"/>
      <w:marLeft w:val="0"/>
      <w:marRight w:val="0"/>
      <w:marTop w:val="0"/>
      <w:marBottom w:val="0"/>
      <w:divBdr>
        <w:top w:val="none" w:sz="0" w:space="0" w:color="auto"/>
        <w:left w:val="none" w:sz="0" w:space="0" w:color="auto"/>
        <w:bottom w:val="none" w:sz="0" w:space="0" w:color="auto"/>
        <w:right w:val="none" w:sz="0" w:space="0" w:color="auto"/>
      </w:divBdr>
    </w:div>
    <w:div w:id="591545605">
      <w:bodyDiv w:val="1"/>
      <w:marLeft w:val="0"/>
      <w:marRight w:val="0"/>
      <w:marTop w:val="0"/>
      <w:marBottom w:val="0"/>
      <w:divBdr>
        <w:top w:val="none" w:sz="0" w:space="0" w:color="auto"/>
        <w:left w:val="none" w:sz="0" w:space="0" w:color="auto"/>
        <w:bottom w:val="none" w:sz="0" w:space="0" w:color="auto"/>
        <w:right w:val="none" w:sz="0" w:space="0" w:color="auto"/>
      </w:divBdr>
    </w:div>
    <w:div w:id="605230770">
      <w:bodyDiv w:val="1"/>
      <w:marLeft w:val="0"/>
      <w:marRight w:val="0"/>
      <w:marTop w:val="0"/>
      <w:marBottom w:val="0"/>
      <w:divBdr>
        <w:top w:val="none" w:sz="0" w:space="0" w:color="auto"/>
        <w:left w:val="none" w:sz="0" w:space="0" w:color="auto"/>
        <w:bottom w:val="none" w:sz="0" w:space="0" w:color="auto"/>
        <w:right w:val="none" w:sz="0" w:space="0" w:color="auto"/>
      </w:divBdr>
      <w:divsChild>
        <w:div w:id="245308702">
          <w:marLeft w:val="360"/>
          <w:marRight w:val="0"/>
          <w:marTop w:val="0"/>
          <w:marBottom w:val="0"/>
          <w:divBdr>
            <w:top w:val="none" w:sz="0" w:space="0" w:color="auto"/>
            <w:left w:val="none" w:sz="0" w:space="0" w:color="auto"/>
            <w:bottom w:val="none" w:sz="0" w:space="0" w:color="auto"/>
            <w:right w:val="none" w:sz="0" w:space="0" w:color="auto"/>
          </w:divBdr>
        </w:div>
      </w:divsChild>
    </w:div>
    <w:div w:id="620497240">
      <w:bodyDiv w:val="1"/>
      <w:marLeft w:val="0"/>
      <w:marRight w:val="0"/>
      <w:marTop w:val="0"/>
      <w:marBottom w:val="0"/>
      <w:divBdr>
        <w:top w:val="none" w:sz="0" w:space="0" w:color="auto"/>
        <w:left w:val="none" w:sz="0" w:space="0" w:color="auto"/>
        <w:bottom w:val="none" w:sz="0" w:space="0" w:color="auto"/>
        <w:right w:val="none" w:sz="0" w:space="0" w:color="auto"/>
      </w:divBdr>
      <w:divsChild>
        <w:div w:id="700014162">
          <w:marLeft w:val="1987"/>
          <w:marRight w:val="0"/>
          <w:marTop w:val="0"/>
          <w:marBottom w:val="0"/>
          <w:divBdr>
            <w:top w:val="none" w:sz="0" w:space="0" w:color="auto"/>
            <w:left w:val="none" w:sz="0" w:space="0" w:color="auto"/>
            <w:bottom w:val="none" w:sz="0" w:space="0" w:color="auto"/>
            <w:right w:val="none" w:sz="0" w:space="0" w:color="auto"/>
          </w:divBdr>
        </w:div>
        <w:div w:id="779295994">
          <w:marLeft w:val="547"/>
          <w:marRight w:val="0"/>
          <w:marTop w:val="240"/>
          <w:marBottom w:val="0"/>
          <w:divBdr>
            <w:top w:val="none" w:sz="0" w:space="0" w:color="auto"/>
            <w:left w:val="none" w:sz="0" w:space="0" w:color="auto"/>
            <w:bottom w:val="none" w:sz="0" w:space="0" w:color="auto"/>
            <w:right w:val="none" w:sz="0" w:space="0" w:color="auto"/>
          </w:divBdr>
        </w:div>
        <w:div w:id="1096054250">
          <w:marLeft w:val="547"/>
          <w:marRight w:val="0"/>
          <w:marTop w:val="0"/>
          <w:marBottom w:val="0"/>
          <w:divBdr>
            <w:top w:val="none" w:sz="0" w:space="0" w:color="auto"/>
            <w:left w:val="none" w:sz="0" w:space="0" w:color="auto"/>
            <w:bottom w:val="none" w:sz="0" w:space="0" w:color="auto"/>
            <w:right w:val="none" w:sz="0" w:space="0" w:color="auto"/>
          </w:divBdr>
        </w:div>
        <w:div w:id="1261992008">
          <w:marLeft w:val="1267"/>
          <w:marRight w:val="0"/>
          <w:marTop w:val="0"/>
          <w:marBottom w:val="0"/>
          <w:divBdr>
            <w:top w:val="none" w:sz="0" w:space="0" w:color="auto"/>
            <w:left w:val="none" w:sz="0" w:space="0" w:color="auto"/>
            <w:bottom w:val="none" w:sz="0" w:space="0" w:color="auto"/>
            <w:right w:val="none" w:sz="0" w:space="0" w:color="auto"/>
          </w:divBdr>
        </w:div>
        <w:div w:id="1578587493">
          <w:marLeft w:val="1987"/>
          <w:marRight w:val="0"/>
          <w:marTop w:val="0"/>
          <w:marBottom w:val="0"/>
          <w:divBdr>
            <w:top w:val="none" w:sz="0" w:space="0" w:color="auto"/>
            <w:left w:val="none" w:sz="0" w:space="0" w:color="auto"/>
            <w:bottom w:val="none" w:sz="0" w:space="0" w:color="auto"/>
            <w:right w:val="none" w:sz="0" w:space="0" w:color="auto"/>
          </w:divBdr>
        </w:div>
        <w:div w:id="1681856564">
          <w:marLeft w:val="547"/>
          <w:marRight w:val="0"/>
          <w:marTop w:val="240"/>
          <w:marBottom w:val="0"/>
          <w:divBdr>
            <w:top w:val="none" w:sz="0" w:space="0" w:color="auto"/>
            <w:left w:val="none" w:sz="0" w:space="0" w:color="auto"/>
            <w:bottom w:val="none" w:sz="0" w:space="0" w:color="auto"/>
            <w:right w:val="none" w:sz="0" w:space="0" w:color="auto"/>
          </w:divBdr>
        </w:div>
        <w:div w:id="1750955144">
          <w:marLeft w:val="547"/>
          <w:marRight w:val="0"/>
          <w:marTop w:val="240"/>
          <w:marBottom w:val="0"/>
          <w:divBdr>
            <w:top w:val="none" w:sz="0" w:space="0" w:color="auto"/>
            <w:left w:val="none" w:sz="0" w:space="0" w:color="auto"/>
            <w:bottom w:val="none" w:sz="0" w:space="0" w:color="auto"/>
            <w:right w:val="none" w:sz="0" w:space="0" w:color="auto"/>
          </w:divBdr>
        </w:div>
        <w:div w:id="1789814902">
          <w:marLeft w:val="1987"/>
          <w:marRight w:val="0"/>
          <w:marTop w:val="0"/>
          <w:marBottom w:val="0"/>
          <w:divBdr>
            <w:top w:val="none" w:sz="0" w:space="0" w:color="auto"/>
            <w:left w:val="none" w:sz="0" w:space="0" w:color="auto"/>
            <w:bottom w:val="none" w:sz="0" w:space="0" w:color="auto"/>
            <w:right w:val="none" w:sz="0" w:space="0" w:color="auto"/>
          </w:divBdr>
        </w:div>
        <w:div w:id="1814328124">
          <w:marLeft w:val="1267"/>
          <w:marRight w:val="0"/>
          <w:marTop w:val="0"/>
          <w:marBottom w:val="0"/>
          <w:divBdr>
            <w:top w:val="none" w:sz="0" w:space="0" w:color="auto"/>
            <w:left w:val="none" w:sz="0" w:space="0" w:color="auto"/>
            <w:bottom w:val="none" w:sz="0" w:space="0" w:color="auto"/>
            <w:right w:val="none" w:sz="0" w:space="0" w:color="auto"/>
          </w:divBdr>
        </w:div>
      </w:divsChild>
    </w:div>
    <w:div w:id="641236558">
      <w:bodyDiv w:val="1"/>
      <w:marLeft w:val="0"/>
      <w:marRight w:val="0"/>
      <w:marTop w:val="0"/>
      <w:marBottom w:val="0"/>
      <w:divBdr>
        <w:top w:val="none" w:sz="0" w:space="0" w:color="auto"/>
        <w:left w:val="none" w:sz="0" w:space="0" w:color="auto"/>
        <w:bottom w:val="none" w:sz="0" w:space="0" w:color="auto"/>
        <w:right w:val="none" w:sz="0" w:space="0" w:color="auto"/>
      </w:divBdr>
      <w:divsChild>
        <w:div w:id="250313184">
          <w:marLeft w:val="360"/>
          <w:marRight w:val="0"/>
          <w:marTop w:val="0"/>
          <w:marBottom w:val="0"/>
          <w:divBdr>
            <w:top w:val="none" w:sz="0" w:space="0" w:color="auto"/>
            <w:left w:val="none" w:sz="0" w:space="0" w:color="auto"/>
            <w:bottom w:val="none" w:sz="0" w:space="0" w:color="auto"/>
            <w:right w:val="none" w:sz="0" w:space="0" w:color="auto"/>
          </w:divBdr>
        </w:div>
        <w:div w:id="613635842">
          <w:marLeft w:val="360"/>
          <w:marRight w:val="0"/>
          <w:marTop w:val="0"/>
          <w:marBottom w:val="0"/>
          <w:divBdr>
            <w:top w:val="none" w:sz="0" w:space="0" w:color="auto"/>
            <w:left w:val="none" w:sz="0" w:space="0" w:color="auto"/>
            <w:bottom w:val="none" w:sz="0" w:space="0" w:color="auto"/>
            <w:right w:val="none" w:sz="0" w:space="0" w:color="auto"/>
          </w:divBdr>
        </w:div>
        <w:div w:id="923998496">
          <w:marLeft w:val="360"/>
          <w:marRight w:val="0"/>
          <w:marTop w:val="0"/>
          <w:marBottom w:val="0"/>
          <w:divBdr>
            <w:top w:val="none" w:sz="0" w:space="0" w:color="auto"/>
            <w:left w:val="none" w:sz="0" w:space="0" w:color="auto"/>
            <w:bottom w:val="none" w:sz="0" w:space="0" w:color="auto"/>
            <w:right w:val="none" w:sz="0" w:space="0" w:color="auto"/>
          </w:divBdr>
        </w:div>
        <w:div w:id="1654023589">
          <w:marLeft w:val="360"/>
          <w:marRight w:val="0"/>
          <w:marTop w:val="0"/>
          <w:marBottom w:val="0"/>
          <w:divBdr>
            <w:top w:val="none" w:sz="0" w:space="0" w:color="auto"/>
            <w:left w:val="none" w:sz="0" w:space="0" w:color="auto"/>
            <w:bottom w:val="none" w:sz="0" w:space="0" w:color="auto"/>
            <w:right w:val="none" w:sz="0" w:space="0" w:color="auto"/>
          </w:divBdr>
        </w:div>
      </w:divsChild>
    </w:div>
    <w:div w:id="657611524">
      <w:bodyDiv w:val="1"/>
      <w:marLeft w:val="0"/>
      <w:marRight w:val="0"/>
      <w:marTop w:val="0"/>
      <w:marBottom w:val="0"/>
      <w:divBdr>
        <w:top w:val="none" w:sz="0" w:space="0" w:color="auto"/>
        <w:left w:val="none" w:sz="0" w:space="0" w:color="auto"/>
        <w:bottom w:val="none" w:sz="0" w:space="0" w:color="auto"/>
        <w:right w:val="none" w:sz="0" w:space="0" w:color="auto"/>
      </w:divBdr>
    </w:div>
    <w:div w:id="676931174">
      <w:bodyDiv w:val="1"/>
      <w:marLeft w:val="0"/>
      <w:marRight w:val="0"/>
      <w:marTop w:val="0"/>
      <w:marBottom w:val="0"/>
      <w:divBdr>
        <w:top w:val="none" w:sz="0" w:space="0" w:color="auto"/>
        <w:left w:val="none" w:sz="0" w:space="0" w:color="auto"/>
        <w:bottom w:val="none" w:sz="0" w:space="0" w:color="auto"/>
        <w:right w:val="none" w:sz="0" w:space="0" w:color="auto"/>
      </w:divBdr>
    </w:div>
    <w:div w:id="711198029">
      <w:bodyDiv w:val="1"/>
      <w:marLeft w:val="0"/>
      <w:marRight w:val="0"/>
      <w:marTop w:val="0"/>
      <w:marBottom w:val="0"/>
      <w:divBdr>
        <w:top w:val="none" w:sz="0" w:space="0" w:color="auto"/>
        <w:left w:val="none" w:sz="0" w:space="0" w:color="auto"/>
        <w:bottom w:val="none" w:sz="0" w:space="0" w:color="auto"/>
        <w:right w:val="none" w:sz="0" w:space="0" w:color="auto"/>
      </w:divBdr>
    </w:div>
    <w:div w:id="722291074">
      <w:bodyDiv w:val="1"/>
      <w:marLeft w:val="0"/>
      <w:marRight w:val="0"/>
      <w:marTop w:val="0"/>
      <w:marBottom w:val="0"/>
      <w:divBdr>
        <w:top w:val="none" w:sz="0" w:space="0" w:color="auto"/>
        <w:left w:val="none" w:sz="0" w:space="0" w:color="auto"/>
        <w:bottom w:val="none" w:sz="0" w:space="0" w:color="auto"/>
        <w:right w:val="none" w:sz="0" w:space="0" w:color="auto"/>
      </w:divBdr>
      <w:divsChild>
        <w:div w:id="886987067">
          <w:marLeft w:val="1080"/>
          <w:marRight w:val="0"/>
          <w:marTop w:val="100"/>
          <w:marBottom w:val="0"/>
          <w:divBdr>
            <w:top w:val="none" w:sz="0" w:space="0" w:color="auto"/>
            <w:left w:val="none" w:sz="0" w:space="0" w:color="auto"/>
            <w:bottom w:val="none" w:sz="0" w:space="0" w:color="auto"/>
            <w:right w:val="none" w:sz="0" w:space="0" w:color="auto"/>
          </w:divBdr>
        </w:div>
        <w:div w:id="984548824">
          <w:marLeft w:val="1080"/>
          <w:marRight w:val="0"/>
          <w:marTop w:val="100"/>
          <w:marBottom w:val="0"/>
          <w:divBdr>
            <w:top w:val="none" w:sz="0" w:space="0" w:color="auto"/>
            <w:left w:val="none" w:sz="0" w:space="0" w:color="auto"/>
            <w:bottom w:val="none" w:sz="0" w:space="0" w:color="auto"/>
            <w:right w:val="none" w:sz="0" w:space="0" w:color="auto"/>
          </w:divBdr>
        </w:div>
        <w:div w:id="1253003287">
          <w:marLeft w:val="1080"/>
          <w:marRight w:val="0"/>
          <w:marTop w:val="100"/>
          <w:marBottom w:val="0"/>
          <w:divBdr>
            <w:top w:val="none" w:sz="0" w:space="0" w:color="auto"/>
            <w:left w:val="none" w:sz="0" w:space="0" w:color="auto"/>
            <w:bottom w:val="none" w:sz="0" w:space="0" w:color="auto"/>
            <w:right w:val="none" w:sz="0" w:space="0" w:color="auto"/>
          </w:divBdr>
        </w:div>
      </w:divsChild>
    </w:div>
    <w:div w:id="746340166">
      <w:bodyDiv w:val="1"/>
      <w:marLeft w:val="0"/>
      <w:marRight w:val="0"/>
      <w:marTop w:val="0"/>
      <w:marBottom w:val="0"/>
      <w:divBdr>
        <w:top w:val="none" w:sz="0" w:space="0" w:color="auto"/>
        <w:left w:val="none" w:sz="0" w:space="0" w:color="auto"/>
        <w:bottom w:val="none" w:sz="0" w:space="0" w:color="auto"/>
        <w:right w:val="none" w:sz="0" w:space="0" w:color="auto"/>
      </w:divBdr>
    </w:div>
    <w:div w:id="750465098">
      <w:bodyDiv w:val="1"/>
      <w:marLeft w:val="0"/>
      <w:marRight w:val="0"/>
      <w:marTop w:val="0"/>
      <w:marBottom w:val="0"/>
      <w:divBdr>
        <w:top w:val="none" w:sz="0" w:space="0" w:color="auto"/>
        <w:left w:val="none" w:sz="0" w:space="0" w:color="auto"/>
        <w:bottom w:val="none" w:sz="0" w:space="0" w:color="auto"/>
        <w:right w:val="none" w:sz="0" w:space="0" w:color="auto"/>
      </w:divBdr>
    </w:div>
    <w:div w:id="753864008">
      <w:bodyDiv w:val="1"/>
      <w:marLeft w:val="0"/>
      <w:marRight w:val="0"/>
      <w:marTop w:val="0"/>
      <w:marBottom w:val="0"/>
      <w:divBdr>
        <w:top w:val="none" w:sz="0" w:space="0" w:color="auto"/>
        <w:left w:val="none" w:sz="0" w:space="0" w:color="auto"/>
        <w:bottom w:val="none" w:sz="0" w:space="0" w:color="auto"/>
        <w:right w:val="none" w:sz="0" w:space="0" w:color="auto"/>
      </w:divBdr>
    </w:div>
    <w:div w:id="760445743">
      <w:bodyDiv w:val="1"/>
      <w:marLeft w:val="0"/>
      <w:marRight w:val="0"/>
      <w:marTop w:val="0"/>
      <w:marBottom w:val="0"/>
      <w:divBdr>
        <w:top w:val="none" w:sz="0" w:space="0" w:color="auto"/>
        <w:left w:val="none" w:sz="0" w:space="0" w:color="auto"/>
        <w:bottom w:val="none" w:sz="0" w:space="0" w:color="auto"/>
        <w:right w:val="none" w:sz="0" w:space="0" w:color="auto"/>
      </w:divBdr>
    </w:div>
    <w:div w:id="764837753">
      <w:bodyDiv w:val="1"/>
      <w:marLeft w:val="0"/>
      <w:marRight w:val="0"/>
      <w:marTop w:val="0"/>
      <w:marBottom w:val="0"/>
      <w:divBdr>
        <w:top w:val="none" w:sz="0" w:space="0" w:color="auto"/>
        <w:left w:val="none" w:sz="0" w:space="0" w:color="auto"/>
        <w:bottom w:val="none" w:sz="0" w:space="0" w:color="auto"/>
        <w:right w:val="none" w:sz="0" w:space="0" w:color="auto"/>
      </w:divBdr>
    </w:div>
    <w:div w:id="780152048">
      <w:bodyDiv w:val="1"/>
      <w:marLeft w:val="0"/>
      <w:marRight w:val="0"/>
      <w:marTop w:val="0"/>
      <w:marBottom w:val="0"/>
      <w:divBdr>
        <w:top w:val="none" w:sz="0" w:space="0" w:color="auto"/>
        <w:left w:val="none" w:sz="0" w:space="0" w:color="auto"/>
        <w:bottom w:val="none" w:sz="0" w:space="0" w:color="auto"/>
        <w:right w:val="none" w:sz="0" w:space="0" w:color="auto"/>
      </w:divBdr>
    </w:div>
    <w:div w:id="781650032">
      <w:bodyDiv w:val="1"/>
      <w:marLeft w:val="0"/>
      <w:marRight w:val="0"/>
      <w:marTop w:val="0"/>
      <w:marBottom w:val="0"/>
      <w:divBdr>
        <w:top w:val="none" w:sz="0" w:space="0" w:color="auto"/>
        <w:left w:val="none" w:sz="0" w:space="0" w:color="auto"/>
        <w:bottom w:val="none" w:sz="0" w:space="0" w:color="auto"/>
        <w:right w:val="none" w:sz="0" w:space="0" w:color="auto"/>
      </w:divBdr>
      <w:divsChild>
        <w:div w:id="116802789">
          <w:marLeft w:val="720"/>
          <w:marRight w:val="0"/>
          <w:marTop w:val="96"/>
          <w:marBottom w:val="0"/>
          <w:divBdr>
            <w:top w:val="none" w:sz="0" w:space="0" w:color="auto"/>
            <w:left w:val="none" w:sz="0" w:space="0" w:color="auto"/>
            <w:bottom w:val="none" w:sz="0" w:space="0" w:color="auto"/>
            <w:right w:val="none" w:sz="0" w:space="0" w:color="auto"/>
          </w:divBdr>
        </w:div>
        <w:div w:id="999121270">
          <w:marLeft w:val="720"/>
          <w:marRight w:val="0"/>
          <w:marTop w:val="96"/>
          <w:marBottom w:val="0"/>
          <w:divBdr>
            <w:top w:val="none" w:sz="0" w:space="0" w:color="auto"/>
            <w:left w:val="none" w:sz="0" w:space="0" w:color="auto"/>
            <w:bottom w:val="none" w:sz="0" w:space="0" w:color="auto"/>
            <w:right w:val="none" w:sz="0" w:space="0" w:color="auto"/>
          </w:divBdr>
        </w:div>
        <w:div w:id="1299261369">
          <w:marLeft w:val="547"/>
          <w:marRight w:val="0"/>
          <w:marTop w:val="96"/>
          <w:marBottom w:val="0"/>
          <w:divBdr>
            <w:top w:val="none" w:sz="0" w:space="0" w:color="auto"/>
            <w:left w:val="none" w:sz="0" w:space="0" w:color="auto"/>
            <w:bottom w:val="none" w:sz="0" w:space="0" w:color="auto"/>
            <w:right w:val="none" w:sz="0" w:space="0" w:color="auto"/>
          </w:divBdr>
        </w:div>
        <w:div w:id="1540128242">
          <w:marLeft w:val="720"/>
          <w:marRight w:val="0"/>
          <w:marTop w:val="96"/>
          <w:marBottom w:val="0"/>
          <w:divBdr>
            <w:top w:val="none" w:sz="0" w:space="0" w:color="auto"/>
            <w:left w:val="none" w:sz="0" w:space="0" w:color="auto"/>
            <w:bottom w:val="none" w:sz="0" w:space="0" w:color="auto"/>
            <w:right w:val="none" w:sz="0" w:space="0" w:color="auto"/>
          </w:divBdr>
        </w:div>
        <w:div w:id="1592201345">
          <w:marLeft w:val="720"/>
          <w:marRight w:val="0"/>
          <w:marTop w:val="96"/>
          <w:marBottom w:val="0"/>
          <w:divBdr>
            <w:top w:val="none" w:sz="0" w:space="0" w:color="auto"/>
            <w:left w:val="none" w:sz="0" w:space="0" w:color="auto"/>
            <w:bottom w:val="none" w:sz="0" w:space="0" w:color="auto"/>
            <w:right w:val="none" w:sz="0" w:space="0" w:color="auto"/>
          </w:divBdr>
        </w:div>
        <w:div w:id="2023051684">
          <w:marLeft w:val="720"/>
          <w:marRight w:val="0"/>
          <w:marTop w:val="96"/>
          <w:marBottom w:val="0"/>
          <w:divBdr>
            <w:top w:val="none" w:sz="0" w:space="0" w:color="auto"/>
            <w:left w:val="none" w:sz="0" w:space="0" w:color="auto"/>
            <w:bottom w:val="none" w:sz="0" w:space="0" w:color="auto"/>
            <w:right w:val="none" w:sz="0" w:space="0" w:color="auto"/>
          </w:divBdr>
        </w:div>
      </w:divsChild>
    </w:div>
    <w:div w:id="801575160">
      <w:bodyDiv w:val="1"/>
      <w:marLeft w:val="0"/>
      <w:marRight w:val="0"/>
      <w:marTop w:val="0"/>
      <w:marBottom w:val="0"/>
      <w:divBdr>
        <w:top w:val="none" w:sz="0" w:space="0" w:color="auto"/>
        <w:left w:val="none" w:sz="0" w:space="0" w:color="auto"/>
        <w:bottom w:val="none" w:sz="0" w:space="0" w:color="auto"/>
        <w:right w:val="none" w:sz="0" w:space="0" w:color="auto"/>
      </w:divBdr>
      <w:divsChild>
        <w:div w:id="1218125610">
          <w:marLeft w:val="360"/>
          <w:marRight w:val="0"/>
          <w:marTop w:val="0"/>
          <w:marBottom w:val="0"/>
          <w:divBdr>
            <w:top w:val="none" w:sz="0" w:space="0" w:color="auto"/>
            <w:left w:val="none" w:sz="0" w:space="0" w:color="auto"/>
            <w:bottom w:val="none" w:sz="0" w:space="0" w:color="auto"/>
            <w:right w:val="none" w:sz="0" w:space="0" w:color="auto"/>
          </w:divBdr>
        </w:div>
        <w:div w:id="1730688614">
          <w:marLeft w:val="360"/>
          <w:marRight w:val="0"/>
          <w:marTop w:val="0"/>
          <w:marBottom w:val="0"/>
          <w:divBdr>
            <w:top w:val="none" w:sz="0" w:space="0" w:color="auto"/>
            <w:left w:val="none" w:sz="0" w:space="0" w:color="auto"/>
            <w:bottom w:val="none" w:sz="0" w:space="0" w:color="auto"/>
            <w:right w:val="none" w:sz="0" w:space="0" w:color="auto"/>
          </w:divBdr>
        </w:div>
        <w:div w:id="1972401592">
          <w:marLeft w:val="360"/>
          <w:marRight w:val="0"/>
          <w:marTop w:val="0"/>
          <w:marBottom w:val="0"/>
          <w:divBdr>
            <w:top w:val="none" w:sz="0" w:space="0" w:color="auto"/>
            <w:left w:val="none" w:sz="0" w:space="0" w:color="auto"/>
            <w:bottom w:val="none" w:sz="0" w:space="0" w:color="auto"/>
            <w:right w:val="none" w:sz="0" w:space="0" w:color="auto"/>
          </w:divBdr>
        </w:div>
      </w:divsChild>
    </w:div>
    <w:div w:id="820972781">
      <w:bodyDiv w:val="1"/>
      <w:marLeft w:val="0"/>
      <w:marRight w:val="0"/>
      <w:marTop w:val="0"/>
      <w:marBottom w:val="0"/>
      <w:divBdr>
        <w:top w:val="none" w:sz="0" w:space="0" w:color="auto"/>
        <w:left w:val="none" w:sz="0" w:space="0" w:color="auto"/>
        <w:bottom w:val="none" w:sz="0" w:space="0" w:color="auto"/>
        <w:right w:val="none" w:sz="0" w:space="0" w:color="auto"/>
      </w:divBdr>
    </w:div>
    <w:div w:id="822165619">
      <w:bodyDiv w:val="1"/>
      <w:marLeft w:val="0"/>
      <w:marRight w:val="0"/>
      <w:marTop w:val="0"/>
      <w:marBottom w:val="0"/>
      <w:divBdr>
        <w:top w:val="none" w:sz="0" w:space="0" w:color="auto"/>
        <w:left w:val="none" w:sz="0" w:space="0" w:color="auto"/>
        <w:bottom w:val="none" w:sz="0" w:space="0" w:color="auto"/>
        <w:right w:val="none" w:sz="0" w:space="0" w:color="auto"/>
      </w:divBdr>
    </w:div>
    <w:div w:id="835534370">
      <w:bodyDiv w:val="1"/>
      <w:marLeft w:val="0"/>
      <w:marRight w:val="0"/>
      <w:marTop w:val="0"/>
      <w:marBottom w:val="0"/>
      <w:divBdr>
        <w:top w:val="none" w:sz="0" w:space="0" w:color="auto"/>
        <w:left w:val="none" w:sz="0" w:space="0" w:color="auto"/>
        <w:bottom w:val="none" w:sz="0" w:space="0" w:color="auto"/>
        <w:right w:val="none" w:sz="0" w:space="0" w:color="auto"/>
      </w:divBdr>
    </w:div>
    <w:div w:id="857423315">
      <w:bodyDiv w:val="1"/>
      <w:marLeft w:val="0"/>
      <w:marRight w:val="0"/>
      <w:marTop w:val="0"/>
      <w:marBottom w:val="0"/>
      <w:divBdr>
        <w:top w:val="none" w:sz="0" w:space="0" w:color="auto"/>
        <w:left w:val="none" w:sz="0" w:space="0" w:color="auto"/>
        <w:bottom w:val="none" w:sz="0" w:space="0" w:color="auto"/>
        <w:right w:val="none" w:sz="0" w:space="0" w:color="auto"/>
      </w:divBdr>
    </w:div>
    <w:div w:id="872111950">
      <w:bodyDiv w:val="1"/>
      <w:marLeft w:val="0"/>
      <w:marRight w:val="0"/>
      <w:marTop w:val="0"/>
      <w:marBottom w:val="0"/>
      <w:divBdr>
        <w:top w:val="none" w:sz="0" w:space="0" w:color="auto"/>
        <w:left w:val="none" w:sz="0" w:space="0" w:color="auto"/>
        <w:bottom w:val="none" w:sz="0" w:space="0" w:color="auto"/>
        <w:right w:val="none" w:sz="0" w:space="0" w:color="auto"/>
      </w:divBdr>
    </w:div>
    <w:div w:id="872117332">
      <w:bodyDiv w:val="1"/>
      <w:marLeft w:val="0"/>
      <w:marRight w:val="0"/>
      <w:marTop w:val="0"/>
      <w:marBottom w:val="0"/>
      <w:divBdr>
        <w:top w:val="none" w:sz="0" w:space="0" w:color="auto"/>
        <w:left w:val="none" w:sz="0" w:space="0" w:color="auto"/>
        <w:bottom w:val="none" w:sz="0" w:space="0" w:color="auto"/>
        <w:right w:val="none" w:sz="0" w:space="0" w:color="auto"/>
      </w:divBdr>
    </w:div>
    <w:div w:id="878666109">
      <w:bodyDiv w:val="1"/>
      <w:marLeft w:val="0"/>
      <w:marRight w:val="0"/>
      <w:marTop w:val="0"/>
      <w:marBottom w:val="0"/>
      <w:divBdr>
        <w:top w:val="none" w:sz="0" w:space="0" w:color="auto"/>
        <w:left w:val="none" w:sz="0" w:space="0" w:color="auto"/>
        <w:bottom w:val="none" w:sz="0" w:space="0" w:color="auto"/>
        <w:right w:val="none" w:sz="0" w:space="0" w:color="auto"/>
      </w:divBdr>
    </w:div>
    <w:div w:id="889682773">
      <w:bodyDiv w:val="1"/>
      <w:marLeft w:val="0"/>
      <w:marRight w:val="0"/>
      <w:marTop w:val="0"/>
      <w:marBottom w:val="0"/>
      <w:divBdr>
        <w:top w:val="none" w:sz="0" w:space="0" w:color="auto"/>
        <w:left w:val="none" w:sz="0" w:space="0" w:color="auto"/>
        <w:bottom w:val="none" w:sz="0" w:space="0" w:color="auto"/>
        <w:right w:val="none" w:sz="0" w:space="0" w:color="auto"/>
      </w:divBdr>
    </w:div>
    <w:div w:id="900824358">
      <w:bodyDiv w:val="1"/>
      <w:marLeft w:val="0"/>
      <w:marRight w:val="0"/>
      <w:marTop w:val="0"/>
      <w:marBottom w:val="0"/>
      <w:divBdr>
        <w:top w:val="none" w:sz="0" w:space="0" w:color="auto"/>
        <w:left w:val="none" w:sz="0" w:space="0" w:color="auto"/>
        <w:bottom w:val="none" w:sz="0" w:space="0" w:color="auto"/>
        <w:right w:val="none" w:sz="0" w:space="0" w:color="auto"/>
      </w:divBdr>
    </w:div>
    <w:div w:id="903178752">
      <w:bodyDiv w:val="1"/>
      <w:marLeft w:val="0"/>
      <w:marRight w:val="0"/>
      <w:marTop w:val="0"/>
      <w:marBottom w:val="0"/>
      <w:divBdr>
        <w:top w:val="none" w:sz="0" w:space="0" w:color="auto"/>
        <w:left w:val="none" w:sz="0" w:space="0" w:color="auto"/>
        <w:bottom w:val="none" w:sz="0" w:space="0" w:color="auto"/>
        <w:right w:val="none" w:sz="0" w:space="0" w:color="auto"/>
      </w:divBdr>
      <w:divsChild>
        <w:div w:id="694962576">
          <w:marLeft w:val="360"/>
          <w:marRight w:val="0"/>
          <w:marTop w:val="0"/>
          <w:marBottom w:val="0"/>
          <w:divBdr>
            <w:top w:val="none" w:sz="0" w:space="0" w:color="auto"/>
            <w:left w:val="none" w:sz="0" w:space="0" w:color="auto"/>
            <w:bottom w:val="none" w:sz="0" w:space="0" w:color="auto"/>
            <w:right w:val="none" w:sz="0" w:space="0" w:color="auto"/>
          </w:divBdr>
        </w:div>
        <w:div w:id="744837740">
          <w:marLeft w:val="360"/>
          <w:marRight w:val="0"/>
          <w:marTop w:val="0"/>
          <w:marBottom w:val="0"/>
          <w:divBdr>
            <w:top w:val="none" w:sz="0" w:space="0" w:color="auto"/>
            <w:left w:val="none" w:sz="0" w:space="0" w:color="auto"/>
            <w:bottom w:val="none" w:sz="0" w:space="0" w:color="auto"/>
            <w:right w:val="none" w:sz="0" w:space="0" w:color="auto"/>
          </w:divBdr>
        </w:div>
      </w:divsChild>
    </w:div>
    <w:div w:id="932475319">
      <w:bodyDiv w:val="1"/>
      <w:marLeft w:val="0"/>
      <w:marRight w:val="0"/>
      <w:marTop w:val="0"/>
      <w:marBottom w:val="0"/>
      <w:divBdr>
        <w:top w:val="none" w:sz="0" w:space="0" w:color="auto"/>
        <w:left w:val="none" w:sz="0" w:space="0" w:color="auto"/>
        <w:bottom w:val="none" w:sz="0" w:space="0" w:color="auto"/>
        <w:right w:val="none" w:sz="0" w:space="0" w:color="auto"/>
      </w:divBdr>
    </w:div>
    <w:div w:id="939488098">
      <w:bodyDiv w:val="1"/>
      <w:marLeft w:val="0"/>
      <w:marRight w:val="0"/>
      <w:marTop w:val="0"/>
      <w:marBottom w:val="0"/>
      <w:divBdr>
        <w:top w:val="none" w:sz="0" w:space="0" w:color="auto"/>
        <w:left w:val="none" w:sz="0" w:space="0" w:color="auto"/>
        <w:bottom w:val="none" w:sz="0" w:space="0" w:color="auto"/>
        <w:right w:val="none" w:sz="0" w:space="0" w:color="auto"/>
      </w:divBdr>
    </w:div>
    <w:div w:id="973946017">
      <w:bodyDiv w:val="1"/>
      <w:marLeft w:val="0"/>
      <w:marRight w:val="0"/>
      <w:marTop w:val="0"/>
      <w:marBottom w:val="0"/>
      <w:divBdr>
        <w:top w:val="none" w:sz="0" w:space="0" w:color="auto"/>
        <w:left w:val="none" w:sz="0" w:space="0" w:color="auto"/>
        <w:bottom w:val="none" w:sz="0" w:space="0" w:color="auto"/>
        <w:right w:val="none" w:sz="0" w:space="0" w:color="auto"/>
      </w:divBdr>
    </w:div>
    <w:div w:id="974411959">
      <w:bodyDiv w:val="1"/>
      <w:marLeft w:val="0"/>
      <w:marRight w:val="0"/>
      <w:marTop w:val="0"/>
      <w:marBottom w:val="0"/>
      <w:divBdr>
        <w:top w:val="none" w:sz="0" w:space="0" w:color="auto"/>
        <w:left w:val="none" w:sz="0" w:space="0" w:color="auto"/>
        <w:bottom w:val="none" w:sz="0" w:space="0" w:color="auto"/>
        <w:right w:val="none" w:sz="0" w:space="0" w:color="auto"/>
      </w:divBdr>
    </w:div>
    <w:div w:id="975531288">
      <w:bodyDiv w:val="1"/>
      <w:marLeft w:val="0"/>
      <w:marRight w:val="0"/>
      <w:marTop w:val="0"/>
      <w:marBottom w:val="0"/>
      <w:divBdr>
        <w:top w:val="none" w:sz="0" w:space="0" w:color="auto"/>
        <w:left w:val="none" w:sz="0" w:space="0" w:color="auto"/>
        <w:bottom w:val="none" w:sz="0" w:space="0" w:color="auto"/>
        <w:right w:val="none" w:sz="0" w:space="0" w:color="auto"/>
      </w:divBdr>
    </w:div>
    <w:div w:id="991787068">
      <w:bodyDiv w:val="1"/>
      <w:marLeft w:val="0"/>
      <w:marRight w:val="0"/>
      <w:marTop w:val="0"/>
      <w:marBottom w:val="0"/>
      <w:divBdr>
        <w:top w:val="none" w:sz="0" w:space="0" w:color="auto"/>
        <w:left w:val="none" w:sz="0" w:space="0" w:color="auto"/>
        <w:bottom w:val="none" w:sz="0" w:space="0" w:color="auto"/>
        <w:right w:val="none" w:sz="0" w:space="0" w:color="auto"/>
      </w:divBdr>
    </w:div>
    <w:div w:id="1016616071">
      <w:bodyDiv w:val="1"/>
      <w:marLeft w:val="0"/>
      <w:marRight w:val="0"/>
      <w:marTop w:val="0"/>
      <w:marBottom w:val="0"/>
      <w:divBdr>
        <w:top w:val="none" w:sz="0" w:space="0" w:color="auto"/>
        <w:left w:val="none" w:sz="0" w:space="0" w:color="auto"/>
        <w:bottom w:val="none" w:sz="0" w:space="0" w:color="auto"/>
        <w:right w:val="none" w:sz="0" w:space="0" w:color="auto"/>
      </w:divBdr>
    </w:div>
    <w:div w:id="1027680864">
      <w:bodyDiv w:val="1"/>
      <w:marLeft w:val="0"/>
      <w:marRight w:val="0"/>
      <w:marTop w:val="0"/>
      <w:marBottom w:val="0"/>
      <w:divBdr>
        <w:top w:val="none" w:sz="0" w:space="0" w:color="auto"/>
        <w:left w:val="none" w:sz="0" w:space="0" w:color="auto"/>
        <w:bottom w:val="none" w:sz="0" w:space="0" w:color="auto"/>
        <w:right w:val="none" w:sz="0" w:space="0" w:color="auto"/>
      </w:divBdr>
    </w:div>
    <w:div w:id="1035421500">
      <w:bodyDiv w:val="1"/>
      <w:marLeft w:val="0"/>
      <w:marRight w:val="0"/>
      <w:marTop w:val="0"/>
      <w:marBottom w:val="0"/>
      <w:divBdr>
        <w:top w:val="none" w:sz="0" w:space="0" w:color="auto"/>
        <w:left w:val="none" w:sz="0" w:space="0" w:color="auto"/>
        <w:bottom w:val="none" w:sz="0" w:space="0" w:color="auto"/>
        <w:right w:val="none" w:sz="0" w:space="0" w:color="auto"/>
      </w:divBdr>
    </w:div>
    <w:div w:id="1043486075">
      <w:bodyDiv w:val="1"/>
      <w:marLeft w:val="0"/>
      <w:marRight w:val="0"/>
      <w:marTop w:val="0"/>
      <w:marBottom w:val="0"/>
      <w:divBdr>
        <w:top w:val="none" w:sz="0" w:space="0" w:color="auto"/>
        <w:left w:val="none" w:sz="0" w:space="0" w:color="auto"/>
        <w:bottom w:val="none" w:sz="0" w:space="0" w:color="auto"/>
        <w:right w:val="none" w:sz="0" w:space="0" w:color="auto"/>
      </w:divBdr>
    </w:div>
    <w:div w:id="1045108025">
      <w:bodyDiv w:val="1"/>
      <w:marLeft w:val="0"/>
      <w:marRight w:val="0"/>
      <w:marTop w:val="0"/>
      <w:marBottom w:val="0"/>
      <w:divBdr>
        <w:top w:val="none" w:sz="0" w:space="0" w:color="auto"/>
        <w:left w:val="none" w:sz="0" w:space="0" w:color="auto"/>
        <w:bottom w:val="none" w:sz="0" w:space="0" w:color="auto"/>
        <w:right w:val="none" w:sz="0" w:space="0" w:color="auto"/>
      </w:divBdr>
    </w:div>
    <w:div w:id="1056005713">
      <w:bodyDiv w:val="1"/>
      <w:marLeft w:val="0"/>
      <w:marRight w:val="0"/>
      <w:marTop w:val="0"/>
      <w:marBottom w:val="0"/>
      <w:divBdr>
        <w:top w:val="none" w:sz="0" w:space="0" w:color="auto"/>
        <w:left w:val="none" w:sz="0" w:space="0" w:color="auto"/>
        <w:bottom w:val="none" w:sz="0" w:space="0" w:color="auto"/>
        <w:right w:val="none" w:sz="0" w:space="0" w:color="auto"/>
      </w:divBdr>
    </w:div>
    <w:div w:id="1072435720">
      <w:bodyDiv w:val="1"/>
      <w:marLeft w:val="0"/>
      <w:marRight w:val="0"/>
      <w:marTop w:val="0"/>
      <w:marBottom w:val="0"/>
      <w:divBdr>
        <w:top w:val="none" w:sz="0" w:space="0" w:color="auto"/>
        <w:left w:val="none" w:sz="0" w:space="0" w:color="auto"/>
        <w:bottom w:val="none" w:sz="0" w:space="0" w:color="auto"/>
        <w:right w:val="none" w:sz="0" w:space="0" w:color="auto"/>
      </w:divBdr>
    </w:div>
    <w:div w:id="1078330232">
      <w:bodyDiv w:val="1"/>
      <w:marLeft w:val="0"/>
      <w:marRight w:val="0"/>
      <w:marTop w:val="0"/>
      <w:marBottom w:val="0"/>
      <w:divBdr>
        <w:top w:val="none" w:sz="0" w:space="0" w:color="auto"/>
        <w:left w:val="none" w:sz="0" w:space="0" w:color="auto"/>
        <w:bottom w:val="none" w:sz="0" w:space="0" w:color="auto"/>
        <w:right w:val="none" w:sz="0" w:space="0" w:color="auto"/>
      </w:divBdr>
    </w:div>
    <w:div w:id="1088618903">
      <w:bodyDiv w:val="1"/>
      <w:marLeft w:val="0"/>
      <w:marRight w:val="0"/>
      <w:marTop w:val="0"/>
      <w:marBottom w:val="0"/>
      <w:divBdr>
        <w:top w:val="none" w:sz="0" w:space="0" w:color="auto"/>
        <w:left w:val="none" w:sz="0" w:space="0" w:color="auto"/>
        <w:bottom w:val="none" w:sz="0" w:space="0" w:color="auto"/>
        <w:right w:val="none" w:sz="0" w:space="0" w:color="auto"/>
      </w:divBdr>
    </w:div>
    <w:div w:id="1093278630">
      <w:bodyDiv w:val="1"/>
      <w:marLeft w:val="0"/>
      <w:marRight w:val="0"/>
      <w:marTop w:val="0"/>
      <w:marBottom w:val="0"/>
      <w:divBdr>
        <w:top w:val="none" w:sz="0" w:space="0" w:color="auto"/>
        <w:left w:val="none" w:sz="0" w:space="0" w:color="auto"/>
        <w:bottom w:val="none" w:sz="0" w:space="0" w:color="auto"/>
        <w:right w:val="none" w:sz="0" w:space="0" w:color="auto"/>
      </w:divBdr>
    </w:div>
    <w:div w:id="1093552550">
      <w:bodyDiv w:val="1"/>
      <w:marLeft w:val="0"/>
      <w:marRight w:val="0"/>
      <w:marTop w:val="0"/>
      <w:marBottom w:val="0"/>
      <w:divBdr>
        <w:top w:val="none" w:sz="0" w:space="0" w:color="auto"/>
        <w:left w:val="none" w:sz="0" w:space="0" w:color="auto"/>
        <w:bottom w:val="none" w:sz="0" w:space="0" w:color="auto"/>
        <w:right w:val="none" w:sz="0" w:space="0" w:color="auto"/>
      </w:divBdr>
    </w:div>
    <w:div w:id="1096560254">
      <w:bodyDiv w:val="1"/>
      <w:marLeft w:val="0"/>
      <w:marRight w:val="0"/>
      <w:marTop w:val="0"/>
      <w:marBottom w:val="0"/>
      <w:divBdr>
        <w:top w:val="none" w:sz="0" w:space="0" w:color="auto"/>
        <w:left w:val="none" w:sz="0" w:space="0" w:color="auto"/>
        <w:bottom w:val="none" w:sz="0" w:space="0" w:color="auto"/>
        <w:right w:val="none" w:sz="0" w:space="0" w:color="auto"/>
      </w:divBdr>
    </w:div>
    <w:div w:id="1097796572">
      <w:bodyDiv w:val="1"/>
      <w:marLeft w:val="0"/>
      <w:marRight w:val="0"/>
      <w:marTop w:val="0"/>
      <w:marBottom w:val="0"/>
      <w:divBdr>
        <w:top w:val="none" w:sz="0" w:space="0" w:color="auto"/>
        <w:left w:val="none" w:sz="0" w:space="0" w:color="auto"/>
        <w:bottom w:val="none" w:sz="0" w:space="0" w:color="auto"/>
        <w:right w:val="none" w:sz="0" w:space="0" w:color="auto"/>
      </w:divBdr>
    </w:div>
    <w:div w:id="1112281904">
      <w:bodyDiv w:val="1"/>
      <w:marLeft w:val="0"/>
      <w:marRight w:val="0"/>
      <w:marTop w:val="0"/>
      <w:marBottom w:val="0"/>
      <w:divBdr>
        <w:top w:val="none" w:sz="0" w:space="0" w:color="auto"/>
        <w:left w:val="none" w:sz="0" w:space="0" w:color="auto"/>
        <w:bottom w:val="none" w:sz="0" w:space="0" w:color="auto"/>
        <w:right w:val="none" w:sz="0" w:space="0" w:color="auto"/>
      </w:divBdr>
    </w:div>
    <w:div w:id="1113591365">
      <w:bodyDiv w:val="1"/>
      <w:marLeft w:val="0"/>
      <w:marRight w:val="0"/>
      <w:marTop w:val="0"/>
      <w:marBottom w:val="0"/>
      <w:divBdr>
        <w:top w:val="none" w:sz="0" w:space="0" w:color="auto"/>
        <w:left w:val="none" w:sz="0" w:space="0" w:color="auto"/>
        <w:bottom w:val="none" w:sz="0" w:space="0" w:color="auto"/>
        <w:right w:val="none" w:sz="0" w:space="0" w:color="auto"/>
      </w:divBdr>
    </w:div>
    <w:div w:id="1119761886">
      <w:bodyDiv w:val="1"/>
      <w:marLeft w:val="0"/>
      <w:marRight w:val="0"/>
      <w:marTop w:val="0"/>
      <w:marBottom w:val="0"/>
      <w:divBdr>
        <w:top w:val="none" w:sz="0" w:space="0" w:color="auto"/>
        <w:left w:val="none" w:sz="0" w:space="0" w:color="auto"/>
        <w:bottom w:val="none" w:sz="0" w:space="0" w:color="auto"/>
        <w:right w:val="none" w:sz="0" w:space="0" w:color="auto"/>
      </w:divBdr>
    </w:div>
    <w:div w:id="1121923559">
      <w:bodyDiv w:val="1"/>
      <w:marLeft w:val="0"/>
      <w:marRight w:val="0"/>
      <w:marTop w:val="0"/>
      <w:marBottom w:val="0"/>
      <w:divBdr>
        <w:top w:val="none" w:sz="0" w:space="0" w:color="auto"/>
        <w:left w:val="none" w:sz="0" w:space="0" w:color="auto"/>
        <w:bottom w:val="none" w:sz="0" w:space="0" w:color="auto"/>
        <w:right w:val="none" w:sz="0" w:space="0" w:color="auto"/>
      </w:divBdr>
    </w:div>
    <w:div w:id="1129082217">
      <w:bodyDiv w:val="1"/>
      <w:marLeft w:val="0"/>
      <w:marRight w:val="0"/>
      <w:marTop w:val="0"/>
      <w:marBottom w:val="0"/>
      <w:divBdr>
        <w:top w:val="none" w:sz="0" w:space="0" w:color="auto"/>
        <w:left w:val="none" w:sz="0" w:space="0" w:color="auto"/>
        <w:bottom w:val="none" w:sz="0" w:space="0" w:color="auto"/>
        <w:right w:val="none" w:sz="0" w:space="0" w:color="auto"/>
      </w:divBdr>
      <w:divsChild>
        <w:div w:id="74714278">
          <w:marLeft w:val="360"/>
          <w:marRight w:val="0"/>
          <w:marTop w:val="0"/>
          <w:marBottom w:val="0"/>
          <w:divBdr>
            <w:top w:val="none" w:sz="0" w:space="0" w:color="auto"/>
            <w:left w:val="none" w:sz="0" w:space="0" w:color="auto"/>
            <w:bottom w:val="none" w:sz="0" w:space="0" w:color="auto"/>
            <w:right w:val="none" w:sz="0" w:space="0" w:color="auto"/>
          </w:divBdr>
        </w:div>
        <w:div w:id="549920905">
          <w:marLeft w:val="360"/>
          <w:marRight w:val="0"/>
          <w:marTop w:val="0"/>
          <w:marBottom w:val="0"/>
          <w:divBdr>
            <w:top w:val="none" w:sz="0" w:space="0" w:color="auto"/>
            <w:left w:val="none" w:sz="0" w:space="0" w:color="auto"/>
            <w:bottom w:val="none" w:sz="0" w:space="0" w:color="auto"/>
            <w:right w:val="none" w:sz="0" w:space="0" w:color="auto"/>
          </w:divBdr>
        </w:div>
      </w:divsChild>
    </w:div>
    <w:div w:id="1135021771">
      <w:bodyDiv w:val="1"/>
      <w:marLeft w:val="0"/>
      <w:marRight w:val="0"/>
      <w:marTop w:val="0"/>
      <w:marBottom w:val="0"/>
      <w:divBdr>
        <w:top w:val="none" w:sz="0" w:space="0" w:color="auto"/>
        <w:left w:val="none" w:sz="0" w:space="0" w:color="auto"/>
        <w:bottom w:val="none" w:sz="0" w:space="0" w:color="auto"/>
        <w:right w:val="none" w:sz="0" w:space="0" w:color="auto"/>
      </w:divBdr>
    </w:div>
    <w:div w:id="1135483943">
      <w:bodyDiv w:val="1"/>
      <w:marLeft w:val="0"/>
      <w:marRight w:val="0"/>
      <w:marTop w:val="0"/>
      <w:marBottom w:val="0"/>
      <w:divBdr>
        <w:top w:val="none" w:sz="0" w:space="0" w:color="auto"/>
        <w:left w:val="none" w:sz="0" w:space="0" w:color="auto"/>
        <w:bottom w:val="none" w:sz="0" w:space="0" w:color="auto"/>
        <w:right w:val="none" w:sz="0" w:space="0" w:color="auto"/>
      </w:divBdr>
    </w:div>
    <w:div w:id="1150173378">
      <w:bodyDiv w:val="1"/>
      <w:marLeft w:val="0"/>
      <w:marRight w:val="0"/>
      <w:marTop w:val="0"/>
      <w:marBottom w:val="0"/>
      <w:divBdr>
        <w:top w:val="none" w:sz="0" w:space="0" w:color="auto"/>
        <w:left w:val="none" w:sz="0" w:space="0" w:color="auto"/>
        <w:bottom w:val="none" w:sz="0" w:space="0" w:color="auto"/>
        <w:right w:val="none" w:sz="0" w:space="0" w:color="auto"/>
      </w:divBdr>
    </w:div>
    <w:div w:id="1151630837">
      <w:bodyDiv w:val="1"/>
      <w:marLeft w:val="0"/>
      <w:marRight w:val="0"/>
      <w:marTop w:val="0"/>
      <w:marBottom w:val="0"/>
      <w:divBdr>
        <w:top w:val="none" w:sz="0" w:space="0" w:color="auto"/>
        <w:left w:val="none" w:sz="0" w:space="0" w:color="auto"/>
        <w:bottom w:val="none" w:sz="0" w:space="0" w:color="auto"/>
        <w:right w:val="none" w:sz="0" w:space="0" w:color="auto"/>
      </w:divBdr>
    </w:div>
    <w:div w:id="1154905863">
      <w:bodyDiv w:val="1"/>
      <w:marLeft w:val="0"/>
      <w:marRight w:val="0"/>
      <w:marTop w:val="0"/>
      <w:marBottom w:val="0"/>
      <w:divBdr>
        <w:top w:val="none" w:sz="0" w:space="0" w:color="auto"/>
        <w:left w:val="none" w:sz="0" w:space="0" w:color="auto"/>
        <w:bottom w:val="none" w:sz="0" w:space="0" w:color="auto"/>
        <w:right w:val="none" w:sz="0" w:space="0" w:color="auto"/>
      </w:divBdr>
    </w:div>
    <w:div w:id="1163425699">
      <w:bodyDiv w:val="1"/>
      <w:marLeft w:val="0"/>
      <w:marRight w:val="0"/>
      <w:marTop w:val="0"/>
      <w:marBottom w:val="0"/>
      <w:divBdr>
        <w:top w:val="none" w:sz="0" w:space="0" w:color="auto"/>
        <w:left w:val="none" w:sz="0" w:space="0" w:color="auto"/>
        <w:bottom w:val="none" w:sz="0" w:space="0" w:color="auto"/>
        <w:right w:val="none" w:sz="0" w:space="0" w:color="auto"/>
      </w:divBdr>
    </w:div>
    <w:div w:id="1164659177">
      <w:bodyDiv w:val="1"/>
      <w:marLeft w:val="0"/>
      <w:marRight w:val="0"/>
      <w:marTop w:val="0"/>
      <w:marBottom w:val="0"/>
      <w:divBdr>
        <w:top w:val="none" w:sz="0" w:space="0" w:color="auto"/>
        <w:left w:val="none" w:sz="0" w:space="0" w:color="auto"/>
        <w:bottom w:val="none" w:sz="0" w:space="0" w:color="auto"/>
        <w:right w:val="none" w:sz="0" w:space="0" w:color="auto"/>
      </w:divBdr>
    </w:div>
    <w:div w:id="1164859389">
      <w:bodyDiv w:val="1"/>
      <w:marLeft w:val="0"/>
      <w:marRight w:val="0"/>
      <w:marTop w:val="0"/>
      <w:marBottom w:val="0"/>
      <w:divBdr>
        <w:top w:val="none" w:sz="0" w:space="0" w:color="auto"/>
        <w:left w:val="none" w:sz="0" w:space="0" w:color="auto"/>
        <w:bottom w:val="none" w:sz="0" w:space="0" w:color="auto"/>
        <w:right w:val="none" w:sz="0" w:space="0" w:color="auto"/>
      </w:divBdr>
    </w:div>
    <w:div w:id="1168207760">
      <w:bodyDiv w:val="1"/>
      <w:marLeft w:val="0"/>
      <w:marRight w:val="0"/>
      <w:marTop w:val="0"/>
      <w:marBottom w:val="0"/>
      <w:divBdr>
        <w:top w:val="none" w:sz="0" w:space="0" w:color="auto"/>
        <w:left w:val="none" w:sz="0" w:space="0" w:color="auto"/>
        <w:bottom w:val="none" w:sz="0" w:space="0" w:color="auto"/>
        <w:right w:val="none" w:sz="0" w:space="0" w:color="auto"/>
      </w:divBdr>
    </w:div>
    <w:div w:id="1171486223">
      <w:bodyDiv w:val="1"/>
      <w:marLeft w:val="0"/>
      <w:marRight w:val="0"/>
      <w:marTop w:val="0"/>
      <w:marBottom w:val="0"/>
      <w:divBdr>
        <w:top w:val="none" w:sz="0" w:space="0" w:color="auto"/>
        <w:left w:val="none" w:sz="0" w:space="0" w:color="auto"/>
        <w:bottom w:val="none" w:sz="0" w:space="0" w:color="auto"/>
        <w:right w:val="none" w:sz="0" w:space="0" w:color="auto"/>
      </w:divBdr>
    </w:div>
    <w:div w:id="1189568645">
      <w:bodyDiv w:val="1"/>
      <w:marLeft w:val="0"/>
      <w:marRight w:val="0"/>
      <w:marTop w:val="0"/>
      <w:marBottom w:val="0"/>
      <w:divBdr>
        <w:top w:val="none" w:sz="0" w:space="0" w:color="auto"/>
        <w:left w:val="none" w:sz="0" w:space="0" w:color="auto"/>
        <w:bottom w:val="none" w:sz="0" w:space="0" w:color="auto"/>
        <w:right w:val="none" w:sz="0" w:space="0" w:color="auto"/>
      </w:divBdr>
    </w:div>
    <w:div w:id="1194878051">
      <w:bodyDiv w:val="1"/>
      <w:marLeft w:val="0"/>
      <w:marRight w:val="0"/>
      <w:marTop w:val="0"/>
      <w:marBottom w:val="0"/>
      <w:divBdr>
        <w:top w:val="none" w:sz="0" w:space="0" w:color="auto"/>
        <w:left w:val="none" w:sz="0" w:space="0" w:color="auto"/>
        <w:bottom w:val="none" w:sz="0" w:space="0" w:color="auto"/>
        <w:right w:val="none" w:sz="0" w:space="0" w:color="auto"/>
      </w:divBdr>
    </w:div>
    <w:div w:id="1198085614">
      <w:bodyDiv w:val="1"/>
      <w:marLeft w:val="0"/>
      <w:marRight w:val="0"/>
      <w:marTop w:val="0"/>
      <w:marBottom w:val="0"/>
      <w:divBdr>
        <w:top w:val="none" w:sz="0" w:space="0" w:color="auto"/>
        <w:left w:val="none" w:sz="0" w:space="0" w:color="auto"/>
        <w:bottom w:val="none" w:sz="0" w:space="0" w:color="auto"/>
        <w:right w:val="none" w:sz="0" w:space="0" w:color="auto"/>
      </w:divBdr>
    </w:div>
    <w:div w:id="1207527596">
      <w:bodyDiv w:val="1"/>
      <w:marLeft w:val="0"/>
      <w:marRight w:val="0"/>
      <w:marTop w:val="0"/>
      <w:marBottom w:val="0"/>
      <w:divBdr>
        <w:top w:val="none" w:sz="0" w:space="0" w:color="auto"/>
        <w:left w:val="none" w:sz="0" w:space="0" w:color="auto"/>
        <w:bottom w:val="none" w:sz="0" w:space="0" w:color="auto"/>
        <w:right w:val="none" w:sz="0" w:space="0" w:color="auto"/>
      </w:divBdr>
    </w:div>
    <w:div w:id="1237858816">
      <w:bodyDiv w:val="1"/>
      <w:marLeft w:val="0"/>
      <w:marRight w:val="0"/>
      <w:marTop w:val="0"/>
      <w:marBottom w:val="0"/>
      <w:divBdr>
        <w:top w:val="none" w:sz="0" w:space="0" w:color="auto"/>
        <w:left w:val="none" w:sz="0" w:space="0" w:color="auto"/>
        <w:bottom w:val="none" w:sz="0" w:space="0" w:color="auto"/>
        <w:right w:val="none" w:sz="0" w:space="0" w:color="auto"/>
      </w:divBdr>
    </w:div>
    <w:div w:id="1266230346">
      <w:bodyDiv w:val="1"/>
      <w:marLeft w:val="0"/>
      <w:marRight w:val="0"/>
      <w:marTop w:val="0"/>
      <w:marBottom w:val="0"/>
      <w:divBdr>
        <w:top w:val="none" w:sz="0" w:space="0" w:color="auto"/>
        <w:left w:val="none" w:sz="0" w:space="0" w:color="auto"/>
        <w:bottom w:val="none" w:sz="0" w:space="0" w:color="auto"/>
        <w:right w:val="none" w:sz="0" w:space="0" w:color="auto"/>
      </w:divBdr>
    </w:div>
    <w:div w:id="1298029749">
      <w:bodyDiv w:val="1"/>
      <w:marLeft w:val="0"/>
      <w:marRight w:val="0"/>
      <w:marTop w:val="0"/>
      <w:marBottom w:val="0"/>
      <w:divBdr>
        <w:top w:val="none" w:sz="0" w:space="0" w:color="auto"/>
        <w:left w:val="none" w:sz="0" w:space="0" w:color="auto"/>
        <w:bottom w:val="none" w:sz="0" w:space="0" w:color="auto"/>
        <w:right w:val="none" w:sz="0" w:space="0" w:color="auto"/>
      </w:divBdr>
    </w:div>
    <w:div w:id="1299797614">
      <w:bodyDiv w:val="1"/>
      <w:marLeft w:val="0"/>
      <w:marRight w:val="0"/>
      <w:marTop w:val="0"/>
      <w:marBottom w:val="0"/>
      <w:divBdr>
        <w:top w:val="none" w:sz="0" w:space="0" w:color="auto"/>
        <w:left w:val="none" w:sz="0" w:space="0" w:color="auto"/>
        <w:bottom w:val="none" w:sz="0" w:space="0" w:color="auto"/>
        <w:right w:val="none" w:sz="0" w:space="0" w:color="auto"/>
      </w:divBdr>
      <w:divsChild>
        <w:div w:id="903688175">
          <w:marLeft w:val="1166"/>
          <w:marRight w:val="0"/>
          <w:marTop w:val="96"/>
          <w:marBottom w:val="0"/>
          <w:divBdr>
            <w:top w:val="none" w:sz="0" w:space="0" w:color="auto"/>
            <w:left w:val="none" w:sz="0" w:space="0" w:color="auto"/>
            <w:bottom w:val="none" w:sz="0" w:space="0" w:color="auto"/>
            <w:right w:val="none" w:sz="0" w:space="0" w:color="auto"/>
          </w:divBdr>
        </w:div>
        <w:div w:id="1328560924">
          <w:marLeft w:val="1166"/>
          <w:marRight w:val="0"/>
          <w:marTop w:val="96"/>
          <w:marBottom w:val="0"/>
          <w:divBdr>
            <w:top w:val="none" w:sz="0" w:space="0" w:color="auto"/>
            <w:left w:val="none" w:sz="0" w:space="0" w:color="auto"/>
            <w:bottom w:val="none" w:sz="0" w:space="0" w:color="auto"/>
            <w:right w:val="none" w:sz="0" w:space="0" w:color="auto"/>
          </w:divBdr>
        </w:div>
        <w:div w:id="1666930756">
          <w:marLeft w:val="1166"/>
          <w:marRight w:val="0"/>
          <w:marTop w:val="96"/>
          <w:marBottom w:val="0"/>
          <w:divBdr>
            <w:top w:val="none" w:sz="0" w:space="0" w:color="auto"/>
            <w:left w:val="none" w:sz="0" w:space="0" w:color="auto"/>
            <w:bottom w:val="none" w:sz="0" w:space="0" w:color="auto"/>
            <w:right w:val="none" w:sz="0" w:space="0" w:color="auto"/>
          </w:divBdr>
        </w:div>
      </w:divsChild>
    </w:div>
    <w:div w:id="1311406206">
      <w:bodyDiv w:val="1"/>
      <w:marLeft w:val="0"/>
      <w:marRight w:val="0"/>
      <w:marTop w:val="0"/>
      <w:marBottom w:val="0"/>
      <w:divBdr>
        <w:top w:val="none" w:sz="0" w:space="0" w:color="auto"/>
        <w:left w:val="none" w:sz="0" w:space="0" w:color="auto"/>
        <w:bottom w:val="none" w:sz="0" w:space="0" w:color="auto"/>
        <w:right w:val="none" w:sz="0" w:space="0" w:color="auto"/>
      </w:divBdr>
      <w:divsChild>
        <w:div w:id="380590874">
          <w:marLeft w:val="720"/>
          <w:marRight w:val="0"/>
          <w:marTop w:val="240"/>
          <w:marBottom w:val="0"/>
          <w:divBdr>
            <w:top w:val="none" w:sz="0" w:space="0" w:color="auto"/>
            <w:left w:val="none" w:sz="0" w:space="0" w:color="auto"/>
            <w:bottom w:val="none" w:sz="0" w:space="0" w:color="auto"/>
            <w:right w:val="none" w:sz="0" w:space="0" w:color="auto"/>
          </w:divBdr>
        </w:div>
        <w:div w:id="2115051501">
          <w:marLeft w:val="720"/>
          <w:marRight w:val="0"/>
          <w:marTop w:val="240"/>
          <w:marBottom w:val="0"/>
          <w:divBdr>
            <w:top w:val="none" w:sz="0" w:space="0" w:color="auto"/>
            <w:left w:val="none" w:sz="0" w:space="0" w:color="auto"/>
            <w:bottom w:val="none" w:sz="0" w:space="0" w:color="auto"/>
            <w:right w:val="none" w:sz="0" w:space="0" w:color="auto"/>
          </w:divBdr>
        </w:div>
      </w:divsChild>
    </w:div>
    <w:div w:id="1320187474">
      <w:bodyDiv w:val="1"/>
      <w:marLeft w:val="0"/>
      <w:marRight w:val="0"/>
      <w:marTop w:val="0"/>
      <w:marBottom w:val="0"/>
      <w:divBdr>
        <w:top w:val="none" w:sz="0" w:space="0" w:color="auto"/>
        <w:left w:val="none" w:sz="0" w:space="0" w:color="auto"/>
        <w:bottom w:val="none" w:sz="0" w:space="0" w:color="auto"/>
        <w:right w:val="none" w:sz="0" w:space="0" w:color="auto"/>
      </w:divBdr>
    </w:div>
    <w:div w:id="1320377533">
      <w:bodyDiv w:val="1"/>
      <w:marLeft w:val="0"/>
      <w:marRight w:val="0"/>
      <w:marTop w:val="0"/>
      <w:marBottom w:val="0"/>
      <w:divBdr>
        <w:top w:val="none" w:sz="0" w:space="0" w:color="auto"/>
        <w:left w:val="none" w:sz="0" w:space="0" w:color="auto"/>
        <w:bottom w:val="none" w:sz="0" w:space="0" w:color="auto"/>
        <w:right w:val="none" w:sz="0" w:space="0" w:color="auto"/>
      </w:divBdr>
    </w:div>
    <w:div w:id="1324166586">
      <w:bodyDiv w:val="1"/>
      <w:marLeft w:val="0"/>
      <w:marRight w:val="0"/>
      <w:marTop w:val="0"/>
      <w:marBottom w:val="0"/>
      <w:divBdr>
        <w:top w:val="none" w:sz="0" w:space="0" w:color="auto"/>
        <w:left w:val="none" w:sz="0" w:space="0" w:color="auto"/>
        <w:bottom w:val="none" w:sz="0" w:space="0" w:color="auto"/>
        <w:right w:val="none" w:sz="0" w:space="0" w:color="auto"/>
      </w:divBdr>
    </w:div>
    <w:div w:id="1324898147">
      <w:bodyDiv w:val="1"/>
      <w:marLeft w:val="0"/>
      <w:marRight w:val="0"/>
      <w:marTop w:val="0"/>
      <w:marBottom w:val="0"/>
      <w:divBdr>
        <w:top w:val="none" w:sz="0" w:space="0" w:color="auto"/>
        <w:left w:val="none" w:sz="0" w:space="0" w:color="auto"/>
        <w:bottom w:val="none" w:sz="0" w:space="0" w:color="auto"/>
        <w:right w:val="none" w:sz="0" w:space="0" w:color="auto"/>
      </w:divBdr>
    </w:div>
    <w:div w:id="1329868628">
      <w:bodyDiv w:val="1"/>
      <w:marLeft w:val="0"/>
      <w:marRight w:val="0"/>
      <w:marTop w:val="0"/>
      <w:marBottom w:val="0"/>
      <w:divBdr>
        <w:top w:val="none" w:sz="0" w:space="0" w:color="auto"/>
        <w:left w:val="none" w:sz="0" w:space="0" w:color="auto"/>
        <w:bottom w:val="none" w:sz="0" w:space="0" w:color="auto"/>
        <w:right w:val="none" w:sz="0" w:space="0" w:color="auto"/>
      </w:divBdr>
      <w:divsChild>
        <w:div w:id="1933661248">
          <w:marLeft w:val="547"/>
          <w:marRight w:val="0"/>
          <w:marTop w:val="0"/>
          <w:marBottom w:val="0"/>
          <w:divBdr>
            <w:top w:val="none" w:sz="0" w:space="0" w:color="auto"/>
            <w:left w:val="none" w:sz="0" w:space="0" w:color="auto"/>
            <w:bottom w:val="none" w:sz="0" w:space="0" w:color="auto"/>
            <w:right w:val="none" w:sz="0" w:space="0" w:color="auto"/>
          </w:divBdr>
        </w:div>
      </w:divsChild>
    </w:div>
    <w:div w:id="1338921750">
      <w:bodyDiv w:val="1"/>
      <w:marLeft w:val="0"/>
      <w:marRight w:val="0"/>
      <w:marTop w:val="0"/>
      <w:marBottom w:val="0"/>
      <w:divBdr>
        <w:top w:val="none" w:sz="0" w:space="0" w:color="auto"/>
        <w:left w:val="none" w:sz="0" w:space="0" w:color="auto"/>
        <w:bottom w:val="none" w:sz="0" w:space="0" w:color="auto"/>
        <w:right w:val="none" w:sz="0" w:space="0" w:color="auto"/>
      </w:divBdr>
    </w:div>
    <w:div w:id="1341353607">
      <w:bodyDiv w:val="1"/>
      <w:marLeft w:val="0"/>
      <w:marRight w:val="0"/>
      <w:marTop w:val="0"/>
      <w:marBottom w:val="0"/>
      <w:divBdr>
        <w:top w:val="none" w:sz="0" w:space="0" w:color="auto"/>
        <w:left w:val="none" w:sz="0" w:space="0" w:color="auto"/>
        <w:bottom w:val="none" w:sz="0" w:space="0" w:color="auto"/>
        <w:right w:val="none" w:sz="0" w:space="0" w:color="auto"/>
      </w:divBdr>
    </w:div>
    <w:div w:id="1360156407">
      <w:bodyDiv w:val="1"/>
      <w:marLeft w:val="0"/>
      <w:marRight w:val="0"/>
      <w:marTop w:val="0"/>
      <w:marBottom w:val="0"/>
      <w:divBdr>
        <w:top w:val="none" w:sz="0" w:space="0" w:color="auto"/>
        <w:left w:val="none" w:sz="0" w:space="0" w:color="auto"/>
        <w:bottom w:val="none" w:sz="0" w:space="0" w:color="auto"/>
        <w:right w:val="none" w:sz="0" w:space="0" w:color="auto"/>
      </w:divBdr>
    </w:div>
    <w:div w:id="1372194707">
      <w:bodyDiv w:val="1"/>
      <w:marLeft w:val="0"/>
      <w:marRight w:val="0"/>
      <w:marTop w:val="0"/>
      <w:marBottom w:val="0"/>
      <w:divBdr>
        <w:top w:val="none" w:sz="0" w:space="0" w:color="auto"/>
        <w:left w:val="none" w:sz="0" w:space="0" w:color="auto"/>
        <w:bottom w:val="none" w:sz="0" w:space="0" w:color="auto"/>
        <w:right w:val="none" w:sz="0" w:space="0" w:color="auto"/>
      </w:divBdr>
    </w:div>
    <w:div w:id="1387991442">
      <w:bodyDiv w:val="1"/>
      <w:marLeft w:val="0"/>
      <w:marRight w:val="0"/>
      <w:marTop w:val="0"/>
      <w:marBottom w:val="0"/>
      <w:divBdr>
        <w:top w:val="none" w:sz="0" w:space="0" w:color="auto"/>
        <w:left w:val="none" w:sz="0" w:space="0" w:color="auto"/>
        <w:bottom w:val="none" w:sz="0" w:space="0" w:color="auto"/>
        <w:right w:val="none" w:sz="0" w:space="0" w:color="auto"/>
      </w:divBdr>
      <w:divsChild>
        <w:div w:id="684865446">
          <w:marLeft w:val="1166"/>
          <w:marRight w:val="0"/>
          <w:marTop w:val="96"/>
          <w:marBottom w:val="0"/>
          <w:divBdr>
            <w:top w:val="none" w:sz="0" w:space="0" w:color="auto"/>
            <w:left w:val="none" w:sz="0" w:space="0" w:color="auto"/>
            <w:bottom w:val="none" w:sz="0" w:space="0" w:color="auto"/>
            <w:right w:val="none" w:sz="0" w:space="0" w:color="auto"/>
          </w:divBdr>
        </w:div>
        <w:div w:id="1274944836">
          <w:marLeft w:val="1166"/>
          <w:marRight w:val="0"/>
          <w:marTop w:val="96"/>
          <w:marBottom w:val="0"/>
          <w:divBdr>
            <w:top w:val="none" w:sz="0" w:space="0" w:color="auto"/>
            <w:left w:val="none" w:sz="0" w:space="0" w:color="auto"/>
            <w:bottom w:val="none" w:sz="0" w:space="0" w:color="auto"/>
            <w:right w:val="none" w:sz="0" w:space="0" w:color="auto"/>
          </w:divBdr>
        </w:div>
        <w:div w:id="1776553820">
          <w:marLeft w:val="1166"/>
          <w:marRight w:val="0"/>
          <w:marTop w:val="96"/>
          <w:marBottom w:val="0"/>
          <w:divBdr>
            <w:top w:val="none" w:sz="0" w:space="0" w:color="auto"/>
            <w:left w:val="none" w:sz="0" w:space="0" w:color="auto"/>
            <w:bottom w:val="none" w:sz="0" w:space="0" w:color="auto"/>
            <w:right w:val="none" w:sz="0" w:space="0" w:color="auto"/>
          </w:divBdr>
        </w:div>
      </w:divsChild>
    </w:div>
    <w:div w:id="1392997055">
      <w:bodyDiv w:val="1"/>
      <w:marLeft w:val="0"/>
      <w:marRight w:val="0"/>
      <w:marTop w:val="0"/>
      <w:marBottom w:val="0"/>
      <w:divBdr>
        <w:top w:val="none" w:sz="0" w:space="0" w:color="auto"/>
        <w:left w:val="none" w:sz="0" w:space="0" w:color="auto"/>
        <w:bottom w:val="none" w:sz="0" w:space="0" w:color="auto"/>
        <w:right w:val="none" w:sz="0" w:space="0" w:color="auto"/>
      </w:divBdr>
    </w:div>
    <w:div w:id="1405908294">
      <w:bodyDiv w:val="1"/>
      <w:marLeft w:val="0"/>
      <w:marRight w:val="0"/>
      <w:marTop w:val="0"/>
      <w:marBottom w:val="0"/>
      <w:divBdr>
        <w:top w:val="none" w:sz="0" w:space="0" w:color="auto"/>
        <w:left w:val="none" w:sz="0" w:space="0" w:color="auto"/>
        <w:bottom w:val="none" w:sz="0" w:space="0" w:color="auto"/>
        <w:right w:val="none" w:sz="0" w:space="0" w:color="auto"/>
      </w:divBdr>
    </w:div>
    <w:div w:id="1419794599">
      <w:bodyDiv w:val="1"/>
      <w:marLeft w:val="0"/>
      <w:marRight w:val="0"/>
      <w:marTop w:val="0"/>
      <w:marBottom w:val="0"/>
      <w:divBdr>
        <w:top w:val="none" w:sz="0" w:space="0" w:color="auto"/>
        <w:left w:val="none" w:sz="0" w:space="0" w:color="auto"/>
        <w:bottom w:val="none" w:sz="0" w:space="0" w:color="auto"/>
        <w:right w:val="none" w:sz="0" w:space="0" w:color="auto"/>
      </w:divBdr>
    </w:div>
    <w:div w:id="1448312299">
      <w:bodyDiv w:val="1"/>
      <w:marLeft w:val="0"/>
      <w:marRight w:val="0"/>
      <w:marTop w:val="0"/>
      <w:marBottom w:val="0"/>
      <w:divBdr>
        <w:top w:val="none" w:sz="0" w:space="0" w:color="auto"/>
        <w:left w:val="none" w:sz="0" w:space="0" w:color="auto"/>
        <w:bottom w:val="none" w:sz="0" w:space="0" w:color="auto"/>
        <w:right w:val="none" w:sz="0" w:space="0" w:color="auto"/>
      </w:divBdr>
    </w:div>
    <w:div w:id="1466434543">
      <w:bodyDiv w:val="1"/>
      <w:marLeft w:val="0"/>
      <w:marRight w:val="0"/>
      <w:marTop w:val="0"/>
      <w:marBottom w:val="0"/>
      <w:divBdr>
        <w:top w:val="none" w:sz="0" w:space="0" w:color="auto"/>
        <w:left w:val="none" w:sz="0" w:space="0" w:color="auto"/>
        <w:bottom w:val="none" w:sz="0" w:space="0" w:color="auto"/>
        <w:right w:val="none" w:sz="0" w:space="0" w:color="auto"/>
      </w:divBdr>
    </w:div>
    <w:div w:id="1468233222">
      <w:bodyDiv w:val="1"/>
      <w:marLeft w:val="0"/>
      <w:marRight w:val="0"/>
      <w:marTop w:val="0"/>
      <w:marBottom w:val="0"/>
      <w:divBdr>
        <w:top w:val="none" w:sz="0" w:space="0" w:color="auto"/>
        <w:left w:val="none" w:sz="0" w:space="0" w:color="auto"/>
        <w:bottom w:val="none" w:sz="0" w:space="0" w:color="auto"/>
        <w:right w:val="none" w:sz="0" w:space="0" w:color="auto"/>
      </w:divBdr>
    </w:div>
    <w:div w:id="1476027924">
      <w:bodyDiv w:val="1"/>
      <w:marLeft w:val="0"/>
      <w:marRight w:val="0"/>
      <w:marTop w:val="0"/>
      <w:marBottom w:val="0"/>
      <w:divBdr>
        <w:top w:val="none" w:sz="0" w:space="0" w:color="auto"/>
        <w:left w:val="none" w:sz="0" w:space="0" w:color="auto"/>
        <w:bottom w:val="none" w:sz="0" w:space="0" w:color="auto"/>
        <w:right w:val="none" w:sz="0" w:space="0" w:color="auto"/>
      </w:divBdr>
      <w:divsChild>
        <w:div w:id="1529178962">
          <w:marLeft w:val="547"/>
          <w:marRight w:val="0"/>
          <w:marTop w:val="0"/>
          <w:marBottom w:val="0"/>
          <w:divBdr>
            <w:top w:val="none" w:sz="0" w:space="0" w:color="auto"/>
            <w:left w:val="none" w:sz="0" w:space="0" w:color="auto"/>
            <w:bottom w:val="none" w:sz="0" w:space="0" w:color="auto"/>
            <w:right w:val="none" w:sz="0" w:space="0" w:color="auto"/>
          </w:divBdr>
        </w:div>
      </w:divsChild>
    </w:div>
    <w:div w:id="1479375746">
      <w:bodyDiv w:val="1"/>
      <w:marLeft w:val="0"/>
      <w:marRight w:val="0"/>
      <w:marTop w:val="0"/>
      <w:marBottom w:val="0"/>
      <w:divBdr>
        <w:top w:val="none" w:sz="0" w:space="0" w:color="auto"/>
        <w:left w:val="none" w:sz="0" w:space="0" w:color="auto"/>
        <w:bottom w:val="none" w:sz="0" w:space="0" w:color="auto"/>
        <w:right w:val="none" w:sz="0" w:space="0" w:color="auto"/>
      </w:divBdr>
    </w:div>
    <w:div w:id="1485853500">
      <w:bodyDiv w:val="1"/>
      <w:marLeft w:val="0"/>
      <w:marRight w:val="0"/>
      <w:marTop w:val="0"/>
      <w:marBottom w:val="0"/>
      <w:divBdr>
        <w:top w:val="none" w:sz="0" w:space="0" w:color="auto"/>
        <w:left w:val="none" w:sz="0" w:space="0" w:color="auto"/>
        <w:bottom w:val="none" w:sz="0" w:space="0" w:color="auto"/>
        <w:right w:val="none" w:sz="0" w:space="0" w:color="auto"/>
      </w:divBdr>
    </w:div>
    <w:div w:id="1491290210">
      <w:bodyDiv w:val="1"/>
      <w:marLeft w:val="0"/>
      <w:marRight w:val="0"/>
      <w:marTop w:val="0"/>
      <w:marBottom w:val="0"/>
      <w:divBdr>
        <w:top w:val="none" w:sz="0" w:space="0" w:color="auto"/>
        <w:left w:val="none" w:sz="0" w:space="0" w:color="auto"/>
        <w:bottom w:val="none" w:sz="0" w:space="0" w:color="auto"/>
        <w:right w:val="none" w:sz="0" w:space="0" w:color="auto"/>
      </w:divBdr>
    </w:div>
    <w:div w:id="1498374570">
      <w:bodyDiv w:val="1"/>
      <w:marLeft w:val="0"/>
      <w:marRight w:val="0"/>
      <w:marTop w:val="0"/>
      <w:marBottom w:val="0"/>
      <w:divBdr>
        <w:top w:val="none" w:sz="0" w:space="0" w:color="auto"/>
        <w:left w:val="none" w:sz="0" w:space="0" w:color="auto"/>
        <w:bottom w:val="none" w:sz="0" w:space="0" w:color="auto"/>
        <w:right w:val="none" w:sz="0" w:space="0" w:color="auto"/>
      </w:divBdr>
    </w:div>
    <w:div w:id="1515683102">
      <w:bodyDiv w:val="1"/>
      <w:marLeft w:val="0"/>
      <w:marRight w:val="0"/>
      <w:marTop w:val="0"/>
      <w:marBottom w:val="0"/>
      <w:divBdr>
        <w:top w:val="none" w:sz="0" w:space="0" w:color="auto"/>
        <w:left w:val="none" w:sz="0" w:space="0" w:color="auto"/>
        <w:bottom w:val="none" w:sz="0" w:space="0" w:color="auto"/>
        <w:right w:val="none" w:sz="0" w:space="0" w:color="auto"/>
      </w:divBdr>
    </w:div>
    <w:div w:id="1517228696">
      <w:bodyDiv w:val="1"/>
      <w:marLeft w:val="0"/>
      <w:marRight w:val="0"/>
      <w:marTop w:val="0"/>
      <w:marBottom w:val="0"/>
      <w:divBdr>
        <w:top w:val="none" w:sz="0" w:space="0" w:color="auto"/>
        <w:left w:val="none" w:sz="0" w:space="0" w:color="auto"/>
        <w:bottom w:val="none" w:sz="0" w:space="0" w:color="auto"/>
        <w:right w:val="none" w:sz="0" w:space="0" w:color="auto"/>
      </w:divBdr>
    </w:div>
    <w:div w:id="1540505488">
      <w:bodyDiv w:val="1"/>
      <w:marLeft w:val="0"/>
      <w:marRight w:val="0"/>
      <w:marTop w:val="0"/>
      <w:marBottom w:val="0"/>
      <w:divBdr>
        <w:top w:val="none" w:sz="0" w:space="0" w:color="auto"/>
        <w:left w:val="none" w:sz="0" w:space="0" w:color="auto"/>
        <w:bottom w:val="none" w:sz="0" w:space="0" w:color="auto"/>
        <w:right w:val="none" w:sz="0" w:space="0" w:color="auto"/>
      </w:divBdr>
    </w:div>
    <w:div w:id="1558854156">
      <w:bodyDiv w:val="1"/>
      <w:marLeft w:val="0"/>
      <w:marRight w:val="0"/>
      <w:marTop w:val="0"/>
      <w:marBottom w:val="0"/>
      <w:divBdr>
        <w:top w:val="none" w:sz="0" w:space="0" w:color="auto"/>
        <w:left w:val="none" w:sz="0" w:space="0" w:color="auto"/>
        <w:bottom w:val="none" w:sz="0" w:space="0" w:color="auto"/>
        <w:right w:val="none" w:sz="0" w:space="0" w:color="auto"/>
      </w:divBdr>
    </w:div>
    <w:div w:id="1569488467">
      <w:bodyDiv w:val="1"/>
      <w:marLeft w:val="0"/>
      <w:marRight w:val="0"/>
      <w:marTop w:val="0"/>
      <w:marBottom w:val="0"/>
      <w:divBdr>
        <w:top w:val="none" w:sz="0" w:space="0" w:color="auto"/>
        <w:left w:val="none" w:sz="0" w:space="0" w:color="auto"/>
        <w:bottom w:val="none" w:sz="0" w:space="0" w:color="auto"/>
        <w:right w:val="none" w:sz="0" w:space="0" w:color="auto"/>
      </w:divBdr>
    </w:div>
    <w:div w:id="1576549015">
      <w:bodyDiv w:val="1"/>
      <w:marLeft w:val="0"/>
      <w:marRight w:val="0"/>
      <w:marTop w:val="0"/>
      <w:marBottom w:val="0"/>
      <w:divBdr>
        <w:top w:val="none" w:sz="0" w:space="0" w:color="auto"/>
        <w:left w:val="none" w:sz="0" w:space="0" w:color="auto"/>
        <w:bottom w:val="none" w:sz="0" w:space="0" w:color="auto"/>
        <w:right w:val="none" w:sz="0" w:space="0" w:color="auto"/>
      </w:divBdr>
      <w:divsChild>
        <w:div w:id="104546538">
          <w:marLeft w:val="360"/>
          <w:marRight w:val="0"/>
          <w:marTop w:val="0"/>
          <w:marBottom w:val="0"/>
          <w:divBdr>
            <w:top w:val="none" w:sz="0" w:space="0" w:color="auto"/>
            <w:left w:val="none" w:sz="0" w:space="0" w:color="auto"/>
            <w:bottom w:val="none" w:sz="0" w:space="0" w:color="auto"/>
            <w:right w:val="none" w:sz="0" w:space="0" w:color="auto"/>
          </w:divBdr>
        </w:div>
        <w:div w:id="878199982">
          <w:marLeft w:val="360"/>
          <w:marRight w:val="0"/>
          <w:marTop w:val="0"/>
          <w:marBottom w:val="0"/>
          <w:divBdr>
            <w:top w:val="none" w:sz="0" w:space="0" w:color="auto"/>
            <w:left w:val="none" w:sz="0" w:space="0" w:color="auto"/>
            <w:bottom w:val="none" w:sz="0" w:space="0" w:color="auto"/>
            <w:right w:val="none" w:sz="0" w:space="0" w:color="auto"/>
          </w:divBdr>
        </w:div>
      </w:divsChild>
    </w:div>
    <w:div w:id="1583828180">
      <w:bodyDiv w:val="1"/>
      <w:marLeft w:val="0"/>
      <w:marRight w:val="0"/>
      <w:marTop w:val="0"/>
      <w:marBottom w:val="0"/>
      <w:divBdr>
        <w:top w:val="none" w:sz="0" w:space="0" w:color="auto"/>
        <w:left w:val="none" w:sz="0" w:space="0" w:color="auto"/>
        <w:bottom w:val="none" w:sz="0" w:space="0" w:color="auto"/>
        <w:right w:val="none" w:sz="0" w:space="0" w:color="auto"/>
      </w:divBdr>
    </w:div>
    <w:div w:id="1587617469">
      <w:bodyDiv w:val="1"/>
      <w:marLeft w:val="0"/>
      <w:marRight w:val="0"/>
      <w:marTop w:val="0"/>
      <w:marBottom w:val="0"/>
      <w:divBdr>
        <w:top w:val="none" w:sz="0" w:space="0" w:color="auto"/>
        <w:left w:val="none" w:sz="0" w:space="0" w:color="auto"/>
        <w:bottom w:val="none" w:sz="0" w:space="0" w:color="auto"/>
        <w:right w:val="none" w:sz="0" w:space="0" w:color="auto"/>
      </w:divBdr>
    </w:div>
    <w:div w:id="1588802661">
      <w:bodyDiv w:val="1"/>
      <w:marLeft w:val="0"/>
      <w:marRight w:val="0"/>
      <w:marTop w:val="0"/>
      <w:marBottom w:val="0"/>
      <w:divBdr>
        <w:top w:val="none" w:sz="0" w:space="0" w:color="auto"/>
        <w:left w:val="none" w:sz="0" w:space="0" w:color="auto"/>
        <w:bottom w:val="none" w:sz="0" w:space="0" w:color="auto"/>
        <w:right w:val="none" w:sz="0" w:space="0" w:color="auto"/>
      </w:divBdr>
    </w:div>
    <w:div w:id="1592859599">
      <w:bodyDiv w:val="1"/>
      <w:marLeft w:val="0"/>
      <w:marRight w:val="0"/>
      <w:marTop w:val="0"/>
      <w:marBottom w:val="0"/>
      <w:divBdr>
        <w:top w:val="none" w:sz="0" w:space="0" w:color="auto"/>
        <w:left w:val="none" w:sz="0" w:space="0" w:color="auto"/>
        <w:bottom w:val="none" w:sz="0" w:space="0" w:color="auto"/>
        <w:right w:val="none" w:sz="0" w:space="0" w:color="auto"/>
      </w:divBdr>
    </w:div>
    <w:div w:id="1598559588">
      <w:bodyDiv w:val="1"/>
      <w:marLeft w:val="0"/>
      <w:marRight w:val="0"/>
      <w:marTop w:val="0"/>
      <w:marBottom w:val="0"/>
      <w:divBdr>
        <w:top w:val="none" w:sz="0" w:space="0" w:color="auto"/>
        <w:left w:val="none" w:sz="0" w:space="0" w:color="auto"/>
        <w:bottom w:val="none" w:sz="0" w:space="0" w:color="auto"/>
        <w:right w:val="none" w:sz="0" w:space="0" w:color="auto"/>
      </w:divBdr>
    </w:div>
    <w:div w:id="1601646060">
      <w:bodyDiv w:val="1"/>
      <w:marLeft w:val="0"/>
      <w:marRight w:val="0"/>
      <w:marTop w:val="0"/>
      <w:marBottom w:val="0"/>
      <w:divBdr>
        <w:top w:val="none" w:sz="0" w:space="0" w:color="auto"/>
        <w:left w:val="none" w:sz="0" w:space="0" w:color="auto"/>
        <w:bottom w:val="none" w:sz="0" w:space="0" w:color="auto"/>
        <w:right w:val="none" w:sz="0" w:space="0" w:color="auto"/>
      </w:divBdr>
      <w:divsChild>
        <w:div w:id="76833064">
          <w:marLeft w:val="360"/>
          <w:marRight w:val="0"/>
          <w:marTop w:val="0"/>
          <w:marBottom w:val="0"/>
          <w:divBdr>
            <w:top w:val="none" w:sz="0" w:space="0" w:color="auto"/>
            <w:left w:val="none" w:sz="0" w:space="0" w:color="auto"/>
            <w:bottom w:val="none" w:sz="0" w:space="0" w:color="auto"/>
            <w:right w:val="none" w:sz="0" w:space="0" w:color="auto"/>
          </w:divBdr>
        </w:div>
        <w:div w:id="594749723">
          <w:marLeft w:val="360"/>
          <w:marRight w:val="0"/>
          <w:marTop w:val="0"/>
          <w:marBottom w:val="0"/>
          <w:divBdr>
            <w:top w:val="none" w:sz="0" w:space="0" w:color="auto"/>
            <w:left w:val="none" w:sz="0" w:space="0" w:color="auto"/>
            <w:bottom w:val="none" w:sz="0" w:space="0" w:color="auto"/>
            <w:right w:val="none" w:sz="0" w:space="0" w:color="auto"/>
          </w:divBdr>
        </w:div>
        <w:div w:id="1626236318">
          <w:marLeft w:val="360"/>
          <w:marRight w:val="0"/>
          <w:marTop w:val="0"/>
          <w:marBottom w:val="0"/>
          <w:divBdr>
            <w:top w:val="none" w:sz="0" w:space="0" w:color="auto"/>
            <w:left w:val="none" w:sz="0" w:space="0" w:color="auto"/>
            <w:bottom w:val="none" w:sz="0" w:space="0" w:color="auto"/>
            <w:right w:val="none" w:sz="0" w:space="0" w:color="auto"/>
          </w:divBdr>
        </w:div>
        <w:div w:id="2012561069">
          <w:marLeft w:val="360"/>
          <w:marRight w:val="0"/>
          <w:marTop w:val="0"/>
          <w:marBottom w:val="0"/>
          <w:divBdr>
            <w:top w:val="none" w:sz="0" w:space="0" w:color="auto"/>
            <w:left w:val="none" w:sz="0" w:space="0" w:color="auto"/>
            <w:bottom w:val="none" w:sz="0" w:space="0" w:color="auto"/>
            <w:right w:val="none" w:sz="0" w:space="0" w:color="auto"/>
          </w:divBdr>
        </w:div>
      </w:divsChild>
    </w:div>
    <w:div w:id="1613900613">
      <w:bodyDiv w:val="1"/>
      <w:marLeft w:val="0"/>
      <w:marRight w:val="0"/>
      <w:marTop w:val="0"/>
      <w:marBottom w:val="0"/>
      <w:divBdr>
        <w:top w:val="none" w:sz="0" w:space="0" w:color="auto"/>
        <w:left w:val="none" w:sz="0" w:space="0" w:color="auto"/>
        <w:bottom w:val="none" w:sz="0" w:space="0" w:color="auto"/>
        <w:right w:val="none" w:sz="0" w:space="0" w:color="auto"/>
      </w:divBdr>
    </w:div>
    <w:div w:id="1623808144">
      <w:bodyDiv w:val="1"/>
      <w:marLeft w:val="0"/>
      <w:marRight w:val="0"/>
      <w:marTop w:val="0"/>
      <w:marBottom w:val="0"/>
      <w:divBdr>
        <w:top w:val="none" w:sz="0" w:space="0" w:color="auto"/>
        <w:left w:val="none" w:sz="0" w:space="0" w:color="auto"/>
        <w:bottom w:val="none" w:sz="0" w:space="0" w:color="auto"/>
        <w:right w:val="none" w:sz="0" w:space="0" w:color="auto"/>
      </w:divBdr>
    </w:div>
    <w:div w:id="1626694712">
      <w:bodyDiv w:val="1"/>
      <w:marLeft w:val="0"/>
      <w:marRight w:val="0"/>
      <w:marTop w:val="0"/>
      <w:marBottom w:val="0"/>
      <w:divBdr>
        <w:top w:val="none" w:sz="0" w:space="0" w:color="auto"/>
        <w:left w:val="none" w:sz="0" w:space="0" w:color="auto"/>
        <w:bottom w:val="none" w:sz="0" w:space="0" w:color="auto"/>
        <w:right w:val="none" w:sz="0" w:space="0" w:color="auto"/>
      </w:divBdr>
    </w:div>
    <w:div w:id="1650555294">
      <w:bodyDiv w:val="1"/>
      <w:marLeft w:val="0"/>
      <w:marRight w:val="0"/>
      <w:marTop w:val="0"/>
      <w:marBottom w:val="0"/>
      <w:divBdr>
        <w:top w:val="none" w:sz="0" w:space="0" w:color="auto"/>
        <w:left w:val="none" w:sz="0" w:space="0" w:color="auto"/>
        <w:bottom w:val="none" w:sz="0" w:space="0" w:color="auto"/>
        <w:right w:val="none" w:sz="0" w:space="0" w:color="auto"/>
      </w:divBdr>
    </w:div>
    <w:div w:id="1665082022">
      <w:bodyDiv w:val="1"/>
      <w:marLeft w:val="0"/>
      <w:marRight w:val="0"/>
      <w:marTop w:val="0"/>
      <w:marBottom w:val="0"/>
      <w:divBdr>
        <w:top w:val="none" w:sz="0" w:space="0" w:color="auto"/>
        <w:left w:val="none" w:sz="0" w:space="0" w:color="auto"/>
        <w:bottom w:val="none" w:sz="0" w:space="0" w:color="auto"/>
        <w:right w:val="none" w:sz="0" w:space="0" w:color="auto"/>
      </w:divBdr>
    </w:div>
    <w:div w:id="1672298766">
      <w:bodyDiv w:val="1"/>
      <w:marLeft w:val="0"/>
      <w:marRight w:val="0"/>
      <w:marTop w:val="0"/>
      <w:marBottom w:val="0"/>
      <w:divBdr>
        <w:top w:val="none" w:sz="0" w:space="0" w:color="auto"/>
        <w:left w:val="none" w:sz="0" w:space="0" w:color="auto"/>
        <w:bottom w:val="none" w:sz="0" w:space="0" w:color="auto"/>
        <w:right w:val="none" w:sz="0" w:space="0" w:color="auto"/>
      </w:divBdr>
    </w:div>
    <w:div w:id="1684431109">
      <w:bodyDiv w:val="1"/>
      <w:marLeft w:val="0"/>
      <w:marRight w:val="0"/>
      <w:marTop w:val="0"/>
      <w:marBottom w:val="0"/>
      <w:divBdr>
        <w:top w:val="none" w:sz="0" w:space="0" w:color="auto"/>
        <w:left w:val="none" w:sz="0" w:space="0" w:color="auto"/>
        <w:bottom w:val="none" w:sz="0" w:space="0" w:color="auto"/>
        <w:right w:val="none" w:sz="0" w:space="0" w:color="auto"/>
      </w:divBdr>
      <w:divsChild>
        <w:div w:id="242837357">
          <w:marLeft w:val="360"/>
          <w:marRight w:val="0"/>
          <w:marTop w:val="0"/>
          <w:marBottom w:val="0"/>
          <w:divBdr>
            <w:top w:val="none" w:sz="0" w:space="0" w:color="auto"/>
            <w:left w:val="none" w:sz="0" w:space="0" w:color="auto"/>
            <w:bottom w:val="none" w:sz="0" w:space="0" w:color="auto"/>
            <w:right w:val="none" w:sz="0" w:space="0" w:color="auto"/>
          </w:divBdr>
        </w:div>
        <w:div w:id="693464002">
          <w:marLeft w:val="360"/>
          <w:marRight w:val="0"/>
          <w:marTop w:val="0"/>
          <w:marBottom w:val="0"/>
          <w:divBdr>
            <w:top w:val="none" w:sz="0" w:space="0" w:color="auto"/>
            <w:left w:val="none" w:sz="0" w:space="0" w:color="auto"/>
            <w:bottom w:val="none" w:sz="0" w:space="0" w:color="auto"/>
            <w:right w:val="none" w:sz="0" w:space="0" w:color="auto"/>
          </w:divBdr>
        </w:div>
      </w:divsChild>
    </w:div>
    <w:div w:id="1685814503">
      <w:bodyDiv w:val="1"/>
      <w:marLeft w:val="0"/>
      <w:marRight w:val="0"/>
      <w:marTop w:val="0"/>
      <w:marBottom w:val="0"/>
      <w:divBdr>
        <w:top w:val="none" w:sz="0" w:space="0" w:color="auto"/>
        <w:left w:val="none" w:sz="0" w:space="0" w:color="auto"/>
        <w:bottom w:val="none" w:sz="0" w:space="0" w:color="auto"/>
        <w:right w:val="none" w:sz="0" w:space="0" w:color="auto"/>
      </w:divBdr>
    </w:div>
    <w:div w:id="1691107848">
      <w:bodyDiv w:val="1"/>
      <w:marLeft w:val="0"/>
      <w:marRight w:val="0"/>
      <w:marTop w:val="0"/>
      <w:marBottom w:val="0"/>
      <w:divBdr>
        <w:top w:val="none" w:sz="0" w:space="0" w:color="auto"/>
        <w:left w:val="none" w:sz="0" w:space="0" w:color="auto"/>
        <w:bottom w:val="none" w:sz="0" w:space="0" w:color="auto"/>
        <w:right w:val="none" w:sz="0" w:space="0" w:color="auto"/>
      </w:divBdr>
    </w:div>
    <w:div w:id="1700856783">
      <w:bodyDiv w:val="1"/>
      <w:marLeft w:val="0"/>
      <w:marRight w:val="0"/>
      <w:marTop w:val="0"/>
      <w:marBottom w:val="0"/>
      <w:divBdr>
        <w:top w:val="none" w:sz="0" w:space="0" w:color="auto"/>
        <w:left w:val="none" w:sz="0" w:space="0" w:color="auto"/>
        <w:bottom w:val="none" w:sz="0" w:space="0" w:color="auto"/>
        <w:right w:val="none" w:sz="0" w:space="0" w:color="auto"/>
      </w:divBdr>
    </w:div>
    <w:div w:id="1704817647">
      <w:bodyDiv w:val="1"/>
      <w:marLeft w:val="0"/>
      <w:marRight w:val="0"/>
      <w:marTop w:val="0"/>
      <w:marBottom w:val="0"/>
      <w:divBdr>
        <w:top w:val="none" w:sz="0" w:space="0" w:color="auto"/>
        <w:left w:val="none" w:sz="0" w:space="0" w:color="auto"/>
        <w:bottom w:val="none" w:sz="0" w:space="0" w:color="auto"/>
        <w:right w:val="none" w:sz="0" w:space="0" w:color="auto"/>
      </w:divBdr>
    </w:div>
    <w:div w:id="1705054844">
      <w:bodyDiv w:val="1"/>
      <w:marLeft w:val="0"/>
      <w:marRight w:val="0"/>
      <w:marTop w:val="0"/>
      <w:marBottom w:val="0"/>
      <w:divBdr>
        <w:top w:val="none" w:sz="0" w:space="0" w:color="auto"/>
        <w:left w:val="none" w:sz="0" w:space="0" w:color="auto"/>
        <w:bottom w:val="none" w:sz="0" w:space="0" w:color="auto"/>
        <w:right w:val="none" w:sz="0" w:space="0" w:color="auto"/>
      </w:divBdr>
    </w:div>
    <w:div w:id="1715888353">
      <w:bodyDiv w:val="1"/>
      <w:marLeft w:val="0"/>
      <w:marRight w:val="0"/>
      <w:marTop w:val="0"/>
      <w:marBottom w:val="0"/>
      <w:divBdr>
        <w:top w:val="none" w:sz="0" w:space="0" w:color="auto"/>
        <w:left w:val="none" w:sz="0" w:space="0" w:color="auto"/>
        <w:bottom w:val="none" w:sz="0" w:space="0" w:color="auto"/>
        <w:right w:val="none" w:sz="0" w:space="0" w:color="auto"/>
      </w:divBdr>
    </w:div>
    <w:div w:id="1717001704">
      <w:bodyDiv w:val="1"/>
      <w:marLeft w:val="0"/>
      <w:marRight w:val="0"/>
      <w:marTop w:val="0"/>
      <w:marBottom w:val="0"/>
      <w:divBdr>
        <w:top w:val="none" w:sz="0" w:space="0" w:color="auto"/>
        <w:left w:val="none" w:sz="0" w:space="0" w:color="auto"/>
        <w:bottom w:val="none" w:sz="0" w:space="0" w:color="auto"/>
        <w:right w:val="none" w:sz="0" w:space="0" w:color="auto"/>
      </w:divBdr>
    </w:div>
    <w:div w:id="1719351572">
      <w:bodyDiv w:val="1"/>
      <w:marLeft w:val="0"/>
      <w:marRight w:val="0"/>
      <w:marTop w:val="0"/>
      <w:marBottom w:val="0"/>
      <w:divBdr>
        <w:top w:val="none" w:sz="0" w:space="0" w:color="auto"/>
        <w:left w:val="none" w:sz="0" w:space="0" w:color="auto"/>
        <w:bottom w:val="none" w:sz="0" w:space="0" w:color="auto"/>
        <w:right w:val="none" w:sz="0" w:space="0" w:color="auto"/>
      </w:divBdr>
    </w:div>
    <w:div w:id="1732004128">
      <w:bodyDiv w:val="1"/>
      <w:marLeft w:val="0"/>
      <w:marRight w:val="0"/>
      <w:marTop w:val="0"/>
      <w:marBottom w:val="0"/>
      <w:divBdr>
        <w:top w:val="none" w:sz="0" w:space="0" w:color="auto"/>
        <w:left w:val="none" w:sz="0" w:space="0" w:color="auto"/>
        <w:bottom w:val="none" w:sz="0" w:space="0" w:color="auto"/>
        <w:right w:val="none" w:sz="0" w:space="0" w:color="auto"/>
      </w:divBdr>
    </w:div>
    <w:div w:id="1733196040">
      <w:bodyDiv w:val="1"/>
      <w:marLeft w:val="0"/>
      <w:marRight w:val="0"/>
      <w:marTop w:val="0"/>
      <w:marBottom w:val="0"/>
      <w:divBdr>
        <w:top w:val="none" w:sz="0" w:space="0" w:color="auto"/>
        <w:left w:val="none" w:sz="0" w:space="0" w:color="auto"/>
        <w:bottom w:val="none" w:sz="0" w:space="0" w:color="auto"/>
        <w:right w:val="none" w:sz="0" w:space="0" w:color="auto"/>
      </w:divBdr>
    </w:div>
    <w:div w:id="1739402098">
      <w:bodyDiv w:val="1"/>
      <w:marLeft w:val="0"/>
      <w:marRight w:val="0"/>
      <w:marTop w:val="0"/>
      <w:marBottom w:val="0"/>
      <w:divBdr>
        <w:top w:val="none" w:sz="0" w:space="0" w:color="auto"/>
        <w:left w:val="none" w:sz="0" w:space="0" w:color="auto"/>
        <w:bottom w:val="none" w:sz="0" w:space="0" w:color="auto"/>
        <w:right w:val="none" w:sz="0" w:space="0" w:color="auto"/>
      </w:divBdr>
    </w:div>
    <w:div w:id="1753314267">
      <w:bodyDiv w:val="1"/>
      <w:marLeft w:val="0"/>
      <w:marRight w:val="0"/>
      <w:marTop w:val="0"/>
      <w:marBottom w:val="0"/>
      <w:divBdr>
        <w:top w:val="none" w:sz="0" w:space="0" w:color="auto"/>
        <w:left w:val="none" w:sz="0" w:space="0" w:color="auto"/>
        <w:bottom w:val="none" w:sz="0" w:space="0" w:color="auto"/>
        <w:right w:val="none" w:sz="0" w:space="0" w:color="auto"/>
      </w:divBdr>
    </w:div>
    <w:div w:id="1767531476">
      <w:bodyDiv w:val="1"/>
      <w:marLeft w:val="0"/>
      <w:marRight w:val="0"/>
      <w:marTop w:val="0"/>
      <w:marBottom w:val="0"/>
      <w:divBdr>
        <w:top w:val="none" w:sz="0" w:space="0" w:color="auto"/>
        <w:left w:val="none" w:sz="0" w:space="0" w:color="auto"/>
        <w:bottom w:val="none" w:sz="0" w:space="0" w:color="auto"/>
        <w:right w:val="none" w:sz="0" w:space="0" w:color="auto"/>
      </w:divBdr>
    </w:div>
    <w:div w:id="1781490038">
      <w:bodyDiv w:val="1"/>
      <w:marLeft w:val="0"/>
      <w:marRight w:val="0"/>
      <w:marTop w:val="0"/>
      <w:marBottom w:val="0"/>
      <w:divBdr>
        <w:top w:val="none" w:sz="0" w:space="0" w:color="auto"/>
        <w:left w:val="none" w:sz="0" w:space="0" w:color="auto"/>
        <w:bottom w:val="none" w:sz="0" w:space="0" w:color="auto"/>
        <w:right w:val="none" w:sz="0" w:space="0" w:color="auto"/>
      </w:divBdr>
    </w:div>
    <w:div w:id="1795099244">
      <w:bodyDiv w:val="1"/>
      <w:marLeft w:val="0"/>
      <w:marRight w:val="0"/>
      <w:marTop w:val="0"/>
      <w:marBottom w:val="0"/>
      <w:divBdr>
        <w:top w:val="none" w:sz="0" w:space="0" w:color="auto"/>
        <w:left w:val="none" w:sz="0" w:space="0" w:color="auto"/>
        <w:bottom w:val="none" w:sz="0" w:space="0" w:color="auto"/>
        <w:right w:val="none" w:sz="0" w:space="0" w:color="auto"/>
      </w:divBdr>
    </w:div>
    <w:div w:id="1811434110">
      <w:bodyDiv w:val="1"/>
      <w:marLeft w:val="0"/>
      <w:marRight w:val="0"/>
      <w:marTop w:val="0"/>
      <w:marBottom w:val="0"/>
      <w:divBdr>
        <w:top w:val="none" w:sz="0" w:space="0" w:color="auto"/>
        <w:left w:val="none" w:sz="0" w:space="0" w:color="auto"/>
        <w:bottom w:val="none" w:sz="0" w:space="0" w:color="auto"/>
        <w:right w:val="none" w:sz="0" w:space="0" w:color="auto"/>
      </w:divBdr>
      <w:divsChild>
        <w:div w:id="595791998">
          <w:marLeft w:val="720"/>
          <w:marRight w:val="0"/>
          <w:marTop w:val="240"/>
          <w:marBottom w:val="0"/>
          <w:divBdr>
            <w:top w:val="none" w:sz="0" w:space="0" w:color="auto"/>
            <w:left w:val="none" w:sz="0" w:space="0" w:color="auto"/>
            <w:bottom w:val="none" w:sz="0" w:space="0" w:color="auto"/>
            <w:right w:val="none" w:sz="0" w:space="0" w:color="auto"/>
          </w:divBdr>
        </w:div>
        <w:div w:id="687220151">
          <w:marLeft w:val="1440"/>
          <w:marRight w:val="0"/>
          <w:marTop w:val="240"/>
          <w:marBottom w:val="0"/>
          <w:divBdr>
            <w:top w:val="none" w:sz="0" w:space="0" w:color="auto"/>
            <w:left w:val="none" w:sz="0" w:space="0" w:color="auto"/>
            <w:bottom w:val="none" w:sz="0" w:space="0" w:color="auto"/>
            <w:right w:val="none" w:sz="0" w:space="0" w:color="auto"/>
          </w:divBdr>
        </w:div>
        <w:div w:id="822503136">
          <w:marLeft w:val="1440"/>
          <w:marRight w:val="0"/>
          <w:marTop w:val="240"/>
          <w:marBottom w:val="0"/>
          <w:divBdr>
            <w:top w:val="none" w:sz="0" w:space="0" w:color="auto"/>
            <w:left w:val="none" w:sz="0" w:space="0" w:color="auto"/>
            <w:bottom w:val="none" w:sz="0" w:space="0" w:color="auto"/>
            <w:right w:val="none" w:sz="0" w:space="0" w:color="auto"/>
          </w:divBdr>
        </w:div>
        <w:div w:id="920483466">
          <w:marLeft w:val="1440"/>
          <w:marRight w:val="0"/>
          <w:marTop w:val="240"/>
          <w:marBottom w:val="0"/>
          <w:divBdr>
            <w:top w:val="none" w:sz="0" w:space="0" w:color="auto"/>
            <w:left w:val="none" w:sz="0" w:space="0" w:color="auto"/>
            <w:bottom w:val="none" w:sz="0" w:space="0" w:color="auto"/>
            <w:right w:val="none" w:sz="0" w:space="0" w:color="auto"/>
          </w:divBdr>
        </w:div>
        <w:div w:id="1127352821">
          <w:marLeft w:val="1440"/>
          <w:marRight w:val="0"/>
          <w:marTop w:val="240"/>
          <w:marBottom w:val="0"/>
          <w:divBdr>
            <w:top w:val="none" w:sz="0" w:space="0" w:color="auto"/>
            <w:left w:val="none" w:sz="0" w:space="0" w:color="auto"/>
            <w:bottom w:val="none" w:sz="0" w:space="0" w:color="auto"/>
            <w:right w:val="none" w:sz="0" w:space="0" w:color="auto"/>
          </w:divBdr>
        </w:div>
        <w:div w:id="1251817448">
          <w:marLeft w:val="720"/>
          <w:marRight w:val="0"/>
          <w:marTop w:val="240"/>
          <w:marBottom w:val="0"/>
          <w:divBdr>
            <w:top w:val="none" w:sz="0" w:space="0" w:color="auto"/>
            <w:left w:val="none" w:sz="0" w:space="0" w:color="auto"/>
            <w:bottom w:val="none" w:sz="0" w:space="0" w:color="auto"/>
            <w:right w:val="none" w:sz="0" w:space="0" w:color="auto"/>
          </w:divBdr>
        </w:div>
        <w:div w:id="1753773047">
          <w:marLeft w:val="720"/>
          <w:marRight w:val="0"/>
          <w:marTop w:val="240"/>
          <w:marBottom w:val="0"/>
          <w:divBdr>
            <w:top w:val="none" w:sz="0" w:space="0" w:color="auto"/>
            <w:left w:val="none" w:sz="0" w:space="0" w:color="auto"/>
            <w:bottom w:val="none" w:sz="0" w:space="0" w:color="auto"/>
            <w:right w:val="none" w:sz="0" w:space="0" w:color="auto"/>
          </w:divBdr>
        </w:div>
        <w:div w:id="2018339770">
          <w:marLeft w:val="720"/>
          <w:marRight w:val="0"/>
          <w:marTop w:val="240"/>
          <w:marBottom w:val="0"/>
          <w:divBdr>
            <w:top w:val="none" w:sz="0" w:space="0" w:color="auto"/>
            <w:left w:val="none" w:sz="0" w:space="0" w:color="auto"/>
            <w:bottom w:val="none" w:sz="0" w:space="0" w:color="auto"/>
            <w:right w:val="none" w:sz="0" w:space="0" w:color="auto"/>
          </w:divBdr>
        </w:div>
      </w:divsChild>
    </w:div>
    <w:div w:id="1833638503">
      <w:bodyDiv w:val="1"/>
      <w:marLeft w:val="0"/>
      <w:marRight w:val="0"/>
      <w:marTop w:val="0"/>
      <w:marBottom w:val="0"/>
      <w:divBdr>
        <w:top w:val="none" w:sz="0" w:space="0" w:color="auto"/>
        <w:left w:val="none" w:sz="0" w:space="0" w:color="auto"/>
        <w:bottom w:val="none" w:sz="0" w:space="0" w:color="auto"/>
        <w:right w:val="none" w:sz="0" w:space="0" w:color="auto"/>
      </w:divBdr>
    </w:div>
    <w:div w:id="1844054735">
      <w:bodyDiv w:val="1"/>
      <w:marLeft w:val="0"/>
      <w:marRight w:val="0"/>
      <w:marTop w:val="0"/>
      <w:marBottom w:val="0"/>
      <w:divBdr>
        <w:top w:val="none" w:sz="0" w:space="0" w:color="auto"/>
        <w:left w:val="none" w:sz="0" w:space="0" w:color="auto"/>
        <w:bottom w:val="none" w:sz="0" w:space="0" w:color="auto"/>
        <w:right w:val="none" w:sz="0" w:space="0" w:color="auto"/>
      </w:divBdr>
    </w:div>
    <w:div w:id="1845513789">
      <w:bodyDiv w:val="1"/>
      <w:marLeft w:val="0"/>
      <w:marRight w:val="0"/>
      <w:marTop w:val="0"/>
      <w:marBottom w:val="0"/>
      <w:divBdr>
        <w:top w:val="none" w:sz="0" w:space="0" w:color="auto"/>
        <w:left w:val="none" w:sz="0" w:space="0" w:color="auto"/>
        <w:bottom w:val="none" w:sz="0" w:space="0" w:color="auto"/>
        <w:right w:val="none" w:sz="0" w:space="0" w:color="auto"/>
      </w:divBdr>
    </w:div>
    <w:div w:id="1851334505">
      <w:bodyDiv w:val="1"/>
      <w:marLeft w:val="0"/>
      <w:marRight w:val="0"/>
      <w:marTop w:val="0"/>
      <w:marBottom w:val="0"/>
      <w:divBdr>
        <w:top w:val="none" w:sz="0" w:space="0" w:color="auto"/>
        <w:left w:val="none" w:sz="0" w:space="0" w:color="auto"/>
        <w:bottom w:val="none" w:sz="0" w:space="0" w:color="auto"/>
        <w:right w:val="none" w:sz="0" w:space="0" w:color="auto"/>
      </w:divBdr>
      <w:divsChild>
        <w:div w:id="1060325394">
          <w:marLeft w:val="547"/>
          <w:marRight w:val="0"/>
          <w:marTop w:val="0"/>
          <w:marBottom w:val="0"/>
          <w:divBdr>
            <w:top w:val="none" w:sz="0" w:space="0" w:color="auto"/>
            <w:left w:val="none" w:sz="0" w:space="0" w:color="auto"/>
            <w:bottom w:val="none" w:sz="0" w:space="0" w:color="auto"/>
            <w:right w:val="none" w:sz="0" w:space="0" w:color="auto"/>
          </w:divBdr>
        </w:div>
      </w:divsChild>
    </w:div>
    <w:div w:id="1855487441">
      <w:bodyDiv w:val="1"/>
      <w:marLeft w:val="0"/>
      <w:marRight w:val="0"/>
      <w:marTop w:val="0"/>
      <w:marBottom w:val="0"/>
      <w:divBdr>
        <w:top w:val="none" w:sz="0" w:space="0" w:color="auto"/>
        <w:left w:val="none" w:sz="0" w:space="0" w:color="auto"/>
        <w:bottom w:val="none" w:sz="0" w:space="0" w:color="auto"/>
        <w:right w:val="none" w:sz="0" w:space="0" w:color="auto"/>
      </w:divBdr>
    </w:div>
    <w:div w:id="1856579633">
      <w:bodyDiv w:val="1"/>
      <w:marLeft w:val="0"/>
      <w:marRight w:val="0"/>
      <w:marTop w:val="0"/>
      <w:marBottom w:val="0"/>
      <w:divBdr>
        <w:top w:val="none" w:sz="0" w:space="0" w:color="auto"/>
        <w:left w:val="none" w:sz="0" w:space="0" w:color="auto"/>
        <w:bottom w:val="none" w:sz="0" w:space="0" w:color="auto"/>
        <w:right w:val="none" w:sz="0" w:space="0" w:color="auto"/>
      </w:divBdr>
    </w:div>
    <w:div w:id="1863006000">
      <w:bodyDiv w:val="1"/>
      <w:marLeft w:val="0"/>
      <w:marRight w:val="0"/>
      <w:marTop w:val="0"/>
      <w:marBottom w:val="0"/>
      <w:divBdr>
        <w:top w:val="none" w:sz="0" w:space="0" w:color="auto"/>
        <w:left w:val="none" w:sz="0" w:space="0" w:color="auto"/>
        <w:bottom w:val="none" w:sz="0" w:space="0" w:color="auto"/>
        <w:right w:val="none" w:sz="0" w:space="0" w:color="auto"/>
      </w:divBdr>
    </w:div>
    <w:div w:id="1889800960">
      <w:bodyDiv w:val="1"/>
      <w:marLeft w:val="0"/>
      <w:marRight w:val="0"/>
      <w:marTop w:val="0"/>
      <w:marBottom w:val="0"/>
      <w:divBdr>
        <w:top w:val="none" w:sz="0" w:space="0" w:color="auto"/>
        <w:left w:val="none" w:sz="0" w:space="0" w:color="auto"/>
        <w:bottom w:val="none" w:sz="0" w:space="0" w:color="auto"/>
        <w:right w:val="none" w:sz="0" w:space="0" w:color="auto"/>
      </w:divBdr>
      <w:divsChild>
        <w:div w:id="313804454">
          <w:marLeft w:val="360"/>
          <w:marRight w:val="0"/>
          <w:marTop w:val="0"/>
          <w:marBottom w:val="0"/>
          <w:divBdr>
            <w:top w:val="none" w:sz="0" w:space="0" w:color="auto"/>
            <w:left w:val="none" w:sz="0" w:space="0" w:color="auto"/>
            <w:bottom w:val="none" w:sz="0" w:space="0" w:color="auto"/>
            <w:right w:val="none" w:sz="0" w:space="0" w:color="auto"/>
          </w:divBdr>
        </w:div>
        <w:div w:id="1888028713">
          <w:marLeft w:val="360"/>
          <w:marRight w:val="0"/>
          <w:marTop w:val="0"/>
          <w:marBottom w:val="0"/>
          <w:divBdr>
            <w:top w:val="none" w:sz="0" w:space="0" w:color="auto"/>
            <w:left w:val="none" w:sz="0" w:space="0" w:color="auto"/>
            <w:bottom w:val="none" w:sz="0" w:space="0" w:color="auto"/>
            <w:right w:val="none" w:sz="0" w:space="0" w:color="auto"/>
          </w:divBdr>
        </w:div>
        <w:div w:id="2068409575">
          <w:marLeft w:val="360"/>
          <w:marRight w:val="0"/>
          <w:marTop w:val="0"/>
          <w:marBottom w:val="0"/>
          <w:divBdr>
            <w:top w:val="none" w:sz="0" w:space="0" w:color="auto"/>
            <w:left w:val="none" w:sz="0" w:space="0" w:color="auto"/>
            <w:bottom w:val="none" w:sz="0" w:space="0" w:color="auto"/>
            <w:right w:val="none" w:sz="0" w:space="0" w:color="auto"/>
          </w:divBdr>
        </w:div>
      </w:divsChild>
    </w:div>
    <w:div w:id="1900743927">
      <w:bodyDiv w:val="1"/>
      <w:marLeft w:val="0"/>
      <w:marRight w:val="0"/>
      <w:marTop w:val="0"/>
      <w:marBottom w:val="0"/>
      <w:divBdr>
        <w:top w:val="none" w:sz="0" w:space="0" w:color="auto"/>
        <w:left w:val="none" w:sz="0" w:space="0" w:color="auto"/>
        <w:bottom w:val="none" w:sz="0" w:space="0" w:color="auto"/>
        <w:right w:val="none" w:sz="0" w:space="0" w:color="auto"/>
      </w:divBdr>
    </w:div>
    <w:div w:id="1901819802">
      <w:bodyDiv w:val="1"/>
      <w:marLeft w:val="0"/>
      <w:marRight w:val="0"/>
      <w:marTop w:val="0"/>
      <w:marBottom w:val="0"/>
      <w:divBdr>
        <w:top w:val="none" w:sz="0" w:space="0" w:color="auto"/>
        <w:left w:val="none" w:sz="0" w:space="0" w:color="auto"/>
        <w:bottom w:val="none" w:sz="0" w:space="0" w:color="auto"/>
        <w:right w:val="none" w:sz="0" w:space="0" w:color="auto"/>
      </w:divBdr>
    </w:div>
    <w:div w:id="1909266753">
      <w:bodyDiv w:val="1"/>
      <w:marLeft w:val="0"/>
      <w:marRight w:val="0"/>
      <w:marTop w:val="0"/>
      <w:marBottom w:val="0"/>
      <w:divBdr>
        <w:top w:val="none" w:sz="0" w:space="0" w:color="auto"/>
        <w:left w:val="none" w:sz="0" w:space="0" w:color="auto"/>
        <w:bottom w:val="none" w:sz="0" w:space="0" w:color="auto"/>
        <w:right w:val="none" w:sz="0" w:space="0" w:color="auto"/>
      </w:divBdr>
    </w:div>
    <w:div w:id="1922369020">
      <w:bodyDiv w:val="1"/>
      <w:marLeft w:val="0"/>
      <w:marRight w:val="0"/>
      <w:marTop w:val="0"/>
      <w:marBottom w:val="0"/>
      <w:divBdr>
        <w:top w:val="none" w:sz="0" w:space="0" w:color="auto"/>
        <w:left w:val="none" w:sz="0" w:space="0" w:color="auto"/>
        <w:bottom w:val="none" w:sz="0" w:space="0" w:color="auto"/>
        <w:right w:val="none" w:sz="0" w:space="0" w:color="auto"/>
      </w:divBdr>
    </w:div>
    <w:div w:id="1923835519">
      <w:bodyDiv w:val="1"/>
      <w:marLeft w:val="0"/>
      <w:marRight w:val="0"/>
      <w:marTop w:val="0"/>
      <w:marBottom w:val="0"/>
      <w:divBdr>
        <w:top w:val="none" w:sz="0" w:space="0" w:color="auto"/>
        <w:left w:val="none" w:sz="0" w:space="0" w:color="auto"/>
        <w:bottom w:val="none" w:sz="0" w:space="0" w:color="auto"/>
        <w:right w:val="none" w:sz="0" w:space="0" w:color="auto"/>
      </w:divBdr>
    </w:div>
    <w:div w:id="1942449127">
      <w:bodyDiv w:val="1"/>
      <w:marLeft w:val="0"/>
      <w:marRight w:val="0"/>
      <w:marTop w:val="0"/>
      <w:marBottom w:val="0"/>
      <w:divBdr>
        <w:top w:val="none" w:sz="0" w:space="0" w:color="auto"/>
        <w:left w:val="none" w:sz="0" w:space="0" w:color="auto"/>
        <w:bottom w:val="none" w:sz="0" w:space="0" w:color="auto"/>
        <w:right w:val="none" w:sz="0" w:space="0" w:color="auto"/>
      </w:divBdr>
    </w:div>
    <w:div w:id="1963075727">
      <w:bodyDiv w:val="1"/>
      <w:marLeft w:val="0"/>
      <w:marRight w:val="0"/>
      <w:marTop w:val="0"/>
      <w:marBottom w:val="0"/>
      <w:divBdr>
        <w:top w:val="none" w:sz="0" w:space="0" w:color="auto"/>
        <w:left w:val="none" w:sz="0" w:space="0" w:color="auto"/>
        <w:bottom w:val="none" w:sz="0" w:space="0" w:color="auto"/>
        <w:right w:val="none" w:sz="0" w:space="0" w:color="auto"/>
      </w:divBdr>
    </w:div>
    <w:div w:id="1978488735">
      <w:bodyDiv w:val="1"/>
      <w:marLeft w:val="0"/>
      <w:marRight w:val="0"/>
      <w:marTop w:val="0"/>
      <w:marBottom w:val="0"/>
      <w:divBdr>
        <w:top w:val="none" w:sz="0" w:space="0" w:color="auto"/>
        <w:left w:val="none" w:sz="0" w:space="0" w:color="auto"/>
        <w:bottom w:val="none" w:sz="0" w:space="0" w:color="auto"/>
        <w:right w:val="none" w:sz="0" w:space="0" w:color="auto"/>
      </w:divBdr>
    </w:div>
    <w:div w:id="2009599621">
      <w:bodyDiv w:val="1"/>
      <w:marLeft w:val="0"/>
      <w:marRight w:val="0"/>
      <w:marTop w:val="0"/>
      <w:marBottom w:val="0"/>
      <w:divBdr>
        <w:top w:val="none" w:sz="0" w:space="0" w:color="auto"/>
        <w:left w:val="none" w:sz="0" w:space="0" w:color="auto"/>
        <w:bottom w:val="none" w:sz="0" w:space="0" w:color="auto"/>
        <w:right w:val="none" w:sz="0" w:space="0" w:color="auto"/>
      </w:divBdr>
    </w:div>
    <w:div w:id="2024474810">
      <w:bodyDiv w:val="1"/>
      <w:marLeft w:val="0"/>
      <w:marRight w:val="0"/>
      <w:marTop w:val="0"/>
      <w:marBottom w:val="0"/>
      <w:divBdr>
        <w:top w:val="none" w:sz="0" w:space="0" w:color="auto"/>
        <w:left w:val="none" w:sz="0" w:space="0" w:color="auto"/>
        <w:bottom w:val="none" w:sz="0" w:space="0" w:color="auto"/>
        <w:right w:val="none" w:sz="0" w:space="0" w:color="auto"/>
      </w:divBdr>
    </w:div>
    <w:div w:id="2044746066">
      <w:bodyDiv w:val="1"/>
      <w:marLeft w:val="0"/>
      <w:marRight w:val="0"/>
      <w:marTop w:val="0"/>
      <w:marBottom w:val="0"/>
      <w:divBdr>
        <w:top w:val="none" w:sz="0" w:space="0" w:color="auto"/>
        <w:left w:val="none" w:sz="0" w:space="0" w:color="auto"/>
        <w:bottom w:val="none" w:sz="0" w:space="0" w:color="auto"/>
        <w:right w:val="none" w:sz="0" w:space="0" w:color="auto"/>
      </w:divBdr>
      <w:divsChild>
        <w:div w:id="1160315857">
          <w:marLeft w:val="1440"/>
          <w:marRight w:val="0"/>
          <w:marTop w:val="240"/>
          <w:marBottom w:val="0"/>
          <w:divBdr>
            <w:top w:val="none" w:sz="0" w:space="0" w:color="auto"/>
            <w:left w:val="none" w:sz="0" w:space="0" w:color="auto"/>
            <w:bottom w:val="none" w:sz="0" w:space="0" w:color="auto"/>
            <w:right w:val="none" w:sz="0" w:space="0" w:color="auto"/>
          </w:divBdr>
        </w:div>
        <w:div w:id="1346784985">
          <w:marLeft w:val="1440"/>
          <w:marRight w:val="0"/>
          <w:marTop w:val="240"/>
          <w:marBottom w:val="0"/>
          <w:divBdr>
            <w:top w:val="none" w:sz="0" w:space="0" w:color="auto"/>
            <w:left w:val="none" w:sz="0" w:space="0" w:color="auto"/>
            <w:bottom w:val="none" w:sz="0" w:space="0" w:color="auto"/>
            <w:right w:val="none" w:sz="0" w:space="0" w:color="auto"/>
          </w:divBdr>
        </w:div>
        <w:div w:id="1396317899">
          <w:marLeft w:val="1440"/>
          <w:marRight w:val="0"/>
          <w:marTop w:val="240"/>
          <w:marBottom w:val="0"/>
          <w:divBdr>
            <w:top w:val="none" w:sz="0" w:space="0" w:color="auto"/>
            <w:left w:val="none" w:sz="0" w:space="0" w:color="auto"/>
            <w:bottom w:val="none" w:sz="0" w:space="0" w:color="auto"/>
            <w:right w:val="none" w:sz="0" w:space="0" w:color="auto"/>
          </w:divBdr>
        </w:div>
        <w:div w:id="1767381493">
          <w:marLeft w:val="1440"/>
          <w:marRight w:val="0"/>
          <w:marTop w:val="240"/>
          <w:marBottom w:val="0"/>
          <w:divBdr>
            <w:top w:val="none" w:sz="0" w:space="0" w:color="auto"/>
            <w:left w:val="none" w:sz="0" w:space="0" w:color="auto"/>
            <w:bottom w:val="none" w:sz="0" w:space="0" w:color="auto"/>
            <w:right w:val="none" w:sz="0" w:space="0" w:color="auto"/>
          </w:divBdr>
        </w:div>
        <w:div w:id="1860659442">
          <w:marLeft w:val="720"/>
          <w:marRight w:val="0"/>
          <w:marTop w:val="240"/>
          <w:marBottom w:val="0"/>
          <w:divBdr>
            <w:top w:val="none" w:sz="0" w:space="0" w:color="auto"/>
            <w:left w:val="none" w:sz="0" w:space="0" w:color="auto"/>
            <w:bottom w:val="none" w:sz="0" w:space="0" w:color="auto"/>
            <w:right w:val="none" w:sz="0" w:space="0" w:color="auto"/>
          </w:divBdr>
        </w:div>
        <w:div w:id="2087066397">
          <w:marLeft w:val="720"/>
          <w:marRight w:val="0"/>
          <w:marTop w:val="240"/>
          <w:marBottom w:val="0"/>
          <w:divBdr>
            <w:top w:val="none" w:sz="0" w:space="0" w:color="auto"/>
            <w:left w:val="none" w:sz="0" w:space="0" w:color="auto"/>
            <w:bottom w:val="none" w:sz="0" w:space="0" w:color="auto"/>
            <w:right w:val="none" w:sz="0" w:space="0" w:color="auto"/>
          </w:divBdr>
        </w:div>
        <w:div w:id="2115517504">
          <w:marLeft w:val="720"/>
          <w:marRight w:val="0"/>
          <w:marTop w:val="240"/>
          <w:marBottom w:val="0"/>
          <w:divBdr>
            <w:top w:val="none" w:sz="0" w:space="0" w:color="auto"/>
            <w:left w:val="none" w:sz="0" w:space="0" w:color="auto"/>
            <w:bottom w:val="none" w:sz="0" w:space="0" w:color="auto"/>
            <w:right w:val="none" w:sz="0" w:space="0" w:color="auto"/>
          </w:divBdr>
        </w:div>
        <w:div w:id="2136949895">
          <w:marLeft w:val="720"/>
          <w:marRight w:val="0"/>
          <w:marTop w:val="240"/>
          <w:marBottom w:val="0"/>
          <w:divBdr>
            <w:top w:val="none" w:sz="0" w:space="0" w:color="auto"/>
            <w:left w:val="none" w:sz="0" w:space="0" w:color="auto"/>
            <w:bottom w:val="none" w:sz="0" w:space="0" w:color="auto"/>
            <w:right w:val="none" w:sz="0" w:space="0" w:color="auto"/>
          </w:divBdr>
        </w:div>
      </w:divsChild>
    </w:div>
    <w:div w:id="2048404975">
      <w:bodyDiv w:val="1"/>
      <w:marLeft w:val="0"/>
      <w:marRight w:val="0"/>
      <w:marTop w:val="0"/>
      <w:marBottom w:val="0"/>
      <w:divBdr>
        <w:top w:val="none" w:sz="0" w:space="0" w:color="auto"/>
        <w:left w:val="none" w:sz="0" w:space="0" w:color="auto"/>
        <w:bottom w:val="none" w:sz="0" w:space="0" w:color="auto"/>
        <w:right w:val="none" w:sz="0" w:space="0" w:color="auto"/>
      </w:divBdr>
    </w:div>
    <w:div w:id="2061899763">
      <w:bodyDiv w:val="1"/>
      <w:marLeft w:val="0"/>
      <w:marRight w:val="0"/>
      <w:marTop w:val="0"/>
      <w:marBottom w:val="0"/>
      <w:divBdr>
        <w:top w:val="none" w:sz="0" w:space="0" w:color="auto"/>
        <w:left w:val="none" w:sz="0" w:space="0" w:color="auto"/>
        <w:bottom w:val="none" w:sz="0" w:space="0" w:color="auto"/>
        <w:right w:val="none" w:sz="0" w:space="0" w:color="auto"/>
      </w:divBdr>
    </w:div>
    <w:div w:id="2068526065">
      <w:bodyDiv w:val="1"/>
      <w:marLeft w:val="0"/>
      <w:marRight w:val="0"/>
      <w:marTop w:val="0"/>
      <w:marBottom w:val="0"/>
      <w:divBdr>
        <w:top w:val="none" w:sz="0" w:space="0" w:color="auto"/>
        <w:left w:val="none" w:sz="0" w:space="0" w:color="auto"/>
        <w:bottom w:val="none" w:sz="0" w:space="0" w:color="auto"/>
        <w:right w:val="none" w:sz="0" w:space="0" w:color="auto"/>
      </w:divBdr>
      <w:divsChild>
        <w:div w:id="42103578">
          <w:marLeft w:val="1267"/>
          <w:marRight w:val="0"/>
          <w:marTop w:val="0"/>
          <w:marBottom w:val="240"/>
          <w:divBdr>
            <w:top w:val="none" w:sz="0" w:space="0" w:color="auto"/>
            <w:left w:val="none" w:sz="0" w:space="0" w:color="auto"/>
            <w:bottom w:val="none" w:sz="0" w:space="0" w:color="auto"/>
            <w:right w:val="none" w:sz="0" w:space="0" w:color="auto"/>
          </w:divBdr>
        </w:div>
        <w:div w:id="205335544">
          <w:marLeft w:val="1267"/>
          <w:marRight w:val="0"/>
          <w:marTop w:val="0"/>
          <w:marBottom w:val="240"/>
          <w:divBdr>
            <w:top w:val="none" w:sz="0" w:space="0" w:color="auto"/>
            <w:left w:val="none" w:sz="0" w:space="0" w:color="auto"/>
            <w:bottom w:val="none" w:sz="0" w:space="0" w:color="auto"/>
            <w:right w:val="none" w:sz="0" w:space="0" w:color="auto"/>
          </w:divBdr>
        </w:div>
        <w:div w:id="1115978318">
          <w:marLeft w:val="446"/>
          <w:marRight w:val="0"/>
          <w:marTop w:val="0"/>
          <w:marBottom w:val="400"/>
          <w:divBdr>
            <w:top w:val="none" w:sz="0" w:space="0" w:color="auto"/>
            <w:left w:val="none" w:sz="0" w:space="0" w:color="auto"/>
            <w:bottom w:val="none" w:sz="0" w:space="0" w:color="auto"/>
            <w:right w:val="none" w:sz="0" w:space="0" w:color="auto"/>
          </w:divBdr>
        </w:div>
        <w:div w:id="1119059798">
          <w:marLeft w:val="1267"/>
          <w:marRight w:val="0"/>
          <w:marTop w:val="0"/>
          <w:marBottom w:val="240"/>
          <w:divBdr>
            <w:top w:val="none" w:sz="0" w:space="0" w:color="auto"/>
            <w:left w:val="none" w:sz="0" w:space="0" w:color="auto"/>
            <w:bottom w:val="none" w:sz="0" w:space="0" w:color="auto"/>
            <w:right w:val="none" w:sz="0" w:space="0" w:color="auto"/>
          </w:divBdr>
        </w:div>
        <w:div w:id="1198199395">
          <w:marLeft w:val="1267"/>
          <w:marRight w:val="0"/>
          <w:marTop w:val="0"/>
          <w:marBottom w:val="240"/>
          <w:divBdr>
            <w:top w:val="none" w:sz="0" w:space="0" w:color="auto"/>
            <w:left w:val="none" w:sz="0" w:space="0" w:color="auto"/>
            <w:bottom w:val="none" w:sz="0" w:space="0" w:color="auto"/>
            <w:right w:val="none" w:sz="0" w:space="0" w:color="auto"/>
          </w:divBdr>
        </w:div>
        <w:div w:id="1373774081">
          <w:marLeft w:val="1267"/>
          <w:marRight w:val="0"/>
          <w:marTop w:val="0"/>
          <w:marBottom w:val="240"/>
          <w:divBdr>
            <w:top w:val="none" w:sz="0" w:space="0" w:color="auto"/>
            <w:left w:val="none" w:sz="0" w:space="0" w:color="auto"/>
            <w:bottom w:val="none" w:sz="0" w:space="0" w:color="auto"/>
            <w:right w:val="none" w:sz="0" w:space="0" w:color="auto"/>
          </w:divBdr>
        </w:div>
        <w:div w:id="1377199150">
          <w:marLeft w:val="1267"/>
          <w:marRight w:val="0"/>
          <w:marTop w:val="0"/>
          <w:marBottom w:val="240"/>
          <w:divBdr>
            <w:top w:val="none" w:sz="0" w:space="0" w:color="auto"/>
            <w:left w:val="none" w:sz="0" w:space="0" w:color="auto"/>
            <w:bottom w:val="none" w:sz="0" w:space="0" w:color="auto"/>
            <w:right w:val="none" w:sz="0" w:space="0" w:color="auto"/>
          </w:divBdr>
        </w:div>
        <w:div w:id="1502968871">
          <w:marLeft w:val="446"/>
          <w:marRight w:val="0"/>
          <w:marTop w:val="0"/>
          <w:marBottom w:val="240"/>
          <w:divBdr>
            <w:top w:val="none" w:sz="0" w:space="0" w:color="auto"/>
            <w:left w:val="none" w:sz="0" w:space="0" w:color="auto"/>
            <w:bottom w:val="none" w:sz="0" w:space="0" w:color="auto"/>
            <w:right w:val="none" w:sz="0" w:space="0" w:color="auto"/>
          </w:divBdr>
        </w:div>
      </w:divsChild>
    </w:div>
    <w:div w:id="2082437928">
      <w:bodyDiv w:val="1"/>
      <w:marLeft w:val="0"/>
      <w:marRight w:val="0"/>
      <w:marTop w:val="0"/>
      <w:marBottom w:val="0"/>
      <w:divBdr>
        <w:top w:val="none" w:sz="0" w:space="0" w:color="auto"/>
        <w:left w:val="none" w:sz="0" w:space="0" w:color="auto"/>
        <w:bottom w:val="none" w:sz="0" w:space="0" w:color="auto"/>
        <w:right w:val="none" w:sz="0" w:space="0" w:color="auto"/>
      </w:divBdr>
    </w:div>
    <w:div w:id="2092896647">
      <w:bodyDiv w:val="1"/>
      <w:marLeft w:val="0"/>
      <w:marRight w:val="0"/>
      <w:marTop w:val="0"/>
      <w:marBottom w:val="0"/>
      <w:divBdr>
        <w:top w:val="none" w:sz="0" w:space="0" w:color="auto"/>
        <w:left w:val="none" w:sz="0" w:space="0" w:color="auto"/>
        <w:bottom w:val="none" w:sz="0" w:space="0" w:color="auto"/>
        <w:right w:val="none" w:sz="0" w:space="0" w:color="auto"/>
      </w:divBdr>
    </w:div>
    <w:div w:id="2108115885">
      <w:bodyDiv w:val="1"/>
      <w:marLeft w:val="0"/>
      <w:marRight w:val="0"/>
      <w:marTop w:val="0"/>
      <w:marBottom w:val="0"/>
      <w:divBdr>
        <w:top w:val="none" w:sz="0" w:space="0" w:color="auto"/>
        <w:left w:val="none" w:sz="0" w:space="0" w:color="auto"/>
        <w:bottom w:val="none" w:sz="0" w:space="0" w:color="auto"/>
        <w:right w:val="none" w:sz="0" w:space="0" w:color="auto"/>
      </w:divBdr>
    </w:div>
    <w:div w:id="2111000812">
      <w:bodyDiv w:val="1"/>
      <w:marLeft w:val="0"/>
      <w:marRight w:val="0"/>
      <w:marTop w:val="0"/>
      <w:marBottom w:val="0"/>
      <w:divBdr>
        <w:top w:val="none" w:sz="0" w:space="0" w:color="auto"/>
        <w:left w:val="none" w:sz="0" w:space="0" w:color="auto"/>
        <w:bottom w:val="none" w:sz="0" w:space="0" w:color="auto"/>
        <w:right w:val="none" w:sz="0" w:space="0" w:color="auto"/>
      </w:divBdr>
    </w:div>
    <w:div w:id="2114978073">
      <w:bodyDiv w:val="1"/>
      <w:marLeft w:val="0"/>
      <w:marRight w:val="0"/>
      <w:marTop w:val="0"/>
      <w:marBottom w:val="0"/>
      <w:divBdr>
        <w:top w:val="none" w:sz="0" w:space="0" w:color="auto"/>
        <w:left w:val="none" w:sz="0" w:space="0" w:color="auto"/>
        <w:bottom w:val="none" w:sz="0" w:space="0" w:color="auto"/>
        <w:right w:val="none" w:sz="0" w:space="0" w:color="auto"/>
      </w:divBdr>
    </w:div>
    <w:div w:id="2117212190">
      <w:bodyDiv w:val="1"/>
      <w:marLeft w:val="0"/>
      <w:marRight w:val="0"/>
      <w:marTop w:val="0"/>
      <w:marBottom w:val="0"/>
      <w:divBdr>
        <w:top w:val="none" w:sz="0" w:space="0" w:color="auto"/>
        <w:left w:val="none" w:sz="0" w:space="0" w:color="auto"/>
        <w:bottom w:val="none" w:sz="0" w:space="0" w:color="auto"/>
        <w:right w:val="none" w:sz="0" w:space="0" w:color="auto"/>
      </w:divBdr>
    </w:div>
    <w:div w:id="2120299897">
      <w:bodyDiv w:val="1"/>
      <w:marLeft w:val="0"/>
      <w:marRight w:val="0"/>
      <w:marTop w:val="0"/>
      <w:marBottom w:val="0"/>
      <w:divBdr>
        <w:top w:val="none" w:sz="0" w:space="0" w:color="auto"/>
        <w:left w:val="none" w:sz="0" w:space="0" w:color="auto"/>
        <w:bottom w:val="none" w:sz="0" w:space="0" w:color="auto"/>
        <w:right w:val="none" w:sz="0" w:space="0" w:color="auto"/>
      </w:divBdr>
    </w:div>
    <w:div w:id="2122676618">
      <w:bodyDiv w:val="1"/>
      <w:marLeft w:val="0"/>
      <w:marRight w:val="0"/>
      <w:marTop w:val="0"/>
      <w:marBottom w:val="0"/>
      <w:divBdr>
        <w:top w:val="none" w:sz="0" w:space="0" w:color="auto"/>
        <w:left w:val="none" w:sz="0" w:space="0" w:color="auto"/>
        <w:bottom w:val="none" w:sz="0" w:space="0" w:color="auto"/>
        <w:right w:val="none" w:sz="0" w:space="0" w:color="auto"/>
      </w:divBdr>
    </w:div>
    <w:div w:id="2131972454">
      <w:bodyDiv w:val="1"/>
      <w:marLeft w:val="0"/>
      <w:marRight w:val="0"/>
      <w:marTop w:val="0"/>
      <w:marBottom w:val="0"/>
      <w:divBdr>
        <w:top w:val="none" w:sz="0" w:space="0" w:color="auto"/>
        <w:left w:val="none" w:sz="0" w:space="0" w:color="auto"/>
        <w:bottom w:val="none" w:sz="0" w:space="0" w:color="auto"/>
        <w:right w:val="none" w:sz="0" w:space="0" w:color="auto"/>
      </w:divBdr>
    </w:div>
    <w:div w:id="2143769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cdc.gov/nchhstp/newsroom/2021/2020-std-trend-report.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cdc.gov/nchhstp/newsroom/2021/2020-std-trend-report.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cdc.gov/std/statistics/2019/case-definitions.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dc.gov/nchhstp/newsroom/2021/2020-std-trend-report.html"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service-details/partner-services-program-information-for-healthcare-provi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34FE9-B4B2-49CA-8B15-A63E70ABE33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11063</Words>
  <Characters>63063</Characters>
  <Application>Microsoft Office Word</Application>
  <DocSecurity>0</DocSecurity>
  <Lines>525</Lines>
  <Paragraphs>147</Paragraphs>
  <ScaleCrop>false</ScaleCrop>
  <Company/>
  <LinksUpToDate>false</LinksUpToDate>
  <CharactersWithSpaces>73979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Surveillance Data Overview of Sexually Transmitted Infections, Massachusetts, 2000-2022</dc:title>
  <dc:subject>Sexually transmitted infections; Sexually transmitted diseases;2022;massachusetts</dc:subject>
  <dc:creator>Molotnikov, Lauren (DPH)</dc:creator>
  <cp:keywords>gonorrhea;syphilis;chlamydia;STD</cp:keywords>
  <dc:description/>
  <cp:lastModifiedBy>Harrison, Deborah (EHS)</cp:lastModifiedBy>
  <cp:revision>2</cp:revision>
  <dcterms:created xsi:type="dcterms:W3CDTF">2024-12-20T17:18:00Z</dcterms:created>
  <dcterms:modified xsi:type="dcterms:W3CDTF">2024-12-20T17:18:00Z</dcterms:modified>
</cp:coreProperties>
</file>