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A956" w14:textId="375440B4" w:rsidR="00AB5BEC" w:rsidRDefault="005142AA">
      <w:pPr>
        <w:tabs>
          <w:tab w:val="left" w:pos="1659"/>
        </w:tabs>
        <w:spacing w:before="90"/>
        <w:ind w:left="130"/>
        <w:rPr>
          <w:rFonts w:ascii="Tahoma"/>
          <w:sz w:val="15"/>
        </w:rPr>
      </w:pPr>
      <w:r>
        <w:rPr>
          <w:rFonts w:ascii="Tahoma"/>
          <w:b/>
          <w:spacing w:val="-2"/>
          <w:sz w:val="15"/>
        </w:rPr>
        <w:t>From:</w:t>
      </w:r>
      <w:r>
        <w:rPr>
          <w:rFonts w:ascii="Tahoma"/>
          <w:b/>
          <w:sz w:val="15"/>
        </w:rPr>
        <w:tab/>
      </w:r>
      <w:proofErr w:type="spellStart"/>
      <w:r>
        <w:rPr>
          <w:rFonts w:ascii="Tahoma"/>
          <w:color w:val="0000FF"/>
          <w:sz w:val="15"/>
          <w:u w:val="single" w:color="0000FF"/>
        </w:rPr>
        <w:t>susan</w:t>
      </w:r>
      <w:proofErr w:type="spellEnd"/>
      <w:r>
        <w:rPr>
          <w:rFonts w:ascii="Tahoma"/>
          <w:color w:val="0000FF"/>
          <w:sz w:val="15"/>
          <w:u w:val="single" w:color="0000FF"/>
        </w:rPr>
        <w:t xml:space="preserve"> </w:t>
      </w:r>
      <w:r>
        <w:rPr>
          <w:rFonts w:ascii="Tahoma"/>
          <w:color w:val="0000FF"/>
          <w:spacing w:val="-2"/>
          <w:sz w:val="15"/>
          <w:u w:val="single" w:color="0000FF"/>
        </w:rPr>
        <w:t>marcon</w:t>
      </w:r>
      <w:r>
        <w:rPr>
          <w:rFonts w:ascii="Tahoma"/>
          <w:color w:val="0000FF"/>
          <w:spacing w:val="-2"/>
          <w:sz w:val="15"/>
        </w:rPr>
        <w:t>i</w:t>
      </w:r>
    </w:p>
    <w:p w14:paraId="735B0B13" w14:textId="77777777" w:rsidR="00AB5BEC" w:rsidRDefault="005142AA">
      <w:pPr>
        <w:tabs>
          <w:tab w:val="left" w:pos="1659"/>
        </w:tabs>
        <w:spacing w:before="29"/>
        <w:ind w:left="130"/>
        <w:rPr>
          <w:rFonts w:ascii="Tahoma"/>
          <w:sz w:val="15"/>
        </w:rPr>
      </w:pPr>
      <w:r>
        <w:rPr>
          <w:rFonts w:ascii="Tahoma"/>
          <w:b/>
          <w:spacing w:val="-5"/>
          <w:sz w:val="15"/>
        </w:rPr>
        <w:t>To:</w:t>
      </w:r>
      <w:r>
        <w:rPr>
          <w:rFonts w:ascii="Tahoma"/>
          <w:b/>
          <w:sz w:val="15"/>
        </w:rPr>
        <w:tab/>
      </w:r>
      <w:hyperlink r:id="rId4">
        <w:r>
          <w:rPr>
            <w:rFonts w:ascii="Tahoma"/>
            <w:color w:val="0000FF"/>
            <w:sz w:val="15"/>
            <w:u w:val="single" w:color="0000FF"/>
          </w:rPr>
          <w:t>DPH-Testimony,</w:t>
        </w:r>
        <w:r>
          <w:rPr>
            <w:rFonts w:ascii="Tahoma"/>
            <w:color w:val="0000FF"/>
            <w:spacing w:val="-2"/>
            <w:sz w:val="15"/>
            <w:u w:val="single" w:color="0000FF"/>
          </w:rPr>
          <w:t xml:space="preserve"> </w:t>
        </w:r>
        <w:r>
          <w:rPr>
            <w:rFonts w:ascii="Tahoma"/>
            <w:color w:val="0000FF"/>
            <w:sz w:val="15"/>
            <w:u w:val="single" w:color="0000FF"/>
          </w:rPr>
          <w:t xml:space="preserve">Reg </w:t>
        </w:r>
        <w:r>
          <w:rPr>
            <w:rFonts w:ascii="Tahoma"/>
            <w:color w:val="0000FF"/>
            <w:spacing w:val="-2"/>
            <w:sz w:val="15"/>
            <w:u w:val="single" w:color="0000FF"/>
          </w:rPr>
          <w:t>(DPH)</w:t>
        </w:r>
      </w:hyperlink>
    </w:p>
    <w:p w14:paraId="06C4D902" w14:textId="77777777" w:rsidR="00AB5BEC" w:rsidRDefault="005142AA">
      <w:pPr>
        <w:tabs>
          <w:tab w:val="left" w:pos="1659"/>
        </w:tabs>
        <w:spacing w:before="29"/>
        <w:ind w:left="130"/>
        <w:rPr>
          <w:rFonts w:ascii="Tahoma"/>
          <w:sz w:val="15"/>
        </w:rPr>
      </w:pPr>
      <w:r>
        <w:rPr>
          <w:rFonts w:ascii="Tahoma"/>
          <w:b/>
          <w:spacing w:val="-2"/>
          <w:sz w:val="15"/>
        </w:rPr>
        <w:t>Subject:</w:t>
      </w:r>
      <w:r>
        <w:rPr>
          <w:rFonts w:ascii="Tahoma"/>
          <w:b/>
          <w:sz w:val="15"/>
        </w:rPr>
        <w:tab/>
      </w:r>
      <w:r>
        <w:rPr>
          <w:rFonts w:ascii="Tahoma"/>
          <w:sz w:val="15"/>
        </w:rPr>
        <w:t>Hospital</w:t>
      </w:r>
      <w:r>
        <w:rPr>
          <w:rFonts w:ascii="Tahoma"/>
          <w:spacing w:val="-5"/>
          <w:sz w:val="15"/>
        </w:rPr>
        <w:t xml:space="preserve"> </w:t>
      </w:r>
      <w:r>
        <w:rPr>
          <w:rFonts w:ascii="Tahoma"/>
          <w:sz w:val="15"/>
        </w:rPr>
        <w:t>licensure/</w:t>
      </w:r>
      <w:r>
        <w:rPr>
          <w:rFonts w:ascii="Tahoma"/>
          <w:spacing w:val="-3"/>
          <w:sz w:val="15"/>
        </w:rPr>
        <w:t xml:space="preserve"> </w:t>
      </w:r>
      <w:r>
        <w:rPr>
          <w:rFonts w:ascii="Tahoma"/>
          <w:sz w:val="15"/>
        </w:rPr>
        <w:t>vaccination</w:t>
      </w:r>
      <w:r>
        <w:rPr>
          <w:rFonts w:ascii="Tahoma"/>
          <w:spacing w:val="-3"/>
          <w:sz w:val="15"/>
        </w:rPr>
        <w:t xml:space="preserve"> </w:t>
      </w:r>
      <w:r>
        <w:rPr>
          <w:rFonts w:ascii="Tahoma"/>
          <w:spacing w:val="-2"/>
          <w:sz w:val="15"/>
        </w:rPr>
        <w:t>requirements</w:t>
      </w:r>
    </w:p>
    <w:p w14:paraId="48C5D401" w14:textId="77777777" w:rsidR="00AB5BEC" w:rsidRDefault="005142AA">
      <w:pPr>
        <w:tabs>
          <w:tab w:val="left" w:pos="1659"/>
        </w:tabs>
        <w:spacing w:before="28"/>
        <w:ind w:left="130"/>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3"/>
          <w:sz w:val="15"/>
        </w:rPr>
        <w:t xml:space="preserve"> </w:t>
      </w:r>
      <w:r>
        <w:rPr>
          <w:rFonts w:ascii="Tahoma"/>
          <w:sz w:val="15"/>
        </w:rPr>
        <w:t>August</w:t>
      </w:r>
      <w:r>
        <w:rPr>
          <w:rFonts w:ascii="Tahoma"/>
          <w:spacing w:val="-1"/>
          <w:sz w:val="15"/>
        </w:rPr>
        <w:t xml:space="preserve"> </w:t>
      </w:r>
      <w:r>
        <w:rPr>
          <w:rFonts w:ascii="Tahoma"/>
          <w:sz w:val="15"/>
        </w:rPr>
        <w:t>1,</w:t>
      </w:r>
      <w:r>
        <w:rPr>
          <w:rFonts w:ascii="Tahoma"/>
          <w:spacing w:val="-1"/>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3:43:27</w:t>
      </w:r>
      <w:r>
        <w:rPr>
          <w:rFonts w:ascii="Tahoma"/>
          <w:spacing w:val="-1"/>
          <w:sz w:val="15"/>
        </w:rPr>
        <w:t xml:space="preserve"> </w:t>
      </w:r>
      <w:r>
        <w:rPr>
          <w:rFonts w:ascii="Tahoma"/>
          <w:spacing w:val="-5"/>
          <w:sz w:val="15"/>
        </w:rPr>
        <w:t>PM</w:t>
      </w:r>
    </w:p>
    <w:p w14:paraId="6862FFA1" w14:textId="77777777" w:rsidR="00AB5BEC" w:rsidRDefault="005142AA">
      <w:pPr>
        <w:pStyle w:val="BodyText"/>
        <w:spacing w:before="5"/>
        <w:rPr>
          <w:rFonts w:ascii="Tahoma"/>
          <w:sz w:val="10"/>
        </w:rPr>
      </w:pPr>
      <w:r>
        <w:rPr>
          <w:noProof/>
        </w:rPr>
        <mc:AlternateContent>
          <mc:Choice Requires="wps">
            <w:drawing>
              <wp:anchor distT="0" distB="0" distL="0" distR="0" simplePos="0" relativeHeight="487587840" behindDoc="1" locked="0" layoutInCell="1" allowOverlap="1" wp14:anchorId="42336A83" wp14:editId="498A096B">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EC34FA9" id="Graphic 1" o:spid="_x0000_s1026" style="position:absolute;margin-left:78pt;margin-top:7.5pt;width:457.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" path="m5810250,l,,,19050r5810250,l5810250,12r,-12xe" fillcolor="gray" stroked="f">
                <v:path arrowok="t"/>
                <w10:wrap type="topAndBottom" anchorx="page"/>
              </v:shape>
            </w:pict>
          </mc:Fallback>
        </mc:AlternateContent>
      </w:r>
    </w:p>
    <w:p w14:paraId="38F5B874" w14:textId="77777777" w:rsidR="00AB5BEC" w:rsidRDefault="00AB5BEC">
      <w:pPr>
        <w:pStyle w:val="BodyText"/>
        <w:rPr>
          <w:rFonts w:ascii="Tahoma"/>
          <w:sz w:val="18"/>
        </w:rPr>
      </w:pPr>
    </w:p>
    <w:p w14:paraId="45B2025F" w14:textId="77777777" w:rsidR="00AB5BEC" w:rsidRDefault="00AB5BEC">
      <w:pPr>
        <w:pStyle w:val="BodyText"/>
        <w:rPr>
          <w:rFonts w:ascii="Tahoma"/>
          <w:sz w:val="18"/>
        </w:rPr>
      </w:pPr>
    </w:p>
    <w:p w14:paraId="5911D43F" w14:textId="77777777" w:rsidR="00AB5BEC" w:rsidRDefault="00AB5BEC">
      <w:pPr>
        <w:pStyle w:val="BodyText"/>
        <w:spacing w:before="10"/>
        <w:rPr>
          <w:rFonts w:ascii="Tahoma"/>
          <w:sz w:val="18"/>
        </w:rPr>
      </w:pPr>
    </w:p>
    <w:p w14:paraId="1C0857A5" w14:textId="77777777" w:rsidR="00AB5BEC" w:rsidRDefault="005142AA">
      <w:pPr>
        <w:pStyle w:val="BodyText"/>
        <w:spacing w:before="1" w:line="264" w:lineRule="auto"/>
        <w:ind w:left="100" w:right="283"/>
      </w:pPr>
      <w:r>
        <w:t>CAUTION: This email originated from a sender outside of the</w:t>
      </w:r>
      <w:r>
        <w:rPr>
          <w:spacing w:val="40"/>
        </w:rPr>
        <w:t xml:space="preserve"> </w:t>
      </w:r>
      <w:r>
        <w:t>Commonwealth of Massachusetts mail system</w:t>
      </w:r>
      <w:proofErr w:type="gramStart"/>
      <w:r>
        <w:t>.</w:t>
      </w:r>
      <w:r>
        <w:rPr>
          <w:spacing w:val="40"/>
        </w:rPr>
        <w:t xml:space="preserve"> </w:t>
      </w:r>
      <w:proofErr w:type="gramEnd"/>
      <w:r>
        <w:t>Do</w:t>
      </w:r>
      <w:r>
        <w:rPr>
          <w:spacing w:val="40"/>
        </w:rPr>
        <w:t xml:space="preserve"> </w:t>
      </w:r>
      <w:r>
        <w:t>not click on links or open attachments unless you recognize the sender and know the content is safe.</w:t>
      </w:r>
    </w:p>
    <w:p w14:paraId="071717DB" w14:textId="77777777" w:rsidR="00AB5BEC" w:rsidRDefault="00AB5BEC">
      <w:pPr>
        <w:pStyle w:val="BodyText"/>
        <w:rPr>
          <w:sz w:val="22"/>
        </w:rPr>
      </w:pPr>
    </w:p>
    <w:p w14:paraId="1BFAE7E8" w14:textId="77777777" w:rsidR="00AB5BEC" w:rsidRDefault="00AB5BEC">
      <w:pPr>
        <w:pStyle w:val="BodyText"/>
        <w:spacing w:before="7"/>
      </w:pPr>
    </w:p>
    <w:p w14:paraId="039F5D5E" w14:textId="77777777" w:rsidR="00AB5BEC" w:rsidRDefault="005142AA">
      <w:pPr>
        <w:pStyle w:val="BodyText"/>
        <w:spacing w:line="264" w:lineRule="auto"/>
        <w:ind w:left="100" w:right="306"/>
      </w:pPr>
      <w:r>
        <w:t xml:space="preserve">As a long </w:t>
      </w:r>
      <w:proofErr w:type="gramStart"/>
      <w:r>
        <w:t>time</w:t>
      </w:r>
      <w:proofErr w:type="gramEnd"/>
      <w:r>
        <w:t xml:space="preserve"> healthcare professional that has worked many years in medical facilities and covered full time shifts through the pandemic of CV-19, it be</w:t>
      </w:r>
      <w:r>
        <w:t>came observably obvious that transmissibility of infection from vaccinated vs.</w:t>
      </w:r>
      <w:r>
        <w:rPr>
          <w:spacing w:val="40"/>
        </w:rPr>
        <w:t xml:space="preserve"> </w:t>
      </w:r>
      <w:r>
        <w:t>unvaccinated workers is indiscernible as to which group might have caused illness to coworkers and/or patients, if</w:t>
      </w:r>
      <w:r>
        <w:rPr>
          <w:spacing w:val="80"/>
        </w:rPr>
        <w:t xml:space="preserve"> </w:t>
      </w:r>
      <w:r>
        <w:t xml:space="preserve">any even had at all. It has neither been proven, </w:t>
      </w:r>
      <w:proofErr w:type="gramStart"/>
      <w:r>
        <w:t>studied</w:t>
      </w:r>
      <w:proofErr w:type="gramEnd"/>
      <w:r>
        <w:t xml:space="preserve"> or ve</w:t>
      </w:r>
      <w:r>
        <w:t>rifiably shown from an epidemiology standpoint that</w:t>
      </w:r>
      <w:r>
        <w:rPr>
          <w:spacing w:val="40"/>
        </w:rPr>
        <w:t xml:space="preserve"> </w:t>
      </w:r>
      <w:r>
        <w:t>vaccination definitively prevented infectivity to others; not to mention the clearly demonstrated fact that many</w:t>
      </w:r>
      <w:r>
        <w:rPr>
          <w:spacing w:val="40"/>
        </w:rPr>
        <w:t xml:space="preserve"> </w:t>
      </w:r>
      <w:r>
        <w:t>vaccinated individuals became equally ill and equally infective as non-vaccinated individua</w:t>
      </w:r>
      <w:r>
        <w:t>ls. As measures of</w:t>
      </w:r>
      <w:r>
        <w:rPr>
          <w:spacing w:val="40"/>
        </w:rPr>
        <w:t xml:space="preserve"> </w:t>
      </w:r>
      <w:r>
        <w:t>masking and quarantining are the same for both groups in instances of sickness, the distinction of one having been</w:t>
      </w:r>
      <w:r>
        <w:rPr>
          <w:spacing w:val="40"/>
        </w:rPr>
        <w:t xml:space="preserve"> </w:t>
      </w:r>
      <w:r>
        <w:t>vaccinated and one not would then be moot.</w:t>
      </w:r>
    </w:p>
    <w:p w14:paraId="13CD8776" w14:textId="77777777" w:rsidR="00AB5BEC" w:rsidRDefault="005142AA">
      <w:pPr>
        <w:pStyle w:val="BodyText"/>
        <w:spacing w:line="264" w:lineRule="auto"/>
        <w:ind w:left="100" w:right="192"/>
      </w:pPr>
      <w:r>
        <w:t>Forcing</w:t>
      </w:r>
      <w:r>
        <w:rPr>
          <w:spacing w:val="23"/>
        </w:rPr>
        <w:t xml:space="preserve"> </w:t>
      </w:r>
      <w:r>
        <w:t>and</w:t>
      </w:r>
      <w:r>
        <w:rPr>
          <w:spacing w:val="23"/>
        </w:rPr>
        <w:t xml:space="preserve"> </w:t>
      </w:r>
      <w:r>
        <w:t>coercing</w:t>
      </w:r>
      <w:r>
        <w:rPr>
          <w:spacing w:val="23"/>
        </w:rPr>
        <w:t xml:space="preserve"> </w:t>
      </w:r>
      <w:r>
        <w:t>staff</w:t>
      </w:r>
      <w:r>
        <w:rPr>
          <w:spacing w:val="23"/>
        </w:rPr>
        <w:t xml:space="preserve"> </w:t>
      </w:r>
      <w:r>
        <w:t>to</w:t>
      </w:r>
      <w:r>
        <w:rPr>
          <w:spacing w:val="23"/>
        </w:rPr>
        <w:t xml:space="preserve"> </w:t>
      </w:r>
      <w:r>
        <w:t>accept</w:t>
      </w:r>
      <w:r>
        <w:rPr>
          <w:spacing w:val="23"/>
        </w:rPr>
        <w:t xml:space="preserve"> </w:t>
      </w:r>
      <w:r>
        <w:t>medical</w:t>
      </w:r>
      <w:r>
        <w:rPr>
          <w:spacing w:val="23"/>
        </w:rPr>
        <w:t xml:space="preserve"> </w:t>
      </w:r>
      <w:r>
        <w:t>interventions</w:t>
      </w:r>
      <w:r>
        <w:rPr>
          <w:spacing w:val="23"/>
        </w:rPr>
        <w:t xml:space="preserve"> </w:t>
      </w:r>
      <w:r>
        <w:t>that</w:t>
      </w:r>
      <w:r>
        <w:rPr>
          <w:spacing w:val="23"/>
        </w:rPr>
        <w:t xml:space="preserve"> </w:t>
      </w:r>
      <w:r>
        <w:t>are</w:t>
      </w:r>
      <w:r>
        <w:rPr>
          <w:spacing w:val="23"/>
        </w:rPr>
        <w:t xml:space="preserve"> </w:t>
      </w:r>
      <w:r>
        <w:t>not</w:t>
      </w:r>
      <w:r>
        <w:rPr>
          <w:spacing w:val="23"/>
        </w:rPr>
        <w:t xml:space="preserve"> </w:t>
      </w:r>
      <w:r>
        <w:t>effecti</w:t>
      </w:r>
      <w:r>
        <w:t>ve,</w:t>
      </w:r>
      <w:r>
        <w:rPr>
          <w:spacing w:val="23"/>
        </w:rPr>
        <w:t xml:space="preserve"> </w:t>
      </w:r>
      <w:r>
        <w:t>not</w:t>
      </w:r>
      <w:r>
        <w:rPr>
          <w:spacing w:val="23"/>
        </w:rPr>
        <w:t xml:space="preserve"> </w:t>
      </w:r>
      <w:r>
        <w:t>approved</w:t>
      </w:r>
      <w:r>
        <w:rPr>
          <w:spacing w:val="23"/>
        </w:rPr>
        <w:t xml:space="preserve"> </w:t>
      </w:r>
      <w:r>
        <w:t>(as</w:t>
      </w:r>
      <w:r>
        <w:rPr>
          <w:spacing w:val="23"/>
        </w:rPr>
        <w:t xml:space="preserve"> </w:t>
      </w:r>
      <w:proofErr w:type="spellStart"/>
      <w:r>
        <w:t>Comirnaty</w:t>
      </w:r>
      <w:proofErr w:type="spellEnd"/>
      <w:r>
        <w:t xml:space="preserve"> allegedly</w:t>
      </w:r>
      <w:r>
        <w:rPr>
          <w:spacing w:val="23"/>
        </w:rPr>
        <w:t xml:space="preserve"> </w:t>
      </w:r>
      <w:r>
        <w:t>was),</w:t>
      </w:r>
      <w:r>
        <w:rPr>
          <w:spacing w:val="23"/>
        </w:rPr>
        <w:t xml:space="preserve"> </w:t>
      </w:r>
      <w:r>
        <w:t>not</w:t>
      </w:r>
      <w:r>
        <w:rPr>
          <w:spacing w:val="23"/>
        </w:rPr>
        <w:t xml:space="preserve"> </w:t>
      </w:r>
      <w:r>
        <w:t>necessary(</w:t>
      </w:r>
      <w:r>
        <w:rPr>
          <w:spacing w:val="23"/>
        </w:rPr>
        <w:t xml:space="preserve"> </w:t>
      </w:r>
      <w:r>
        <w:t>health</w:t>
      </w:r>
      <w:r>
        <w:rPr>
          <w:spacing w:val="23"/>
        </w:rPr>
        <w:t xml:space="preserve"> </w:t>
      </w:r>
      <w:r>
        <w:t>or</w:t>
      </w:r>
      <w:r>
        <w:rPr>
          <w:spacing w:val="23"/>
        </w:rPr>
        <w:t xml:space="preserve"> </w:t>
      </w:r>
      <w:r>
        <w:t>illness</w:t>
      </w:r>
      <w:r>
        <w:rPr>
          <w:spacing w:val="23"/>
        </w:rPr>
        <w:t xml:space="preserve"> </w:t>
      </w:r>
      <w:r>
        <w:t>would</w:t>
      </w:r>
      <w:r>
        <w:rPr>
          <w:spacing w:val="23"/>
        </w:rPr>
        <w:t xml:space="preserve"> </w:t>
      </w:r>
      <w:r>
        <w:t>be</w:t>
      </w:r>
      <w:r>
        <w:rPr>
          <w:spacing w:val="23"/>
        </w:rPr>
        <w:t xml:space="preserve"> </w:t>
      </w:r>
      <w:r>
        <w:t>determined</w:t>
      </w:r>
      <w:r>
        <w:rPr>
          <w:spacing w:val="23"/>
        </w:rPr>
        <w:t xml:space="preserve"> </w:t>
      </w:r>
      <w:r>
        <w:t>before</w:t>
      </w:r>
      <w:r>
        <w:rPr>
          <w:spacing w:val="23"/>
        </w:rPr>
        <w:t xml:space="preserve"> </w:t>
      </w:r>
      <w:r>
        <w:t>coming</w:t>
      </w:r>
      <w:r>
        <w:rPr>
          <w:spacing w:val="23"/>
        </w:rPr>
        <w:t xml:space="preserve"> </w:t>
      </w:r>
      <w:r>
        <w:t>to</w:t>
      </w:r>
      <w:r>
        <w:rPr>
          <w:spacing w:val="23"/>
        </w:rPr>
        <w:t xml:space="preserve"> </w:t>
      </w:r>
      <w:r>
        <w:t>work</w:t>
      </w:r>
      <w:r>
        <w:rPr>
          <w:spacing w:val="23"/>
        </w:rPr>
        <w:t xml:space="preserve"> </w:t>
      </w:r>
      <w:r>
        <w:t>and</w:t>
      </w:r>
      <w:r>
        <w:rPr>
          <w:spacing w:val="23"/>
        </w:rPr>
        <w:t xml:space="preserve"> </w:t>
      </w:r>
      <w:r>
        <w:t>employees</w:t>
      </w:r>
      <w:r>
        <w:rPr>
          <w:spacing w:val="23"/>
        </w:rPr>
        <w:t xml:space="preserve"> </w:t>
      </w:r>
      <w:r>
        <w:t>would stay home if sick), not consensual (as staff is not aware of the mechanisms, risks, clinical trial results or cont</w:t>
      </w:r>
      <w:r>
        <w:t>raindications of EUA mRNA gene therapies) is not only violating medical ethics but inhibits better care to the patients who would benefit by having more qualified staff onboard who have personally chosen for private, religious</w:t>
      </w:r>
      <w:r>
        <w:rPr>
          <w:spacing w:val="80"/>
        </w:rPr>
        <w:t xml:space="preserve"> </w:t>
      </w:r>
      <w:r>
        <w:t>or</w:t>
      </w:r>
      <w:r>
        <w:rPr>
          <w:spacing w:val="21"/>
        </w:rPr>
        <w:t xml:space="preserve"> </w:t>
      </w:r>
      <w:r>
        <w:t>medical</w:t>
      </w:r>
      <w:r>
        <w:rPr>
          <w:spacing w:val="21"/>
        </w:rPr>
        <w:t xml:space="preserve"> </w:t>
      </w:r>
      <w:r>
        <w:t>reasons</w:t>
      </w:r>
      <w:r>
        <w:rPr>
          <w:spacing w:val="21"/>
        </w:rPr>
        <w:t xml:space="preserve"> </w:t>
      </w:r>
      <w:r>
        <w:t>to</w:t>
      </w:r>
      <w:r>
        <w:rPr>
          <w:spacing w:val="21"/>
        </w:rPr>
        <w:t xml:space="preserve"> </w:t>
      </w:r>
      <w:r>
        <w:t>abstain</w:t>
      </w:r>
      <w:r>
        <w:rPr>
          <w:spacing w:val="21"/>
        </w:rPr>
        <w:t xml:space="preserve"> </w:t>
      </w:r>
      <w:r>
        <w:t>from</w:t>
      </w:r>
      <w:r>
        <w:rPr>
          <w:spacing w:val="21"/>
        </w:rPr>
        <w:t xml:space="preserve"> </w:t>
      </w:r>
      <w:r>
        <w:t>taking</w:t>
      </w:r>
      <w:r>
        <w:rPr>
          <w:spacing w:val="21"/>
        </w:rPr>
        <w:t xml:space="preserve"> </w:t>
      </w:r>
      <w:r>
        <w:t>these</w:t>
      </w:r>
      <w:r>
        <w:rPr>
          <w:spacing w:val="21"/>
        </w:rPr>
        <w:t xml:space="preserve"> </w:t>
      </w:r>
      <w:r>
        <w:t>experimental</w:t>
      </w:r>
      <w:r>
        <w:rPr>
          <w:spacing w:val="21"/>
        </w:rPr>
        <w:t xml:space="preserve"> </w:t>
      </w:r>
      <w:r>
        <w:t>products.</w:t>
      </w:r>
      <w:r>
        <w:rPr>
          <w:spacing w:val="21"/>
        </w:rPr>
        <w:t xml:space="preserve"> </w:t>
      </w:r>
      <w:r>
        <w:t>It</w:t>
      </w:r>
      <w:r>
        <w:rPr>
          <w:spacing w:val="21"/>
        </w:rPr>
        <w:t xml:space="preserve"> </w:t>
      </w:r>
      <w:r>
        <w:t>is</w:t>
      </w:r>
      <w:r>
        <w:rPr>
          <w:spacing w:val="21"/>
        </w:rPr>
        <w:t xml:space="preserve"> </w:t>
      </w:r>
      <w:r>
        <w:t>time</w:t>
      </w:r>
      <w:r>
        <w:rPr>
          <w:spacing w:val="21"/>
        </w:rPr>
        <w:t xml:space="preserve"> </w:t>
      </w:r>
      <w:r>
        <w:t>to</w:t>
      </w:r>
      <w:r>
        <w:rPr>
          <w:spacing w:val="21"/>
        </w:rPr>
        <w:t xml:space="preserve"> </w:t>
      </w:r>
      <w:r>
        <w:t>denounce</w:t>
      </w:r>
      <w:r>
        <w:rPr>
          <w:spacing w:val="21"/>
        </w:rPr>
        <w:t xml:space="preserve"> </w:t>
      </w:r>
      <w:r>
        <w:t>mandates</w:t>
      </w:r>
      <w:r>
        <w:rPr>
          <w:spacing w:val="21"/>
        </w:rPr>
        <w:t xml:space="preserve"> </w:t>
      </w:r>
      <w:r>
        <w:t>of</w:t>
      </w:r>
      <w:r>
        <w:rPr>
          <w:spacing w:val="21"/>
        </w:rPr>
        <w:t xml:space="preserve"> </w:t>
      </w:r>
      <w:r>
        <w:t>this nature,</w:t>
      </w:r>
      <w:r>
        <w:rPr>
          <w:spacing w:val="26"/>
        </w:rPr>
        <w:t xml:space="preserve"> </w:t>
      </w:r>
      <w:r>
        <w:t>that</w:t>
      </w:r>
      <w:r>
        <w:rPr>
          <w:spacing w:val="26"/>
        </w:rPr>
        <w:t xml:space="preserve"> </w:t>
      </w:r>
      <w:r>
        <w:t>smacks</w:t>
      </w:r>
      <w:r>
        <w:rPr>
          <w:spacing w:val="26"/>
        </w:rPr>
        <w:t xml:space="preserve"> </w:t>
      </w:r>
      <w:r>
        <w:t>of</w:t>
      </w:r>
      <w:r>
        <w:rPr>
          <w:spacing w:val="26"/>
        </w:rPr>
        <w:t xml:space="preserve"> </w:t>
      </w:r>
      <w:r>
        <w:t>forced</w:t>
      </w:r>
      <w:r>
        <w:rPr>
          <w:spacing w:val="26"/>
        </w:rPr>
        <w:t xml:space="preserve"> </w:t>
      </w:r>
      <w:r>
        <w:t>solicitation</w:t>
      </w:r>
      <w:r>
        <w:rPr>
          <w:spacing w:val="26"/>
        </w:rPr>
        <w:t xml:space="preserve"> </w:t>
      </w:r>
      <w:r>
        <w:t>from</w:t>
      </w:r>
      <w:r>
        <w:rPr>
          <w:spacing w:val="26"/>
        </w:rPr>
        <w:t xml:space="preserve"> </w:t>
      </w:r>
      <w:r>
        <w:t>pharmaceutical</w:t>
      </w:r>
      <w:r>
        <w:rPr>
          <w:spacing w:val="26"/>
        </w:rPr>
        <w:t xml:space="preserve"> </w:t>
      </w:r>
      <w:r>
        <w:t>companies</w:t>
      </w:r>
      <w:r>
        <w:rPr>
          <w:spacing w:val="26"/>
        </w:rPr>
        <w:t xml:space="preserve"> </w:t>
      </w:r>
      <w:r>
        <w:t>to</w:t>
      </w:r>
      <w:r>
        <w:rPr>
          <w:spacing w:val="26"/>
        </w:rPr>
        <w:t xml:space="preserve"> </w:t>
      </w:r>
      <w:r>
        <w:t>penetrate</w:t>
      </w:r>
      <w:r>
        <w:rPr>
          <w:spacing w:val="26"/>
        </w:rPr>
        <w:t xml:space="preserve"> </w:t>
      </w:r>
      <w:r>
        <w:t>a</w:t>
      </w:r>
      <w:r>
        <w:rPr>
          <w:spacing w:val="26"/>
        </w:rPr>
        <w:t xml:space="preserve"> </w:t>
      </w:r>
      <w:r>
        <w:t>permanent</w:t>
      </w:r>
      <w:r>
        <w:rPr>
          <w:spacing w:val="26"/>
        </w:rPr>
        <w:t xml:space="preserve"> </w:t>
      </w:r>
      <w:r>
        <w:t>market</w:t>
      </w:r>
      <w:r>
        <w:rPr>
          <w:spacing w:val="26"/>
        </w:rPr>
        <w:t xml:space="preserve"> </w:t>
      </w:r>
      <w:r>
        <w:t>rather than respecting individuals to determine their own heal</w:t>
      </w:r>
      <w:r>
        <w:t>th risks to others as workers themselves who have proven by</w:t>
      </w:r>
      <w:r>
        <w:rPr>
          <w:spacing w:val="80"/>
          <w:w w:val="150"/>
        </w:rPr>
        <w:t xml:space="preserve"> </w:t>
      </w:r>
      <w:r>
        <w:t>the very nature of their professions to be committed in preventing disease.</w:t>
      </w:r>
    </w:p>
    <w:p w14:paraId="4ED28911" w14:textId="77777777" w:rsidR="00AB5BEC" w:rsidRDefault="005142AA">
      <w:pPr>
        <w:pStyle w:val="BodyText"/>
        <w:spacing w:before="29" w:line="480" w:lineRule="exact"/>
        <w:ind w:left="100" w:right="5275"/>
      </w:pPr>
      <w:r>
        <w:t>No to forced vaccination/medical intervention</w:t>
      </w:r>
      <w:proofErr w:type="gramStart"/>
      <w:r>
        <w:t xml:space="preserve">. </w:t>
      </w:r>
      <w:proofErr w:type="gramEnd"/>
      <w:r>
        <w:t>Susan Marconi</w:t>
      </w:r>
    </w:p>
    <w:p w14:paraId="7DE12AC9" w14:textId="77777777" w:rsidR="00AB5BEC" w:rsidRDefault="005142AA">
      <w:pPr>
        <w:pStyle w:val="BodyText"/>
        <w:spacing w:line="185" w:lineRule="exact"/>
        <w:ind w:left="100"/>
      </w:pPr>
      <w:r>
        <w:t>Sent</w:t>
      </w:r>
      <w:r>
        <w:rPr>
          <w:spacing w:val="5"/>
        </w:rPr>
        <w:t xml:space="preserve"> </w:t>
      </w:r>
      <w:r>
        <w:t>from</w:t>
      </w:r>
      <w:r>
        <w:rPr>
          <w:spacing w:val="7"/>
        </w:rPr>
        <w:t xml:space="preserve"> </w:t>
      </w:r>
      <w:r>
        <w:t>my</w:t>
      </w:r>
      <w:r>
        <w:rPr>
          <w:spacing w:val="8"/>
        </w:rPr>
        <w:t xml:space="preserve"> </w:t>
      </w:r>
      <w:r>
        <w:rPr>
          <w:spacing w:val="-2"/>
        </w:rPr>
        <w:t>iPhone</w:t>
      </w:r>
    </w:p>
    <w:sectPr w:rsidR="00AB5BEC">
      <w:type w:val="continuous"/>
      <w:pgSz w:w="12240" w:h="15840"/>
      <w:pgMar w:top="1140" w:right="14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B5BEC"/>
    <w:rsid w:val="005142AA"/>
    <w:rsid w:val="00AB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ECC0"/>
  <w15:docId w15:val="{A27B4655-9444-495D-9A32-CE0D6670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estimony@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William (DPH)</cp:lastModifiedBy>
  <cp:revision>2</cp:revision>
  <dcterms:created xsi:type="dcterms:W3CDTF">2023-08-09T17:31:00Z</dcterms:created>
  <dcterms:modified xsi:type="dcterms:W3CDTF">2023-08-09T17:31:00Z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Acrobat PDFMaker 23 for Microsoft Outlook</vt:lpwstr>
  </property>
  <property fmtid="{D5CDD505-2E9C-101B-9397-08002B2CF9AE}" pid="4" name="LastSaved">
    <vt:filetime>2023-08-09T00:00:00Z</vt:filetime>
  </property>
  <property fmtid="{D5CDD505-2E9C-101B-9397-08002B2CF9AE}" pid="5" name="Producer">
    <vt:lpwstr>Adobe PDF Library 23.3.20</vt:lpwstr>
  </property>
</Properties>
</file>