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FE91" w14:textId="47908A31" w:rsidR="00BA210C" w:rsidRDefault="00723A58" w:rsidP="00723A58">
      <w:pPr>
        <w:pStyle w:val="Heading1"/>
      </w:pPr>
      <w:r>
        <w:t>Health Insurance in Massachusetts: The Basics</w:t>
      </w:r>
    </w:p>
    <w:p w14:paraId="356AD1A4" w14:textId="77777777" w:rsidR="004E5CD8" w:rsidRDefault="004E5CD8"/>
    <w:p w14:paraId="7C174EEA" w14:textId="77777777" w:rsidR="00723A58" w:rsidRPr="00723A58" w:rsidRDefault="00723A58" w:rsidP="00723A58">
      <w:r w:rsidRPr="00723A58">
        <w:rPr>
          <w:i/>
          <w:iCs/>
        </w:rPr>
        <w:t>Transitions from Acute Care to Post Acute Care Task Force</w:t>
      </w:r>
    </w:p>
    <w:p w14:paraId="253B51EF" w14:textId="77777777" w:rsidR="00723A58" w:rsidRPr="00723A58" w:rsidRDefault="00723A58" w:rsidP="00723A58">
      <w:r w:rsidRPr="00723A58">
        <w:rPr>
          <w:i/>
          <w:iCs/>
        </w:rPr>
        <w:t>February 5, 2025</w:t>
      </w:r>
    </w:p>
    <w:p w14:paraId="75CE0A74" w14:textId="6FC2F917" w:rsidR="00BA210C" w:rsidRDefault="00723A58" w:rsidP="00723A58">
      <w:r w:rsidRPr="00723A58">
        <w:rPr>
          <w:i/>
          <w:iCs/>
        </w:rPr>
        <w:t xml:space="preserve">Liz Leahy, Massachusetts Association of Health Plans </w:t>
      </w:r>
      <w:r w:rsidR="00000000">
        <w:br w:type="page"/>
      </w:r>
    </w:p>
    <w:p w14:paraId="05E3A33E" w14:textId="007BFB96" w:rsidR="00BA210C" w:rsidRDefault="00E97C2B">
      <w:pPr>
        <w:pStyle w:val="Heading1"/>
      </w:pPr>
      <w:r>
        <w:lastRenderedPageBreak/>
        <w:t>CHAPTER 197 OF THE ACTS of 2024</w:t>
      </w:r>
    </w:p>
    <w:p w14:paraId="7E9E7670" w14:textId="086103BA" w:rsidR="00E97C2B" w:rsidRPr="00E97C2B" w:rsidRDefault="00E97C2B" w:rsidP="00E97C2B">
      <w:r w:rsidRPr="00E97C2B">
        <w:t xml:space="preserve">(a) There shall be a task force to study and propose recommendations to </w:t>
      </w:r>
      <w:r>
        <w:t>a</w:t>
      </w:r>
      <w:r w:rsidRPr="00E97C2B">
        <w:t xml:space="preserve">ddress acute care hospital throughput challenges and the impact of persistent delays in discharging patients from acute to post-acute care settings. </w:t>
      </w:r>
    </w:p>
    <w:p w14:paraId="20329F19" w14:textId="77777777" w:rsidR="00E97C2B" w:rsidRPr="00E97C2B" w:rsidRDefault="00E97C2B" w:rsidP="00E97C2B">
      <w:r w:rsidRPr="00E97C2B">
        <w:t xml:space="preserve">The task force shall examine: </w:t>
      </w:r>
    </w:p>
    <w:p w14:paraId="510E5806" w14:textId="77777777" w:rsidR="00E97C2B" w:rsidRPr="00E97C2B" w:rsidRDefault="00E97C2B" w:rsidP="00E97C2B">
      <w:pPr>
        <w:numPr>
          <w:ilvl w:val="0"/>
          <w:numId w:val="21"/>
        </w:numPr>
      </w:pPr>
      <w:r w:rsidRPr="00E97C2B">
        <w:t xml:space="preserve">(i) hospital discharge planning and case management </w:t>
      </w:r>
      <w:proofErr w:type="gramStart"/>
      <w:r w:rsidRPr="00E97C2B">
        <w:t>practices;</w:t>
      </w:r>
      <w:proofErr w:type="gramEnd"/>
      <w:r w:rsidRPr="00E97C2B">
        <w:t xml:space="preserve"> </w:t>
      </w:r>
    </w:p>
    <w:p w14:paraId="2E53C522" w14:textId="77777777" w:rsidR="00E97C2B" w:rsidRPr="00E97C2B" w:rsidRDefault="00E97C2B" w:rsidP="00E97C2B">
      <w:pPr>
        <w:numPr>
          <w:ilvl w:val="0"/>
          <w:numId w:val="21"/>
        </w:numPr>
      </w:pPr>
      <w:r w:rsidRPr="00E97C2B">
        <w:rPr>
          <w:highlight w:val="yellow"/>
        </w:rPr>
        <w:t xml:space="preserve">(ii) payer administrative barriers to </w:t>
      </w:r>
      <w:proofErr w:type="gramStart"/>
      <w:r w:rsidRPr="00E97C2B">
        <w:rPr>
          <w:highlight w:val="yellow"/>
        </w:rPr>
        <w:t>discharge;</w:t>
      </w:r>
      <w:proofErr w:type="gramEnd"/>
      <w:r w:rsidRPr="00E97C2B">
        <w:t xml:space="preserve"> </w:t>
      </w:r>
    </w:p>
    <w:p w14:paraId="5EBE72DB" w14:textId="77777777" w:rsidR="00E97C2B" w:rsidRPr="00E97C2B" w:rsidRDefault="00E97C2B" w:rsidP="00E97C2B">
      <w:pPr>
        <w:numPr>
          <w:ilvl w:val="0"/>
          <w:numId w:val="21"/>
        </w:numPr>
      </w:pPr>
      <w:r w:rsidRPr="00E97C2B">
        <w:t xml:space="preserve">(iii) legal and regulatory barriers to </w:t>
      </w:r>
      <w:proofErr w:type="gramStart"/>
      <w:r w:rsidRPr="00E97C2B">
        <w:t>discharge;</w:t>
      </w:r>
      <w:proofErr w:type="gramEnd"/>
      <w:r w:rsidRPr="00E97C2B">
        <w:t xml:space="preserve"> </w:t>
      </w:r>
    </w:p>
    <w:p w14:paraId="4B491CAA" w14:textId="77777777" w:rsidR="00E97C2B" w:rsidRPr="00E97C2B" w:rsidRDefault="00E97C2B" w:rsidP="00E97C2B">
      <w:pPr>
        <w:numPr>
          <w:ilvl w:val="0"/>
          <w:numId w:val="21"/>
        </w:numPr>
      </w:pPr>
      <w:r w:rsidRPr="00E97C2B">
        <w:t xml:space="preserve">(iv) efforts to increase public awareness of health care proxies and the importance of designating a health care </w:t>
      </w:r>
      <w:proofErr w:type="gramStart"/>
      <w:r w:rsidRPr="00E97C2B">
        <w:t>agent;</w:t>
      </w:r>
      <w:proofErr w:type="gramEnd"/>
      <w:r w:rsidRPr="00E97C2B">
        <w:t xml:space="preserve"> </w:t>
      </w:r>
    </w:p>
    <w:p w14:paraId="4EDD8F2E" w14:textId="77777777" w:rsidR="00E97C2B" w:rsidRPr="00E97C2B" w:rsidRDefault="00E97C2B" w:rsidP="00E97C2B">
      <w:pPr>
        <w:numPr>
          <w:ilvl w:val="0"/>
          <w:numId w:val="21"/>
        </w:numPr>
      </w:pPr>
      <w:r w:rsidRPr="00E97C2B">
        <w:t xml:space="preserve">(v) post-acute care capacity constraints and additional opportunities to provide financial incentives to increase </w:t>
      </w:r>
      <w:proofErr w:type="gramStart"/>
      <w:r w:rsidRPr="00E97C2B">
        <w:t>capacity;</w:t>
      </w:r>
      <w:proofErr w:type="gramEnd"/>
      <w:r w:rsidRPr="00E97C2B">
        <w:t xml:space="preserve"> </w:t>
      </w:r>
    </w:p>
    <w:p w14:paraId="24CAC75B" w14:textId="77777777" w:rsidR="00E97C2B" w:rsidRPr="00E97C2B" w:rsidRDefault="00E97C2B" w:rsidP="00E97C2B">
      <w:pPr>
        <w:numPr>
          <w:ilvl w:val="0"/>
          <w:numId w:val="21"/>
        </w:numPr>
      </w:pPr>
      <w:r w:rsidRPr="00E97C2B">
        <w:t xml:space="preserve">(vi) administrative day rates and the cost to hospitals of discharge </w:t>
      </w:r>
      <w:proofErr w:type="gramStart"/>
      <w:r w:rsidRPr="00E97C2B">
        <w:t>delays;</w:t>
      </w:r>
      <w:proofErr w:type="gramEnd"/>
      <w:r w:rsidRPr="00E97C2B">
        <w:t xml:space="preserve"> </w:t>
      </w:r>
    </w:p>
    <w:p w14:paraId="124EBA44" w14:textId="77777777" w:rsidR="00E97C2B" w:rsidRPr="00E97C2B" w:rsidRDefault="00E97C2B" w:rsidP="00E97C2B">
      <w:pPr>
        <w:numPr>
          <w:ilvl w:val="0"/>
          <w:numId w:val="21"/>
        </w:numPr>
      </w:pPr>
      <w:r w:rsidRPr="00E97C2B">
        <w:t xml:space="preserve">(vii) enhanced hospital case management practices and reimbursement for wraparound </w:t>
      </w:r>
      <w:proofErr w:type="gramStart"/>
      <w:r w:rsidRPr="00E97C2B">
        <w:t>services;</w:t>
      </w:r>
      <w:proofErr w:type="gramEnd"/>
    </w:p>
    <w:p w14:paraId="714C6BC3" w14:textId="77777777" w:rsidR="00E97C2B" w:rsidRPr="00E97C2B" w:rsidRDefault="00E97C2B" w:rsidP="00E97C2B">
      <w:pPr>
        <w:numPr>
          <w:ilvl w:val="0"/>
          <w:numId w:val="21"/>
        </w:numPr>
      </w:pPr>
      <w:r w:rsidRPr="00E97C2B">
        <w:t xml:space="preserve">(viii) the adequacy of post-acute care facility insurance networks and the establishment of an out-of-network rate for post-acute care </w:t>
      </w:r>
      <w:proofErr w:type="gramStart"/>
      <w:r w:rsidRPr="00E97C2B">
        <w:t>facilities;</w:t>
      </w:r>
      <w:proofErr w:type="gramEnd"/>
      <w:r w:rsidRPr="00E97C2B">
        <w:t xml:space="preserve"> </w:t>
      </w:r>
    </w:p>
    <w:p w14:paraId="1BCF065D" w14:textId="77777777" w:rsidR="00E97C2B" w:rsidRPr="00E97C2B" w:rsidRDefault="00E97C2B" w:rsidP="00E97C2B">
      <w:pPr>
        <w:numPr>
          <w:ilvl w:val="0"/>
          <w:numId w:val="21"/>
        </w:numPr>
      </w:pPr>
      <w:r w:rsidRPr="00E97C2B">
        <w:t xml:space="preserve">(ix) expanding MassHealth Limited coverage to include post-acute and long-term care </w:t>
      </w:r>
      <w:proofErr w:type="gramStart"/>
      <w:r w:rsidRPr="00E97C2B">
        <w:t>services;</w:t>
      </w:r>
      <w:proofErr w:type="gramEnd"/>
      <w:r w:rsidRPr="00E97C2B">
        <w:t xml:space="preserve"> </w:t>
      </w:r>
    </w:p>
    <w:p w14:paraId="7033CE43" w14:textId="77777777" w:rsidR="00E97C2B" w:rsidRPr="00E97C2B" w:rsidRDefault="00E97C2B" w:rsidP="00E97C2B">
      <w:pPr>
        <w:numPr>
          <w:ilvl w:val="0"/>
          <w:numId w:val="21"/>
        </w:numPr>
      </w:pPr>
      <w:r w:rsidRPr="00E97C2B">
        <w:t xml:space="preserve">(x) the effectiveness of interagency coordination to resolve complex case </w:t>
      </w:r>
      <w:proofErr w:type="gramStart"/>
      <w:r w:rsidRPr="00E97C2B">
        <w:t>discharges;</w:t>
      </w:r>
      <w:proofErr w:type="gramEnd"/>
      <w:r w:rsidRPr="00E97C2B">
        <w:t xml:space="preserve"> </w:t>
      </w:r>
    </w:p>
    <w:p w14:paraId="0E7CCE30" w14:textId="77777777" w:rsidR="00E97C2B" w:rsidRPr="00E97C2B" w:rsidRDefault="00E97C2B" w:rsidP="00E97C2B">
      <w:pPr>
        <w:numPr>
          <w:ilvl w:val="0"/>
          <w:numId w:val="21"/>
        </w:numPr>
      </w:pPr>
      <w:r w:rsidRPr="00E97C2B">
        <w:t xml:space="preserve">(xi) the adequacy of reimbursement rates of MassHealth and commercial carriers for nonemergency medical </w:t>
      </w:r>
      <w:proofErr w:type="gramStart"/>
      <w:r w:rsidRPr="00E97C2B">
        <w:t>transportation;</w:t>
      </w:r>
      <w:proofErr w:type="gramEnd"/>
      <w:r w:rsidRPr="00E97C2B">
        <w:t xml:space="preserve"> </w:t>
      </w:r>
    </w:p>
    <w:p w14:paraId="64FEC600" w14:textId="77777777" w:rsidR="00E97C2B" w:rsidRPr="00E97C2B" w:rsidRDefault="00E97C2B" w:rsidP="00E97C2B">
      <w:pPr>
        <w:numPr>
          <w:ilvl w:val="0"/>
          <w:numId w:val="21"/>
        </w:numPr>
      </w:pPr>
      <w:r w:rsidRPr="00E97C2B">
        <w:t xml:space="preserve">(xii) opportunities to expand coverage and reimbursement for services delivered by mobile integrated health programs certified by the department of public health and by participating providers in the federal Centers for Medicare and Medicaid Services acute hospital care at home </w:t>
      </w:r>
      <w:proofErr w:type="gramStart"/>
      <w:r w:rsidRPr="00E97C2B">
        <w:t>program;</w:t>
      </w:r>
      <w:proofErr w:type="gramEnd"/>
      <w:r w:rsidRPr="00E97C2B">
        <w:t xml:space="preserve"> </w:t>
      </w:r>
    </w:p>
    <w:p w14:paraId="1CFEE18B" w14:textId="77777777" w:rsidR="00E97C2B" w:rsidRPr="00E97C2B" w:rsidRDefault="00E97C2B" w:rsidP="00E97C2B">
      <w:pPr>
        <w:numPr>
          <w:ilvl w:val="0"/>
          <w:numId w:val="21"/>
        </w:numPr>
      </w:pPr>
      <w:r w:rsidRPr="00E97C2B">
        <w:t>(xiii) alternative transportation options for patients being discharged and transferred to post-acute care facilities or home health agencies; and</w:t>
      </w:r>
    </w:p>
    <w:p w14:paraId="791F486A" w14:textId="77777777" w:rsidR="00E97C2B" w:rsidRPr="00E97C2B" w:rsidRDefault="00E97C2B" w:rsidP="00E97C2B">
      <w:pPr>
        <w:numPr>
          <w:ilvl w:val="0"/>
          <w:numId w:val="21"/>
        </w:numPr>
      </w:pPr>
      <w:r w:rsidRPr="00E97C2B">
        <w:t xml:space="preserve">(xiv) the adequacy of state resources and infrastructure to place complex case discharges in appropriate post-acute care settings, including, but not limited to, patients with dementia diagnoses, geriatric patients with psychiatric diagnoses, patients with behavioral health diagnoses, patients with substance use disorder diagnoses, justice-involved patients and patients who have been unable to find an appropriate placement for post-acute care for 6 months or longer. </w:t>
      </w:r>
    </w:p>
    <w:p w14:paraId="2FEC7005" w14:textId="77777777" w:rsidR="00E97C2B" w:rsidRDefault="00E97C2B"/>
    <w:p w14:paraId="33402248" w14:textId="77777777" w:rsidR="00E97C2B" w:rsidRDefault="00E97C2B"/>
    <w:p w14:paraId="4AEECB6D" w14:textId="530627EF" w:rsidR="002B15C3" w:rsidRDefault="00E97C2B" w:rsidP="002B15C3">
      <w:pPr>
        <w:pStyle w:val="Heading1"/>
      </w:pPr>
      <w:r>
        <w:t>TYPES OF INSURANCE COVERAGE IN MASSACHUSETTS</w:t>
      </w:r>
    </w:p>
    <w:p w14:paraId="2856F408" w14:textId="77777777" w:rsidR="00E97C2B" w:rsidRPr="00E97C2B" w:rsidRDefault="00E97C2B" w:rsidP="00E97C2B">
      <w:r w:rsidRPr="00E97C2B">
        <w:t xml:space="preserve">Employer Sponsored </w:t>
      </w:r>
    </w:p>
    <w:p w14:paraId="09AF1036" w14:textId="77777777" w:rsidR="00E97C2B" w:rsidRDefault="00E97C2B" w:rsidP="00E97C2B">
      <w:r w:rsidRPr="00E97C2B">
        <w:t>• Fully insured</w:t>
      </w:r>
    </w:p>
    <w:p w14:paraId="654ED64D" w14:textId="77777777" w:rsidR="00E97C2B" w:rsidRDefault="00E97C2B" w:rsidP="00E97C2B">
      <w:r w:rsidRPr="00E97C2B">
        <w:t>• Self insured</w:t>
      </w:r>
    </w:p>
    <w:p w14:paraId="2ADC9506" w14:textId="5350FEE1" w:rsidR="00E97C2B" w:rsidRPr="00E97C2B" w:rsidRDefault="00E97C2B" w:rsidP="00E97C2B">
      <w:r w:rsidRPr="00E97C2B">
        <w:t xml:space="preserve">• </w:t>
      </w:r>
      <w:proofErr w:type="spellStart"/>
      <w:r w:rsidRPr="00E97C2B">
        <w:t>GIC</w:t>
      </w:r>
      <w:proofErr w:type="spellEnd"/>
      <w:r w:rsidRPr="00E97C2B">
        <w:t xml:space="preserve"> </w:t>
      </w:r>
    </w:p>
    <w:p w14:paraId="27A967AF" w14:textId="77777777" w:rsidR="00E97C2B" w:rsidRDefault="00E97C2B" w:rsidP="00E97C2B"/>
    <w:p w14:paraId="6B4DD0E8" w14:textId="73E4B2B9" w:rsidR="00E97C2B" w:rsidRPr="00E97C2B" w:rsidRDefault="00E97C2B" w:rsidP="00E97C2B">
      <w:r w:rsidRPr="00E97C2B">
        <w:t xml:space="preserve">Health Connector </w:t>
      </w:r>
    </w:p>
    <w:p w14:paraId="500DBE0B" w14:textId="77777777" w:rsidR="00E97C2B" w:rsidRDefault="00E97C2B" w:rsidP="00E97C2B">
      <w:r w:rsidRPr="00E97C2B">
        <w:t xml:space="preserve">• </w:t>
      </w:r>
      <w:proofErr w:type="spellStart"/>
      <w:r w:rsidRPr="00E97C2B">
        <w:t>ConnectorCare</w:t>
      </w:r>
      <w:proofErr w:type="spellEnd"/>
    </w:p>
    <w:p w14:paraId="23544A4C" w14:textId="7EA30BEF" w:rsidR="00E97C2B" w:rsidRPr="00E97C2B" w:rsidRDefault="00E97C2B" w:rsidP="00E97C2B">
      <w:r w:rsidRPr="00E97C2B">
        <w:t xml:space="preserve">• Individual, family, small business </w:t>
      </w:r>
    </w:p>
    <w:p w14:paraId="597AA77B" w14:textId="77777777" w:rsidR="00E97C2B" w:rsidRDefault="00E97C2B" w:rsidP="00E97C2B"/>
    <w:p w14:paraId="73B2FC61" w14:textId="3A408D54" w:rsidR="00E97C2B" w:rsidRPr="00E97C2B" w:rsidRDefault="00E97C2B" w:rsidP="00E97C2B">
      <w:r w:rsidRPr="00E97C2B">
        <w:t xml:space="preserve">Medicaid </w:t>
      </w:r>
    </w:p>
    <w:p w14:paraId="716ECD4E" w14:textId="77777777" w:rsidR="00E97C2B" w:rsidRDefault="00E97C2B" w:rsidP="00E97C2B">
      <w:r w:rsidRPr="00E97C2B">
        <w:t>• FFS</w:t>
      </w:r>
    </w:p>
    <w:p w14:paraId="111D1671" w14:textId="77777777" w:rsidR="00E97C2B" w:rsidRDefault="00E97C2B" w:rsidP="00E97C2B">
      <w:r w:rsidRPr="00E97C2B">
        <w:t>• ACO/</w:t>
      </w:r>
      <w:proofErr w:type="spellStart"/>
      <w:r w:rsidRPr="00E97C2B">
        <w:t>MCO</w:t>
      </w:r>
      <w:proofErr w:type="spellEnd"/>
    </w:p>
    <w:p w14:paraId="34890CFA" w14:textId="6D2720AA" w:rsidR="00E97C2B" w:rsidRPr="00E97C2B" w:rsidRDefault="00E97C2B" w:rsidP="00E97C2B">
      <w:r w:rsidRPr="00E97C2B">
        <w:t xml:space="preserve">• ACO </w:t>
      </w:r>
    </w:p>
    <w:p w14:paraId="2F751C2A" w14:textId="77777777" w:rsidR="00E97C2B" w:rsidRDefault="00E97C2B" w:rsidP="00E97C2B"/>
    <w:p w14:paraId="08C3907D" w14:textId="23F2AA1F" w:rsidR="00E97C2B" w:rsidRPr="00E97C2B" w:rsidRDefault="00E97C2B" w:rsidP="00E97C2B">
      <w:r w:rsidRPr="00E97C2B">
        <w:t xml:space="preserve">Medicare </w:t>
      </w:r>
    </w:p>
    <w:p w14:paraId="64CB5D24" w14:textId="77777777" w:rsidR="00E97C2B" w:rsidRDefault="00E97C2B" w:rsidP="00E97C2B">
      <w:r w:rsidRPr="00E97C2B">
        <w:t>• Original Medicare</w:t>
      </w:r>
    </w:p>
    <w:p w14:paraId="4290E004" w14:textId="60C0F030" w:rsidR="002B15C3" w:rsidRDefault="00E97C2B" w:rsidP="00E97C2B">
      <w:r w:rsidRPr="00E97C2B">
        <w:t>• Medicare Advantage</w:t>
      </w:r>
    </w:p>
    <w:p w14:paraId="7AF73B03" w14:textId="77777777" w:rsidR="002B15C3" w:rsidRDefault="002B15C3"/>
    <w:p w14:paraId="55757933" w14:textId="77777777" w:rsidR="00E97C2B" w:rsidRDefault="00E97C2B"/>
    <w:p w14:paraId="0F09A5C0" w14:textId="77777777" w:rsidR="00E97C2B" w:rsidRPr="00E97C2B" w:rsidRDefault="00E97C2B" w:rsidP="00E97C2B">
      <w:r w:rsidRPr="00E97C2B">
        <w:t xml:space="preserve">One Care &amp; SCO </w:t>
      </w:r>
    </w:p>
    <w:p w14:paraId="6F1EE37A" w14:textId="3203A356" w:rsidR="00E97C2B" w:rsidRDefault="00E97C2B" w:rsidP="00E97C2B">
      <w:r>
        <w:t>Dual-eligible Medicare/Medicaid</w:t>
      </w:r>
    </w:p>
    <w:p w14:paraId="5395FEBC" w14:textId="77777777" w:rsidR="00E97C2B" w:rsidRDefault="00E97C2B" w:rsidP="00E97C2B"/>
    <w:p w14:paraId="258D5287" w14:textId="6539A294" w:rsidR="00E97C2B" w:rsidRPr="00E97C2B" w:rsidRDefault="00E97C2B" w:rsidP="00E97C2B">
      <w:pPr>
        <w:pStyle w:val="ListParagraph"/>
        <w:numPr>
          <w:ilvl w:val="0"/>
          <w:numId w:val="22"/>
        </w:numPr>
      </w:pPr>
      <w:r w:rsidRPr="00E97C2B">
        <w:t xml:space="preserve">State legislative or regulatory action on commercial insurance can only impact the </w:t>
      </w:r>
      <w:proofErr w:type="gramStart"/>
      <w:r w:rsidRPr="00E97C2B">
        <w:t>fully-insured</w:t>
      </w:r>
      <w:proofErr w:type="gramEnd"/>
      <w:r w:rsidRPr="00E97C2B">
        <w:t xml:space="preserve"> market. </w:t>
      </w:r>
    </w:p>
    <w:p w14:paraId="32DCB6B9" w14:textId="3C5A5C52" w:rsidR="00E97C2B" w:rsidRPr="00E97C2B" w:rsidRDefault="00E97C2B" w:rsidP="00E97C2B">
      <w:pPr>
        <w:pStyle w:val="ListParagraph"/>
        <w:numPr>
          <w:ilvl w:val="0"/>
          <w:numId w:val="22"/>
        </w:numPr>
      </w:pPr>
      <w:r w:rsidRPr="00E97C2B">
        <w:t xml:space="preserve">State legislative or regulatory action on public programs can only impact Medicaid. </w:t>
      </w:r>
    </w:p>
    <w:p w14:paraId="17758774" w14:textId="71949073" w:rsidR="00E97C2B" w:rsidRDefault="00E97C2B" w:rsidP="00E97C2B"/>
    <w:p w14:paraId="734D7AB0" w14:textId="77777777" w:rsidR="00E97C2B" w:rsidRDefault="00E97C2B" w:rsidP="00E97C2B"/>
    <w:p w14:paraId="0E706FDB" w14:textId="77777777" w:rsidR="00E97C2B" w:rsidRDefault="00E97C2B" w:rsidP="00E97C2B"/>
    <w:p w14:paraId="065FE17F" w14:textId="468FB29C" w:rsidR="002B15C3" w:rsidRDefault="00D71A2D" w:rsidP="002B15C3">
      <w:pPr>
        <w:pStyle w:val="Heading1"/>
      </w:pPr>
      <w:r>
        <w:t>M</w:t>
      </w:r>
      <w:r w:rsidR="002B15C3">
        <w:t>a</w:t>
      </w:r>
      <w:r>
        <w:t>ssachusetts Health In</w:t>
      </w:r>
      <w:r w:rsidR="002B15C3">
        <w:t>s</w:t>
      </w:r>
      <w:r>
        <w:t>urance Coverage – March 15, 2024</w:t>
      </w:r>
    </w:p>
    <w:p w14:paraId="1A08CAEA" w14:textId="147CE462" w:rsidR="002B15C3" w:rsidRPr="002B15C3" w:rsidRDefault="00D71A2D" w:rsidP="002B15C3">
      <w:r>
        <w:t>[Pie chart depicting the percentage of each type of coverage]</w:t>
      </w:r>
    </w:p>
    <w:p w14:paraId="6E8D241A" w14:textId="77777777" w:rsidR="00D71A2D" w:rsidRDefault="00D71A2D" w:rsidP="002B15C3"/>
    <w:p w14:paraId="0634EBC7" w14:textId="77777777" w:rsidR="002B15C3" w:rsidRDefault="002B15C3" w:rsidP="002B15C3"/>
    <w:p w14:paraId="7D5CCC5A" w14:textId="15DEFB62" w:rsidR="002B15C3" w:rsidRDefault="0018437E" w:rsidP="002B15C3">
      <w:pPr>
        <w:pStyle w:val="Heading1"/>
      </w:pPr>
      <w:r w:rsidRPr="0018437E">
        <w:t>STATE AND FEDERAL OVERSIGHT OF HEALTH INSURANCE</w:t>
      </w:r>
    </w:p>
    <w:p w14:paraId="7D81680B" w14:textId="77777777" w:rsidR="0018437E" w:rsidRDefault="0018437E" w:rsidP="0018437E"/>
    <w:p w14:paraId="0F2EF04F" w14:textId="77777777" w:rsidR="0018437E" w:rsidRDefault="0018437E" w:rsidP="0018437E">
      <w:pPr>
        <w:pStyle w:val="ListParagraph"/>
        <w:numPr>
          <w:ilvl w:val="0"/>
          <w:numId w:val="24"/>
        </w:numPr>
      </w:pPr>
      <w:r w:rsidRPr="0018437E">
        <w:t>Fully Insured Coverage – Subject to state regulation (see Chapter 175, 176)</w:t>
      </w:r>
    </w:p>
    <w:p w14:paraId="2E10E93E" w14:textId="77777777" w:rsidR="0018437E" w:rsidRDefault="0018437E" w:rsidP="0018437E">
      <w:pPr>
        <w:pStyle w:val="ListParagraph"/>
        <w:numPr>
          <w:ilvl w:val="0"/>
          <w:numId w:val="24"/>
        </w:numPr>
      </w:pPr>
      <w:proofErr w:type="spellStart"/>
      <w:r w:rsidRPr="0018437E">
        <w:t>Self Insured</w:t>
      </w:r>
      <w:proofErr w:type="spellEnd"/>
      <w:r w:rsidRPr="0018437E">
        <w:t xml:space="preserve"> Coverage – ERISA Preemption: Section 514, makes void all state laws to the extent that they “relate to” employer-sponsored health plans. This clause states that “the provisions of [ERISA] shall supersede any and all State laws insofar as they may now or hereafter relate to any employee benefit plan....”</w:t>
      </w:r>
    </w:p>
    <w:p w14:paraId="2012E576" w14:textId="77777777" w:rsidR="0018437E" w:rsidRDefault="0018437E" w:rsidP="0018437E">
      <w:pPr>
        <w:pStyle w:val="ListParagraph"/>
        <w:numPr>
          <w:ilvl w:val="0"/>
          <w:numId w:val="24"/>
        </w:numPr>
      </w:pPr>
      <w:r w:rsidRPr="0018437E">
        <w:t>Connector Coverage – Subject to ACA requirements, state law and regulation</w:t>
      </w:r>
    </w:p>
    <w:p w14:paraId="75EE8C7C" w14:textId="77777777" w:rsidR="0018437E" w:rsidRDefault="0018437E" w:rsidP="0018437E">
      <w:pPr>
        <w:pStyle w:val="ListParagraph"/>
        <w:numPr>
          <w:ilvl w:val="0"/>
          <w:numId w:val="24"/>
        </w:numPr>
      </w:pPr>
      <w:r w:rsidRPr="0018437E">
        <w:t xml:space="preserve">Medicaid Coverage – Subject to state law and CMS requirements, including waiver authorities </w:t>
      </w:r>
    </w:p>
    <w:p w14:paraId="1CBE94F9" w14:textId="77777777" w:rsidR="0018437E" w:rsidRDefault="0018437E" w:rsidP="0018437E">
      <w:pPr>
        <w:pStyle w:val="ListParagraph"/>
        <w:numPr>
          <w:ilvl w:val="0"/>
          <w:numId w:val="24"/>
        </w:numPr>
      </w:pPr>
      <w:r w:rsidRPr="0018437E">
        <w:t>Medicare Coverage – Subject to CMS requirements, federal pre-emption for state regulation.</w:t>
      </w:r>
    </w:p>
    <w:p w14:paraId="507A79A0" w14:textId="4E9A9E7A" w:rsidR="0018437E" w:rsidRPr="0018437E" w:rsidRDefault="0018437E" w:rsidP="0018437E">
      <w:pPr>
        <w:pStyle w:val="ListParagraph"/>
        <w:numPr>
          <w:ilvl w:val="1"/>
          <w:numId w:val="24"/>
        </w:numPr>
      </w:pPr>
      <w:r w:rsidRPr="0018437E">
        <w:t xml:space="preserve">30.2 - Extent of Federal Preemption with Respect to State Regulation of MA Plans (Rev. 101, Issued: 08-19-11, Effective: 08-19-11, Implementation: 08-19-11) All State standards, including those established through case law, are preempted to the extent that they would specifically regulate health plans (including MA plans), with the exceptions of State licensing and solvency laws. Other State health and safety standards, or generally applicable standards, that are not specific to health plans are not preempted. </w:t>
      </w:r>
    </w:p>
    <w:p w14:paraId="0598D8C7" w14:textId="77777777" w:rsidR="0018437E" w:rsidRPr="0018437E" w:rsidRDefault="0018437E" w:rsidP="0018437E">
      <w:pPr>
        <w:numPr>
          <w:ilvl w:val="1"/>
          <w:numId w:val="23"/>
        </w:numPr>
      </w:pPr>
    </w:p>
    <w:p w14:paraId="110E68F5" w14:textId="77777777" w:rsidR="0018437E" w:rsidRDefault="0018437E"/>
    <w:p w14:paraId="7419A57F" w14:textId="77777777" w:rsidR="0018437E" w:rsidRDefault="0018437E"/>
    <w:p w14:paraId="572744F6" w14:textId="487DE40B" w:rsidR="002B15C3" w:rsidRDefault="0061251D" w:rsidP="002B15C3">
      <w:pPr>
        <w:pStyle w:val="Heading1"/>
      </w:pPr>
      <w:r w:rsidRPr="0061251D">
        <w:t>EMPLOYER SPONSORED COMMERCIAL COVERAGE: FULLY INSURED &amp; SELF INSURED</w:t>
      </w:r>
    </w:p>
    <w:p w14:paraId="188D82D0" w14:textId="5B531825" w:rsidR="002B15C3" w:rsidRDefault="000619BF" w:rsidP="002B15C3">
      <w:r>
        <w:t>[Pie chart depicting enrollment by funding type: 3/15/2024]</w:t>
      </w:r>
    </w:p>
    <w:p w14:paraId="36888E21" w14:textId="77777777" w:rsidR="000619BF" w:rsidRDefault="000619BF" w:rsidP="002B15C3"/>
    <w:p w14:paraId="66F6ECA9" w14:textId="77777777" w:rsidR="000619BF" w:rsidRPr="000619BF" w:rsidRDefault="000619BF" w:rsidP="000619BF">
      <w:r w:rsidRPr="000619BF">
        <w:rPr>
          <w:b/>
          <w:bCs/>
          <w:i/>
          <w:iCs/>
        </w:rPr>
        <w:t>What does “fully insured” mean?</w:t>
      </w:r>
    </w:p>
    <w:p w14:paraId="29E20628" w14:textId="77777777" w:rsidR="000619BF" w:rsidRPr="000619BF" w:rsidRDefault="000619BF" w:rsidP="000619BF">
      <w:pPr>
        <w:numPr>
          <w:ilvl w:val="0"/>
          <w:numId w:val="27"/>
        </w:numPr>
      </w:pPr>
      <w:r w:rsidRPr="000619BF">
        <w:t>The employer contracts with a health plan to cover a portion of medical costs for its employees and their dependents.</w:t>
      </w:r>
    </w:p>
    <w:p w14:paraId="5F13028C" w14:textId="77777777" w:rsidR="000619BF" w:rsidRPr="000619BF" w:rsidRDefault="000619BF" w:rsidP="000619BF">
      <w:pPr>
        <w:numPr>
          <w:ilvl w:val="0"/>
          <w:numId w:val="27"/>
        </w:numPr>
      </w:pPr>
      <w:r w:rsidRPr="000619BF">
        <w:t xml:space="preserve">Small to </w:t>
      </w:r>
      <w:proofErr w:type="gramStart"/>
      <w:r w:rsidRPr="000619BF">
        <w:t>midsize</w:t>
      </w:r>
      <w:proofErr w:type="gramEnd"/>
      <w:r w:rsidRPr="000619BF">
        <w:t xml:space="preserve"> businesses are typically </w:t>
      </w:r>
      <w:proofErr w:type="gramStart"/>
      <w:r w:rsidRPr="000619BF">
        <w:t>fully-insured</w:t>
      </w:r>
      <w:proofErr w:type="gramEnd"/>
      <w:r w:rsidRPr="000619BF">
        <w:t xml:space="preserve">. </w:t>
      </w:r>
    </w:p>
    <w:p w14:paraId="7755A2C7" w14:textId="77777777" w:rsidR="000619BF" w:rsidRPr="000619BF" w:rsidRDefault="000619BF" w:rsidP="000619BF"/>
    <w:p w14:paraId="2B52980B" w14:textId="77777777" w:rsidR="000619BF" w:rsidRPr="000619BF" w:rsidRDefault="000619BF" w:rsidP="000619BF">
      <w:r w:rsidRPr="000619BF">
        <w:rPr>
          <w:b/>
          <w:bCs/>
          <w:i/>
          <w:iCs/>
        </w:rPr>
        <w:t>What does “self-insured” mean?</w:t>
      </w:r>
    </w:p>
    <w:p w14:paraId="1A9F9944" w14:textId="77777777" w:rsidR="000619BF" w:rsidRPr="000619BF" w:rsidRDefault="000619BF" w:rsidP="000619BF">
      <w:pPr>
        <w:numPr>
          <w:ilvl w:val="0"/>
          <w:numId w:val="28"/>
        </w:numPr>
      </w:pPr>
      <w:r w:rsidRPr="000619BF">
        <w:t>The employer assumes financial responsibility and risk for its employees and their dependents’ medical claims.</w:t>
      </w:r>
    </w:p>
    <w:p w14:paraId="77C7932D" w14:textId="77777777" w:rsidR="000619BF" w:rsidRPr="000619BF" w:rsidRDefault="000619BF" w:rsidP="000619BF">
      <w:pPr>
        <w:numPr>
          <w:ilvl w:val="0"/>
          <w:numId w:val="28"/>
        </w:numPr>
      </w:pPr>
      <w:r w:rsidRPr="000619BF">
        <w:t>Larger companies and businesses are typically self-insured.</w:t>
      </w:r>
    </w:p>
    <w:p w14:paraId="3AA82910" w14:textId="77777777" w:rsidR="000619BF" w:rsidRDefault="000619BF" w:rsidP="002B15C3"/>
    <w:p w14:paraId="7DA4B45B" w14:textId="77777777" w:rsidR="000619BF" w:rsidRDefault="000619BF" w:rsidP="002B15C3"/>
    <w:p w14:paraId="7125FE5D" w14:textId="77777777" w:rsidR="000619BF" w:rsidRDefault="000619BF" w:rsidP="002B15C3"/>
    <w:p w14:paraId="1C00A20A" w14:textId="77777777" w:rsidR="002B15C3" w:rsidRDefault="002B15C3" w:rsidP="002B15C3"/>
    <w:p w14:paraId="78D9B192" w14:textId="1462C33D" w:rsidR="002B15C3" w:rsidRDefault="000619BF" w:rsidP="005A1A2C">
      <w:pPr>
        <w:pStyle w:val="Heading1"/>
      </w:pPr>
      <w:r>
        <w:t>PRODUCT DESIGN – EMPLOYER &amp; CONSUMER CHOICE</w:t>
      </w:r>
    </w:p>
    <w:p w14:paraId="09747B75" w14:textId="77777777" w:rsidR="000619BF" w:rsidRPr="000619BF" w:rsidRDefault="000619BF" w:rsidP="000619BF">
      <w:r w:rsidRPr="000619BF">
        <w:rPr>
          <w:b/>
          <w:bCs/>
          <w:i/>
          <w:iCs/>
        </w:rPr>
        <w:t xml:space="preserve">Employer and consumer choice of product design has an impact on a consumer’s choice of providers, premium payments, and cost-sharing. </w:t>
      </w:r>
    </w:p>
    <w:p w14:paraId="54B0DCF8" w14:textId="77777777" w:rsidR="000619BF" w:rsidRPr="000619BF" w:rsidRDefault="000619BF" w:rsidP="000619BF">
      <w:pPr>
        <w:numPr>
          <w:ilvl w:val="0"/>
          <w:numId w:val="30"/>
        </w:numPr>
      </w:pPr>
      <w:r w:rsidRPr="000619BF">
        <w:t>HMO – Health Maintenance Organization – lower premiums and cost sharing, coverage for in network care.</w:t>
      </w:r>
    </w:p>
    <w:p w14:paraId="2019E90B" w14:textId="77777777" w:rsidR="000619BF" w:rsidRPr="000619BF" w:rsidRDefault="000619BF" w:rsidP="000619BF">
      <w:pPr>
        <w:numPr>
          <w:ilvl w:val="0"/>
          <w:numId w:val="30"/>
        </w:numPr>
      </w:pPr>
      <w:r w:rsidRPr="000619BF">
        <w:t>POS – Point of Service – higher premiums, OON coverage often with referral.</w:t>
      </w:r>
    </w:p>
    <w:p w14:paraId="1D0E0166" w14:textId="77777777" w:rsidR="000619BF" w:rsidRPr="000619BF" w:rsidRDefault="000619BF" w:rsidP="000619BF">
      <w:pPr>
        <w:numPr>
          <w:ilvl w:val="0"/>
          <w:numId w:val="30"/>
        </w:numPr>
      </w:pPr>
      <w:r w:rsidRPr="000619BF">
        <w:t xml:space="preserve">EPO – Exclusive Provider Organization – higher premiums, broader network. </w:t>
      </w:r>
    </w:p>
    <w:p w14:paraId="3D585496" w14:textId="77777777" w:rsidR="000619BF" w:rsidRPr="000619BF" w:rsidRDefault="000619BF" w:rsidP="000619BF">
      <w:pPr>
        <w:numPr>
          <w:ilvl w:val="0"/>
          <w:numId w:val="30"/>
        </w:numPr>
      </w:pPr>
      <w:r w:rsidRPr="000619BF">
        <w:t xml:space="preserve">PPO – Preferred Provider Organization – higher premiums, more OON coverage without a referral. </w:t>
      </w:r>
    </w:p>
    <w:p w14:paraId="3C84B90E" w14:textId="77777777" w:rsidR="005A1A2C" w:rsidRDefault="005A1A2C"/>
    <w:p w14:paraId="3A6E10DE" w14:textId="77777777" w:rsidR="005A1A2C" w:rsidRDefault="005A1A2C"/>
    <w:p w14:paraId="420F1059" w14:textId="77777777" w:rsidR="000619BF" w:rsidRDefault="000619BF"/>
    <w:p w14:paraId="6F6086D9" w14:textId="77777777" w:rsidR="004B5F33" w:rsidRDefault="004B5F33"/>
    <w:p w14:paraId="485346C5" w14:textId="4D53BB6C" w:rsidR="004B5F33" w:rsidRDefault="002C21E5" w:rsidP="004B5F33">
      <w:pPr>
        <w:pStyle w:val="Heading1"/>
      </w:pPr>
      <w:r w:rsidRPr="002C21E5">
        <w:t>COVERAGE THROUGH THE MA HEALTH CONNECTOR</w:t>
      </w:r>
    </w:p>
    <w:p w14:paraId="44C43CC2" w14:textId="0B74E1C5" w:rsidR="004B5F33" w:rsidRDefault="004B5F33" w:rsidP="004B5F33">
      <w:r>
        <w:t>[</w:t>
      </w:r>
      <w:r w:rsidR="002C21E5">
        <w:t>Table with data on small group qualified health plans</w:t>
      </w:r>
      <w:r>
        <w:t>]</w:t>
      </w:r>
    </w:p>
    <w:p w14:paraId="51543BD9" w14:textId="77777777" w:rsidR="002C21E5" w:rsidRDefault="002C21E5" w:rsidP="004B5F33">
      <w:pPr>
        <w:rPr>
          <w:b/>
          <w:bCs/>
          <w:i/>
          <w:iCs/>
        </w:rPr>
      </w:pPr>
    </w:p>
    <w:p w14:paraId="21C26D26" w14:textId="77777777" w:rsidR="002C21E5" w:rsidRPr="002C21E5" w:rsidRDefault="002C21E5" w:rsidP="002C21E5">
      <w:pPr>
        <w:numPr>
          <w:ilvl w:val="0"/>
          <w:numId w:val="30"/>
        </w:numPr>
      </w:pPr>
      <w:r w:rsidRPr="002C21E5">
        <w:t xml:space="preserve">The Massachusetts Health Connector offers a broad choice of plans for individuals, families and small businesses. </w:t>
      </w:r>
    </w:p>
    <w:p w14:paraId="7A15E001" w14:textId="77777777" w:rsidR="002C21E5" w:rsidRPr="002C21E5" w:rsidRDefault="002C21E5" w:rsidP="002C21E5">
      <w:pPr>
        <w:numPr>
          <w:ilvl w:val="0"/>
          <w:numId w:val="30"/>
        </w:numPr>
      </w:pPr>
      <w:r w:rsidRPr="002C21E5">
        <w:t>Plan designs are prescribed under the Affordable Care Act with oversight through the state’s Seal of Approval Process</w:t>
      </w:r>
      <w:r w:rsidRPr="002C21E5">
        <w:t>.</w:t>
      </w:r>
    </w:p>
    <w:p w14:paraId="42CE87A5" w14:textId="4C05157B" w:rsidR="002C21E5" w:rsidRPr="002C21E5" w:rsidRDefault="002C21E5" w:rsidP="002C21E5">
      <w:pPr>
        <w:numPr>
          <w:ilvl w:val="0"/>
          <w:numId w:val="30"/>
        </w:numPr>
      </w:pPr>
      <w:proofErr w:type="spellStart"/>
      <w:r w:rsidRPr="002C21E5">
        <w:t>ConnectorCare</w:t>
      </w:r>
      <w:proofErr w:type="spellEnd"/>
      <w:r w:rsidRPr="002C21E5">
        <w:t xml:space="preserve"> plans are also available for individuals up to 500% FPL through a pilot program. </w:t>
      </w:r>
    </w:p>
    <w:p w14:paraId="69B10D2C" w14:textId="77777777" w:rsidR="004B5F33" w:rsidRDefault="004B5F33"/>
    <w:p w14:paraId="554A588B" w14:textId="77777777" w:rsidR="00267B2F" w:rsidRDefault="00267B2F"/>
    <w:p w14:paraId="2E4DAA48" w14:textId="77777777" w:rsidR="00C03F4E" w:rsidRDefault="00C03F4E"/>
    <w:p w14:paraId="003E2D39" w14:textId="64249054" w:rsidR="004B5F33" w:rsidRDefault="00C03F4E" w:rsidP="004B5F33">
      <w:pPr>
        <w:pStyle w:val="Heading1"/>
      </w:pPr>
      <w:r>
        <w:t>BENEFIT DESIGN AND CONSUMER CHOICE</w:t>
      </w:r>
    </w:p>
    <w:p w14:paraId="4E0ABA89" w14:textId="240744C8" w:rsidR="00C03F4E" w:rsidRDefault="00C03F4E" w:rsidP="004B5F33">
      <w:r>
        <w:t xml:space="preserve">[Table with 2025 </w:t>
      </w:r>
      <w:proofErr w:type="spellStart"/>
      <w:r>
        <w:t>QHP</w:t>
      </w:r>
      <w:proofErr w:type="spellEnd"/>
      <w:r>
        <w:t xml:space="preserve"> Standardized Designs]</w:t>
      </w:r>
    </w:p>
    <w:p w14:paraId="78DAF658" w14:textId="77777777" w:rsidR="00C03F4E" w:rsidRPr="00C03F4E" w:rsidRDefault="00C03F4E" w:rsidP="00C03F4E"/>
    <w:p w14:paraId="03297620" w14:textId="77777777" w:rsidR="00C03F4E" w:rsidRPr="00C03F4E" w:rsidRDefault="00C03F4E" w:rsidP="00C03F4E">
      <w:pPr>
        <w:numPr>
          <w:ilvl w:val="0"/>
          <w:numId w:val="30"/>
        </w:numPr>
      </w:pPr>
      <w:r w:rsidRPr="00C03F4E">
        <w:t xml:space="preserve">The Affordable Care Act sets strict requirements for </w:t>
      </w:r>
      <w:proofErr w:type="spellStart"/>
      <w:r w:rsidRPr="00C03F4E">
        <w:t>QHPs</w:t>
      </w:r>
      <w:proofErr w:type="spellEnd"/>
      <w:r w:rsidRPr="00C03F4E">
        <w:t xml:space="preserve">, including Out </w:t>
      </w:r>
      <w:proofErr w:type="gramStart"/>
      <w:r w:rsidRPr="00C03F4E">
        <w:t>Of</w:t>
      </w:r>
      <w:proofErr w:type="gramEnd"/>
      <w:r w:rsidRPr="00C03F4E">
        <w:t xml:space="preserve"> Pocket (OOP) maximums set annually for all </w:t>
      </w:r>
      <w:proofErr w:type="gramStart"/>
      <w:r w:rsidRPr="00C03F4E">
        <w:t>out of pocket</w:t>
      </w:r>
      <w:proofErr w:type="gramEnd"/>
      <w:r w:rsidRPr="00C03F4E">
        <w:t xml:space="preserve"> expenses, including prescriptions, deductibles, copayments, and coinsurance, as well as a maximum deductible amount. </w:t>
      </w:r>
    </w:p>
    <w:p w14:paraId="68A54951" w14:textId="5104E9AD" w:rsidR="00C03F4E" w:rsidRPr="00C03F4E" w:rsidRDefault="00C03F4E" w:rsidP="00C03F4E">
      <w:pPr>
        <w:numPr>
          <w:ilvl w:val="0"/>
          <w:numId w:val="30"/>
        </w:numPr>
      </w:pPr>
      <w:r w:rsidRPr="00C03F4E">
        <w:t>Health plans offer products that fit into four metallic tiers based on narrow actuarial value ranges set by the ACA.</w:t>
      </w:r>
    </w:p>
    <w:p w14:paraId="27FAA243" w14:textId="44856697" w:rsidR="00C03F4E" w:rsidRPr="00C03F4E" w:rsidRDefault="00C03F4E" w:rsidP="00C03F4E">
      <w:pPr>
        <w:numPr>
          <w:ilvl w:val="0"/>
          <w:numId w:val="30"/>
        </w:numPr>
      </w:pPr>
      <w:r w:rsidRPr="00C03F4E">
        <w:t xml:space="preserve">Tiers determine the cost sharing ratio between what a Plan Member </w:t>
      </w:r>
      <w:proofErr w:type="gramStart"/>
      <w:r w:rsidRPr="00C03F4E">
        <w:t>pays</w:t>
      </w:r>
      <w:proofErr w:type="gramEnd"/>
      <w:r w:rsidRPr="00C03F4E">
        <w:t xml:space="preserve"> and the Health Plan pays. </w:t>
      </w:r>
    </w:p>
    <w:p w14:paraId="6063109F" w14:textId="77777777" w:rsidR="00C03F4E" w:rsidRDefault="00C03F4E" w:rsidP="00C03F4E"/>
    <w:p w14:paraId="3638B987" w14:textId="77777777" w:rsidR="00C03F4E" w:rsidRDefault="00C03F4E" w:rsidP="004B5F33">
      <w:pPr>
        <w:pStyle w:val="Heading1"/>
      </w:pPr>
    </w:p>
    <w:p w14:paraId="5797284D" w14:textId="77777777" w:rsidR="00C03F4E" w:rsidRDefault="00C03F4E" w:rsidP="004B5F33">
      <w:pPr>
        <w:pStyle w:val="Heading1"/>
      </w:pPr>
    </w:p>
    <w:p w14:paraId="08A7EE8D" w14:textId="25F68985" w:rsidR="004B5F33" w:rsidRDefault="009A23A8" w:rsidP="004B5F33">
      <w:pPr>
        <w:pStyle w:val="Heading1"/>
      </w:pPr>
      <w:r w:rsidRPr="009A23A8">
        <w:t>MASSHEALTH: MEDICAID COVERAGE FOR INDIVIDUALS</w:t>
      </w:r>
    </w:p>
    <w:p w14:paraId="570F8681" w14:textId="77777777" w:rsidR="009A23A8" w:rsidRDefault="009A23A8" w:rsidP="009A23A8"/>
    <w:p w14:paraId="245BA2E5" w14:textId="77777777" w:rsidR="009A23A8" w:rsidRPr="009A23A8" w:rsidRDefault="009A23A8" w:rsidP="009A23A8">
      <w:r w:rsidRPr="009A23A8">
        <w:t xml:space="preserve">Standard </w:t>
      </w:r>
    </w:p>
    <w:p w14:paraId="6A84FC56" w14:textId="77777777" w:rsidR="009A23A8" w:rsidRPr="009A23A8" w:rsidRDefault="009A23A8" w:rsidP="009A23A8">
      <w:r w:rsidRPr="009A23A8">
        <w:t xml:space="preserve">• Provides a full range of health care benefits. •Subject to income, age, and disability requirements. </w:t>
      </w:r>
    </w:p>
    <w:p w14:paraId="0AD16495" w14:textId="77777777" w:rsidR="009A23A8" w:rsidRPr="009A23A8" w:rsidRDefault="009A23A8" w:rsidP="009A23A8">
      <w:r w:rsidRPr="009A23A8">
        <w:t xml:space="preserve">CommonHealth </w:t>
      </w:r>
    </w:p>
    <w:p w14:paraId="1E0C6CD7" w14:textId="77777777" w:rsidR="009A23A8" w:rsidRPr="009A23A8" w:rsidRDefault="009A23A8" w:rsidP="009A23A8">
      <w:r w:rsidRPr="009A23A8">
        <w:t xml:space="preserve">• Provides benefits </w:t>
      </w:r>
      <w:proofErr w:type="gramStart"/>
      <w:r w:rsidRPr="009A23A8">
        <w:t>similar to</w:t>
      </w:r>
      <w:proofErr w:type="gramEnd"/>
      <w:r w:rsidRPr="009A23A8">
        <w:t xml:space="preserve"> MassHealth Standard for disabled adults and children who cannot get MassHealth standard. </w:t>
      </w:r>
    </w:p>
    <w:p w14:paraId="5DB83D3C" w14:textId="77777777" w:rsidR="009A23A8" w:rsidRPr="009A23A8" w:rsidRDefault="009A23A8" w:rsidP="009A23A8">
      <w:r w:rsidRPr="009A23A8">
        <w:t xml:space="preserve">Medicare Savings Program (formally MassHealth Senior Buy-In) </w:t>
      </w:r>
    </w:p>
    <w:p w14:paraId="00120B6E" w14:textId="77777777" w:rsidR="009A23A8" w:rsidRPr="009A23A8" w:rsidRDefault="009A23A8" w:rsidP="009A23A8">
      <w:r w:rsidRPr="009A23A8">
        <w:t xml:space="preserve">•Programs that pay for some or all of Medicare beneficiaries’ premiums, deductibles, copays, and co-insurance. </w:t>
      </w:r>
    </w:p>
    <w:p w14:paraId="4F4D2C43" w14:textId="77777777" w:rsidR="009A23A8" w:rsidRPr="009A23A8" w:rsidRDefault="009A23A8" w:rsidP="009A23A8">
      <w:r w:rsidRPr="009A23A8">
        <w:t xml:space="preserve">Family Assistance </w:t>
      </w:r>
    </w:p>
    <w:p w14:paraId="5EA7F41C" w14:textId="77777777" w:rsidR="009A23A8" w:rsidRPr="009A23A8" w:rsidRDefault="009A23A8" w:rsidP="009A23A8">
      <w:r w:rsidRPr="009A23A8">
        <w:t xml:space="preserve">•Available to residents of Massachusetts who meet the income and asset rules for MassHealth </w:t>
      </w:r>
      <w:proofErr w:type="gramStart"/>
      <w:r w:rsidRPr="009A23A8">
        <w:t>Standard, but</w:t>
      </w:r>
      <w:proofErr w:type="gramEnd"/>
      <w:r w:rsidRPr="009A23A8">
        <w:t xml:space="preserve"> have an immigration status that keeps them from getting MassHealth Standard. </w:t>
      </w:r>
    </w:p>
    <w:p w14:paraId="6C4CC19E" w14:textId="77777777" w:rsidR="009A23A8" w:rsidRPr="009A23A8" w:rsidRDefault="009A23A8" w:rsidP="009A23A8">
      <w:proofErr w:type="spellStart"/>
      <w:r w:rsidRPr="009A23A8">
        <w:t>CarePlus</w:t>
      </w:r>
      <w:proofErr w:type="spellEnd"/>
      <w:r w:rsidRPr="009A23A8">
        <w:t xml:space="preserve"> </w:t>
      </w:r>
    </w:p>
    <w:p w14:paraId="57ACB65E" w14:textId="77777777" w:rsidR="009A23A8" w:rsidRPr="009A23A8" w:rsidRDefault="009A23A8" w:rsidP="009A23A8">
      <w:r w:rsidRPr="009A23A8">
        <w:t xml:space="preserve">•Broad range of benefits available to adults who are not otherwise eligible for MassHealth standard. </w:t>
      </w:r>
      <w:proofErr w:type="gramStart"/>
      <w:r w:rsidRPr="009A23A8">
        <w:t>•Available</w:t>
      </w:r>
      <w:proofErr w:type="gramEnd"/>
      <w:r w:rsidRPr="009A23A8">
        <w:t xml:space="preserve"> up to 133% FPL </w:t>
      </w:r>
    </w:p>
    <w:p w14:paraId="17DD2A9D" w14:textId="77777777" w:rsidR="009A23A8" w:rsidRPr="009A23A8" w:rsidRDefault="009A23A8" w:rsidP="009A23A8">
      <w:r w:rsidRPr="009A23A8">
        <w:t xml:space="preserve">MassHealth Limited </w:t>
      </w:r>
    </w:p>
    <w:p w14:paraId="64EE2162" w14:textId="1AB8832F" w:rsidR="009A23A8" w:rsidRDefault="009A23A8" w:rsidP="009A23A8">
      <w:r w:rsidRPr="009A23A8">
        <w:t xml:space="preserve">•Available to people 65 and older who meet the income and asset rules for MassHealth Standard or MassHealth Family </w:t>
      </w:r>
      <w:proofErr w:type="gramStart"/>
      <w:r w:rsidRPr="009A23A8">
        <w:t>Assistance, but</w:t>
      </w:r>
      <w:proofErr w:type="gramEnd"/>
      <w:r w:rsidRPr="009A23A8">
        <w:t xml:space="preserve"> have an immigration status that keeps them from getting MassHealth Standard or Family Assistance. •MassHealth Limited doesn't pay for long-</w:t>
      </w:r>
      <w:proofErr w:type="gramStart"/>
      <w:r w:rsidRPr="009A23A8">
        <w:t>term-care</w:t>
      </w:r>
      <w:proofErr w:type="gramEnd"/>
      <w:r w:rsidRPr="009A23A8">
        <w:t xml:space="preserve"> services. MassHealth Limited coverage is for emergency medical services only.</w:t>
      </w:r>
    </w:p>
    <w:p w14:paraId="7934A838" w14:textId="77777777" w:rsidR="004B5F33" w:rsidRDefault="004B5F33"/>
    <w:p w14:paraId="50C1AB5C" w14:textId="77777777" w:rsidR="009A23A8" w:rsidRDefault="009A23A8"/>
    <w:p w14:paraId="32177BE3" w14:textId="0AFDCA8D" w:rsidR="004B5F33" w:rsidRDefault="001E3CDF" w:rsidP="004B5F33">
      <w:pPr>
        <w:pStyle w:val="Heading1"/>
      </w:pPr>
      <w:r>
        <w:t>MASSHEALTH INCOME LIMITS VARY FOR DIFFERENT AGES AND ELIGIBILITY GROUPS</w:t>
      </w:r>
    </w:p>
    <w:p w14:paraId="2265AFD6" w14:textId="3D3C0166" w:rsidR="004B5F33" w:rsidRDefault="004B5F33" w:rsidP="004B5F33">
      <w:r>
        <w:t xml:space="preserve">[Bar graphs showing </w:t>
      </w:r>
      <w:r w:rsidR="001E3CDF">
        <w:t>income limits and eligibility groups</w:t>
      </w:r>
      <w:r>
        <w:t>]</w:t>
      </w:r>
    </w:p>
    <w:p w14:paraId="5FE1AADA" w14:textId="77777777" w:rsidR="002B15C3" w:rsidRDefault="002B15C3">
      <w:pPr>
        <w:pStyle w:val="Heading1"/>
      </w:pPr>
    </w:p>
    <w:p w14:paraId="4025332F" w14:textId="77777777" w:rsidR="001E3CDF" w:rsidRPr="001E3CDF" w:rsidRDefault="001E3CDF" w:rsidP="001E3CDF"/>
    <w:p w14:paraId="7A316E85" w14:textId="52C05017" w:rsidR="004B5F33" w:rsidRDefault="00A36F94" w:rsidP="004B5F33">
      <w:pPr>
        <w:pStyle w:val="Heading1"/>
      </w:pPr>
      <w:r>
        <w:t xml:space="preserve">TYPES OF MANAGED CARE IN MASSHEALTH </w:t>
      </w:r>
      <w:r w:rsidR="00A55F3B">
        <w:t>O HAVE MEDICARE]</w:t>
      </w:r>
    </w:p>
    <w:p w14:paraId="1D610E51" w14:textId="77777777" w:rsidR="00A36F94" w:rsidRPr="00A36F94" w:rsidRDefault="00A36F94" w:rsidP="00A36F94">
      <w:proofErr w:type="spellStart"/>
      <w:r w:rsidRPr="00A36F94">
        <w:t>ACOs</w:t>
      </w:r>
      <w:proofErr w:type="spellEnd"/>
      <w:r w:rsidRPr="00A36F94">
        <w:t xml:space="preserve"> </w:t>
      </w:r>
    </w:p>
    <w:p w14:paraId="2F6EF5D2" w14:textId="77777777" w:rsidR="00A36F94" w:rsidRPr="00A36F94" w:rsidRDefault="00A36F94" w:rsidP="00A36F94">
      <w:r w:rsidRPr="00A36F94">
        <w:t xml:space="preserve">•Accountable Care Partnership Plans - groups of primary care providers (PCPs) who work with just one managed care organization to create a full </w:t>
      </w:r>
      <w:r w:rsidRPr="00A36F94">
        <w:rPr>
          <w:i/>
          <w:iCs/>
        </w:rPr>
        <w:t xml:space="preserve">network </w:t>
      </w:r>
      <w:r w:rsidRPr="00A36F94">
        <w:t xml:space="preserve">that includes PCPs, specialists, behavioral health providers, and hospitals. •Primary Care Accountable Care Organizations - groups of primary care providers or PCPs who, together, form an ACO that is responsible for your care and the coordination of your care. The ACO works directly with MassHealth to provide primary care and to coordinate the full range of services for you, along with its other members. Primary Care ACO Plans work with the MassHealth network of specialists and hospitals and may have certain providers in their “referral circle.” The “referral circle” gives you direct access to certain other providers or specialists without the need for a referral from your primary care provider (PCP). </w:t>
      </w:r>
    </w:p>
    <w:p w14:paraId="4ED93C33" w14:textId="77777777" w:rsidR="00A36F94" w:rsidRPr="00A36F94" w:rsidRDefault="00A36F94" w:rsidP="00A36F94">
      <w:r w:rsidRPr="00A36F94">
        <w:t xml:space="preserve">SCO </w:t>
      </w:r>
    </w:p>
    <w:p w14:paraId="7EE7523B" w14:textId="77777777" w:rsidR="00A36F94" w:rsidRPr="00A36F94" w:rsidRDefault="00A36F94" w:rsidP="00A36F94">
      <w:r w:rsidRPr="00A36F94">
        <w:t xml:space="preserve">•A comprehensive health plan that covers </w:t>
      </w:r>
      <w:proofErr w:type="gramStart"/>
      <w:r w:rsidRPr="00A36F94">
        <w:t>all of</w:t>
      </w:r>
      <w:proofErr w:type="gramEnd"/>
      <w:r w:rsidRPr="00A36F94">
        <w:t xml:space="preserve"> the services normally paid for through Medicare and MassHealth. This plan provides services to members through a senior care organization and its network of providers. It combines health services with social support services by coordinating care and specialized geriatric support services, along with respite care for families and caregivers. SCO offers an important advantage for eligible members over traditional fee-for-service care. There are no </w:t>
      </w:r>
      <w:proofErr w:type="gramStart"/>
      <w:r w:rsidRPr="00A36F94">
        <w:t>copays</w:t>
      </w:r>
      <w:proofErr w:type="gramEnd"/>
      <w:r w:rsidRPr="00A36F94">
        <w:t xml:space="preserve"> for enrolled members enrolled. </w:t>
      </w:r>
    </w:p>
    <w:p w14:paraId="0B4A9C3F" w14:textId="77777777" w:rsidR="00A36F94" w:rsidRPr="00A36F94" w:rsidRDefault="00A36F94" w:rsidP="00A36F94">
      <w:r w:rsidRPr="00A36F94">
        <w:t xml:space="preserve">One Care </w:t>
      </w:r>
    </w:p>
    <w:p w14:paraId="4858C546" w14:textId="77777777" w:rsidR="00A36F94" w:rsidRPr="00A36F94" w:rsidRDefault="00A36F94" w:rsidP="00A36F94">
      <w:r w:rsidRPr="00A36F94">
        <w:t xml:space="preserve">•A comprehensive health plan that covers </w:t>
      </w:r>
      <w:proofErr w:type="gramStart"/>
      <w:r w:rsidRPr="00A36F94">
        <w:t>all of</w:t>
      </w:r>
      <w:proofErr w:type="gramEnd"/>
      <w:r w:rsidRPr="00A36F94">
        <w:t xml:space="preserve"> the services normally paid for through Medicare and MassHealth. This plan provides services for individuals who are between the ages of 21 and 64, have a disability, have Medicare Parts A and B, qualify for Part D, have MassHealth Standard or MassHealth CommonHealth, and do not take part in a Home and Community Based Services Waiver. </w:t>
      </w:r>
    </w:p>
    <w:p w14:paraId="1094E49A" w14:textId="77777777" w:rsidR="00A36F94" w:rsidRPr="00A36F94" w:rsidRDefault="00A36F94" w:rsidP="00A36F94">
      <w:r w:rsidRPr="00A36F94">
        <w:t xml:space="preserve">PACE </w:t>
      </w:r>
    </w:p>
    <w:p w14:paraId="4DD68A26" w14:textId="3B129713" w:rsidR="00A55F3B" w:rsidRDefault="00A36F94" w:rsidP="00A36F94">
      <w:r w:rsidRPr="00A36F94">
        <w:t>•Provides comprehensive medical and social services to certain frail, community-dwelling elderly individuals, most of whom are dually eligible for Medicare and Medicaid benefits. An interdisciplinary team of health professionals provides PACE participants with coordinated care.</w:t>
      </w:r>
    </w:p>
    <w:p w14:paraId="02701825" w14:textId="77777777" w:rsidR="00A36F94" w:rsidRDefault="00A36F94" w:rsidP="004B5F33"/>
    <w:p w14:paraId="27DE4FDE" w14:textId="77777777" w:rsidR="00A55F3B" w:rsidRDefault="00A55F3B" w:rsidP="004B5F33"/>
    <w:p w14:paraId="2E5F462F" w14:textId="77777777" w:rsidR="00A55F3B" w:rsidRPr="004B5F33" w:rsidRDefault="00A55F3B" w:rsidP="004B5F33"/>
    <w:p w14:paraId="7D631DC1" w14:textId="34D01F84" w:rsidR="004B5F33" w:rsidRDefault="002400C8" w:rsidP="004B5F33">
      <w:pPr>
        <w:pStyle w:val="Heading1"/>
      </w:pPr>
      <w:r>
        <w:t>MEDICARE COVERAGE</w:t>
      </w:r>
    </w:p>
    <w:p w14:paraId="210C9EEC" w14:textId="77777777" w:rsidR="002400C8" w:rsidRDefault="002400C8" w:rsidP="002400C8">
      <w:pPr>
        <w:rPr>
          <w:b/>
          <w:bCs/>
        </w:rPr>
      </w:pPr>
    </w:p>
    <w:p w14:paraId="1F57454A" w14:textId="6A0D7349" w:rsidR="002400C8" w:rsidRPr="002400C8" w:rsidRDefault="002400C8" w:rsidP="002400C8">
      <w:r w:rsidRPr="002400C8">
        <w:rPr>
          <w:b/>
          <w:bCs/>
        </w:rPr>
        <w:t xml:space="preserve">Original Medicare </w:t>
      </w:r>
    </w:p>
    <w:p w14:paraId="7209E2B3" w14:textId="77777777" w:rsidR="002400C8" w:rsidRPr="002400C8" w:rsidRDefault="002400C8" w:rsidP="002400C8">
      <w:pPr>
        <w:numPr>
          <w:ilvl w:val="0"/>
          <w:numId w:val="31"/>
        </w:numPr>
      </w:pPr>
      <w:r w:rsidRPr="002400C8">
        <w:t>Includes Part A (inpatient care in hospitals, skilled nursing facility are, hospice care, and home health care) and Part B (services from doctors and other health care providers, outpatient care, home health care, durable medical equipment, and preventive visits).</w:t>
      </w:r>
    </w:p>
    <w:p w14:paraId="004ADD6D" w14:textId="77777777" w:rsidR="002400C8" w:rsidRPr="002400C8" w:rsidRDefault="002400C8" w:rsidP="002400C8">
      <w:pPr>
        <w:numPr>
          <w:ilvl w:val="0"/>
          <w:numId w:val="31"/>
        </w:numPr>
      </w:pPr>
      <w:r w:rsidRPr="002400C8">
        <w:t xml:space="preserve">May join a separate Medicare Drug Plan (Part D) to get Medicare drug coverage. </w:t>
      </w:r>
    </w:p>
    <w:p w14:paraId="531D3D64" w14:textId="77777777" w:rsidR="002400C8" w:rsidRPr="002400C8" w:rsidRDefault="002400C8" w:rsidP="002400C8"/>
    <w:p w14:paraId="23C91846" w14:textId="77777777" w:rsidR="002400C8" w:rsidRPr="002400C8" w:rsidRDefault="002400C8" w:rsidP="002400C8">
      <w:r w:rsidRPr="002400C8">
        <w:rPr>
          <w:b/>
          <w:bCs/>
        </w:rPr>
        <w:t xml:space="preserve">Medicare </w:t>
      </w:r>
      <w:r w:rsidRPr="002400C8">
        <w:t>Advantage</w:t>
      </w:r>
    </w:p>
    <w:p w14:paraId="74B4E95A" w14:textId="77777777" w:rsidR="002400C8" w:rsidRPr="002400C8" w:rsidRDefault="002400C8" w:rsidP="002400C8">
      <w:pPr>
        <w:numPr>
          <w:ilvl w:val="0"/>
          <w:numId w:val="32"/>
        </w:numPr>
      </w:pPr>
      <w:r w:rsidRPr="002400C8">
        <w:t>Medicare-approved plan from a private company that offers an alternative to Original Medicare for health and drug coverage. These “bundled” plans include Part A, Part B, and usually Part D.</w:t>
      </w:r>
    </w:p>
    <w:p w14:paraId="5B691D2D" w14:textId="77777777" w:rsidR="002400C8" w:rsidRPr="002400C8" w:rsidRDefault="002400C8" w:rsidP="002400C8">
      <w:pPr>
        <w:numPr>
          <w:ilvl w:val="0"/>
          <w:numId w:val="32"/>
        </w:numPr>
      </w:pPr>
      <w:r w:rsidRPr="002400C8">
        <w:t xml:space="preserve">Plans develop networks to manage costs and offer extra benefits that Original Medicare does not. </w:t>
      </w:r>
    </w:p>
    <w:p w14:paraId="5E7975D7" w14:textId="47707851" w:rsidR="004B5F33" w:rsidRPr="004B5F33" w:rsidRDefault="004B5F33" w:rsidP="002400C8"/>
    <w:p w14:paraId="235EA6BD" w14:textId="77777777" w:rsidR="004B5F33" w:rsidRDefault="004B5F33">
      <w:pPr>
        <w:pStyle w:val="Heading1"/>
      </w:pPr>
    </w:p>
    <w:p w14:paraId="2C2BC50C" w14:textId="4249039F" w:rsidR="00C32E75" w:rsidRPr="00C32E75" w:rsidRDefault="00C32E75" w:rsidP="00C32E75">
      <w:pPr>
        <w:pStyle w:val="Heading1"/>
      </w:pPr>
      <w:r w:rsidRPr="00C32E75">
        <w:t>THE ROLE OF MANAGED CARE</w:t>
      </w:r>
    </w:p>
    <w:p w14:paraId="10285C7D" w14:textId="77777777" w:rsidR="00C32E75" w:rsidRDefault="00C32E75" w:rsidP="00C32E75">
      <w:r w:rsidRPr="00C32E75">
        <w:t>ADMINISTRATIVE REQUIREMENTS TO ENSURE RIGHT CARE, RIGHT PLACE, RIGHT TIME</w:t>
      </w:r>
    </w:p>
    <w:p w14:paraId="3F8A0823" w14:textId="77777777" w:rsidR="00C32E75" w:rsidRDefault="00C32E75" w:rsidP="00C32E75"/>
    <w:p w14:paraId="4177ED90" w14:textId="77777777" w:rsidR="00C32E75" w:rsidRDefault="00C32E75"/>
    <w:p w14:paraId="305E8BD4" w14:textId="3C543D6B" w:rsidR="004B5F33" w:rsidRDefault="00B069D3" w:rsidP="004B5F33">
      <w:pPr>
        <w:pStyle w:val="Heading1"/>
      </w:pPr>
      <w:r>
        <w:t>REQUIREMENTS GOVERNING PRIOR AUTHORIZATION</w:t>
      </w:r>
    </w:p>
    <w:p w14:paraId="5F7AF044" w14:textId="77777777" w:rsidR="00B069D3" w:rsidRDefault="00B069D3" w:rsidP="00B069D3">
      <w:pPr>
        <w:rPr>
          <w:b/>
          <w:bCs/>
        </w:rPr>
      </w:pPr>
    </w:p>
    <w:p w14:paraId="18627E9A" w14:textId="1059C8D9" w:rsidR="00B069D3" w:rsidRPr="00B069D3" w:rsidRDefault="00B069D3" w:rsidP="00B069D3">
      <w:r w:rsidRPr="00B069D3">
        <w:rPr>
          <w:b/>
          <w:bCs/>
        </w:rPr>
        <w:t>Mandated Turnaround Times – Prior Authorization</w:t>
      </w:r>
    </w:p>
    <w:p w14:paraId="159F979D" w14:textId="77777777" w:rsidR="00B069D3" w:rsidRPr="00B069D3" w:rsidRDefault="00B069D3" w:rsidP="004C1FAD">
      <w:pPr>
        <w:numPr>
          <w:ilvl w:val="0"/>
          <w:numId w:val="34"/>
        </w:numPr>
      </w:pPr>
      <w:r w:rsidRPr="00B069D3">
        <w:t xml:space="preserve">Fully-insured commercial – 2 business days </w:t>
      </w:r>
    </w:p>
    <w:p w14:paraId="26882852" w14:textId="77777777" w:rsidR="00B069D3" w:rsidRPr="00B069D3" w:rsidRDefault="00B069D3" w:rsidP="004C1FAD">
      <w:pPr>
        <w:numPr>
          <w:ilvl w:val="0"/>
          <w:numId w:val="34"/>
        </w:numPr>
      </w:pPr>
      <w:r w:rsidRPr="00B069D3">
        <w:t xml:space="preserve">Medicare – 10 business days/14 calendar days. In 2026, this will shorten to 72 hours for expedited requests and 7 calendar days for standard requests for Medicare, Medicaid, CHIP. </w:t>
      </w:r>
    </w:p>
    <w:p w14:paraId="507F93CD" w14:textId="77777777" w:rsidR="00B069D3" w:rsidRPr="00B069D3" w:rsidRDefault="00B069D3" w:rsidP="004C1FAD">
      <w:pPr>
        <w:numPr>
          <w:ilvl w:val="0"/>
          <w:numId w:val="34"/>
        </w:numPr>
      </w:pPr>
      <w:r w:rsidRPr="00B069D3">
        <w:t xml:space="preserve">MassHealth – pharmacy within 24 hours, transportation within 7 days, independent nursing within 14 days, other services within 21 days. </w:t>
      </w:r>
    </w:p>
    <w:p w14:paraId="335C9859" w14:textId="77777777" w:rsidR="00B069D3" w:rsidRDefault="00B069D3" w:rsidP="004B5F33"/>
    <w:p w14:paraId="19C94C91" w14:textId="77777777" w:rsidR="004B5F33" w:rsidRDefault="004B5F33"/>
    <w:p w14:paraId="2B70189D" w14:textId="77777777" w:rsidR="00B069D3" w:rsidRDefault="00B069D3"/>
    <w:p w14:paraId="23C0A3F4" w14:textId="77777777" w:rsidR="004B5F33" w:rsidRDefault="004B5F33"/>
    <w:p w14:paraId="1BAA0087" w14:textId="68B78A5A" w:rsidR="00BA210C" w:rsidRDefault="004C1FAD">
      <w:pPr>
        <w:pStyle w:val="Heading1"/>
      </w:pPr>
      <w:r>
        <w:t>WHAT WE HEARD</w:t>
      </w:r>
    </w:p>
    <w:p w14:paraId="20E53E83" w14:textId="77777777" w:rsidR="004C1FAD" w:rsidRPr="004C1FAD" w:rsidRDefault="004C1FAD" w:rsidP="004C1FAD"/>
    <w:p w14:paraId="159BF691" w14:textId="77777777" w:rsidR="004C1FAD" w:rsidRPr="004C1FAD" w:rsidRDefault="004C1FAD" w:rsidP="004C1FAD">
      <w:pPr>
        <w:pStyle w:val="ListParagraph"/>
        <w:numPr>
          <w:ilvl w:val="0"/>
          <w:numId w:val="34"/>
        </w:numPr>
      </w:pPr>
      <w:r w:rsidRPr="004C1FAD">
        <w:rPr>
          <w:b/>
          <w:bCs/>
        </w:rPr>
        <w:t xml:space="preserve">Bed Shortages. </w:t>
      </w:r>
      <w:r w:rsidRPr="004C1FAD">
        <w:t xml:space="preserve">Since the start of the pandemic, more than 25 nursing facilities have closed in Massachusetts, creating bed shortages which impact placement at skilled nursing facilities, which then </w:t>
      </w:r>
      <w:proofErr w:type="gramStart"/>
      <w:r w:rsidRPr="004C1FAD">
        <w:t>impacts</w:t>
      </w:r>
      <w:proofErr w:type="gramEnd"/>
      <w:r w:rsidRPr="004C1FAD">
        <w:t xml:space="preserve"> placement at institutional rehab facilities and long-term acute care hospitals. </w:t>
      </w:r>
    </w:p>
    <w:p w14:paraId="1B4EDD63" w14:textId="5EF91D94" w:rsidR="004C1FAD" w:rsidRPr="004C1FAD" w:rsidRDefault="004C1FAD" w:rsidP="004C1FAD">
      <w:pPr>
        <w:pStyle w:val="ListParagraph"/>
        <w:numPr>
          <w:ilvl w:val="0"/>
          <w:numId w:val="34"/>
        </w:numPr>
      </w:pPr>
      <w:r w:rsidRPr="004C1FAD">
        <w:rPr>
          <w:b/>
          <w:bCs/>
        </w:rPr>
        <w:t xml:space="preserve">Staffing Shortages. </w:t>
      </w:r>
      <w:r w:rsidRPr="004C1FAD">
        <w:t xml:space="preserve">Staffing shortages at post-acute care facilities continue to be the primary and often sole issue in finding post-acute care placement for members. Staffing impacts are not just about keeping all beds in use, but since many health plan members have complex medical and BH needs, they often require more assistance. This makes finding a bed in a post-acute setting challenging because many facilities are not able to staff at the level needed to provide additional supervision and support. </w:t>
      </w:r>
    </w:p>
    <w:p w14:paraId="3B8FE818" w14:textId="67CA8264" w:rsidR="004C1FAD" w:rsidRPr="004C1FAD" w:rsidRDefault="004C1FAD" w:rsidP="004C1FAD">
      <w:pPr>
        <w:pStyle w:val="ListParagraph"/>
        <w:numPr>
          <w:ilvl w:val="0"/>
          <w:numId w:val="34"/>
        </w:numPr>
      </w:pPr>
      <w:r w:rsidRPr="004C1FAD">
        <w:rPr>
          <w:b/>
          <w:bCs/>
        </w:rPr>
        <w:t xml:space="preserve">Level of Care. </w:t>
      </w:r>
      <w:r w:rsidRPr="004C1FAD">
        <w:t>As bed shortages limit patient options for appropriate levels of care, case managers responsible for discharge planning are, understandably, frustrated by PA denials for inappropriate placement when they’ve found a bed at a higher level of care than needed or the need for plans to enter into a single case agreement with an out of network facility that the plan didn’t have a prior relationship with.</w:t>
      </w:r>
    </w:p>
    <w:p w14:paraId="1AC7C55A" w14:textId="162014CC" w:rsidR="004C1FAD" w:rsidRPr="004C1FAD" w:rsidRDefault="004C1FAD" w:rsidP="004C1FAD">
      <w:pPr>
        <w:pStyle w:val="ListParagraph"/>
        <w:numPr>
          <w:ilvl w:val="0"/>
          <w:numId w:val="34"/>
        </w:numPr>
      </w:pPr>
      <w:r w:rsidRPr="004C1FAD">
        <w:rPr>
          <w:b/>
          <w:bCs/>
        </w:rPr>
        <w:t xml:space="preserve">Medicare Reimbursement. </w:t>
      </w:r>
      <w:r w:rsidRPr="004C1FAD">
        <w:t xml:space="preserve">Pressures on hospital case managers to move patients quickly are exacerbated by Medicare payment policies – Medicare patients no longer needing an acute hospital level of care, but who remain in the hospital awaiting placement (not hooked up to anything, just getting meals and a bed) are reimbursed for Administrative Days only, not for acute hospital level of care. </w:t>
      </w:r>
    </w:p>
    <w:p w14:paraId="05419E07" w14:textId="33257892" w:rsidR="00BA210C" w:rsidRDefault="00BA210C"/>
    <w:p w14:paraId="337FEFD5" w14:textId="22447E68" w:rsidR="006B1256" w:rsidRDefault="00716906" w:rsidP="006B1256">
      <w:pPr>
        <w:pStyle w:val="Heading1"/>
      </w:pPr>
      <w:r w:rsidRPr="00716906">
        <w:t>WHAT WE’VE TRIED: PA WAIVERS</w:t>
      </w:r>
    </w:p>
    <w:p w14:paraId="2825158D" w14:textId="77777777" w:rsidR="00716906" w:rsidRDefault="00716906" w:rsidP="006B1256">
      <w:pPr>
        <w:pStyle w:val="ListBullet"/>
        <w:numPr>
          <w:ilvl w:val="0"/>
          <w:numId w:val="0"/>
        </w:numPr>
        <w:ind w:left="360" w:hanging="360"/>
      </w:pPr>
    </w:p>
    <w:p w14:paraId="789E7E1B" w14:textId="77777777" w:rsidR="00716906" w:rsidRPr="00716906" w:rsidRDefault="00716906" w:rsidP="00716906">
      <w:pPr>
        <w:pStyle w:val="ListBullet"/>
        <w:numPr>
          <w:ilvl w:val="0"/>
          <w:numId w:val="0"/>
        </w:numPr>
        <w:ind w:left="360" w:hanging="360"/>
      </w:pPr>
      <w:r w:rsidRPr="00716906">
        <w:rPr>
          <w:b/>
          <w:bCs/>
        </w:rPr>
        <w:t>December 2022-March 2023</w:t>
      </w:r>
    </w:p>
    <w:p w14:paraId="3935B889" w14:textId="77777777" w:rsidR="00716906" w:rsidRDefault="00716906" w:rsidP="00716906">
      <w:pPr>
        <w:pStyle w:val="ListBullet"/>
        <w:numPr>
          <w:ilvl w:val="0"/>
          <w:numId w:val="35"/>
        </w:numPr>
      </w:pPr>
      <w:r w:rsidRPr="00716906">
        <w:t xml:space="preserve">During the </w:t>
      </w:r>
      <w:proofErr w:type="gramStart"/>
      <w:r w:rsidRPr="00716906">
        <w:t>90 day</w:t>
      </w:r>
      <w:proofErr w:type="gramEnd"/>
      <w:r w:rsidRPr="00716906">
        <w:t xml:space="preserve"> waiver, the number of patients awaiting discharge to </w:t>
      </w:r>
      <w:proofErr w:type="spellStart"/>
      <w:r w:rsidRPr="00716906">
        <w:t>SNF</w:t>
      </w:r>
      <w:proofErr w:type="spellEnd"/>
      <w:r w:rsidRPr="00716906">
        <w:t xml:space="preserve"> decreased by only 3%, while the number of patients awaiting discharge to </w:t>
      </w:r>
      <w:proofErr w:type="spellStart"/>
      <w:r w:rsidRPr="00716906">
        <w:t>LTACH</w:t>
      </w:r>
      <w:proofErr w:type="spellEnd"/>
      <w:r w:rsidRPr="00716906">
        <w:t xml:space="preserve">/IRF increased by 52%, indicating that a waiver of prior authorization did not address the system-wide capacity challenges. </w:t>
      </w:r>
    </w:p>
    <w:p w14:paraId="7D7CCEAF" w14:textId="77777777" w:rsidR="00716906" w:rsidRDefault="00716906" w:rsidP="00716906">
      <w:pPr>
        <w:pStyle w:val="ListBullet"/>
        <w:numPr>
          <w:ilvl w:val="0"/>
          <w:numId w:val="35"/>
        </w:numPr>
      </w:pPr>
      <w:r w:rsidRPr="00716906">
        <w:t>Plan Experience. Rather, waiving prior authorization has created care coordination challenges, raising concerns about patients being placed in inappropriate or ill-equipped post-acute care facilities. Data from one MAHP member plan found that the waiver:</w:t>
      </w:r>
    </w:p>
    <w:p w14:paraId="7EA01265" w14:textId="77777777" w:rsidR="00716906" w:rsidRDefault="00716906" w:rsidP="00716906">
      <w:pPr>
        <w:pStyle w:val="ListBullet"/>
        <w:numPr>
          <w:ilvl w:val="0"/>
          <w:numId w:val="0"/>
        </w:numPr>
        <w:ind w:left="360"/>
      </w:pPr>
    </w:p>
    <w:p w14:paraId="7376D868" w14:textId="77777777" w:rsidR="00716906" w:rsidRDefault="00716906" w:rsidP="00716906">
      <w:pPr>
        <w:pStyle w:val="ListBullet"/>
        <w:numPr>
          <w:ilvl w:val="2"/>
          <w:numId w:val="35"/>
        </w:numPr>
        <w:ind w:left="360"/>
      </w:pPr>
      <w:r w:rsidRPr="00716906">
        <w:t>Increased overall admission to post-acute facilities by 14%</w:t>
      </w:r>
    </w:p>
    <w:p w14:paraId="1848FB95" w14:textId="77777777" w:rsidR="00716906" w:rsidRDefault="00716906" w:rsidP="00716906">
      <w:pPr>
        <w:pStyle w:val="ListBullet"/>
        <w:numPr>
          <w:ilvl w:val="2"/>
          <w:numId w:val="35"/>
        </w:numPr>
        <w:ind w:left="360"/>
      </w:pPr>
      <w:r w:rsidRPr="00716906">
        <w:t>Increased use of non-participating providers by 50%</w:t>
      </w:r>
    </w:p>
    <w:p w14:paraId="00D64D49" w14:textId="533AF800" w:rsidR="00716906" w:rsidRPr="00716906" w:rsidRDefault="00716906" w:rsidP="00716906">
      <w:pPr>
        <w:pStyle w:val="ListBullet"/>
        <w:numPr>
          <w:ilvl w:val="2"/>
          <w:numId w:val="35"/>
        </w:numPr>
        <w:ind w:left="360"/>
      </w:pPr>
      <w:r w:rsidRPr="00716906">
        <w:t>Resulted in 102 members identified as not meeting clinical criteria to admit to a post-acute facility, but who were admitted inappropriately due to the waiver in place</w:t>
      </w:r>
    </w:p>
    <w:p w14:paraId="385FA1CB" w14:textId="77777777" w:rsidR="00716906" w:rsidRPr="00716906" w:rsidRDefault="00716906" w:rsidP="00716906">
      <w:pPr>
        <w:pStyle w:val="ListBullet"/>
        <w:numPr>
          <w:ilvl w:val="1"/>
          <w:numId w:val="35"/>
        </w:numPr>
      </w:pPr>
    </w:p>
    <w:p w14:paraId="5EAA988E" w14:textId="77777777" w:rsidR="00716906" w:rsidRPr="00716906" w:rsidRDefault="00716906" w:rsidP="00716906">
      <w:pPr>
        <w:pStyle w:val="ListBullet"/>
        <w:numPr>
          <w:ilvl w:val="0"/>
          <w:numId w:val="0"/>
        </w:numPr>
      </w:pPr>
      <w:r w:rsidRPr="00716906">
        <w:rPr>
          <w:b/>
          <w:bCs/>
        </w:rPr>
        <w:t>January 2024-April 2024</w:t>
      </w:r>
    </w:p>
    <w:p w14:paraId="51AB5DC5" w14:textId="77777777" w:rsidR="00716906" w:rsidRPr="00716906" w:rsidRDefault="00716906" w:rsidP="00716906">
      <w:pPr>
        <w:pStyle w:val="ListBullet"/>
        <w:numPr>
          <w:ilvl w:val="0"/>
          <w:numId w:val="35"/>
        </w:numPr>
      </w:pPr>
      <w:r w:rsidRPr="00716906">
        <w:t xml:space="preserve">Hundreds of members inappropriately placed (defined as </w:t>
      </w:r>
      <w:proofErr w:type="gramStart"/>
      <w:r w:rsidRPr="00716906">
        <w:t>placed</w:t>
      </w:r>
      <w:proofErr w:type="gramEnd"/>
      <w:r w:rsidRPr="00716906">
        <w:t xml:space="preserve"> at the wrong level of care based on medical necessity guidelines)</w:t>
      </w:r>
    </w:p>
    <w:p w14:paraId="78BF3B9A" w14:textId="77777777" w:rsidR="00716906" w:rsidRDefault="00716906" w:rsidP="00716906">
      <w:pPr>
        <w:pStyle w:val="ListBullet"/>
        <w:numPr>
          <w:ilvl w:val="0"/>
          <w:numId w:val="35"/>
        </w:numPr>
      </w:pPr>
      <w:r w:rsidRPr="00716906">
        <w:t>Dozens of members placed in OON sites of care</w:t>
      </w:r>
    </w:p>
    <w:p w14:paraId="400C6AEF" w14:textId="77777777" w:rsidR="00716906" w:rsidRDefault="00716906" w:rsidP="00716906">
      <w:pPr>
        <w:pStyle w:val="ListBullet"/>
        <w:numPr>
          <w:ilvl w:val="0"/>
          <w:numId w:val="35"/>
        </w:numPr>
      </w:pPr>
      <w:r w:rsidRPr="00716906">
        <w:t>Estimated over $1M in excess costs to members/state for OON placement.</w:t>
      </w:r>
    </w:p>
    <w:p w14:paraId="210AD502" w14:textId="77777777" w:rsidR="00716906" w:rsidRDefault="00716906" w:rsidP="00716906">
      <w:pPr>
        <w:pStyle w:val="ListBullet"/>
        <w:numPr>
          <w:ilvl w:val="0"/>
          <w:numId w:val="35"/>
        </w:numPr>
      </w:pPr>
      <w:r w:rsidRPr="00716906">
        <w:t>Significant impact on case management and member satisfaction</w:t>
      </w:r>
    </w:p>
    <w:p w14:paraId="32A7210F" w14:textId="77777777" w:rsidR="00716906" w:rsidRDefault="00716906" w:rsidP="00716906">
      <w:pPr>
        <w:pStyle w:val="ListBullet"/>
        <w:numPr>
          <w:ilvl w:val="0"/>
          <w:numId w:val="35"/>
        </w:numPr>
      </w:pPr>
      <w:r w:rsidRPr="00716906">
        <w:t xml:space="preserve">Members reported being discharged from the hospital </w:t>
      </w:r>
      <w:proofErr w:type="gramStart"/>
      <w:r w:rsidRPr="00716906">
        <w:t>to</w:t>
      </w:r>
      <w:proofErr w:type="gramEnd"/>
      <w:r w:rsidRPr="00716906">
        <w:t xml:space="preserve"> early, limiting their ability to develop alternative discharge plans</w:t>
      </w:r>
    </w:p>
    <w:p w14:paraId="2456E287" w14:textId="77777777" w:rsidR="00716906" w:rsidRDefault="00716906" w:rsidP="00716906">
      <w:pPr>
        <w:pStyle w:val="ListBullet"/>
        <w:numPr>
          <w:ilvl w:val="0"/>
          <w:numId w:val="35"/>
        </w:numPr>
      </w:pPr>
      <w:r w:rsidRPr="00716906">
        <w:t xml:space="preserve">Members reported having limited choice </w:t>
      </w:r>
      <w:proofErr w:type="gramStart"/>
      <w:r w:rsidRPr="00716906">
        <w:t>in</w:t>
      </w:r>
      <w:proofErr w:type="gramEnd"/>
      <w:r w:rsidRPr="00716906">
        <w:t xml:space="preserve"> facilities they were discharged to, requesting </w:t>
      </w:r>
      <w:proofErr w:type="spellStart"/>
      <w:r w:rsidRPr="00716906">
        <w:t>SNF</w:t>
      </w:r>
      <w:proofErr w:type="spellEnd"/>
      <w:r w:rsidRPr="00716906">
        <w:t xml:space="preserve"> transfer upon admission</w:t>
      </w:r>
    </w:p>
    <w:p w14:paraId="6F1F31C4" w14:textId="77777777" w:rsidR="00716906" w:rsidRDefault="00716906" w:rsidP="00716906">
      <w:pPr>
        <w:pStyle w:val="ListBullet"/>
        <w:numPr>
          <w:ilvl w:val="0"/>
          <w:numId w:val="35"/>
        </w:numPr>
      </w:pPr>
      <w:r w:rsidRPr="00716906">
        <w:t>Largest impact on members with BH, SUD, homelessness, dementia and end of life patients.</w:t>
      </w:r>
    </w:p>
    <w:p w14:paraId="172EBB96" w14:textId="77777777" w:rsidR="00716906" w:rsidRDefault="00716906" w:rsidP="00716906">
      <w:pPr>
        <w:pStyle w:val="ListBullet"/>
        <w:numPr>
          <w:ilvl w:val="0"/>
          <w:numId w:val="35"/>
        </w:numPr>
      </w:pPr>
      <w:r w:rsidRPr="00716906">
        <w:t>Increase in administrative burden for patients, providers, and plans</w:t>
      </w:r>
    </w:p>
    <w:p w14:paraId="1AA453E4" w14:textId="1AC51E79" w:rsidR="00716906" w:rsidRPr="00716906" w:rsidRDefault="00716906" w:rsidP="00716906">
      <w:pPr>
        <w:pStyle w:val="ListBullet"/>
        <w:numPr>
          <w:ilvl w:val="0"/>
          <w:numId w:val="35"/>
        </w:numPr>
      </w:pPr>
      <w:proofErr w:type="gramStart"/>
      <w:r w:rsidRPr="00716906">
        <w:t>Waiver</w:t>
      </w:r>
      <w:proofErr w:type="gramEnd"/>
      <w:r w:rsidRPr="00716906">
        <w:t xml:space="preserve"> of these authorizations resulted in multiple unnecessary concurrent reviews, phone calls for clinical documents, issuing Notice of Medicare Non-Coverage letters, and other regulatory termination of coverage/no longer </w:t>
      </w:r>
      <w:proofErr w:type="gramStart"/>
      <w:r w:rsidRPr="00716906">
        <w:t>meting</w:t>
      </w:r>
      <w:proofErr w:type="gramEnd"/>
      <w:r w:rsidRPr="00716906">
        <w:t xml:space="preserve"> skilled care letters, and appeals. </w:t>
      </w:r>
    </w:p>
    <w:p w14:paraId="2D330A40" w14:textId="77777777" w:rsidR="00716906" w:rsidRDefault="00716906" w:rsidP="004279A9">
      <w:pPr>
        <w:pStyle w:val="ListBullet"/>
        <w:numPr>
          <w:ilvl w:val="0"/>
          <w:numId w:val="0"/>
        </w:numPr>
        <w:ind w:left="360" w:hanging="360"/>
      </w:pPr>
    </w:p>
    <w:p w14:paraId="45A1FA3E" w14:textId="77777777" w:rsidR="004279A9" w:rsidRDefault="004279A9" w:rsidP="004279A9">
      <w:pPr>
        <w:pStyle w:val="ListBullet"/>
        <w:numPr>
          <w:ilvl w:val="0"/>
          <w:numId w:val="0"/>
        </w:numPr>
        <w:ind w:left="360" w:hanging="360"/>
      </w:pPr>
    </w:p>
    <w:p w14:paraId="06173E9D" w14:textId="77777777" w:rsidR="004279A9" w:rsidRDefault="004279A9" w:rsidP="004279A9">
      <w:pPr>
        <w:pStyle w:val="ListBullet"/>
        <w:numPr>
          <w:ilvl w:val="0"/>
          <w:numId w:val="0"/>
        </w:numPr>
        <w:ind w:left="360" w:hanging="360"/>
      </w:pPr>
    </w:p>
    <w:p w14:paraId="093646EC" w14:textId="77777777" w:rsidR="004279A9" w:rsidRDefault="004279A9" w:rsidP="004279A9">
      <w:pPr>
        <w:pStyle w:val="ListBullet"/>
        <w:numPr>
          <w:ilvl w:val="0"/>
          <w:numId w:val="0"/>
        </w:numPr>
        <w:ind w:left="360" w:hanging="360"/>
      </w:pPr>
    </w:p>
    <w:p w14:paraId="11868D7D" w14:textId="77777777" w:rsidR="00374F85" w:rsidRDefault="00374F85" w:rsidP="004279A9">
      <w:pPr>
        <w:pStyle w:val="ListBullet"/>
        <w:numPr>
          <w:ilvl w:val="0"/>
          <w:numId w:val="0"/>
        </w:numPr>
      </w:pPr>
    </w:p>
    <w:p w14:paraId="1C1723AC" w14:textId="3252B472" w:rsidR="00374F85" w:rsidRDefault="004279A9" w:rsidP="00374F85">
      <w:pPr>
        <w:pStyle w:val="Heading1"/>
      </w:pPr>
      <w:r>
        <w:t xml:space="preserve">WHAT WE’RE </w:t>
      </w:r>
      <w:proofErr w:type="gramStart"/>
      <w:r>
        <w:t>TRYING</w:t>
      </w:r>
      <w:proofErr w:type="gramEnd"/>
      <w:r>
        <w:t xml:space="preserve"> NEXT</w:t>
      </w:r>
    </w:p>
    <w:p w14:paraId="6C761C34" w14:textId="77777777" w:rsidR="00374F85" w:rsidRDefault="00374F85" w:rsidP="00374F85">
      <w:pPr>
        <w:pStyle w:val="ListBullet"/>
        <w:numPr>
          <w:ilvl w:val="0"/>
          <w:numId w:val="0"/>
        </w:numPr>
        <w:ind w:left="360" w:hanging="360"/>
      </w:pPr>
    </w:p>
    <w:p w14:paraId="71175ABB" w14:textId="77777777" w:rsidR="00374F85" w:rsidRDefault="00374F85" w:rsidP="00374F85">
      <w:pPr>
        <w:pStyle w:val="ListBullet"/>
        <w:numPr>
          <w:ilvl w:val="0"/>
          <w:numId w:val="0"/>
        </w:numPr>
        <w:ind w:left="360" w:hanging="360"/>
      </w:pPr>
    </w:p>
    <w:p w14:paraId="3F1C59E8" w14:textId="77777777" w:rsidR="00374F85" w:rsidRDefault="00374F85" w:rsidP="00374F85">
      <w:pPr>
        <w:pStyle w:val="ListBullet"/>
        <w:numPr>
          <w:ilvl w:val="0"/>
          <w:numId w:val="0"/>
        </w:numPr>
        <w:ind w:left="360" w:hanging="360"/>
      </w:pPr>
    </w:p>
    <w:p w14:paraId="31546D73" w14:textId="77777777" w:rsidR="004279A9" w:rsidRDefault="004279A9" w:rsidP="00374F85">
      <w:pPr>
        <w:pStyle w:val="ListBullet"/>
        <w:numPr>
          <w:ilvl w:val="0"/>
          <w:numId w:val="0"/>
        </w:numPr>
        <w:ind w:left="360" w:hanging="360"/>
      </w:pPr>
    </w:p>
    <w:p w14:paraId="4C77EC3E" w14:textId="77777777" w:rsidR="004279A9" w:rsidRPr="004279A9" w:rsidRDefault="004279A9" w:rsidP="004279A9">
      <w:pPr>
        <w:pStyle w:val="ListBullet"/>
        <w:numPr>
          <w:ilvl w:val="0"/>
          <w:numId w:val="0"/>
        </w:numPr>
        <w:ind w:left="360" w:hanging="360"/>
      </w:pPr>
      <w:r w:rsidRPr="004279A9">
        <w:rPr>
          <w:b/>
          <w:bCs/>
        </w:rPr>
        <w:t xml:space="preserve">24-hr </w:t>
      </w:r>
      <w:proofErr w:type="spellStart"/>
      <w:r w:rsidRPr="004279A9">
        <w:rPr>
          <w:b/>
          <w:bCs/>
        </w:rPr>
        <w:t>TaT</w:t>
      </w:r>
      <w:proofErr w:type="spellEnd"/>
      <w:r w:rsidRPr="004279A9">
        <w:rPr>
          <w:b/>
          <w:bCs/>
        </w:rPr>
        <w:t xml:space="preserve"> pilot</w:t>
      </w:r>
    </w:p>
    <w:p w14:paraId="2FAEE0AA" w14:textId="77777777" w:rsidR="004279A9" w:rsidRPr="004279A9" w:rsidRDefault="004279A9" w:rsidP="004279A9">
      <w:pPr>
        <w:pStyle w:val="ListBullet"/>
        <w:numPr>
          <w:ilvl w:val="0"/>
          <w:numId w:val="38"/>
        </w:numPr>
      </w:pPr>
      <w:r w:rsidRPr="004279A9">
        <w:t xml:space="preserve">Insured health benefit plans issued or renewed in Massachusetts are required to “prove or deny a request for prior authorization for admission to a post-acute care facility or transition to a post-acute care agency for any inpatient of an acute care hospital requiring covered post-acute care services by the next business day following receipt by the payer of all necessary information to establish medical necessity of the requested service; provided, however, that no new admission may occur until the applicable pre-admission screening and resident review required pursuant to 42 CFR 483 is complete.” </w:t>
      </w:r>
    </w:p>
    <w:p w14:paraId="62EDA0F0" w14:textId="77777777" w:rsidR="004279A9" w:rsidRPr="004279A9" w:rsidRDefault="004279A9" w:rsidP="004279A9">
      <w:pPr>
        <w:pStyle w:val="ListBullet"/>
        <w:numPr>
          <w:ilvl w:val="0"/>
          <w:numId w:val="38"/>
        </w:numPr>
      </w:pPr>
      <w:r w:rsidRPr="004279A9">
        <w:t>“[i]f the calendar day immediately following the date of submission of the completed request is not a payer’s business day, and the payer cannot otherwise make a determination by the next calendar day, and the receiving post-acute care facility or agency is both open to new admissions and has indicated that said facility or agency will accept the enrollee, then prior authorization shall be waived; provided, that the payer shall provide coverage and may begin its concurrent review of the admission on the next business day; provided further, that the payer shall not retrospectively deny coverage for services to an enrollee admitted to a post-acute care facility or transitioned to a post-acute care agency after a waiver of prior authorization pursuant to this section unless the claim was a result of fraud, waste or abuse.”</w:t>
      </w:r>
    </w:p>
    <w:p w14:paraId="51440675" w14:textId="77777777" w:rsidR="004279A9" w:rsidRPr="004279A9" w:rsidRDefault="004279A9" w:rsidP="004279A9">
      <w:pPr>
        <w:pStyle w:val="ListBullet"/>
        <w:numPr>
          <w:ilvl w:val="0"/>
          <w:numId w:val="38"/>
        </w:numPr>
      </w:pPr>
      <w:r w:rsidRPr="004279A9">
        <w:t>“[a]n adverse determination of a prior authorization request pursuant to this section may be appealed by an enrollee or the enrollee’s provider and such appeal, in the case of an enrollee of a commercial payer, shall be subject to the expedited grievance process pursuant to clause (iv) of subsection (b) of section 13 of chapter 176O of the General Laws….Nothing in this section shall be construed to require a payer to reimburse for services that are not a covered benefit.”</w:t>
      </w:r>
    </w:p>
    <w:p w14:paraId="39B8863A" w14:textId="77777777" w:rsidR="004279A9" w:rsidRPr="004279A9" w:rsidRDefault="004279A9" w:rsidP="004279A9">
      <w:pPr>
        <w:pStyle w:val="ListBullet"/>
        <w:numPr>
          <w:ilvl w:val="0"/>
          <w:numId w:val="0"/>
        </w:numPr>
        <w:ind w:left="360"/>
      </w:pPr>
    </w:p>
    <w:p w14:paraId="77024319" w14:textId="77777777" w:rsidR="004279A9" w:rsidRPr="004279A9" w:rsidRDefault="004279A9" w:rsidP="004279A9">
      <w:pPr>
        <w:pStyle w:val="ListBullet"/>
        <w:numPr>
          <w:ilvl w:val="0"/>
          <w:numId w:val="0"/>
        </w:numPr>
        <w:ind w:left="360" w:hanging="360"/>
      </w:pPr>
      <w:r w:rsidRPr="004279A9">
        <w:rPr>
          <w:b/>
          <w:bCs/>
        </w:rPr>
        <w:t>Standard Form</w:t>
      </w:r>
    </w:p>
    <w:p w14:paraId="4CB0EF10" w14:textId="2A4DA042" w:rsidR="004279A9" w:rsidRDefault="004279A9" w:rsidP="00586471">
      <w:pPr>
        <w:pStyle w:val="ListBullet"/>
        <w:numPr>
          <w:ilvl w:val="0"/>
          <w:numId w:val="38"/>
        </w:numPr>
      </w:pPr>
      <w:r w:rsidRPr="004279A9">
        <w:t xml:space="preserve">The division shall develop and implement a uniform prior authorization form for the admission of patients from an acute care hospital to a post-acute care facility or transitioned to a home health agency certified by the federal Centers for Medicare and Medicaid Services for covered post-acute care services. </w:t>
      </w:r>
    </w:p>
    <w:sectPr w:rsidR="004279A9"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2200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4D547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2B4BE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1F510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D557507"/>
    <w:multiLevelType w:val="hybridMultilevel"/>
    <w:tmpl w:val="48E86972"/>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6"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7"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8"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9"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10"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11"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2"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13" w15:restartNumberingAfterBreak="0">
    <w:nsid w:val="FFFFFF89"/>
    <w:multiLevelType w:val="singleLevel"/>
    <w:tmpl w:val="74B8472C"/>
    <w:lvl w:ilvl="0">
      <w:start w:val="1"/>
      <w:numFmt w:val="bullet"/>
      <w:pStyle w:val="ListBullet"/>
      <w:lvlText w:val=""/>
      <w:lvlJc w:val="left"/>
      <w:pPr>
        <w:tabs>
          <w:tab w:val="num" w:pos="360"/>
        </w:tabs>
        <w:ind w:left="360" w:hanging="360"/>
      </w:pPr>
      <w:rPr>
        <w:rFonts w:ascii="Symbol" w:hAnsi="Symbol" w:hint="default"/>
      </w:rPr>
    </w:lvl>
  </w:abstractNum>
  <w:abstractNum w:abstractNumId="14" w15:restartNumberingAfterBreak="0">
    <w:nsid w:val="00056E30"/>
    <w:multiLevelType w:val="hybridMultilevel"/>
    <w:tmpl w:val="54F01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7237A3A"/>
    <w:multiLevelType w:val="hybridMultilevel"/>
    <w:tmpl w:val="AE1E6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E05E15"/>
    <w:multiLevelType w:val="hybridMultilevel"/>
    <w:tmpl w:val="2B1048BE"/>
    <w:lvl w:ilvl="0" w:tplc="211223FC">
      <w:start w:val="1"/>
      <w:numFmt w:val="bullet"/>
      <w:lvlText w:val="•"/>
      <w:lvlJc w:val="left"/>
      <w:pPr>
        <w:tabs>
          <w:tab w:val="num" w:pos="720"/>
        </w:tabs>
        <w:ind w:left="720" w:hanging="360"/>
      </w:pPr>
      <w:rPr>
        <w:rFonts w:ascii="Arial" w:hAnsi="Arial" w:hint="default"/>
      </w:rPr>
    </w:lvl>
    <w:lvl w:ilvl="1" w:tplc="E3A27266" w:tentative="1">
      <w:start w:val="1"/>
      <w:numFmt w:val="bullet"/>
      <w:lvlText w:val="•"/>
      <w:lvlJc w:val="left"/>
      <w:pPr>
        <w:tabs>
          <w:tab w:val="num" w:pos="1440"/>
        </w:tabs>
        <w:ind w:left="1440" w:hanging="360"/>
      </w:pPr>
      <w:rPr>
        <w:rFonts w:ascii="Arial" w:hAnsi="Arial" w:hint="default"/>
      </w:rPr>
    </w:lvl>
    <w:lvl w:ilvl="2" w:tplc="1CC88832" w:tentative="1">
      <w:start w:val="1"/>
      <w:numFmt w:val="bullet"/>
      <w:lvlText w:val="•"/>
      <w:lvlJc w:val="left"/>
      <w:pPr>
        <w:tabs>
          <w:tab w:val="num" w:pos="2160"/>
        </w:tabs>
        <w:ind w:left="2160" w:hanging="360"/>
      </w:pPr>
      <w:rPr>
        <w:rFonts w:ascii="Arial" w:hAnsi="Arial" w:hint="default"/>
      </w:rPr>
    </w:lvl>
    <w:lvl w:ilvl="3" w:tplc="5302FF8E" w:tentative="1">
      <w:start w:val="1"/>
      <w:numFmt w:val="bullet"/>
      <w:lvlText w:val="•"/>
      <w:lvlJc w:val="left"/>
      <w:pPr>
        <w:tabs>
          <w:tab w:val="num" w:pos="2880"/>
        </w:tabs>
        <w:ind w:left="2880" w:hanging="360"/>
      </w:pPr>
      <w:rPr>
        <w:rFonts w:ascii="Arial" w:hAnsi="Arial" w:hint="default"/>
      </w:rPr>
    </w:lvl>
    <w:lvl w:ilvl="4" w:tplc="B14E778E" w:tentative="1">
      <w:start w:val="1"/>
      <w:numFmt w:val="bullet"/>
      <w:lvlText w:val="•"/>
      <w:lvlJc w:val="left"/>
      <w:pPr>
        <w:tabs>
          <w:tab w:val="num" w:pos="3600"/>
        </w:tabs>
        <w:ind w:left="3600" w:hanging="360"/>
      </w:pPr>
      <w:rPr>
        <w:rFonts w:ascii="Arial" w:hAnsi="Arial" w:hint="default"/>
      </w:rPr>
    </w:lvl>
    <w:lvl w:ilvl="5" w:tplc="1354BCDE" w:tentative="1">
      <w:start w:val="1"/>
      <w:numFmt w:val="bullet"/>
      <w:lvlText w:val="•"/>
      <w:lvlJc w:val="left"/>
      <w:pPr>
        <w:tabs>
          <w:tab w:val="num" w:pos="4320"/>
        </w:tabs>
        <w:ind w:left="4320" w:hanging="360"/>
      </w:pPr>
      <w:rPr>
        <w:rFonts w:ascii="Arial" w:hAnsi="Arial" w:hint="default"/>
      </w:rPr>
    </w:lvl>
    <w:lvl w:ilvl="6" w:tplc="3C48FD62" w:tentative="1">
      <w:start w:val="1"/>
      <w:numFmt w:val="bullet"/>
      <w:lvlText w:val="•"/>
      <w:lvlJc w:val="left"/>
      <w:pPr>
        <w:tabs>
          <w:tab w:val="num" w:pos="5040"/>
        </w:tabs>
        <w:ind w:left="5040" w:hanging="360"/>
      </w:pPr>
      <w:rPr>
        <w:rFonts w:ascii="Arial" w:hAnsi="Arial" w:hint="default"/>
      </w:rPr>
    </w:lvl>
    <w:lvl w:ilvl="7" w:tplc="427AC14A" w:tentative="1">
      <w:start w:val="1"/>
      <w:numFmt w:val="bullet"/>
      <w:lvlText w:val="•"/>
      <w:lvlJc w:val="left"/>
      <w:pPr>
        <w:tabs>
          <w:tab w:val="num" w:pos="5760"/>
        </w:tabs>
        <w:ind w:left="5760" w:hanging="360"/>
      </w:pPr>
      <w:rPr>
        <w:rFonts w:ascii="Arial" w:hAnsi="Arial" w:hint="default"/>
      </w:rPr>
    </w:lvl>
    <w:lvl w:ilvl="8" w:tplc="BC6CF66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07EAA0B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1DA632A2"/>
    <w:multiLevelType w:val="hybridMultilevel"/>
    <w:tmpl w:val="67B6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D7C90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E7322BE"/>
    <w:multiLevelType w:val="hybridMultilevel"/>
    <w:tmpl w:val="3B1CF568"/>
    <w:lvl w:ilvl="0" w:tplc="59CC58F8">
      <w:start w:val="1"/>
      <w:numFmt w:val="bullet"/>
      <w:lvlText w:val="•"/>
      <w:lvlJc w:val="left"/>
      <w:pPr>
        <w:tabs>
          <w:tab w:val="num" w:pos="720"/>
        </w:tabs>
        <w:ind w:left="720" w:hanging="360"/>
      </w:pPr>
      <w:rPr>
        <w:rFonts w:ascii="Arial" w:hAnsi="Arial" w:hint="default"/>
      </w:rPr>
    </w:lvl>
    <w:lvl w:ilvl="1" w:tplc="877E8F18" w:tentative="1">
      <w:start w:val="1"/>
      <w:numFmt w:val="bullet"/>
      <w:lvlText w:val="•"/>
      <w:lvlJc w:val="left"/>
      <w:pPr>
        <w:tabs>
          <w:tab w:val="num" w:pos="1440"/>
        </w:tabs>
        <w:ind w:left="1440" w:hanging="360"/>
      </w:pPr>
      <w:rPr>
        <w:rFonts w:ascii="Arial" w:hAnsi="Arial" w:hint="default"/>
      </w:rPr>
    </w:lvl>
    <w:lvl w:ilvl="2" w:tplc="F1F876B6" w:tentative="1">
      <w:start w:val="1"/>
      <w:numFmt w:val="bullet"/>
      <w:lvlText w:val="•"/>
      <w:lvlJc w:val="left"/>
      <w:pPr>
        <w:tabs>
          <w:tab w:val="num" w:pos="2160"/>
        </w:tabs>
        <w:ind w:left="2160" w:hanging="360"/>
      </w:pPr>
      <w:rPr>
        <w:rFonts w:ascii="Arial" w:hAnsi="Arial" w:hint="default"/>
      </w:rPr>
    </w:lvl>
    <w:lvl w:ilvl="3" w:tplc="871CCA3E" w:tentative="1">
      <w:start w:val="1"/>
      <w:numFmt w:val="bullet"/>
      <w:lvlText w:val="•"/>
      <w:lvlJc w:val="left"/>
      <w:pPr>
        <w:tabs>
          <w:tab w:val="num" w:pos="2880"/>
        </w:tabs>
        <w:ind w:left="2880" w:hanging="360"/>
      </w:pPr>
      <w:rPr>
        <w:rFonts w:ascii="Arial" w:hAnsi="Arial" w:hint="default"/>
      </w:rPr>
    </w:lvl>
    <w:lvl w:ilvl="4" w:tplc="360A8058" w:tentative="1">
      <w:start w:val="1"/>
      <w:numFmt w:val="bullet"/>
      <w:lvlText w:val="•"/>
      <w:lvlJc w:val="left"/>
      <w:pPr>
        <w:tabs>
          <w:tab w:val="num" w:pos="3600"/>
        </w:tabs>
        <w:ind w:left="3600" w:hanging="360"/>
      </w:pPr>
      <w:rPr>
        <w:rFonts w:ascii="Arial" w:hAnsi="Arial" w:hint="default"/>
      </w:rPr>
    </w:lvl>
    <w:lvl w:ilvl="5" w:tplc="2BACE770" w:tentative="1">
      <w:start w:val="1"/>
      <w:numFmt w:val="bullet"/>
      <w:lvlText w:val="•"/>
      <w:lvlJc w:val="left"/>
      <w:pPr>
        <w:tabs>
          <w:tab w:val="num" w:pos="4320"/>
        </w:tabs>
        <w:ind w:left="4320" w:hanging="360"/>
      </w:pPr>
      <w:rPr>
        <w:rFonts w:ascii="Arial" w:hAnsi="Arial" w:hint="default"/>
      </w:rPr>
    </w:lvl>
    <w:lvl w:ilvl="6" w:tplc="5DF4B132" w:tentative="1">
      <w:start w:val="1"/>
      <w:numFmt w:val="bullet"/>
      <w:lvlText w:val="•"/>
      <w:lvlJc w:val="left"/>
      <w:pPr>
        <w:tabs>
          <w:tab w:val="num" w:pos="5040"/>
        </w:tabs>
        <w:ind w:left="5040" w:hanging="360"/>
      </w:pPr>
      <w:rPr>
        <w:rFonts w:ascii="Arial" w:hAnsi="Arial" w:hint="default"/>
      </w:rPr>
    </w:lvl>
    <w:lvl w:ilvl="7" w:tplc="63F0455E" w:tentative="1">
      <w:start w:val="1"/>
      <w:numFmt w:val="bullet"/>
      <w:lvlText w:val="•"/>
      <w:lvlJc w:val="left"/>
      <w:pPr>
        <w:tabs>
          <w:tab w:val="num" w:pos="5760"/>
        </w:tabs>
        <w:ind w:left="5760" w:hanging="360"/>
      </w:pPr>
      <w:rPr>
        <w:rFonts w:ascii="Arial" w:hAnsi="Arial" w:hint="default"/>
      </w:rPr>
    </w:lvl>
    <w:lvl w:ilvl="8" w:tplc="A40CC8C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76F611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4860A4A"/>
    <w:multiLevelType w:val="hybridMultilevel"/>
    <w:tmpl w:val="CBCE2102"/>
    <w:lvl w:ilvl="0" w:tplc="A07AF94A">
      <w:start w:val="1"/>
      <w:numFmt w:val="bullet"/>
      <w:lvlText w:val="•"/>
      <w:lvlJc w:val="left"/>
      <w:pPr>
        <w:tabs>
          <w:tab w:val="num" w:pos="720"/>
        </w:tabs>
        <w:ind w:left="720" w:hanging="360"/>
      </w:pPr>
      <w:rPr>
        <w:rFonts w:ascii="Arial" w:hAnsi="Arial" w:hint="default"/>
      </w:rPr>
    </w:lvl>
    <w:lvl w:ilvl="1" w:tplc="35C41FB4" w:tentative="1">
      <w:start w:val="1"/>
      <w:numFmt w:val="bullet"/>
      <w:lvlText w:val="•"/>
      <w:lvlJc w:val="left"/>
      <w:pPr>
        <w:tabs>
          <w:tab w:val="num" w:pos="1440"/>
        </w:tabs>
        <w:ind w:left="1440" w:hanging="360"/>
      </w:pPr>
      <w:rPr>
        <w:rFonts w:ascii="Arial" w:hAnsi="Arial" w:hint="default"/>
      </w:rPr>
    </w:lvl>
    <w:lvl w:ilvl="2" w:tplc="8C5299B4" w:tentative="1">
      <w:start w:val="1"/>
      <w:numFmt w:val="bullet"/>
      <w:lvlText w:val="•"/>
      <w:lvlJc w:val="left"/>
      <w:pPr>
        <w:tabs>
          <w:tab w:val="num" w:pos="2160"/>
        </w:tabs>
        <w:ind w:left="2160" w:hanging="360"/>
      </w:pPr>
      <w:rPr>
        <w:rFonts w:ascii="Arial" w:hAnsi="Arial" w:hint="default"/>
      </w:rPr>
    </w:lvl>
    <w:lvl w:ilvl="3" w:tplc="21121BC0" w:tentative="1">
      <w:start w:val="1"/>
      <w:numFmt w:val="bullet"/>
      <w:lvlText w:val="•"/>
      <w:lvlJc w:val="left"/>
      <w:pPr>
        <w:tabs>
          <w:tab w:val="num" w:pos="2880"/>
        </w:tabs>
        <w:ind w:left="2880" w:hanging="360"/>
      </w:pPr>
      <w:rPr>
        <w:rFonts w:ascii="Arial" w:hAnsi="Arial" w:hint="default"/>
      </w:rPr>
    </w:lvl>
    <w:lvl w:ilvl="4" w:tplc="DC32EB5E" w:tentative="1">
      <w:start w:val="1"/>
      <w:numFmt w:val="bullet"/>
      <w:lvlText w:val="•"/>
      <w:lvlJc w:val="left"/>
      <w:pPr>
        <w:tabs>
          <w:tab w:val="num" w:pos="3600"/>
        </w:tabs>
        <w:ind w:left="3600" w:hanging="360"/>
      </w:pPr>
      <w:rPr>
        <w:rFonts w:ascii="Arial" w:hAnsi="Arial" w:hint="default"/>
      </w:rPr>
    </w:lvl>
    <w:lvl w:ilvl="5" w:tplc="384E9A44" w:tentative="1">
      <w:start w:val="1"/>
      <w:numFmt w:val="bullet"/>
      <w:lvlText w:val="•"/>
      <w:lvlJc w:val="left"/>
      <w:pPr>
        <w:tabs>
          <w:tab w:val="num" w:pos="4320"/>
        </w:tabs>
        <w:ind w:left="4320" w:hanging="360"/>
      </w:pPr>
      <w:rPr>
        <w:rFonts w:ascii="Arial" w:hAnsi="Arial" w:hint="default"/>
      </w:rPr>
    </w:lvl>
    <w:lvl w:ilvl="6" w:tplc="A1D4E14C" w:tentative="1">
      <w:start w:val="1"/>
      <w:numFmt w:val="bullet"/>
      <w:lvlText w:val="•"/>
      <w:lvlJc w:val="left"/>
      <w:pPr>
        <w:tabs>
          <w:tab w:val="num" w:pos="5040"/>
        </w:tabs>
        <w:ind w:left="5040" w:hanging="360"/>
      </w:pPr>
      <w:rPr>
        <w:rFonts w:ascii="Arial" w:hAnsi="Arial" w:hint="default"/>
      </w:rPr>
    </w:lvl>
    <w:lvl w:ilvl="7" w:tplc="DC761FEA" w:tentative="1">
      <w:start w:val="1"/>
      <w:numFmt w:val="bullet"/>
      <w:lvlText w:val="•"/>
      <w:lvlJc w:val="left"/>
      <w:pPr>
        <w:tabs>
          <w:tab w:val="num" w:pos="5760"/>
        </w:tabs>
        <w:ind w:left="5760" w:hanging="360"/>
      </w:pPr>
      <w:rPr>
        <w:rFonts w:ascii="Arial" w:hAnsi="Arial" w:hint="default"/>
      </w:rPr>
    </w:lvl>
    <w:lvl w:ilvl="8" w:tplc="D0E4313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7960C69"/>
    <w:multiLevelType w:val="hybridMultilevel"/>
    <w:tmpl w:val="A4CCA21E"/>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4A6189D1"/>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1743945"/>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53E960B7"/>
    <w:multiLevelType w:val="hybridMultilevel"/>
    <w:tmpl w:val="EE86404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BC01903"/>
    <w:multiLevelType w:val="hybridMultilevel"/>
    <w:tmpl w:val="911429B0"/>
    <w:lvl w:ilvl="0" w:tplc="8AB6D000">
      <w:start w:val="1"/>
      <w:numFmt w:val="bullet"/>
      <w:lvlText w:val="•"/>
      <w:lvlJc w:val="left"/>
      <w:pPr>
        <w:tabs>
          <w:tab w:val="num" w:pos="720"/>
        </w:tabs>
        <w:ind w:left="720" w:hanging="360"/>
      </w:pPr>
      <w:rPr>
        <w:rFonts w:ascii="Arial" w:hAnsi="Arial" w:hint="default"/>
      </w:rPr>
    </w:lvl>
    <w:lvl w:ilvl="1" w:tplc="4DFC539C" w:tentative="1">
      <w:start w:val="1"/>
      <w:numFmt w:val="bullet"/>
      <w:lvlText w:val="•"/>
      <w:lvlJc w:val="left"/>
      <w:pPr>
        <w:tabs>
          <w:tab w:val="num" w:pos="1440"/>
        </w:tabs>
        <w:ind w:left="1440" w:hanging="360"/>
      </w:pPr>
      <w:rPr>
        <w:rFonts w:ascii="Arial" w:hAnsi="Arial" w:hint="default"/>
      </w:rPr>
    </w:lvl>
    <w:lvl w:ilvl="2" w:tplc="E98093C8" w:tentative="1">
      <w:start w:val="1"/>
      <w:numFmt w:val="bullet"/>
      <w:lvlText w:val="•"/>
      <w:lvlJc w:val="left"/>
      <w:pPr>
        <w:tabs>
          <w:tab w:val="num" w:pos="2160"/>
        </w:tabs>
        <w:ind w:left="2160" w:hanging="360"/>
      </w:pPr>
      <w:rPr>
        <w:rFonts w:ascii="Arial" w:hAnsi="Arial" w:hint="default"/>
      </w:rPr>
    </w:lvl>
    <w:lvl w:ilvl="3" w:tplc="F4642760" w:tentative="1">
      <w:start w:val="1"/>
      <w:numFmt w:val="bullet"/>
      <w:lvlText w:val="•"/>
      <w:lvlJc w:val="left"/>
      <w:pPr>
        <w:tabs>
          <w:tab w:val="num" w:pos="2880"/>
        </w:tabs>
        <w:ind w:left="2880" w:hanging="360"/>
      </w:pPr>
      <w:rPr>
        <w:rFonts w:ascii="Arial" w:hAnsi="Arial" w:hint="default"/>
      </w:rPr>
    </w:lvl>
    <w:lvl w:ilvl="4" w:tplc="EEFCBB0C" w:tentative="1">
      <w:start w:val="1"/>
      <w:numFmt w:val="bullet"/>
      <w:lvlText w:val="•"/>
      <w:lvlJc w:val="left"/>
      <w:pPr>
        <w:tabs>
          <w:tab w:val="num" w:pos="3600"/>
        </w:tabs>
        <w:ind w:left="3600" w:hanging="360"/>
      </w:pPr>
      <w:rPr>
        <w:rFonts w:ascii="Arial" w:hAnsi="Arial" w:hint="default"/>
      </w:rPr>
    </w:lvl>
    <w:lvl w:ilvl="5" w:tplc="2FCAC870" w:tentative="1">
      <w:start w:val="1"/>
      <w:numFmt w:val="bullet"/>
      <w:lvlText w:val="•"/>
      <w:lvlJc w:val="left"/>
      <w:pPr>
        <w:tabs>
          <w:tab w:val="num" w:pos="4320"/>
        </w:tabs>
        <w:ind w:left="4320" w:hanging="360"/>
      </w:pPr>
      <w:rPr>
        <w:rFonts w:ascii="Arial" w:hAnsi="Arial" w:hint="default"/>
      </w:rPr>
    </w:lvl>
    <w:lvl w:ilvl="6" w:tplc="0BF054E2" w:tentative="1">
      <w:start w:val="1"/>
      <w:numFmt w:val="bullet"/>
      <w:lvlText w:val="•"/>
      <w:lvlJc w:val="left"/>
      <w:pPr>
        <w:tabs>
          <w:tab w:val="num" w:pos="5040"/>
        </w:tabs>
        <w:ind w:left="5040" w:hanging="360"/>
      </w:pPr>
      <w:rPr>
        <w:rFonts w:ascii="Arial" w:hAnsi="Arial" w:hint="default"/>
      </w:rPr>
    </w:lvl>
    <w:lvl w:ilvl="7" w:tplc="E404F116" w:tentative="1">
      <w:start w:val="1"/>
      <w:numFmt w:val="bullet"/>
      <w:lvlText w:val="•"/>
      <w:lvlJc w:val="left"/>
      <w:pPr>
        <w:tabs>
          <w:tab w:val="num" w:pos="5760"/>
        </w:tabs>
        <w:ind w:left="5760" w:hanging="360"/>
      </w:pPr>
      <w:rPr>
        <w:rFonts w:ascii="Arial" w:hAnsi="Arial" w:hint="default"/>
      </w:rPr>
    </w:lvl>
    <w:lvl w:ilvl="8" w:tplc="739A46BE"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E250EDA"/>
    <w:multiLevelType w:val="hybridMultilevel"/>
    <w:tmpl w:val="0420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22513E"/>
    <w:multiLevelType w:val="hybridMultilevel"/>
    <w:tmpl w:val="E9D8BCCC"/>
    <w:lvl w:ilvl="0" w:tplc="5FB2B240">
      <w:start w:val="1"/>
      <w:numFmt w:val="bullet"/>
      <w:lvlText w:val="•"/>
      <w:lvlJc w:val="left"/>
      <w:pPr>
        <w:tabs>
          <w:tab w:val="num" w:pos="720"/>
        </w:tabs>
        <w:ind w:left="720" w:hanging="360"/>
      </w:pPr>
      <w:rPr>
        <w:rFonts w:ascii="Arial" w:hAnsi="Arial" w:hint="default"/>
      </w:rPr>
    </w:lvl>
    <w:lvl w:ilvl="1" w:tplc="B6AEA624" w:tentative="1">
      <w:start w:val="1"/>
      <w:numFmt w:val="bullet"/>
      <w:lvlText w:val="•"/>
      <w:lvlJc w:val="left"/>
      <w:pPr>
        <w:tabs>
          <w:tab w:val="num" w:pos="1440"/>
        </w:tabs>
        <w:ind w:left="1440" w:hanging="360"/>
      </w:pPr>
      <w:rPr>
        <w:rFonts w:ascii="Arial" w:hAnsi="Arial" w:hint="default"/>
      </w:rPr>
    </w:lvl>
    <w:lvl w:ilvl="2" w:tplc="5EAAF3D2" w:tentative="1">
      <w:start w:val="1"/>
      <w:numFmt w:val="bullet"/>
      <w:lvlText w:val="•"/>
      <w:lvlJc w:val="left"/>
      <w:pPr>
        <w:tabs>
          <w:tab w:val="num" w:pos="2160"/>
        </w:tabs>
        <w:ind w:left="2160" w:hanging="360"/>
      </w:pPr>
      <w:rPr>
        <w:rFonts w:ascii="Arial" w:hAnsi="Arial" w:hint="default"/>
      </w:rPr>
    </w:lvl>
    <w:lvl w:ilvl="3" w:tplc="626C2CD6" w:tentative="1">
      <w:start w:val="1"/>
      <w:numFmt w:val="bullet"/>
      <w:lvlText w:val="•"/>
      <w:lvlJc w:val="left"/>
      <w:pPr>
        <w:tabs>
          <w:tab w:val="num" w:pos="2880"/>
        </w:tabs>
        <w:ind w:left="2880" w:hanging="360"/>
      </w:pPr>
      <w:rPr>
        <w:rFonts w:ascii="Arial" w:hAnsi="Arial" w:hint="default"/>
      </w:rPr>
    </w:lvl>
    <w:lvl w:ilvl="4" w:tplc="5E9C0E66" w:tentative="1">
      <w:start w:val="1"/>
      <w:numFmt w:val="bullet"/>
      <w:lvlText w:val="•"/>
      <w:lvlJc w:val="left"/>
      <w:pPr>
        <w:tabs>
          <w:tab w:val="num" w:pos="3600"/>
        </w:tabs>
        <w:ind w:left="3600" w:hanging="360"/>
      </w:pPr>
      <w:rPr>
        <w:rFonts w:ascii="Arial" w:hAnsi="Arial" w:hint="default"/>
      </w:rPr>
    </w:lvl>
    <w:lvl w:ilvl="5" w:tplc="B3344098" w:tentative="1">
      <w:start w:val="1"/>
      <w:numFmt w:val="bullet"/>
      <w:lvlText w:val="•"/>
      <w:lvlJc w:val="left"/>
      <w:pPr>
        <w:tabs>
          <w:tab w:val="num" w:pos="4320"/>
        </w:tabs>
        <w:ind w:left="4320" w:hanging="360"/>
      </w:pPr>
      <w:rPr>
        <w:rFonts w:ascii="Arial" w:hAnsi="Arial" w:hint="default"/>
      </w:rPr>
    </w:lvl>
    <w:lvl w:ilvl="6" w:tplc="79A8B1D8" w:tentative="1">
      <w:start w:val="1"/>
      <w:numFmt w:val="bullet"/>
      <w:lvlText w:val="•"/>
      <w:lvlJc w:val="left"/>
      <w:pPr>
        <w:tabs>
          <w:tab w:val="num" w:pos="5040"/>
        </w:tabs>
        <w:ind w:left="5040" w:hanging="360"/>
      </w:pPr>
      <w:rPr>
        <w:rFonts w:ascii="Arial" w:hAnsi="Arial" w:hint="default"/>
      </w:rPr>
    </w:lvl>
    <w:lvl w:ilvl="7" w:tplc="36909630" w:tentative="1">
      <w:start w:val="1"/>
      <w:numFmt w:val="bullet"/>
      <w:lvlText w:val="•"/>
      <w:lvlJc w:val="left"/>
      <w:pPr>
        <w:tabs>
          <w:tab w:val="num" w:pos="5760"/>
        </w:tabs>
        <w:ind w:left="5760" w:hanging="360"/>
      </w:pPr>
      <w:rPr>
        <w:rFonts w:ascii="Arial" w:hAnsi="Arial" w:hint="default"/>
      </w:rPr>
    </w:lvl>
    <w:lvl w:ilvl="8" w:tplc="13F60AB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1D72DC2"/>
    <w:multiLevelType w:val="hybridMultilevel"/>
    <w:tmpl w:val="FAC872E4"/>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6408A47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6536243E"/>
    <w:multiLevelType w:val="hybridMultilevel"/>
    <w:tmpl w:val="3D28AF1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5DA16CF"/>
    <w:multiLevelType w:val="hybridMultilevel"/>
    <w:tmpl w:val="504033C2"/>
    <w:lvl w:ilvl="0" w:tplc="1A9AC8DA">
      <w:start w:val="1"/>
      <w:numFmt w:val="bullet"/>
      <w:lvlText w:val="•"/>
      <w:lvlJc w:val="left"/>
      <w:pPr>
        <w:tabs>
          <w:tab w:val="num" w:pos="720"/>
        </w:tabs>
        <w:ind w:left="720" w:hanging="360"/>
      </w:pPr>
      <w:rPr>
        <w:rFonts w:ascii="Arial" w:hAnsi="Arial" w:hint="default"/>
      </w:rPr>
    </w:lvl>
    <w:lvl w:ilvl="1" w:tplc="D374B540" w:tentative="1">
      <w:start w:val="1"/>
      <w:numFmt w:val="bullet"/>
      <w:lvlText w:val="•"/>
      <w:lvlJc w:val="left"/>
      <w:pPr>
        <w:tabs>
          <w:tab w:val="num" w:pos="1440"/>
        </w:tabs>
        <w:ind w:left="1440" w:hanging="360"/>
      </w:pPr>
      <w:rPr>
        <w:rFonts w:ascii="Arial" w:hAnsi="Arial" w:hint="default"/>
      </w:rPr>
    </w:lvl>
    <w:lvl w:ilvl="2" w:tplc="D6201344" w:tentative="1">
      <w:start w:val="1"/>
      <w:numFmt w:val="bullet"/>
      <w:lvlText w:val="•"/>
      <w:lvlJc w:val="left"/>
      <w:pPr>
        <w:tabs>
          <w:tab w:val="num" w:pos="2160"/>
        </w:tabs>
        <w:ind w:left="2160" w:hanging="360"/>
      </w:pPr>
      <w:rPr>
        <w:rFonts w:ascii="Arial" w:hAnsi="Arial" w:hint="default"/>
      </w:rPr>
    </w:lvl>
    <w:lvl w:ilvl="3" w:tplc="920C59F2" w:tentative="1">
      <w:start w:val="1"/>
      <w:numFmt w:val="bullet"/>
      <w:lvlText w:val="•"/>
      <w:lvlJc w:val="left"/>
      <w:pPr>
        <w:tabs>
          <w:tab w:val="num" w:pos="2880"/>
        </w:tabs>
        <w:ind w:left="2880" w:hanging="360"/>
      </w:pPr>
      <w:rPr>
        <w:rFonts w:ascii="Arial" w:hAnsi="Arial" w:hint="default"/>
      </w:rPr>
    </w:lvl>
    <w:lvl w:ilvl="4" w:tplc="0C70A27A" w:tentative="1">
      <w:start w:val="1"/>
      <w:numFmt w:val="bullet"/>
      <w:lvlText w:val="•"/>
      <w:lvlJc w:val="left"/>
      <w:pPr>
        <w:tabs>
          <w:tab w:val="num" w:pos="3600"/>
        </w:tabs>
        <w:ind w:left="3600" w:hanging="360"/>
      </w:pPr>
      <w:rPr>
        <w:rFonts w:ascii="Arial" w:hAnsi="Arial" w:hint="default"/>
      </w:rPr>
    </w:lvl>
    <w:lvl w:ilvl="5" w:tplc="C99278EC" w:tentative="1">
      <w:start w:val="1"/>
      <w:numFmt w:val="bullet"/>
      <w:lvlText w:val="•"/>
      <w:lvlJc w:val="left"/>
      <w:pPr>
        <w:tabs>
          <w:tab w:val="num" w:pos="4320"/>
        </w:tabs>
        <w:ind w:left="4320" w:hanging="360"/>
      </w:pPr>
      <w:rPr>
        <w:rFonts w:ascii="Arial" w:hAnsi="Arial" w:hint="default"/>
      </w:rPr>
    </w:lvl>
    <w:lvl w:ilvl="6" w:tplc="739A46FA" w:tentative="1">
      <w:start w:val="1"/>
      <w:numFmt w:val="bullet"/>
      <w:lvlText w:val="•"/>
      <w:lvlJc w:val="left"/>
      <w:pPr>
        <w:tabs>
          <w:tab w:val="num" w:pos="5040"/>
        </w:tabs>
        <w:ind w:left="5040" w:hanging="360"/>
      </w:pPr>
      <w:rPr>
        <w:rFonts w:ascii="Arial" w:hAnsi="Arial" w:hint="default"/>
      </w:rPr>
    </w:lvl>
    <w:lvl w:ilvl="7" w:tplc="73A64C5A" w:tentative="1">
      <w:start w:val="1"/>
      <w:numFmt w:val="bullet"/>
      <w:lvlText w:val="•"/>
      <w:lvlJc w:val="left"/>
      <w:pPr>
        <w:tabs>
          <w:tab w:val="num" w:pos="5760"/>
        </w:tabs>
        <w:ind w:left="5760" w:hanging="360"/>
      </w:pPr>
      <w:rPr>
        <w:rFonts w:ascii="Arial" w:hAnsi="Arial" w:hint="default"/>
      </w:rPr>
    </w:lvl>
    <w:lvl w:ilvl="8" w:tplc="744040D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53AE446"/>
    <w:multiLevelType w:val="hybridMultilevel"/>
    <w:tmpl w:val="8A64BCCA"/>
    <w:lvl w:ilvl="0" w:tplc="04090001">
      <w:start w:val="1"/>
      <w:numFmt w:val="bullet"/>
      <w:lvlText w:val=""/>
      <w:lvlJc w:val="left"/>
      <w:rPr>
        <w:rFonts w:ascii="Symbol" w:hAnsi="Symbol" w:hint="default"/>
      </w:rPr>
    </w:lvl>
    <w:lvl w:ilvl="1" w:tplc="FFFFFFFF">
      <w:numFmt w:val="decimal"/>
      <w:lvlText w:val=""/>
      <w:lvlJc w:val="left"/>
    </w:lvl>
    <w:lvl w:ilvl="2" w:tplc="04090003">
      <w:start w:val="1"/>
      <w:numFmt w:val="bullet"/>
      <w:lvlText w:val="o"/>
      <w:lvlJc w:val="left"/>
      <w:pPr>
        <w:ind w:left="1440" w:hanging="360"/>
      </w:pPr>
      <w:rPr>
        <w:rFonts w:ascii="Courier New" w:hAnsi="Courier New" w:cs="Courier New" w:hint="default"/>
      </w:r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63A606F"/>
    <w:multiLevelType w:val="hybridMultilevel"/>
    <w:tmpl w:val="B78CEA9E"/>
    <w:lvl w:ilvl="0" w:tplc="7792AFB0">
      <w:start w:val="1"/>
      <w:numFmt w:val="bullet"/>
      <w:lvlText w:val="•"/>
      <w:lvlJc w:val="left"/>
      <w:pPr>
        <w:tabs>
          <w:tab w:val="num" w:pos="720"/>
        </w:tabs>
        <w:ind w:left="720" w:hanging="360"/>
      </w:pPr>
      <w:rPr>
        <w:rFonts w:ascii="Arial" w:hAnsi="Arial" w:hint="default"/>
      </w:rPr>
    </w:lvl>
    <w:lvl w:ilvl="1" w:tplc="7B747C40" w:tentative="1">
      <w:start w:val="1"/>
      <w:numFmt w:val="bullet"/>
      <w:lvlText w:val="•"/>
      <w:lvlJc w:val="left"/>
      <w:pPr>
        <w:tabs>
          <w:tab w:val="num" w:pos="1440"/>
        </w:tabs>
        <w:ind w:left="1440" w:hanging="360"/>
      </w:pPr>
      <w:rPr>
        <w:rFonts w:ascii="Arial" w:hAnsi="Arial" w:hint="default"/>
      </w:rPr>
    </w:lvl>
    <w:lvl w:ilvl="2" w:tplc="014E7060" w:tentative="1">
      <w:start w:val="1"/>
      <w:numFmt w:val="bullet"/>
      <w:lvlText w:val="•"/>
      <w:lvlJc w:val="left"/>
      <w:pPr>
        <w:tabs>
          <w:tab w:val="num" w:pos="2160"/>
        </w:tabs>
        <w:ind w:left="2160" w:hanging="360"/>
      </w:pPr>
      <w:rPr>
        <w:rFonts w:ascii="Arial" w:hAnsi="Arial" w:hint="default"/>
      </w:rPr>
    </w:lvl>
    <w:lvl w:ilvl="3" w:tplc="A7DC29D4" w:tentative="1">
      <w:start w:val="1"/>
      <w:numFmt w:val="bullet"/>
      <w:lvlText w:val="•"/>
      <w:lvlJc w:val="left"/>
      <w:pPr>
        <w:tabs>
          <w:tab w:val="num" w:pos="2880"/>
        </w:tabs>
        <w:ind w:left="2880" w:hanging="360"/>
      </w:pPr>
      <w:rPr>
        <w:rFonts w:ascii="Arial" w:hAnsi="Arial" w:hint="default"/>
      </w:rPr>
    </w:lvl>
    <w:lvl w:ilvl="4" w:tplc="19CAB49C" w:tentative="1">
      <w:start w:val="1"/>
      <w:numFmt w:val="bullet"/>
      <w:lvlText w:val="•"/>
      <w:lvlJc w:val="left"/>
      <w:pPr>
        <w:tabs>
          <w:tab w:val="num" w:pos="3600"/>
        </w:tabs>
        <w:ind w:left="3600" w:hanging="360"/>
      </w:pPr>
      <w:rPr>
        <w:rFonts w:ascii="Arial" w:hAnsi="Arial" w:hint="default"/>
      </w:rPr>
    </w:lvl>
    <w:lvl w:ilvl="5" w:tplc="34843D14" w:tentative="1">
      <w:start w:val="1"/>
      <w:numFmt w:val="bullet"/>
      <w:lvlText w:val="•"/>
      <w:lvlJc w:val="left"/>
      <w:pPr>
        <w:tabs>
          <w:tab w:val="num" w:pos="4320"/>
        </w:tabs>
        <w:ind w:left="4320" w:hanging="360"/>
      </w:pPr>
      <w:rPr>
        <w:rFonts w:ascii="Arial" w:hAnsi="Arial" w:hint="default"/>
      </w:rPr>
    </w:lvl>
    <w:lvl w:ilvl="6" w:tplc="96A84C8A" w:tentative="1">
      <w:start w:val="1"/>
      <w:numFmt w:val="bullet"/>
      <w:lvlText w:val="•"/>
      <w:lvlJc w:val="left"/>
      <w:pPr>
        <w:tabs>
          <w:tab w:val="num" w:pos="5040"/>
        </w:tabs>
        <w:ind w:left="5040" w:hanging="360"/>
      </w:pPr>
      <w:rPr>
        <w:rFonts w:ascii="Arial" w:hAnsi="Arial" w:hint="default"/>
      </w:rPr>
    </w:lvl>
    <w:lvl w:ilvl="7" w:tplc="D87C9150" w:tentative="1">
      <w:start w:val="1"/>
      <w:numFmt w:val="bullet"/>
      <w:lvlText w:val="•"/>
      <w:lvlJc w:val="left"/>
      <w:pPr>
        <w:tabs>
          <w:tab w:val="num" w:pos="5760"/>
        </w:tabs>
        <w:ind w:left="5760" w:hanging="360"/>
      </w:pPr>
      <w:rPr>
        <w:rFonts w:ascii="Arial" w:hAnsi="Arial" w:hint="default"/>
      </w:rPr>
    </w:lvl>
    <w:lvl w:ilvl="8" w:tplc="541C163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AE90261"/>
    <w:multiLevelType w:val="hybridMultilevel"/>
    <w:tmpl w:val="D70A22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B31575F"/>
    <w:multiLevelType w:val="hybridMultilevel"/>
    <w:tmpl w:val="42D6998A"/>
    <w:lvl w:ilvl="0" w:tplc="DEF884EA">
      <w:start w:val="1"/>
      <w:numFmt w:val="bullet"/>
      <w:lvlText w:val="•"/>
      <w:lvlJc w:val="left"/>
      <w:pPr>
        <w:tabs>
          <w:tab w:val="num" w:pos="720"/>
        </w:tabs>
        <w:ind w:left="720" w:hanging="360"/>
      </w:pPr>
      <w:rPr>
        <w:rFonts w:ascii="Arial" w:hAnsi="Arial" w:hint="default"/>
      </w:rPr>
    </w:lvl>
    <w:lvl w:ilvl="1" w:tplc="693A7062" w:tentative="1">
      <w:start w:val="1"/>
      <w:numFmt w:val="bullet"/>
      <w:lvlText w:val="•"/>
      <w:lvlJc w:val="left"/>
      <w:pPr>
        <w:tabs>
          <w:tab w:val="num" w:pos="1440"/>
        </w:tabs>
        <w:ind w:left="1440" w:hanging="360"/>
      </w:pPr>
      <w:rPr>
        <w:rFonts w:ascii="Arial" w:hAnsi="Arial" w:hint="default"/>
      </w:rPr>
    </w:lvl>
    <w:lvl w:ilvl="2" w:tplc="FA0E7886" w:tentative="1">
      <w:start w:val="1"/>
      <w:numFmt w:val="bullet"/>
      <w:lvlText w:val="•"/>
      <w:lvlJc w:val="left"/>
      <w:pPr>
        <w:tabs>
          <w:tab w:val="num" w:pos="2160"/>
        </w:tabs>
        <w:ind w:left="2160" w:hanging="360"/>
      </w:pPr>
      <w:rPr>
        <w:rFonts w:ascii="Arial" w:hAnsi="Arial" w:hint="default"/>
      </w:rPr>
    </w:lvl>
    <w:lvl w:ilvl="3" w:tplc="083EA1A8" w:tentative="1">
      <w:start w:val="1"/>
      <w:numFmt w:val="bullet"/>
      <w:lvlText w:val="•"/>
      <w:lvlJc w:val="left"/>
      <w:pPr>
        <w:tabs>
          <w:tab w:val="num" w:pos="2880"/>
        </w:tabs>
        <w:ind w:left="2880" w:hanging="360"/>
      </w:pPr>
      <w:rPr>
        <w:rFonts w:ascii="Arial" w:hAnsi="Arial" w:hint="default"/>
      </w:rPr>
    </w:lvl>
    <w:lvl w:ilvl="4" w:tplc="3AD67AF4" w:tentative="1">
      <w:start w:val="1"/>
      <w:numFmt w:val="bullet"/>
      <w:lvlText w:val="•"/>
      <w:lvlJc w:val="left"/>
      <w:pPr>
        <w:tabs>
          <w:tab w:val="num" w:pos="3600"/>
        </w:tabs>
        <w:ind w:left="3600" w:hanging="360"/>
      </w:pPr>
      <w:rPr>
        <w:rFonts w:ascii="Arial" w:hAnsi="Arial" w:hint="default"/>
      </w:rPr>
    </w:lvl>
    <w:lvl w:ilvl="5" w:tplc="571075A4" w:tentative="1">
      <w:start w:val="1"/>
      <w:numFmt w:val="bullet"/>
      <w:lvlText w:val="•"/>
      <w:lvlJc w:val="left"/>
      <w:pPr>
        <w:tabs>
          <w:tab w:val="num" w:pos="4320"/>
        </w:tabs>
        <w:ind w:left="4320" w:hanging="360"/>
      </w:pPr>
      <w:rPr>
        <w:rFonts w:ascii="Arial" w:hAnsi="Arial" w:hint="default"/>
      </w:rPr>
    </w:lvl>
    <w:lvl w:ilvl="6" w:tplc="B8ECCB12" w:tentative="1">
      <w:start w:val="1"/>
      <w:numFmt w:val="bullet"/>
      <w:lvlText w:val="•"/>
      <w:lvlJc w:val="left"/>
      <w:pPr>
        <w:tabs>
          <w:tab w:val="num" w:pos="5040"/>
        </w:tabs>
        <w:ind w:left="5040" w:hanging="360"/>
      </w:pPr>
      <w:rPr>
        <w:rFonts w:ascii="Arial" w:hAnsi="Arial" w:hint="default"/>
      </w:rPr>
    </w:lvl>
    <w:lvl w:ilvl="7" w:tplc="03BEEF04" w:tentative="1">
      <w:start w:val="1"/>
      <w:numFmt w:val="bullet"/>
      <w:lvlText w:val="•"/>
      <w:lvlJc w:val="left"/>
      <w:pPr>
        <w:tabs>
          <w:tab w:val="num" w:pos="5760"/>
        </w:tabs>
        <w:ind w:left="5760" w:hanging="360"/>
      </w:pPr>
      <w:rPr>
        <w:rFonts w:ascii="Arial" w:hAnsi="Arial" w:hint="default"/>
      </w:rPr>
    </w:lvl>
    <w:lvl w:ilvl="8" w:tplc="EA36D738" w:tentative="1">
      <w:start w:val="1"/>
      <w:numFmt w:val="bullet"/>
      <w:lvlText w:val="•"/>
      <w:lvlJc w:val="left"/>
      <w:pPr>
        <w:tabs>
          <w:tab w:val="num" w:pos="6480"/>
        </w:tabs>
        <w:ind w:left="6480" w:hanging="360"/>
      </w:pPr>
      <w:rPr>
        <w:rFonts w:ascii="Arial" w:hAnsi="Arial" w:hint="default"/>
      </w:rPr>
    </w:lvl>
  </w:abstractNum>
  <w:num w:numId="1" w16cid:durableId="1429933249">
    <w:abstractNumId w:val="13"/>
  </w:num>
  <w:num w:numId="2" w16cid:durableId="190150936">
    <w:abstractNumId w:val="11"/>
  </w:num>
  <w:num w:numId="3" w16cid:durableId="1730180316">
    <w:abstractNumId w:val="10"/>
  </w:num>
  <w:num w:numId="4" w16cid:durableId="191113245">
    <w:abstractNumId w:val="9"/>
  </w:num>
  <w:num w:numId="5" w16cid:durableId="1460759836">
    <w:abstractNumId w:val="12"/>
  </w:num>
  <w:num w:numId="6" w16cid:durableId="417213738">
    <w:abstractNumId w:val="8"/>
  </w:num>
  <w:num w:numId="7" w16cid:durableId="1298874023">
    <w:abstractNumId w:val="7"/>
  </w:num>
  <w:num w:numId="8" w16cid:durableId="341319535">
    <w:abstractNumId w:val="6"/>
  </w:num>
  <w:num w:numId="9" w16cid:durableId="1612275897">
    <w:abstractNumId w:val="5"/>
  </w:num>
  <w:num w:numId="10" w16cid:durableId="208952878">
    <w:abstractNumId w:val="28"/>
  </w:num>
  <w:num w:numId="11" w16cid:durableId="550307768">
    <w:abstractNumId w:val="27"/>
  </w:num>
  <w:num w:numId="12" w16cid:durableId="1776825526">
    <w:abstractNumId w:val="33"/>
  </w:num>
  <w:num w:numId="13" w16cid:durableId="388529524">
    <w:abstractNumId w:val="37"/>
  </w:num>
  <w:num w:numId="14" w16cid:durableId="1173030325">
    <w:abstractNumId w:val="35"/>
  </w:num>
  <w:num w:numId="15" w16cid:durableId="202791887">
    <w:abstractNumId w:val="29"/>
  </w:num>
  <w:num w:numId="16" w16cid:durableId="707028166">
    <w:abstractNumId w:val="20"/>
  </w:num>
  <w:num w:numId="17" w16cid:durableId="103235695">
    <w:abstractNumId w:val="22"/>
  </w:num>
  <w:num w:numId="18" w16cid:durableId="878125800">
    <w:abstractNumId w:val="16"/>
  </w:num>
  <w:num w:numId="19" w16cid:durableId="436680894">
    <w:abstractNumId w:val="14"/>
  </w:num>
  <w:num w:numId="20" w16cid:durableId="1159273307">
    <w:abstractNumId w:val="18"/>
  </w:num>
  <w:num w:numId="21" w16cid:durableId="1594314224">
    <w:abstractNumId w:val="0"/>
  </w:num>
  <w:num w:numId="22" w16cid:durableId="714887870">
    <w:abstractNumId w:val="15"/>
  </w:num>
  <w:num w:numId="23" w16cid:durableId="1757557034">
    <w:abstractNumId w:val="24"/>
  </w:num>
  <w:num w:numId="24" w16cid:durableId="1428649758">
    <w:abstractNumId w:val="36"/>
  </w:num>
  <w:num w:numId="25" w16cid:durableId="52430801">
    <w:abstractNumId w:val="19"/>
  </w:num>
  <w:num w:numId="26" w16cid:durableId="530187773">
    <w:abstractNumId w:val="3"/>
  </w:num>
  <w:num w:numId="27" w16cid:durableId="484275213">
    <w:abstractNumId w:val="26"/>
  </w:num>
  <w:num w:numId="28" w16cid:durableId="234899868">
    <w:abstractNumId w:val="32"/>
  </w:num>
  <w:num w:numId="29" w16cid:durableId="1613516776">
    <w:abstractNumId w:val="1"/>
  </w:num>
  <w:num w:numId="30" w16cid:durableId="801652438">
    <w:abstractNumId w:val="30"/>
  </w:num>
  <w:num w:numId="31" w16cid:durableId="1875925765">
    <w:abstractNumId w:val="2"/>
  </w:num>
  <w:num w:numId="32" w16cid:durableId="379088894">
    <w:abstractNumId w:val="17"/>
  </w:num>
  <w:num w:numId="33" w16cid:durableId="1439445479">
    <w:abstractNumId w:val="31"/>
  </w:num>
  <w:num w:numId="34" w16cid:durableId="1508137951">
    <w:abstractNumId w:val="23"/>
  </w:num>
  <w:num w:numId="35" w16cid:durableId="1757700926">
    <w:abstractNumId w:val="34"/>
  </w:num>
  <w:num w:numId="36" w16cid:durableId="2115898857">
    <w:abstractNumId w:val="25"/>
  </w:num>
  <w:num w:numId="37" w16cid:durableId="1209609066">
    <w:abstractNumId w:val="13"/>
  </w:num>
  <w:num w:numId="38" w16cid:durableId="704912057">
    <w:abstractNumId w:val="4"/>
  </w:num>
  <w:num w:numId="39" w16cid:durableId="1760826672">
    <w:abstractNumId w:val="21"/>
  </w:num>
  <w:num w:numId="40" w16cid:durableId="11067339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619BF"/>
    <w:rsid w:val="0015074B"/>
    <w:rsid w:val="0018437E"/>
    <w:rsid w:val="001C4F12"/>
    <w:rsid w:val="001E3CDF"/>
    <w:rsid w:val="001F7276"/>
    <w:rsid w:val="002400C8"/>
    <w:rsid w:val="00241DE1"/>
    <w:rsid w:val="00264C48"/>
    <w:rsid w:val="00267B2F"/>
    <w:rsid w:val="0029639D"/>
    <w:rsid w:val="002B15C3"/>
    <w:rsid w:val="002B45F1"/>
    <w:rsid w:val="002C21E5"/>
    <w:rsid w:val="00326F90"/>
    <w:rsid w:val="00374F85"/>
    <w:rsid w:val="004279A9"/>
    <w:rsid w:val="004B5F33"/>
    <w:rsid w:val="004C1FAD"/>
    <w:rsid w:val="004E5CD8"/>
    <w:rsid w:val="00586471"/>
    <w:rsid w:val="005A1A2C"/>
    <w:rsid w:val="0061251D"/>
    <w:rsid w:val="006B1256"/>
    <w:rsid w:val="00716906"/>
    <w:rsid w:val="00723A58"/>
    <w:rsid w:val="00827BAD"/>
    <w:rsid w:val="009A23A8"/>
    <w:rsid w:val="00A36F94"/>
    <w:rsid w:val="00A55F3B"/>
    <w:rsid w:val="00A86901"/>
    <w:rsid w:val="00AA1D8D"/>
    <w:rsid w:val="00AC7E18"/>
    <w:rsid w:val="00B069D3"/>
    <w:rsid w:val="00B47730"/>
    <w:rsid w:val="00B62835"/>
    <w:rsid w:val="00BA210C"/>
    <w:rsid w:val="00C03F4E"/>
    <w:rsid w:val="00C32E75"/>
    <w:rsid w:val="00CB0664"/>
    <w:rsid w:val="00D71A2D"/>
    <w:rsid w:val="00E97C2B"/>
    <w:rsid w:val="00FC0FD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C7AD1D"/>
  <w14:defaultImageDpi w14:val="300"/>
  <w15:docId w15:val="{60173BD2-0F57-4F23-B35F-ABE4185D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374F85"/>
    <w:rPr>
      <w:color w:val="0000FF" w:themeColor="hyperlink"/>
      <w:u w:val="single"/>
    </w:rPr>
  </w:style>
  <w:style w:type="character" w:styleId="UnresolvedMention">
    <w:name w:val="Unresolved Mention"/>
    <w:basedOn w:val="DefaultParagraphFont"/>
    <w:uiPriority w:val="99"/>
    <w:semiHidden/>
    <w:unhideWhenUsed/>
    <w:rsid w:val="00374F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89640">
      <w:bodyDiv w:val="1"/>
      <w:marLeft w:val="0"/>
      <w:marRight w:val="0"/>
      <w:marTop w:val="0"/>
      <w:marBottom w:val="0"/>
      <w:divBdr>
        <w:top w:val="none" w:sz="0" w:space="0" w:color="auto"/>
        <w:left w:val="none" w:sz="0" w:space="0" w:color="auto"/>
        <w:bottom w:val="none" w:sz="0" w:space="0" w:color="auto"/>
        <w:right w:val="none" w:sz="0" w:space="0" w:color="auto"/>
      </w:divBdr>
    </w:div>
    <w:div w:id="471295791">
      <w:bodyDiv w:val="1"/>
      <w:marLeft w:val="0"/>
      <w:marRight w:val="0"/>
      <w:marTop w:val="0"/>
      <w:marBottom w:val="0"/>
      <w:divBdr>
        <w:top w:val="none" w:sz="0" w:space="0" w:color="auto"/>
        <w:left w:val="none" w:sz="0" w:space="0" w:color="auto"/>
        <w:bottom w:val="none" w:sz="0" w:space="0" w:color="auto"/>
        <w:right w:val="none" w:sz="0" w:space="0" w:color="auto"/>
      </w:divBdr>
      <w:divsChild>
        <w:div w:id="1883860413">
          <w:marLeft w:val="547"/>
          <w:marRight w:val="0"/>
          <w:marTop w:val="125"/>
          <w:marBottom w:val="0"/>
          <w:divBdr>
            <w:top w:val="none" w:sz="0" w:space="0" w:color="auto"/>
            <w:left w:val="none" w:sz="0" w:space="0" w:color="auto"/>
            <w:bottom w:val="none" w:sz="0" w:space="0" w:color="auto"/>
            <w:right w:val="none" w:sz="0" w:space="0" w:color="auto"/>
          </w:divBdr>
        </w:div>
      </w:divsChild>
    </w:div>
    <w:div w:id="594437797">
      <w:bodyDiv w:val="1"/>
      <w:marLeft w:val="0"/>
      <w:marRight w:val="0"/>
      <w:marTop w:val="0"/>
      <w:marBottom w:val="0"/>
      <w:divBdr>
        <w:top w:val="none" w:sz="0" w:space="0" w:color="auto"/>
        <w:left w:val="none" w:sz="0" w:space="0" w:color="auto"/>
        <w:bottom w:val="none" w:sz="0" w:space="0" w:color="auto"/>
        <w:right w:val="none" w:sz="0" w:space="0" w:color="auto"/>
      </w:divBdr>
      <w:divsChild>
        <w:div w:id="274799889">
          <w:marLeft w:val="274"/>
          <w:marRight w:val="0"/>
          <w:marTop w:val="0"/>
          <w:marBottom w:val="0"/>
          <w:divBdr>
            <w:top w:val="none" w:sz="0" w:space="0" w:color="auto"/>
            <w:left w:val="none" w:sz="0" w:space="0" w:color="auto"/>
            <w:bottom w:val="none" w:sz="0" w:space="0" w:color="auto"/>
            <w:right w:val="none" w:sz="0" w:space="0" w:color="auto"/>
          </w:divBdr>
        </w:div>
        <w:div w:id="2120709820">
          <w:marLeft w:val="274"/>
          <w:marRight w:val="0"/>
          <w:marTop w:val="0"/>
          <w:marBottom w:val="0"/>
          <w:divBdr>
            <w:top w:val="none" w:sz="0" w:space="0" w:color="auto"/>
            <w:left w:val="none" w:sz="0" w:space="0" w:color="auto"/>
            <w:bottom w:val="none" w:sz="0" w:space="0" w:color="auto"/>
            <w:right w:val="none" w:sz="0" w:space="0" w:color="auto"/>
          </w:divBdr>
        </w:div>
        <w:div w:id="831019992">
          <w:marLeft w:val="274"/>
          <w:marRight w:val="0"/>
          <w:marTop w:val="0"/>
          <w:marBottom w:val="0"/>
          <w:divBdr>
            <w:top w:val="none" w:sz="0" w:space="0" w:color="auto"/>
            <w:left w:val="none" w:sz="0" w:space="0" w:color="auto"/>
            <w:bottom w:val="none" w:sz="0" w:space="0" w:color="auto"/>
            <w:right w:val="none" w:sz="0" w:space="0" w:color="auto"/>
          </w:divBdr>
        </w:div>
      </w:divsChild>
    </w:div>
    <w:div w:id="763108448">
      <w:bodyDiv w:val="1"/>
      <w:marLeft w:val="0"/>
      <w:marRight w:val="0"/>
      <w:marTop w:val="0"/>
      <w:marBottom w:val="0"/>
      <w:divBdr>
        <w:top w:val="none" w:sz="0" w:space="0" w:color="auto"/>
        <w:left w:val="none" w:sz="0" w:space="0" w:color="auto"/>
        <w:bottom w:val="none" w:sz="0" w:space="0" w:color="auto"/>
        <w:right w:val="none" w:sz="0" w:space="0" w:color="auto"/>
      </w:divBdr>
    </w:div>
    <w:div w:id="860317626">
      <w:bodyDiv w:val="1"/>
      <w:marLeft w:val="0"/>
      <w:marRight w:val="0"/>
      <w:marTop w:val="0"/>
      <w:marBottom w:val="0"/>
      <w:divBdr>
        <w:top w:val="none" w:sz="0" w:space="0" w:color="auto"/>
        <w:left w:val="none" w:sz="0" w:space="0" w:color="auto"/>
        <w:bottom w:val="none" w:sz="0" w:space="0" w:color="auto"/>
        <w:right w:val="none" w:sz="0" w:space="0" w:color="auto"/>
      </w:divBdr>
    </w:div>
    <w:div w:id="1001660200">
      <w:bodyDiv w:val="1"/>
      <w:marLeft w:val="0"/>
      <w:marRight w:val="0"/>
      <w:marTop w:val="0"/>
      <w:marBottom w:val="0"/>
      <w:divBdr>
        <w:top w:val="none" w:sz="0" w:space="0" w:color="auto"/>
        <w:left w:val="none" w:sz="0" w:space="0" w:color="auto"/>
        <w:bottom w:val="none" w:sz="0" w:space="0" w:color="auto"/>
        <w:right w:val="none" w:sz="0" w:space="0" w:color="auto"/>
      </w:divBdr>
    </w:div>
    <w:div w:id="1056049512">
      <w:bodyDiv w:val="1"/>
      <w:marLeft w:val="0"/>
      <w:marRight w:val="0"/>
      <w:marTop w:val="0"/>
      <w:marBottom w:val="0"/>
      <w:divBdr>
        <w:top w:val="none" w:sz="0" w:space="0" w:color="auto"/>
        <w:left w:val="none" w:sz="0" w:space="0" w:color="auto"/>
        <w:bottom w:val="none" w:sz="0" w:space="0" w:color="auto"/>
        <w:right w:val="none" w:sz="0" w:space="0" w:color="auto"/>
      </w:divBdr>
      <w:divsChild>
        <w:div w:id="195974251">
          <w:marLeft w:val="547"/>
          <w:marRight w:val="0"/>
          <w:marTop w:val="86"/>
          <w:marBottom w:val="0"/>
          <w:divBdr>
            <w:top w:val="none" w:sz="0" w:space="0" w:color="auto"/>
            <w:left w:val="none" w:sz="0" w:space="0" w:color="auto"/>
            <w:bottom w:val="none" w:sz="0" w:space="0" w:color="auto"/>
            <w:right w:val="none" w:sz="0" w:space="0" w:color="auto"/>
          </w:divBdr>
        </w:div>
      </w:divsChild>
    </w:div>
    <w:div w:id="1129125140">
      <w:bodyDiv w:val="1"/>
      <w:marLeft w:val="0"/>
      <w:marRight w:val="0"/>
      <w:marTop w:val="0"/>
      <w:marBottom w:val="0"/>
      <w:divBdr>
        <w:top w:val="none" w:sz="0" w:space="0" w:color="auto"/>
        <w:left w:val="none" w:sz="0" w:space="0" w:color="auto"/>
        <w:bottom w:val="none" w:sz="0" w:space="0" w:color="auto"/>
        <w:right w:val="none" w:sz="0" w:space="0" w:color="auto"/>
      </w:divBdr>
    </w:div>
    <w:div w:id="1655337423">
      <w:bodyDiv w:val="1"/>
      <w:marLeft w:val="0"/>
      <w:marRight w:val="0"/>
      <w:marTop w:val="0"/>
      <w:marBottom w:val="0"/>
      <w:divBdr>
        <w:top w:val="none" w:sz="0" w:space="0" w:color="auto"/>
        <w:left w:val="none" w:sz="0" w:space="0" w:color="auto"/>
        <w:bottom w:val="none" w:sz="0" w:space="0" w:color="auto"/>
        <w:right w:val="none" w:sz="0" w:space="0" w:color="auto"/>
      </w:divBdr>
    </w:div>
    <w:div w:id="1700813671">
      <w:bodyDiv w:val="1"/>
      <w:marLeft w:val="0"/>
      <w:marRight w:val="0"/>
      <w:marTop w:val="0"/>
      <w:marBottom w:val="0"/>
      <w:divBdr>
        <w:top w:val="none" w:sz="0" w:space="0" w:color="auto"/>
        <w:left w:val="none" w:sz="0" w:space="0" w:color="auto"/>
        <w:bottom w:val="none" w:sz="0" w:space="0" w:color="auto"/>
        <w:right w:val="none" w:sz="0" w:space="0" w:color="auto"/>
      </w:divBdr>
      <w:divsChild>
        <w:div w:id="1091779568">
          <w:marLeft w:val="547"/>
          <w:marRight w:val="0"/>
          <w:marTop w:val="86"/>
          <w:marBottom w:val="0"/>
          <w:divBdr>
            <w:top w:val="none" w:sz="0" w:space="0" w:color="auto"/>
            <w:left w:val="none" w:sz="0" w:space="0" w:color="auto"/>
            <w:bottom w:val="none" w:sz="0" w:space="0" w:color="auto"/>
            <w:right w:val="none" w:sz="0" w:space="0" w:color="auto"/>
          </w:divBdr>
        </w:div>
        <w:div w:id="1105998814">
          <w:marLeft w:val="547"/>
          <w:marRight w:val="0"/>
          <w:marTop w:val="86"/>
          <w:marBottom w:val="0"/>
          <w:divBdr>
            <w:top w:val="none" w:sz="0" w:space="0" w:color="auto"/>
            <w:left w:val="none" w:sz="0" w:space="0" w:color="auto"/>
            <w:bottom w:val="none" w:sz="0" w:space="0" w:color="auto"/>
            <w:right w:val="none" w:sz="0" w:space="0" w:color="auto"/>
          </w:divBdr>
        </w:div>
        <w:div w:id="1394890734">
          <w:marLeft w:val="547"/>
          <w:marRight w:val="0"/>
          <w:marTop w:val="86"/>
          <w:marBottom w:val="0"/>
          <w:divBdr>
            <w:top w:val="none" w:sz="0" w:space="0" w:color="auto"/>
            <w:left w:val="none" w:sz="0" w:space="0" w:color="auto"/>
            <w:bottom w:val="none" w:sz="0" w:space="0" w:color="auto"/>
            <w:right w:val="none" w:sz="0" w:space="0" w:color="auto"/>
          </w:divBdr>
        </w:div>
      </w:divsChild>
    </w:div>
    <w:div w:id="1730693568">
      <w:bodyDiv w:val="1"/>
      <w:marLeft w:val="0"/>
      <w:marRight w:val="0"/>
      <w:marTop w:val="0"/>
      <w:marBottom w:val="0"/>
      <w:divBdr>
        <w:top w:val="none" w:sz="0" w:space="0" w:color="auto"/>
        <w:left w:val="none" w:sz="0" w:space="0" w:color="auto"/>
        <w:bottom w:val="none" w:sz="0" w:space="0" w:color="auto"/>
        <w:right w:val="none" w:sz="0" w:space="0" w:color="auto"/>
      </w:divBdr>
      <w:divsChild>
        <w:div w:id="1540823679">
          <w:marLeft w:val="547"/>
          <w:marRight w:val="0"/>
          <w:marTop w:val="82"/>
          <w:marBottom w:val="0"/>
          <w:divBdr>
            <w:top w:val="none" w:sz="0" w:space="0" w:color="auto"/>
            <w:left w:val="none" w:sz="0" w:space="0" w:color="auto"/>
            <w:bottom w:val="none" w:sz="0" w:space="0" w:color="auto"/>
            <w:right w:val="none" w:sz="0" w:space="0" w:color="auto"/>
          </w:divBdr>
        </w:div>
        <w:div w:id="1150904903">
          <w:marLeft w:val="547"/>
          <w:marRight w:val="0"/>
          <w:marTop w:val="82"/>
          <w:marBottom w:val="0"/>
          <w:divBdr>
            <w:top w:val="none" w:sz="0" w:space="0" w:color="auto"/>
            <w:left w:val="none" w:sz="0" w:space="0" w:color="auto"/>
            <w:bottom w:val="none" w:sz="0" w:space="0" w:color="auto"/>
            <w:right w:val="none" w:sz="0" w:space="0" w:color="auto"/>
          </w:divBdr>
        </w:div>
        <w:div w:id="647979885">
          <w:marLeft w:val="547"/>
          <w:marRight w:val="0"/>
          <w:marTop w:val="82"/>
          <w:marBottom w:val="0"/>
          <w:divBdr>
            <w:top w:val="none" w:sz="0" w:space="0" w:color="auto"/>
            <w:left w:val="none" w:sz="0" w:space="0" w:color="auto"/>
            <w:bottom w:val="none" w:sz="0" w:space="0" w:color="auto"/>
            <w:right w:val="none" w:sz="0" w:space="0" w:color="auto"/>
          </w:divBdr>
        </w:div>
        <w:div w:id="634334197">
          <w:marLeft w:val="547"/>
          <w:marRight w:val="0"/>
          <w:marTop w:val="82"/>
          <w:marBottom w:val="0"/>
          <w:divBdr>
            <w:top w:val="none" w:sz="0" w:space="0" w:color="auto"/>
            <w:left w:val="none" w:sz="0" w:space="0" w:color="auto"/>
            <w:bottom w:val="none" w:sz="0" w:space="0" w:color="auto"/>
            <w:right w:val="none" w:sz="0" w:space="0" w:color="auto"/>
          </w:divBdr>
        </w:div>
      </w:divsChild>
    </w:div>
    <w:div w:id="1871412207">
      <w:bodyDiv w:val="1"/>
      <w:marLeft w:val="0"/>
      <w:marRight w:val="0"/>
      <w:marTop w:val="0"/>
      <w:marBottom w:val="0"/>
      <w:divBdr>
        <w:top w:val="none" w:sz="0" w:space="0" w:color="auto"/>
        <w:left w:val="none" w:sz="0" w:space="0" w:color="auto"/>
        <w:bottom w:val="none" w:sz="0" w:space="0" w:color="auto"/>
        <w:right w:val="none" w:sz="0" w:space="0" w:color="auto"/>
      </w:divBdr>
      <w:divsChild>
        <w:div w:id="1807776094">
          <w:marLeft w:val="547"/>
          <w:marRight w:val="0"/>
          <w:marTop w:val="72"/>
          <w:marBottom w:val="0"/>
          <w:divBdr>
            <w:top w:val="none" w:sz="0" w:space="0" w:color="auto"/>
            <w:left w:val="none" w:sz="0" w:space="0" w:color="auto"/>
            <w:bottom w:val="none" w:sz="0" w:space="0" w:color="auto"/>
            <w:right w:val="none" w:sz="0" w:space="0" w:color="auto"/>
          </w:divBdr>
        </w:div>
        <w:div w:id="1108963265">
          <w:marLeft w:val="547"/>
          <w:marRight w:val="0"/>
          <w:marTop w:val="72"/>
          <w:marBottom w:val="0"/>
          <w:divBdr>
            <w:top w:val="none" w:sz="0" w:space="0" w:color="auto"/>
            <w:left w:val="none" w:sz="0" w:space="0" w:color="auto"/>
            <w:bottom w:val="none" w:sz="0" w:space="0" w:color="auto"/>
            <w:right w:val="none" w:sz="0" w:space="0" w:color="auto"/>
          </w:divBdr>
        </w:div>
        <w:div w:id="905914248">
          <w:marLeft w:val="547"/>
          <w:marRight w:val="0"/>
          <w:marTop w:val="72"/>
          <w:marBottom w:val="0"/>
          <w:divBdr>
            <w:top w:val="none" w:sz="0" w:space="0" w:color="auto"/>
            <w:left w:val="none" w:sz="0" w:space="0" w:color="auto"/>
            <w:bottom w:val="none" w:sz="0" w:space="0" w:color="auto"/>
            <w:right w:val="none" w:sz="0" w:space="0" w:color="auto"/>
          </w:divBdr>
        </w:div>
        <w:div w:id="2010477172">
          <w:marLeft w:val="547"/>
          <w:marRight w:val="0"/>
          <w:marTop w:val="72"/>
          <w:marBottom w:val="0"/>
          <w:divBdr>
            <w:top w:val="none" w:sz="0" w:space="0" w:color="auto"/>
            <w:left w:val="none" w:sz="0" w:space="0" w:color="auto"/>
            <w:bottom w:val="none" w:sz="0" w:space="0" w:color="auto"/>
            <w:right w:val="none" w:sz="0" w:space="0" w:color="auto"/>
          </w:divBdr>
        </w:div>
      </w:divsChild>
    </w:div>
    <w:div w:id="1907453035">
      <w:bodyDiv w:val="1"/>
      <w:marLeft w:val="0"/>
      <w:marRight w:val="0"/>
      <w:marTop w:val="0"/>
      <w:marBottom w:val="0"/>
      <w:divBdr>
        <w:top w:val="none" w:sz="0" w:space="0" w:color="auto"/>
        <w:left w:val="none" w:sz="0" w:space="0" w:color="auto"/>
        <w:bottom w:val="none" w:sz="0" w:space="0" w:color="auto"/>
        <w:right w:val="none" w:sz="0" w:space="0" w:color="auto"/>
      </w:divBdr>
      <w:divsChild>
        <w:div w:id="1364676067">
          <w:marLeft w:val="547"/>
          <w:marRight w:val="0"/>
          <w:marTop w:val="120"/>
          <w:marBottom w:val="0"/>
          <w:divBdr>
            <w:top w:val="none" w:sz="0" w:space="0" w:color="auto"/>
            <w:left w:val="none" w:sz="0" w:space="0" w:color="auto"/>
            <w:bottom w:val="none" w:sz="0" w:space="0" w:color="auto"/>
            <w:right w:val="none" w:sz="0" w:space="0" w:color="auto"/>
          </w:divBdr>
        </w:div>
        <w:div w:id="1023243752">
          <w:marLeft w:val="547"/>
          <w:marRight w:val="0"/>
          <w:marTop w:val="12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2509</Words>
  <Characters>14306</Characters>
  <Application>Microsoft Office Word</Application>
  <DocSecurity>0</DocSecurity>
  <Lines>119</Lines>
  <Paragraphs>33</Paragraphs>
  <ScaleCrop>false</ScaleCrop>
  <HeadingPairs>
    <vt:vector size="4" baseType="variant">
      <vt:variant>
        <vt:lpstr>Title</vt:lpstr>
      </vt:variant>
      <vt:variant>
        <vt:i4>1</vt:i4>
      </vt:variant>
      <vt:variant>
        <vt:lpstr>Headings</vt:lpstr>
      </vt:variant>
      <vt:variant>
        <vt:i4>35</vt:i4>
      </vt:variant>
    </vt:vector>
  </HeadingPairs>
  <TitlesOfParts>
    <vt:vector size="36" baseType="lpstr">
      <vt:lpstr/>
      <vt:lpstr>Transitions from Acute Care to Post-Acute Care (TACPAC) Task Force</vt:lpstr>
      <vt:lpstr>Recognizing the Issue</vt:lpstr>
      <vt:lpstr>What is a Stuck Patient?</vt:lpstr>
      <vt:lpstr>Why are Patients Stuck?</vt:lpstr>
      <vt:lpstr>A Clogged System: Keeping Patients Moving Through Their Care Journey</vt:lpstr>
      <vt:lpstr>Measure the Issue</vt:lpstr>
      <vt:lpstr>Monthly Hospital Throughput Surveys</vt:lpstr>
      <vt:lpstr>Patient Throughput: Acute to Post-Acute Care</vt:lpstr>
      <vt:lpstr>October 2024 Throughput Data</vt:lpstr>
      <vt:lpstr>October 2024 Throughput Data: Regionally</vt:lpstr>
      <vt:lpstr>October 2024 Throughput Data: Long Stays</vt:lpstr>
      <vt:lpstr/>
      <vt:lpstr>October 2024 Throughput Data: Bed Demand</vt:lpstr>
      <vt:lpstr/>
      <vt:lpstr>October 2024 Throughput Data: LTC Challenges</vt:lpstr>
      <vt:lpstr/>
      <vt:lpstr>Race &amp; Ethnicity of Patients Awaiting Discharge</vt:lpstr>
      <vt:lpstr>Throughput Data: Insurance Composition</vt:lpstr>
      <vt:lpstr>Health Policy Commission Data</vt:lpstr>
      <vt:lpstr>Identifying the Causes</vt:lpstr>
      <vt:lpstr>Challenges to Discharging Patients to SNFs, IRFs, and LTACHs</vt:lpstr>
      <vt:lpstr>Challenges to Discharging Patients to SNFs, IRFs, and LTACHs (continued)</vt:lpstr>
      <vt:lpstr>The Workforce Challenge</vt:lpstr>
      <vt:lpstr>Workforce Challenges for Post-Acute Hospitals</vt:lpstr>
      <vt:lpstr>Temporary Staffing in Post-Acute Facilities</vt:lpstr>
      <vt:lpstr>Temporary Staffing</vt:lpstr>
      <vt:lpstr>Temporary Staffing</vt:lpstr>
      <vt:lpstr>Post-Acute Discharge Challenge</vt:lpstr>
      <vt:lpstr>Addressing the Issue</vt:lpstr>
      <vt:lpstr>Chapter 197 of the Acts of 2024: An Act to Improve Quality &amp; Oversight of Long-T</vt:lpstr>
      <vt:lpstr>Chapter 197 of the Acts of 2024: An Act to Improve Quality &amp; Oversight of Long-T</vt:lpstr>
      <vt:lpstr>Chapter 197 of the Acts of 2024: An Act to Improve Quality &amp; Oversight of Long-T</vt:lpstr>
      <vt:lpstr/>
      <vt:lpstr>Enhanced Short-Term Rehab Program</vt:lpstr>
      <vt:lpstr>Voluntary Strategies to Address Capacity</vt:lpstr>
    </vt:vector>
  </TitlesOfParts>
  <Manager/>
  <Company/>
  <LinksUpToDate>false</LinksUpToDate>
  <CharactersWithSpaces>16782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Cohen, Gabriel R. (EHS)</cp:lastModifiedBy>
  <cp:revision>22</cp:revision>
  <dcterms:created xsi:type="dcterms:W3CDTF">2025-06-26T15:39:00Z</dcterms:created>
  <dcterms:modified xsi:type="dcterms:W3CDTF">2025-06-26T16:05:00Z</dcterms:modified>
  <cp:category/>
</cp:coreProperties>
</file>