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B505" w14:textId="34CCE658" w:rsidR="007A56A8" w:rsidRPr="00A94639" w:rsidRDefault="007A56A8" w:rsidP="007A56A8">
      <w:pPr>
        <w:pStyle w:val="Title"/>
        <w:jc w:val="center"/>
        <w:rPr>
          <w:rFonts w:asciiTheme="minorHAnsi" w:hAnsiTheme="minorHAnsi"/>
          <w:sz w:val="44"/>
          <w:szCs w:val="96"/>
        </w:rPr>
      </w:pPr>
    </w:p>
    <w:p w14:paraId="47AA3AC3" w14:textId="1E0BF411" w:rsidR="007A56A8" w:rsidRPr="00A94639" w:rsidRDefault="007A56A8" w:rsidP="007A56A8">
      <w:pPr>
        <w:pStyle w:val="Title"/>
        <w:jc w:val="center"/>
        <w:rPr>
          <w:rFonts w:asciiTheme="minorHAnsi" w:hAnsiTheme="minorHAnsi"/>
          <w:sz w:val="44"/>
          <w:szCs w:val="96"/>
        </w:rPr>
      </w:pPr>
    </w:p>
    <w:p w14:paraId="6AEE6231" w14:textId="65B83340" w:rsidR="007A56A8" w:rsidRPr="00A94639" w:rsidRDefault="007A56A8" w:rsidP="007A56A8">
      <w:pPr>
        <w:pStyle w:val="Title"/>
        <w:jc w:val="center"/>
        <w:rPr>
          <w:rFonts w:asciiTheme="minorHAnsi" w:hAnsiTheme="minorHAnsi"/>
          <w:sz w:val="44"/>
          <w:szCs w:val="96"/>
        </w:rPr>
      </w:pPr>
    </w:p>
    <w:p w14:paraId="594CED00" w14:textId="40442FC6" w:rsidR="007A56A8" w:rsidRPr="00A94639" w:rsidRDefault="007A56A8" w:rsidP="007A56A8">
      <w:pPr>
        <w:pStyle w:val="Title"/>
        <w:jc w:val="center"/>
        <w:rPr>
          <w:rFonts w:asciiTheme="minorHAnsi" w:hAnsiTheme="minorHAnsi"/>
          <w:sz w:val="44"/>
          <w:szCs w:val="96"/>
        </w:rPr>
      </w:pPr>
    </w:p>
    <w:p w14:paraId="614FCC74" w14:textId="24702CA8" w:rsidR="007A56A8" w:rsidRPr="00A94639" w:rsidRDefault="007A56A8" w:rsidP="007A56A8">
      <w:pPr>
        <w:pStyle w:val="Title"/>
        <w:jc w:val="center"/>
        <w:rPr>
          <w:rFonts w:asciiTheme="minorHAnsi" w:hAnsiTheme="minorHAnsi"/>
          <w:sz w:val="44"/>
          <w:szCs w:val="96"/>
        </w:rPr>
      </w:pPr>
    </w:p>
    <w:p w14:paraId="0AE8FA0F" w14:textId="2EB03D52" w:rsidR="006620B4" w:rsidRPr="00A94639" w:rsidRDefault="006620B4" w:rsidP="007A56A8">
      <w:pPr>
        <w:pStyle w:val="Title"/>
        <w:jc w:val="center"/>
        <w:rPr>
          <w:rFonts w:asciiTheme="minorHAnsi" w:hAnsiTheme="minorHAnsi"/>
          <w:sz w:val="44"/>
          <w:szCs w:val="96"/>
        </w:rPr>
      </w:pPr>
    </w:p>
    <w:p w14:paraId="41C595C3" w14:textId="3A63C39F" w:rsidR="006620B4" w:rsidRPr="00A94639" w:rsidRDefault="006620B4" w:rsidP="007A56A8">
      <w:pPr>
        <w:pStyle w:val="Title"/>
        <w:jc w:val="center"/>
        <w:rPr>
          <w:rFonts w:asciiTheme="minorHAnsi" w:hAnsiTheme="minorHAnsi"/>
          <w:sz w:val="44"/>
          <w:szCs w:val="96"/>
        </w:rPr>
      </w:pPr>
    </w:p>
    <w:p w14:paraId="6B02FC76" w14:textId="175971B6" w:rsidR="00AD050B" w:rsidRPr="00A560AD" w:rsidRDefault="007A56A8" w:rsidP="007A56A8">
      <w:pPr>
        <w:pStyle w:val="Title"/>
        <w:jc w:val="center"/>
        <w:rPr>
          <w:rFonts w:asciiTheme="minorHAnsi" w:hAnsiTheme="minorHAnsi"/>
          <w:sz w:val="44"/>
          <w:szCs w:val="96"/>
        </w:rPr>
      </w:pPr>
      <w:r w:rsidRPr="00A94639">
        <w:rPr>
          <w:rFonts w:asciiTheme="minorHAnsi" w:hAnsiTheme="minorHAnsi"/>
          <w:sz w:val="44"/>
          <w:szCs w:val="96"/>
        </w:rPr>
        <w:t xml:space="preserve">Massachusetts </w:t>
      </w:r>
      <w:r w:rsidR="00355FC2" w:rsidRPr="00A94639">
        <w:rPr>
          <w:rFonts w:asciiTheme="minorHAnsi" w:hAnsiTheme="minorHAnsi"/>
          <w:sz w:val="44"/>
          <w:szCs w:val="96"/>
        </w:rPr>
        <w:t xml:space="preserve">Transitions from </w:t>
      </w:r>
      <w:r w:rsidR="00AD050B" w:rsidRPr="00A94639">
        <w:rPr>
          <w:rFonts w:asciiTheme="minorHAnsi" w:hAnsiTheme="minorHAnsi"/>
          <w:sz w:val="44"/>
          <w:szCs w:val="96"/>
        </w:rPr>
        <w:t>Acute</w:t>
      </w:r>
    </w:p>
    <w:p w14:paraId="37AD12D3" w14:textId="1F78C377" w:rsidR="00355FC2" w:rsidRPr="00EA27C0" w:rsidRDefault="007A56A8" w:rsidP="007A56A8">
      <w:pPr>
        <w:pStyle w:val="Title"/>
        <w:jc w:val="center"/>
        <w:rPr>
          <w:rFonts w:asciiTheme="minorHAnsi" w:hAnsiTheme="minorHAnsi"/>
          <w:sz w:val="44"/>
          <w:szCs w:val="96"/>
        </w:rPr>
      </w:pPr>
      <w:r w:rsidRPr="00A560AD">
        <w:rPr>
          <w:rFonts w:asciiTheme="minorHAnsi" w:hAnsiTheme="minorHAnsi"/>
          <w:sz w:val="44"/>
          <w:szCs w:val="96"/>
        </w:rPr>
        <w:t xml:space="preserve">Care </w:t>
      </w:r>
      <w:r w:rsidR="00355FC2" w:rsidRPr="00A560AD">
        <w:rPr>
          <w:rFonts w:asciiTheme="minorHAnsi" w:hAnsiTheme="minorHAnsi"/>
          <w:sz w:val="44"/>
          <w:szCs w:val="96"/>
        </w:rPr>
        <w:t xml:space="preserve">to Post-Acute Care </w:t>
      </w:r>
      <w:r w:rsidR="00AD050B" w:rsidRPr="00A94639">
        <w:rPr>
          <w:rFonts w:asciiTheme="minorHAnsi" w:hAnsiTheme="minorHAnsi"/>
          <w:sz w:val="44"/>
          <w:szCs w:val="96"/>
        </w:rPr>
        <w:t xml:space="preserve">(TACPAC) </w:t>
      </w:r>
      <w:r w:rsidRPr="00A560AD">
        <w:rPr>
          <w:rFonts w:asciiTheme="minorHAnsi" w:hAnsiTheme="minorHAnsi"/>
          <w:sz w:val="44"/>
          <w:szCs w:val="96"/>
        </w:rPr>
        <w:t>Task Force</w:t>
      </w:r>
    </w:p>
    <w:p w14:paraId="7904508F" w14:textId="657870F3" w:rsidR="006620B4" w:rsidRPr="007B7E0A" w:rsidRDefault="006620B4" w:rsidP="006620B4"/>
    <w:p w14:paraId="2EAD1450" w14:textId="3AD66878" w:rsidR="006620B4" w:rsidRPr="007B7E0A" w:rsidRDefault="006620B4" w:rsidP="006620B4"/>
    <w:p w14:paraId="302D70BA" w14:textId="69D78E0D" w:rsidR="00CB2761" w:rsidRPr="007B7E0A" w:rsidRDefault="00CB2761" w:rsidP="006620B4"/>
    <w:p w14:paraId="1FA41C10" w14:textId="1615FB4D" w:rsidR="00CB2761" w:rsidRPr="00EA27C0" w:rsidRDefault="00CB2761" w:rsidP="00126ED0">
      <w:pPr>
        <w:jc w:val="center"/>
        <w:rPr>
          <w:b/>
          <w:bCs/>
        </w:rPr>
      </w:pPr>
      <w:r w:rsidRPr="00EA27C0">
        <w:rPr>
          <w:b/>
          <w:bCs/>
        </w:rPr>
        <w:t>Established by Section 25 of Chapter 197 of the Acts of 2024</w:t>
      </w:r>
    </w:p>
    <w:p w14:paraId="75D55159" w14:textId="0A947967" w:rsidR="00CB2761" w:rsidRPr="00EA27C0" w:rsidRDefault="00CB2761" w:rsidP="00126ED0">
      <w:pPr>
        <w:jc w:val="center"/>
        <w:rPr>
          <w:b/>
          <w:bCs/>
        </w:rPr>
      </w:pPr>
    </w:p>
    <w:p w14:paraId="0F83DC07" w14:textId="78F3B0C0" w:rsidR="007A56A8" w:rsidRPr="005F36DF" w:rsidRDefault="00CB2761" w:rsidP="00126ED0">
      <w:pPr>
        <w:jc w:val="center"/>
        <w:rPr>
          <w:sz w:val="32"/>
          <w:szCs w:val="32"/>
        </w:rPr>
      </w:pPr>
      <w:r w:rsidRPr="00EA27C0">
        <w:rPr>
          <w:b/>
          <w:bCs/>
        </w:rPr>
        <w:t xml:space="preserve">Submitted July </w:t>
      </w:r>
      <w:r w:rsidR="00926113">
        <w:rPr>
          <w:b/>
          <w:bCs/>
        </w:rPr>
        <w:t>31</w:t>
      </w:r>
      <w:r w:rsidRPr="00EA27C0">
        <w:rPr>
          <w:b/>
          <w:bCs/>
        </w:rPr>
        <w:t>, 2025</w:t>
      </w:r>
    </w:p>
    <w:p w14:paraId="44F722EF" w14:textId="5C3F7A97" w:rsidR="007A56A8" w:rsidRPr="007B7E0A" w:rsidRDefault="009F0EE6" w:rsidP="003E612A">
      <w:pPr>
        <w:jc w:val="center"/>
      </w:pPr>
      <w:r w:rsidRPr="007B7E0A">
        <w:rPr>
          <w:noProof/>
        </w:rPr>
        <w:drawing>
          <wp:anchor distT="0" distB="0" distL="114300" distR="114300" simplePos="0" relativeHeight="251658240" behindDoc="0" locked="0" layoutInCell="1" allowOverlap="1" wp14:anchorId="5B74A2F1" wp14:editId="33D10184">
            <wp:simplePos x="0" y="0"/>
            <wp:positionH relativeFrom="margin">
              <wp:posOffset>2447925</wp:posOffset>
            </wp:positionH>
            <wp:positionV relativeFrom="margin">
              <wp:posOffset>6042025</wp:posOffset>
            </wp:positionV>
            <wp:extent cx="1041400" cy="1041400"/>
            <wp:effectExtent l="0" t="0" r="6350" b="6350"/>
            <wp:wrapSquare wrapText="bothSides"/>
            <wp:docPr id="125371991" name="Picture 1" descr="Massachusetts State logo of acirlce with a gold minuteman behind a blue shield with the words &quot;Massachusetenis Sigillum Republic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1991" name="Picture 1" descr="Massachusetts State logo of acirlce with a gold minuteman behind a blue shield with the words &quot;Massachusetenis Sigillum Republic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6A8" w:rsidRPr="007B7E0A">
        <w:br w:type="page"/>
      </w:r>
    </w:p>
    <w:sdt>
      <w:sdtPr>
        <w:rPr>
          <w:rFonts w:asciiTheme="minorHAnsi" w:eastAsiaTheme="minorEastAsia" w:hAnsiTheme="minorHAnsi" w:cstheme="minorBidi"/>
          <w:color w:val="auto"/>
          <w:kern w:val="2"/>
          <w:sz w:val="24"/>
          <w:szCs w:val="24"/>
          <w14:ligatures w14:val="standardContextual"/>
        </w:rPr>
        <w:id w:val="1833481621"/>
        <w:docPartObj>
          <w:docPartGallery w:val="Table of Contents"/>
          <w:docPartUnique/>
        </w:docPartObj>
      </w:sdtPr>
      <w:sdtEndPr>
        <w:rPr>
          <w:b/>
        </w:rPr>
      </w:sdtEndPr>
      <w:sdtContent>
        <w:p w14:paraId="2B7E13B0" w14:textId="0785B6CC" w:rsidR="002E6D1E" w:rsidRPr="00126ED0" w:rsidRDefault="0029470F" w:rsidP="009C2DEC">
          <w:pPr>
            <w:pStyle w:val="TOCHeading"/>
            <w:spacing w:before="0" w:after="120" w:line="240" w:lineRule="auto"/>
            <w:rPr>
              <w:rFonts w:asciiTheme="minorHAnsi" w:hAnsiTheme="minorHAnsi"/>
            </w:rPr>
          </w:pPr>
          <w:r w:rsidRPr="00126ED0">
            <w:rPr>
              <w:rFonts w:asciiTheme="minorHAnsi" w:hAnsiTheme="minorHAnsi"/>
            </w:rPr>
            <w:t>Table of C</w:t>
          </w:r>
          <w:r w:rsidR="002E6D1E" w:rsidRPr="00126ED0">
            <w:rPr>
              <w:rFonts w:asciiTheme="minorHAnsi" w:hAnsiTheme="minorHAnsi"/>
            </w:rPr>
            <w:t>ontents</w:t>
          </w:r>
        </w:p>
        <w:p w14:paraId="56F1302C" w14:textId="4D0BBB4C" w:rsidR="000D1072" w:rsidRDefault="002E6D1E" w:rsidP="00312159">
          <w:pPr>
            <w:pStyle w:val="TOC3"/>
            <w:numPr>
              <w:ilvl w:val="0"/>
              <w:numId w:val="28"/>
            </w:numPr>
            <w:rPr>
              <w:rFonts w:eastAsiaTheme="minorEastAsia"/>
              <w:noProof/>
            </w:rPr>
          </w:pPr>
          <w:r w:rsidRPr="00312159">
            <w:rPr>
              <w:rStyle w:val="Hyperlink"/>
              <w:noProof/>
            </w:rPr>
            <w:fldChar w:fldCharType="begin"/>
          </w:r>
          <w:r w:rsidRPr="000D1072">
            <w:rPr>
              <w:rStyle w:val="Hyperlink"/>
              <w:noProof/>
            </w:rPr>
            <w:instrText xml:space="preserve"> TOC \o "1-3" \h \z \u </w:instrText>
          </w:r>
          <w:r w:rsidRPr="00312159">
            <w:rPr>
              <w:rStyle w:val="Hyperlink"/>
              <w:noProof/>
            </w:rPr>
            <w:fldChar w:fldCharType="separate"/>
          </w:r>
          <w:hyperlink w:anchor="_Toc202276022" w:history="1">
            <w:r w:rsidR="000D1072" w:rsidRPr="007B398A">
              <w:rPr>
                <w:rStyle w:val="Hyperlink"/>
                <w:noProof/>
              </w:rPr>
              <w:t>Task Force: Purpose and Scope</w:t>
            </w:r>
            <w:r w:rsidR="000D1072">
              <w:rPr>
                <w:noProof/>
                <w:webHidden/>
              </w:rPr>
              <w:tab/>
            </w:r>
            <w:r w:rsidR="000D1072">
              <w:rPr>
                <w:noProof/>
                <w:webHidden/>
              </w:rPr>
              <w:fldChar w:fldCharType="begin"/>
            </w:r>
            <w:r w:rsidR="000D1072">
              <w:rPr>
                <w:noProof/>
                <w:webHidden/>
              </w:rPr>
              <w:instrText xml:space="preserve"> PAGEREF _Toc202276022 \h </w:instrText>
            </w:r>
            <w:r w:rsidR="000D1072">
              <w:rPr>
                <w:noProof/>
                <w:webHidden/>
              </w:rPr>
            </w:r>
            <w:r w:rsidR="000D1072">
              <w:rPr>
                <w:noProof/>
                <w:webHidden/>
              </w:rPr>
              <w:fldChar w:fldCharType="separate"/>
            </w:r>
            <w:r w:rsidR="00A22D82">
              <w:rPr>
                <w:noProof/>
                <w:webHidden/>
              </w:rPr>
              <w:t>3</w:t>
            </w:r>
            <w:r w:rsidR="000D1072">
              <w:rPr>
                <w:noProof/>
                <w:webHidden/>
              </w:rPr>
              <w:fldChar w:fldCharType="end"/>
            </w:r>
          </w:hyperlink>
        </w:p>
        <w:p w14:paraId="7DD1DBD3" w14:textId="68D04DFE" w:rsidR="000D1072" w:rsidRDefault="000D1072" w:rsidP="00312159">
          <w:pPr>
            <w:pStyle w:val="TOC3"/>
            <w:numPr>
              <w:ilvl w:val="0"/>
              <w:numId w:val="28"/>
            </w:numPr>
            <w:rPr>
              <w:rFonts w:eastAsiaTheme="minorEastAsia"/>
              <w:noProof/>
            </w:rPr>
          </w:pPr>
          <w:hyperlink w:anchor="_Toc202276023" w:history="1">
            <w:r w:rsidRPr="007B398A">
              <w:rPr>
                <w:rStyle w:val="Hyperlink"/>
                <w:noProof/>
              </w:rPr>
              <w:t>The Landscape: Population and Providers</w:t>
            </w:r>
            <w:r>
              <w:rPr>
                <w:noProof/>
                <w:webHidden/>
              </w:rPr>
              <w:tab/>
            </w:r>
            <w:r>
              <w:rPr>
                <w:noProof/>
                <w:webHidden/>
              </w:rPr>
              <w:fldChar w:fldCharType="begin"/>
            </w:r>
            <w:r>
              <w:rPr>
                <w:noProof/>
                <w:webHidden/>
              </w:rPr>
              <w:instrText xml:space="preserve"> PAGEREF _Toc202276023 \h </w:instrText>
            </w:r>
            <w:r>
              <w:rPr>
                <w:noProof/>
                <w:webHidden/>
              </w:rPr>
            </w:r>
            <w:r>
              <w:rPr>
                <w:noProof/>
                <w:webHidden/>
              </w:rPr>
              <w:fldChar w:fldCharType="separate"/>
            </w:r>
            <w:r w:rsidR="00A22D82">
              <w:rPr>
                <w:noProof/>
                <w:webHidden/>
              </w:rPr>
              <w:t>5</w:t>
            </w:r>
            <w:r>
              <w:rPr>
                <w:noProof/>
                <w:webHidden/>
              </w:rPr>
              <w:fldChar w:fldCharType="end"/>
            </w:r>
          </w:hyperlink>
        </w:p>
        <w:p w14:paraId="76EB37AB" w14:textId="15B6DE6C" w:rsidR="000D1072" w:rsidRPr="00312159" w:rsidRDefault="000D1072" w:rsidP="00312159">
          <w:pPr>
            <w:pStyle w:val="TOC3"/>
            <w:numPr>
              <w:ilvl w:val="0"/>
              <w:numId w:val="28"/>
            </w:numPr>
            <w:rPr>
              <w:rStyle w:val="Hyperlink"/>
            </w:rPr>
          </w:pPr>
          <w:hyperlink w:anchor="_Toc202276024" w:history="1">
            <w:r w:rsidRPr="007B398A">
              <w:rPr>
                <w:rStyle w:val="Hyperlink"/>
                <w:noProof/>
              </w:rPr>
              <w:t>The Challenge: Bottlenecks Across the Continuum</w:t>
            </w:r>
            <w:r w:rsidRPr="00312159">
              <w:rPr>
                <w:rStyle w:val="Hyperlink"/>
                <w:webHidden/>
              </w:rPr>
              <w:tab/>
            </w:r>
            <w:r w:rsidRPr="00312159">
              <w:rPr>
                <w:rStyle w:val="Hyperlink"/>
                <w:webHidden/>
              </w:rPr>
              <w:fldChar w:fldCharType="begin"/>
            </w:r>
            <w:r w:rsidRPr="00312159">
              <w:rPr>
                <w:rStyle w:val="Hyperlink"/>
                <w:webHidden/>
              </w:rPr>
              <w:instrText xml:space="preserve"> PAGEREF _Toc202276024 \h </w:instrText>
            </w:r>
            <w:r w:rsidRPr="00312159">
              <w:rPr>
                <w:rStyle w:val="Hyperlink"/>
                <w:webHidden/>
              </w:rPr>
            </w:r>
            <w:r w:rsidRPr="00312159">
              <w:rPr>
                <w:rStyle w:val="Hyperlink"/>
                <w:webHidden/>
              </w:rPr>
              <w:fldChar w:fldCharType="separate"/>
            </w:r>
            <w:r w:rsidR="00A22D82">
              <w:rPr>
                <w:rStyle w:val="Hyperlink"/>
                <w:noProof/>
                <w:webHidden/>
              </w:rPr>
              <w:t>9</w:t>
            </w:r>
            <w:r w:rsidRPr="00312159">
              <w:rPr>
                <w:rStyle w:val="Hyperlink"/>
                <w:webHidden/>
              </w:rPr>
              <w:fldChar w:fldCharType="end"/>
            </w:r>
          </w:hyperlink>
        </w:p>
        <w:p w14:paraId="38C38B70" w14:textId="6F3399B5" w:rsidR="000D1072" w:rsidRPr="00312159" w:rsidRDefault="000D1072" w:rsidP="00312159">
          <w:pPr>
            <w:pStyle w:val="TOC3"/>
            <w:numPr>
              <w:ilvl w:val="0"/>
              <w:numId w:val="28"/>
            </w:numPr>
            <w:rPr>
              <w:rStyle w:val="Hyperlink"/>
            </w:rPr>
          </w:pPr>
          <w:hyperlink w:anchor="_Toc202276025" w:history="1">
            <w:r w:rsidRPr="007B398A">
              <w:rPr>
                <w:rStyle w:val="Hyperlink"/>
                <w:noProof/>
              </w:rPr>
              <w:t>Progress to Date: Ongoing and Emerging Efforts</w:t>
            </w:r>
            <w:r w:rsidRPr="00312159">
              <w:rPr>
                <w:rStyle w:val="Hyperlink"/>
                <w:webHidden/>
              </w:rPr>
              <w:tab/>
            </w:r>
            <w:r w:rsidRPr="00312159">
              <w:rPr>
                <w:rStyle w:val="Hyperlink"/>
                <w:webHidden/>
              </w:rPr>
              <w:fldChar w:fldCharType="begin"/>
            </w:r>
            <w:r w:rsidRPr="00312159">
              <w:rPr>
                <w:rStyle w:val="Hyperlink"/>
                <w:webHidden/>
              </w:rPr>
              <w:instrText xml:space="preserve"> PAGEREF _Toc202276025 \h </w:instrText>
            </w:r>
            <w:r w:rsidRPr="00312159">
              <w:rPr>
                <w:rStyle w:val="Hyperlink"/>
                <w:webHidden/>
              </w:rPr>
            </w:r>
            <w:r w:rsidRPr="00312159">
              <w:rPr>
                <w:rStyle w:val="Hyperlink"/>
                <w:webHidden/>
              </w:rPr>
              <w:fldChar w:fldCharType="separate"/>
            </w:r>
            <w:r w:rsidR="00A22D82">
              <w:rPr>
                <w:rStyle w:val="Hyperlink"/>
                <w:noProof/>
                <w:webHidden/>
              </w:rPr>
              <w:t>10</w:t>
            </w:r>
            <w:r w:rsidRPr="00312159">
              <w:rPr>
                <w:rStyle w:val="Hyperlink"/>
                <w:webHidden/>
              </w:rPr>
              <w:fldChar w:fldCharType="end"/>
            </w:r>
          </w:hyperlink>
        </w:p>
        <w:p w14:paraId="40C92C51" w14:textId="7B7DD0AE" w:rsidR="000D1072" w:rsidRPr="00312159" w:rsidRDefault="000D1072" w:rsidP="00312159">
          <w:pPr>
            <w:pStyle w:val="TOC3"/>
            <w:numPr>
              <w:ilvl w:val="0"/>
              <w:numId w:val="28"/>
            </w:numPr>
            <w:rPr>
              <w:rStyle w:val="Hyperlink"/>
            </w:rPr>
          </w:pPr>
          <w:hyperlink w:anchor="_Toc202276026" w:history="1">
            <w:r w:rsidRPr="007B398A">
              <w:rPr>
                <w:rStyle w:val="Hyperlink"/>
                <w:noProof/>
              </w:rPr>
              <w:t>Bridging the Gaps: Recommendations for Consideration</w:t>
            </w:r>
            <w:r w:rsidRPr="00312159">
              <w:rPr>
                <w:rStyle w:val="Hyperlink"/>
                <w:webHidden/>
              </w:rPr>
              <w:tab/>
            </w:r>
            <w:r w:rsidRPr="00312159">
              <w:rPr>
                <w:rStyle w:val="Hyperlink"/>
                <w:webHidden/>
              </w:rPr>
              <w:fldChar w:fldCharType="begin"/>
            </w:r>
            <w:r w:rsidRPr="00312159">
              <w:rPr>
                <w:rStyle w:val="Hyperlink"/>
                <w:webHidden/>
              </w:rPr>
              <w:instrText xml:space="preserve"> PAGEREF _Toc202276026 \h </w:instrText>
            </w:r>
            <w:r w:rsidRPr="00312159">
              <w:rPr>
                <w:rStyle w:val="Hyperlink"/>
                <w:webHidden/>
              </w:rPr>
            </w:r>
            <w:r w:rsidRPr="00312159">
              <w:rPr>
                <w:rStyle w:val="Hyperlink"/>
                <w:webHidden/>
              </w:rPr>
              <w:fldChar w:fldCharType="separate"/>
            </w:r>
            <w:r w:rsidR="00A22D82">
              <w:rPr>
                <w:rStyle w:val="Hyperlink"/>
                <w:noProof/>
                <w:webHidden/>
              </w:rPr>
              <w:t>12</w:t>
            </w:r>
            <w:r w:rsidRPr="00312159">
              <w:rPr>
                <w:rStyle w:val="Hyperlink"/>
                <w:webHidden/>
              </w:rPr>
              <w:fldChar w:fldCharType="end"/>
            </w:r>
          </w:hyperlink>
        </w:p>
        <w:p w14:paraId="00B5F719" w14:textId="4F4D7640" w:rsidR="000D1072" w:rsidRPr="00312159" w:rsidRDefault="000D1072" w:rsidP="00312159">
          <w:pPr>
            <w:pStyle w:val="TOC3"/>
            <w:numPr>
              <w:ilvl w:val="0"/>
              <w:numId w:val="28"/>
            </w:numPr>
            <w:rPr>
              <w:rStyle w:val="Hyperlink"/>
            </w:rPr>
          </w:pPr>
          <w:hyperlink w:anchor="_Toc202276027" w:history="1">
            <w:r w:rsidRPr="007B398A">
              <w:rPr>
                <w:rStyle w:val="Hyperlink"/>
                <w:noProof/>
              </w:rPr>
              <w:t>A Path Forward: Strategic Alignment and Accountability</w:t>
            </w:r>
            <w:r w:rsidRPr="00312159">
              <w:rPr>
                <w:rStyle w:val="Hyperlink"/>
                <w:webHidden/>
              </w:rPr>
              <w:tab/>
            </w:r>
            <w:r w:rsidRPr="00312159">
              <w:rPr>
                <w:rStyle w:val="Hyperlink"/>
                <w:webHidden/>
              </w:rPr>
              <w:fldChar w:fldCharType="begin"/>
            </w:r>
            <w:r w:rsidRPr="00312159">
              <w:rPr>
                <w:rStyle w:val="Hyperlink"/>
                <w:webHidden/>
              </w:rPr>
              <w:instrText xml:space="preserve"> PAGEREF _Toc202276027 \h </w:instrText>
            </w:r>
            <w:r w:rsidRPr="00312159">
              <w:rPr>
                <w:rStyle w:val="Hyperlink"/>
                <w:webHidden/>
              </w:rPr>
            </w:r>
            <w:r w:rsidRPr="00312159">
              <w:rPr>
                <w:rStyle w:val="Hyperlink"/>
                <w:webHidden/>
              </w:rPr>
              <w:fldChar w:fldCharType="separate"/>
            </w:r>
            <w:r w:rsidR="00A22D82">
              <w:rPr>
                <w:rStyle w:val="Hyperlink"/>
                <w:noProof/>
                <w:webHidden/>
              </w:rPr>
              <w:t>23</w:t>
            </w:r>
            <w:r w:rsidRPr="00312159">
              <w:rPr>
                <w:rStyle w:val="Hyperlink"/>
                <w:webHidden/>
              </w:rPr>
              <w:fldChar w:fldCharType="end"/>
            </w:r>
          </w:hyperlink>
        </w:p>
        <w:p w14:paraId="5FD51B20" w14:textId="44042181" w:rsidR="000D1072" w:rsidRDefault="000D1072" w:rsidP="00312159">
          <w:pPr>
            <w:pStyle w:val="TOC3"/>
            <w:numPr>
              <w:ilvl w:val="0"/>
              <w:numId w:val="28"/>
            </w:numPr>
            <w:rPr>
              <w:rStyle w:val="Hyperlink"/>
              <w:noProof/>
            </w:rPr>
          </w:pPr>
          <w:hyperlink w:anchor="_Toc202276028" w:history="1">
            <w:r w:rsidRPr="007B398A">
              <w:rPr>
                <w:rStyle w:val="Hyperlink"/>
                <w:noProof/>
              </w:rPr>
              <w:t>Appendices</w:t>
            </w:r>
            <w:r w:rsidRPr="00312159">
              <w:rPr>
                <w:rStyle w:val="Hyperlink"/>
                <w:webHidden/>
              </w:rPr>
              <w:tab/>
            </w:r>
            <w:r w:rsidRPr="00312159">
              <w:rPr>
                <w:rStyle w:val="Hyperlink"/>
                <w:webHidden/>
              </w:rPr>
              <w:fldChar w:fldCharType="begin"/>
            </w:r>
            <w:r w:rsidRPr="00312159">
              <w:rPr>
                <w:rStyle w:val="Hyperlink"/>
                <w:webHidden/>
              </w:rPr>
              <w:instrText xml:space="preserve"> PAGEREF _Toc202276028 \h </w:instrText>
            </w:r>
            <w:r w:rsidRPr="00312159">
              <w:rPr>
                <w:rStyle w:val="Hyperlink"/>
                <w:webHidden/>
              </w:rPr>
            </w:r>
            <w:r w:rsidRPr="00312159">
              <w:rPr>
                <w:rStyle w:val="Hyperlink"/>
                <w:webHidden/>
              </w:rPr>
              <w:fldChar w:fldCharType="separate"/>
            </w:r>
            <w:r w:rsidR="00A22D82">
              <w:rPr>
                <w:rStyle w:val="Hyperlink"/>
                <w:noProof/>
                <w:webHidden/>
              </w:rPr>
              <w:t>24</w:t>
            </w:r>
            <w:r w:rsidRPr="00312159">
              <w:rPr>
                <w:rStyle w:val="Hyperlink"/>
                <w:webHidden/>
              </w:rPr>
              <w:fldChar w:fldCharType="end"/>
            </w:r>
          </w:hyperlink>
        </w:p>
        <w:p w14:paraId="3C5863B9" w14:textId="15182B4F" w:rsidR="0083254A" w:rsidRPr="00F27319" w:rsidRDefault="002E6D1E" w:rsidP="00126ED0">
          <w:pPr>
            <w:pStyle w:val="TOC3"/>
            <w:ind w:left="990"/>
            <w:rPr>
              <w:rStyle w:val="Hyperlink"/>
              <w:noProof/>
              <w:color w:val="auto"/>
              <w:u w:val="none"/>
            </w:rPr>
          </w:pPr>
          <w:r w:rsidRPr="00312159">
            <w:rPr>
              <w:rStyle w:val="Hyperlink"/>
            </w:rPr>
            <w:fldChar w:fldCharType="end"/>
          </w:r>
          <w:hyperlink w:anchor="_Toc202276028" w:history="1">
            <w:r w:rsidR="0083254A" w:rsidRPr="00F27319">
              <w:rPr>
                <w:rStyle w:val="Hyperlink"/>
                <w:noProof/>
                <w:color w:val="auto"/>
                <w:u w:val="none"/>
              </w:rPr>
              <w:t xml:space="preserve">Appendix </w:t>
            </w:r>
            <w:r w:rsidR="00286095" w:rsidRPr="00F27319">
              <w:rPr>
                <w:rStyle w:val="Hyperlink"/>
                <w:noProof/>
                <w:color w:val="auto"/>
                <w:u w:val="none"/>
              </w:rPr>
              <w:t>A</w:t>
            </w:r>
            <w:r w:rsidR="00401B60" w:rsidRPr="00F27319">
              <w:rPr>
                <w:rStyle w:val="Hyperlink"/>
                <w:noProof/>
                <w:color w:val="auto"/>
                <w:u w:val="none"/>
              </w:rPr>
              <w:t xml:space="preserve"> – Full Text of the Task Force’s Charge</w:t>
            </w:r>
            <w:r w:rsidR="0083254A" w:rsidRPr="00F27319">
              <w:rPr>
                <w:rStyle w:val="Hyperlink"/>
                <w:webHidden/>
                <w:color w:val="auto"/>
                <w:u w:val="none"/>
              </w:rPr>
              <w:tab/>
            </w:r>
            <w:r w:rsidR="0083254A" w:rsidRPr="00F27319">
              <w:rPr>
                <w:rStyle w:val="Hyperlink"/>
                <w:webHidden/>
                <w:color w:val="auto"/>
                <w:u w:val="none"/>
              </w:rPr>
              <w:fldChar w:fldCharType="begin"/>
            </w:r>
            <w:r w:rsidR="0083254A" w:rsidRPr="00F27319">
              <w:rPr>
                <w:rStyle w:val="Hyperlink"/>
                <w:webHidden/>
                <w:color w:val="auto"/>
                <w:u w:val="none"/>
              </w:rPr>
              <w:instrText xml:space="preserve"> PAGEREF _Toc202276028 \h </w:instrText>
            </w:r>
            <w:r w:rsidR="0083254A" w:rsidRPr="00F27319">
              <w:rPr>
                <w:rStyle w:val="Hyperlink"/>
                <w:webHidden/>
                <w:color w:val="auto"/>
                <w:u w:val="none"/>
              </w:rPr>
            </w:r>
            <w:r w:rsidR="0083254A" w:rsidRPr="00F27319">
              <w:rPr>
                <w:rStyle w:val="Hyperlink"/>
                <w:webHidden/>
                <w:color w:val="auto"/>
                <w:u w:val="none"/>
              </w:rPr>
              <w:fldChar w:fldCharType="separate"/>
            </w:r>
            <w:r w:rsidR="00A22D82">
              <w:rPr>
                <w:rStyle w:val="Hyperlink"/>
                <w:noProof/>
                <w:webHidden/>
                <w:color w:val="auto"/>
                <w:u w:val="none"/>
              </w:rPr>
              <w:t>24</w:t>
            </w:r>
            <w:r w:rsidR="0083254A" w:rsidRPr="00F27319">
              <w:rPr>
                <w:rStyle w:val="Hyperlink"/>
                <w:webHidden/>
                <w:color w:val="auto"/>
                <w:u w:val="none"/>
              </w:rPr>
              <w:fldChar w:fldCharType="end"/>
            </w:r>
          </w:hyperlink>
        </w:p>
        <w:p w14:paraId="3BC4D56D" w14:textId="33D66FCD" w:rsidR="00EF46B1" w:rsidRDefault="0083254A" w:rsidP="00EF46B1">
          <w:pPr>
            <w:pStyle w:val="TOC3"/>
            <w:ind w:left="990"/>
          </w:pPr>
          <w:hyperlink w:anchor="_Toc202276028" w:history="1">
            <w:r w:rsidRPr="00126ED0">
              <w:rPr>
                <w:rStyle w:val="Hyperlink"/>
                <w:noProof/>
                <w:color w:val="auto"/>
                <w:u w:val="none"/>
              </w:rPr>
              <w:t xml:space="preserve">Appendix </w:t>
            </w:r>
            <w:r w:rsidR="00286095" w:rsidRPr="00126ED0">
              <w:rPr>
                <w:rStyle w:val="Hyperlink"/>
                <w:noProof/>
                <w:color w:val="auto"/>
                <w:u w:val="none"/>
              </w:rPr>
              <w:t>B</w:t>
            </w:r>
            <w:r w:rsidR="00401B60" w:rsidRPr="00126ED0">
              <w:rPr>
                <w:rStyle w:val="Hyperlink"/>
                <w:noProof/>
                <w:color w:val="auto"/>
                <w:u w:val="none"/>
              </w:rPr>
              <w:t xml:space="preserve"> </w:t>
            </w:r>
            <w:r w:rsidR="0044036B">
              <w:rPr>
                <w:rStyle w:val="Hyperlink"/>
                <w:noProof/>
                <w:color w:val="auto"/>
                <w:u w:val="none"/>
              </w:rPr>
              <w:t>–</w:t>
            </w:r>
            <w:r w:rsidR="00401B60" w:rsidRPr="00126ED0">
              <w:rPr>
                <w:rStyle w:val="Hyperlink"/>
                <w:noProof/>
                <w:color w:val="auto"/>
                <w:u w:val="none"/>
              </w:rPr>
              <w:t xml:space="preserve"> List of Task Force Members</w:t>
            </w:r>
            <w:r w:rsidRPr="00126ED0">
              <w:rPr>
                <w:rStyle w:val="Hyperlink"/>
                <w:webHidden/>
                <w:color w:val="auto"/>
                <w:u w:val="none"/>
              </w:rPr>
              <w:tab/>
            </w:r>
            <w:r w:rsidR="00894C82">
              <w:rPr>
                <w:rStyle w:val="Hyperlink"/>
                <w:webHidden/>
                <w:color w:val="auto"/>
                <w:u w:val="none"/>
              </w:rPr>
              <w:t>2</w:t>
            </w:r>
            <w:r w:rsidR="0055611D">
              <w:rPr>
                <w:rStyle w:val="Hyperlink"/>
                <w:webHidden/>
                <w:color w:val="auto"/>
                <w:u w:val="none"/>
              </w:rPr>
              <w:t>6</w:t>
            </w:r>
          </w:hyperlink>
        </w:p>
        <w:p w14:paraId="3360136F" w14:textId="5A9A95DB" w:rsidR="00EF46B1" w:rsidRPr="00126ED0" w:rsidRDefault="00EF46B1" w:rsidP="00EF46B1">
          <w:pPr>
            <w:pStyle w:val="TOC3"/>
            <w:ind w:left="990"/>
            <w:rPr>
              <w:rStyle w:val="Hyperlink"/>
              <w:noProof/>
              <w:color w:val="auto"/>
              <w:u w:val="none"/>
            </w:rPr>
          </w:pPr>
          <w:hyperlink w:anchor="_Toc202276028" w:history="1">
            <w:r w:rsidRPr="00126ED0">
              <w:rPr>
                <w:rStyle w:val="Hyperlink"/>
                <w:noProof/>
                <w:color w:val="auto"/>
                <w:u w:val="none"/>
              </w:rPr>
              <w:t xml:space="preserve">Appendix </w:t>
            </w:r>
            <w:r>
              <w:rPr>
                <w:rStyle w:val="Hyperlink"/>
                <w:noProof/>
                <w:color w:val="auto"/>
                <w:u w:val="none"/>
              </w:rPr>
              <w:t>C</w:t>
            </w:r>
            <w:r w:rsidRPr="00126ED0">
              <w:rPr>
                <w:rStyle w:val="Hyperlink"/>
                <w:noProof/>
                <w:color w:val="auto"/>
                <w:u w:val="none"/>
              </w:rPr>
              <w:t xml:space="preserve"> </w:t>
            </w:r>
            <w:r>
              <w:rPr>
                <w:rStyle w:val="Hyperlink"/>
                <w:noProof/>
                <w:color w:val="auto"/>
                <w:u w:val="none"/>
              </w:rPr>
              <w:t>–</w:t>
            </w:r>
            <w:r w:rsidRPr="00126ED0">
              <w:rPr>
                <w:rStyle w:val="Hyperlink"/>
                <w:noProof/>
                <w:color w:val="auto"/>
                <w:u w:val="none"/>
              </w:rPr>
              <w:t xml:space="preserve"> </w:t>
            </w:r>
            <w:r>
              <w:rPr>
                <w:rStyle w:val="Hyperlink"/>
                <w:noProof/>
                <w:color w:val="auto"/>
                <w:u w:val="none"/>
              </w:rPr>
              <w:t>Relevant</w:t>
            </w:r>
            <w:r w:rsidRPr="00126ED0">
              <w:rPr>
                <w:rStyle w:val="Hyperlink"/>
                <w:noProof/>
                <w:color w:val="auto"/>
                <w:u w:val="none"/>
              </w:rPr>
              <w:t xml:space="preserve"> </w:t>
            </w:r>
            <w:r>
              <w:rPr>
                <w:rStyle w:val="Hyperlink"/>
                <w:noProof/>
                <w:color w:val="auto"/>
                <w:u w:val="none"/>
              </w:rPr>
              <w:t>State Legislation Currently Under R</w:t>
            </w:r>
            <w:r w:rsidRPr="00126ED0">
              <w:rPr>
                <w:rStyle w:val="Hyperlink"/>
                <w:noProof/>
                <w:color w:val="auto"/>
                <w:u w:val="none"/>
              </w:rPr>
              <w:t>e</w:t>
            </w:r>
            <w:r>
              <w:rPr>
                <w:rStyle w:val="Hyperlink"/>
                <w:noProof/>
                <w:color w:val="auto"/>
                <w:u w:val="none"/>
              </w:rPr>
              <w:t>view</w:t>
            </w:r>
            <w:r w:rsidRPr="00126ED0">
              <w:rPr>
                <w:rStyle w:val="Hyperlink"/>
                <w:webHidden/>
                <w:color w:val="auto"/>
                <w:u w:val="none"/>
              </w:rPr>
              <w:tab/>
            </w:r>
            <w:r>
              <w:rPr>
                <w:rStyle w:val="Hyperlink"/>
                <w:webHidden/>
                <w:color w:val="auto"/>
                <w:u w:val="none"/>
              </w:rPr>
              <w:t>2</w:t>
            </w:r>
            <w:r w:rsidR="0055611D">
              <w:rPr>
                <w:rStyle w:val="Hyperlink"/>
                <w:webHidden/>
                <w:color w:val="auto"/>
                <w:u w:val="none"/>
              </w:rPr>
              <w:t>7</w:t>
            </w:r>
          </w:hyperlink>
        </w:p>
        <w:p w14:paraId="07D667D0" w14:textId="77777777" w:rsidR="00EF46B1" w:rsidRPr="00126ED0" w:rsidRDefault="00EF46B1" w:rsidP="00EF46B1">
          <w:pPr>
            <w:spacing w:after="120" w:line="240" w:lineRule="auto"/>
          </w:pPr>
        </w:p>
        <w:p w14:paraId="1F23C554" w14:textId="47594BE9" w:rsidR="0083254A" w:rsidRPr="00126ED0" w:rsidRDefault="0083254A" w:rsidP="0083254A">
          <w:pPr>
            <w:pStyle w:val="TOC3"/>
            <w:ind w:left="990"/>
            <w:rPr>
              <w:rStyle w:val="Hyperlink"/>
              <w:noProof/>
              <w:color w:val="auto"/>
              <w:u w:val="none"/>
            </w:rPr>
          </w:pPr>
        </w:p>
        <w:p w14:paraId="1EC61B02" w14:textId="25F67166" w:rsidR="002E6D1E" w:rsidRPr="00126ED0" w:rsidRDefault="00000000" w:rsidP="009C2DEC">
          <w:pPr>
            <w:spacing w:after="120" w:line="240" w:lineRule="auto"/>
          </w:pPr>
        </w:p>
      </w:sdtContent>
    </w:sdt>
    <w:p w14:paraId="6263FB55" w14:textId="77777777" w:rsidR="0085186B" w:rsidRPr="007B7E0A" w:rsidRDefault="0085186B" w:rsidP="004F0173">
      <w:pPr>
        <w:pStyle w:val="Heading3"/>
        <w:spacing w:before="0" w:after="120" w:line="240" w:lineRule="auto"/>
      </w:pPr>
    </w:p>
    <w:p w14:paraId="4B826B57" w14:textId="1C77B2F1" w:rsidR="000A7D74" w:rsidRDefault="000A7D74" w:rsidP="000A7D74"/>
    <w:p w14:paraId="721B3791" w14:textId="77777777" w:rsidR="00261C8F" w:rsidRDefault="00261C8F">
      <w:r w:rsidRPr="007B7E0A">
        <w:br w:type="page"/>
      </w:r>
    </w:p>
    <w:p w14:paraId="00583F94" w14:textId="0E446D21" w:rsidR="004F0173" w:rsidRPr="007B7E0A" w:rsidRDefault="004F0173" w:rsidP="004F0173">
      <w:pPr>
        <w:pStyle w:val="Heading3"/>
        <w:spacing w:before="0" w:after="120" w:line="240" w:lineRule="auto"/>
      </w:pPr>
      <w:bookmarkStart w:id="0" w:name="_Toc202276022"/>
      <w:r w:rsidRPr="007B7E0A">
        <w:lastRenderedPageBreak/>
        <w:t xml:space="preserve">I. </w:t>
      </w:r>
      <w:r w:rsidR="00300738" w:rsidRPr="007B7E0A">
        <w:t>Task Force</w:t>
      </w:r>
      <w:r w:rsidR="00BF3891" w:rsidRPr="007B7E0A">
        <w:t>:</w:t>
      </w:r>
      <w:r w:rsidR="00300738" w:rsidRPr="007B7E0A">
        <w:t xml:space="preserve"> Purpose and Scope</w:t>
      </w:r>
      <w:bookmarkEnd w:id="0"/>
    </w:p>
    <w:p w14:paraId="4EF6674E" w14:textId="557D1A05" w:rsidR="004F0173" w:rsidRPr="007B7E0A" w:rsidRDefault="00181D99">
      <w:pPr>
        <w:rPr>
          <w:sz w:val="22"/>
          <w:szCs w:val="22"/>
        </w:rPr>
      </w:pPr>
      <w:r w:rsidRPr="00126ED0">
        <w:rPr>
          <w:sz w:val="22"/>
          <w:szCs w:val="22"/>
        </w:rPr>
        <w:t>The Transition</w:t>
      </w:r>
      <w:r w:rsidR="0029470F" w:rsidRPr="007B7E0A">
        <w:rPr>
          <w:sz w:val="22"/>
          <w:szCs w:val="22"/>
        </w:rPr>
        <w:t>s</w:t>
      </w:r>
      <w:r w:rsidRPr="00F27319">
        <w:rPr>
          <w:sz w:val="22"/>
          <w:szCs w:val="22"/>
        </w:rPr>
        <w:t xml:space="preserve"> from Acute Care to Post-Acute Care (TACPAC) Task Force was established under Section 25 of Chapter 197 of the Acts of 2024 to study and propose recommendations to address acute care hospital throughput challenges and the impact of persistent delays in discharging patients from acute to post-acute care settings. The work of the Task Force focused on identifying system barriers, advancing innovative solutions, and promoting timely, appropriate care transitions.</w:t>
      </w:r>
    </w:p>
    <w:p w14:paraId="6CE2AAF6" w14:textId="423A3A91" w:rsidR="00E703A2" w:rsidRPr="0089019E" w:rsidRDefault="00E703A2" w:rsidP="00126ED0">
      <w:pPr>
        <w:rPr>
          <w:sz w:val="22"/>
          <w:szCs w:val="22"/>
        </w:rPr>
      </w:pPr>
      <w:r w:rsidRPr="007B7E0A">
        <w:rPr>
          <w:sz w:val="22"/>
          <w:szCs w:val="22"/>
        </w:rPr>
        <w:t xml:space="preserve">Specifically, the </w:t>
      </w:r>
      <w:r w:rsidR="00A1581D" w:rsidRPr="007B7E0A">
        <w:rPr>
          <w:sz w:val="22"/>
          <w:szCs w:val="22"/>
        </w:rPr>
        <w:t>Task Force was responsible for examining:</w:t>
      </w:r>
    </w:p>
    <w:p w14:paraId="759EC3D2" w14:textId="0E07BFDF" w:rsidR="00601799" w:rsidRPr="0089019E" w:rsidRDefault="00601799" w:rsidP="0089019E">
      <w:pPr>
        <w:pStyle w:val="ListParagraph"/>
        <w:numPr>
          <w:ilvl w:val="0"/>
          <w:numId w:val="21"/>
        </w:numPr>
        <w:rPr>
          <w:sz w:val="22"/>
          <w:szCs w:val="22"/>
        </w:rPr>
      </w:pPr>
      <w:r w:rsidRPr="0089019E">
        <w:rPr>
          <w:sz w:val="22"/>
          <w:szCs w:val="22"/>
        </w:rPr>
        <w:t>hospital discharge planning and case management practices;</w:t>
      </w:r>
    </w:p>
    <w:p w14:paraId="1E768063" w14:textId="51212B72" w:rsidR="00601799" w:rsidRPr="0089019E" w:rsidRDefault="00601799" w:rsidP="0089019E">
      <w:pPr>
        <w:pStyle w:val="ListParagraph"/>
        <w:numPr>
          <w:ilvl w:val="0"/>
          <w:numId w:val="21"/>
        </w:numPr>
        <w:rPr>
          <w:sz w:val="22"/>
          <w:szCs w:val="22"/>
        </w:rPr>
      </w:pPr>
      <w:r w:rsidRPr="0089019E">
        <w:rPr>
          <w:sz w:val="22"/>
          <w:szCs w:val="22"/>
        </w:rPr>
        <w:t>payer administrative barriers to discharge;</w:t>
      </w:r>
    </w:p>
    <w:p w14:paraId="75C1FA65" w14:textId="4FC007DF" w:rsidR="00601799" w:rsidRPr="0089019E" w:rsidRDefault="00601799" w:rsidP="0089019E">
      <w:pPr>
        <w:pStyle w:val="ListParagraph"/>
        <w:numPr>
          <w:ilvl w:val="0"/>
          <w:numId w:val="21"/>
        </w:numPr>
        <w:rPr>
          <w:sz w:val="22"/>
          <w:szCs w:val="22"/>
        </w:rPr>
      </w:pPr>
      <w:r w:rsidRPr="0089019E">
        <w:rPr>
          <w:sz w:val="22"/>
          <w:szCs w:val="22"/>
        </w:rPr>
        <w:t>legal and regulatory barriers to discharge;</w:t>
      </w:r>
    </w:p>
    <w:p w14:paraId="5255A6BC" w14:textId="6EA72C03" w:rsidR="00601799" w:rsidRPr="0089019E" w:rsidRDefault="00601799" w:rsidP="0089019E">
      <w:pPr>
        <w:pStyle w:val="ListParagraph"/>
        <w:numPr>
          <w:ilvl w:val="0"/>
          <w:numId w:val="21"/>
        </w:numPr>
        <w:rPr>
          <w:sz w:val="22"/>
          <w:szCs w:val="22"/>
        </w:rPr>
      </w:pPr>
      <w:r w:rsidRPr="0089019E">
        <w:rPr>
          <w:sz w:val="22"/>
          <w:szCs w:val="22"/>
        </w:rPr>
        <w:t>efforts to increase public awareness of health care proxies and the importance of designating a health care agent;</w:t>
      </w:r>
    </w:p>
    <w:p w14:paraId="49FB3C46" w14:textId="00E42DB4" w:rsidR="00601799" w:rsidRPr="0089019E" w:rsidRDefault="00601799" w:rsidP="0089019E">
      <w:pPr>
        <w:pStyle w:val="ListParagraph"/>
        <w:numPr>
          <w:ilvl w:val="0"/>
          <w:numId w:val="21"/>
        </w:numPr>
        <w:rPr>
          <w:sz w:val="22"/>
          <w:szCs w:val="22"/>
        </w:rPr>
      </w:pPr>
      <w:r w:rsidRPr="0089019E">
        <w:rPr>
          <w:sz w:val="22"/>
          <w:szCs w:val="22"/>
        </w:rPr>
        <w:t>post-acute care capacity constraints and additional opportunities to provide financial incentives to increase capacity;</w:t>
      </w:r>
    </w:p>
    <w:p w14:paraId="42261BEA" w14:textId="0D6339E4" w:rsidR="00601799" w:rsidRPr="0089019E" w:rsidRDefault="00601799" w:rsidP="0089019E">
      <w:pPr>
        <w:pStyle w:val="ListParagraph"/>
        <w:numPr>
          <w:ilvl w:val="0"/>
          <w:numId w:val="21"/>
        </w:numPr>
        <w:rPr>
          <w:sz w:val="22"/>
          <w:szCs w:val="22"/>
        </w:rPr>
      </w:pPr>
      <w:r w:rsidRPr="0089019E">
        <w:rPr>
          <w:sz w:val="22"/>
          <w:szCs w:val="22"/>
        </w:rPr>
        <w:t>administrative day rates and the cost to hospitals of discharge delays;</w:t>
      </w:r>
    </w:p>
    <w:p w14:paraId="50819C1D" w14:textId="55B51C29" w:rsidR="00601799" w:rsidRPr="0089019E" w:rsidRDefault="00601799" w:rsidP="0089019E">
      <w:pPr>
        <w:pStyle w:val="ListParagraph"/>
        <w:numPr>
          <w:ilvl w:val="0"/>
          <w:numId w:val="21"/>
        </w:numPr>
        <w:rPr>
          <w:sz w:val="22"/>
          <w:szCs w:val="22"/>
        </w:rPr>
      </w:pPr>
      <w:r w:rsidRPr="0089019E">
        <w:rPr>
          <w:sz w:val="22"/>
          <w:szCs w:val="22"/>
        </w:rPr>
        <w:t>enhanced hospital case management practices and reimbursement for wraparound services;</w:t>
      </w:r>
    </w:p>
    <w:p w14:paraId="48E3ACF8" w14:textId="598CD0B8" w:rsidR="00601799" w:rsidRPr="0089019E" w:rsidRDefault="00601799" w:rsidP="0089019E">
      <w:pPr>
        <w:pStyle w:val="ListParagraph"/>
        <w:numPr>
          <w:ilvl w:val="0"/>
          <w:numId w:val="21"/>
        </w:numPr>
        <w:rPr>
          <w:sz w:val="22"/>
          <w:szCs w:val="22"/>
        </w:rPr>
      </w:pPr>
      <w:r w:rsidRPr="0089019E">
        <w:rPr>
          <w:sz w:val="22"/>
          <w:szCs w:val="22"/>
        </w:rPr>
        <w:t>the adequacy of post-acute care facility insurance networks and the establishment of an out-of-network rate for post-acute care facilities;</w:t>
      </w:r>
    </w:p>
    <w:p w14:paraId="0BDF78C5" w14:textId="1D9F8EB8" w:rsidR="00601799" w:rsidRPr="0089019E" w:rsidRDefault="00601799" w:rsidP="0089019E">
      <w:pPr>
        <w:pStyle w:val="ListParagraph"/>
        <w:numPr>
          <w:ilvl w:val="0"/>
          <w:numId w:val="21"/>
        </w:numPr>
        <w:rPr>
          <w:sz w:val="22"/>
          <w:szCs w:val="22"/>
        </w:rPr>
      </w:pPr>
      <w:r w:rsidRPr="0089019E">
        <w:rPr>
          <w:sz w:val="22"/>
          <w:szCs w:val="22"/>
        </w:rPr>
        <w:t>expanding MassHealth Limited coverage to include post-acute and long-term care services;</w:t>
      </w:r>
    </w:p>
    <w:p w14:paraId="13DFC50F" w14:textId="2EA6B30C" w:rsidR="00601799" w:rsidRPr="0089019E" w:rsidRDefault="00601799" w:rsidP="0089019E">
      <w:pPr>
        <w:pStyle w:val="ListParagraph"/>
        <w:numPr>
          <w:ilvl w:val="0"/>
          <w:numId w:val="21"/>
        </w:numPr>
        <w:rPr>
          <w:sz w:val="22"/>
          <w:szCs w:val="22"/>
        </w:rPr>
      </w:pPr>
      <w:r w:rsidRPr="0089019E">
        <w:rPr>
          <w:sz w:val="22"/>
          <w:szCs w:val="22"/>
        </w:rPr>
        <w:t>the effectiveness of interagency coordination to resolve complex case discharges;</w:t>
      </w:r>
    </w:p>
    <w:p w14:paraId="7375F834" w14:textId="43EA5C16" w:rsidR="00601799" w:rsidRPr="0089019E" w:rsidRDefault="00601799" w:rsidP="0089019E">
      <w:pPr>
        <w:pStyle w:val="ListParagraph"/>
        <w:numPr>
          <w:ilvl w:val="0"/>
          <w:numId w:val="21"/>
        </w:numPr>
        <w:rPr>
          <w:sz w:val="22"/>
          <w:szCs w:val="22"/>
        </w:rPr>
      </w:pPr>
      <w:r w:rsidRPr="0089019E">
        <w:rPr>
          <w:sz w:val="22"/>
          <w:szCs w:val="22"/>
        </w:rPr>
        <w:t>the adequacy of reimbursement rates of MassHealth and commercial carriers for nonemergency medical transportation;</w:t>
      </w:r>
    </w:p>
    <w:p w14:paraId="4EF0C778" w14:textId="08FB10B9" w:rsidR="00601799" w:rsidRPr="0089019E" w:rsidRDefault="00601799" w:rsidP="0089019E">
      <w:pPr>
        <w:pStyle w:val="ListParagraph"/>
        <w:numPr>
          <w:ilvl w:val="0"/>
          <w:numId w:val="21"/>
        </w:numPr>
        <w:rPr>
          <w:sz w:val="22"/>
          <w:szCs w:val="22"/>
        </w:rPr>
      </w:pPr>
      <w:r w:rsidRPr="0089019E">
        <w:rPr>
          <w:sz w:val="22"/>
          <w:szCs w:val="22"/>
        </w:rPr>
        <w:t>opportunities to expand coverage and reimbursement for services delivered by mobile integrated health programs certified by the department of public health and by participating providers in the federal Centers for Medicare and Medicaid Services acute hospital care at home program;</w:t>
      </w:r>
    </w:p>
    <w:p w14:paraId="401CB18A" w14:textId="0E8D49B8" w:rsidR="00601799" w:rsidRPr="0089019E" w:rsidRDefault="00601799" w:rsidP="0089019E">
      <w:pPr>
        <w:pStyle w:val="ListParagraph"/>
        <w:numPr>
          <w:ilvl w:val="0"/>
          <w:numId w:val="21"/>
        </w:numPr>
        <w:rPr>
          <w:sz w:val="22"/>
          <w:szCs w:val="22"/>
        </w:rPr>
      </w:pPr>
      <w:r w:rsidRPr="0089019E">
        <w:rPr>
          <w:sz w:val="22"/>
          <w:szCs w:val="22"/>
        </w:rPr>
        <w:t>alternative transportation options for patients being discharged and transferred to post-acute care facilities or home health agencies; and</w:t>
      </w:r>
    </w:p>
    <w:p w14:paraId="0ED5EF0B" w14:textId="2A543E3F" w:rsidR="00337243" w:rsidRDefault="00601799" w:rsidP="0089019E">
      <w:pPr>
        <w:pStyle w:val="ListParagraph"/>
        <w:numPr>
          <w:ilvl w:val="0"/>
          <w:numId w:val="21"/>
        </w:numPr>
        <w:rPr>
          <w:sz w:val="22"/>
          <w:szCs w:val="22"/>
        </w:rPr>
      </w:pPr>
      <w:r w:rsidRPr="0089019E">
        <w:rPr>
          <w:sz w:val="22"/>
          <w:szCs w:val="22"/>
        </w:rPr>
        <w:t>the 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appropriate placement for post-acute care for 6 months or longer.</w:t>
      </w:r>
    </w:p>
    <w:p w14:paraId="081D6EC6" w14:textId="77777777" w:rsidR="003301D9" w:rsidRDefault="003301D9" w:rsidP="003301D9">
      <w:pPr>
        <w:rPr>
          <w:sz w:val="22"/>
          <w:szCs w:val="22"/>
        </w:rPr>
      </w:pPr>
    </w:p>
    <w:p w14:paraId="0CF3ED16" w14:textId="77777777" w:rsidR="003301D9" w:rsidRDefault="003301D9" w:rsidP="003301D9">
      <w:pPr>
        <w:rPr>
          <w:sz w:val="22"/>
          <w:szCs w:val="22"/>
        </w:rPr>
      </w:pPr>
    </w:p>
    <w:p w14:paraId="5C37040E" w14:textId="0782AF07" w:rsidR="003301D9" w:rsidRPr="003301D9" w:rsidRDefault="003301D9" w:rsidP="003301D9">
      <w:pPr>
        <w:rPr>
          <w:sz w:val="22"/>
          <w:szCs w:val="22"/>
        </w:rPr>
      </w:pPr>
      <w:r w:rsidRPr="003301D9">
        <w:rPr>
          <w:sz w:val="22"/>
          <w:szCs w:val="22"/>
        </w:rPr>
        <w:lastRenderedPageBreak/>
        <w:t>The Task Force was chaired by Executive Office of Health and Human Services Assistant Secretary Joanne Marqusee, acting as the designee of the Secretary of Health and Human Services, and was comprised of a diverse panel of public health professionals</w:t>
      </w:r>
      <w:r w:rsidR="00FE6391">
        <w:rPr>
          <w:sz w:val="22"/>
          <w:szCs w:val="22"/>
        </w:rPr>
        <w:t>,</w:t>
      </w:r>
      <w:r w:rsidRPr="003301D9">
        <w:rPr>
          <w:sz w:val="22"/>
          <w:szCs w:val="22"/>
        </w:rPr>
        <w:t xml:space="preserve"> experts in health care administration and finance</w:t>
      </w:r>
      <w:r w:rsidR="00FE6391">
        <w:rPr>
          <w:sz w:val="22"/>
          <w:szCs w:val="22"/>
        </w:rPr>
        <w:t>, and legal and law enforcement professionals</w:t>
      </w:r>
      <w:r w:rsidRPr="003301D9">
        <w:rPr>
          <w:sz w:val="22"/>
          <w:szCs w:val="22"/>
        </w:rPr>
        <w:t xml:space="preserve"> (see full list in Appendix B).</w:t>
      </w:r>
    </w:p>
    <w:p w14:paraId="45A362CE" w14:textId="50E7ACA6" w:rsidR="003301D9" w:rsidRPr="003301D9" w:rsidRDefault="003301D9" w:rsidP="009C113C">
      <w:pPr>
        <w:ind w:right="-90"/>
        <w:rPr>
          <w:sz w:val="22"/>
          <w:szCs w:val="22"/>
        </w:rPr>
      </w:pPr>
      <w:r w:rsidRPr="003301D9">
        <w:rPr>
          <w:sz w:val="22"/>
          <w:szCs w:val="22"/>
        </w:rPr>
        <w:t>The Task Force met nine times from January t</w:t>
      </w:r>
      <w:r w:rsidR="00286095">
        <w:rPr>
          <w:sz w:val="22"/>
          <w:szCs w:val="22"/>
        </w:rPr>
        <w:t>hrough</w:t>
      </w:r>
      <w:r w:rsidRPr="003301D9">
        <w:rPr>
          <w:sz w:val="22"/>
          <w:szCs w:val="22"/>
        </w:rPr>
        <w:t xml:space="preserve"> July 2025 and was required to submit its recommendations to the Clerks of the House of Representatives and Senate</w:t>
      </w:r>
      <w:r w:rsidR="0058768E">
        <w:rPr>
          <w:sz w:val="22"/>
          <w:szCs w:val="22"/>
        </w:rPr>
        <w:t xml:space="preserve">, </w:t>
      </w:r>
      <w:r w:rsidRPr="003301D9">
        <w:rPr>
          <w:sz w:val="22"/>
          <w:szCs w:val="22"/>
        </w:rPr>
        <w:t xml:space="preserve">the </w:t>
      </w:r>
      <w:r w:rsidR="0058768E">
        <w:rPr>
          <w:sz w:val="22"/>
          <w:szCs w:val="22"/>
        </w:rPr>
        <w:t>Joint</w:t>
      </w:r>
      <w:r w:rsidRPr="003301D9">
        <w:rPr>
          <w:sz w:val="22"/>
          <w:szCs w:val="22"/>
        </w:rPr>
        <w:t xml:space="preserve"> Committee on Ways and Means</w:t>
      </w:r>
      <w:r w:rsidR="0058768E">
        <w:rPr>
          <w:sz w:val="22"/>
          <w:szCs w:val="22"/>
        </w:rPr>
        <w:t>, and the Joint C</w:t>
      </w:r>
      <w:r w:rsidR="0058768E" w:rsidRPr="0058768E">
        <w:rPr>
          <w:sz w:val="22"/>
          <w:szCs w:val="22"/>
        </w:rPr>
        <w:t>ommittee</w:t>
      </w:r>
      <w:r w:rsidR="0058768E">
        <w:rPr>
          <w:sz w:val="22"/>
          <w:szCs w:val="22"/>
        </w:rPr>
        <w:t xml:space="preserve"> o</w:t>
      </w:r>
      <w:r w:rsidR="0058768E" w:rsidRPr="0058768E">
        <w:rPr>
          <w:sz w:val="22"/>
          <w:szCs w:val="22"/>
        </w:rPr>
        <w:t xml:space="preserve">n </w:t>
      </w:r>
      <w:r w:rsidR="0058768E">
        <w:rPr>
          <w:sz w:val="22"/>
          <w:szCs w:val="22"/>
        </w:rPr>
        <w:t>H</w:t>
      </w:r>
      <w:r w:rsidR="0058768E" w:rsidRPr="0058768E">
        <w:rPr>
          <w:sz w:val="22"/>
          <w:szCs w:val="22"/>
        </w:rPr>
        <w:t xml:space="preserve">ealth </w:t>
      </w:r>
      <w:r w:rsidR="0058768E">
        <w:rPr>
          <w:sz w:val="22"/>
          <w:szCs w:val="22"/>
        </w:rPr>
        <w:t>C</w:t>
      </w:r>
      <w:r w:rsidR="0058768E" w:rsidRPr="0058768E">
        <w:rPr>
          <w:sz w:val="22"/>
          <w:szCs w:val="22"/>
        </w:rPr>
        <w:t xml:space="preserve">are </w:t>
      </w:r>
      <w:r w:rsidR="0058768E">
        <w:rPr>
          <w:sz w:val="22"/>
          <w:szCs w:val="22"/>
        </w:rPr>
        <w:t>F</w:t>
      </w:r>
      <w:r w:rsidR="0058768E" w:rsidRPr="0058768E">
        <w:rPr>
          <w:sz w:val="22"/>
          <w:szCs w:val="22"/>
        </w:rPr>
        <w:t>inancing</w:t>
      </w:r>
      <w:r w:rsidRPr="003301D9">
        <w:rPr>
          <w:sz w:val="22"/>
          <w:szCs w:val="22"/>
        </w:rPr>
        <w:t xml:space="preserve"> not later than July 31, 2025.</w:t>
      </w:r>
    </w:p>
    <w:p w14:paraId="28124AE2" w14:textId="7A89B389" w:rsidR="003301D9" w:rsidRPr="003301D9" w:rsidRDefault="003301D9" w:rsidP="003301D9">
      <w:pPr>
        <w:rPr>
          <w:sz w:val="22"/>
          <w:szCs w:val="22"/>
        </w:rPr>
      </w:pPr>
      <w:r w:rsidRPr="003301D9">
        <w:rPr>
          <w:sz w:val="22"/>
          <w:szCs w:val="22"/>
        </w:rPr>
        <w:t xml:space="preserve">All meetings were subject to the Open Meeting Law and minutes were taken and approved for each meeting. All materials considered by the Task Force as well as minutes of the Task Force’s meetings were posted on a publicly-available webpage: </w:t>
      </w:r>
      <w:hyperlink r:id="rId9" w:history="1">
        <w:r w:rsidR="00826E8E">
          <w:rPr>
            <w:rStyle w:val="Hyperlink"/>
            <w:sz w:val="22"/>
            <w:szCs w:val="22"/>
          </w:rPr>
          <w:t>https://www.mass.gov/transitions-from-acute-care-to-post-acute-care-tacpac-task-force</w:t>
        </w:r>
      </w:hyperlink>
    </w:p>
    <w:p w14:paraId="3CB7BEA7" w14:textId="77777777" w:rsidR="003301D9" w:rsidRPr="00126ED0" w:rsidRDefault="003301D9" w:rsidP="00F27319">
      <w:pPr>
        <w:rPr>
          <w:sz w:val="22"/>
          <w:szCs w:val="22"/>
        </w:rPr>
      </w:pPr>
    </w:p>
    <w:p w14:paraId="690E9D2E" w14:textId="1BFA11A2" w:rsidR="00601799" w:rsidRPr="007B7E0A" w:rsidRDefault="00601799"/>
    <w:p w14:paraId="0EE98343" w14:textId="77777777" w:rsidR="00B06E98" w:rsidRPr="007B7E0A" w:rsidRDefault="00B06E98" w:rsidP="00126ED0">
      <w:pPr>
        <w:pStyle w:val="Heading3"/>
        <w:spacing w:before="0" w:after="120" w:line="240" w:lineRule="auto"/>
      </w:pPr>
      <w:r w:rsidRPr="007B7E0A">
        <w:br w:type="page"/>
      </w:r>
    </w:p>
    <w:p w14:paraId="4E1BC348" w14:textId="7AE6F892" w:rsidR="00163B6F" w:rsidRPr="007B7E0A" w:rsidRDefault="00163B6F" w:rsidP="00163B6F">
      <w:pPr>
        <w:pStyle w:val="Heading3"/>
        <w:spacing w:before="0" w:after="120" w:line="240" w:lineRule="auto"/>
      </w:pPr>
      <w:bookmarkStart w:id="1" w:name="_Toc202276023"/>
      <w:r w:rsidRPr="007B7E0A">
        <w:lastRenderedPageBreak/>
        <w:t>I</w:t>
      </w:r>
      <w:r w:rsidR="00793C88" w:rsidRPr="007B7E0A">
        <w:t>I</w:t>
      </w:r>
      <w:r w:rsidRPr="007B7E0A">
        <w:t xml:space="preserve">. The Landscape: </w:t>
      </w:r>
      <w:r w:rsidR="004D6814" w:rsidRPr="007B7E0A">
        <w:t>Populat</w:t>
      </w:r>
      <w:r w:rsidR="00894F8A" w:rsidRPr="007B7E0A">
        <w:t>ion</w:t>
      </w:r>
      <w:r w:rsidR="00F00735" w:rsidRPr="007B7E0A">
        <w:t xml:space="preserve"> and</w:t>
      </w:r>
      <w:r w:rsidR="00C3184B" w:rsidRPr="007B7E0A">
        <w:t xml:space="preserve"> </w:t>
      </w:r>
      <w:r w:rsidR="00003EE5" w:rsidRPr="007B7E0A">
        <w:t>Providers</w:t>
      </w:r>
      <w:bookmarkEnd w:id="1"/>
    </w:p>
    <w:p w14:paraId="14B246B9" w14:textId="6B338FD2" w:rsidR="00B06E98" w:rsidRPr="007B7E0A" w:rsidRDefault="00D054EC">
      <w:pPr>
        <w:rPr>
          <w:sz w:val="22"/>
          <w:szCs w:val="22"/>
        </w:rPr>
      </w:pPr>
      <w:r w:rsidRPr="007B7E0A">
        <w:rPr>
          <w:sz w:val="22"/>
          <w:szCs w:val="22"/>
        </w:rPr>
        <w:t>Improving hospital throughput and transitions to post-acute care requires a clear understanding of who is served by the Massachusetts healthcare system, which providers support their care journeys, and what systemic barriers contribute to persistent discharge delays. The Commonwealth’s healthcare infrastructure serves a diverse and aging population with complex medical, behavioral, and social needs. Across this landscape, providers and payers face significant capacity constraints, administrative challenges, and workforce shortages that contribute to bottlenecks in care transitions.</w:t>
      </w:r>
    </w:p>
    <w:p w14:paraId="3AB74D4B" w14:textId="6C04B398" w:rsidR="006F17F3" w:rsidRDefault="00D054EC" w:rsidP="00F27319">
      <w:pPr>
        <w:rPr>
          <w:b/>
          <w:bCs/>
          <w:sz w:val="22"/>
          <w:szCs w:val="22"/>
        </w:rPr>
      </w:pPr>
      <w:r w:rsidRPr="007B7E0A">
        <w:rPr>
          <w:sz w:val="22"/>
          <w:szCs w:val="22"/>
        </w:rPr>
        <w:t>This section summarizes the key populations affected, the providers involved, and the core problems that have led to thousands of patients remaining in acute care beds despite being medically ready for discharge.</w:t>
      </w:r>
      <w:r w:rsidR="000C5E30">
        <w:rPr>
          <w:b/>
          <w:bCs/>
          <w:sz w:val="22"/>
          <w:szCs w:val="22"/>
        </w:rPr>
        <w:br/>
      </w:r>
    </w:p>
    <w:p w14:paraId="64DE0947" w14:textId="591CA373" w:rsidR="00A30FE5" w:rsidRPr="007B7E0A" w:rsidRDefault="00A30FE5" w:rsidP="00A30FE5">
      <w:pPr>
        <w:spacing w:after="120" w:line="240" w:lineRule="auto"/>
        <w:rPr>
          <w:b/>
          <w:bCs/>
          <w:sz w:val="22"/>
          <w:szCs w:val="22"/>
        </w:rPr>
      </w:pPr>
      <w:r w:rsidRPr="007B7E0A">
        <w:rPr>
          <w:b/>
          <w:bCs/>
          <w:sz w:val="22"/>
          <w:szCs w:val="22"/>
        </w:rPr>
        <w:t>The Population</w:t>
      </w:r>
    </w:p>
    <w:p w14:paraId="5FBFF207" w14:textId="4125AF41" w:rsidR="00E80227" w:rsidRDefault="003F1DFC" w:rsidP="00BC3149">
      <w:pPr>
        <w:rPr>
          <w:sz w:val="22"/>
          <w:szCs w:val="22"/>
        </w:rPr>
      </w:pPr>
      <w:r w:rsidRPr="007B7E0A">
        <w:rPr>
          <w:sz w:val="22"/>
          <w:szCs w:val="22"/>
        </w:rPr>
        <w:t>Massachusetts health care system serves a diverse and aging population with increasing post-acute care needs. Of the 6.</w:t>
      </w:r>
      <w:r w:rsidR="00B075D1" w:rsidRPr="007B7E0A">
        <w:rPr>
          <w:sz w:val="22"/>
          <w:szCs w:val="22"/>
        </w:rPr>
        <w:t>5</w:t>
      </w:r>
      <w:r w:rsidRPr="007B7E0A">
        <w:rPr>
          <w:sz w:val="22"/>
          <w:szCs w:val="22"/>
        </w:rPr>
        <w:t xml:space="preserve"> million insured residents in Massachusetts, approximately</w:t>
      </w:r>
      <w:r w:rsidR="00BC3149">
        <w:rPr>
          <w:sz w:val="22"/>
          <w:szCs w:val="22"/>
        </w:rPr>
        <w:t xml:space="preserve"> </w:t>
      </w:r>
      <w:r w:rsidR="00763421">
        <w:rPr>
          <w:sz w:val="22"/>
          <w:szCs w:val="22"/>
        </w:rPr>
        <w:t>23</w:t>
      </w:r>
      <w:r w:rsidR="00BC3149" w:rsidRPr="0095427D">
        <w:rPr>
          <w:sz w:val="22"/>
          <w:szCs w:val="22"/>
        </w:rPr>
        <w:t xml:space="preserve">% </w:t>
      </w:r>
      <w:r w:rsidR="00763421">
        <w:rPr>
          <w:sz w:val="22"/>
          <w:szCs w:val="22"/>
        </w:rPr>
        <w:t xml:space="preserve">are in fully-insured </w:t>
      </w:r>
      <w:r w:rsidR="00BC3149" w:rsidRPr="0095427D">
        <w:rPr>
          <w:sz w:val="22"/>
          <w:szCs w:val="22"/>
        </w:rPr>
        <w:t>commercial insurance</w:t>
      </w:r>
      <w:r w:rsidR="00763421">
        <w:rPr>
          <w:sz w:val="22"/>
          <w:szCs w:val="22"/>
        </w:rPr>
        <w:t xml:space="preserve"> plans; </w:t>
      </w:r>
      <w:r w:rsidR="00BC3149" w:rsidRPr="00126ED0">
        <w:rPr>
          <w:sz w:val="22"/>
          <w:szCs w:val="22"/>
        </w:rPr>
        <w:t>2</w:t>
      </w:r>
      <w:r w:rsidR="0017219F">
        <w:rPr>
          <w:sz w:val="22"/>
          <w:szCs w:val="22"/>
        </w:rPr>
        <w:t>3</w:t>
      </w:r>
      <w:r w:rsidR="00BC3149" w:rsidRPr="00126ED0">
        <w:rPr>
          <w:sz w:val="22"/>
          <w:szCs w:val="22"/>
        </w:rPr>
        <w:t>% are covered by Medicaid</w:t>
      </w:r>
      <w:r w:rsidR="00BC3149">
        <w:rPr>
          <w:sz w:val="22"/>
          <w:szCs w:val="22"/>
        </w:rPr>
        <w:t xml:space="preserve">; </w:t>
      </w:r>
      <w:r w:rsidR="00BC3149" w:rsidRPr="00126ED0">
        <w:rPr>
          <w:sz w:val="22"/>
          <w:szCs w:val="22"/>
        </w:rPr>
        <w:t>18% are covered by Medicare</w:t>
      </w:r>
      <w:r w:rsidR="0017219F">
        <w:rPr>
          <w:sz w:val="22"/>
          <w:szCs w:val="22"/>
        </w:rPr>
        <w:t xml:space="preserve">; and 36% are covered by </w:t>
      </w:r>
      <w:r w:rsidR="007F6F48">
        <w:rPr>
          <w:sz w:val="22"/>
          <w:szCs w:val="22"/>
        </w:rPr>
        <w:t>employer self-insured plans</w:t>
      </w:r>
      <w:r w:rsidR="00BC3149">
        <w:rPr>
          <w:sz w:val="22"/>
          <w:szCs w:val="22"/>
        </w:rPr>
        <w:t>.</w:t>
      </w:r>
      <w:r w:rsidR="00300599" w:rsidRPr="007B7E0A">
        <w:rPr>
          <w:rStyle w:val="FootnoteReference"/>
          <w:sz w:val="22"/>
          <w:szCs w:val="22"/>
        </w:rPr>
        <w:footnoteReference w:id="1"/>
      </w:r>
      <w:r w:rsidR="00BC3149">
        <w:rPr>
          <w:sz w:val="22"/>
          <w:szCs w:val="22"/>
        </w:rPr>
        <w:t xml:space="preserve"> </w:t>
      </w:r>
      <w:r w:rsidR="00646AB8">
        <w:rPr>
          <w:rStyle w:val="FootnoteReference"/>
          <w:sz w:val="22"/>
          <w:szCs w:val="22"/>
        </w:rPr>
        <w:footnoteReference w:id="2"/>
      </w:r>
    </w:p>
    <w:p w14:paraId="1FD2D74D" w14:textId="74646302" w:rsidR="00E80227" w:rsidRDefault="00E80227" w:rsidP="00BC3149">
      <w:pPr>
        <w:rPr>
          <w:sz w:val="22"/>
          <w:szCs w:val="22"/>
        </w:rPr>
      </w:pPr>
      <w:r>
        <w:rPr>
          <w:noProof/>
        </w:rPr>
        <w:drawing>
          <wp:inline distT="0" distB="0" distL="0" distR="0" wp14:anchorId="4A372C2D" wp14:editId="3D87CD0D">
            <wp:extent cx="5112689" cy="3140765"/>
            <wp:effectExtent l="0" t="0" r="12065" b="2540"/>
            <wp:docPr id="1105892696" name="Chart 1" descr="Pie chart of The population paragraph above explaing its' contents.">
              <a:extLst xmlns:a="http://schemas.openxmlformats.org/drawingml/2006/main">
                <a:ext uri="{FF2B5EF4-FFF2-40B4-BE49-F238E27FC236}">
                  <a16:creationId xmlns:a16="http://schemas.microsoft.com/office/drawing/2014/main" id="{CDA00CDB-F4E4-1F4F-859E-A4E26CAE8A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6E9A9D" w14:textId="11256A0D" w:rsidR="00E80227" w:rsidRDefault="00E80227" w:rsidP="00BC3149">
      <w:pPr>
        <w:rPr>
          <w:sz w:val="22"/>
          <w:szCs w:val="22"/>
        </w:rPr>
      </w:pPr>
    </w:p>
    <w:p w14:paraId="05B642F8" w14:textId="59A01182" w:rsidR="00463F32" w:rsidRPr="00463F32" w:rsidRDefault="00463F32" w:rsidP="00463F32">
      <w:pPr>
        <w:rPr>
          <w:sz w:val="22"/>
          <w:szCs w:val="22"/>
        </w:rPr>
      </w:pPr>
      <w:r w:rsidRPr="00463F32">
        <w:rPr>
          <w:sz w:val="22"/>
          <w:szCs w:val="22"/>
        </w:rPr>
        <w:t>In thinking about the impact of recommendations that establish mandates on payers, it is relevant to note that state legislative or regulatory action on commercial insurance can only impact the fully-insured. Likewise, state legislative or regulatory action on public programs can only impact Medicaid. Thus, State mandates would at most apply to less than</w:t>
      </w:r>
      <w:r w:rsidR="00567ECA">
        <w:rPr>
          <w:sz w:val="22"/>
          <w:szCs w:val="22"/>
        </w:rPr>
        <w:t xml:space="preserve"> half </w:t>
      </w:r>
      <w:r w:rsidRPr="00463F32">
        <w:rPr>
          <w:sz w:val="22"/>
          <w:szCs w:val="22"/>
        </w:rPr>
        <w:t>of the insured population (i.e., 23% fully-insured and 23% Medicaid). To impact Medicare and/or self-insured plan policies would require federal action.</w:t>
      </w:r>
    </w:p>
    <w:p w14:paraId="5CCE2EE4" w14:textId="3EC17DB0" w:rsidR="00EE55C3" w:rsidRPr="00126ED0" w:rsidRDefault="00EE55C3" w:rsidP="00EE55C3">
      <w:pPr>
        <w:rPr>
          <w:sz w:val="22"/>
          <w:szCs w:val="22"/>
        </w:rPr>
      </w:pPr>
      <w:r w:rsidRPr="00126ED0">
        <w:rPr>
          <w:sz w:val="22"/>
          <w:szCs w:val="22"/>
        </w:rPr>
        <w:t>Key sub</w:t>
      </w:r>
      <w:r w:rsidR="003149E1">
        <w:rPr>
          <w:sz w:val="22"/>
          <w:szCs w:val="22"/>
        </w:rPr>
        <w:t>-</w:t>
      </w:r>
      <w:r w:rsidRPr="00126ED0">
        <w:rPr>
          <w:sz w:val="22"/>
          <w:szCs w:val="22"/>
        </w:rPr>
        <w:t>populations facing prolonged discharge delays include individuals experiencing</w:t>
      </w:r>
      <w:r w:rsidR="007855D4">
        <w:rPr>
          <w:sz w:val="22"/>
          <w:szCs w:val="22"/>
        </w:rPr>
        <w:t xml:space="preserve"> one or more of the followin</w:t>
      </w:r>
      <w:r w:rsidR="00CE5036">
        <w:rPr>
          <w:sz w:val="22"/>
          <w:szCs w:val="22"/>
        </w:rPr>
        <w:t>g</w:t>
      </w:r>
      <w:r w:rsidR="001035DF">
        <w:rPr>
          <w:sz w:val="22"/>
          <w:szCs w:val="22"/>
        </w:rPr>
        <w:t>, which</w:t>
      </w:r>
      <w:r w:rsidR="00F8442A">
        <w:rPr>
          <w:sz w:val="22"/>
          <w:szCs w:val="22"/>
        </w:rPr>
        <w:t xml:space="preserve"> may individually </w:t>
      </w:r>
      <w:r w:rsidR="007C5AE1">
        <w:rPr>
          <w:sz w:val="22"/>
          <w:szCs w:val="22"/>
        </w:rPr>
        <w:t xml:space="preserve">or collectively </w:t>
      </w:r>
      <w:r w:rsidR="00753CF0">
        <w:rPr>
          <w:sz w:val="22"/>
          <w:szCs w:val="22"/>
        </w:rPr>
        <w:t xml:space="preserve">be </w:t>
      </w:r>
      <w:r w:rsidR="001035DF">
        <w:rPr>
          <w:sz w:val="22"/>
          <w:szCs w:val="22"/>
        </w:rPr>
        <w:t>contribut</w:t>
      </w:r>
      <w:r w:rsidR="00753CF0">
        <w:rPr>
          <w:sz w:val="22"/>
          <w:szCs w:val="22"/>
        </w:rPr>
        <w:t>ing</w:t>
      </w:r>
      <w:r w:rsidR="001035DF">
        <w:rPr>
          <w:sz w:val="22"/>
          <w:szCs w:val="22"/>
        </w:rPr>
        <w:t xml:space="preserve"> to </w:t>
      </w:r>
      <w:r w:rsidR="00060863">
        <w:rPr>
          <w:sz w:val="22"/>
          <w:szCs w:val="22"/>
        </w:rPr>
        <w:t>delayed discharge</w:t>
      </w:r>
      <w:r w:rsidR="007C5AE1">
        <w:rPr>
          <w:sz w:val="22"/>
          <w:szCs w:val="22"/>
        </w:rPr>
        <w:t>s</w:t>
      </w:r>
      <w:r w:rsidRPr="00126ED0">
        <w:rPr>
          <w:sz w:val="22"/>
          <w:szCs w:val="22"/>
        </w:rPr>
        <w:t>:</w:t>
      </w:r>
    </w:p>
    <w:p w14:paraId="6CE9CBC0" w14:textId="77777777" w:rsidR="00EE55C3" w:rsidRPr="00126ED0" w:rsidRDefault="00EE55C3" w:rsidP="00A062F0">
      <w:pPr>
        <w:pStyle w:val="ListParagraph"/>
        <w:numPr>
          <w:ilvl w:val="0"/>
          <w:numId w:val="24"/>
        </w:numPr>
        <w:rPr>
          <w:sz w:val="22"/>
          <w:szCs w:val="22"/>
        </w:rPr>
      </w:pPr>
      <w:r w:rsidRPr="00126ED0">
        <w:rPr>
          <w:sz w:val="22"/>
          <w:szCs w:val="22"/>
        </w:rPr>
        <w:t>Behavioral health needs</w:t>
      </w:r>
    </w:p>
    <w:p w14:paraId="603A664E" w14:textId="77777777" w:rsidR="00EE55C3" w:rsidRPr="00126ED0" w:rsidRDefault="00EE55C3" w:rsidP="00A062F0">
      <w:pPr>
        <w:pStyle w:val="ListParagraph"/>
        <w:numPr>
          <w:ilvl w:val="0"/>
          <w:numId w:val="24"/>
        </w:numPr>
        <w:rPr>
          <w:sz w:val="22"/>
          <w:szCs w:val="22"/>
        </w:rPr>
      </w:pPr>
      <w:r w:rsidRPr="00126ED0">
        <w:rPr>
          <w:sz w:val="22"/>
          <w:szCs w:val="22"/>
        </w:rPr>
        <w:t>Dementia and cognitive impairment</w:t>
      </w:r>
    </w:p>
    <w:p w14:paraId="3B73AB5B" w14:textId="77777777" w:rsidR="00EE55C3" w:rsidRPr="00126ED0" w:rsidRDefault="00EE55C3" w:rsidP="00A062F0">
      <w:pPr>
        <w:pStyle w:val="ListParagraph"/>
        <w:numPr>
          <w:ilvl w:val="0"/>
          <w:numId w:val="24"/>
        </w:numPr>
        <w:rPr>
          <w:sz w:val="22"/>
          <w:szCs w:val="22"/>
        </w:rPr>
      </w:pPr>
      <w:r w:rsidRPr="00126ED0">
        <w:rPr>
          <w:sz w:val="22"/>
          <w:szCs w:val="22"/>
        </w:rPr>
        <w:t>Substance use disorders</w:t>
      </w:r>
    </w:p>
    <w:p w14:paraId="5F81A6E9" w14:textId="77777777" w:rsidR="00EE55C3" w:rsidRPr="00126ED0" w:rsidRDefault="00EE55C3" w:rsidP="00A062F0">
      <w:pPr>
        <w:pStyle w:val="ListParagraph"/>
        <w:numPr>
          <w:ilvl w:val="0"/>
          <w:numId w:val="24"/>
        </w:numPr>
        <w:rPr>
          <w:sz w:val="22"/>
          <w:szCs w:val="22"/>
        </w:rPr>
      </w:pPr>
      <w:r w:rsidRPr="00126ED0">
        <w:rPr>
          <w:sz w:val="22"/>
          <w:szCs w:val="22"/>
        </w:rPr>
        <w:t>Homelessness or housing instability</w:t>
      </w:r>
    </w:p>
    <w:p w14:paraId="0BED2538" w14:textId="77777777" w:rsidR="00EE55C3" w:rsidRPr="00126ED0" w:rsidRDefault="00EE55C3" w:rsidP="00A062F0">
      <w:pPr>
        <w:pStyle w:val="ListParagraph"/>
        <w:numPr>
          <w:ilvl w:val="0"/>
          <w:numId w:val="24"/>
        </w:numPr>
        <w:rPr>
          <w:sz w:val="22"/>
          <w:szCs w:val="22"/>
        </w:rPr>
      </w:pPr>
      <w:r w:rsidRPr="00126ED0">
        <w:rPr>
          <w:sz w:val="22"/>
          <w:szCs w:val="22"/>
        </w:rPr>
        <w:t>Justice involvement</w:t>
      </w:r>
    </w:p>
    <w:p w14:paraId="23B99064" w14:textId="77777777" w:rsidR="00EE55C3" w:rsidRPr="00126ED0" w:rsidRDefault="00EE55C3" w:rsidP="00A062F0">
      <w:pPr>
        <w:pStyle w:val="ListParagraph"/>
        <w:numPr>
          <w:ilvl w:val="0"/>
          <w:numId w:val="24"/>
        </w:numPr>
        <w:rPr>
          <w:sz w:val="22"/>
          <w:szCs w:val="22"/>
        </w:rPr>
      </w:pPr>
      <w:r w:rsidRPr="00126ED0">
        <w:rPr>
          <w:sz w:val="22"/>
          <w:szCs w:val="22"/>
        </w:rPr>
        <w:t>End-of-life care needs</w:t>
      </w:r>
    </w:p>
    <w:p w14:paraId="0F85D4F4" w14:textId="77777777" w:rsidR="00F17D90" w:rsidRDefault="00F17D90" w:rsidP="00805BEF">
      <w:pPr>
        <w:spacing w:after="120" w:line="240" w:lineRule="auto"/>
        <w:rPr>
          <w:b/>
          <w:bCs/>
          <w:sz w:val="22"/>
          <w:szCs w:val="22"/>
        </w:rPr>
      </w:pPr>
    </w:p>
    <w:p w14:paraId="2644E7EF" w14:textId="6403962F" w:rsidR="00805BEF" w:rsidRPr="007B7E0A" w:rsidRDefault="00805BEF" w:rsidP="00805BEF">
      <w:pPr>
        <w:spacing w:after="120" w:line="240" w:lineRule="auto"/>
        <w:rPr>
          <w:b/>
          <w:bCs/>
          <w:sz w:val="22"/>
          <w:szCs w:val="22"/>
        </w:rPr>
      </w:pPr>
      <w:r w:rsidRPr="00A062F0">
        <w:rPr>
          <w:b/>
          <w:bCs/>
          <w:sz w:val="22"/>
          <w:szCs w:val="22"/>
        </w:rPr>
        <w:t xml:space="preserve">The </w:t>
      </w:r>
      <w:r w:rsidRPr="007B7E0A">
        <w:rPr>
          <w:b/>
          <w:bCs/>
          <w:sz w:val="22"/>
          <w:szCs w:val="22"/>
        </w:rPr>
        <w:t>Providers</w:t>
      </w:r>
    </w:p>
    <w:p w14:paraId="3645F835" w14:textId="7715DA8A" w:rsidR="00462513" w:rsidRDefault="00462513" w:rsidP="00A062F0">
      <w:pPr>
        <w:spacing w:after="120" w:line="240" w:lineRule="auto"/>
        <w:rPr>
          <w:sz w:val="22"/>
          <w:szCs w:val="22"/>
        </w:rPr>
      </w:pPr>
      <w:r w:rsidRPr="007B7E0A">
        <w:rPr>
          <w:sz w:val="22"/>
          <w:szCs w:val="22"/>
        </w:rPr>
        <w:t xml:space="preserve">The Massachusetts care continuum supporting transitions </w:t>
      </w:r>
      <w:r w:rsidR="00874513">
        <w:rPr>
          <w:sz w:val="22"/>
          <w:szCs w:val="22"/>
        </w:rPr>
        <w:t>from</w:t>
      </w:r>
      <w:r w:rsidRPr="007B7E0A">
        <w:rPr>
          <w:sz w:val="22"/>
          <w:szCs w:val="22"/>
        </w:rPr>
        <w:t xml:space="preserve"> acute </w:t>
      </w:r>
      <w:r w:rsidR="00874513">
        <w:rPr>
          <w:sz w:val="22"/>
          <w:szCs w:val="22"/>
        </w:rPr>
        <w:t>to</w:t>
      </w:r>
      <w:r w:rsidRPr="007B7E0A">
        <w:rPr>
          <w:sz w:val="22"/>
          <w:szCs w:val="22"/>
        </w:rPr>
        <w:t xml:space="preserve"> po</w:t>
      </w:r>
      <w:r w:rsidR="00A813A0">
        <w:rPr>
          <w:sz w:val="22"/>
          <w:szCs w:val="22"/>
        </w:rPr>
        <w:t>st</w:t>
      </w:r>
      <w:r w:rsidRPr="007B7E0A">
        <w:rPr>
          <w:sz w:val="22"/>
          <w:szCs w:val="22"/>
        </w:rPr>
        <w:t>-acute care includes:</w:t>
      </w:r>
    </w:p>
    <w:p w14:paraId="67B58D61" w14:textId="77777777" w:rsidR="00E25042" w:rsidRPr="00A062F0" w:rsidRDefault="00E25042" w:rsidP="00A062F0">
      <w:pPr>
        <w:spacing w:after="120" w:line="240" w:lineRule="auto"/>
        <w:rPr>
          <w:sz w:val="22"/>
          <w:szCs w:val="22"/>
        </w:rPr>
      </w:pPr>
    </w:p>
    <w:p w14:paraId="11E6A543" w14:textId="47D8DACA" w:rsidR="00EA60C9" w:rsidRPr="00AB5249" w:rsidRDefault="00EA60C9" w:rsidP="00A062F0">
      <w:pPr>
        <w:ind w:left="360"/>
        <w:rPr>
          <w:b/>
          <w:bCs/>
          <w:sz w:val="22"/>
          <w:szCs w:val="22"/>
        </w:rPr>
      </w:pPr>
      <w:r w:rsidRPr="00126ED0">
        <w:rPr>
          <w:b/>
          <w:bCs/>
          <w:sz w:val="22"/>
          <w:szCs w:val="22"/>
        </w:rPr>
        <w:t>Acute Care</w:t>
      </w:r>
    </w:p>
    <w:p w14:paraId="32C924F6" w14:textId="72D93929" w:rsidR="00ED33EF" w:rsidRPr="007B7E0A" w:rsidRDefault="00BE76DA" w:rsidP="00EA60C9">
      <w:pPr>
        <w:pStyle w:val="ListParagraph"/>
        <w:numPr>
          <w:ilvl w:val="0"/>
          <w:numId w:val="24"/>
        </w:numPr>
        <w:rPr>
          <w:sz w:val="22"/>
          <w:szCs w:val="22"/>
        </w:rPr>
      </w:pPr>
      <w:r w:rsidRPr="00126ED0">
        <w:rPr>
          <w:sz w:val="22"/>
          <w:szCs w:val="22"/>
          <w:u w:val="single"/>
        </w:rPr>
        <w:t>Acute Care Hospitals:</w:t>
      </w:r>
      <w:r w:rsidRPr="00E54217">
        <w:rPr>
          <w:sz w:val="22"/>
          <w:szCs w:val="22"/>
        </w:rPr>
        <w:t xml:space="preserve"> Facilities that provide short-term, intensive medical care for individuals experiencing serious or emergent health conditions. They serve as the entry point for many patients into the healthcare system and coordinate care transitions to post-acute and community-based settings.</w:t>
      </w:r>
    </w:p>
    <w:p w14:paraId="0F5C34F4" w14:textId="0448DBD3" w:rsidR="00EA60C9" w:rsidRPr="00B449B2" w:rsidRDefault="00EA60C9" w:rsidP="00E54217">
      <w:pPr>
        <w:ind w:left="360"/>
        <w:rPr>
          <w:b/>
          <w:bCs/>
          <w:sz w:val="22"/>
          <w:szCs w:val="22"/>
        </w:rPr>
      </w:pPr>
      <w:r w:rsidRPr="00B449B2">
        <w:rPr>
          <w:b/>
          <w:bCs/>
          <w:sz w:val="22"/>
          <w:szCs w:val="22"/>
        </w:rPr>
        <w:t>Post-Acute Care</w:t>
      </w:r>
    </w:p>
    <w:p w14:paraId="1F641369" w14:textId="77777777" w:rsidR="00BE76DA" w:rsidRPr="00E54217" w:rsidRDefault="00BE76DA" w:rsidP="00BE76DA">
      <w:pPr>
        <w:pStyle w:val="ListParagraph"/>
        <w:numPr>
          <w:ilvl w:val="0"/>
          <w:numId w:val="24"/>
        </w:numPr>
        <w:rPr>
          <w:sz w:val="22"/>
          <w:szCs w:val="22"/>
        </w:rPr>
      </w:pPr>
      <w:r w:rsidRPr="00E13831">
        <w:rPr>
          <w:sz w:val="22"/>
          <w:szCs w:val="22"/>
          <w:u w:val="single"/>
        </w:rPr>
        <w:t>Skilled Nursing Facilities (SNFs):</w:t>
      </w:r>
      <w:r w:rsidRPr="00E54217">
        <w:rPr>
          <w:sz w:val="22"/>
          <w:szCs w:val="22"/>
        </w:rPr>
        <w:t xml:space="preserve"> Residential healthcare providers that deliver 24-hour nursing care, rehabilitation services, and support for individuals who require ongoing medical supervision and assistance with daily living after an acute hospital stay.</w:t>
      </w:r>
    </w:p>
    <w:p w14:paraId="06A15F28" w14:textId="0D6251B9" w:rsidR="00E54217" w:rsidRDefault="00BE76DA" w:rsidP="00BE76DA">
      <w:pPr>
        <w:pStyle w:val="ListParagraph"/>
        <w:numPr>
          <w:ilvl w:val="0"/>
          <w:numId w:val="24"/>
        </w:numPr>
        <w:rPr>
          <w:sz w:val="22"/>
          <w:szCs w:val="22"/>
        </w:rPr>
      </w:pPr>
      <w:r w:rsidRPr="007109E7">
        <w:rPr>
          <w:sz w:val="22"/>
          <w:szCs w:val="22"/>
          <w:u w:val="single"/>
        </w:rPr>
        <w:t>Long-Term Acute Care Hospitals (LTACHs) and Inpatient Rehabilitation Facilities (IRFs):</w:t>
      </w:r>
      <w:r w:rsidRPr="00E54217">
        <w:rPr>
          <w:sz w:val="22"/>
          <w:szCs w:val="22"/>
        </w:rPr>
        <w:t xml:space="preserve"> Specialized hospitals that offer extended medical care for patients with complex medical needs, such as prolonged ventilator use or intensive rehabilitation following serious injury, illness</w:t>
      </w:r>
      <w:r w:rsidR="001634C0">
        <w:rPr>
          <w:sz w:val="22"/>
          <w:szCs w:val="22"/>
        </w:rPr>
        <w:t>.</w:t>
      </w:r>
    </w:p>
    <w:p w14:paraId="01EEEF4A" w14:textId="10C23CC0" w:rsidR="00BE76DA" w:rsidRPr="00E13831" w:rsidRDefault="00BE76DA" w:rsidP="00BE76DA">
      <w:pPr>
        <w:pStyle w:val="ListParagraph"/>
        <w:numPr>
          <w:ilvl w:val="0"/>
          <w:numId w:val="24"/>
        </w:numPr>
        <w:rPr>
          <w:sz w:val="22"/>
          <w:szCs w:val="22"/>
        </w:rPr>
      </w:pPr>
      <w:r w:rsidRPr="00E13831">
        <w:rPr>
          <w:sz w:val="22"/>
          <w:szCs w:val="22"/>
          <w:u w:val="single"/>
        </w:rPr>
        <w:t>Home Health Agencies and Community Providers:</w:t>
      </w:r>
      <w:r w:rsidRPr="00E13831">
        <w:rPr>
          <w:sz w:val="22"/>
          <w:szCs w:val="22"/>
        </w:rPr>
        <w:t xml:space="preserve"> Organizations that deliver medical care, personal care, and supportive services directly in a patient’s home or community, facilitating recovery and promoting independent living outside of institutional settings.</w:t>
      </w:r>
    </w:p>
    <w:p w14:paraId="25B19C52" w14:textId="3CD5D3B4" w:rsidR="00204363" w:rsidRPr="00CA5E60" w:rsidRDefault="00BE76DA">
      <w:pPr>
        <w:pStyle w:val="ListParagraph"/>
        <w:numPr>
          <w:ilvl w:val="0"/>
          <w:numId w:val="24"/>
        </w:numPr>
        <w:rPr>
          <w:b/>
          <w:bCs/>
          <w:sz w:val="22"/>
          <w:szCs w:val="22"/>
        </w:rPr>
      </w:pPr>
      <w:r w:rsidRPr="00CA5E60">
        <w:rPr>
          <w:sz w:val="22"/>
          <w:szCs w:val="22"/>
          <w:u w:val="single"/>
        </w:rPr>
        <w:lastRenderedPageBreak/>
        <w:t>Behavioral Health and Specialty Providers:</w:t>
      </w:r>
      <w:r w:rsidRPr="00CA5E60">
        <w:rPr>
          <w:sz w:val="22"/>
          <w:szCs w:val="22"/>
        </w:rPr>
        <w:t xml:space="preserve"> Providers that offer targeted care for individuals with mental health conditions, substance use disorders, cognitive impairments, and other specialized medical needs. They play a critical role in managing complex, chronic, or co-occurring conditions.</w:t>
      </w:r>
    </w:p>
    <w:p w14:paraId="26A18785" w14:textId="77777777" w:rsidR="00CA5E60" w:rsidRPr="00CA5E60" w:rsidRDefault="00CA5E60" w:rsidP="00CA5E60">
      <w:pPr>
        <w:pStyle w:val="ListParagraph"/>
        <w:rPr>
          <w:b/>
          <w:bCs/>
          <w:sz w:val="22"/>
          <w:szCs w:val="22"/>
        </w:rPr>
      </w:pPr>
    </w:p>
    <w:p w14:paraId="0C816B84" w14:textId="13F7E230" w:rsidR="00204363" w:rsidRPr="00A40816" w:rsidRDefault="008269E6" w:rsidP="00204363">
      <w:pPr>
        <w:rPr>
          <w:b/>
          <w:bCs/>
          <w:sz w:val="28"/>
          <w:szCs w:val="28"/>
        </w:rPr>
      </w:pPr>
      <w:r w:rsidRPr="00CB0D11">
        <w:rPr>
          <w:b/>
          <w:bCs/>
          <w:noProof/>
          <w:sz w:val="22"/>
          <w:szCs w:val="22"/>
        </w:rPr>
        <w:drawing>
          <wp:anchor distT="0" distB="0" distL="114300" distR="114300" simplePos="0" relativeHeight="251658241" behindDoc="0" locked="0" layoutInCell="1" allowOverlap="1" wp14:anchorId="6118FF28" wp14:editId="5A5228D4">
            <wp:simplePos x="0" y="0"/>
            <wp:positionH relativeFrom="column">
              <wp:posOffset>-419100</wp:posOffset>
            </wp:positionH>
            <wp:positionV relativeFrom="paragraph">
              <wp:posOffset>222250</wp:posOffset>
            </wp:positionV>
            <wp:extent cx="6721475" cy="4076700"/>
            <wp:effectExtent l="0" t="0" r="3175" b="0"/>
            <wp:wrapTopAndBottom/>
            <wp:docPr id="1758905605" name="Picture 1" descr="Timelinemof Navigating the Health Care Continuum explained n the key metrics outlined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05605" name="Picture 1" descr="Timelinemof Navigating the Health Care Continuum explained n the key metrics outlined below the image."/>
                    <pic:cNvPicPr/>
                  </pic:nvPicPr>
                  <pic:blipFill rotWithShape="1">
                    <a:blip r:embed="rId11">
                      <a:extLst>
                        <a:ext uri="{28A0092B-C50C-407E-A947-70E740481C1C}">
                          <a14:useLocalDpi xmlns:a14="http://schemas.microsoft.com/office/drawing/2010/main" val="0"/>
                        </a:ext>
                      </a:extLst>
                    </a:blip>
                    <a:srcRect l="2929" r="3615"/>
                    <a:stretch>
                      <a:fillRect/>
                    </a:stretch>
                  </pic:blipFill>
                  <pic:spPr bwMode="auto">
                    <a:xfrm>
                      <a:off x="0" y="0"/>
                      <a:ext cx="6721475" cy="407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4363" w:rsidRPr="00A40816">
        <w:rPr>
          <w:b/>
          <w:bCs/>
          <w:sz w:val="28"/>
          <w:szCs w:val="28"/>
        </w:rPr>
        <w:t>Navigating the Health Care Continuum</w:t>
      </w:r>
    </w:p>
    <w:p w14:paraId="0D34371F" w14:textId="68976B2F" w:rsidR="00204363" w:rsidRDefault="00204363" w:rsidP="005F7547">
      <w:pPr>
        <w:rPr>
          <w:b/>
          <w:bCs/>
          <w:sz w:val="22"/>
          <w:szCs w:val="22"/>
        </w:rPr>
      </w:pPr>
    </w:p>
    <w:p w14:paraId="32D21BD7" w14:textId="1C97F8E5" w:rsidR="005F7547" w:rsidRPr="00A94639" w:rsidRDefault="005F7547" w:rsidP="005F7547">
      <w:pPr>
        <w:rPr>
          <w:b/>
          <w:bCs/>
          <w:sz w:val="22"/>
          <w:szCs w:val="22"/>
        </w:rPr>
      </w:pPr>
      <w:r w:rsidRPr="00A94639">
        <w:rPr>
          <w:b/>
          <w:bCs/>
          <w:sz w:val="22"/>
          <w:szCs w:val="22"/>
        </w:rPr>
        <w:t>Key Metrics:</w:t>
      </w:r>
    </w:p>
    <w:p w14:paraId="54A0428E" w14:textId="710957F8" w:rsidR="00271CB9" w:rsidRPr="007B7E0A" w:rsidRDefault="00B121FB" w:rsidP="00271CB9">
      <w:pPr>
        <w:pStyle w:val="ListParagraph"/>
        <w:numPr>
          <w:ilvl w:val="0"/>
          <w:numId w:val="23"/>
        </w:numPr>
        <w:rPr>
          <w:sz w:val="22"/>
          <w:szCs w:val="22"/>
        </w:rPr>
      </w:pPr>
      <w:r w:rsidRPr="007B7E0A">
        <w:rPr>
          <w:sz w:val="22"/>
          <w:szCs w:val="22"/>
        </w:rPr>
        <w:t xml:space="preserve">Massachusetts acute care hospitals oversee approximately </w:t>
      </w:r>
      <w:r w:rsidR="00A57A43" w:rsidRPr="007B7E0A">
        <w:rPr>
          <w:sz w:val="22"/>
          <w:szCs w:val="22"/>
        </w:rPr>
        <w:t>740,000 – 800,000</w:t>
      </w:r>
      <w:r w:rsidR="001477A2" w:rsidRPr="007B7E0A">
        <w:rPr>
          <w:sz w:val="22"/>
          <w:szCs w:val="22"/>
        </w:rPr>
        <w:t xml:space="preserve"> </w:t>
      </w:r>
      <w:r w:rsidRPr="007B7E0A">
        <w:rPr>
          <w:sz w:val="22"/>
          <w:szCs w:val="22"/>
        </w:rPr>
        <w:t>inpatient discharges annually, based on CHIA data through federal fiscal year (</w:t>
      </w:r>
      <w:r w:rsidR="001477A2" w:rsidRPr="007B7E0A">
        <w:rPr>
          <w:sz w:val="22"/>
          <w:szCs w:val="22"/>
        </w:rPr>
        <w:t>CY</w:t>
      </w:r>
      <w:r w:rsidRPr="007B7E0A">
        <w:rPr>
          <w:sz w:val="22"/>
          <w:szCs w:val="22"/>
        </w:rPr>
        <w:t>) 202</w:t>
      </w:r>
      <w:r w:rsidR="001477A2" w:rsidRPr="007B7E0A">
        <w:rPr>
          <w:sz w:val="22"/>
          <w:szCs w:val="22"/>
        </w:rPr>
        <w:t>3</w:t>
      </w:r>
      <w:r w:rsidR="00884954">
        <w:rPr>
          <w:sz w:val="22"/>
          <w:szCs w:val="22"/>
        </w:rPr>
        <w:t>.</w:t>
      </w:r>
      <w:r w:rsidR="00C47AE8" w:rsidRPr="007B7E0A">
        <w:rPr>
          <w:rStyle w:val="FootnoteReference"/>
          <w:sz w:val="22"/>
          <w:szCs w:val="22"/>
        </w:rPr>
        <w:footnoteReference w:id="3"/>
      </w:r>
    </w:p>
    <w:p w14:paraId="0E005018" w14:textId="2919814C" w:rsidR="00271CB9" w:rsidRPr="007B7E0A" w:rsidRDefault="00B60635" w:rsidP="00271CB9">
      <w:pPr>
        <w:pStyle w:val="ListParagraph"/>
        <w:numPr>
          <w:ilvl w:val="0"/>
          <w:numId w:val="23"/>
        </w:numPr>
        <w:rPr>
          <w:sz w:val="22"/>
          <w:szCs w:val="22"/>
        </w:rPr>
      </w:pPr>
      <w:r w:rsidRPr="007B7E0A">
        <w:rPr>
          <w:sz w:val="22"/>
          <w:szCs w:val="22"/>
        </w:rPr>
        <w:t>On average, more than 2,000 patients statewide remain hospitalized each day despite being medically ready for discharge</w:t>
      </w:r>
      <w:r w:rsidR="000B5599">
        <w:rPr>
          <w:sz w:val="22"/>
          <w:szCs w:val="22"/>
        </w:rPr>
        <w:t>.</w:t>
      </w:r>
      <w:r w:rsidR="008A04EC" w:rsidRPr="007B7E0A">
        <w:rPr>
          <w:rStyle w:val="FootnoteReference"/>
          <w:sz w:val="22"/>
          <w:szCs w:val="22"/>
        </w:rPr>
        <w:footnoteReference w:id="4"/>
      </w:r>
    </w:p>
    <w:p w14:paraId="2EB5C91F" w14:textId="3301C9DF" w:rsidR="00A40E48" w:rsidRPr="007B7E0A" w:rsidRDefault="00A40E48" w:rsidP="00271CB9">
      <w:pPr>
        <w:pStyle w:val="ListParagraph"/>
        <w:numPr>
          <w:ilvl w:val="0"/>
          <w:numId w:val="23"/>
        </w:numPr>
        <w:rPr>
          <w:sz w:val="22"/>
          <w:szCs w:val="22"/>
        </w:rPr>
      </w:pPr>
      <w:r w:rsidRPr="007B7E0A">
        <w:rPr>
          <w:sz w:val="22"/>
          <w:szCs w:val="22"/>
        </w:rPr>
        <w:t>Some patients experience discharge delays exceeding 30 days, particularly those with complex medical, behavioral, or social needs.</w:t>
      </w:r>
      <w:r w:rsidR="00DE0893">
        <w:rPr>
          <w:sz w:val="22"/>
          <w:szCs w:val="22"/>
        </w:rPr>
        <w:t xml:space="preserve"> </w:t>
      </w:r>
      <w:r w:rsidR="003E7B01">
        <w:rPr>
          <w:sz w:val="22"/>
          <w:szCs w:val="22"/>
        </w:rPr>
        <w:t xml:space="preserve">Based on recent </w:t>
      </w:r>
      <w:r w:rsidR="00DE2A58">
        <w:rPr>
          <w:sz w:val="22"/>
          <w:szCs w:val="22"/>
        </w:rPr>
        <w:t>C</w:t>
      </w:r>
      <w:r w:rsidR="003E7B01">
        <w:rPr>
          <w:sz w:val="22"/>
          <w:szCs w:val="22"/>
        </w:rPr>
        <w:t xml:space="preserve">HIA data, </w:t>
      </w:r>
      <w:r w:rsidR="00176DA7">
        <w:rPr>
          <w:sz w:val="22"/>
          <w:szCs w:val="22"/>
        </w:rPr>
        <w:t>9%</w:t>
      </w:r>
      <w:r w:rsidR="00C46CF8">
        <w:rPr>
          <w:sz w:val="22"/>
          <w:szCs w:val="22"/>
        </w:rPr>
        <w:t xml:space="preserve"> </w:t>
      </w:r>
      <w:r w:rsidR="00DE0893">
        <w:rPr>
          <w:sz w:val="22"/>
          <w:szCs w:val="22"/>
        </w:rPr>
        <w:t xml:space="preserve">of </w:t>
      </w:r>
      <w:r w:rsidR="002A48B9">
        <w:rPr>
          <w:sz w:val="22"/>
          <w:szCs w:val="22"/>
        </w:rPr>
        <w:t xml:space="preserve">patients’ </w:t>
      </w:r>
      <w:r w:rsidR="002A48B9">
        <w:rPr>
          <w:sz w:val="22"/>
          <w:szCs w:val="22"/>
        </w:rPr>
        <w:lastRenderedPageBreak/>
        <w:t xml:space="preserve">stays </w:t>
      </w:r>
      <w:r w:rsidR="008E5693">
        <w:rPr>
          <w:sz w:val="22"/>
          <w:szCs w:val="22"/>
        </w:rPr>
        <w:t>la</w:t>
      </w:r>
      <w:r w:rsidR="00DE0893">
        <w:rPr>
          <w:sz w:val="22"/>
          <w:szCs w:val="22"/>
        </w:rPr>
        <w:t>s</w:t>
      </w:r>
      <w:r w:rsidR="00C46CF8">
        <w:rPr>
          <w:sz w:val="22"/>
          <w:szCs w:val="22"/>
        </w:rPr>
        <w:t xml:space="preserve">ted </w:t>
      </w:r>
      <w:r w:rsidR="008E5693">
        <w:rPr>
          <w:sz w:val="22"/>
          <w:szCs w:val="22"/>
        </w:rPr>
        <w:t>30 days or more</w:t>
      </w:r>
      <w:r w:rsidR="0049594A">
        <w:rPr>
          <w:sz w:val="22"/>
          <w:szCs w:val="22"/>
        </w:rPr>
        <w:t xml:space="preserve"> and 2% las</w:t>
      </w:r>
      <w:r w:rsidR="00C46CF8">
        <w:rPr>
          <w:sz w:val="22"/>
          <w:szCs w:val="22"/>
        </w:rPr>
        <w:t xml:space="preserve">ted </w:t>
      </w:r>
      <w:r w:rsidR="0049594A">
        <w:rPr>
          <w:sz w:val="22"/>
          <w:szCs w:val="22"/>
        </w:rPr>
        <w:t>120 days or mor</w:t>
      </w:r>
      <w:r w:rsidR="007F0B9F">
        <w:rPr>
          <w:sz w:val="22"/>
          <w:szCs w:val="22"/>
        </w:rPr>
        <w:t>e (double the comparable data in 2017)</w:t>
      </w:r>
      <w:r w:rsidR="00DE0893">
        <w:rPr>
          <w:sz w:val="22"/>
          <w:szCs w:val="22"/>
        </w:rPr>
        <w:t>.</w:t>
      </w:r>
      <w:r w:rsidR="00DE0893">
        <w:rPr>
          <w:rStyle w:val="FootnoteReference"/>
          <w:sz w:val="22"/>
          <w:szCs w:val="22"/>
        </w:rPr>
        <w:footnoteReference w:id="5"/>
      </w:r>
    </w:p>
    <w:p w14:paraId="4DFD27E7" w14:textId="0619FCAF" w:rsidR="007010A6" w:rsidRPr="007B7E0A" w:rsidRDefault="007010A6" w:rsidP="00271CB9">
      <w:pPr>
        <w:pStyle w:val="ListParagraph"/>
        <w:numPr>
          <w:ilvl w:val="0"/>
          <w:numId w:val="23"/>
        </w:numPr>
        <w:rPr>
          <w:sz w:val="22"/>
          <w:szCs w:val="22"/>
        </w:rPr>
      </w:pPr>
      <w:r w:rsidRPr="007B7E0A">
        <w:rPr>
          <w:sz w:val="22"/>
          <w:szCs w:val="22"/>
        </w:rPr>
        <w:t>Delays disproportionately affect individuals with</w:t>
      </w:r>
      <w:r w:rsidR="00FA36BC">
        <w:rPr>
          <w:sz w:val="22"/>
          <w:szCs w:val="22"/>
        </w:rPr>
        <w:t xml:space="preserve"> complex care needs</w:t>
      </w:r>
      <w:r w:rsidR="009E6BAA">
        <w:rPr>
          <w:sz w:val="22"/>
          <w:szCs w:val="22"/>
        </w:rPr>
        <w:t xml:space="preserve">, </w:t>
      </w:r>
      <w:r w:rsidRPr="007B7E0A">
        <w:rPr>
          <w:sz w:val="22"/>
          <w:szCs w:val="22"/>
        </w:rPr>
        <w:t>behavioral health needs, dementia, substance use disorders, housing instability, justice involvement, or end-of-life care requirements</w:t>
      </w:r>
      <w:r w:rsidR="007E75DC" w:rsidRPr="007B7E0A">
        <w:rPr>
          <w:sz w:val="22"/>
          <w:szCs w:val="22"/>
        </w:rPr>
        <w:t>.</w:t>
      </w:r>
      <w:r w:rsidR="00FA36BC">
        <w:rPr>
          <w:sz w:val="22"/>
          <w:szCs w:val="22"/>
        </w:rPr>
        <w:t xml:space="preserve"> For example, of the 9% of patients’ stays that lasted 30+ days, </w:t>
      </w:r>
      <w:r w:rsidR="00FA36BC" w:rsidRPr="00A11214">
        <w:rPr>
          <w:sz w:val="22"/>
          <w:szCs w:val="22"/>
        </w:rPr>
        <w:t xml:space="preserve">3 of the 5 most common conditions </w:t>
      </w:r>
      <w:r w:rsidR="00FA36BC">
        <w:rPr>
          <w:sz w:val="22"/>
          <w:szCs w:val="22"/>
        </w:rPr>
        <w:t xml:space="preserve">impacting those stays </w:t>
      </w:r>
      <w:r w:rsidR="00FA36BC" w:rsidRPr="00A11214">
        <w:rPr>
          <w:sz w:val="22"/>
          <w:szCs w:val="22"/>
        </w:rPr>
        <w:t>were mental health-related</w:t>
      </w:r>
      <w:r w:rsidR="00A11214" w:rsidRPr="00A11214">
        <w:rPr>
          <w:sz w:val="22"/>
          <w:szCs w:val="22"/>
        </w:rPr>
        <w:t>.</w:t>
      </w:r>
    </w:p>
    <w:p w14:paraId="3A9F2498" w14:textId="3C2521ED" w:rsidR="00B121FB" w:rsidRDefault="00271CB9" w:rsidP="00E13831">
      <w:pPr>
        <w:pStyle w:val="ListParagraph"/>
        <w:numPr>
          <w:ilvl w:val="0"/>
          <w:numId w:val="23"/>
        </w:numPr>
        <w:rPr>
          <w:sz w:val="22"/>
          <w:szCs w:val="22"/>
        </w:rPr>
      </w:pPr>
      <w:r w:rsidRPr="00E13831">
        <w:rPr>
          <w:sz w:val="22"/>
          <w:szCs w:val="22"/>
        </w:rPr>
        <w:t>The problem is multi-facete</w:t>
      </w:r>
      <w:r w:rsidR="001F4795" w:rsidRPr="007B7E0A">
        <w:rPr>
          <w:sz w:val="22"/>
          <w:szCs w:val="22"/>
        </w:rPr>
        <w:t>d</w:t>
      </w:r>
      <w:r w:rsidRPr="00126ED0">
        <w:rPr>
          <w:sz w:val="22"/>
          <w:szCs w:val="22"/>
        </w:rPr>
        <w:t xml:space="preserve"> </w:t>
      </w:r>
      <w:r w:rsidR="008D095A" w:rsidRPr="007B7E0A">
        <w:rPr>
          <w:sz w:val="22"/>
          <w:szCs w:val="22"/>
        </w:rPr>
        <w:t xml:space="preserve">and often </w:t>
      </w:r>
      <w:r w:rsidR="001F4795" w:rsidRPr="007B7E0A">
        <w:rPr>
          <w:sz w:val="22"/>
          <w:szCs w:val="22"/>
        </w:rPr>
        <w:t>driven</w:t>
      </w:r>
      <w:r w:rsidR="008D095A" w:rsidRPr="007B7E0A">
        <w:rPr>
          <w:sz w:val="22"/>
          <w:szCs w:val="22"/>
        </w:rPr>
        <w:t xml:space="preserve"> by one or more of the following:</w:t>
      </w:r>
      <w:r w:rsidRPr="00126ED0">
        <w:rPr>
          <w:sz w:val="22"/>
          <w:szCs w:val="22"/>
        </w:rPr>
        <w:t xml:space="preserve"> </w:t>
      </w:r>
      <w:r w:rsidR="00F90F63" w:rsidRPr="007B7E0A">
        <w:rPr>
          <w:sz w:val="22"/>
          <w:szCs w:val="22"/>
        </w:rPr>
        <w:t xml:space="preserve">legal and decision-making challenges, post-acute care capacity </w:t>
      </w:r>
      <w:r w:rsidR="00F77576" w:rsidRPr="007B7E0A">
        <w:rPr>
          <w:sz w:val="22"/>
          <w:szCs w:val="22"/>
        </w:rPr>
        <w:t>constraints</w:t>
      </w:r>
      <w:r w:rsidR="00F90F63" w:rsidRPr="007B7E0A">
        <w:rPr>
          <w:sz w:val="22"/>
          <w:szCs w:val="22"/>
        </w:rPr>
        <w:t xml:space="preserve">, payer-related </w:t>
      </w:r>
      <w:r w:rsidR="006C21CF" w:rsidRPr="007B7E0A">
        <w:rPr>
          <w:sz w:val="22"/>
          <w:szCs w:val="22"/>
        </w:rPr>
        <w:t>complexities</w:t>
      </w:r>
      <w:r w:rsidR="00F90F63" w:rsidRPr="007B7E0A">
        <w:rPr>
          <w:sz w:val="22"/>
          <w:szCs w:val="22"/>
        </w:rPr>
        <w:t>, fragmented care coordination, complex needs, and non-emergency transportation challenges.</w:t>
      </w:r>
    </w:p>
    <w:p w14:paraId="4888F20E" w14:textId="7266E5CD" w:rsidR="00401C08" w:rsidRPr="00126ED0" w:rsidRDefault="00401C08" w:rsidP="00F27319">
      <w:pPr>
        <w:rPr>
          <w:sz w:val="22"/>
          <w:szCs w:val="22"/>
        </w:rPr>
      </w:pPr>
    </w:p>
    <w:p w14:paraId="18F18BF4" w14:textId="77777777" w:rsidR="008269E6" w:rsidRDefault="008269E6">
      <w:pPr>
        <w:rPr>
          <w:rFonts w:eastAsiaTheme="majorEastAsia" w:cstheme="majorBidi"/>
          <w:color w:val="0F4761" w:themeColor="accent1" w:themeShade="BF"/>
          <w:sz w:val="28"/>
          <w:szCs w:val="28"/>
        </w:rPr>
      </w:pPr>
      <w:bookmarkStart w:id="2" w:name="_Toc202276024"/>
      <w:r>
        <w:br w:type="page"/>
      </w:r>
    </w:p>
    <w:p w14:paraId="05B8092A" w14:textId="78B027BE" w:rsidR="00355FC2" w:rsidRPr="007B7E0A" w:rsidRDefault="00601799" w:rsidP="009C2DEC">
      <w:pPr>
        <w:pStyle w:val="Heading3"/>
        <w:spacing w:before="0" w:after="120" w:line="240" w:lineRule="auto"/>
      </w:pPr>
      <w:r w:rsidRPr="007B7E0A">
        <w:lastRenderedPageBreak/>
        <w:t>I</w:t>
      </w:r>
      <w:r w:rsidR="007267AC">
        <w:t>II</w:t>
      </w:r>
      <w:r w:rsidR="00355FC2" w:rsidRPr="007B7E0A">
        <w:t>. The Challenge: Bottlenecks Across the Continuum</w:t>
      </w:r>
      <w:bookmarkEnd w:id="2"/>
    </w:p>
    <w:p w14:paraId="15890AB1" w14:textId="16329503" w:rsidR="00ED2DD4" w:rsidRPr="007B7E0A" w:rsidRDefault="00ED2DD4" w:rsidP="009C2DEC">
      <w:pPr>
        <w:spacing w:after="120" w:line="240" w:lineRule="auto"/>
        <w:rPr>
          <w:sz w:val="22"/>
          <w:szCs w:val="22"/>
        </w:rPr>
      </w:pPr>
      <w:r w:rsidRPr="007B7E0A">
        <w:rPr>
          <w:sz w:val="22"/>
          <w:szCs w:val="22"/>
        </w:rPr>
        <w:t xml:space="preserve">Hospitals across Massachusetts are experiencing challenges discharging patients who are medically ready to transition to post-acute care (PAC) settings. </w:t>
      </w:r>
      <w:r w:rsidR="00C855EE" w:rsidRPr="007B7E0A">
        <w:rPr>
          <w:sz w:val="22"/>
          <w:szCs w:val="22"/>
        </w:rPr>
        <w:t>These delays contribute to hospital crowding and suboptimal care transitions, underscoring the need for better coordination, infrastructure, and system accountability. Key barriers include:</w:t>
      </w:r>
    </w:p>
    <w:p w14:paraId="55A25812" w14:textId="4429E4DE" w:rsidR="00355FC2" w:rsidRPr="007B7E0A" w:rsidRDefault="00355FC2" w:rsidP="009C2DEC">
      <w:pPr>
        <w:spacing w:after="120" w:line="240" w:lineRule="auto"/>
        <w:rPr>
          <w:b/>
          <w:bCs/>
          <w:sz w:val="22"/>
          <w:szCs w:val="22"/>
        </w:rPr>
      </w:pPr>
      <w:r w:rsidRPr="007B7E0A">
        <w:rPr>
          <w:b/>
          <w:bCs/>
          <w:sz w:val="22"/>
          <w:szCs w:val="22"/>
        </w:rPr>
        <w:t>1. Legal and Decision-Making Barriers</w:t>
      </w:r>
    </w:p>
    <w:p w14:paraId="2844AA78" w14:textId="1A1B7C25" w:rsidR="00C855EE" w:rsidRPr="007B7E0A" w:rsidRDefault="00C855EE" w:rsidP="009C2DEC">
      <w:pPr>
        <w:spacing w:after="120" w:line="240" w:lineRule="auto"/>
        <w:rPr>
          <w:sz w:val="22"/>
          <w:szCs w:val="22"/>
        </w:rPr>
      </w:pPr>
      <w:r w:rsidRPr="007B7E0A">
        <w:rPr>
          <w:sz w:val="22"/>
          <w:szCs w:val="22"/>
        </w:rPr>
        <w:t xml:space="preserve">Many patients lack a legally authorized decision-maker—such as a Health Care Proxy (HCP) or other advance directive—which can delay care planning and discharge. When no proxy is available or activated, hospitals must often pursue time-consuming guardianship proceedings that vary by county. Additionally, the lack of a statutory "next of kin" surrogate decision-making </w:t>
      </w:r>
      <w:r w:rsidR="00556ABA">
        <w:rPr>
          <w:sz w:val="22"/>
          <w:szCs w:val="22"/>
        </w:rPr>
        <w:t xml:space="preserve">authority and supported decision-making authority </w:t>
      </w:r>
      <w:r w:rsidRPr="007B7E0A">
        <w:rPr>
          <w:sz w:val="22"/>
          <w:szCs w:val="22"/>
        </w:rPr>
        <w:t>compound these delays.</w:t>
      </w:r>
    </w:p>
    <w:p w14:paraId="0139F7CC" w14:textId="1E6F20A9" w:rsidR="00355FC2" w:rsidRPr="007B7E0A" w:rsidRDefault="00355FC2" w:rsidP="009C2DEC">
      <w:pPr>
        <w:spacing w:after="120" w:line="240" w:lineRule="auto"/>
        <w:rPr>
          <w:b/>
          <w:bCs/>
          <w:sz w:val="22"/>
          <w:szCs w:val="22"/>
        </w:rPr>
      </w:pPr>
      <w:r w:rsidRPr="007B7E0A">
        <w:rPr>
          <w:b/>
          <w:bCs/>
          <w:sz w:val="22"/>
          <w:szCs w:val="22"/>
        </w:rPr>
        <w:t xml:space="preserve">2. </w:t>
      </w:r>
      <w:r w:rsidR="00ED2DD4" w:rsidRPr="007B7E0A">
        <w:rPr>
          <w:b/>
          <w:bCs/>
          <w:sz w:val="22"/>
          <w:szCs w:val="22"/>
        </w:rPr>
        <w:t>Post-Acute Care Capacity Constraints</w:t>
      </w:r>
    </w:p>
    <w:p w14:paraId="3E2911D0" w14:textId="46DC316D" w:rsidR="00ED2DD4" w:rsidRPr="007B7E0A" w:rsidRDefault="00ED2DD4" w:rsidP="009C2DEC">
      <w:pPr>
        <w:spacing w:after="120" w:line="240" w:lineRule="auto"/>
        <w:rPr>
          <w:sz w:val="22"/>
          <w:szCs w:val="22"/>
        </w:rPr>
      </w:pPr>
      <w:r w:rsidRPr="007B7E0A">
        <w:rPr>
          <w:sz w:val="22"/>
          <w:szCs w:val="22"/>
        </w:rPr>
        <w:t xml:space="preserve">More than 2,000 individuals remain in acute settings daily despite being clinically ready for discharge, with some waiting over 30 days. </w:t>
      </w:r>
      <w:r w:rsidR="00C855EE" w:rsidRPr="007B7E0A">
        <w:rPr>
          <w:sz w:val="22"/>
          <w:szCs w:val="22"/>
        </w:rPr>
        <w:t>Delays stem from workforce shortages in SNFs and HCBS settings, lack of weekend and off-hour discharge readiness, limited availability for patients with complex needs (e.g., high-acuity rehab, co-occurring behavioral and medical conditions</w:t>
      </w:r>
      <w:r w:rsidR="00333280" w:rsidRPr="007B7E0A">
        <w:rPr>
          <w:sz w:val="22"/>
          <w:szCs w:val="22"/>
        </w:rPr>
        <w:t>,</w:t>
      </w:r>
      <w:r w:rsidR="00B54925" w:rsidRPr="007B7E0A">
        <w:rPr>
          <w:sz w:val="22"/>
          <w:szCs w:val="22"/>
        </w:rPr>
        <w:t xml:space="preserve"> insurance complexity, coverage variability</w:t>
      </w:r>
      <w:r w:rsidR="00C855EE" w:rsidRPr="007B7E0A">
        <w:rPr>
          <w:sz w:val="22"/>
          <w:szCs w:val="22"/>
        </w:rPr>
        <w:t>), and the need for more flexible service models such as Hospital-at-Home</w:t>
      </w:r>
      <w:r w:rsidR="005B2AA7" w:rsidRPr="007B7E0A">
        <w:rPr>
          <w:sz w:val="22"/>
          <w:szCs w:val="22"/>
        </w:rPr>
        <w:t>, mobile integrated health, remote patient monitoring</w:t>
      </w:r>
      <w:r w:rsidR="00236EC6">
        <w:rPr>
          <w:sz w:val="22"/>
          <w:szCs w:val="22"/>
        </w:rPr>
        <w:t>, telehealth,</w:t>
      </w:r>
      <w:r w:rsidR="00C855EE" w:rsidRPr="007B7E0A">
        <w:rPr>
          <w:sz w:val="22"/>
          <w:szCs w:val="22"/>
        </w:rPr>
        <w:t xml:space="preserve"> or co-located care options.</w:t>
      </w:r>
    </w:p>
    <w:p w14:paraId="6F4DDF4E" w14:textId="46E87E09" w:rsidR="00355FC2" w:rsidRPr="007B7E0A" w:rsidRDefault="00355FC2" w:rsidP="009C2DEC">
      <w:pPr>
        <w:spacing w:after="120" w:line="240" w:lineRule="auto"/>
        <w:rPr>
          <w:b/>
          <w:bCs/>
          <w:sz w:val="22"/>
          <w:szCs w:val="22"/>
        </w:rPr>
      </w:pPr>
      <w:r w:rsidRPr="007B7E0A">
        <w:rPr>
          <w:b/>
          <w:bCs/>
          <w:sz w:val="22"/>
          <w:szCs w:val="22"/>
        </w:rPr>
        <w:t xml:space="preserve">3. </w:t>
      </w:r>
      <w:r w:rsidR="00ED2DD4" w:rsidRPr="007B7E0A">
        <w:rPr>
          <w:b/>
          <w:bCs/>
          <w:sz w:val="22"/>
          <w:szCs w:val="22"/>
        </w:rPr>
        <w:t>Payer and Coverage Complexities</w:t>
      </w:r>
    </w:p>
    <w:p w14:paraId="54C6250B" w14:textId="75AD3071" w:rsidR="00C855EE" w:rsidRPr="007B7E0A" w:rsidRDefault="00C855EE" w:rsidP="009C2DEC">
      <w:pPr>
        <w:spacing w:after="120" w:line="240" w:lineRule="auto"/>
        <w:rPr>
          <w:sz w:val="22"/>
          <w:szCs w:val="22"/>
        </w:rPr>
      </w:pPr>
      <w:r w:rsidRPr="007B7E0A">
        <w:rPr>
          <w:sz w:val="22"/>
          <w:szCs w:val="22"/>
        </w:rPr>
        <w:t xml:space="preserve">Discharge delays are also driven by payer-related challenges, including </w:t>
      </w:r>
      <w:r w:rsidR="005B2AA7" w:rsidRPr="007B7E0A">
        <w:rPr>
          <w:sz w:val="22"/>
          <w:szCs w:val="22"/>
        </w:rPr>
        <w:t>the</w:t>
      </w:r>
      <w:r w:rsidRPr="007B7E0A">
        <w:rPr>
          <w:sz w:val="22"/>
          <w:szCs w:val="22"/>
        </w:rPr>
        <w:t xml:space="preserve"> administrative burden associated with prior authorizations, difficulties arranging timely out-of-network placements</w:t>
      </w:r>
      <w:r w:rsidR="006C3C2A" w:rsidRPr="007B7E0A">
        <w:rPr>
          <w:sz w:val="22"/>
          <w:szCs w:val="22"/>
        </w:rPr>
        <w:t xml:space="preserve">, and issues </w:t>
      </w:r>
      <w:r w:rsidR="007C547F" w:rsidRPr="007B7E0A">
        <w:rPr>
          <w:sz w:val="22"/>
          <w:szCs w:val="22"/>
        </w:rPr>
        <w:t xml:space="preserve">related to </w:t>
      </w:r>
      <w:r w:rsidR="006C3C2A" w:rsidRPr="007B7E0A">
        <w:rPr>
          <w:sz w:val="22"/>
          <w:szCs w:val="22"/>
        </w:rPr>
        <w:t xml:space="preserve">Medicaid long-term care (LTC) eligibility </w:t>
      </w:r>
      <w:r w:rsidR="00DD3CA6" w:rsidRPr="007B7E0A">
        <w:rPr>
          <w:sz w:val="22"/>
          <w:szCs w:val="22"/>
        </w:rPr>
        <w:t>processing</w:t>
      </w:r>
      <w:r w:rsidRPr="007B7E0A">
        <w:rPr>
          <w:sz w:val="22"/>
          <w:szCs w:val="22"/>
        </w:rPr>
        <w:t>. Chapter 197 (2024) includes many important provisions aimed at addressing these challenges, and the Task Force identif</w:t>
      </w:r>
      <w:r w:rsidR="005B2AA7" w:rsidRPr="007B7E0A">
        <w:rPr>
          <w:sz w:val="22"/>
          <w:szCs w:val="22"/>
        </w:rPr>
        <w:t>ied</w:t>
      </w:r>
      <w:r w:rsidRPr="007B7E0A">
        <w:rPr>
          <w:sz w:val="22"/>
          <w:szCs w:val="22"/>
        </w:rPr>
        <w:t xml:space="preserve"> other possible recommendations that could further mitigate challenges.</w:t>
      </w:r>
    </w:p>
    <w:p w14:paraId="5B534CC8" w14:textId="5DEB38D6" w:rsidR="00355FC2" w:rsidRPr="007B7E0A" w:rsidRDefault="00355FC2" w:rsidP="009C2DEC">
      <w:pPr>
        <w:spacing w:after="120" w:line="240" w:lineRule="auto"/>
        <w:rPr>
          <w:b/>
          <w:bCs/>
          <w:sz w:val="22"/>
          <w:szCs w:val="22"/>
        </w:rPr>
      </w:pPr>
      <w:r w:rsidRPr="007B7E0A">
        <w:rPr>
          <w:b/>
          <w:bCs/>
          <w:sz w:val="22"/>
          <w:szCs w:val="22"/>
        </w:rPr>
        <w:t xml:space="preserve">4. </w:t>
      </w:r>
      <w:r w:rsidR="00ED2DD4" w:rsidRPr="007B7E0A">
        <w:rPr>
          <w:b/>
          <w:bCs/>
          <w:sz w:val="22"/>
          <w:szCs w:val="22"/>
        </w:rPr>
        <w:t>Fragmentation Across the Care Continuum</w:t>
      </w:r>
    </w:p>
    <w:p w14:paraId="62478710" w14:textId="7B11079A" w:rsidR="00ED2DD4" w:rsidRPr="007B7E0A" w:rsidRDefault="00ED2DD4" w:rsidP="009C2DEC">
      <w:pPr>
        <w:spacing w:after="120" w:line="240" w:lineRule="auto"/>
        <w:rPr>
          <w:sz w:val="22"/>
          <w:szCs w:val="22"/>
        </w:rPr>
      </w:pPr>
      <w:r w:rsidRPr="007B7E0A">
        <w:rPr>
          <w:sz w:val="22"/>
          <w:szCs w:val="22"/>
        </w:rPr>
        <w:t xml:space="preserve">Transitions between hospitals, SNFs, and </w:t>
      </w:r>
      <w:r w:rsidR="00C855EE" w:rsidRPr="007B7E0A">
        <w:rPr>
          <w:sz w:val="22"/>
          <w:szCs w:val="22"/>
        </w:rPr>
        <w:t>home- and community-based</w:t>
      </w:r>
      <w:r w:rsidRPr="007B7E0A">
        <w:rPr>
          <w:sz w:val="22"/>
          <w:szCs w:val="22"/>
        </w:rPr>
        <w:t xml:space="preserve"> providers</w:t>
      </w:r>
      <w:r w:rsidR="00C855EE" w:rsidRPr="007B7E0A">
        <w:rPr>
          <w:sz w:val="22"/>
          <w:szCs w:val="22"/>
        </w:rPr>
        <w:t>, and</w:t>
      </w:r>
      <w:r w:rsidRPr="007B7E0A">
        <w:rPr>
          <w:sz w:val="22"/>
          <w:szCs w:val="22"/>
        </w:rPr>
        <w:t xml:space="preserve"> </w:t>
      </w:r>
      <w:r w:rsidR="00C855EE" w:rsidRPr="007B7E0A">
        <w:rPr>
          <w:sz w:val="22"/>
          <w:szCs w:val="22"/>
        </w:rPr>
        <w:t xml:space="preserve">other post-acute settings </w:t>
      </w:r>
      <w:r w:rsidRPr="007B7E0A">
        <w:rPr>
          <w:sz w:val="22"/>
          <w:szCs w:val="22"/>
        </w:rPr>
        <w:t xml:space="preserve">are often </w:t>
      </w:r>
      <w:r w:rsidR="00C855EE" w:rsidRPr="007B7E0A">
        <w:rPr>
          <w:sz w:val="22"/>
          <w:szCs w:val="22"/>
        </w:rPr>
        <w:t>hindered by p</w:t>
      </w:r>
      <w:r w:rsidRPr="007B7E0A">
        <w:rPr>
          <w:sz w:val="22"/>
          <w:szCs w:val="22"/>
        </w:rPr>
        <w:t xml:space="preserve">rogram variability, lack of standardized tools, </w:t>
      </w:r>
      <w:r w:rsidR="002F0722" w:rsidRPr="007B7E0A">
        <w:rPr>
          <w:sz w:val="22"/>
          <w:szCs w:val="22"/>
        </w:rPr>
        <w:t xml:space="preserve">insurance complexity, coverage variability </w:t>
      </w:r>
      <w:r w:rsidRPr="007B7E0A">
        <w:rPr>
          <w:sz w:val="22"/>
          <w:szCs w:val="22"/>
        </w:rPr>
        <w:t xml:space="preserve">and unclear roles in discharge planning </w:t>
      </w:r>
      <w:r w:rsidR="002F0722" w:rsidRPr="007B7E0A">
        <w:rPr>
          <w:sz w:val="22"/>
          <w:szCs w:val="22"/>
        </w:rPr>
        <w:t>creating</w:t>
      </w:r>
      <w:r w:rsidRPr="007B7E0A">
        <w:rPr>
          <w:sz w:val="22"/>
          <w:szCs w:val="22"/>
        </w:rPr>
        <w:t xml:space="preserve"> confusion and inefficiencies.</w:t>
      </w:r>
    </w:p>
    <w:p w14:paraId="3C5FAFAE" w14:textId="645AE5A6" w:rsidR="00355FC2" w:rsidRPr="007B7E0A" w:rsidRDefault="00355FC2" w:rsidP="009C2DEC">
      <w:pPr>
        <w:spacing w:after="120" w:line="240" w:lineRule="auto"/>
        <w:rPr>
          <w:b/>
          <w:bCs/>
          <w:sz w:val="22"/>
          <w:szCs w:val="22"/>
        </w:rPr>
      </w:pPr>
      <w:r w:rsidRPr="007B7E0A">
        <w:rPr>
          <w:b/>
          <w:bCs/>
          <w:sz w:val="22"/>
          <w:szCs w:val="22"/>
        </w:rPr>
        <w:t xml:space="preserve">5. </w:t>
      </w:r>
      <w:r w:rsidR="00ED2DD4" w:rsidRPr="007B7E0A">
        <w:rPr>
          <w:b/>
          <w:bCs/>
          <w:sz w:val="22"/>
          <w:szCs w:val="22"/>
        </w:rPr>
        <w:t>Delays for Individuals with Complex Needs</w:t>
      </w:r>
    </w:p>
    <w:p w14:paraId="68219844" w14:textId="7E55F63D" w:rsidR="00A24B25" w:rsidRPr="007B7E0A" w:rsidRDefault="00ED2DD4" w:rsidP="009C2DEC">
      <w:pPr>
        <w:spacing w:after="120" w:line="240" w:lineRule="auto"/>
        <w:rPr>
          <w:sz w:val="22"/>
          <w:szCs w:val="22"/>
        </w:rPr>
      </w:pPr>
      <w:r w:rsidRPr="007B7E0A">
        <w:rPr>
          <w:sz w:val="22"/>
          <w:szCs w:val="22"/>
        </w:rPr>
        <w:t xml:space="preserve">People experiencing behavioral health needs, homelessness, dementia, or justice involvement face </w:t>
      </w:r>
      <w:r w:rsidR="00C855EE" w:rsidRPr="007B7E0A">
        <w:rPr>
          <w:sz w:val="22"/>
          <w:szCs w:val="22"/>
        </w:rPr>
        <w:t xml:space="preserve">additional obstacles due to limited availability of specialized programs like medical-psychiatric facilities, group living environments, </w:t>
      </w:r>
      <w:r w:rsidR="00170B6C" w:rsidRPr="007B7E0A">
        <w:rPr>
          <w:sz w:val="22"/>
          <w:szCs w:val="22"/>
        </w:rPr>
        <w:t>bariatric equipment and training</w:t>
      </w:r>
      <w:r w:rsidR="00D07A69" w:rsidRPr="007B7E0A">
        <w:rPr>
          <w:sz w:val="22"/>
          <w:szCs w:val="22"/>
        </w:rPr>
        <w:t>,</w:t>
      </w:r>
      <w:r w:rsidR="00170B6C" w:rsidRPr="007B7E0A">
        <w:rPr>
          <w:sz w:val="22"/>
          <w:szCs w:val="22"/>
        </w:rPr>
        <w:t xml:space="preserve"> </w:t>
      </w:r>
      <w:r w:rsidR="00C855EE" w:rsidRPr="007B7E0A">
        <w:rPr>
          <w:sz w:val="22"/>
          <w:szCs w:val="22"/>
        </w:rPr>
        <w:t>and secure post-acute beds. Transportation bottlenecks</w:t>
      </w:r>
      <w:r w:rsidR="00E405E8" w:rsidRPr="007B7E0A">
        <w:rPr>
          <w:sz w:val="22"/>
          <w:szCs w:val="22"/>
        </w:rPr>
        <w:t xml:space="preserve">, </w:t>
      </w:r>
      <w:r w:rsidR="00C855EE" w:rsidRPr="007B7E0A">
        <w:rPr>
          <w:sz w:val="22"/>
          <w:szCs w:val="22"/>
        </w:rPr>
        <w:t>coordination breakdowns</w:t>
      </w:r>
      <w:r w:rsidR="00E405E8" w:rsidRPr="007B7E0A">
        <w:rPr>
          <w:sz w:val="22"/>
          <w:szCs w:val="22"/>
        </w:rPr>
        <w:t xml:space="preserve">, and </w:t>
      </w:r>
      <w:r w:rsidR="00CF1CD3">
        <w:rPr>
          <w:sz w:val="22"/>
          <w:szCs w:val="22"/>
        </w:rPr>
        <w:t>provider</w:t>
      </w:r>
      <w:r w:rsidR="00CF1CD3" w:rsidRPr="007B7E0A">
        <w:rPr>
          <w:sz w:val="22"/>
          <w:szCs w:val="22"/>
        </w:rPr>
        <w:t xml:space="preserve"> </w:t>
      </w:r>
      <w:r w:rsidR="00DB5A90" w:rsidRPr="007B7E0A">
        <w:rPr>
          <w:sz w:val="22"/>
          <w:szCs w:val="22"/>
        </w:rPr>
        <w:t>documentation that may include subjective or stigmatizing language can also contribute</w:t>
      </w:r>
      <w:r w:rsidR="00C855EE" w:rsidRPr="007B7E0A">
        <w:rPr>
          <w:sz w:val="22"/>
          <w:szCs w:val="22"/>
        </w:rPr>
        <w:t xml:space="preserve"> further extend the length of stay.</w:t>
      </w:r>
    </w:p>
    <w:p w14:paraId="5F79531B" w14:textId="2F796431" w:rsidR="00C855EE" w:rsidRPr="007B7E0A" w:rsidRDefault="00C855EE" w:rsidP="009C2DEC">
      <w:pPr>
        <w:spacing w:after="120" w:line="240" w:lineRule="auto"/>
        <w:rPr>
          <w:b/>
          <w:bCs/>
          <w:sz w:val="22"/>
          <w:szCs w:val="22"/>
        </w:rPr>
      </w:pPr>
      <w:r w:rsidRPr="007B7E0A">
        <w:rPr>
          <w:b/>
          <w:bCs/>
          <w:sz w:val="22"/>
          <w:szCs w:val="22"/>
        </w:rPr>
        <w:t>6. Non-Emergency Medical Transportation (NEMT) Arrangements</w:t>
      </w:r>
    </w:p>
    <w:p w14:paraId="1C078502" w14:textId="05AD7F67" w:rsidR="00692DDB" w:rsidRPr="00E452BA" w:rsidRDefault="00C855EE" w:rsidP="00F27319">
      <w:pPr>
        <w:spacing w:after="120" w:line="240" w:lineRule="auto"/>
        <w:rPr>
          <w:rFonts w:eastAsiaTheme="majorEastAsia" w:cstheme="majorBidi"/>
          <w:color w:val="0F4761" w:themeColor="accent1" w:themeShade="BF"/>
          <w:sz w:val="32"/>
          <w:szCs w:val="32"/>
        </w:rPr>
      </w:pPr>
      <w:r w:rsidRPr="007B7E0A">
        <w:rPr>
          <w:sz w:val="22"/>
          <w:szCs w:val="22"/>
        </w:rPr>
        <w:t>Even when a post-acute placement is secured, delays in arranging timely, reliable transportation—especially on weekends</w:t>
      </w:r>
      <w:r w:rsidR="00400077" w:rsidRPr="007B7E0A">
        <w:rPr>
          <w:sz w:val="22"/>
          <w:szCs w:val="22"/>
        </w:rPr>
        <w:t xml:space="preserve"> for behavioral health transfers</w:t>
      </w:r>
      <w:r w:rsidRPr="007B7E0A">
        <w:rPr>
          <w:sz w:val="22"/>
          <w:szCs w:val="22"/>
        </w:rPr>
        <w:t xml:space="preserve"> or for complex transfers—can result in missed discharge windows and prolonged acute</w:t>
      </w:r>
      <w:r w:rsidR="008552E8" w:rsidRPr="007B7E0A">
        <w:rPr>
          <w:sz w:val="22"/>
          <w:szCs w:val="22"/>
        </w:rPr>
        <w:t xml:space="preserve"> care hospital</w:t>
      </w:r>
      <w:r w:rsidRPr="007B7E0A">
        <w:rPr>
          <w:sz w:val="22"/>
          <w:szCs w:val="22"/>
        </w:rPr>
        <w:t xml:space="preserve"> stays. </w:t>
      </w:r>
      <w:r w:rsidR="009C2DEC" w:rsidRPr="007B7E0A">
        <w:rPr>
          <w:sz w:val="22"/>
          <w:szCs w:val="22"/>
        </w:rPr>
        <w:br/>
      </w:r>
    </w:p>
    <w:p w14:paraId="69896BEA" w14:textId="1141BFCB" w:rsidR="00355FC2" w:rsidRPr="00E452BA" w:rsidRDefault="007267AC" w:rsidP="009C2DEC">
      <w:pPr>
        <w:pStyle w:val="Heading2"/>
        <w:spacing w:before="0" w:after="120" w:line="240" w:lineRule="auto"/>
        <w:rPr>
          <w:rFonts w:asciiTheme="minorHAnsi" w:hAnsiTheme="minorHAnsi"/>
        </w:rPr>
      </w:pPr>
      <w:bookmarkStart w:id="3" w:name="_Toc202276025"/>
      <w:r>
        <w:rPr>
          <w:rFonts w:asciiTheme="minorHAnsi" w:hAnsiTheme="minorHAnsi"/>
        </w:rPr>
        <w:lastRenderedPageBreak/>
        <w:t>I</w:t>
      </w:r>
      <w:r w:rsidR="00FF53D1" w:rsidRPr="00E452BA">
        <w:rPr>
          <w:rFonts w:asciiTheme="minorHAnsi" w:hAnsiTheme="minorHAnsi"/>
        </w:rPr>
        <w:t>V</w:t>
      </w:r>
      <w:r w:rsidR="00355FC2" w:rsidRPr="00E452BA">
        <w:rPr>
          <w:rFonts w:asciiTheme="minorHAnsi" w:hAnsiTheme="minorHAnsi"/>
        </w:rPr>
        <w:t xml:space="preserve">. </w:t>
      </w:r>
      <w:r w:rsidR="0082345B" w:rsidRPr="00E452BA">
        <w:rPr>
          <w:rFonts w:asciiTheme="minorHAnsi" w:hAnsiTheme="minorHAnsi"/>
        </w:rPr>
        <w:t>Progress to Date: Ongoing and Emerging Efforts</w:t>
      </w:r>
      <w:bookmarkEnd w:id="3"/>
    </w:p>
    <w:p w14:paraId="4FA8CD25" w14:textId="6E12F45D" w:rsidR="00355FC2" w:rsidRDefault="0082345B" w:rsidP="009C2DEC">
      <w:pPr>
        <w:spacing w:after="120" w:line="240" w:lineRule="auto"/>
        <w:rPr>
          <w:sz w:val="22"/>
          <w:szCs w:val="22"/>
        </w:rPr>
      </w:pPr>
      <w:r w:rsidRPr="007B7E0A">
        <w:rPr>
          <w:sz w:val="22"/>
          <w:szCs w:val="22"/>
        </w:rPr>
        <w:t>Massachusetts agencies and partners have initiated several efforts to improve hospital discharge and transitions of care:</w:t>
      </w:r>
    </w:p>
    <w:p w14:paraId="36165C66" w14:textId="77777777" w:rsidR="00E452BA" w:rsidRPr="007B7E0A" w:rsidRDefault="00E452BA" w:rsidP="009C2DEC">
      <w:pPr>
        <w:spacing w:after="120" w:line="240" w:lineRule="auto"/>
        <w:rPr>
          <w:sz w:val="22"/>
          <w:szCs w:val="22"/>
        </w:rPr>
      </w:pPr>
    </w:p>
    <w:tbl>
      <w:tblPr>
        <w:tblStyle w:val="GridTable1Light"/>
        <w:tblW w:w="10036" w:type="dxa"/>
        <w:tblLook w:val="04A0" w:firstRow="1" w:lastRow="0" w:firstColumn="1" w:lastColumn="0" w:noHBand="0" w:noVBand="1"/>
      </w:tblPr>
      <w:tblGrid>
        <w:gridCol w:w="1885"/>
        <w:gridCol w:w="5795"/>
        <w:gridCol w:w="2356"/>
      </w:tblGrid>
      <w:tr w:rsidR="004977D4" w:rsidRPr="007B7E0A" w14:paraId="754FD728" w14:textId="77777777" w:rsidTr="00EF70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dxa"/>
            <w:shd w:val="clear" w:color="auto" w:fill="0B769F" w:themeFill="accent4" w:themeFillShade="BF"/>
            <w:hideMark/>
          </w:tcPr>
          <w:p w14:paraId="5B245FEB" w14:textId="77777777" w:rsidR="00355FC2" w:rsidRPr="00126ED0" w:rsidRDefault="00355FC2" w:rsidP="009C2DEC">
            <w:pPr>
              <w:spacing w:after="120"/>
              <w:rPr>
                <w:color w:val="FFFFFF" w:themeColor="background1"/>
                <w:sz w:val="22"/>
                <w:szCs w:val="22"/>
              </w:rPr>
            </w:pPr>
            <w:r w:rsidRPr="00126ED0">
              <w:rPr>
                <w:color w:val="FFFFFF" w:themeColor="background1"/>
                <w:sz w:val="22"/>
                <w:szCs w:val="22"/>
              </w:rPr>
              <w:t>Effort</w:t>
            </w:r>
          </w:p>
        </w:tc>
        <w:tc>
          <w:tcPr>
            <w:tcW w:w="5795" w:type="dxa"/>
            <w:shd w:val="clear" w:color="auto" w:fill="0B769F" w:themeFill="accent4" w:themeFillShade="BF"/>
            <w:hideMark/>
          </w:tcPr>
          <w:p w14:paraId="1D80AB97" w14:textId="77777777" w:rsidR="00355FC2" w:rsidRPr="00126ED0" w:rsidRDefault="00355FC2" w:rsidP="009C2DEC">
            <w:pPr>
              <w:spacing w:after="120"/>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26ED0">
              <w:rPr>
                <w:color w:val="FFFFFF" w:themeColor="background1"/>
                <w:sz w:val="22"/>
                <w:szCs w:val="22"/>
              </w:rPr>
              <w:t>Description</w:t>
            </w:r>
          </w:p>
        </w:tc>
        <w:tc>
          <w:tcPr>
            <w:tcW w:w="0" w:type="auto"/>
            <w:shd w:val="clear" w:color="auto" w:fill="0B769F" w:themeFill="accent4" w:themeFillShade="BF"/>
            <w:hideMark/>
          </w:tcPr>
          <w:p w14:paraId="6C4384F0" w14:textId="77777777" w:rsidR="00355FC2" w:rsidRPr="00126ED0" w:rsidRDefault="00355FC2" w:rsidP="009C2DEC">
            <w:pPr>
              <w:spacing w:after="120"/>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26ED0">
              <w:rPr>
                <w:color w:val="FFFFFF" w:themeColor="background1"/>
                <w:sz w:val="22"/>
                <w:szCs w:val="22"/>
              </w:rPr>
              <w:t>Targeted Barrier</w:t>
            </w:r>
          </w:p>
        </w:tc>
      </w:tr>
      <w:tr w:rsidR="004977D4" w:rsidRPr="007B7E0A" w14:paraId="00B84BCF" w14:textId="77777777" w:rsidTr="00EF708A">
        <w:tc>
          <w:tcPr>
            <w:cnfStyle w:val="001000000000" w:firstRow="0" w:lastRow="0" w:firstColumn="1" w:lastColumn="0" w:oddVBand="0" w:evenVBand="0" w:oddHBand="0" w:evenHBand="0" w:firstRowFirstColumn="0" w:firstRowLastColumn="0" w:lastRowFirstColumn="0" w:lastRowLastColumn="0"/>
            <w:tcW w:w="1885" w:type="dxa"/>
            <w:hideMark/>
          </w:tcPr>
          <w:p w14:paraId="12FE0FFF" w14:textId="73516B75" w:rsidR="00355FC2" w:rsidRPr="007B7E0A" w:rsidRDefault="00D50829" w:rsidP="009C2DEC">
            <w:pPr>
              <w:spacing w:after="120"/>
              <w:rPr>
                <w:sz w:val="22"/>
                <w:szCs w:val="22"/>
              </w:rPr>
            </w:pPr>
            <w:r w:rsidRPr="007B7E0A">
              <w:rPr>
                <w:sz w:val="22"/>
                <w:szCs w:val="22"/>
              </w:rPr>
              <w:t xml:space="preserve">MHA / Honoring Choices Massachusetts / </w:t>
            </w:r>
            <w:r w:rsidR="00355FC2" w:rsidRPr="007B7E0A">
              <w:rPr>
                <w:sz w:val="22"/>
                <w:szCs w:val="22"/>
              </w:rPr>
              <w:t xml:space="preserve">DPH </w:t>
            </w:r>
            <w:r w:rsidRPr="007B7E0A">
              <w:rPr>
                <w:sz w:val="22"/>
                <w:szCs w:val="22"/>
              </w:rPr>
              <w:t>“</w:t>
            </w:r>
            <w:r w:rsidR="00355FC2" w:rsidRPr="007B7E0A">
              <w:rPr>
                <w:sz w:val="22"/>
                <w:szCs w:val="22"/>
              </w:rPr>
              <w:t>Simple Step</w:t>
            </w:r>
            <w:r w:rsidRPr="007B7E0A">
              <w:rPr>
                <w:sz w:val="22"/>
                <w:szCs w:val="22"/>
              </w:rPr>
              <w:t>”</w:t>
            </w:r>
            <w:r w:rsidR="00355FC2" w:rsidRPr="007B7E0A">
              <w:rPr>
                <w:sz w:val="22"/>
                <w:szCs w:val="22"/>
              </w:rPr>
              <w:t xml:space="preserve"> Campaign</w:t>
            </w:r>
          </w:p>
        </w:tc>
        <w:tc>
          <w:tcPr>
            <w:tcW w:w="5795" w:type="dxa"/>
            <w:hideMark/>
          </w:tcPr>
          <w:p w14:paraId="37B863DB" w14:textId="0607A1F0" w:rsidR="00355FC2" w:rsidRPr="00993908" w:rsidRDefault="00355FC2" w:rsidP="00993908">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993908">
              <w:rPr>
                <w:sz w:val="22"/>
                <w:szCs w:val="22"/>
              </w:rPr>
              <w:t>Promotes HCP completion across care settings</w:t>
            </w:r>
            <w:r w:rsidR="00315BB5">
              <w:rPr>
                <w:sz w:val="22"/>
                <w:szCs w:val="22"/>
              </w:rPr>
              <w:t>.</w:t>
            </w:r>
          </w:p>
        </w:tc>
        <w:tc>
          <w:tcPr>
            <w:tcW w:w="0" w:type="auto"/>
            <w:hideMark/>
          </w:tcPr>
          <w:p w14:paraId="37DBA792" w14:textId="71A3E617" w:rsidR="00355FC2" w:rsidRPr="007B7E0A" w:rsidRDefault="00355FC2"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Legal/Decision-Making Gaps</w:t>
            </w:r>
          </w:p>
        </w:tc>
      </w:tr>
      <w:tr w:rsidR="004977D4" w:rsidRPr="007B7E0A" w14:paraId="6A3D849D" w14:textId="77777777" w:rsidTr="00EF708A">
        <w:tc>
          <w:tcPr>
            <w:cnfStyle w:val="001000000000" w:firstRow="0" w:lastRow="0" w:firstColumn="1" w:lastColumn="0" w:oddVBand="0" w:evenVBand="0" w:oddHBand="0" w:evenHBand="0" w:firstRowFirstColumn="0" w:firstRowLastColumn="0" w:lastRowFirstColumn="0" w:lastRowLastColumn="0"/>
            <w:tcW w:w="1885" w:type="dxa"/>
            <w:hideMark/>
          </w:tcPr>
          <w:p w14:paraId="37B06D9A" w14:textId="06932B82" w:rsidR="00355FC2" w:rsidRPr="007B7E0A" w:rsidRDefault="00355FC2" w:rsidP="009C2DEC">
            <w:pPr>
              <w:spacing w:after="120"/>
              <w:rPr>
                <w:sz w:val="22"/>
                <w:szCs w:val="22"/>
              </w:rPr>
            </w:pPr>
            <w:r w:rsidRPr="007B7E0A">
              <w:rPr>
                <w:sz w:val="22"/>
                <w:szCs w:val="22"/>
              </w:rPr>
              <w:t>Chapter 197 of 2024</w:t>
            </w:r>
            <w:r w:rsidR="00373073" w:rsidRPr="007B7E0A">
              <w:rPr>
                <w:sz w:val="22"/>
                <w:szCs w:val="22"/>
              </w:rPr>
              <w:t xml:space="preserve"> (Prior Authorization)</w:t>
            </w:r>
          </w:p>
        </w:tc>
        <w:tc>
          <w:tcPr>
            <w:tcW w:w="5795" w:type="dxa"/>
            <w:hideMark/>
          </w:tcPr>
          <w:p w14:paraId="24755F3D" w14:textId="6503C5C9" w:rsidR="00355FC2" w:rsidRPr="008A1D5D" w:rsidRDefault="004977D4" w:rsidP="009C2DE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8A1D5D">
              <w:rPr>
                <w:sz w:val="22"/>
                <w:szCs w:val="22"/>
              </w:rPr>
              <w:t xml:space="preserve">Establishes a two-year pilot program that requires </w:t>
            </w:r>
            <w:r w:rsidR="00F138D3" w:rsidRPr="00F138D3">
              <w:rPr>
                <w:sz w:val="22"/>
                <w:szCs w:val="22"/>
              </w:rPr>
              <w:t>Group Insurance Commission (GIC)</w:t>
            </w:r>
            <w:r w:rsidRPr="008A1D5D">
              <w:rPr>
                <w:sz w:val="22"/>
                <w:szCs w:val="22"/>
              </w:rPr>
              <w:t xml:space="preserve"> plans, MassHealth and </w:t>
            </w:r>
            <w:r w:rsidR="0048714E">
              <w:rPr>
                <w:sz w:val="22"/>
                <w:szCs w:val="22"/>
              </w:rPr>
              <w:t xml:space="preserve">fully-insured </w:t>
            </w:r>
            <w:r w:rsidRPr="008A1D5D">
              <w:rPr>
                <w:sz w:val="22"/>
                <w:szCs w:val="22"/>
              </w:rPr>
              <w:t>commercial</w:t>
            </w:r>
            <w:r w:rsidR="00CB5263">
              <w:rPr>
                <w:sz w:val="22"/>
                <w:szCs w:val="22"/>
              </w:rPr>
              <w:t xml:space="preserve"> plans</w:t>
            </w:r>
            <w:r w:rsidRPr="008A1D5D">
              <w:rPr>
                <w:sz w:val="22"/>
                <w:szCs w:val="22"/>
              </w:rPr>
              <w:t xml:space="preserve"> licensed in Massachusetts to approve or deny requests for prior authorization for post-acute care services by the next business day following receipt by the payer of all necessary</w:t>
            </w:r>
            <w:r w:rsidR="00F013D3" w:rsidRPr="008A1D5D">
              <w:rPr>
                <w:sz w:val="22"/>
                <w:szCs w:val="22"/>
              </w:rPr>
              <w:t xml:space="preserve"> and complete</w:t>
            </w:r>
            <w:r w:rsidRPr="008A1D5D">
              <w:rPr>
                <w:sz w:val="22"/>
                <w:szCs w:val="22"/>
              </w:rPr>
              <w:t xml:space="preserve"> information to establish the medical necessity of the requested post-acute care services (home care, SNF care, post-acute hospital care).</w:t>
            </w:r>
          </w:p>
          <w:p w14:paraId="18EDDE7D" w14:textId="77777777" w:rsidR="004977D4" w:rsidRDefault="004977D4" w:rsidP="009C2DE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8A1D5D">
              <w:rPr>
                <w:sz w:val="22"/>
                <w:szCs w:val="22"/>
              </w:rPr>
              <w:t>Directs the Division of Insurance to develop and implement a uniform prior authorization form for the admission of patients from an acute care hospital to post-acute care settings to be used by all insurers, including MassHealth.</w:t>
            </w:r>
          </w:p>
          <w:p w14:paraId="06696C1D" w14:textId="2F81883B" w:rsidR="00BE201F" w:rsidRPr="008D5DBB" w:rsidRDefault="00D02DB0" w:rsidP="008D5DBB">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00BE201F" w:rsidRPr="00BE201F">
              <w:rPr>
                <w:sz w:val="22"/>
                <w:szCs w:val="22"/>
              </w:rPr>
              <w:t xml:space="preserve">equires weekend approvals within </w:t>
            </w:r>
            <w:r w:rsidR="00BE201F">
              <w:rPr>
                <w:sz w:val="22"/>
                <w:szCs w:val="22"/>
              </w:rPr>
              <w:t>one (</w:t>
            </w:r>
            <w:r w:rsidR="00BE201F" w:rsidRPr="00BE201F">
              <w:rPr>
                <w:sz w:val="22"/>
                <w:szCs w:val="22"/>
              </w:rPr>
              <w:t>1</w:t>
            </w:r>
            <w:r w:rsidR="00BE201F">
              <w:rPr>
                <w:sz w:val="22"/>
                <w:szCs w:val="22"/>
              </w:rPr>
              <w:t>)</w:t>
            </w:r>
            <w:r w:rsidR="00BE201F" w:rsidRPr="00BE201F">
              <w:rPr>
                <w:sz w:val="22"/>
                <w:szCs w:val="22"/>
              </w:rPr>
              <w:t xml:space="preserve"> calendar day or a waiver of prior authorization on weekends, with concurrent review beginning on the next business day.</w:t>
            </w:r>
          </w:p>
        </w:tc>
        <w:tc>
          <w:tcPr>
            <w:tcW w:w="0" w:type="auto"/>
            <w:hideMark/>
          </w:tcPr>
          <w:p w14:paraId="15654CBC" w14:textId="77777777" w:rsidR="00355FC2" w:rsidRPr="007B7E0A" w:rsidRDefault="00355FC2"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Payer Admin</w:t>
            </w:r>
          </w:p>
        </w:tc>
      </w:tr>
      <w:tr w:rsidR="00373073" w:rsidRPr="007B7E0A" w14:paraId="69DA38F5"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65DC5EBA" w14:textId="7ED382D7" w:rsidR="00373073" w:rsidRPr="007B7E0A" w:rsidRDefault="00373073" w:rsidP="009C2DEC">
            <w:pPr>
              <w:spacing w:after="120"/>
              <w:rPr>
                <w:sz w:val="22"/>
                <w:szCs w:val="22"/>
              </w:rPr>
            </w:pPr>
            <w:r w:rsidRPr="007B7E0A">
              <w:rPr>
                <w:sz w:val="22"/>
                <w:szCs w:val="22"/>
              </w:rPr>
              <w:t xml:space="preserve">Chapter 197 of 2024 </w:t>
            </w:r>
            <w:r w:rsidRPr="007B7E0A">
              <w:rPr>
                <w:sz w:val="22"/>
                <w:szCs w:val="22"/>
              </w:rPr>
              <w:br/>
              <w:t>(MassHealth LTC Eligibility)</w:t>
            </w:r>
          </w:p>
        </w:tc>
        <w:tc>
          <w:tcPr>
            <w:tcW w:w="5795" w:type="dxa"/>
          </w:tcPr>
          <w:p w14:paraId="522AE7E0" w14:textId="5684184C" w:rsidR="00373073" w:rsidRPr="00993908" w:rsidRDefault="00373073"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993908">
              <w:rPr>
                <w:sz w:val="22"/>
                <w:szCs w:val="22"/>
              </w:rPr>
              <w:t>Review and study improving the eligibility determination process, including establishing a rebuttable presumption of eligibility; guaranteeing payment for LTC services for up to one year while eligibility is resolved; expanding undue hardship waiver criteria to reduce financial barriers</w:t>
            </w:r>
            <w:r w:rsidR="003D15A4">
              <w:rPr>
                <w:sz w:val="22"/>
                <w:szCs w:val="22"/>
              </w:rPr>
              <w:t>.</w:t>
            </w:r>
          </w:p>
        </w:tc>
        <w:tc>
          <w:tcPr>
            <w:tcW w:w="0" w:type="auto"/>
          </w:tcPr>
          <w:p w14:paraId="530E6234" w14:textId="11F088DB" w:rsidR="00373073" w:rsidRPr="007B7E0A" w:rsidRDefault="00373073"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Payer Admin</w:t>
            </w:r>
          </w:p>
        </w:tc>
      </w:tr>
      <w:tr w:rsidR="004977D4" w:rsidRPr="007B7E0A" w14:paraId="38391159"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0023F7E9" w14:textId="1C329DAF" w:rsidR="004977D4" w:rsidRPr="007B7E0A" w:rsidRDefault="004977D4" w:rsidP="009C2DEC">
            <w:pPr>
              <w:spacing w:after="120"/>
              <w:rPr>
                <w:sz w:val="22"/>
                <w:szCs w:val="22"/>
              </w:rPr>
            </w:pPr>
            <w:r w:rsidRPr="007B7E0A">
              <w:rPr>
                <w:sz w:val="22"/>
                <w:szCs w:val="22"/>
              </w:rPr>
              <w:t xml:space="preserve">Chapter 197 of 2024 </w:t>
            </w:r>
            <w:r w:rsidRPr="007B7E0A">
              <w:rPr>
                <w:sz w:val="22"/>
                <w:szCs w:val="22"/>
              </w:rPr>
              <w:br/>
              <w:t>(Public Guardianship Program)</w:t>
            </w:r>
          </w:p>
        </w:tc>
        <w:tc>
          <w:tcPr>
            <w:tcW w:w="5795" w:type="dxa"/>
          </w:tcPr>
          <w:p w14:paraId="7EEA50E0" w14:textId="6C4AAD19" w:rsidR="004977D4" w:rsidRPr="00993908" w:rsidRDefault="004977D4"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993908">
              <w:rPr>
                <w:sz w:val="22"/>
                <w:szCs w:val="22"/>
              </w:rPr>
              <w:t>Requires DPH to study and report, by July 31, 2025, on the feasibility of having qualified professional guardians give informed medical consent for indigent persons and whether such guardians would reduce hospital discharge issues.</w:t>
            </w:r>
          </w:p>
        </w:tc>
        <w:tc>
          <w:tcPr>
            <w:tcW w:w="0" w:type="auto"/>
          </w:tcPr>
          <w:p w14:paraId="7E2DA5A8" w14:textId="3CDAE4CD" w:rsidR="004977D4" w:rsidRPr="007B7E0A" w:rsidRDefault="004977D4"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Legal/Decision-Making Gaps</w:t>
            </w:r>
          </w:p>
        </w:tc>
      </w:tr>
      <w:tr w:rsidR="004977D4" w:rsidRPr="007B7E0A" w14:paraId="352120EB"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382D93EC" w14:textId="0E561F9C" w:rsidR="004977D4" w:rsidRPr="007B7E0A" w:rsidRDefault="004977D4" w:rsidP="009C2DEC">
            <w:pPr>
              <w:spacing w:after="120"/>
              <w:rPr>
                <w:sz w:val="22"/>
                <w:szCs w:val="22"/>
              </w:rPr>
            </w:pPr>
            <w:r w:rsidRPr="007B7E0A">
              <w:rPr>
                <w:sz w:val="22"/>
                <w:szCs w:val="22"/>
              </w:rPr>
              <w:t xml:space="preserve">Chapter 197 of 2024 </w:t>
            </w:r>
            <w:r w:rsidRPr="007B7E0A">
              <w:rPr>
                <w:sz w:val="22"/>
                <w:szCs w:val="22"/>
              </w:rPr>
              <w:br/>
              <w:t>(LTC Workforce Fund)</w:t>
            </w:r>
          </w:p>
        </w:tc>
        <w:tc>
          <w:tcPr>
            <w:tcW w:w="5795" w:type="dxa"/>
          </w:tcPr>
          <w:p w14:paraId="4790A192" w14:textId="452DFBD9" w:rsidR="004977D4" w:rsidRPr="008A1D5D" w:rsidRDefault="008712CA"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8A1D5D">
              <w:rPr>
                <w:sz w:val="22"/>
                <w:szCs w:val="22"/>
              </w:rPr>
              <w:t xml:space="preserve">Creates </w:t>
            </w:r>
            <w:r w:rsidR="0053288C">
              <w:rPr>
                <w:sz w:val="22"/>
                <w:szCs w:val="22"/>
              </w:rPr>
              <w:t>a</w:t>
            </w:r>
            <w:r>
              <w:rPr>
                <w:sz w:val="22"/>
                <w:szCs w:val="22"/>
              </w:rPr>
              <w:t xml:space="preserve"> </w:t>
            </w:r>
            <w:r w:rsidRPr="008A1D5D">
              <w:rPr>
                <w:sz w:val="22"/>
                <w:szCs w:val="22"/>
              </w:rPr>
              <w:t xml:space="preserve">fund to recruit and retain a dedicated long-term care workforce, including grants to develop new Certified Nursing Assistants (CNAs), career ladder grants for direct care workers to train to become </w:t>
            </w:r>
            <w:r w:rsidRPr="008A1D5D">
              <w:rPr>
                <w:sz w:val="22"/>
                <w:szCs w:val="22"/>
              </w:rPr>
              <w:lastRenderedPageBreak/>
              <w:t>Licensed Practical Nurses (LPNs), along with leadership and supervisory training for nursing home leaders.</w:t>
            </w:r>
            <w:r w:rsidR="0053288C">
              <w:rPr>
                <w:sz w:val="22"/>
                <w:szCs w:val="22"/>
              </w:rPr>
              <w:t xml:space="preserve">  However, to date, there has been no funding authorized for this account.</w:t>
            </w:r>
          </w:p>
        </w:tc>
        <w:tc>
          <w:tcPr>
            <w:tcW w:w="0" w:type="auto"/>
          </w:tcPr>
          <w:p w14:paraId="129339E7" w14:textId="1DF9F7C8" w:rsidR="004977D4" w:rsidRPr="007B7E0A" w:rsidRDefault="001C424A"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lastRenderedPageBreak/>
              <w:t>Workforce</w:t>
            </w:r>
          </w:p>
        </w:tc>
      </w:tr>
      <w:tr w:rsidR="00F60D6E" w:rsidRPr="007B7E0A" w14:paraId="69B9670D"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4C33F990" w14:textId="433CD6E9" w:rsidR="00404C0D" w:rsidRPr="007B7E0A" w:rsidRDefault="00404C0D" w:rsidP="00404C0D">
            <w:pPr>
              <w:spacing w:after="120"/>
              <w:rPr>
                <w:sz w:val="22"/>
                <w:szCs w:val="22"/>
              </w:rPr>
            </w:pPr>
            <w:r>
              <w:rPr>
                <w:sz w:val="22"/>
                <w:szCs w:val="22"/>
              </w:rPr>
              <w:t>Streamlining Nursing Facility Transitions</w:t>
            </w:r>
          </w:p>
        </w:tc>
        <w:tc>
          <w:tcPr>
            <w:tcW w:w="5795" w:type="dxa"/>
          </w:tcPr>
          <w:p w14:paraId="3952DE1B" w14:textId="2977252E" w:rsidR="005A51AC" w:rsidRPr="001C026A" w:rsidRDefault="005A51AC" w:rsidP="005A51A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Launch of DMH </w:t>
            </w:r>
            <w:r w:rsidRPr="001C026A">
              <w:rPr>
                <w:sz w:val="22"/>
                <w:szCs w:val="22"/>
              </w:rPr>
              <w:t xml:space="preserve">Nursing Facility Transition </w:t>
            </w:r>
            <w:r>
              <w:rPr>
                <w:sz w:val="22"/>
                <w:szCs w:val="22"/>
              </w:rPr>
              <w:t xml:space="preserve">(NFT) </w:t>
            </w:r>
            <w:r w:rsidRPr="001C026A">
              <w:rPr>
                <w:sz w:val="22"/>
                <w:szCs w:val="22"/>
              </w:rPr>
              <w:t>Team</w:t>
            </w:r>
            <w:r>
              <w:rPr>
                <w:sz w:val="22"/>
                <w:szCs w:val="22"/>
              </w:rPr>
              <w:t xml:space="preserve"> t</w:t>
            </w:r>
            <w:r w:rsidRPr="001C026A">
              <w:rPr>
                <w:sz w:val="22"/>
                <w:szCs w:val="22"/>
              </w:rPr>
              <w:t>o assist individuals</w:t>
            </w:r>
            <w:r>
              <w:rPr>
                <w:sz w:val="22"/>
                <w:szCs w:val="22"/>
              </w:rPr>
              <w:t xml:space="preserve"> able to</w:t>
            </w:r>
            <w:r w:rsidRPr="001C026A">
              <w:rPr>
                <w:sz w:val="22"/>
                <w:szCs w:val="22"/>
              </w:rPr>
              <w:t xml:space="preserve"> transition to community settings.</w:t>
            </w:r>
          </w:p>
          <w:p w14:paraId="3B1F9769" w14:textId="0E8AC250" w:rsidR="005A51AC" w:rsidRDefault="005A51AC" w:rsidP="005A51A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3250D4">
              <w:rPr>
                <w:sz w:val="22"/>
                <w:szCs w:val="22"/>
              </w:rPr>
              <w:t>Development by DMH of two Enhanced Medical Group Living Environments (EMGLE) to facilitate transitions to lower levels of care settings a</w:t>
            </w:r>
            <w:r>
              <w:rPr>
                <w:sz w:val="22"/>
                <w:szCs w:val="22"/>
              </w:rPr>
              <w:t>n</w:t>
            </w:r>
            <w:r w:rsidRPr="003250D4">
              <w:rPr>
                <w:sz w:val="22"/>
                <w:szCs w:val="22"/>
              </w:rPr>
              <w:t xml:space="preserve">d </w:t>
            </w:r>
            <w:r>
              <w:rPr>
                <w:sz w:val="22"/>
                <w:szCs w:val="22"/>
              </w:rPr>
              <w:t>p</w:t>
            </w:r>
            <w:r w:rsidRPr="003250D4">
              <w:rPr>
                <w:sz w:val="22"/>
                <w:szCs w:val="22"/>
              </w:rPr>
              <w:t>revent hospitalization or nursing facility admissions</w:t>
            </w:r>
            <w:r w:rsidR="00A71A10">
              <w:rPr>
                <w:sz w:val="22"/>
                <w:szCs w:val="22"/>
              </w:rPr>
              <w:t>.</w:t>
            </w:r>
          </w:p>
          <w:p w14:paraId="00F9D9DD" w14:textId="46007CAC" w:rsidR="005A51AC" w:rsidRPr="007B7E0A" w:rsidRDefault="005A51AC" w:rsidP="005A51A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C1432C">
              <w:rPr>
                <w:sz w:val="22"/>
                <w:szCs w:val="22"/>
              </w:rPr>
              <w:t>Creation of the Community Transition Liaison Program (CTLP)</w:t>
            </w:r>
            <w:r w:rsidRPr="009014A8">
              <w:rPr>
                <w:sz w:val="22"/>
                <w:szCs w:val="22"/>
              </w:rPr>
              <w:t xml:space="preserve"> to s</w:t>
            </w:r>
            <w:r w:rsidRPr="00C1432C">
              <w:rPr>
                <w:sz w:val="22"/>
                <w:szCs w:val="22"/>
              </w:rPr>
              <w:t>upport nursing-facility residents (age 22+) in returning to community living, regardless of insurance status.</w:t>
            </w:r>
          </w:p>
        </w:tc>
        <w:tc>
          <w:tcPr>
            <w:tcW w:w="0" w:type="auto"/>
          </w:tcPr>
          <w:p w14:paraId="0C27B0E1" w14:textId="3800C113" w:rsidR="00404C0D" w:rsidRPr="007B7E0A" w:rsidRDefault="00404C0D"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Care Continuum Fragmentation</w:t>
            </w:r>
          </w:p>
        </w:tc>
      </w:tr>
      <w:tr w:rsidR="004977D4" w:rsidRPr="007B7E0A" w14:paraId="08FF07D3" w14:textId="77777777" w:rsidTr="00EF708A">
        <w:tc>
          <w:tcPr>
            <w:cnfStyle w:val="001000000000" w:firstRow="0" w:lastRow="0" w:firstColumn="1" w:lastColumn="0" w:oddVBand="0" w:evenVBand="0" w:oddHBand="0" w:evenHBand="0" w:firstRowFirstColumn="0" w:firstRowLastColumn="0" w:lastRowFirstColumn="0" w:lastRowLastColumn="0"/>
            <w:tcW w:w="1885" w:type="dxa"/>
            <w:hideMark/>
          </w:tcPr>
          <w:p w14:paraId="40E9E897" w14:textId="7E16EF0B" w:rsidR="00373073" w:rsidRPr="007B7E0A" w:rsidRDefault="0035277B" w:rsidP="009C2DEC">
            <w:pPr>
              <w:spacing w:after="120"/>
              <w:rPr>
                <w:sz w:val="22"/>
                <w:szCs w:val="22"/>
              </w:rPr>
            </w:pPr>
            <w:r w:rsidRPr="007B7E0A">
              <w:rPr>
                <w:sz w:val="22"/>
                <w:szCs w:val="22"/>
              </w:rPr>
              <w:t>E</w:t>
            </w:r>
            <w:r w:rsidR="00D20E08" w:rsidRPr="007B7E0A">
              <w:rPr>
                <w:sz w:val="22"/>
                <w:szCs w:val="22"/>
              </w:rPr>
              <w:t>OHHS Discharge Support</w:t>
            </w:r>
            <w:r w:rsidR="006A0FFA" w:rsidRPr="007B7E0A">
              <w:rPr>
                <w:sz w:val="22"/>
                <w:szCs w:val="22"/>
              </w:rPr>
              <w:t xml:space="preserve"> </w:t>
            </w:r>
          </w:p>
        </w:tc>
        <w:tc>
          <w:tcPr>
            <w:tcW w:w="5795" w:type="dxa"/>
            <w:hideMark/>
          </w:tcPr>
          <w:p w14:paraId="688CC5FD" w14:textId="2A46796C" w:rsidR="00373073" w:rsidRPr="007B7E0A" w:rsidRDefault="003D4EB9"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A statewide resource launched in 2021 to assist hospitals with complex, delayed discharges. D</w:t>
            </w:r>
            <w:r w:rsidR="006C3217">
              <w:rPr>
                <w:sz w:val="22"/>
                <w:szCs w:val="22"/>
              </w:rPr>
              <w:t xml:space="preserve">ischarge </w:t>
            </w:r>
            <w:r w:rsidRPr="007B7E0A">
              <w:rPr>
                <w:sz w:val="22"/>
                <w:szCs w:val="22"/>
              </w:rPr>
              <w:t>S</w:t>
            </w:r>
            <w:r w:rsidR="006C3217">
              <w:rPr>
                <w:sz w:val="22"/>
                <w:szCs w:val="22"/>
              </w:rPr>
              <w:t>upport (DS)</w:t>
            </w:r>
            <w:r w:rsidRPr="007B7E0A">
              <w:rPr>
                <w:sz w:val="22"/>
                <w:szCs w:val="22"/>
              </w:rPr>
              <w:t xml:space="preserve"> provides case-specific troubleshooting, identifies appropriate state agency contacts, and connects hospitals to resources not previously engaged in the discharge process. DS supports hospitals after all internal discharge efforts have been exhausted, and routinely collaborates with MassHealth, DMH, DDS, ASAPs, ILCs, the VA, and housing agencies. DS also addresses barriers for individuals facing homelessness, justice involvement, long-term care eligibility challenges, and multi-agency coordination delays.</w:t>
            </w:r>
          </w:p>
        </w:tc>
        <w:tc>
          <w:tcPr>
            <w:tcW w:w="0" w:type="auto"/>
            <w:hideMark/>
          </w:tcPr>
          <w:p w14:paraId="7B9472A4" w14:textId="1CF8AFD2" w:rsidR="00373073" w:rsidRPr="007B7E0A" w:rsidRDefault="00373073"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Complex Cases</w:t>
            </w:r>
          </w:p>
        </w:tc>
      </w:tr>
      <w:tr w:rsidR="00373073" w:rsidRPr="007B7E0A" w14:paraId="2B23E814"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2D826343" w14:textId="46BB02D6" w:rsidR="00373073" w:rsidRPr="007B7E0A" w:rsidRDefault="00373073" w:rsidP="009C2DEC">
            <w:pPr>
              <w:spacing w:after="120"/>
              <w:rPr>
                <w:sz w:val="22"/>
                <w:szCs w:val="22"/>
              </w:rPr>
            </w:pPr>
            <w:r w:rsidRPr="008A1D5D">
              <w:rPr>
                <w:rFonts w:eastAsia="Times New Roman" w:cs="Times New Roman"/>
                <w:color w:val="000000"/>
                <w:kern w:val="0"/>
                <w:sz w:val="22"/>
                <w:szCs w:val="22"/>
                <w14:ligatures w14:val="none"/>
              </w:rPr>
              <w:t>Integrate POLST Registry into EHRs</w:t>
            </w:r>
          </w:p>
        </w:tc>
        <w:tc>
          <w:tcPr>
            <w:tcW w:w="5795" w:type="dxa"/>
          </w:tcPr>
          <w:p w14:paraId="7E26CD77" w14:textId="69C0A07D" w:rsidR="00373073" w:rsidRPr="007B7E0A" w:rsidRDefault="00373073"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993908">
              <w:rPr>
                <w:sz w:val="22"/>
                <w:szCs w:val="22"/>
              </w:rPr>
              <w:t>Piloting ePOLST Registry integration into hospital EHRs by 2027 for automatic access to end-of-life orders</w:t>
            </w:r>
            <w:r w:rsidR="00FE5D59">
              <w:rPr>
                <w:sz w:val="22"/>
                <w:szCs w:val="22"/>
              </w:rPr>
              <w:t>.</w:t>
            </w:r>
          </w:p>
        </w:tc>
        <w:tc>
          <w:tcPr>
            <w:tcW w:w="0" w:type="auto"/>
          </w:tcPr>
          <w:p w14:paraId="31A53D0D" w14:textId="6A8E6149" w:rsidR="00373073" w:rsidRPr="007B7E0A" w:rsidRDefault="00373073"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B7E0A">
              <w:rPr>
                <w:sz w:val="22"/>
                <w:szCs w:val="22"/>
              </w:rPr>
              <w:t>Legal/Decision-Making Gaps</w:t>
            </w:r>
          </w:p>
        </w:tc>
      </w:tr>
      <w:tr w:rsidR="0022091D" w:rsidRPr="007B7E0A" w14:paraId="0BD443A5" w14:textId="77777777" w:rsidTr="00EF708A">
        <w:tc>
          <w:tcPr>
            <w:cnfStyle w:val="001000000000" w:firstRow="0" w:lastRow="0" w:firstColumn="1" w:lastColumn="0" w:oddVBand="0" w:evenVBand="0" w:oddHBand="0" w:evenHBand="0" w:firstRowFirstColumn="0" w:firstRowLastColumn="0" w:lastRowFirstColumn="0" w:lastRowLastColumn="0"/>
            <w:tcW w:w="1885" w:type="dxa"/>
          </w:tcPr>
          <w:p w14:paraId="0F29B3A9" w14:textId="3EC9E7A6" w:rsidR="0022091D" w:rsidRPr="008A1D5D" w:rsidRDefault="003A3CFD" w:rsidP="009C2DEC">
            <w:pPr>
              <w:spacing w:after="12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Improve </w:t>
            </w:r>
            <w:r w:rsidRPr="003A3CFD">
              <w:rPr>
                <w:rFonts w:eastAsia="Times New Roman" w:cs="Times New Roman"/>
                <w:color w:val="000000"/>
                <w:kern w:val="0"/>
                <w:sz w:val="22"/>
                <w:szCs w:val="22"/>
                <w14:ligatures w14:val="none"/>
              </w:rPr>
              <w:t>Throughput</w:t>
            </w:r>
            <w:r>
              <w:rPr>
                <w:rFonts w:eastAsia="Times New Roman" w:cs="Times New Roman"/>
                <w:color w:val="000000"/>
                <w:kern w:val="0"/>
                <w:sz w:val="22"/>
                <w:szCs w:val="22"/>
                <w14:ligatures w14:val="none"/>
              </w:rPr>
              <w:t xml:space="preserve"> and </w:t>
            </w:r>
            <w:r w:rsidRPr="003A3CFD">
              <w:rPr>
                <w:rFonts w:eastAsia="Times New Roman" w:cs="Times New Roman"/>
                <w:color w:val="000000"/>
                <w:kern w:val="0"/>
                <w:sz w:val="22"/>
                <w:szCs w:val="22"/>
                <w14:ligatures w14:val="none"/>
              </w:rPr>
              <w:t>Access for Justice-Involved Patients Needing Inpatient Services</w:t>
            </w:r>
          </w:p>
        </w:tc>
        <w:tc>
          <w:tcPr>
            <w:tcW w:w="5795" w:type="dxa"/>
          </w:tcPr>
          <w:p w14:paraId="4DDE17AF" w14:textId="0E592A81" w:rsidR="0022091D" w:rsidRPr="00C1432C" w:rsidRDefault="00D855F5" w:rsidP="00993908">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Project was launched by the TACPAC Task Force </w:t>
            </w:r>
            <w:r w:rsidR="002E14D4">
              <w:rPr>
                <w:sz w:val="22"/>
                <w:szCs w:val="22"/>
              </w:rPr>
              <w:t xml:space="preserve">to improve </w:t>
            </w:r>
            <w:r w:rsidR="00F41F35">
              <w:rPr>
                <w:sz w:val="22"/>
                <w:szCs w:val="22"/>
              </w:rPr>
              <w:t xml:space="preserve">coordination </w:t>
            </w:r>
            <w:r w:rsidR="00E85968">
              <w:rPr>
                <w:sz w:val="22"/>
                <w:szCs w:val="22"/>
              </w:rPr>
              <w:t xml:space="preserve">among </w:t>
            </w:r>
            <w:r w:rsidR="00361F94">
              <w:rPr>
                <w:sz w:val="22"/>
                <w:szCs w:val="22"/>
              </w:rPr>
              <w:t xml:space="preserve">DPH, </w:t>
            </w:r>
            <w:r w:rsidR="005A5541">
              <w:rPr>
                <w:sz w:val="22"/>
                <w:szCs w:val="22"/>
              </w:rPr>
              <w:t xml:space="preserve">the Department of Correction (DOC) and </w:t>
            </w:r>
            <w:r w:rsidR="00F41F35">
              <w:rPr>
                <w:sz w:val="22"/>
                <w:szCs w:val="22"/>
              </w:rPr>
              <w:t>Houses of Correction</w:t>
            </w:r>
            <w:r w:rsidR="008C4B3E">
              <w:rPr>
                <w:sz w:val="22"/>
                <w:szCs w:val="22"/>
              </w:rPr>
              <w:t xml:space="preserve"> (HOC</w:t>
            </w:r>
            <w:r w:rsidR="00E85968">
              <w:rPr>
                <w:sz w:val="22"/>
                <w:szCs w:val="22"/>
              </w:rPr>
              <w:t>)</w:t>
            </w:r>
            <w:r>
              <w:rPr>
                <w:sz w:val="22"/>
                <w:szCs w:val="22"/>
              </w:rPr>
              <w:t>, as well as</w:t>
            </w:r>
            <w:r w:rsidR="003611C1">
              <w:rPr>
                <w:sz w:val="22"/>
                <w:szCs w:val="22"/>
              </w:rPr>
              <w:t xml:space="preserve"> </w:t>
            </w:r>
            <w:r w:rsidR="00361F94">
              <w:rPr>
                <w:sz w:val="22"/>
                <w:szCs w:val="22"/>
              </w:rPr>
              <w:t>standard</w:t>
            </w:r>
            <w:r w:rsidR="0071281B">
              <w:rPr>
                <w:sz w:val="22"/>
                <w:szCs w:val="22"/>
              </w:rPr>
              <w:t>ize</w:t>
            </w:r>
            <w:r w:rsidR="00100D98">
              <w:rPr>
                <w:sz w:val="22"/>
                <w:szCs w:val="22"/>
              </w:rPr>
              <w:t xml:space="preserve"> </w:t>
            </w:r>
            <w:r w:rsidR="00361F94">
              <w:rPr>
                <w:sz w:val="22"/>
                <w:szCs w:val="22"/>
              </w:rPr>
              <w:t xml:space="preserve">operating procedures </w:t>
            </w:r>
            <w:r w:rsidR="00E85968">
              <w:rPr>
                <w:sz w:val="22"/>
                <w:szCs w:val="22"/>
              </w:rPr>
              <w:t>f</w:t>
            </w:r>
            <w:r w:rsidR="00E85968" w:rsidRPr="00237E4A">
              <w:rPr>
                <w:sz w:val="22"/>
                <w:szCs w:val="22"/>
              </w:rPr>
              <w:t>or</w:t>
            </w:r>
            <w:r w:rsidR="002E14D4" w:rsidRPr="00E04F3B">
              <w:rPr>
                <w:sz w:val="22"/>
                <w:szCs w:val="22"/>
              </w:rPr>
              <w:t xml:space="preserve"> admission requests to </w:t>
            </w:r>
            <w:r w:rsidR="00361F94">
              <w:rPr>
                <w:sz w:val="22"/>
                <w:szCs w:val="22"/>
              </w:rPr>
              <w:t xml:space="preserve">the Lemuel </w:t>
            </w:r>
            <w:r w:rsidR="002E14D4" w:rsidRPr="00E04F3B">
              <w:rPr>
                <w:sz w:val="22"/>
                <w:szCs w:val="22"/>
              </w:rPr>
              <w:t>Shattuck</w:t>
            </w:r>
            <w:r w:rsidR="00361F94">
              <w:rPr>
                <w:sz w:val="22"/>
                <w:szCs w:val="22"/>
              </w:rPr>
              <w:t xml:space="preserve"> Hospital</w:t>
            </w:r>
            <w:r w:rsidR="002E14D4" w:rsidRPr="002E14D4">
              <w:rPr>
                <w:sz w:val="22"/>
                <w:szCs w:val="22"/>
              </w:rPr>
              <w:t xml:space="preserve"> for </w:t>
            </w:r>
            <w:r w:rsidR="00361F94">
              <w:rPr>
                <w:sz w:val="22"/>
                <w:szCs w:val="22"/>
              </w:rPr>
              <w:t>justice-involved patients</w:t>
            </w:r>
            <w:r w:rsidR="003B65F5">
              <w:rPr>
                <w:sz w:val="22"/>
                <w:szCs w:val="22"/>
              </w:rPr>
              <w:t xml:space="preserve"> requiring </w:t>
            </w:r>
            <w:r w:rsidR="00DF00DA">
              <w:rPr>
                <w:sz w:val="22"/>
                <w:szCs w:val="22"/>
              </w:rPr>
              <w:t>higher levels of</w:t>
            </w:r>
            <w:r w:rsidR="003B65F5">
              <w:rPr>
                <w:sz w:val="22"/>
                <w:szCs w:val="22"/>
              </w:rPr>
              <w:t xml:space="preserve"> care</w:t>
            </w:r>
            <w:r w:rsidR="00CF6D76">
              <w:rPr>
                <w:sz w:val="22"/>
                <w:szCs w:val="22"/>
              </w:rPr>
              <w:t>.</w:t>
            </w:r>
            <w:r>
              <w:rPr>
                <w:sz w:val="22"/>
                <w:szCs w:val="22"/>
              </w:rPr>
              <w:t xml:space="preserve"> It is anticipated that new processes, procedures, </w:t>
            </w:r>
            <w:r w:rsidR="00862C99">
              <w:rPr>
                <w:sz w:val="22"/>
                <w:szCs w:val="22"/>
              </w:rPr>
              <w:t xml:space="preserve">and communication approaches will be agreed to in summer 2025 and rolled </w:t>
            </w:r>
            <w:r w:rsidR="000F36BC">
              <w:rPr>
                <w:sz w:val="22"/>
                <w:szCs w:val="22"/>
              </w:rPr>
              <w:t>out shortly thereafter.</w:t>
            </w:r>
          </w:p>
        </w:tc>
        <w:tc>
          <w:tcPr>
            <w:tcW w:w="0" w:type="auto"/>
          </w:tcPr>
          <w:p w14:paraId="5C3F84BE" w14:textId="7B7714DB" w:rsidR="0022091D" w:rsidRPr="007B7E0A" w:rsidRDefault="003107E1" w:rsidP="009C2DEC">
            <w:pPr>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Complex Cases</w:t>
            </w:r>
          </w:p>
        </w:tc>
      </w:tr>
    </w:tbl>
    <w:p w14:paraId="4B5224FC" w14:textId="77777777" w:rsidR="00077A99" w:rsidRPr="007B7E0A" w:rsidRDefault="00077A99" w:rsidP="009C2DEC">
      <w:pPr>
        <w:spacing w:after="120" w:line="240" w:lineRule="auto"/>
      </w:pPr>
    </w:p>
    <w:p w14:paraId="6AD20602" w14:textId="77777777" w:rsidR="009C2DEC" w:rsidRPr="0090471A" w:rsidRDefault="009C2DEC">
      <w:pPr>
        <w:rPr>
          <w:rFonts w:eastAsiaTheme="majorEastAsia" w:cstheme="majorBidi"/>
          <w:color w:val="0F4761" w:themeColor="accent1" w:themeShade="BF"/>
          <w:sz w:val="32"/>
          <w:szCs w:val="32"/>
        </w:rPr>
      </w:pPr>
      <w:r w:rsidRPr="007B7E0A">
        <w:br w:type="page"/>
      </w:r>
    </w:p>
    <w:p w14:paraId="6FBFDB38" w14:textId="6113EDA5" w:rsidR="00355FC2" w:rsidRPr="0090471A" w:rsidRDefault="00601799" w:rsidP="009C2DEC">
      <w:pPr>
        <w:pStyle w:val="Heading2"/>
        <w:spacing w:before="0" w:after="120" w:line="240" w:lineRule="auto"/>
        <w:rPr>
          <w:rFonts w:asciiTheme="minorHAnsi" w:hAnsiTheme="minorHAnsi"/>
        </w:rPr>
      </w:pPr>
      <w:bookmarkStart w:id="4" w:name="_Toc202276026"/>
      <w:r w:rsidRPr="0090471A">
        <w:rPr>
          <w:rFonts w:asciiTheme="minorHAnsi" w:hAnsiTheme="minorHAnsi"/>
        </w:rPr>
        <w:lastRenderedPageBreak/>
        <w:t>V</w:t>
      </w:r>
      <w:r w:rsidR="00355FC2" w:rsidRPr="0090471A">
        <w:rPr>
          <w:rFonts w:asciiTheme="minorHAnsi" w:hAnsiTheme="minorHAnsi"/>
        </w:rPr>
        <w:t>. Bridging the Gaps: Recommendations for Consideration</w:t>
      </w:r>
      <w:bookmarkEnd w:id="4"/>
    </w:p>
    <w:p w14:paraId="04C93C7A" w14:textId="084EF98B" w:rsidR="00591550" w:rsidRDefault="00600FFE" w:rsidP="0027190C">
      <w:pPr>
        <w:rPr>
          <w:sz w:val="22"/>
          <w:szCs w:val="22"/>
        </w:rPr>
      </w:pPr>
      <w:r w:rsidRPr="008D5DBB">
        <w:rPr>
          <w:sz w:val="22"/>
          <w:szCs w:val="22"/>
        </w:rPr>
        <w:t>The Task Force developed the following</w:t>
      </w:r>
      <w:r>
        <w:rPr>
          <w:sz w:val="22"/>
          <w:szCs w:val="22"/>
        </w:rPr>
        <w:t xml:space="preserve"> package of</w:t>
      </w:r>
      <w:r w:rsidRPr="008D5DBB">
        <w:rPr>
          <w:sz w:val="22"/>
          <w:szCs w:val="22"/>
        </w:rPr>
        <w:t xml:space="preserve"> recommendation</w:t>
      </w:r>
      <w:r w:rsidR="00180F95">
        <w:rPr>
          <w:sz w:val="22"/>
          <w:szCs w:val="22"/>
        </w:rPr>
        <w:t>s</w:t>
      </w:r>
      <w:r w:rsidRPr="008D5DBB">
        <w:rPr>
          <w:sz w:val="22"/>
          <w:szCs w:val="22"/>
        </w:rPr>
        <w:t xml:space="preserve"> </w:t>
      </w:r>
      <w:r>
        <w:rPr>
          <w:sz w:val="22"/>
          <w:szCs w:val="22"/>
        </w:rPr>
        <w:t xml:space="preserve">based </w:t>
      </w:r>
      <w:r w:rsidRPr="008D5DBB">
        <w:rPr>
          <w:sz w:val="22"/>
          <w:szCs w:val="22"/>
        </w:rPr>
        <w:t>o</w:t>
      </w:r>
      <w:r>
        <w:rPr>
          <w:sz w:val="22"/>
          <w:szCs w:val="22"/>
        </w:rPr>
        <w:t xml:space="preserve">n </w:t>
      </w:r>
      <w:r w:rsidR="00746481">
        <w:rPr>
          <w:sz w:val="22"/>
          <w:szCs w:val="22"/>
        </w:rPr>
        <w:t xml:space="preserve">its </w:t>
      </w:r>
      <w:r w:rsidR="006023D7">
        <w:rPr>
          <w:sz w:val="22"/>
          <w:szCs w:val="22"/>
        </w:rPr>
        <w:t>d</w:t>
      </w:r>
      <w:r w:rsidR="005E4FCD">
        <w:rPr>
          <w:sz w:val="22"/>
          <w:szCs w:val="22"/>
        </w:rPr>
        <w:t>eliberations</w:t>
      </w:r>
      <w:r w:rsidR="006023D7">
        <w:rPr>
          <w:sz w:val="22"/>
          <w:szCs w:val="22"/>
        </w:rPr>
        <w:t xml:space="preserve">, as well as </w:t>
      </w:r>
      <w:r>
        <w:rPr>
          <w:sz w:val="22"/>
          <w:szCs w:val="22"/>
        </w:rPr>
        <w:t>the presentations</w:t>
      </w:r>
      <w:r w:rsidR="00746481">
        <w:rPr>
          <w:sz w:val="22"/>
          <w:szCs w:val="22"/>
        </w:rPr>
        <w:t xml:space="preserve"> </w:t>
      </w:r>
      <w:r w:rsidR="00365ECE">
        <w:rPr>
          <w:sz w:val="22"/>
          <w:szCs w:val="22"/>
        </w:rPr>
        <w:t xml:space="preserve">and </w:t>
      </w:r>
      <w:r w:rsidR="00BF43E6">
        <w:rPr>
          <w:sz w:val="22"/>
          <w:szCs w:val="22"/>
        </w:rPr>
        <w:t>resource</w:t>
      </w:r>
      <w:r w:rsidR="00746481">
        <w:rPr>
          <w:sz w:val="22"/>
          <w:szCs w:val="22"/>
        </w:rPr>
        <w:t>s shared with the group.</w:t>
      </w:r>
      <w:r>
        <w:rPr>
          <w:sz w:val="22"/>
          <w:szCs w:val="22"/>
        </w:rPr>
        <w:t xml:space="preserve"> W</w:t>
      </w:r>
      <w:r w:rsidR="0027190C" w:rsidRPr="008D5DBB">
        <w:rPr>
          <w:sz w:val="22"/>
          <w:szCs w:val="22"/>
        </w:rPr>
        <w:t xml:space="preserve">hile efforts were made to </w:t>
      </w:r>
      <w:r w:rsidR="00BF18AD">
        <w:rPr>
          <w:sz w:val="22"/>
          <w:szCs w:val="22"/>
        </w:rPr>
        <w:t xml:space="preserve">reach </w:t>
      </w:r>
      <w:r w:rsidR="00F41FBE">
        <w:rPr>
          <w:sz w:val="22"/>
          <w:szCs w:val="22"/>
        </w:rPr>
        <w:t xml:space="preserve">broad </w:t>
      </w:r>
      <w:r w:rsidR="00BF18AD" w:rsidRPr="008D5DBB">
        <w:rPr>
          <w:sz w:val="22"/>
          <w:szCs w:val="22"/>
        </w:rPr>
        <w:t>consensus</w:t>
      </w:r>
      <w:r w:rsidR="00F41FBE">
        <w:rPr>
          <w:sz w:val="22"/>
          <w:szCs w:val="22"/>
        </w:rPr>
        <w:t xml:space="preserve"> amongst the Task Force’s membership</w:t>
      </w:r>
      <w:r w:rsidR="00BF18AD" w:rsidRPr="008D5DBB">
        <w:rPr>
          <w:sz w:val="22"/>
          <w:szCs w:val="22"/>
        </w:rPr>
        <w:t>, o</w:t>
      </w:r>
      <w:r w:rsidR="00BA30D6">
        <w:rPr>
          <w:sz w:val="22"/>
          <w:szCs w:val="22"/>
        </w:rPr>
        <w:t>n</w:t>
      </w:r>
      <w:r w:rsidR="006C5C54">
        <w:rPr>
          <w:sz w:val="22"/>
          <w:szCs w:val="22"/>
        </w:rPr>
        <w:t xml:space="preserve"> one </w:t>
      </w:r>
      <w:r w:rsidR="00BF18AD" w:rsidRPr="008D5DBB">
        <w:rPr>
          <w:sz w:val="22"/>
          <w:szCs w:val="22"/>
        </w:rPr>
        <w:t>of the propos</w:t>
      </w:r>
      <w:r w:rsidR="0027190C" w:rsidRPr="008D5DBB">
        <w:rPr>
          <w:sz w:val="22"/>
          <w:szCs w:val="22"/>
        </w:rPr>
        <w:t>e</w:t>
      </w:r>
      <w:r w:rsidR="00BF18AD" w:rsidRPr="008D5DBB">
        <w:rPr>
          <w:sz w:val="22"/>
          <w:szCs w:val="22"/>
        </w:rPr>
        <w:t>d</w:t>
      </w:r>
      <w:r w:rsidR="0027190C" w:rsidRPr="008D5DBB">
        <w:rPr>
          <w:sz w:val="22"/>
          <w:szCs w:val="22"/>
        </w:rPr>
        <w:t xml:space="preserve"> recommendations</w:t>
      </w:r>
      <w:r w:rsidR="00BA30D6">
        <w:rPr>
          <w:sz w:val="22"/>
          <w:szCs w:val="22"/>
        </w:rPr>
        <w:t xml:space="preserve"> below</w:t>
      </w:r>
      <w:r w:rsidR="003F3027">
        <w:rPr>
          <w:sz w:val="22"/>
          <w:szCs w:val="22"/>
        </w:rPr>
        <w:t>,</w:t>
      </w:r>
      <w:r w:rsidR="00BA30D6">
        <w:rPr>
          <w:sz w:val="22"/>
          <w:szCs w:val="22"/>
        </w:rPr>
        <w:t xml:space="preserve"> the group was unable to reach full agreemen</w:t>
      </w:r>
      <w:r w:rsidR="006C5C54">
        <w:rPr>
          <w:sz w:val="22"/>
          <w:szCs w:val="22"/>
        </w:rPr>
        <w:t>t and the varying opinion</w:t>
      </w:r>
      <w:r w:rsidR="003539E7">
        <w:rPr>
          <w:sz w:val="22"/>
          <w:szCs w:val="22"/>
        </w:rPr>
        <w:t>s</w:t>
      </w:r>
      <w:r w:rsidR="006C5C54">
        <w:rPr>
          <w:sz w:val="22"/>
          <w:szCs w:val="22"/>
        </w:rPr>
        <w:t xml:space="preserve"> are noted.</w:t>
      </w:r>
    </w:p>
    <w:p w14:paraId="44661EEB" w14:textId="244A9625" w:rsidR="006C5C54" w:rsidRDefault="006C5C54" w:rsidP="006C5C54">
      <w:pPr>
        <w:rPr>
          <w:sz w:val="22"/>
          <w:szCs w:val="22"/>
        </w:rPr>
      </w:pPr>
      <w:r>
        <w:rPr>
          <w:sz w:val="22"/>
          <w:szCs w:val="22"/>
        </w:rPr>
        <w:t>As noted in several of the recommendations, there are legislative proposals in the 194</w:t>
      </w:r>
      <w:r w:rsidRPr="00F271CB">
        <w:rPr>
          <w:sz w:val="22"/>
          <w:szCs w:val="22"/>
          <w:vertAlign w:val="superscript"/>
        </w:rPr>
        <w:t>th</w:t>
      </w:r>
      <w:r>
        <w:rPr>
          <w:sz w:val="22"/>
          <w:szCs w:val="22"/>
        </w:rPr>
        <w:t xml:space="preserve"> Massachusetts General Court that include provisions consistent with the recommendation(s).  Appendix C includes the references to those legislative proposals. While the Task Force is not necessarily advocating for a specific legislative proposal, we wanted to share where our recommendations overlapped with provisions in legislative proposals that are being considered.</w:t>
      </w:r>
    </w:p>
    <w:p w14:paraId="4AB84175" w14:textId="4163AA49" w:rsidR="00A566A6" w:rsidRDefault="0000791A" w:rsidP="00A566A6">
      <w:pPr>
        <w:rPr>
          <w:rFonts w:eastAsia="Times New Roman" w:cs="Times New Roman"/>
          <w:color w:val="000000"/>
          <w:kern w:val="0"/>
          <w:sz w:val="22"/>
          <w:szCs w:val="22"/>
          <w14:ligatures w14:val="none"/>
        </w:rPr>
      </w:pPr>
      <w:r>
        <w:rPr>
          <w:sz w:val="22"/>
          <w:szCs w:val="22"/>
        </w:rPr>
        <w:t xml:space="preserve">Additionally, </w:t>
      </w:r>
      <w:r w:rsidR="00AF2827">
        <w:rPr>
          <w:sz w:val="22"/>
          <w:szCs w:val="22"/>
        </w:rPr>
        <w:t xml:space="preserve">it is important to note that </w:t>
      </w:r>
      <w:r>
        <w:rPr>
          <w:sz w:val="22"/>
          <w:szCs w:val="22"/>
        </w:rPr>
        <w:t>the work</w:t>
      </w:r>
      <w:r w:rsidR="00971533">
        <w:rPr>
          <w:rFonts w:eastAsia="Times New Roman" w:cs="Times New Roman"/>
          <w:color w:val="000000"/>
          <w:kern w:val="0"/>
          <w:sz w:val="22"/>
          <w:szCs w:val="22"/>
          <w14:ligatures w14:val="none"/>
        </w:rPr>
        <w:t xml:space="preserve"> of the </w:t>
      </w:r>
      <w:r w:rsidR="00971533" w:rsidRPr="003B7889">
        <w:rPr>
          <w:rFonts w:eastAsia="Times New Roman" w:cs="Times New Roman"/>
          <w:color w:val="000000"/>
          <w:kern w:val="0"/>
          <w:sz w:val="22"/>
          <w:szCs w:val="22"/>
          <w14:ligatures w14:val="none"/>
        </w:rPr>
        <w:t>Task Force was conducted prior to the passage of federal legislation</w:t>
      </w:r>
      <w:r w:rsidR="00971533">
        <w:rPr>
          <w:rFonts w:eastAsia="Times New Roman" w:cs="Times New Roman"/>
          <w:color w:val="000000"/>
          <w:kern w:val="0"/>
          <w:sz w:val="22"/>
          <w:szCs w:val="22"/>
          <w14:ligatures w14:val="none"/>
        </w:rPr>
        <w:t xml:space="preserve"> </w:t>
      </w:r>
      <w:r w:rsidR="00AF2827">
        <w:rPr>
          <w:rFonts w:eastAsia="Times New Roman" w:cs="Times New Roman"/>
          <w:color w:val="000000"/>
          <w:kern w:val="0"/>
          <w:sz w:val="22"/>
          <w:szCs w:val="22"/>
          <w14:ligatures w14:val="none"/>
        </w:rPr>
        <w:t>signe</w:t>
      </w:r>
      <w:r w:rsidR="00971533">
        <w:rPr>
          <w:rFonts w:eastAsia="Times New Roman" w:cs="Times New Roman"/>
          <w:color w:val="000000"/>
          <w:kern w:val="0"/>
          <w:sz w:val="22"/>
          <w:szCs w:val="22"/>
          <w14:ligatures w14:val="none"/>
        </w:rPr>
        <w:t>d</w:t>
      </w:r>
      <w:r w:rsidR="00971533" w:rsidRPr="003B7889">
        <w:rPr>
          <w:rFonts w:eastAsia="Times New Roman" w:cs="Times New Roman"/>
          <w:color w:val="000000"/>
          <w:kern w:val="0"/>
          <w:sz w:val="22"/>
          <w:szCs w:val="22"/>
          <w14:ligatures w14:val="none"/>
        </w:rPr>
        <w:t xml:space="preserve"> in</w:t>
      </w:r>
      <w:r w:rsidR="00AF2827">
        <w:rPr>
          <w:rFonts w:eastAsia="Times New Roman" w:cs="Times New Roman"/>
          <w:color w:val="000000"/>
          <w:kern w:val="0"/>
          <w:sz w:val="22"/>
          <w:szCs w:val="22"/>
          <w14:ligatures w14:val="none"/>
        </w:rPr>
        <w:t>to law on</w:t>
      </w:r>
      <w:r w:rsidR="00971533" w:rsidRPr="003B7889">
        <w:rPr>
          <w:rFonts w:eastAsia="Times New Roman" w:cs="Times New Roman"/>
          <w:color w:val="000000"/>
          <w:kern w:val="0"/>
          <w:sz w:val="22"/>
          <w:szCs w:val="22"/>
          <w14:ligatures w14:val="none"/>
        </w:rPr>
        <w:t xml:space="preserve"> July </w:t>
      </w:r>
      <w:r w:rsidR="003C5C46">
        <w:rPr>
          <w:rFonts w:eastAsia="Times New Roman" w:cs="Times New Roman"/>
          <w:color w:val="000000"/>
          <w:kern w:val="0"/>
          <w:sz w:val="22"/>
          <w:szCs w:val="22"/>
          <w14:ligatures w14:val="none"/>
        </w:rPr>
        <w:t>4</w:t>
      </w:r>
      <w:r w:rsidR="00070F7D">
        <w:rPr>
          <w:rFonts w:eastAsia="Times New Roman" w:cs="Times New Roman"/>
          <w:color w:val="000000"/>
          <w:kern w:val="0"/>
          <w:sz w:val="22"/>
          <w:szCs w:val="22"/>
          <w14:ligatures w14:val="none"/>
        </w:rPr>
        <w:t xml:space="preserve">, </w:t>
      </w:r>
      <w:r w:rsidR="00971533" w:rsidRPr="003B7889">
        <w:rPr>
          <w:rFonts w:eastAsia="Times New Roman" w:cs="Times New Roman"/>
          <w:color w:val="000000"/>
          <w:kern w:val="0"/>
          <w:sz w:val="22"/>
          <w:szCs w:val="22"/>
          <w14:ligatures w14:val="none"/>
        </w:rPr>
        <w:t>2025, whic</w:t>
      </w:r>
      <w:r w:rsidR="00971533">
        <w:rPr>
          <w:rFonts w:eastAsia="Times New Roman" w:cs="Times New Roman"/>
          <w:color w:val="000000"/>
          <w:kern w:val="0"/>
          <w:sz w:val="22"/>
          <w:szCs w:val="22"/>
          <w14:ligatures w14:val="none"/>
        </w:rPr>
        <w:t>h</w:t>
      </w:r>
      <w:r w:rsidR="00971533">
        <w:t xml:space="preserve"> </w:t>
      </w:r>
      <w:r w:rsidR="00070F7D">
        <w:rPr>
          <w:rFonts w:eastAsia="Times New Roman" w:cs="Times New Roman"/>
          <w:color w:val="000000"/>
          <w:kern w:val="0"/>
          <w:sz w:val="22"/>
          <w:szCs w:val="22"/>
          <w14:ligatures w14:val="none"/>
        </w:rPr>
        <w:t>includes</w:t>
      </w:r>
      <w:r w:rsidR="00A0631C">
        <w:rPr>
          <w:rFonts w:eastAsia="Times New Roman" w:cs="Times New Roman"/>
          <w:color w:val="000000"/>
          <w:kern w:val="0"/>
          <w:sz w:val="22"/>
          <w:szCs w:val="22"/>
          <w14:ligatures w14:val="none"/>
        </w:rPr>
        <w:t xml:space="preserve"> certain</w:t>
      </w:r>
      <w:r w:rsidR="00070F7D">
        <w:rPr>
          <w:rFonts w:eastAsia="Times New Roman" w:cs="Times New Roman"/>
          <w:color w:val="000000"/>
          <w:kern w:val="0"/>
          <w:sz w:val="22"/>
          <w:szCs w:val="22"/>
          <w14:ligatures w14:val="none"/>
        </w:rPr>
        <w:t xml:space="preserve"> provisions that</w:t>
      </w:r>
      <w:r w:rsidR="00971533">
        <w:rPr>
          <w:rFonts w:eastAsia="Times New Roman" w:cs="Times New Roman"/>
          <w:color w:val="000000"/>
          <w:kern w:val="0"/>
          <w:sz w:val="22"/>
          <w:szCs w:val="22"/>
          <w14:ligatures w14:val="none"/>
        </w:rPr>
        <w:t xml:space="preserve"> </w:t>
      </w:r>
      <w:r w:rsidR="00C301BD">
        <w:rPr>
          <w:rFonts w:eastAsia="Times New Roman" w:cs="Times New Roman"/>
          <w:color w:val="000000"/>
          <w:kern w:val="0"/>
          <w:sz w:val="22"/>
          <w:szCs w:val="22"/>
          <w14:ligatures w14:val="none"/>
        </w:rPr>
        <w:t xml:space="preserve">may significantly </w:t>
      </w:r>
      <w:r w:rsidR="00070F7D">
        <w:rPr>
          <w:rFonts w:eastAsia="Times New Roman" w:cs="Times New Roman"/>
          <w:color w:val="000000"/>
          <w:kern w:val="0"/>
          <w:sz w:val="22"/>
          <w:szCs w:val="22"/>
          <w14:ligatures w14:val="none"/>
        </w:rPr>
        <w:t>impact</w:t>
      </w:r>
      <w:r w:rsidR="00971533" w:rsidRPr="00F13CFC">
        <w:rPr>
          <w:rFonts w:eastAsia="Times New Roman" w:cs="Times New Roman"/>
          <w:color w:val="000000"/>
          <w:kern w:val="0"/>
          <w:sz w:val="22"/>
          <w:szCs w:val="22"/>
          <w14:ligatures w14:val="none"/>
        </w:rPr>
        <w:t xml:space="preserve"> access and barriers</w:t>
      </w:r>
      <w:r w:rsidR="00A566A6">
        <w:rPr>
          <w:rFonts w:eastAsia="Times New Roman" w:cs="Times New Roman"/>
          <w:color w:val="000000"/>
          <w:kern w:val="0"/>
          <w:sz w:val="22"/>
          <w:szCs w:val="22"/>
          <w14:ligatures w14:val="none"/>
        </w:rPr>
        <w:t xml:space="preserve"> to healthcare, e.g., introducing </w:t>
      </w:r>
      <w:r w:rsidR="00971533" w:rsidRPr="00F13CFC">
        <w:rPr>
          <w:rFonts w:eastAsia="Times New Roman" w:cs="Times New Roman"/>
          <w:color w:val="000000"/>
          <w:kern w:val="0"/>
          <w:sz w:val="22"/>
          <w:szCs w:val="22"/>
          <w14:ligatures w14:val="none"/>
        </w:rPr>
        <w:t xml:space="preserve">penalties for insuring </w:t>
      </w:r>
      <w:r w:rsidR="00971533">
        <w:rPr>
          <w:rFonts w:eastAsia="Times New Roman" w:cs="Times New Roman"/>
          <w:color w:val="000000"/>
          <w:kern w:val="0"/>
          <w:sz w:val="22"/>
          <w:szCs w:val="22"/>
          <w14:ligatures w14:val="none"/>
        </w:rPr>
        <w:t xml:space="preserve">individuals </w:t>
      </w:r>
      <w:r w:rsidR="00971533" w:rsidRPr="00F13CFC">
        <w:rPr>
          <w:rFonts w:eastAsia="Times New Roman" w:cs="Times New Roman"/>
          <w:color w:val="000000"/>
          <w:kern w:val="0"/>
          <w:sz w:val="22"/>
          <w:szCs w:val="22"/>
          <w14:ligatures w14:val="none"/>
        </w:rPr>
        <w:t>with documentation issues</w:t>
      </w:r>
      <w:r w:rsidR="00A566A6">
        <w:rPr>
          <w:rFonts w:eastAsia="Times New Roman" w:cs="Times New Roman"/>
          <w:color w:val="000000"/>
          <w:kern w:val="0"/>
          <w:sz w:val="22"/>
          <w:szCs w:val="22"/>
          <w14:ligatures w14:val="none"/>
        </w:rPr>
        <w:t xml:space="preserve">, </w:t>
      </w:r>
      <w:r w:rsidR="00971533" w:rsidRPr="00F13CFC">
        <w:rPr>
          <w:rFonts w:eastAsia="Times New Roman" w:cs="Times New Roman"/>
          <w:color w:val="000000"/>
          <w:kern w:val="0"/>
          <w:sz w:val="22"/>
          <w:szCs w:val="22"/>
          <w14:ligatures w14:val="none"/>
        </w:rPr>
        <w:t>retroactive</w:t>
      </w:r>
      <w:r w:rsidR="00971533">
        <w:rPr>
          <w:rFonts w:eastAsia="Times New Roman" w:cs="Times New Roman"/>
          <w:color w:val="000000"/>
          <w:kern w:val="0"/>
          <w:sz w:val="22"/>
          <w:szCs w:val="22"/>
          <w14:ligatures w14:val="none"/>
        </w:rPr>
        <w:t>ly reduc</w:t>
      </w:r>
      <w:r w:rsidR="00A566A6">
        <w:rPr>
          <w:rFonts w:eastAsia="Times New Roman" w:cs="Times New Roman"/>
          <w:color w:val="000000"/>
          <w:kern w:val="0"/>
          <w:sz w:val="22"/>
          <w:szCs w:val="22"/>
          <w14:ligatures w14:val="none"/>
        </w:rPr>
        <w:t>ing</w:t>
      </w:r>
      <w:r w:rsidR="00971533" w:rsidRPr="00F13CFC">
        <w:rPr>
          <w:rFonts w:eastAsia="Times New Roman" w:cs="Times New Roman"/>
          <w:color w:val="000000"/>
          <w:kern w:val="0"/>
          <w:sz w:val="22"/>
          <w:szCs w:val="22"/>
          <w14:ligatures w14:val="none"/>
        </w:rPr>
        <w:t xml:space="preserve"> coverage from 90 days to 60 days</w:t>
      </w:r>
      <w:r w:rsidR="00A566A6">
        <w:rPr>
          <w:rFonts w:eastAsia="Times New Roman" w:cs="Times New Roman"/>
          <w:color w:val="000000"/>
          <w:kern w:val="0"/>
          <w:sz w:val="22"/>
          <w:szCs w:val="22"/>
          <w14:ligatures w14:val="none"/>
        </w:rPr>
        <w:t>, etc</w:t>
      </w:r>
      <w:r w:rsidR="00971533" w:rsidRPr="00F13CFC">
        <w:rPr>
          <w:rFonts w:eastAsia="Times New Roman" w:cs="Times New Roman"/>
          <w:color w:val="000000"/>
          <w:kern w:val="0"/>
          <w:sz w:val="22"/>
          <w:szCs w:val="22"/>
          <w14:ligatures w14:val="none"/>
        </w:rPr>
        <w:t>.</w:t>
      </w:r>
      <w:r w:rsidR="005819F3">
        <w:rPr>
          <w:rFonts w:eastAsia="Times New Roman" w:cs="Times New Roman"/>
          <w:color w:val="000000"/>
          <w:kern w:val="0"/>
          <w:sz w:val="22"/>
          <w:szCs w:val="22"/>
          <w14:ligatures w14:val="none"/>
        </w:rPr>
        <w:t xml:space="preserve"> These federal changes are likely to exacerbate the problem of patients being delayed in transitioning from acute to post-acute care settings.</w:t>
      </w:r>
    </w:p>
    <w:p w14:paraId="2C87ECB5" w14:textId="24D6C392" w:rsidR="00361F50" w:rsidRPr="0027190C" w:rsidRDefault="0000791A" w:rsidP="008D5DBB">
      <w:r>
        <w:rPr>
          <w:sz w:val="22"/>
          <w:szCs w:val="22"/>
        </w:rPr>
        <w:t xml:space="preserve"> </w:t>
      </w:r>
      <w:r w:rsidR="00361F50">
        <w:rPr>
          <w:sz w:val="22"/>
          <w:szCs w:val="22"/>
        </w:rPr>
        <w:t xml:space="preserve">Table 1 = </w:t>
      </w:r>
      <w:r w:rsidR="00361F50" w:rsidRPr="008A1D5D">
        <w:rPr>
          <w:color w:val="000000"/>
          <w:sz w:val="22"/>
          <w:szCs w:val="22"/>
        </w:rPr>
        <w:t>Legal &amp; Decision-Making Considerations</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E4526E" w:rsidRPr="007B7E0A" w14:paraId="5F3D19B8" w14:textId="77777777" w:rsidTr="00361F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4D199670" w14:textId="77777777" w:rsidR="00D129D3" w:rsidRPr="0090471A" w:rsidRDefault="00D129D3" w:rsidP="009C2DEC">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69AD22EC" w14:textId="6A99212E" w:rsidR="00D129D3" w:rsidRPr="0090471A" w:rsidRDefault="00D129D3" w:rsidP="009C2DEC">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3221A894" w14:textId="1735F11C" w:rsidR="00D129D3" w:rsidRPr="0090471A" w:rsidRDefault="00D129D3" w:rsidP="009C2DEC">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504CFE5F" w14:textId="45F5F734" w:rsidR="00D129D3" w:rsidRPr="0090471A" w:rsidRDefault="00D129D3" w:rsidP="009C2DEC">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sidR="007722E9">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sidR="007722E9">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sidR="00586804">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01041A" w:rsidRPr="007B7E0A" w14:paraId="066D9FCB"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54B37051" w14:textId="2DE217FA" w:rsidR="00D129D3" w:rsidRPr="006B569B" w:rsidRDefault="00361F50" w:rsidP="002A6716">
            <w:pPr>
              <w:spacing w:after="120"/>
              <w:rPr>
                <w:rFonts w:eastAsia="Times New Roman" w:cs="Times New Roman"/>
                <w:color w:val="000000"/>
                <w:kern w:val="0"/>
                <w:sz w:val="22"/>
                <w:szCs w:val="22"/>
                <w14:ligatures w14:val="none"/>
              </w:rPr>
            </w:pPr>
            <w:r w:rsidRPr="006B569B">
              <w:rPr>
                <w:rFonts w:eastAsia="Times New Roman" w:cs="Times New Roman"/>
                <w:color w:val="000000"/>
                <w:kern w:val="0"/>
                <w:sz w:val="22"/>
                <w:szCs w:val="22"/>
                <w14:ligatures w14:val="none"/>
              </w:rPr>
              <w:t xml:space="preserve">1.1 </w:t>
            </w:r>
            <w:r>
              <w:rPr>
                <w:rFonts w:eastAsia="Times New Roman" w:cs="Times New Roman"/>
                <w:color w:val="000000"/>
                <w:kern w:val="0"/>
                <w:sz w:val="22"/>
                <w:szCs w:val="22"/>
                <w14:ligatures w14:val="none"/>
              </w:rPr>
              <w:t>Advance</w:t>
            </w:r>
            <w:r w:rsidR="00D129D3" w:rsidRPr="006B569B">
              <w:rPr>
                <w:sz w:val="22"/>
                <w:szCs w:val="22"/>
              </w:rPr>
              <w:t xml:space="preserve"> “Next of Kin” or “Surrogate” Decision-Making legislation</w:t>
            </w:r>
          </w:p>
        </w:tc>
        <w:tc>
          <w:tcPr>
            <w:tcW w:w="3843" w:type="dxa"/>
            <w:noWrap/>
            <w:vAlign w:val="center"/>
          </w:tcPr>
          <w:p w14:paraId="73ED81CE" w14:textId="77777777" w:rsidR="00614107" w:rsidRPr="00614107" w:rsidRDefault="00D129D3" w:rsidP="009E0AC2">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Support passage of</w:t>
            </w:r>
            <w:r w:rsidR="009D04E7">
              <w:rPr>
                <w:sz w:val="22"/>
                <w:szCs w:val="22"/>
              </w:rPr>
              <w:t xml:space="preserve"> legislation</w:t>
            </w:r>
            <w:r w:rsidR="00EB1F90">
              <w:rPr>
                <w:sz w:val="22"/>
                <w:szCs w:val="22"/>
              </w:rPr>
              <w:t xml:space="preserve"> </w:t>
            </w:r>
            <w:r w:rsidRPr="003E14FB">
              <w:rPr>
                <w:sz w:val="22"/>
                <w:szCs w:val="22"/>
              </w:rPr>
              <w:t>to establish a default surrogate hierarchy for patients lacking capacity and without an appointed Health Care Proxy</w:t>
            </w:r>
            <w:r w:rsidR="00F00691">
              <w:rPr>
                <w:sz w:val="22"/>
                <w:szCs w:val="22"/>
              </w:rPr>
              <w:t xml:space="preserve"> </w:t>
            </w:r>
            <w:r w:rsidR="001A34A0">
              <w:rPr>
                <w:sz w:val="22"/>
                <w:szCs w:val="22"/>
              </w:rPr>
              <w:t>(</w:t>
            </w:r>
            <w:r w:rsidR="00AB22B4">
              <w:rPr>
                <w:sz w:val="22"/>
                <w:szCs w:val="22"/>
              </w:rPr>
              <w:t>e.g</w:t>
            </w:r>
            <w:r w:rsidR="004929CF">
              <w:rPr>
                <w:sz w:val="22"/>
                <w:szCs w:val="22"/>
              </w:rPr>
              <w:t>.</w:t>
            </w:r>
            <w:r w:rsidR="004929CF" w:rsidRPr="00CC06DB">
              <w:rPr>
                <w:sz w:val="22"/>
                <w:szCs w:val="22"/>
              </w:rPr>
              <w:t xml:space="preserve">, appointing surrogate vs. </w:t>
            </w:r>
            <w:r w:rsidRPr="003E14FB" w:rsidDel="008F427A">
              <w:rPr>
                <w:sz w:val="22"/>
                <w:szCs w:val="22"/>
              </w:rPr>
              <w:t>relying on highest-ranked available next of kin, clarify definitions, clarify scope and duration of next of kin/surrogate, address handling of family disagreement</w:t>
            </w:r>
            <w:r w:rsidR="005A21A4">
              <w:rPr>
                <w:sz w:val="22"/>
                <w:szCs w:val="22"/>
              </w:rPr>
              <w:t>). The majority of these concepts are contained in provisions included in various bills currently under review</w:t>
            </w:r>
            <w:r w:rsidR="007B32EC">
              <w:rPr>
                <w:sz w:val="22"/>
                <w:szCs w:val="22"/>
              </w:rPr>
              <w:t>; please see Appendix C.</w:t>
            </w:r>
          </w:p>
          <w:p w14:paraId="02E8C34C" w14:textId="3B317F84" w:rsidR="00D129D3" w:rsidRPr="003E14FB" w:rsidRDefault="00D129D3" w:rsidP="009E0AC2">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 xml:space="preserve">Convene key stakeholders from the hospital, legal, and post-acute care communities to ensure that proposed and adopted statutory language includes the necessary </w:t>
            </w:r>
            <w:r w:rsidRPr="003E14FB">
              <w:rPr>
                <w:sz w:val="22"/>
                <w:szCs w:val="22"/>
              </w:rPr>
              <w:lastRenderedPageBreak/>
              <w:t>clarifications and protections to effectively address the problem</w:t>
            </w:r>
            <w:r w:rsidR="00972FB4">
              <w:rPr>
                <w:sz w:val="22"/>
                <w:szCs w:val="22"/>
              </w:rPr>
              <w:t>.</w:t>
            </w:r>
          </w:p>
        </w:tc>
        <w:tc>
          <w:tcPr>
            <w:tcW w:w="2700" w:type="dxa"/>
            <w:noWrap/>
          </w:tcPr>
          <w:p w14:paraId="3698F55B" w14:textId="70DF2D4B" w:rsidR="00D129D3" w:rsidRPr="003E14FB" w:rsidRDefault="00D129D3" w:rsidP="004774E1">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lastRenderedPageBreak/>
              <w:t>Provides a legally recognized fallback decision-maker to prevent discharge delays, reduce emergency guardianship filings, and enable timely care decisions for incapacitated individuals</w:t>
            </w:r>
            <w:r w:rsidR="00B60FB3">
              <w:rPr>
                <w:sz w:val="22"/>
                <w:szCs w:val="22"/>
              </w:rPr>
              <w:t>.</w:t>
            </w:r>
          </w:p>
        </w:tc>
        <w:tc>
          <w:tcPr>
            <w:tcW w:w="1440" w:type="dxa"/>
            <w:noWrap/>
          </w:tcPr>
          <w:p w14:paraId="25096720" w14:textId="02D96F90" w:rsidR="00D129D3" w:rsidRPr="003E14FB" w:rsidRDefault="00D129D3" w:rsidP="004774E1">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iii, vi</w:t>
            </w:r>
          </w:p>
        </w:tc>
      </w:tr>
      <w:tr w:rsidR="00E4526E" w:rsidRPr="007B7E0A" w14:paraId="4218E768"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461092FE" w14:textId="0B6A0547" w:rsidR="00D129D3" w:rsidRPr="0009524A" w:rsidRDefault="00361F50" w:rsidP="009E0AC2">
            <w:pPr>
              <w:spacing w:after="120"/>
              <w:rPr>
                <w:rFonts w:eastAsia="Times New Roman" w:cs="Times New Roman"/>
                <w:b w:val="0"/>
                <w:bCs w:val="0"/>
                <w:color w:val="000000"/>
                <w:kern w:val="0"/>
                <w:sz w:val="22"/>
                <w:szCs w:val="22"/>
                <w14:ligatures w14:val="none"/>
              </w:rPr>
            </w:pPr>
            <w:r w:rsidRPr="0009524A">
              <w:rPr>
                <w:rFonts w:eastAsia="Times New Roman" w:cs="Times New Roman"/>
                <w:color w:val="000000"/>
                <w:kern w:val="0"/>
                <w:sz w:val="22"/>
                <w:szCs w:val="22"/>
                <w14:ligatures w14:val="none"/>
              </w:rPr>
              <w:t xml:space="preserve">1.2 </w:t>
            </w:r>
            <w:r>
              <w:rPr>
                <w:rFonts w:eastAsia="Times New Roman" w:cs="Times New Roman"/>
                <w:color w:val="000000"/>
                <w:kern w:val="0"/>
                <w:sz w:val="22"/>
                <w:szCs w:val="22"/>
                <w14:ligatures w14:val="none"/>
              </w:rPr>
              <w:t>Expand</w:t>
            </w:r>
            <w:r w:rsidR="00D129D3" w:rsidRPr="0009524A">
              <w:rPr>
                <w:rFonts w:eastAsia="Times New Roman" w:cs="Times New Roman"/>
                <w:color w:val="000000"/>
                <w:kern w:val="0"/>
                <w:sz w:val="22"/>
                <w:szCs w:val="22"/>
                <w14:ligatures w14:val="none"/>
              </w:rPr>
              <w:t xml:space="preserve"> Health Care Proxy (HCP) education and execution</w:t>
            </w:r>
          </w:p>
        </w:tc>
        <w:tc>
          <w:tcPr>
            <w:tcW w:w="3843" w:type="dxa"/>
            <w:noWrap/>
            <w:hideMark/>
          </w:tcPr>
          <w:p w14:paraId="640EBC92" w14:textId="45D16B61" w:rsidR="00D129D3" w:rsidRPr="003E14FB" w:rsidRDefault="00D129D3" w:rsidP="009E0AC2">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Scale and routinize the </w:t>
            </w:r>
            <w:r w:rsidRPr="003E14FB">
              <w:rPr>
                <w:sz w:val="22"/>
                <w:szCs w:val="22"/>
              </w:rPr>
              <w:t>MHA / Honoring Choices Massachusetts / DPH</w:t>
            </w:r>
            <w:r w:rsidRPr="003E14FB" w:rsidDel="006E209C">
              <w:rPr>
                <w:rFonts w:eastAsia="Times New Roman" w:cs="Times New Roman"/>
                <w:color w:val="000000"/>
                <w:kern w:val="0"/>
                <w:sz w:val="22"/>
                <w:szCs w:val="22"/>
                <w14:ligatures w14:val="none"/>
              </w:rPr>
              <w:t xml:space="preserve"> </w:t>
            </w:r>
            <w:r w:rsidRPr="003E14FB">
              <w:rPr>
                <w:rFonts w:eastAsia="Times New Roman" w:cs="Times New Roman"/>
                <w:color w:val="000000"/>
                <w:kern w:val="0"/>
                <w:sz w:val="22"/>
                <w:szCs w:val="22"/>
                <w14:ligatures w14:val="none"/>
              </w:rPr>
              <w:t>“Simple Step” Campaign statewide to increase awareness and completion rates with special focus on multilingual and culturally appropriate content</w:t>
            </w:r>
            <w:r w:rsidR="00972FB4">
              <w:rPr>
                <w:rFonts w:eastAsia="Times New Roman" w:cs="Times New Roman"/>
                <w:color w:val="000000"/>
                <w:kern w:val="0"/>
                <w:sz w:val="22"/>
                <w:szCs w:val="22"/>
                <w14:ligatures w14:val="none"/>
              </w:rPr>
              <w:t>.</w:t>
            </w:r>
          </w:p>
          <w:p w14:paraId="4ECF3CD2" w14:textId="74F5CEF1" w:rsidR="00D129D3" w:rsidRPr="003E14FB" w:rsidRDefault="00D129D3" w:rsidP="009E0AC2">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Integrate HCP education and documentation into hospital intake, COAs, ASAPs, and PCP practices</w:t>
            </w:r>
            <w:r w:rsidR="00972FB4">
              <w:rPr>
                <w:rFonts w:eastAsia="Times New Roman" w:cs="Times New Roman"/>
                <w:color w:val="000000"/>
                <w:kern w:val="0"/>
                <w:sz w:val="22"/>
                <w:szCs w:val="22"/>
                <w14:ligatures w14:val="none"/>
              </w:rPr>
              <w:t>.</w:t>
            </w:r>
          </w:p>
          <w:p w14:paraId="04E3EA60" w14:textId="0E1153FD" w:rsidR="00D129D3" w:rsidRPr="003E14FB" w:rsidRDefault="00D129D3" w:rsidP="003E14FB">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Endorse standard plain-language, </w:t>
            </w:r>
            <w:r w:rsidRPr="003E14FB">
              <w:rPr>
                <w:rFonts w:eastAsia="Times New Roman" w:cs="Times New Roman"/>
                <w:kern w:val="0"/>
                <w:sz w:val="22"/>
                <w:szCs w:val="22"/>
                <w14:ligatures w14:val="none"/>
              </w:rPr>
              <w:t xml:space="preserve">multilingual </w:t>
            </w:r>
            <w:r w:rsidRPr="003E14FB">
              <w:rPr>
                <w:rFonts w:eastAsia="Times New Roman" w:cs="Times New Roman"/>
                <w:color w:val="000000"/>
                <w:kern w:val="0"/>
                <w:sz w:val="22"/>
                <w:szCs w:val="22"/>
                <w14:ligatures w14:val="none"/>
              </w:rPr>
              <w:t>HCP forms</w:t>
            </w:r>
            <w:r w:rsidR="00972FB4">
              <w:rPr>
                <w:rFonts w:eastAsia="Times New Roman" w:cs="Times New Roman"/>
                <w:color w:val="000000"/>
                <w:kern w:val="0"/>
                <w:sz w:val="22"/>
                <w:szCs w:val="22"/>
                <w14:ligatures w14:val="none"/>
              </w:rPr>
              <w:t>.</w:t>
            </w:r>
          </w:p>
        </w:tc>
        <w:tc>
          <w:tcPr>
            <w:tcW w:w="2700" w:type="dxa"/>
            <w:noWrap/>
            <w:hideMark/>
          </w:tcPr>
          <w:p w14:paraId="36A31F05" w14:textId="3CD97BC6"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Reduces reliance on emergency guardianship, prevents discharge delays due to lack of legal decision-maker, increases early/timely planning especially for patients at risk of incapacity, </w:t>
            </w:r>
            <w:r w:rsidRPr="003E14FB">
              <w:rPr>
                <w:rFonts w:eastAsia="Times New Roman" w:cs="Times New Roman"/>
                <w:kern w:val="0"/>
                <w:sz w:val="22"/>
                <w:szCs w:val="22"/>
                <w14:ligatures w14:val="none"/>
              </w:rPr>
              <w:t>reducing avoidable guardianship filings and institutional discharges</w:t>
            </w:r>
            <w:r w:rsidR="00B60FB3">
              <w:rPr>
                <w:rFonts w:eastAsia="Times New Roman" w:cs="Times New Roman"/>
                <w:kern w:val="0"/>
                <w:sz w:val="22"/>
                <w:szCs w:val="22"/>
                <w14:ligatures w14:val="none"/>
              </w:rPr>
              <w:t>.</w:t>
            </w:r>
          </w:p>
        </w:tc>
        <w:tc>
          <w:tcPr>
            <w:tcW w:w="1440" w:type="dxa"/>
            <w:noWrap/>
            <w:hideMark/>
          </w:tcPr>
          <w:p w14:paraId="2AE9DADC" w14:textId="24B8E4E8"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iii, iv, v</w:t>
            </w:r>
          </w:p>
        </w:tc>
      </w:tr>
      <w:tr w:rsidR="00E4526E" w:rsidRPr="007B7E0A" w14:paraId="02FEBEF0"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50724604" w14:textId="4A192382" w:rsidR="00D129D3" w:rsidRPr="0009524A" w:rsidRDefault="00361F50" w:rsidP="009E0AC2">
            <w:pPr>
              <w:spacing w:after="120"/>
              <w:rPr>
                <w:rFonts w:eastAsia="Times New Roman" w:cs="Times New Roman"/>
                <w:b w:val="0"/>
                <w:bCs w:val="0"/>
                <w:color w:val="000000"/>
                <w:kern w:val="0"/>
                <w:sz w:val="22"/>
                <w:szCs w:val="22"/>
                <w14:ligatures w14:val="none"/>
              </w:rPr>
            </w:pPr>
            <w:r w:rsidRPr="0009524A">
              <w:rPr>
                <w:rFonts w:eastAsia="Times New Roman" w:cs="Times New Roman"/>
                <w:color w:val="000000"/>
                <w:kern w:val="0"/>
                <w:sz w:val="22"/>
                <w:szCs w:val="22"/>
                <w14:ligatures w14:val="none"/>
              </w:rPr>
              <w:t xml:space="preserve">1.3 </w:t>
            </w:r>
            <w:r>
              <w:rPr>
                <w:rFonts w:eastAsia="Times New Roman" w:cs="Times New Roman"/>
                <w:color w:val="000000"/>
                <w:kern w:val="0"/>
                <w:sz w:val="22"/>
                <w:szCs w:val="22"/>
                <w14:ligatures w14:val="none"/>
              </w:rPr>
              <w:t>Modify</w:t>
            </w:r>
            <w:r w:rsidR="00D129D3" w:rsidRPr="0009524A">
              <w:rPr>
                <w:rFonts w:eastAsia="Times New Roman" w:cs="Times New Roman"/>
                <w:color w:val="000000"/>
                <w:kern w:val="0"/>
                <w:sz w:val="22"/>
                <w:szCs w:val="22"/>
                <w14:ligatures w14:val="none"/>
              </w:rPr>
              <w:t xml:space="preserve"> MGL 201D to Modernize Health Care Proxy Requirements</w:t>
            </w:r>
          </w:p>
        </w:tc>
        <w:tc>
          <w:tcPr>
            <w:tcW w:w="3843" w:type="dxa"/>
            <w:noWrap/>
            <w:hideMark/>
          </w:tcPr>
          <w:p w14:paraId="769519E4" w14:textId="6DAA4931" w:rsidR="00D129D3" w:rsidRPr="003E14FB" w:rsidRDefault="00D129D3" w:rsidP="009E0AC2">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Amend the law to require just one witness who may witness via audio-video and electronically sign the proxy document</w:t>
            </w:r>
            <w:r w:rsidR="00A2123D">
              <w:rPr>
                <w:rFonts w:eastAsia="Times New Roman" w:cs="Times New Roman"/>
                <w:color w:val="000000"/>
                <w:kern w:val="0"/>
                <w:sz w:val="22"/>
                <w:szCs w:val="22"/>
                <w14:ligatures w14:val="none"/>
              </w:rPr>
              <w:t>.</w:t>
            </w:r>
          </w:p>
          <w:p w14:paraId="4AF4DAFF" w14:textId="63762282" w:rsidR="00D129D3" w:rsidRPr="003E14FB" w:rsidRDefault="00D129D3" w:rsidP="003E14FB">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Statutorily change the law to make it clear that Advanced Practice Providers (APP) with proper training </w:t>
            </w:r>
            <w:r w:rsidR="00B95F4B">
              <w:rPr>
                <w:rFonts w:eastAsia="Times New Roman" w:cs="Times New Roman"/>
                <w:color w:val="000000"/>
                <w:kern w:val="0"/>
                <w:sz w:val="22"/>
                <w:szCs w:val="22"/>
                <w14:ligatures w14:val="none"/>
              </w:rPr>
              <w:t xml:space="preserve">are authorized </w:t>
            </w:r>
            <w:r w:rsidRPr="003E14FB">
              <w:rPr>
                <w:rFonts w:eastAsia="Times New Roman" w:cs="Times New Roman"/>
                <w:color w:val="000000"/>
                <w:kern w:val="0"/>
                <w:sz w:val="22"/>
                <w:szCs w:val="22"/>
                <w14:ligatures w14:val="none"/>
              </w:rPr>
              <w:t>to make incapacity determinations and invoke health care proxies.</w:t>
            </w:r>
          </w:p>
        </w:tc>
        <w:tc>
          <w:tcPr>
            <w:tcW w:w="2700" w:type="dxa"/>
            <w:noWrap/>
            <w:hideMark/>
          </w:tcPr>
          <w:p w14:paraId="2E8256C8" w14:textId="030B35DE"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Streamlines the process of executing and activating health care proxies</w:t>
            </w:r>
            <w:r w:rsidR="00FA7D0F">
              <w:rPr>
                <w:rFonts w:eastAsia="Times New Roman" w:cs="Times New Roman"/>
                <w:color w:val="000000"/>
                <w:kern w:val="0"/>
                <w:sz w:val="22"/>
                <w:szCs w:val="22"/>
                <w14:ligatures w14:val="none"/>
              </w:rPr>
              <w:t>.</w:t>
            </w:r>
          </w:p>
        </w:tc>
        <w:tc>
          <w:tcPr>
            <w:tcW w:w="1440" w:type="dxa"/>
            <w:noWrap/>
            <w:hideMark/>
          </w:tcPr>
          <w:p w14:paraId="594810F2" w14:textId="77777777"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iii, vi</w:t>
            </w:r>
          </w:p>
        </w:tc>
      </w:tr>
      <w:tr w:rsidR="00E4526E" w:rsidRPr="007B7E0A" w14:paraId="093EE478"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01EFA74D" w14:textId="4A99536F" w:rsidR="00D129D3" w:rsidRPr="0009524A" w:rsidRDefault="00361F50" w:rsidP="009E0AC2">
            <w:pPr>
              <w:spacing w:after="120"/>
              <w:rPr>
                <w:rFonts w:eastAsia="Times New Roman" w:cs="Times New Roman"/>
                <w:b w:val="0"/>
                <w:bCs w:val="0"/>
                <w:color w:val="000000"/>
                <w:kern w:val="0"/>
                <w:sz w:val="22"/>
                <w:szCs w:val="22"/>
                <w14:ligatures w14:val="none"/>
              </w:rPr>
            </w:pPr>
            <w:r w:rsidRPr="0009524A">
              <w:rPr>
                <w:rFonts w:eastAsia="Times New Roman" w:cs="Times New Roman"/>
                <w:color w:val="000000"/>
                <w:kern w:val="0"/>
                <w:sz w:val="22"/>
                <w:szCs w:val="22"/>
                <w14:ligatures w14:val="none"/>
              </w:rPr>
              <w:t xml:space="preserve">1.4 </w:t>
            </w:r>
            <w:r>
              <w:rPr>
                <w:rFonts w:eastAsia="Times New Roman" w:cs="Times New Roman"/>
                <w:color w:val="000000"/>
                <w:kern w:val="0"/>
                <w:sz w:val="22"/>
                <w:szCs w:val="22"/>
                <w14:ligatures w14:val="none"/>
              </w:rPr>
              <w:t>Explore</w:t>
            </w:r>
            <w:r w:rsidR="00D129D3" w:rsidRPr="0009524A">
              <w:rPr>
                <w:sz w:val="22"/>
                <w:szCs w:val="22"/>
              </w:rPr>
              <w:t xml:space="preserve"> hospital-based court liaison roles</w:t>
            </w:r>
          </w:p>
        </w:tc>
        <w:tc>
          <w:tcPr>
            <w:tcW w:w="3843" w:type="dxa"/>
            <w:noWrap/>
            <w:hideMark/>
          </w:tcPr>
          <w:p w14:paraId="61F1EB99" w14:textId="392BB9E3" w:rsidR="00D129D3" w:rsidRPr="003E14FB" w:rsidRDefault="00D129D3" w:rsidP="00A52602">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A52602">
              <w:rPr>
                <w:rFonts w:eastAsia="Times New Roman" w:cs="Times New Roman"/>
                <w:color w:val="000000"/>
                <w:kern w:val="0"/>
                <w:sz w:val="22"/>
                <w:szCs w:val="22"/>
                <w14:ligatures w14:val="none"/>
              </w:rPr>
              <w:t>Assess feasibility and value of funding Court Navigator positions within hospital systems to manage and expedite guardianship / conservatorship filings and court communication</w:t>
            </w:r>
            <w:r w:rsidR="00F136F9">
              <w:rPr>
                <w:rFonts w:eastAsia="Times New Roman" w:cs="Times New Roman"/>
                <w:color w:val="000000"/>
                <w:kern w:val="0"/>
                <w:sz w:val="22"/>
                <w:szCs w:val="22"/>
                <w14:ligatures w14:val="none"/>
              </w:rPr>
              <w:t>.</w:t>
            </w:r>
          </w:p>
        </w:tc>
        <w:tc>
          <w:tcPr>
            <w:tcW w:w="2700" w:type="dxa"/>
            <w:noWrap/>
            <w:hideMark/>
          </w:tcPr>
          <w:p w14:paraId="18E82705" w14:textId="601E3BF8"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Streamlines filing and communication with Probate and Family Courts, reduces variation in process across counties, and shortens legal wait times</w:t>
            </w:r>
            <w:r w:rsidR="00FA7D0F">
              <w:rPr>
                <w:sz w:val="22"/>
                <w:szCs w:val="22"/>
              </w:rPr>
              <w:t>.</w:t>
            </w:r>
          </w:p>
        </w:tc>
        <w:tc>
          <w:tcPr>
            <w:tcW w:w="1440" w:type="dxa"/>
            <w:noWrap/>
            <w:hideMark/>
          </w:tcPr>
          <w:p w14:paraId="1D2D9FDE" w14:textId="77777777"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ii, iii, vi</w:t>
            </w:r>
          </w:p>
        </w:tc>
      </w:tr>
      <w:tr w:rsidR="00E4526E" w:rsidRPr="007B7E0A" w14:paraId="72C8F928"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4CCF7F79" w14:textId="433BFC45" w:rsidR="00D129D3" w:rsidRPr="0009524A" w:rsidRDefault="00361F50" w:rsidP="009E0AC2">
            <w:pPr>
              <w:spacing w:after="120"/>
              <w:rPr>
                <w:rFonts w:eastAsia="Times New Roman" w:cs="Times New Roman"/>
                <w:b w:val="0"/>
                <w:bCs w:val="0"/>
                <w:color w:val="000000"/>
                <w:kern w:val="0"/>
                <w:sz w:val="22"/>
                <w:szCs w:val="22"/>
                <w14:ligatures w14:val="none"/>
              </w:rPr>
            </w:pPr>
            <w:r w:rsidRPr="0009524A">
              <w:rPr>
                <w:rFonts w:eastAsia="Times New Roman" w:cs="Times New Roman"/>
                <w:color w:val="000000"/>
                <w:kern w:val="0"/>
                <w:sz w:val="22"/>
                <w:szCs w:val="22"/>
                <w14:ligatures w14:val="none"/>
              </w:rPr>
              <w:t xml:space="preserve">1.5 </w:t>
            </w:r>
            <w:r>
              <w:rPr>
                <w:rFonts w:eastAsia="Times New Roman" w:cs="Times New Roman"/>
                <w:color w:val="000000"/>
                <w:kern w:val="0"/>
                <w:sz w:val="22"/>
                <w:szCs w:val="22"/>
                <w14:ligatures w14:val="none"/>
              </w:rPr>
              <w:t>Promote</w:t>
            </w:r>
            <w:r w:rsidR="00D129D3" w:rsidRPr="0009524A">
              <w:rPr>
                <w:rFonts w:eastAsia="Times New Roman" w:cs="Times New Roman"/>
                <w:color w:val="000000"/>
                <w:kern w:val="0"/>
                <w:sz w:val="22"/>
                <w:szCs w:val="22"/>
                <w14:ligatures w14:val="none"/>
              </w:rPr>
              <w:t xml:space="preserve"> Supported Decision-Making</w:t>
            </w:r>
          </w:p>
        </w:tc>
        <w:tc>
          <w:tcPr>
            <w:tcW w:w="3843" w:type="dxa"/>
            <w:noWrap/>
            <w:hideMark/>
          </w:tcPr>
          <w:p w14:paraId="1BA45956" w14:textId="01B7C72A" w:rsidR="00F00691" w:rsidRPr="002D1F55" w:rsidRDefault="00D129D3" w:rsidP="00ED3D8F">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09524A">
              <w:rPr>
                <w:rFonts w:eastAsia="Times New Roman" w:cs="Times New Roman"/>
                <w:color w:val="000000"/>
                <w:kern w:val="0"/>
                <w:sz w:val="22"/>
                <w:szCs w:val="22"/>
                <w14:ligatures w14:val="none"/>
              </w:rPr>
              <w:t xml:space="preserve">Support </w:t>
            </w:r>
            <w:r w:rsidRPr="003E14FB">
              <w:rPr>
                <w:rFonts w:eastAsia="Times New Roman" w:cs="Times New Roman"/>
                <w:color w:val="000000"/>
                <w:kern w:val="0"/>
                <w:sz w:val="22"/>
                <w:szCs w:val="22"/>
                <w14:ligatures w14:val="none"/>
              </w:rPr>
              <w:t>legislation to establish legal recognition of</w:t>
            </w:r>
            <w:r w:rsidR="00A43B7A">
              <w:rPr>
                <w:rFonts w:eastAsia="Times New Roman" w:cs="Times New Roman"/>
                <w:color w:val="000000"/>
                <w:kern w:val="0"/>
                <w:sz w:val="22"/>
                <w:szCs w:val="22"/>
                <w14:ligatures w14:val="none"/>
              </w:rPr>
              <w:t xml:space="preserve"> Supported Decision-Making</w:t>
            </w:r>
            <w:r w:rsidRPr="003E14FB">
              <w:rPr>
                <w:rFonts w:eastAsia="Times New Roman" w:cs="Times New Roman"/>
                <w:color w:val="000000"/>
                <w:kern w:val="0"/>
                <w:sz w:val="22"/>
                <w:szCs w:val="22"/>
                <w14:ligatures w14:val="none"/>
              </w:rPr>
              <w:t xml:space="preserve"> </w:t>
            </w:r>
            <w:r w:rsidR="00A43B7A">
              <w:rPr>
                <w:rFonts w:eastAsia="Times New Roman" w:cs="Times New Roman"/>
                <w:color w:val="000000"/>
                <w:kern w:val="0"/>
                <w:sz w:val="22"/>
                <w:szCs w:val="22"/>
                <w14:ligatures w14:val="none"/>
              </w:rPr>
              <w:t>(</w:t>
            </w:r>
            <w:r w:rsidRPr="003E14FB">
              <w:rPr>
                <w:rFonts w:eastAsia="Times New Roman" w:cs="Times New Roman"/>
                <w:color w:val="000000"/>
                <w:kern w:val="0"/>
                <w:sz w:val="22"/>
                <w:szCs w:val="22"/>
                <w14:ligatures w14:val="none"/>
              </w:rPr>
              <w:t>SDM</w:t>
            </w:r>
            <w:r w:rsidR="00A43B7A">
              <w:rPr>
                <w:rFonts w:eastAsia="Times New Roman" w:cs="Times New Roman"/>
                <w:color w:val="000000"/>
                <w:kern w:val="0"/>
                <w:sz w:val="22"/>
                <w:szCs w:val="22"/>
                <w14:ligatures w14:val="none"/>
              </w:rPr>
              <w:t xml:space="preserve">) </w:t>
            </w:r>
            <w:r w:rsidRPr="003E14FB">
              <w:rPr>
                <w:rFonts w:eastAsia="Times New Roman" w:cs="Times New Roman"/>
                <w:color w:val="000000"/>
                <w:kern w:val="0"/>
                <w:sz w:val="22"/>
                <w:szCs w:val="22"/>
                <w14:ligatures w14:val="none"/>
              </w:rPr>
              <w:t>in Massachusetts</w:t>
            </w:r>
            <w:r w:rsidR="00ED3D8F">
              <w:rPr>
                <w:rFonts w:eastAsia="Times New Roman" w:cs="Times New Roman"/>
                <w:color w:val="000000"/>
                <w:kern w:val="0"/>
                <w:sz w:val="22"/>
                <w:szCs w:val="22"/>
                <w14:ligatures w14:val="none"/>
              </w:rPr>
              <w:t xml:space="preserve"> </w:t>
            </w:r>
            <w:r w:rsidR="00ED3D8F" w:rsidRPr="0039763C">
              <w:rPr>
                <w:sz w:val="22"/>
                <w:szCs w:val="22"/>
              </w:rPr>
              <w:t xml:space="preserve">(reflected in </w:t>
            </w:r>
            <w:r w:rsidR="0039763C">
              <w:rPr>
                <w:sz w:val="22"/>
                <w:szCs w:val="22"/>
              </w:rPr>
              <w:t xml:space="preserve">provisions </w:t>
            </w:r>
            <w:r w:rsidR="000E68A9">
              <w:rPr>
                <w:sz w:val="22"/>
                <w:szCs w:val="22"/>
              </w:rPr>
              <w:t xml:space="preserve">included in </w:t>
            </w:r>
            <w:r w:rsidR="00ED3D8F" w:rsidRPr="0039763C">
              <w:rPr>
                <w:sz w:val="22"/>
                <w:szCs w:val="22"/>
              </w:rPr>
              <w:t xml:space="preserve">various bills </w:t>
            </w:r>
            <w:r w:rsidR="00B93C9F">
              <w:rPr>
                <w:sz w:val="22"/>
                <w:szCs w:val="22"/>
              </w:rPr>
              <w:t xml:space="preserve">currently </w:t>
            </w:r>
            <w:r w:rsidR="00ED3D8F" w:rsidRPr="0039763C">
              <w:rPr>
                <w:sz w:val="22"/>
                <w:szCs w:val="22"/>
              </w:rPr>
              <w:t xml:space="preserve">under </w:t>
            </w:r>
            <w:r w:rsidR="00B93C9F">
              <w:rPr>
                <w:sz w:val="22"/>
                <w:szCs w:val="22"/>
              </w:rPr>
              <w:t>r</w:t>
            </w:r>
            <w:r w:rsidR="00ED3D8F" w:rsidRPr="0039763C">
              <w:rPr>
                <w:sz w:val="22"/>
                <w:szCs w:val="22"/>
              </w:rPr>
              <w:t>e</w:t>
            </w:r>
            <w:r w:rsidR="00B93C9F">
              <w:rPr>
                <w:sz w:val="22"/>
                <w:szCs w:val="22"/>
              </w:rPr>
              <w:t>view</w:t>
            </w:r>
            <w:r w:rsidR="009A062B">
              <w:rPr>
                <w:sz w:val="22"/>
                <w:szCs w:val="22"/>
              </w:rPr>
              <w:t>; please see Appendix C)</w:t>
            </w:r>
            <w:r w:rsidR="0052664A">
              <w:rPr>
                <w:sz w:val="22"/>
                <w:szCs w:val="22"/>
              </w:rPr>
              <w:t>.</w:t>
            </w:r>
          </w:p>
          <w:p w14:paraId="4F5A216B" w14:textId="3B0FD5D9" w:rsidR="00D129D3" w:rsidRPr="003E14FB" w:rsidRDefault="00D129D3" w:rsidP="003E14F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Conduct statewide training for providers and families to ensure </w:t>
            </w:r>
            <w:r w:rsidRPr="003E14FB">
              <w:rPr>
                <w:rFonts w:eastAsia="Times New Roman" w:cs="Times New Roman"/>
                <w:color w:val="000000"/>
                <w:kern w:val="0"/>
                <w:sz w:val="22"/>
                <w:szCs w:val="22"/>
                <w14:ligatures w14:val="none"/>
              </w:rPr>
              <w:lastRenderedPageBreak/>
              <w:t>consistent understanding and application</w:t>
            </w:r>
            <w:r w:rsidR="00FA7D0F">
              <w:rPr>
                <w:rFonts w:eastAsia="Times New Roman" w:cs="Times New Roman"/>
                <w:color w:val="000000"/>
                <w:kern w:val="0"/>
                <w:sz w:val="22"/>
                <w:szCs w:val="22"/>
                <w14:ligatures w14:val="none"/>
              </w:rPr>
              <w:t>.</w:t>
            </w:r>
          </w:p>
        </w:tc>
        <w:tc>
          <w:tcPr>
            <w:tcW w:w="2700" w:type="dxa"/>
            <w:noWrap/>
            <w:hideMark/>
          </w:tcPr>
          <w:p w14:paraId="4FC0E541" w14:textId="02EF8D64"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Reduces need for guardianship; preserves autonomy while supporting timely discharge decisions for adults with retained decision-making capacity</w:t>
            </w:r>
            <w:r w:rsidR="00FA7D0F">
              <w:rPr>
                <w:rFonts w:eastAsia="Times New Roman" w:cs="Times New Roman"/>
                <w:color w:val="000000"/>
                <w:kern w:val="0"/>
                <w:sz w:val="22"/>
                <w:szCs w:val="22"/>
                <w14:ligatures w14:val="none"/>
              </w:rPr>
              <w:t>.</w:t>
            </w:r>
          </w:p>
        </w:tc>
        <w:tc>
          <w:tcPr>
            <w:tcW w:w="1440" w:type="dxa"/>
            <w:noWrap/>
            <w:hideMark/>
          </w:tcPr>
          <w:p w14:paraId="3627D138" w14:textId="77777777"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iii, v</w:t>
            </w:r>
          </w:p>
        </w:tc>
      </w:tr>
      <w:tr w:rsidR="00E4526E" w:rsidRPr="007B7E0A" w14:paraId="467C7519"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30B1E0E2" w14:textId="1F0CF379" w:rsidR="00D129D3" w:rsidRPr="003E14FB" w:rsidRDefault="00361F50" w:rsidP="009E0AC2">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1.6 </w:t>
            </w:r>
            <w:r>
              <w:rPr>
                <w:rFonts w:eastAsia="Times New Roman" w:cs="Times New Roman"/>
                <w:color w:val="000000"/>
                <w:kern w:val="0"/>
                <w:sz w:val="22"/>
                <w:szCs w:val="22"/>
                <w14:ligatures w14:val="none"/>
              </w:rPr>
              <w:t>Expand</w:t>
            </w:r>
            <w:r w:rsidR="00D129D3" w:rsidRPr="003E14FB">
              <w:rPr>
                <w:rFonts w:eastAsia="Times New Roman" w:cs="Times New Roman"/>
                <w:color w:val="000000"/>
                <w:kern w:val="0"/>
                <w:sz w:val="22"/>
                <w:szCs w:val="22"/>
                <w14:ligatures w14:val="none"/>
              </w:rPr>
              <w:t xml:space="preserve"> Public Guardian Programs and Volunteer Recruitment</w:t>
            </w:r>
          </w:p>
        </w:tc>
        <w:tc>
          <w:tcPr>
            <w:tcW w:w="3843" w:type="dxa"/>
            <w:noWrap/>
          </w:tcPr>
          <w:p w14:paraId="6EED0135" w14:textId="5E49DF2A" w:rsidR="00D129D3" w:rsidRPr="003E14FB" w:rsidRDefault="00D129D3" w:rsidP="00C30160">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Support the expansion </w:t>
            </w:r>
            <w:r w:rsidR="00DC6BB1">
              <w:rPr>
                <w:rFonts w:eastAsia="Times New Roman" w:cs="Times New Roman"/>
                <w:color w:val="000000"/>
                <w:kern w:val="0"/>
                <w:sz w:val="22"/>
                <w:szCs w:val="22"/>
                <w14:ligatures w14:val="none"/>
              </w:rPr>
              <w:t xml:space="preserve">and funding </w:t>
            </w:r>
            <w:r w:rsidRPr="003E14FB">
              <w:rPr>
                <w:rFonts w:eastAsia="Times New Roman" w:cs="Times New Roman"/>
                <w:color w:val="000000"/>
                <w:kern w:val="0"/>
                <w:sz w:val="22"/>
                <w:szCs w:val="22"/>
                <w14:ligatures w14:val="none"/>
              </w:rPr>
              <w:t>of the Public Guardian Pilot Program and align with forthcoming Department of Public Health (DPH) recommendations to strengthen guardianship capacity statewide.</w:t>
            </w:r>
          </w:p>
          <w:p w14:paraId="330CFF37" w14:textId="182D31A3" w:rsidR="00D129D3" w:rsidRPr="003E14FB" w:rsidRDefault="00D129D3" w:rsidP="002E4EC2">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Support legislation that would fund public awareness campaigns to recruit retired healthcare providers and other qualified individuals to serve as volunteer guardians</w:t>
            </w:r>
            <w:r w:rsidR="00B93C9F" w:rsidRPr="00F72988">
              <w:rPr>
                <w:sz w:val="22"/>
                <w:szCs w:val="22"/>
              </w:rPr>
              <w:t xml:space="preserve"> (reflected in </w:t>
            </w:r>
            <w:r w:rsidR="00F466B0">
              <w:rPr>
                <w:sz w:val="22"/>
                <w:szCs w:val="22"/>
              </w:rPr>
              <w:t xml:space="preserve">provisions included in </w:t>
            </w:r>
            <w:r w:rsidR="00B93C9F" w:rsidRPr="00F72988">
              <w:rPr>
                <w:sz w:val="22"/>
                <w:szCs w:val="22"/>
              </w:rPr>
              <w:t xml:space="preserve">various bills </w:t>
            </w:r>
            <w:r w:rsidR="00B93C9F">
              <w:rPr>
                <w:sz w:val="22"/>
                <w:szCs w:val="22"/>
              </w:rPr>
              <w:t xml:space="preserve">currently </w:t>
            </w:r>
            <w:r w:rsidR="00B93C9F" w:rsidRPr="00F72988">
              <w:rPr>
                <w:sz w:val="22"/>
                <w:szCs w:val="22"/>
              </w:rPr>
              <w:t xml:space="preserve">under </w:t>
            </w:r>
            <w:r w:rsidR="00B93C9F">
              <w:rPr>
                <w:sz w:val="22"/>
                <w:szCs w:val="22"/>
              </w:rPr>
              <w:t>r</w:t>
            </w:r>
            <w:r w:rsidR="00B93C9F" w:rsidRPr="00F72988">
              <w:rPr>
                <w:sz w:val="22"/>
                <w:szCs w:val="22"/>
              </w:rPr>
              <w:t>e</w:t>
            </w:r>
            <w:r w:rsidR="00B93C9F">
              <w:rPr>
                <w:sz w:val="22"/>
                <w:szCs w:val="22"/>
              </w:rPr>
              <w:t>view</w:t>
            </w:r>
            <w:r w:rsidR="009C4FD8">
              <w:rPr>
                <w:sz w:val="22"/>
                <w:szCs w:val="22"/>
              </w:rPr>
              <w:t>; please see Appendix C).</w:t>
            </w:r>
          </w:p>
        </w:tc>
        <w:tc>
          <w:tcPr>
            <w:tcW w:w="2700" w:type="dxa"/>
            <w:noWrap/>
          </w:tcPr>
          <w:p w14:paraId="73C21033" w14:textId="304DDD48" w:rsidR="00D129D3"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Expanding public guardian programs and recruiting volunteers addresses the persistent shortage of available guardians, which contributes to discharge delays and prolonged hospital stays for individuals without decision-makers</w:t>
            </w:r>
            <w:r w:rsidR="00FA7D0F">
              <w:rPr>
                <w:rFonts w:eastAsia="Times New Roman" w:cs="Times New Roman"/>
                <w:color w:val="000000"/>
                <w:kern w:val="0"/>
                <w:sz w:val="22"/>
                <w:szCs w:val="22"/>
                <w14:ligatures w14:val="none"/>
              </w:rPr>
              <w:t>.</w:t>
            </w:r>
          </w:p>
          <w:p w14:paraId="14A7B4E7" w14:textId="662C6564" w:rsidR="00590A70" w:rsidRPr="003E14FB" w:rsidRDefault="00590A70"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
        </w:tc>
        <w:tc>
          <w:tcPr>
            <w:tcW w:w="1440" w:type="dxa"/>
            <w:noWrap/>
          </w:tcPr>
          <w:p w14:paraId="00D3C62F" w14:textId="3D4A8690"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iii, vi</w:t>
            </w:r>
          </w:p>
        </w:tc>
      </w:tr>
    </w:tbl>
    <w:p w14:paraId="139711E8" w14:textId="3656D29E" w:rsidR="00361F50" w:rsidRDefault="00361F50" w:rsidP="00361F50">
      <w:pPr>
        <w:spacing w:before="160"/>
      </w:pPr>
      <w:r>
        <w:t xml:space="preserve">Table 2 = </w:t>
      </w:r>
      <w:r w:rsidRPr="003E14FB">
        <w:rPr>
          <w:rFonts w:eastAsia="Times New Roman" w:cs="Times New Roman"/>
          <w:color w:val="000000"/>
          <w:kern w:val="0"/>
          <w:sz w:val="22"/>
          <w:szCs w:val="22"/>
          <w14:ligatures w14:val="none"/>
        </w:rPr>
        <w:t>Post-Acute Capacity &amp; Referral Pathways</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361F50" w:rsidRPr="007B7E0A" w14:paraId="2A4C83C6" w14:textId="77777777" w:rsidTr="00F405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3CC80340" w14:textId="77777777" w:rsidR="00361F50" w:rsidRPr="0090471A" w:rsidRDefault="00361F50" w:rsidP="00F405B4">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603190DB"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688EFCE5"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5088C724"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E4526E" w:rsidRPr="007B7E0A" w14:paraId="481BEEA7" w14:textId="256DD14D"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28233F86" w14:textId="1970B331" w:rsidR="00D129D3" w:rsidRPr="003E14FB" w:rsidRDefault="00361F50" w:rsidP="009E0AC2">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2.1 </w:t>
            </w:r>
            <w:r>
              <w:rPr>
                <w:rFonts w:eastAsia="Times New Roman" w:cs="Times New Roman"/>
                <w:color w:val="000000"/>
                <w:kern w:val="0"/>
                <w:sz w:val="22"/>
                <w:szCs w:val="22"/>
                <w14:ligatures w14:val="none"/>
              </w:rPr>
              <w:t>Program</w:t>
            </w:r>
            <w:r w:rsidR="00D129D3" w:rsidRPr="003E14FB">
              <w:rPr>
                <w:rFonts w:eastAsia="Times New Roman" w:cs="Times New Roman"/>
                <w:color w:val="000000"/>
                <w:kern w:val="0"/>
                <w:sz w:val="22"/>
                <w:szCs w:val="22"/>
                <w14:ligatures w14:val="none"/>
              </w:rPr>
              <w:t xml:space="preserve"> to Enhance Capacity of Skilled Nursing Facilities to Accept Long-Term Custodial Care Patients</w:t>
            </w:r>
          </w:p>
        </w:tc>
        <w:tc>
          <w:tcPr>
            <w:tcW w:w="3843" w:type="dxa"/>
            <w:noWrap/>
          </w:tcPr>
          <w:p w14:paraId="6B48B771" w14:textId="020C6515" w:rsidR="00D129D3" w:rsidRPr="00556D34" w:rsidRDefault="00320012" w:rsidP="00556D34">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Through pilot programs and hospital</w:t>
            </w:r>
            <w:r w:rsidR="0049777D">
              <w:rPr>
                <w:rFonts w:eastAsia="Times New Roman" w:cs="Times New Roman"/>
                <w:color w:val="000000"/>
                <w:kern w:val="0"/>
                <w:sz w:val="22"/>
                <w:szCs w:val="22"/>
                <w14:ligatures w14:val="none"/>
              </w:rPr>
              <w:t>-nursing home partnerships, i</w:t>
            </w:r>
            <w:r w:rsidR="00D129D3" w:rsidRPr="003E14FB">
              <w:rPr>
                <w:rFonts w:eastAsia="Times New Roman" w:cs="Times New Roman"/>
                <w:color w:val="000000"/>
                <w:kern w:val="0"/>
                <w:sz w:val="22"/>
                <w:szCs w:val="22"/>
                <w14:ligatures w14:val="none"/>
              </w:rPr>
              <w:t>nvestigate the feasibility</w:t>
            </w:r>
            <w:r w:rsidR="00CC3F39">
              <w:rPr>
                <w:rFonts w:eastAsia="Times New Roman" w:cs="Times New Roman"/>
                <w:color w:val="000000"/>
                <w:kern w:val="0"/>
                <w:sz w:val="22"/>
                <w:szCs w:val="22"/>
                <w14:ligatures w14:val="none"/>
              </w:rPr>
              <w:t>, costs to nursing facilities and hospitals, and patient outcomes</w:t>
            </w:r>
            <w:r w:rsidR="00D129D3" w:rsidRPr="003E14FB">
              <w:rPr>
                <w:rFonts w:eastAsia="Times New Roman" w:cs="Times New Roman"/>
                <w:color w:val="000000"/>
                <w:kern w:val="0"/>
                <w:sz w:val="22"/>
                <w:szCs w:val="22"/>
                <w14:ligatures w14:val="none"/>
              </w:rPr>
              <w:t xml:space="preserve"> of program</w:t>
            </w:r>
            <w:r w:rsidR="00EE7200">
              <w:rPr>
                <w:rFonts w:eastAsia="Times New Roman" w:cs="Times New Roman"/>
                <w:color w:val="000000"/>
                <w:kern w:val="0"/>
                <w:sz w:val="22"/>
                <w:szCs w:val="22"/>
                <w14:ligatures w14:val="none"/>
              </w:rPr>
              <w:t>s</w:t>
            </w:r>
            <w:r w:rsidR="00D129D3" w:rsidRPr="003E14FB">
              <w:rPr>
                <w:rFonts w:eastAsia="Times New Roman" w:cs="Times New Roman"/>
                <w:color w:val="000000"/>
                <w:kern w:val="0"/>
                <w:sz w:val="22"/>
                <w:szCs w:val="22"/>
                <w14:ligatures w14:val="none"/>
              </w:rPr>
              <w:t xml:space="preserve"> to expand capacity for patients requiring long-term care custodial beds in skilled nursing facilities with appropriate workforce supports and investment</w:t>
            </w:r>
            <w:r w:rsidR="00C35666">
              <w:rPr>
                <w:rFonts w:eastAsia="Times New Roman" w:cs="Times New Roman"/>
                <w:color w:val="000000"/>
                <w:kern w:val="0"/>
                <w:sz w:val="22"/>
                <w:szCs w:val="22"/>
                <w14:ligatures w14:val="none"/>
              </w:rPr>
              <w:t>, particularly for specialized populations.</w:t>
            </w:r>
          </w:p>
        </w:tc>
        <w:tc>
          <w:tcPr>
            <w:tcW w:w="2700" w:type="dxa"/>
            <w:noWrap/>
          </w:tcPr>
          <w:p w14:paraId="5FB259FE" w14:textId="362EEC9F"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Hospitals continue to have more than 340 patients per month who are waiting for long-term care beds in nursing homes; Increases capacity and throughput by freeing-up beds in hospitals and creating capacity for hospital-ready discharges</w:t>
            </w:r>
            <w:r w:rsidR="00FA7D0F">
              <w:rPr>
                <w:rFonts w:eastAsia="Times New Roman" w:cs="Times New Roman"/>
                <w:color w:val="000000"/>
                <w:kern w:val="0"/>
                <w:sz w:val="22"/>
                <w:szCs w:val="22"/>
                <w14:ligatures w14:val="none"/>
              </w:rPr>
              <w:t>.</w:t>
            </w:r>
          </w:p>
        </w:tc>
        <w:tc>
          <w:tcPr>
            <w:tcW w:w="1440" w:type="dxa"/>
            <w:noWrap/>
          </w:tcPr>
          <w:p w14:paraId="58334D7F" w14:textId="5E4ACB7E"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v, xiv</w:t>
            </w:r>
          </w:p>
        </w:tc>
      </w:tr>
      <w:tr w:rsidR="00E4526E" w:rsidRPr="007B7E0A" w14:paraId="79BAED9B"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6093970C" w14:textId="403C092B" w:rsidR="00D129D3" w:rsidRPr="003E14FB" w:rsidRDefault="00361F50" w:rsidP="009E0AC2">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2.2 </w:t>
            </w:r>
            <w:r>
              <w:rPr>
                <w:rFonts w:eastAsia="Times New Roman" w:cs="Times New Roman"/>
                <w:color w:val="000000"/>
                <w:kern w:val="0"/>
                <w:sz w:val="22"/>
                <w:szCs w:val="22"/>
                <w14:ligatures w14:val="none"/>
              </w:rPr>
              <w:t>Standardize</w:t>
            </w:r>
            <w:r w:rsidR="00D129D3" w:rsidRPr="003E14FB">
              <w:rPr>
                <w:rFonts w:eastAsia="Times New Roman" w:cs="Times New Roman"/>
                <w:color w:val="000000"/>
                <w:kern w:val="0"/>
                <w:sz w:val="22"/>
                <w:szCs w:val="22"/>
                <w14:ligatures w14:val="none"/>
              </w:rPr>
              <w:t xml:space="preserve"> discharge referral packets and promote virtual screening</w:t>
            </w:r>
          </w:p>
        </w:tc>
        <w:tc>
          <w:tcPr>
            <w:tcW w:w="3843" w:type="dxa"/>
            <w:noWrap/>
          </w:tcPr>
          <w:p w14:paraId="1916907D" w14:textId="334FF2BC" w:rsidR="00D129D3" w:rsidRPr="003E14FB" w:rsidRDefault="004914D4" w:rsidP="003E14F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4914D4">
              <w:rPr>
                <w:rFonts w:eastAsia="Times New Roman" w:cs="Times New Roman"/>
                <w:color w:val="000000"/>
                <w:kern w:val="0"/>
                <w:sz w:val="22"/>
                <w:szCs w:val="22"/>
                <w14:ligatures w14:val="none"/>
              </w:rPr>
              <w:t>Convene key stakeholders representing hospital and post-acute care providers to</w:t>
            </w:r>
            <w:r>
              <w:rPr>
                <w:rFonts w:eastAsia="Times New Roman" w:cs="Times New Roman"/>
                <w:color w:val="000000"/>
                <w:kern w:val="0"/>
                <w:sz w:val="22"/>
                <w:szCs w:val="22"/>
                <w14:ligatures w14:val="none"/>
              </w:rPr>
              <w:t xml:space="preserve"> e</w:t>
            </w:r>
            <w:r w:rsidR="00D129D3" w:rsidRPr="003E14FB">
              <w:rPr>
                <w:rFonts w:eastAsia="Times New Roman" w:cs="Times New Roman"/>
                <w:color w:val="000000"/>
                <w:kern w:val="0"/>
                <w:sz w:val="22"/>
                <w:szCs w:val="22"/>
                <w14:ligatures w14:val="none"/>
              </w:rPr>
              <w:t xml:space="preserve">xplore impact of mandating uniform referral packets for hospital </w:t>
            </w:r>
            <w:r w:rsidR="00D129D3" w:rsidRPr="003E14FB">
              <w:rPr>
                <w:rFonts w:eastAsia="Times New Roman" w:cs="Times New Roman"/>
                <w:color w:val="000000"/>
                <w:kern w:val="0"/>
                <w:sz w:val="22"/>
                <w:szCs w:val="22"/>
                <w14:ligatures w14:val="none"/>
              </w:rPr>
              <w:lastRenderedPageBreak/>
              <w:t xml:space="preserve">discharge and pre-admission clinical in-person or virtual screenings </w:t>
            </w:r>
            <w:r w:rsidR="00967BE9">
              <w:rPr>
                <w:rFonts w:eastAsia="Times New Roman" w:cs="Times New Roman"/>
                <w:color w:val="000000"/>
                <w:kern w:val="0"/>
                <w:sz w:val="22"/>
                <w:szCs w:val="22"/>
                <w14:ligatures w14:val="none"/>
              </w:rPr>
              <w:t xml:space="preserve">and warm hand-offs to </w:t>
            </w:r>
            <w:r w:rsidR="00D129D3" w:rsidRPr="003E14FB">
              <w:rPr>
                <w:rFonts w:eastAsia="Times New Roman" w:cs="Times New Roman"/>
                <w:color w:val="000000"/>
                <w:kern w:val="0"/>
                <w:sz w:val="22"/>
                <w:szCs w:val="22"/>
                <w14:ligatures w14:val="none"/>
              </w:rPr>
              <w:t>post-acute care providers</w:t>
            </w:r>
            <w:r w:rsidR="001F0017">
              <w:rPr>
                <w:rFonts w:eastAsia="Times New Roman" w:cs="Times New Roman"/>
                <w:color w:val="000000"/>
                <w:kern w:val="0"/>
                <w:sz w:val="22"/>
                <w:szCs w:val="22"/>
                <w14:ligatures w14:val="none"/>
              </w:rPr>
              <w:t>.</w:t>
            </w:r>
          </w:p>
        </w:tc>
        <w:tc>
          <w:tcPr>
            <w:tcW w:w="2700" w:type="dxa"/>
            <w:noWrap/>
          </w:tcPr>
          <w:p w14:paraId="11B1B8D2" w14:textId="413864F5"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Reduces unnecessary delays caused by incomplete or inconsistent discharge documentation</w:t>
            </w:r>
            <w:r w:rsidR="00FA7D0F">
              <w:rPr>
                <w:rFonts w:eastAsia="Times New Roman" w:cs="Times New Roman"/>
                <w:color w:val="000000"/>
                <w:kern w:val="0"/>
                <w:sz w:val="22"/>
                <w:szCs w:val="22"/>
                <w14:ligatures w14:val="none"/>
              </w:rPr>
              <w:t>.</w:t>
            </w:r>
          </w:p>
        </w:tc>
        <w:tc>
          <w:tcPr>
            <w:tcW w:w="1440" w:type="dxa"/>
            <w:noWrap/>
          </w:tcPr>
          <w:p w14:paraId="6A0C069C" w14:textId="705BDB15"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vii</w:t>
            </w:r>
          </w:p>
        </w:tc>
      </w:tr>
      <w:tr w:rsidR="00E4526E" w:rsidRPr="007B7E0A" w14:paraId="79BAB916"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78F92D9D" w14:textId="70977EB7" w:rsidR="00D129D3" w:rsidRPr="003E14FB" w:rsidRDefault="00361F50" w:rsidP="009E0AC2">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2.3 </w:t>
            </w:r>
            <w:r>
              <w:rPr>
                <w:rFonts w:eastAsia="Times New Roman" w:cs="Times New Roman"/>
                <w:color w:val="000000"/>
                <w:kern w:val="0"/>
                <w:sz w:val="22"/>
                <w:szCs w:val="22"/>
                <w14:ligatures w14:val="none"/>
              </w:rPr>
              <w:t>Develop</w:t>
            </w:r>
            <w:r w:rsidR="00D129D3" w:rsidRPr="003E14FB">
              <w:rPr>
                <w:rFonts w:eastAsia="Times New Roman" w:cs="Times New Roman"/>
                <w:color w:val="000000"/>
                <w:kern w:val="0"/>
                <w:sz w:val="22"/>
                <w:szCs w:val="22"/>
                <w14:ligatures w14:val="none"/>
              </w:rPr>
              <w:t xml:space="preserve"> </w:t>
            </w:r>
            <w:r w:rsidR="000536A2">
              <w:rPr>
                <w:rFonts w:eastAsia="Times New Roman" w:cs="Times New Roman"/>
                <w:color w:val="000000"/>
                <w:kern w:val="0"/>
                <w:sz w:val="22"/>
                <w:szCs w:val="22"/>
                <w14:ligatures w14:val="none"/>
              </w:rPr>
              <w:t xml:space="preserve">a </w:t>
            </w:r>
            <w:r w:rsidR="00D129D3" w:rsidRPr="003E14FB">
              <w:rPr>
                <w:rFonts w:eastAsia="Times New Roman" w:cs="Times New Roman"/>
                <w:color w:val="000000"/>
                <w:kern w:val="0"/>
                <w:sz w:val="22"/>
                <w:szCs w:val="22"/>
                <w14:ligatures w14:val="none"/>
              </w:rPr>
              <w:t>real-time post-acute care system</w:t>
            </w:r>
            <w:r w:rsidR="000536A2">
              <w:rPr>
                <w:rFonts w:eastAsia="Times New Roman" w:cs="Times New Roman"/>
                <w:color w:val="000000"/>
                <w:kern w:val="0"/>
                <w:sz w:val="22"/>
                <w:szCs w:val="22"/>
                <w14:ligatures w14:val="none"/>
              </w:rPr>
              <w:t xml:space="preserve"> </w:t>
            </w:r>
            <w:r w:rsidR="00D129D3" w:rsidRPr="003E14FB">
              <w:rPr>
                <w:rFonts w:eastAsia="Times New Roman" w:cs="Times New Roman"/>
                <w:color w:val="000000"/>
                <w:kern w:val="0"/>
                <w:sz w:val="22"/>
                <w:szCs w:val="22"/>
                <w14:ligatures w14:val="none"/>
              </w:rPr>
              <w:t xml:space="preserve">dashboard </w:t>
            </w:r>
          </w:p>
        </w:tc>
        <w:tc>
          <w:tcPr>
            <w:tcW w:w="3843" w:type="dxa"/>
            <w:noWrap/>
          </w:tcPr>
          <w:p w14:paraId="0A57D527" w14:textId="1D1FE4D3" w:rsidR="00D129D3" w:rsidRPr="003E14FB" w:rsidRDefault="00D129D3" w:rsidP="003E14F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the feasibility and cost of developing, governing and maintaining a real-time statewide platform for post-acute care bed and service availability, referral, acceptance status, discharge delays, and real-time coordination tools</w:t>
            </w:r>
            <w:r w:rsidR="001F0017">
              <w:rPr>
                <w:rFonts w:eastAsia="Times New Roman" w:cs="Times New Roman"/>
                <w:color w:val="000000"/>
                <w:kern w:val="0"/>
                <w:sz w:val="22"/>
                <w:szCs w:val="22"/>
                <w14:ligatures w14:val="none"/>
              </w:rPr>
              <w:t>.</w:t>
            </w:r>
          </w:p>
        </w:tc>
        <w:tc>
          <w:tcPr>
            <w:tcW w:w="2700" w:type="dxa"/>
            <w:noWrap/>
          </w:tcPr>
          <w:p w14:paraId="6698E90C" w14:textId="659B9BDA"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Enables data-driven coordination and reduces inefficient referrals and delays</w:t>
            </w:r>
            <w:r w:rsidR="00462209">
              <w:rPr>
                <w:rFonts w:eastAsia="Times New Roman" w:cs="Times New Roman"/>
                <w:color w:val="000000"/>
                <w:kern w:val="0"/>
                <w:sz w:val="22"/>
                <w:szCs w:val="22"/>
                <w14:ligatures w14:val="none"/>
              </w:rPr>
              <w:t>.</w:t>
            </w:r>
          </w:p>
        </w:tc>
        <w:tc>
          <w:tcPr>
            <w:tcW w:w="1440" w:type="dxa"/>
            <w:noWrap/>
          </w:tcPr>
          <w:p w14:paraId="13314DD3" w14:textId="6D6CC6AE"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w:t>
            </w:r>
          </w:p>
        </w:tc>
      </w:tr>
      <w:tr w:rsidR="00E4526E" w:rsidRPr="007B7E0A" w14:paraId="0CA6D02C"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51383ED6" w14:textId="1550F748" w:rsidR="00D129D3" w:rsidRPr="003E14FB" w:rsidRDefault="00361F50" w:rsidP="009E0AC2">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2.4 </w:t>
            </w:r>
            <w:r>
              <w:rPr>
                <w:rFonts w:eastAsia="Times New Roman" w:cs="Times New Roman"/>
                <w:color w:val="000000"/>
                <w:kern w:val="0"/>
                <w:sz w:val="22"/>
                <w:szCs w:val="22"/>
                <w14:ligatures w14:val="none"/>
              </w:rPr>
              <w:t>Promote</w:t>
            </w:r>
            <w:r w:rsidR="00D129D3" w:rsidRPr="003E14FB">
              <w:rPr>
                <w:rFonts w:eastAsia="Times New Roman" w:cs="Times New Roman"/>
                <w:color w:val="000000"/>
                <w:kern w:val="0"/>
                <w:sz w:val="22"/>
                <w:szCs w:val="22"/>
                <w14:ligatures w14:val="none"/>
              </w:rPr>
              <w:t xml:space="preserve"> accelerated discharge programs</w:t>
            </w:r>
          </w:p>
        </w:tc>
        <w:tc>
          <w:tcPr>
            <w:tcW w:w="3843" w:type="dxa"/>
            <w:noWrap/>
          </w:tcPr>
          <w:p w14:paraId="7EF88B77" w14:textId="17375B15" w:rsidR="00D129D3" w:rsidRPr="003E14FB" w:rsidRDefault="00D129D3" w:rsidP="00FB2A60">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Establish hospital targets to initiate hospital transfers to post-acute care earlier in the day (8:00 a.m. to 11:00 a.m.)</w:t>
            </w:r>
            <w:r w:rsidR="00D867D5">
              <w:rPr>
                <w:rFonts w:eastAsia="Times New Roman" w:cs="Times New Roman"/>
                <w:color w:val="000000"/>
                <w:kern w:val="0"/>
                <w:sz w:val="22"/>
                <w:szCs w:val="22"/>
                <w14:ligatures w14:val="none"/>
              </w:rPr>
              <w:t>.</w:t>
            </w:r>
          </w:p>
          <w:p w14:paraId="75CF770C" w14:textId="5B119824" w:rsidR="00D129D3" w:rsidRPr="003E14FB" w:rsidRDefault="00D129D3" w:rsidP="003E14F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Adopt and scale models like “10 Before 10” or similar discharge acceleration models in high-volume hospitals</w:t>
            </w:r>
            <w:r w:rsidR="004A3C80">
              <w:rPr>
                <w:rFonts w:eastAsia="Times New Roman" w:cs="Times New Roman"/>
                <w:color w:val="000000"/>
                <w:kern w:val="0"/>
                <w:sz w:val="22"/>
                <w:szCs w:val="22"/>
                <w14:ligatures w14:val="none"/>
              </w:rPr>
              <w:t xml:space="preserve"> to encourage earlier discharge of patients requiring ambulance transfer to reduce constraints on ambulance capacity late in the day.</w:t>
            </w:r>
          </w:p>
        </w:tc>
        <w:tc>
          <w:tcPr>
            <w:tcW w:w="2700" w:type="dxa"/>
            <w:noWrap/>
          </w:tcPr>
          <w:p w14:paraId="3317095C" w14:textId="1DB6E771"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Initiating hospital transfers to post-acute care earlier in the day improves hospital throughput, reduces avoidable administrative days, allows for flattening of transportation demands, and enhances care continuity and patient safety by aligning discharge timing with PAC facility intake workflows, ambulance availability and care team coordination</w:t>
            </w:r>
            <w:r w:rsidR="00462209">
              <w:rPr>
                <w:rFonts w:eastAsia="Times New Roman" w:cs="Times New Roman"/>
                <w:color w:val="000000"/>
                <w:kern w:val="0"/>
                <w:sz w:val="22"/>
                <w:szCs w:val="22"/>
                <w14:ligatures w14:val="none"/>
              </w:rPr>
              <w:t>.</w:t>
            </w:r>
          </w:p>
        </w:tc>
        <w:tc>
          <w:tcPr>
            <w:tcW w:w="1440" w:type="dxa"/>
            <w:noWrap/>
          </w:tcPr>
          <w:p w14:paraId="15CEEDF5" w14:textId="5084EC50"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w:t>
            </w:r>
          </w:p>
        </w:tc>
      </w:tr>
      <w:tr w:rsidR="00E4526E" w:rsidRPr="007B7E0A" w14:paraId="1451892C"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2A2077CF" w14:textId="1E734588" w:rsidR="00D129D3" w:rsidRPr="003E14FB" w:rsidRDefault="00361F50" w:rsidP="009E0AC2">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2.5 </w:t>
            </w:r>
            <w:r>
              <w:rPr>
                <w:rFonts w:eastAsia="Times New Roman" w:cs="Times New Roman"/>
                <w:color w:val="000000"/>
                <w:kern w:val="0"/>
                <w:sz w:val="22"/>
                <w:szCs w:val="22"/>
                <w14:ligatures w14:val="none"/>
              </w:rPr>
              <w:t>Expand</w:t>
            </w:r>
            <w:r w:rsidR="00D129D3" w:rsidRPr="003E14FB">
              <w:rPr>
                <w:rFonts w:eastAsia="Times New Roman" w:cs="Times New Roman"/>
                <w:color w:val="000000"/>
                <w:kern w:val="0"/>
                <w:sz w:val="22"/>
                <w:szCs w:val="22"/>
                <w14:ligatures w14:val="none"/>
              </w:rPr>
              <w:t xml:space="preserve"> SNF weekend intake and transport readiness</w:t>
            </w:r>
          </w:p>
        </w:tc>
        <w:tc>
          <w:tcPr>
            <w:tcW w:w="3843" w:type="dxa"/>
            <w:noWrap/>
          </w:tcPr>
          <w:p w14:paraId="3AA0FD44" w14:textId="04DD6F2F" w:rsidR="00D129D3" w:rsidRPr="003E14FB" w:rsidRDefault="00D129D3" w:rsidP="003E14F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Improve weekend and off-hour transitions, piloting “weekend-ready” discharge programs including designated PAC signatory staff, standard weekend prior authorization rules across</w:t>
            </w:r>
            <w:r w:rsidR="00A82B9E">
              <w:rPr>
                <w:rFonts w:eastAsia="Times New Roman" w:cs="Times New Roman"/>
                <w:color w:val="000000"/>
                <w:kern w:val="0"/>
                <w:sz w:val="22"/>
                <w:szCs w:val="22"/>
                <w14:ligatures w14:val="none"/>
              </w:rPr>
              <w:t xml:space="preserve"> those </w:t>
            </w:r>
            <w:r w:rsidRPr="003E14FB">
              <w:rPr>
                <w:rFonts w:eastAsia="Times New Roman" w:cs="Times New Roman"/>
                <w:color w:val="000000"/>
                <w:kern w:val="0"/>
                <w:sz w:val="22"/>
                <w:szCs w:val="22"/>
                <w14:ligatures w14:val="none"/>
              </w:rPr>
              <w:t>insurance companies</w:t>
            </w:r>
            <w:r w:rsidR="00A82B9E">
              <w:rPr>
                <w:rFonts w:eastAsia="Times New Roman" w:cs="Times New Roman"/>
                <w:color w:val="000000"/>
                <w:kern w:val="0"/>
                <w:sz w:val="22"/>
                <w:szCs w:val="22"/>
                <w14:ligatures w14:val="none"/>
              </w:rPr>
              <w:t xml:space="preserve"> over which the state has regulatory authority</w:t>
            </w:r>
            <w:r w:rsidRPr="003E14FB">
              <w:rPr>
                <w:rFonts w:eastAsia="Times New Roman" w:cs="Times New Roman"/>
                <w:color w:val="000000"/>
                <w:kern w:val="0"/>
                <w:sz w:val="22"/>
                <w:szCs w:val="22"/>
                <w14:ligatures w14:val="none"/>
              </w:rPr>
              <w:t>, and dedicated transport slots, (e.g., pre-scheduled PT-1s with weekend overrides)</w:t>
            </w:r>
            <w:r w:rsidR="00DA4638">
              <w:rPr>
                <w:rFonts w:eastAsia="Times New Roman" w:cs="Times New Roman"/>
                <w:color w:val="000000"/>
                <w:kern w:val="0"/>
                <w:sz w:val="22"/>
                <w:szCs w:val="22"/>
                <w14:ligatures w14:val="none"/>
              </w:rPr>
              <w:t>.</w:t>
            </w:r>
          </w:p>
        </w:tc>
        <w:tc>
          <w:tcPr>
            <w:tcW w:w="2700" w:type="dxa"/>
            <w:noWrap/>
          </w:tcPr>
          <w:p w14:paraId="4D20F4F7" w14:textId="0CD9AD73"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Unlocks hospital capacity and prevents weekend backlogs</w:t>
            </w:r>
            <w:r w:rsidR="00462209">
              <w:rPr>
                <w:rFonts w:eastAsia="Times New Roman" w:cs="Times New Roman"/>
                <w:color w:val="000000"/>
                <w:kern w:val="0"/>
                <w:sz w:val="22"/>
                <w:szCs w:val="22"/>
                <w14:ligatures w14:val="none"/>
              </w:rPr>
              <w:t>.</w:t>
            </w:r>
          </w:p>
        </w:tc>
        <w:tc>
          <w:tcPr>
            <w:tcW w:w="1440" w:type="dxa"/>
            <w:noWrap/>
          </w:tcPr>
          <w:p w14:paraId="04628AB7" w14:textId="48B366AA"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w:t>
            </w:r>
          </w:p>
        </w:tc>
      </w:tr>
      <w:tr w:rsidR="00E4526E" w:rsidRPr="007B7E0A" w14:paraId="4BA65A1A"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56374213" w14:textId="440DB66F" w:rsidR="00D129D3" w:rsidRPr="003E14FB" w:rsidRDefault="00361F50" w:rsidP="009E0AC2">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2.6 </w:t>
            </w:r>
            <w:r>
              <w:rPr>
                <w:rFonts w:eastAsia="Times New Roman" w:cs="Times New Roman"/>
                <w:color w:val="000000"/>
                <w:kern w:val="0"/>
                <w:sz w:val="22"/>
                <w:szCs w:val="22"/>
                <w14:ligatures w14:val="none"/>
              </w:rPr>
              <w:t>Expedited</w:t>
            </w:r>
            <w:r w:rsidR="00D129D3" w:rsidRPr="003E14FB">
              <w:rPr>
                <w:rFonts w:eastAsia="Times New Roman" w:cs="Times New Roman"/>
                <w:color w:val="000000"/>
                <w:kern w:val="0"/>
                <w:sz w:val="22"/>
                <w:szCs w:val="22"/>
                <w14:ligatures w14:val="none"/>
              </w:rPr>
              <w:t xml:space="preserve"> Discharge for </w:t>
            </w:r>
            <w:r w:rsidR="00D129D3" w:rsidRPr="003E14FB">
              <w:rPr>
                <w:rFonts w:eastAsia="Times New Roman" w:cs="Times New Roman"/>
                <w:color w:val="000000"/>
                <w:kern w:val="0"/>
                <w:sz w:val="22"/>
                <w:szCs w:val="22"/>
                <w14:ligatures w14:val="none"/>
              </w:rPr>
              <w:lastRenderedPageBreak/>
              <w:t>Hospice and End-of-Life Care</w:t>
            </w:r>
          </w:p>
        </w:tc>
        <w:tc>
          <w:tcPr>
            <w:tcW w:w="3843" w:type="dxa"/>
            <w:noWrap/>
          </w:tcPr>
          <w:p w14:paraId="20EEA567" w14:textId="42D20EAA" w:rsidR="00D129D3" w:rsidRPr="003E14FB" w:rsidRDefault="00D129D3" w:rsidP="003E14F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Establish expedited pathways</w:t>
            </w:r>
            <w:r w:rsidR="00644E2A">
              <w:rPr>
                <w:rFonts w:eastAsia="Times New Roman" w:cs="Times New Roman"/>
                <w:color w:val="000000"/>
                <w:kern w:val="0"/>
                <w:sz w:val="22"/>
                <w:szCs w:val="22"/>
                <w14:ligatures w14:val="none"/>
              </w:rPr>
              <w:t xml:space="preserve"> (including </w:t>
            </w:r>
            <w:r w:rsidR="00D06F90">
              <w:rPr>
                <w:rFonts w:eastAsia="Times New Roman" w:cs="Times New Roman"/>
                <w:color w:val="000000"/>
                <w:kern w:val="0"/>
                <w:sz w:val="22"/>
                <w:szCs w:val="22"/>
                <w14:ligatures w14:val="none"/>
              </w:rPr>
              <w:t>prior authorization</w:t>
            </w:r>
            <w:r w:rsidR="00644E2A">
              <w:rPr>
                <w:rFonts w:eastAsia="Times New Roman" w:cs="Times New Roman"/>
                <w:color w:val="000000"/>
                <w:kern w:val="0"/>
                <w:sz w:val="22"/>
                <w:szCs w:val="22"/>
                <w14:ligatures w14:val="none"/>
              </w:rPr>
              <w:t>)</w:t>
            </w:r>
            <w:r w:rsidRPr="003E14FB">
              <w:rPr>
                <w:rFonts w:eastAsia="Times New Roman" w:cs="Times New Roman"/>
                <w:color w:val="000000"/>
                <w:kern w:val="0"/>
                <w:sz w:val="22"/>
                <w:szCs w:val="22"/>
                <w14:ligatures w14:val="none"/>
              </w:rPr>
              <w:t xml:space="preserve"> for hospital discharge and post-acute </w:t>
            </w:r>
            <w:r w:rsidRPr="003E14FB">
              <w:rPr>
                <w:rFonts w:eastAsia="Times New Roman" w:cs="Times New Roman"/>
                <w:color w:val="000000"/>
                <w:kern w:val="0"/>
                <w:sz w:val="22"/>
                <w:szCs w:val="22"/>
                <w14:ligatures w14:val="none"/>
              </w:rPr>
              <w:lastRenderedPageBreak/>
              <w:t>care coordination for hospice and end-of-life patients to minimize unnecessary delays, ensure timely access to appropriate care settings, and uphold patient dignity and care preferences at the end of life.</w:t>
            </w:r>
          </w:p>
        </w:tc>
        <w:tc>
          <w:tcPr>
            <w:tcW w:w="2700" w:type="dxa"/>
            <w:noWrap/>
          </w:tcPr>
          <w:p w14:paraId="7E4C135E" w14:textId="546E7709"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 xml:space="preserve">Delays in discharge for hospice and end-of-life patients can cause </w:t>
            </w:r>
            <w:r w:rsidRPr="003E14FB">
              <w:rPr>
                <w:rFonts w:eastAsia="Times New Roman" w:cs="Times New Roman"/>
                <w:color w:val="000000"/>
                <w:kern w:val="0"/>
                <w:sz w:val="22"/>
                <w:szCs w:val="22"/>
                <w14:ligatures w14:val="none"/>
              </w:rPr>
              <w:lastRenderedPageBreak/>
              <w:t>avoidable suffering and misalignment with care goals. Expedited processes are essential to support timely transitions that prioritize patient comfort and family needs.</w:t>
            </w:r>
          </w:p>
        </w:tc>
        <w:tc>
          <w:tcPr>
            <w:tcW w:w="1440" w:type="dxa"/>
            <w:noWrap/>
          </w:tcPr>
          <w:p w14:paraId="478FEAC5" w14:textId="6AC765B1"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I, vi</w:t>
            </w:r>
          </w:p>
        </w:tc>
      </w:tr>
    </w:tbl>
    <w:p w14:paraId="5D1C9CDC" w14:textId="77777777" w:rsidR="00361F50" w:rsidRDefault="00361F50"/>
    <w:p w14:paraId="76E95C69" w14:textId="37A0FEAC" w:rsidR="00361F50" w:rsidRDefault="00361F50">
      <w:r>
        <w:t xml:space="preserve">Table 3 = </w:t>
      </w:r>
      <w:r w:rsidRPr="003E14FB">
        <w:rPr>
          <w:color w:val="000000"/>
          <w:sz w:val="22"/>
          <w:szCs w:val="22"/>
        </w:rPr>
        <w:t>Payer &amp; Coverage Administrative Considerations</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361F50" w:rsidRPr="007B7E0A" w14:paraId="680EFB7D" w14:textId="77777777" w:rsidTr="00F405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62B0DDF0" w14:textId="77777777" w:rsidR="00361F50" w:rsidRPr="0090471A" w:rsidRDefault="00361F50" w:rsidP="00F405B4">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363F33CE"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31B323BA"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406E71C2"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E4526E" w:rsidRPr="007B7E0A" w14:paraId="1FDD69D7"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6BF37C97" w14:textId="008B40CC" w:rsidR="00D129D3" w:rsidRPr="00773700" w:rsidRDefault="00361F50" w:rsidP="009E0AC2">
            <w:pPr>
              <w:spacing w:after="120"/>
              <w:rPr>
                <w:rFonts w:eastAsia="Times New Roman" w:cs="Times New Roman"/>
                <w:color w:val="000000"/>
                <w:kern w:val="0"/>
                <w:sz w:val="22"/>
                <w:szCs w:val="22"/>
                <w14:ligatures w14:val="none"/>
              </w:rPr>
            </w:pPr>
            <w:r w:rsidRPr="00520822">
              <w:rPr>
                <w:rFonts w:eastAsia="Times New Roman" w:cs="Times New Roman"/>
                <w:color w:val="000000"/>
                <w:kern w:val="0"/>
                <w:sz w:val="22"/>
                <w:szCs w:val="22"/>
                <w14:ligatures w14:val="none"/>
              </w:rPr>
              <w:t xml:space="preserve">3.1 </w:t>
            </w:r>
            <w:r>
              <w:rPr>
                <w:rFonts w:eastAsia="Times New Roman" w:cs="Times New Roman"/>
                <w:color w:val="000000"/>
                <w:kern w:val="0"/>
                <w:sz w:val="22"/>
                <w:szCs w:val="22"/>
                <w14:ligatures w14:val="none"/>
              </w:rPr>
              <w:t>Monitor</w:t>
            </w:r>
            <w:r w:rsidR="00D129D3" w:rsidRPr="00773700">
              <w:rPr>
                <w:rFonts w:eastAsia="Times New Roman" w:cs="Times New Roman"/>
                <w:color w:val="000000"/>
                <w:kern w:val="0"/>
                <w:sz w:val="22"/>
                <w:szCs w:val="22"/>
                <w14:ligatures w14:val="none"/>
              </w:rPr>
              <w:t xml:space="preserve"> and evaluate prior authorization reforms under Chapter 197</w:t>
            </w:r>
          </w:p>
        </w:tc>
        <w:tc>
          <w:tcPr>
            <w:tcW w:w="3843" w:type="dxa"/>
            <w:noWrap/>
          </w:tcPr>
          <w:p w14:paraId="3053698B" w14:textId="09B3EBB3" w:rsidR="00117674" w:rsidRPr="00773700" w:rsidRDefault="00D129D3" w:rsidP="0098327C">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 xml:space="preserve">Monitor </w:t>
            </w:r>
            <w:r w:rsidR="009832B8">
              <w:rPr>
                <w:rFonts w:eastAsia="Times New Roman" w:cs="Times New Roman"/>
                <w:color w:val="000000"/>
                <w:kern w:val="0"/>
                <w:sz w:val="22"/>
                <w:szCs w:val="22"/>
                <w14:ligatures w14:val="none"/>
              </w:rPr>
              <w:t xml:space="preserve">utilization </w:t>
            </w:r>
            <w:r w:rsidRPr="00773700">
              <w:rPr>
                <w:rFonts w:eastAsia="Times New Roman" w:cs="Times New Roman"/>
                <w:color w:val="000000"/>
                <w:kern w:val="0"/>
                <w:sz w:val="22"/>
                <w:szCs w:val="22"/>
                <w14:ligatures w14:val="none"/>
              </w:rPr>
              <w:t xml:space="preserve">and collect data on Chapter 197 (2024) requirement, including: </w:t>
            </w:r>
          </w:p>
          <w:p w14:paraId="238D9072" w14:textId="7E897658" w:rsidR="00117674" w:rsidRPr="00773700" w:rsidRDefault="00D129D3" w:rsidP="006B3F1F">
            <w:pPr>
              <w:pStyle w:val="ListParagraph"/>
              <w:numPr>
                <w:ilvl w:val="1"/>
                <w:numId w:val="12"/>
              </w:numPr>
              <w:spacing w:after="120"/>
              <w:ind w:left="76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Timeliness of prior authorization decisions, specifically the next business day response standard for post-acute care and transport authorizations;</w:t>
            </w:r>
          </w:p>
          <w:p w14:paraId="204DE16E" w14:textId="49485913" w:rsidR="00117674" w:rsidRPr="00773700" w:rsidRDefault="00D129D3" w:rsidP="006B3F1F">
            <w:pPr>
              <w:pStyle w:val="ListParagraph"/>
              <w:numPr>
                <w:ilvl w:val="1"/>
                <w:numId w:val="12"/>
              </w:numPr>
              <w:spacing w:after="120"/>
              <w:ind w:left="76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Utilization of the waiver provision for non-business day submissions;</w:t>
            </w:r>
          </w:p>
          <w:p w14:paraId="758D47F2" w14:textId="6A0A2FFF" w:rsidR="00117674" w:rsidRPr="00773700" w:rsidRDefault="00D129D3" w:rsidP="006B3F1F">
            <w:pPr>
              <w:pStyle w:val="ListParagraph"/>
              <w:numPr>
                <w:ilvl w:val="1"/>
                <w:numId w:val="12"/>
              </w:numPr>
              <w:spacing w:after="120"/>
              <w:ind w:left="76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Voluntary efforts by commercial insurers, GIC plans, MassHealth, and Medicare Advantage to further waive or streamline prior authorization requirements;</w:t>
            </w:r>
          </w:p>
          <w:p w14:paraId="13D3EAC4" w14:textId="15FFF856" w:rsidR="00117674" w:rsidRPr="00773700" w:rsidRDefault="000264EE" w:rsidP="006B3F1F">
            <w:pPr>
              <w:pStyle w:val="ListParagraph"/>
              <w:numPr>
                <w:ilvl w:val="1"/>
                <w:numId w:val="12"/>
              </w:numPr>
              <w:spacing w:after="120"/>
              <w:ind w:left="76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Reviewing</w:t>
            </w:r>
            <w:r w:rsidR="00D129D3" w:rsidRPr="00773700">
              <w:rPr>
                <w:rFonts w:eastAsia="Times New Roman" w:cs="Times New Roman"/>
                <w:color w:val="000000"/>
                <w:kern w:val="0"/>
                <w:sz w:val="22"/>
                <w:szCs w:val="22"/>
                <w14:ligatures w14:val="none"/>
              </w:rPr>
              <w:t xml:space="preserve"> prior authorization trends among commercial insurers licensed in the state</w:t>
            </w:r>
            <w:r w:rsidR="00D945D5">
              <w:rPr>
                <w:rFonts w:eastAsia="Times New Roman" w:cs="Times New Roman"/>
                <w:color w:val="000000"/>
                <w:kern w:val="0"/>
                <w:sz w:val="22"/>
                <w:szCs w:val="22"/>
                <w14:ligatures w14:val="none"/>
              </w:rPr>
              <w:t xml:space="preserve"> co</w:t>
            </w:r>
            <w:r w:rsidR="007367BE">
              <w:rPr>
                <w:rFonts w:eastAsia="Times New Roman" w:cs="Times New Roman"/>
                <w:color w:val="000000"/>
                <w:kern w:val="0"/>
                <w:sz w:val="22"/>
                <w:szCs w:val="22"/>
                <w14:ligatures w14:val="none"/>
              </w:rPr>
              <w:t>mpiled</w:t>
            </w:r>
            <w:r w:rsidR="00D945D5">
              <w:rPr>
                <w:rFonts w:eastAsia="Times New Roman" w:cs="Times New Roman"/>
                <w:color w:val="000000"/>
                <w:kern w:val="0"/>
                <w:sz w:val="22"/>
                <w:szCs w:val="22"/>
                <w14:ligatures w14:val="none"/>
              </w:rPr>
              <w:t xml:space="preserve"> by t</w:t>
            </w:r>
            <w:r w:rsidR="00D945D5" w:rsidRPr="00773700">
              <w:rPr>
                <w:rFonts w:eastAsia="Times New Roman" w:cs="Times New Roman"/>
                <w:color w:val="000000"/>
                <w:kern w:val="0"/>
                <w:sz w:val="22"/>
                <w:szCs w:val="22"/>
                <w14:ligatures w14:val="none"/>
              </w:rPr>
              <w:t>he Division of Insurance</w:t>
            </w:r>
            <w:r w:rsidR="00D129D3" w:rsidRPr="00773700">
              <w:rPr>
                <w:rFonts w:eastAsia="Times New Roman" w:cs="Times New Roman"/>
                <w:color w:val="000000"/>
                <w:kern w:val="0"/>
                <w:sz w:val="22"/>
                <w:szCs w:val="22"/>
                <w14:ligatures w14:val="none"/>
              </w:rPr>
              <w:t xml:space="preserve">; and </w:t>
            </w:r>
          </w:p>
          <w:p w14:paraId="7D3D068B" w14:textId="354C2701" w:rsidR="00D129D3" w:rsidRPr="0098327C" w:rsidRDefault="00D129D3" w:rsidP="006B3F1F">
            <w:pPr>
              <w:pStyle w:val="ListParagraph"/>
              <w:numPr>
                <w:ilvl w:val="1"/>
                <w:numId w:val="12"/>
              </w:numPr>
              <w:spacing w:after="120"/>
              <w:ind w:left="76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Impact on hospital throughput, inappropriate placements, and member satisfaction.</w:t>
            </w:r>
          </w:p>
          <w:p w14:paraId="60224ED3" w14:textId="4139A390" w:rsidR="002C3389" w:rsidRDefault="00CC275C" w:rsidP="003E14FB">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Support</w:t>
            </w:r>
            <w:r w:rsidR="00FB38E5" w:rsidRPr="00CC22DC">
              <w:rPr>
                <w:rFonts w:eastAsia="Times New Roman" w:cs="Times New Roman"/>
                <w:color w:val="000000"/>
                <w:kern w:val="0"/>
                <w:sz w:val="22"/>
                <w:szCs w:val="22"/>
                <w14:ligatures w14:val="none"/>
              </w:rPr>
              <w:t xml:space="preserve"> the development of mutually agreed-upon minimum </w:t>
            </w:r>
            <w:r w:rsidR="00FB38E5" w:rsidRPr="00CC22DC">
              <w:rPr>
                <w:rFonts w:eastAsia="Times New Roman" w:cs="Times New Roman"/>
                <w:color w:val="000000"/>
                <w:kern w:val="0"/>
                <w:sz w:val="22"/>
                <w:szCs w:val="22"/>
                <w14:ligatures w14:val="none"/>
              </w:rPr>
              <w:lastRenderedPageBreak/>
              <w:t>covered stay periods through private negotiation between health plans and post-acute care providers, informed by ongoing monitoring and evaluation, to help provide greater clarity and predictability around payment</w:t>
            </w:r>
            <w:r w:rsidR="00AD579C">
              <w:rPr>
                <w:rFonts w:eastAsia="Times New Roman" w:cs="Times New Roman"/>
                <w:color w:val="000000"/>
                <w:kern w:val="0"/>
                <w:sz w:val="22"/>
                <w:szCs w:val="22"/>
                <w14:ligatures w14:val="none"/>
              </w:rPr>
              <w:t>.</w:t>
            </w:r>
          </w:p>
          <w:p w14:paraId="0663FA42" w14:textId="3CE8E0A2" w:rsidR="002C3389" w:rsidRDefault="002C3389" w:rsidP="002C3389">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Task Force discussed minimum covered stay periods in post-acute settings to help facilitate faster discharges and decrease post-acute providers</w:t>
            </w:r>
            <w:r w:rsidR="003B5CFD">
              <w:rPr>
                <w:rFonts w:eastAsia="Times New Roman" w:cs="Times New Roman"/>
                <w:color w:val="000000"/>
                <w:kern w:val="0"/>
                <w:sz w:val="22"/>
                <w:szCs w:val="22"/>
                <w14:ligatures w14:val="none"/>
              </w:rPr>
              <w:t xml:space="preserve">’ risk </w:t>
            </w:r>
            <w:r>
              <w:rPr>
                <w:rFonts w:eastAsia="Times New Roman" w:cs="Times New Roman"/>
                <w:color w:val="000000"/>
                <w:kern w:val="0"/>
                <w:sz w:val="22"/>
                <w:szCs w:val="22"/>
                <w14:ligatures w14:val="none"/>
              </w:rPr>
              <w:t xml:space="preserve">of accepting patients without payor coverage. However, there were differences of opinion among Task Force members regarding the best approach. </w:t>
            </w:r>
          </w:p>
          <w:p w14:paraId="672C39F9" w14:textId="5DE2965F" w:rsidR="002C3389" w:rsidRDefault="002C3389" w:rsidP="002C3389">
            <w:pPr>
              <w:pStyle w:val="ListParagraph"/>
              <w:numPr>
                <w:ilvl w:val="1"/>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Providers suggest a standardized minimum stay coverage for all insurers over which the state has authority.</w:t>
            </w:r>
          </w:p>
          <w:p w14:paraId="76FFA2CA" w14:textId="2123F6DF" w:rsidR="007E4192" w:rsidRPr="008D5DBB" w:rsidRDefault="002C3389" w:rsidP="002C3389">
            <w:pPr>
              <w:pStyle w:val="ListParagraph"/>
              <w:numPr>
                <w:ilvl w:val="1"/>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F271CB">
              <w:rPr>
                <w:rFonts w:eastAsia="Times New Roman" w:cs="Times New Roman"/>
                <w:color w:val="000000"/>
                <w:kern w:val="0"/>
                <w:sz w:val="22"/>
                <w:szCs w:val="22"/>
                <w14:ligatures w14:val="none"/>
              </w:rPr>
              <w:t>Payors suggest development of mutually agreed-upon minimum covered stay periods through private negotiation between health plans and post-acute care providers.</w:t>
            </w:r>
          </w:p>
        </w:tc>
        <w:tc>
          <w:tcPr>
            <w:tcW w:w="2700" w:type="dxa"/>
            <w:noWrap/>
          </w:tcPr>
          <w:p w14:paraId="48151BFD" w14:textId="48928B67" w:rsidR="00D129D3" w:rsidRPr="00773700" w:rsidRDefault="00014B9F"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lastRenderedPageBreak/>
              <w:t xml:space="preserve">Ensures </w:t>
            </w:r>
            <w:r w:rsidR="00D129D3" w:rsidRPr="00773700">
              <w:rPr>
                <w:rFonts w:eastAsia="Times New Roman" w:cs="Times New Roman"/>
                <w:color w:val="000000"/>
                <w:kern w:val="0"/>
                <w:sz w:val="22"/>
                <w:szCs w:val="22"/>
                <w14:ligatures w14:val="none"/>
              </w:rPr>
              <w:t>that</w:t>
            </w:r>
            <w:r>
              <w:rPr>
                <w:rFonts w:eastAsia="Times New Roman" w:cs="Times New Roman"/>
                <w:color w:val="000000"/>
                <w:kern w:val="0"/>
                <w:sz w:val="22"/>
                <w:szCs w:val="22"/>
                <w14:ligatures w14:val="none"/>
              </w:rPr>
              <w:t xml:space="preserve"> </w:t>
            </w:r>
            <w:r w:rsidR="0004507D">
              <w:rPr>
                <w:rFonts w:eastAsia="Times New Roman" w:cs="Times New Roman"/>
                <w:color w:val="000000"/>
                <w:kern w:val="0"/>
                <w:sz w:val="22"/>
                <w:szCs w:val="22"/>
                <w14:ligatures w14:val="none"/>
              </w:rPr>
              <w:t>administrative streamlining</w:t>
            </w:r>
            <w:r w:rsidR="00D129D3" w:rsidRPr="00773700">
              <w:rPr>
                <w:rFonts w:eastAsia="Times New Roman" w:cs="Times New Roman"/>
                <w:color w:val="000000"/>
                <w:kern w:val="0"/>
                <w:sz w:val="22"/>
                <w:szCs w:val="22"/>
                <w14:ligatures w14:val="none"/>
              </w:rPr>
              <w:t xml:space="preserve"> under Chapter 197 is properly implemented, consistently applied, and achieves the intended benefits without causing unintended consequences such as inappropriate admissions or member dissatisfaction</w:t>
            </w:r>
            <w:r w:rsidR="0093637C">
              <w:rPr>
                <w:rFonts w:eastAsia="Times New Roman" w:cs="Times New Roman"/>
                <w:color w:val="000000"/>
                <w:kern w:val="0"/>
                <w:sz w:val="22"/>
                <w:szCs w:val="22"/>
                <w14:ligatures w14:val="none"/>
              </w:rPr>
              <w:t>.</w:t>
            </w:r>
          </w:p>
        </w:tc>
        <w:tc>
          <w:tcPr>
            <w:tcW w:w="1440" w:type="dxa"/>
            <w:noWrap/>
          </w:tcPr>
          <w:p w14:paraId="6CDF9572" w14:textId="49E78232" w:rsidR="00D129D3" w:rsidRPr="00773700"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773700">
              <w:rPr>
                <w:rFonts w:eastAsia="Times New Roman" w:cs="Times New Roman"/>
                <w:color w:val="000000"/>
                <w:kern w:val="0"/>
                <w:sz w:val="22"/>
                <w:szCs w:val="22"/>
                <w14:ligatures w14:val="none"/>
              </w:rPr>
              <w:t>ii, vii</w:t>
            </w:r>
          </w:p>
        </w:tc>
      </w:tr>
      <w:tr w:rsidR="00E4526E" w:rsidRPr="007B7E0A" w14:paraId="2234521D"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50DA11BD" w14:textId="1095A477" w:rsidR="00D129D3" w:rsidRPr="003E14FB" w:rsidRDefault="00361F50" w:rsidP="009E0AC2">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lastRenderedPageBreak/>
              <w:t xml:space="preserve">3.2 </w:t>
            </w:r>
            <w:r>
              <w:rPr>
                <w:rFonts w:eastAsia="Times New Roman" w:cs="Times New Roman"/>
                <w:color w:val="000000"/>
                <w:kern w:val="0"/>
                <w:sz w:val="22"/>
                <w:szCs w:val="22"/>
                <w14:ligatures w14:val="none"/>
              </w:rPr>
              <w:t>Advocate</w:t>
            </w:r>
            <w:r w:rsidR="00D129D3" w:rsidRPr="003E14FB">
              <w:rPr>
                <w:rFonts w:eastAsia="Times New Roman" w:cs="Times New Roman"/>
                <w:color w:val="000000"/>
                <w:kern w:val="0"/>
                <w:sz w:val="22"/>
                <w:szCs w:val="22"/>
                <w14:ligatures w14:val="none"/>
              </w:rPr>
              <w:t xml:space="preserve"> for Medicare Advantage Prior Authorization Alignment</w:t>
            </w:r>
          </w:p>
        </w:tc>
        <w:tc>
          <w:tcPr>
            <w:tcW w:w="3843" w:type="dxa"/>
            <w:noWrap/>
          </w:tcPr>
          <w:p w14:paraId="59476DDE" w14:textId="77777777" w:rsidR="00D129D3" w:rsidRPr="003E14FB" w:rsidRDefault="00D129D3" w:rsidP="003E14FB">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Partner with federal and state stakeholders to advocate for national alignment of prior authorization turn-around times to expedite post-acute care transitions.</w:t>
            </w:r>
          </w:p>
          <w:p w14:paraId="58E75C1F" w14:textId="40946F2A" w:rsidR="00D129D3" w:rsidRPr="003E14FB" w:rsidRDefault="00D129D3" w:rsidP="003E14FB">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Advocate for federal government to </w:t>
            </w:r>
            <w:r w:rsidR="0052027F">
              <w:rPr>
                <w:rFonts w:eastAsia="Times New Roman" w:cs="Times New Roman"/>
                <w:color w:val="000000"/>
                <w:kern w:val="0"/>
                <w:sz w:val="22"/>
                <w:szCs w:val="22"/>
                <w14:ligatures w14:val="none"/>
              </w:rPr>
              <w:t xml:space="preserve">align </w:t>
            </w:r>
            <w:r w:rsidRPr="003E14FB">
              <w:rPr>
                <w:rFonts w:eastAsia="Times New Roman" w:cs="Times New Roman"/>
                <w:color w:val="000000"/>
                <w:kern w:val="0"/>
                <w:sz w:val="22"/>
                <w:szCs w:val="22"/>
                <w14:ligatures w14:val="none"/>
              </w:rPr>
              <w:t xml:space="preserve">Medicare </w:t>
            </w:r>
            <w:r w:rsidR="00AF19A4">
              <w:rPr>
                <w:rFonts w:eastAsia="Times New Roman" w:cs="Times New Roman"/>
                <w:color w:val="000000"/>
                <w:kern w:val="0"/>
                <w:sz w:val="22"/>
                <w:szCs w:val="22"/>
                <w14:ligatures w14:val="none"/>
              </w:rPr>
              <w:t xml:space="preserve">and </w:t>
            </w:r>
            <w:r w:rsidRPr="003E14FB">
              <w:rPr>
                <w:rFonts w:eastAsia="Times New Roman" w:cs="Times New Roman"/>
                <w:color w:val="000000"/>
                <w:kern w:val="0"/>
                <w:sz w:val="22"/>
                <w:szCs w:val="22"/>
                <w14:ligatures w14:val="none"/>
              </w:rPr>
              <w:t>Medicare Advantage prior authorization response times for post-acute care services with recent Massachusetts standards.</w:t>
            </w:r>
          </w:p>
        </w:tc>
        <w:tc>
          <w:tcPr>
            <w:tcW w:w="2700" w:type="dxa"/>
            <w:noWrap/>
          </w:tcPr>
          <w:p w14:paraId="3EC5F0A5" w14:textId="38FAB7B3" w:rsidR="00D129D3" w:rsidRPr="003E14FB" w:rsidDel="00421BCD"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Delays in Medicare Advantage prior authorization create discharge backlogs and care coordination challenges; aligning response times improves throughput and patient experience</w:t>
            </w:r>
            <w:r w:rsidR="0093637C">
              <w:rPr>
                <w:rFonts w:eastAsia="Times New Roman" w:cs="Times New Roman"/>
                <w:color w:val="000000"/>
                <w:kern w:val="0"/>
                <w:sz w:val="22"/>
                <w:szCs w:val="22"/>
                <w14:ligatures w14:val="none"/>
              </w:rPr>
              <w:t>.</w:t>
            </w:r>
          </w:p>
        </w:tc>
        <w:tc>
          <w:tcPr>
            <w:tcW w:w="1440" w:type="dxa"/>
            <w:noWrap/>
          </w:tcPr>
          <w:p w14:paraId="4AADCC8C" w14:textId="26436555"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ii, vii</w:t>
            </w:r>
          </w:p>
        </w:tc>
      </w:tr>
      <w:tr w:rsidR="00E4526E" w:rsidRPr="007B7E0A" w14:paraId="0DB3E340"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3271E035" w14:textId="4F1595F9" w:rsidR="00D129D3" w:rsidRPr="003E14FB" w:rsidRDefault="00361F50" w:rsidP="009E0AC2">
            <w:pPr>
              <w:spacing w:after="120"/>
              <w:rPr>
                <w:rFonts w:eastAsia="Times New Roman" w:cs="Times New Roman"/>
                <w:color w:val="000000"/>
                <w:kern w:val="0"/>
                <w:sz w:val="22"/>
                <w:szCs w:val="22"/>
                <w14:ligatures w14:val="none"/>
              </w:rPr>
            </w:pPr>
            <w:r w:rsidRPr="00520822">
              <w:rPr>
                <w:rFonts w:eastAsia="Times New Roman" w:cs="Times New Roman"/>
                <w:color w:val="000000"/>
                <w:kern w:val="0"/>
                <w:sz w:val="22"/>
                <w:szCs w:val="22"/>
                <w14:ligatures w14:val="none"/>
              </w:rPr>
              <w:lastRenderedPageBreak/>
              <w:t xml:space="preserve">3.3 </w:t>
            </w:r>
            <w:r>
              <w:rPr>
                <w:rFonts w:eastAsia="Times New Roman" w:cs="Times New Roman"/>
                <w:color w:val="000000"/>
                <w:kern w:val="0"/>
                <w:sz w:val="22"/>
                <w:szCs w:val="22"/>
                <w14:ligatures w14:val="none"/>
              </w:rPr>
              <w:t>Explore</w:t>
            </w:r>
            <w:r w:rsidR="00D129D3" w:rsidRPr="003E14FB">
              <w:rPr>
                <w:rFonts w:eastAsia="Times New Roman" w:cs="Times New Roman"/>
                <w:color w:val="000000"/>
                <w:kern w:val="0"/>
                <w:sz w:val="22"/>
                <w:szCs w:val="22"/>
                <w14:ligatures w14:val="none"/>
              </w:rPr>
              <w:t xml:space="preserve"> out-of-network reimbursement processes</w:t>
            </w:r>
          </w:p>
        </w:tc>
        <w:tc>
          <w:tcPr>
            <w:tcW w:w="3843" w:type="dxa"/>
            <w:noWrap/>
          </w:tcPr>
          <w:p w14:paraId="7B34934F" w14:textId="77777777" w:rsidR="000E028F" w:rsidRDefault="00D129D3" w:rsidP="006274B1">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Convene stakeholders to </w:t>
            </w:r>
            <w:r w:rsidRPr="003E14FB" w:rsidDel="006274B1">
              <w:rPr>
                <w:rFonts w:eastAsia="Times New Roman" w:cs="Times New Roman"/>
                <w:color w:val="000000"/>
                <w:kern w:val="0"/>
                <w:sz w:val="22"/>
                <w:szCs w:val="22"/>
                <w14:ligatures w14:val="none"/>
              </w:rPr>
              <w:t xml:space="preserve">explore potential strategies to support timely access to care when no in-network provider is available. </w:t>
            </w:r>
          </w:p>
          <w:p w14:paraId="6CFC3289" w14:textId="77777777" w:rsidR="00492885" w:rsidRDefault="00D129D3" w:rsidP="006274B1">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sidDel="006274B1">
              <w:rPr>
                <w:rFonts w:eastAsia="Times New Roman" w:cs="Times New Roman"/>
                <w:color w:val="000000"/>
                <w:kern w:val="0"/>
                <w:sz w:val="22"/>
                <w:szCs w:val="22"/>
                <w14:ligatures w14:val="none"/>
              </w:rPr>
              <w:t xml:space="preserve">Strategies may include—but are not limited to—streamlining out-of-network (OON) payment processes or developing shared principles to guide timely negotiation in urgent situations. </w:t>
            </w:r>
          </w:p>
          <w:p w14:paraId="55B31763" w14:textId="0528100B" w:rsidR="00826DD6" w:rsidRPr="002D1F55" w:rsidRDefault="00D129D3" w:rsidP="006274B1">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sidDel="006274B1">
              <w:rPr>
                <w:rFonts w:eastAsia="Times New Roman" w:cs="Times New Roman"/>
                <w:color w:val="000000"/>
                <w:kern w:val="0"/>
                <w:sz w:val="22"/>
                <w:szCs w:val="22"/>
                <w14:ligatures w14:val="none"/>
              </w:rPr>
              <w:t>Prioritize solutions that balance the need to expedite patient access, reduce discharge delays, preserve the ability for private negotiation, and promote insurer network adequacy and transparency.</w:t>
            </w:r>
          </w:p>
        </w:tc>
        <w:tc>
          <w:tcPr>
            <w:tcW w:w="2700" w:type="dxa"/>
            <w:noWrap/>
          </w:tcPr>
          <w:p w14:paraId="52950B67" w14:textId="05661A3C"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Support timely discharge and ensures member access to care when capacity is strained</w:t>
            </w:r>
            <w:r w:rsidR="0093637C">
              <w:rPr>
                <w:rFonts w:eastAsia="Times New Roman" w:cs="Times New Roman"/>
                <w:color w:val="000000"/>
                <w:kern w:val="0"/>
                <w:sz w:val="22"/>
                <w:szCs w:val="22"/>
                <w14:ligatures w14:val="none"/>
              </w:rPr>
              <w:t>.</w:t>
            </w:r>
          </w:p>
        </w:tc>
        <w:tc>
          <w:tcPr>
            <w:tcW w:w="1440" w:type="dxa"/>
            <w:noWrap/>
          </w:tcPr>
          <w:p w14:paraId="3AE35179" w14:textId="09FAAF70" w:rsidR="00D129D3" w:rsidRPr="003E14FB" w:rsidRDefault="00D129D3"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viii, vi</w:t>
            </w:r>
          </w:p>
        </w:tc>
      </w:tr>
      <w:tr w:rsidR="003F4251" w:rsidRPr="007B7E0A" w14:paraId="53AA2AD8"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7DDBF10E" w14:textId="2678D82E" w:rsidR="003F4251" w:rsidRPr="00520822" w:rsidRDefault="00361F50" w:rsidP="009E0AC2">
            <w:pPr>
              <w:spacing w:after="12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3.4 Explore</w:t>
            </w:r>
            <w:r w:rsidR="001C2887">
              <w:rPr>
                <w:rFonts w:eastAsia="Times New Roman" w:cs="Times New Roman"/>
                <w:color w:val="000000"/>
                <w:kern w:val="0"/>
                <w:sz w:val="22"/>
                <w:szCs w:val="22"/>
                <w14:ligatures w14:val="none"/>
              </w:rPr>
              <w:t xml:space="preserve"> </w:t>
            </w:r>
            <w:r w:rsidR="001C2887" w:rsidRPr="001C2887">
              <w:rPr>
                <w:rFonts w:eastAsia="Times New Roman" w:cs="Times New Roman"/>
                <w:color w:val="000000"/>
                <w:kern w:val="0"/>
                <w:sz w:val="22"/>
                <w:szCs w:val="22"/>
                <w14:ligatures w14:val="none"/>
              </w:rPr>
              <w:t>Enhanced Hospital Case Management and Wrap-Around Service</w:t>
            </w:r>
          </w:p>
        </w:tc>
        <w:tc>
          <w:tcPr>
            <w:tcW w:w="3843" w:type="dxa"/>
            <w:noWrap/>
          </w:tcPr>
          <w:p w14:paraId="79BBB32D" w14:textId="67499651" w:rsidR="003F4251" w:rsidRPr="003E14FB" w:rsidRDefault="00E34258" w:rsidP="005D3585">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Evaluate the feasibility, billing operations, and cost-effectiveness of enhanced hospital-based case management and wrap-around service models (e.g., CHART-style teams) through pilot programs</w:t>
            </w:r>
            <w:r w:rsidR="008D5231">
              <w:rPr>
                <w:rFonts w:eastAsia="Times New Roman" w:cs="Times New Roman"/>
                <w:color w:val="000000"/>
                <w:kern w:val="0"/>
                <w:sz w:val="22"/>
                <w:szCs w:val="22"/>
                <w14:ligatures w14:val="none"/>
              </w:rPr>
              <w:t>.</w:t>
            </w:r>
          </w:p>
        </w:tc>
        <w:tc>
          <w:tcPr>
            <w:tcW w:w="2700" w:type="dxa"/>
            <w:noWrap/>
          </w:tcPr>
          <w:p w14:paraId="30D5ABED" w14:textId="0D187CC4" w:rsidR="003F4251" w:rsidRPr="003F4251" w:rsidDel="00421BCD" w:rsidRDefault="00003D62"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692B">
              <w:rPr>
                <w:rFonts w:eastAsia="Times New Roman" w:cs="Times New Roman"/>
                <w:color w:val="000000"/>
                <w:kern w:val="0"/>
                <w:sz w:val="22"/>
                <w:szCs w:val="22"/>
                <w14:ligatures w14:val="none"/>
              </w:rPr>
              <w:t>Support proactive discharge planning and social needs support to help reduce discharge delays, improve care transitions, and ensure home- and community-based services (HCBS) are in place to prevent readmissions</w:t>
            </w:r>
            <w:r w:rsidR="008D5231">
              <w:rPr>
                <w:rFonts w:eastAsia="Times New Roman" w:cs="Times New Roman"/>
                <w:color w:val="000000"/>
                <w:kern w:val="0"/>
                <w:sz w:val="22"/>
                <w:szCs w:val="22"/>
                <w14:ligatures w14:val="none"/>
              </w:rPr>
              <w:t>.</w:t>
            </w:r>
          </w:p>
        </w:tc>
        <w:tc>
          <w:tcPr>
            <w:tcW w:w="1440" w:type="dxa"/>
            <w:noWrap/>
          </w:tcPr>
          <w:p w14:paraId="10317034" w14:textId="77777777" w:rsidR="003F4251" w:rsidRPr="003F4251" w:rsidRDefault="003F4251" w:rsidP="009E0AC2">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
        </w:tc>
      </w:tr>
    </w:tbl>
    <w:p w14:paraId="050A1B6E" w14:textId="77777777" w:rsidR="00361F50" w:rsidRDefault="00361F50"/>
    <w:p w14:paraId="50F04B83" w14:textId="5CCE7A88" w:rsidR="00361F50" w:rsidRDefault="00361F50">
      <w:r>
        <w:t xml:space="preserve">Table 4 = </w:t>
      </w:r>
      <w:r w:rsidRPr="003E14FB">
        <w:rPr>
          <w:rFonts w:eastAsia="Times New Roman" w:cs="Times New Roman"/>
          <w:color w:val="000000"/>
          <w:kern w:val="0"/>
          <w:sz w:val="22"/>
          <w:szCs w:val="22"/>
          <w14:ligatures w14:val="none"/>
        </w:rPr>
        <w:t>Home &amp; Community-Based Supports (HCBS) Care Continuum</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361F50" w:rsidRPr="007B7E0A" w14:paraId="0173D98C" w14:textId="77777777" w:rsidTr="00F405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75628B24" w14:textId="77777777" w:rsidR="00361F50" w:rsidRPr="0090471A" w:rsidRDefault="00361F50" w:rsidP="00F405B4">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6080ED58"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4D1E402E"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1C90FE2E" w14:textId="77777777" w:rsidR="00361F50" w:rsidRPr="0090471A" w:rsidRDefault="00361F50"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E4526E" w:rsidRPr="007B7E0A" w14:paraId="66FBCEAF"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3F3BA9B4" w14:textId="4A4FE71B"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4.1 </w:t>
            </w:r>
            <w:r>
              <w:rPr>
                <w:rFonts w:eastAsia="Times New Roman" w:cs="Times New Roman"/>
                <w:color w:val="000000"/>
                <w:kern w:val="0"/>
                <w:sz w:val="22"/>
                <w:szCs w:val="22"/>
                <w14:ligatures w14:val="none"/>
              </w:rPr>
              <w:t>Make</w:t>
            </w:r>
            <w:r w:rsidR="00D129D3" w:rsidRPr="003E14FB">
              <w:rPr>
                <w:rFonts w:eastAsia="Times New Roman" w:cs="Times New Roman"/>
                <w:color w:val="000000"/>
                <w:kern w:val="0"/>
                <w:sz w:val="22"/>
                <w:szCs w:val="22"/>
                <w14:ligatures w14:val="none"/>
              </w:rPr>
              <w:t xml:space="preserve"> </w:t>
            </w:r>
            <w:r w:rsidR="00EC6D23">
              <w:rPr>
                <w:rFonts w:eastAsia="Times New Roman" w:cs="Times New Roman"/>
                <w:color w:val="000000"/>
                <w:kern w:val="0"/>
                <w:sz w:val="22"/>
                <w:szCs w:val="22"/>
                <w14:ligatures w14:val="none"/>
              </w:rPr>
              <w:t xml:space="preserve">Hospital </w:t>
            </w:r>
            <w:r w:rsidR="00D244DA">
              <w:rPr>
                <w:rFonts w:eastAsia="Times New Roman" w:cs="Times New Roman"/>
                <w:color w:val="000000"/>
                <w:kern w:val="0"/>
                <w:sz w:val="22"/>
                <w:szCs w:val="22"/>
                <w14:ligatures w14:val="none"/>
              </w:rPr>
              <w:t xml:space="preserve">to </w:t>
            </w:r>
            <w:r w:rsidR="00D129D3" w:rsidRPr="003E14FB">
              <w:rPr>
                <w:rFonts w:eastAsia="Times New Roman" w:cs="Times New Roman"/>
                <w:color w:val="000000"/>
                <w:kern w:val="0"/>
                <w:sz w:val="22"/>
                <w:szCs w:val="22"/>
                <w14:ligatures w14:val="none"/>
              </w:rPr>
              <w:t xml:space="preserve">Home Partnership Program (HHPP) permanent </w:t>
            </w:r>
          </w:p>
        </w:tc>
        <w:tc>
          <w:tcPr>
            <w:tcW w:w="3843" w:type="dxa"/>
            <w:noWrap/>
            <w:hideMark/>
          </w:tcPr>
          <w:p w14:paraId="6EEA27F8" w14:textId="430E3736" w:rsidR="00D129D3" w:rsidRPr="003E14FB" w:rsidRDefault="00D129D3" w:rsidP="003E14FB">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Explore feasibility of making the Hospital to Home Partnership Program (HHPP) permanent, and based on feasibility encourage and fund programs that enable all hospitals to embed liaison roles from their local ASAPs for home </w:t>
            </w:r>
            <w:r w:rsidRPr="003E14FB">
              <w:rPr>
                <w:rFonts w:eastAsia="Times New Roman" w:cs="Times New Roman"/>
                <w:color w:val="000000"/>
                <w:kern w:val="0"/>
                <w:sz w:val="22"/>
                <w:szCs w:val="22"/>
                <w14:ligatures w14:val="none"/>
              </w:rPr>
              <w:lastRenderedPageBreak/>
              <w:t>and community-based care coordination</w:t>
            </w:r>
            <w:r w:rsidR="00AE706D">
              <w:rPr>
                <w:rFonts w:eastAsia="Times New Roman" w:cs="Times New Roman"/>
                <w:color w:val="000000"/>
                <w:kern w:val="0"/>
                <w:sz w:val="22"/>
                <w:szCs w:val="22"/>
                <w14:ligatures w14:val="none"/>
              </w:rPr>
              <w:t>.</w:t>
            </w:r>
          </w:p>
        </w:tc>
        <w:tc>
          <w:tcPr>
            <w:tcW w:w="2700" w:type="dxa"/>
            <w:noWrap/>
            <w:hideMark/>
          </w:tcPr>
          <w:p w14:paraId="280C3D2C" w14:textId="65775E85"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Direct HCBS coordination at the point of care reduces unnecessary SNF placement and enables faster, safer discharges to the community</w:t>
            </w:r>
            <w:r w:rsidR="00DD3B8A">
              <w:rPr>
                <w:rFonts w:eastAsia="Times New Roman" w:cs="Times New Roman"/>
                <w:color w:val="000000"/>
                <w:kern w:val="0"/>
                <w:sz w:val="22"/>
                <w:szCs w:val="22"/>
                <w14:ligatures w14:val="none"/>
              </w:rPr>
              <w:t>.</w:t>
            </w:r>
          </w:p>
        </w:tc>
        <w:tc>
          <w:tcPr>
            <w:tcW w:w="1440" w:type="dxa"/>
            <w:noWrap/>
            <w:hideMark/>
          </w:tcPr>
          <w:p w14:paraId="78937FFF" w14:textId="7777777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iii, v</w:t>
            </w:r>
          </w:p>
        </w:tc>
      </w:tr>
      <w:tr w:rsidR="00E4526E" w:rsidRPr="007B7E0A" w14:paraId="1BF5AF60"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6534F121" w14:textId="168C5B32"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4.2 </w:t>
            </w:r>
            <w:r>
              <w:rPr>
                <w:rFonts w:eastAsia="Times New Roman" w:cs="Times New Roman"/>
                <w:color w:val="000000"/>
                <w:kern w:val="0"/>
                <w:sz w:val="22"/>
                <w:szCs w:val="22"/>
                <w14:ligatures w14:val="none"/>
              </w:rPr>
              <w:t>Develop</w:t>
            </w:r>
            <w:r w:rsidR="00D129D3" w:rsidRPr="003E14FB">
              <w:rPr>
                <w:rFonts w:eastAsia="Times New Roman" w:cs="Times New Roman"/>
                <w:color w:val="000000"/>
                <w:kern w:val="0"/>
                <w:sz w:val="22"/>
                <w:szCs w:val="22"/>
                <w14:ligatures w14:val="none"/>
              </w:rPr>
              <w:t xml:space="preserve"> an HCBS referral portal integrated with EMRs</w:t>
            </w:r>
          </w:p>
        </w:tc>
        <w:tc>
          <w:tcPr>
            <w:tcW w:w="3843" w:type="dxa"/>
            <w:noWrap/>
            <w:hideMark/>
          </w:tcPr>
          <w:p w14:paraId="3B136BDC" w14:textId="02DA7877" w:rsidR="00D129D3" w:rsidRPr="003E14FB" w:rsidRDefault="00D129D3" w:rsidP="003E14FB">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feasibility of developing a universal hospital-to-HCBS broadcast referral tool to connect ASAPs, ILCs, and home care agencies through secure, automated platforms</w:t>
            </w:r>
            <w:r w:rsidR="0036222E">
              <w:rPr>
                <w:rFonts w:eastAsia="Times New Roman" w:cs="Times New Roman"/>
                <w:color w:val="000000"/>
                <w:kern w:val="0"/>
                <w:sz w:val="22"/>
                <w:szCs w:val="22"/>
                <w14:ligatures w14:val="none"/>
              </w:rPr>
              <w:t>.</w:t>
            </w:r>
          </w:p>
        </w:tc>
        <w:tc>
          <w:tcPr>
            <w:tcW w:w="2700" w:type="dxa"/>
            <w:noWrap/>
            <w:hideMark/>
          </w:tcPr>
          <w:p w14:paraId="731DADD6" w14:textId="6B33BEAE"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Reduces manual handoffs, ensures faster referrals, and improves visibility across providers and allows ASAPs to anticipate potential wrap-around services to support discharge to the community prior to discharge from SNF care.</w:t>
            </w:r>
          </w:p>
        </w:tc>
        <w:tc>
          <w:tcPr>
            <w:tcW w:w="1440" w:type="dxa"/>
            <w:noWrap/>
            <w:hideMark/>
          </w:tcPr>
          <w:p w14:paraId="54A2DF8E" w14:textId="7777777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w:t>
            </w:r>
          </w:p>
        </w:tc>
      </w:tr>
      <w:tr w:rsidR="00E4526E" w:rsidRPr="007B7E0A" w14:paraId="6EC5F245"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3B55AD66" w14:textId="613F5C68"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4.3 </w:t>
            </w:r>
            <w:r>
              <w:rPr>
                <w:rFonts w:eastAsia="Times New Roman" w:cs="Times New Roman"/>
                <w:color w:val="000000"/>
                <w:kern w:val="0"/>
                <w:sz w:val="22"/>
                <w:szCs w:val="22"/>
                <w14:ligatures w14:val="none"/>
              </w:rPr>
              <w:t>Expand</w:t>
            </w:r>
            <w:r w:rsidR="00D129D3" w:rsidRPr="003E14FB">
              <w:rPr>
                <w:rFonts w:eastAsia="Times New Roman" w:cs="Times New Roman"/>
                <w:color w:val="000000"/>
                <w:kern w:val="0"/>
                <w:sz w:val="22"/>
                <w:szCs w:val="22"/>
                <w14:ligatures w14:val="none"/>
              </w:rPr>
              <w:t xml:space="preserve"> Mobile Integrated Healthcare (MIH) and Hospital-at-Home models</w:t>
            </w:r>
          </w:p>
        </w:tc>
        <w:tc>
          <w:tcPr>
            <w:tcW w:w="3843" w:type="dxa"/>
            <w:noWrap/>
            <w:hideMark/>
          </w:tcPr>
          <w:p w14:paraId="13661ED0" w14:textId="0F56244E" w:rsidR="00D129D3" w:rsidRPr="003E14FB" w:rsidRDefault="00D129D3" w:rsidP="0087473E">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Expand reimbursement pathways for MIH through </w:t>
            </w:r>
            <w:r w:rsidR="00537DDF">
              <w:rPr>
                <w:rFonts w:eastAsia="Times New Roman" w:cs="Times New Roman"/>
                <w:color w:val="000000"/>
                <w:kern w:val="0"/>
                <w:sz w:val="22"/>
                <w:szCs w:val="22"/>
                <w14:ligatures w14:val="none"/>
              </w:rPr>
              <w:t xml:space="preserve">defining </w:t>
            </w:r>
            <w:r w:rsidR="00A43EE9">
              <w:rPr>
                <w:rFonts w:eastAsia="Times New Roman" w:cs="Times New Roman"/>
                <w:color w:val="000000"/>
                <w:kern w:val="0"/>
                <w:sz w:val="22"/>
                <w:szCs w:val="22"/>
                <w14:ligatures w14:val="none"/>
              </w:rPr>
              <w:t xml:space="preserve">standardized billing codes for MIH and clarifying </w:t>
            </w:r>
            <w:r w:rsidR="002D01FB">
              <w:rPr>
                <w:rFonts w:eastAsia="Times New Roman" w:cs="Times New Roman"/>
                <w:color w:val="000000"/>
                <w:kern w:val="0"/>
                <w:sz w:val="22"/>
                <w:szCs w:val="22"/>
                <w14:ligatures w14:val="none"/>
              </w:rPr>
              <w:t>scope of practice and credentialing pathways for MIH</w:t>
            </w:r>
            <w:r w:rsidR="00E50B1F">
              <w:rPr>
                <w:rFonts w:eastAsia="Times New Roman" w:cs="Times New Roman"/>
                <w:color w:val="000000"/>
                <w:kern w:val="0"/>
                <w:sz w:val="22"/>
                <w:szCs w:val="22"/>
                <w14:ligatures w14:val="none"/>
              </w:rPr>
              <w:t xml:space="preserve"> </w:t>
            </w:r>
            <w:r w:rsidR="00E50B1F" w:rsidRPr="0039763C">
              <w:rPr>
                <w:sz w:val="22"/>
                <w:szCs w:val="22"/>
              </w:rPr>
              <w:t xml:space="preserve">(reflected in </w:t>
            </w:r>
            <w:r w:rsidR="00E50B1F">
              <w:rPr>
                <w:sz w:val="22"/>
                <w:szCs w:val="22"/>
              </w:rPr>
              <w:t xml:space="preserve">provisions included in </w:t>
            </w:r>
            <w:r w:rsidR="00E50B1F" w:rsidRPr="0039763C">
              <w:rPr>
                <w:sz w:val="22"/>
                <w:szCs w:val="22"/>
              </w:rPr>
              <w:t xml:space="preserve">various bills </w:t>
            </w:r>
            <w:r w:rsidR="00E50B1F">
              <w:rPr>
                <w:sz w:val="22"/>
                <w:szCs w:val="22"/>
              </w:rPr>
              <w:t xml:space="preserve">currently </w:t>
            </w:r>
            <w:r w:rsidR="00E50B1F" w:rsidRPr="0039763C">
              <w:rPr>
                <w:sz w:val="22"/>
                <w:szCs w:val="22"/>
              </w:rPr>
              <w:t xml:space="preserve">under </w:t>
            </w:r>
            <w:r w:rsidR="00E50B1F">
              <w:rPr>
                <w:sz w:val="22"/>
                <w:szCs w:val="22"/>
              </w:rPr>
              <w:t>r</w:t>
            </w:r>
            <w:r w:rsidR="00E50B1F" w:rsidRPr="0039763C">
              <w:rPr>
                <w:sz w:val="22"/>
                <w:szCs w:val="22"/>
              </w:rPr>
              <w:t>e</w:t>
            </w:r>
            <w:r w:rsidR="00E50B1F">
              <w:rPr>
                <w:sz w:val="22"/>
                <w:szCs w:val="22"/>
              </w:rPr>
              <w:t>vie</w:t>
            </w:r>
            <w:r w:rsidR="00FE1020">
              <w:rPr>
                <w:sz w:val="22"/>
                <w:szCs w:val="22"/>
              </w:rPr>
              <w:t>w; see Appendix C</w:t>
            </w:r>
            <w:r w:rsidR="00E50B1F" w:rsidRPr="0039763C">
              <w:rPr>
                <w:rFonts w:eastAsia="Times New Roman" w:cs="Times New Roman"/>
                <w:color w:val="000000"/>
                <w:kern w:val="0"/>
                <w:sz w:val="22"/>
                <w:szCs w:val="22"/>
                <w14:ligatures w14:val="none"/>
              </w:rPr>
              <w:t>)</w:t>
            </w:r>
            <w:r w:rsidR="002D01FB">
              <w:rPr>
                <w:rFonts w:eastAsia="Times New Roman" w:cs="Times New Roman"/>
                <w:color w:val="000000"/>
                <w:kern w:val="0"/>
                <w:sz w:val="22"/>
                <w:szCs w:val="22"/>
                <w14:ligatures w14:val="none"/>
              </w:rPr>
              <w:t>.</w:t>
            </w:r>
            <w:r w:rsidR="002D01FB" w:rsidRPr="003E14FB" w:rsidDel="002D01FB">
              <w:rPr>
                <w:rFonts w:eastAsia="Times New Roman" w:cs="Times New Roman"/>
                <w:color w:val="000000"/>
                <w:kern w:val="0"/>
                <w:sz w:val="22"/>
                <w:szCs w:val="22"/>
                <w14:ligatures w14:val="none"/>
              </w:rPr>
              <w:t xml:space="preserve"> </w:t>
            </w:r>
          </w:p>
          <w:p w14:paraId="4FB8D226" w14:textId="667E1F8E" w:rsidR="00D129D3" w:rsidRPr="003E14FB" w:rsidRDefault="00D129D3" w:rsidP="0087473E">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Sustain CMS Hospital-at-Home waivers through federal legislation, 1115 waivers, state plan amendments</w:t>
            </w:r>
            <w:r w:rsidR="00C33260">
              <w:rPr>
                <w:rFonts w:eastAsia="Times New Roman" w:cs="Times New Roman"/>
                <w:color w:val="000000"/>
                <w:kern w:val="0"/>
                <w:sz w:val="22"/>
                <w:szCs w:val="22"/>
                <w14:ligatures w14:val="none"/>
              </w:rPr>
              <w:t xml:space="preserve">, and/or state legislation </w:t>
            </w:r>
            <w:r w:rsidR="00C33260" w:rsidRPr="00C33260">
              <w:rPr>
                <w:rFonts w:eastAsia="Times New Roman" w:cs="Times New Roman"/>
                <w:color w:val="000000"/>
                <w:kern w:val="0"/>
                <w:sz w:val="22"/>
                <w:szCs w:val="22"/>
                <w14:ligatures w14:val="none"/>
              </w:rPr>
              <w:t>(reflected in provisions included in various bills currently under review; see Appendix C)</w:t>
            </w:r>
            <w:r w:rsidRPr="003E14FB">
              <w:rPr>
                <w:rFonts w:eastAsia="Times New Roman" w:cs="Times New Roman"/>
                <w:color w:val="000000"/>
                <w:kern w:val="0"/>
                <w:sz w:val="22"/>
                <w:szCs w:val="22"/>
                <w14:ligatures w14:val="none"/>
              </w:rPr>
              <w:t>.</w:t>
            </w:r>
          </w:p>
          <w:p w14:paraId="0062EBAD" w14:textId="6A0526A7" w:rsidR="00D129D3" w:rsidRPr="003E14FB" w:rsidRDefault="00D129D3" w:rsidP="0087473E">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Establish structured referral pathways with standardized protocols for hospital, ED, PCP, and 9-1-1 referrals to MIH providers.</w:t>
            </w:r>
          </w:p>
          <w:p w14:paraId="6DF80697" w14:textId="0BF43046" w:rsidR="00D129D3" w:rsidRPr="003E14FB" w:rsidRDefault="00D129D3" w:rsidP="0087473E">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Develop sustainable reimbursement models, including MassHealth adoption of community paramedicine CPT/HCPCS codes and transitioning current MIH </w:t>
            </w:r>
            <w:r w:rsidRPr="003E14FB">
              <w:rPr>
                <w:rFonts w:eastAsia="Times New Roman" w:cs="Times New Roman"/>
                <w:color w:val="000000"/>
                <w:kern w:val="0"/>
                <w:sz w:val="22"/>
                <w:szCs w:val="22"/>
                <w14:ligatures w14:val="none"/>
              </w:rPr>
              <w:lastRenderedPageBreak/>
              <w:t>coverage into the State Plan when federal waivers expire.</w:t>
            </w:r>
          </w:p>
          <w:p w14:paraId="5F21B848" w14:textId="16E84A5D" w:rsidR="00D129D3" w:rsidRPr="003E14FB" w:rsidRDefault="00D129D3" w:rsidP="0087473E">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Invest in EMS workforce development, including expanded paramedic scope of practice, training in chronic disease management, and vehicle/staffing resources as programs scale.</w:t>
            </w:r>
          </w:p>
          <w:p w14:paraId="60E9EC62" w14:textId="4213D743" w:rsidR="00D129D3" w:rsidRPr="003E14FB" w:rsidRDefault="00D129D3" w:rsidP="003E14FB">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Foster strong partnerships among primary ambulance services, ACOs, home-health agencies, ASAPs, and hospital leadership to integrate MIH into broader care networks and EMR systems.</w:t>
            </w:r>
          </w:p>
        </w:tc>
        <w:tc>
          <w:tcPr>
            <w:tcW w:w="2700" w:type="dxa"/>
            <w:noWrap/>
            <w:hideMark/>
          </w:tcPr>
          <w:p w14:paraId="091E4CA3" w14:textId="124C0E5A"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CHIA’s June 2025</w:t>
            </w:r>
            <w:r w:rsidRPr="003E14FB">
              <w:rPr>
                <w:rStyle w:val="FootnoteReference"/>
                <w:rFonts w:eastAsia="Times New Roman" w:cs="Times New Roman"/>
                <w:color w:val="000000"/>
                <w:kern w:val="0"/>
                <w:sz w:val="22"/>
                <w:szCs w:val="22"/>
                <w14:ligatures w14:val="none"/>
              </w:rPr>
              <w:footnoteReference w:id="6"/>
            </w:r>
            <w:r w:rsidRPr="003E14FB">
              <w:rPr>
                <w:rFonts w:eastAsia="Times New Roman" w:cs="Times New Roman"/>
                <w:color w:val="000000"/>
                <w:kern w:val="0"/>
                <w:sz w:val="22"/>
                <w:szCs w:val="22"/>
                <w14:ligatures w14:val="none"/>
              </w:rPr>
              <w:t xml:space="preserve"> review found that expanding MIH would have minimal insurance premium impact ($0.03–$0.12 PMPM) while reducing emergency use, hospital readmissions, and improving access and outcomes, especially for underserved populations.  Expanding MIH and Hospital-at-Home programs enable earlier discharge, reduces hospital crowding, and maintains care quality in alternative care settings</w:t>
            </w:r>
            <w:r w:rsidR="0036222E">
              <w:rPr>
                <w:rFonts w:eastAsia="Times New Roman" w:cs="Times New Roman"/>
                <w:color w:val="000000"/>
                <w:kern w:val="0"/>
                <w:sz w:val="22"/>
                <w:szCs w:val="22"/>
                <w14:ligatures w14:val="none"/>
              </w:rPr>
              <w:t>.</w:t>
            </w:r>
          </w:p>
        </w:tc>
        <w:tc>
          <w:tcPr>
            <w:tcW w:w="1440" w:type="dxa"/>
            <w:noWrap/>
            <w:hideMark/>
          </w:tcPr>
          <w:p w14:paraId="6A6EC54E" w14:textId="7777777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w:t>
            </w:r>
          </w:p>
        </w:tc>
      </w:tr>
      <w:tr w:rsidR="00E4526E" w:rsidRPr="007B7E0A" w14:paraId="4DCCB9BB"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hideMark/>
          </w:tcPr>
          <w:p w14:paraId="3AEC3A60" w14:textId="70E7B5B4"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4.4 </w:t>
            </w:r>
            <w:r>
              <w:rPr>
                <w:rFonts w:eastAsia="Times New Roman" w:cs="Times New Roman"/>
                <w:color w:val="000000"/>
                <w:kern w:val="0"/>
                <w:sz w:val="22"/>
                <w:szCs w:val="22"/>
                <w14:ligatures w14:val="none"/>
              </w:rPr>
              <w:t>Support</w:t>
            </w:r>
            <w:r w:rsidR="00D129D3" w:rsidRPr="003E14FB">
              <w:rPr>
                <w:rFonts w:eastAsia="Times New Roman" w:cs="Times New Roman"/>
                <w:color w:val="000000"/>
                <w:kern w:val="0"/>
                <w:sz w:val="22"/>
                <w:szCs w:val="22"/>
                <w14:ligatures w14:val="none"/>
              </w:rPr>
              <w:t xml:space="preserve"> workforce pipelines for PAC and HCBS</w:t>
            </w:r>
          </w:p>
        </w:tc>
        <w:tc>
          <w:tcPr>
            <w:tcW w:w="3843" w:type="dxa"/>
            <w:noWrap/>
            <w:hideMark/>
          </w:tcPr>
          <w:p w14:paraId="138851B7" w14:textId="3103E225" w:rsidR="00D129D3" w:rsidRPr="003E14FB" w:rsidRDefault="00D129D3" w:rsidP="00FA738B">
            <w:pPr>
              <w:pStyle w:val="ListParagraph"/>
              <w:numPr>
                <w:ilvl w:val="0"/>
                <w:numId w:val="34"/>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Continue bolstering and providing funding for programs that create career ladders, as well as tuition support, credentialing tracks, and wage incentives for home care, SNF, and paramedicine workers</w:t>
            </w:r>
            <w:r w:rsidR="009829FB">
              <w:rPr>
                <w:rFonts w:eastAsia="Times New Roman" w:cs="Times New Roman"/>
                <w:color w:val="000000"/>
                <w:kern w:val="0"/>
                <w:sz w:val="22"/>
                <w:szCs w:val="22"/>
                <w14:ligatures w14:val="none"/>
              </w:rPr>
              <w:t>.</w:t>
            </w:r>
          </w:p>
        </w:tc>
        <w:tc>
          <w:tcPr>
            <w:tcW w:w="2700" w:type="dxa"/>
            <w:noWrap/>
            <w:hideMark/>
          </w:tcPr>
          <w:p w14:paraId="6FB38EFA" w14:textId="7D077FBA"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Addresses the most cited cause of discharge delays: workforce shortages</w:t>
            </w:r>
            <w:r w:rsidR="009829FB">
              <w:rPr>
                <w:rFonts w:eastAsia="Times New Roman" w:cs="Times New Roman"/>
                <w:color w:val="000000"/>
                <w:kern w:val="0"/>
                <w:sz w:val="22"/>
                <w:szCs w:val="22"/>
                <w14:ligatures w14:val="none"/>
              </w:rPr>
              <w:t>.</w:t>
            </w:r>
          </w:p>
        </w:tc>
        <w:tc>
          <w:tcPr>
            <w:tcW w:w="1440" w:type="dxa"/>
            <w:noWrap/>
            <w:hideMark/>
          </w:tcPr>
          <w:p w14:paraId="5681012F" w14:textId="7777777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v, vi</w:t>
            </w:r>
          </w:p>
        </w:tc>
      </w:tr>
      <w:tr w:rsidR="00E4526E" w:rsidRPr="007B7E0A" w14:paraId="6D98FC5A" w14:textId="617D1AAD"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65679095" w14:textId="3717A287" w:rsidR="00D129D3" w:rsidRPr="003E14FB" w:rsidRDefault="00361F50" w:rsidP="0036294A">
            <w:pPr>
              <w:spacing w:after="120"/>
              <w:rPr>
                <w:rFonts w:eastAsia="Times New Roman" w:cs="Times New Roman"/>
                <w:b w:val="0"/>
                <w:bCs w:val="0"/>
                <w:kern w:val="0"/>
                <w:sz w:val="22"/>
                <w:szCs w:val="22"/>
                <w14:ligatures w14:val="none"/>
              </w:rPr>
            </w:pPr>
            <w:r w:rsidRPr="003E14FB">
              <w:rPr>
                <w:rFonts w:eastAsia="Times New Roman" w:cs="Times New Roman"/>
                <w:kern w:val="0"/>
                <w:sz w:val="22"/>
                <w:szCs w:val="22"/>
                <w14:ligatures w14:val="none"/>
              </w:rPr>
              <w:t xml:space="preserve">4.5 </w:t>
            </w:r>
            <w:r>
              <w:rPr>
                <w:rFonts w:eastAsia="Times New Roman" w:cs="Times New Roman"/>
                <w:kern w:val="0"/>
                <w:sz w:val="22"/>
                <w:szCs w:val="22"/>
                <w14:ligatures w14:val="none"/>
              </w:rPr>
              <w:t>Simplify</w:t>
            </w:r>
            <w:r w:rsidR="00D129D3" w:rsidRPr="003E14FB">
              <w:rPr>
                <w:rFonts w:eastAsia="Times New Roman" w:cs="Times New Roman"/>
                <w:kern w:val="0"/>
                <w:sz w:val="22"/>
                <w:szCs w:val="22"/>
                <w14:ligatures w14:val="none"/>
              </w:rPr>
              <w:t xml:space="preserve"> and promote enhanced public education on HCBS and community resources</w:t>
            </w:r>
          </w:p>
        </w:tc>
        <w:tc>
          <w:tcPr>
            <w:tcW w:w="3843" w:type="dxa"/>
            <w:noWrap/>
          </w:tcPr>
          <w:p w14:paraId="6A8241D7" w14:textId="4533BD82" w:rsidR="00D129D3" w:rsidRPr="003E14FB" w:rsidRDefault="00D129D3" w:rsidP="00C01D4C">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14:ligatures w14:val="none"/>
              </w:rPr>
            </w:pPr>
            <w:r w:rsidRPr="003E14FB">
              <w:rPr>
                <w:rFonts w:eastAsia="Times New Roman" w:cs="Times New Roman"/>
                <w:kern w:val="0"/>
                <w:sz w:val="22"/>
                <w:szCs w:val="22"/>
                <w14:ligatures w14:val="none"/>
              </w:rPr>
              <w:t>Develop an easy-to-use, multilingual – ideally interactive – service guide and web portal (e.g., an enhanced MassOptions.org) to streamline referral for HCBS and community resources in an effort to demystify services, eligibility, referrals, coverage, and transitions for patients, families, hospitals, and providers.</w:t>
            </w:r>
          </w:p>
          <w:p w14:paraId="5122A42E" w14:textId="7E0E1FBF" w:rsidR="00D129D3" w:rsidRPr="003E14FB" w:rsidRDefault="00D129D3" w:rsidP="003E14FB">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14:ligatures w14:val="none"/>
              </w:rPr>
            </w:pPr>
            <w:r w:rsidRPr="003E14FB">
              <w:rPr>
                <w:rFonts w:eastAsia="Times New Roman" w:cs="Times New Roman"/>
                <w:kern w:val="0"/>
                <w:sz w:val="22"/>
                <w:szCs w:val="22"/>
                <w14:ligatures w14:val="none"/>
              </w:rPr>
              <w:t>Launch targeted education campaigns in multiple languages to strengthen education about community-based resources (ASAPs, SCO, PACE, OneCare) and develop targeted campaigns for healthcare providers, patients and caregivers</w:t>
            </w:r>
            <w:r w:rsidR="009829FB">
              <w:rPr>
                <w:rFonts w:eastAsia="Times New Roman" w:cs="Times New Roman"/>
                <w:kern w:val="0"/>
                <w:sz w:val="22"/>
                <w:szCs w:val="22"/>
                <w14:ligatures w14:val="none"/>
              </w:rPr>
              <w:t>.</w:t>
            </w:r>
          </w:p>
        </w:tc>
        <w:tc>
          <w:tcPr>
            <w:tcW w:w="2700" w:type="dxa"/>
            <w:noWrap/>
          </w:tcPr>
          <w:p w14:paraId="390162CF" w14:textId="23BBFE0E"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14:ligatures w14:val="none"/>
              </w:rPr>
            </w:pPr>
            <w:r w:rsidRPr="003E14FB">
              <w:rPr>
                <w:rFonts w:eastAsia="Times New Roman" w:cs="Times New Roman"/>
                <w:kern w:val="0"/>
                <w:sz w:val="22"/>
                <w:szCs w:val="22"/>
                <w14:ligatures w14:val="none"/>
              </w:rPr>
              <w:t>Simplifies navigation across fragmented services, reduces confusion about eligibility and referrals, and helps reduce unnecessary institutional placements</w:t>
            </w:r>
            <w:r w:rsidR="009829FB">
              <w:rPr>
                <w:rFonts w:eastAsia="Times New Roman" w:cs="Times New Roman"/>
                <w:kern w:val="0"/>
                <w:sz w:val="22"/>
                <w:szCs w:val="22"/>
                <w14:ligatures w14:val="none"/>
              </w:rPr>
              <w:t>.</w:t>
            </w:r>
          </w:p>
        </w:tc>
        <w:tc>
          <w:tcPr>
            <w:tcW w:w="1440" w:type="dxa"/>
            <w:noWrap/>
          </w:tcPr>
          <w:p w14:paraId="053880D6" w14:textId="16DAE0B4"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14:ligatures w14:val="none"/>
              </w:rPr>
            </w:pPr>
            <w:r w:rsidRPr="003E14FB">
              <w:rPr>
                <w:rFonts w:eastAsia="Times New Roman" w:cs="Times New Roman"/>
                <w:kern w:val="0"/>
                <w:sz w:val="22"/>
                <w:szCs w:val="22"/>
                <w14:ligatures w14:val="none"/>
              </w:rPr>
              <w:t>x, xiv</w:t>
            </w:r>
          </w:p>
        </w:tc>
      </w:tr>
    </w:tbl>
    <w:p w14:paraId="20C2DAE1" w14:textId="77777777" w:rsidR="00361F50" w:rsidRDefault="00361F50"/>
    <w:p w14:paraId="7DADF595" w14:textId="77777777" w:rsidR="00783971" w:rsidRDefault="00783971">
      <w:r>
        <w:br w:type="page"/>
      </w:r>
    </w:p>
    <w:p w14:paraId="4F0FC5E3" w14:textId="7CE52449" w:rsidR="00783971" w:rsidRDefault="00783971">
      <w:r>
        <w:lastRenderedPageBreak/>
        <w:t xml:space="preserve">Table 5 = </w:t>
      </w:r>
      <w:r w:rsidRPr="003E14FB">
        <w:rPr>
          <w:rFonts w:eastAsia="Times New Roman" w:cs="Times New Roman"/>
          <w:color w:val="000000"/>
          <w:kern w:val="0"/>
          <w:sz w:val="22"/>
          <w:szCs w:val="22"/>
          <w14:ligatures w14:val="none"/>
        </w:rPr>
        <w:t>Complex Needs &amp; Populations</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783971" w:rsidRPr="007B7E0A" w14:paraId="1C59C65A" w14:textId="77777777" w:rsidTr="00F405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2697B8C8" w14:textId="77777777" w:rsidR="00783971" w:rsidRPr="0090471A" w:rsidRDefault="00783971" w:rsidP="00F405B4">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25988662"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67681A24"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1FBFCE4B"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E4526E" w:rsidRPr="007B7E0A" w14:paraId="05CC1CC9"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27442F16" w14:textId="611B636C" w:rsidR="00D129D3" w:rsidRPr="003E14FB" w:rsidRDefault="00361F50" w:rsidP="0036294A">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5.1 </w:t>
            </w:r>
            <w:r>
              <w:rPr>
                <w:rFonts w:eastAsia="Times New Roman" w:cs="Times New Roman"/>
                <w:color w:val="000000"/>
                <w:kern w:val="0"/>
                <w:sz w:val="22"/>
                <w:szCs w:val="22"/>
                <w14:ligatures w14:val="none"/>
              </w:rPr>
              <w:t>Explore</w:t>
            </w:r>
            <w:r w:rsidR="00D129D3" w:rsidRPr="003E14FB">
              <w:rPr>
                <w:rFonts w:eastAsia="Times New Roman" w:cs="Times New Roman"/>
                <w:color w:val="000000"/>
                <w:kern w:val="0"/>
                <w:sz w:val="22"/>
                <w:szCs w:val="22"/>
                <w14:ligatures w14:val="none"/>
              </w:rPr>
              <w:t xml:space="preserve"> discharge planning strategies for</w:t>
            </w:r>
            <w:r w:rsidR="004B4D23">
              <w:rPr>
                <w:rFonts w:eastAsia="Times New Roman" w:cs="Times New Roman"/>
                <w:color w:val="000000"/>
                <w:kern w:val="0"/>
                <w:sz w:val="22"/>
                <w:szCs w:val="22"/>
                <w14:ligatures w14:val="none"/>
              </w:rPr>
              <w:t xml:space="preserve"> certain</w:t>
            </w:r>
            <w:r w:rsidR="00397206">
              <w:rPr>
                <w:rFonts w:eastAsia="Times New Roman" w:cs="Times New Roman"/>
                <w:color w:val="000000"/>
                <w:kern w:val="0"/>
                <w:sz w:val="22"/>
                <w:szCs w:val="22"/>
                <w14:ligatures w14:val="none"/>
              </w:rPr>
              <w:t xml:space="preserve"> </w:t>
            </w:r>
            <w:r w:rsidR="00D129D3" w:rsidRPr="003E14FB">
              <w:rPr>
                <w:rFonts w:eastAsia="Times New Roman" w:cs="Times New Roman"/>
                <w:color w:val="000000"/>
                <w:kern w:val="0"/>
                <w:sz w:val="22"/>
                <w:szCs w:val="22"/>
                <w14:ligatures w14:val="none"/>
              </w:rPr>
              <w:t>MassHealth population</w:t>
            </w:r>
            <w:r w:rsidR="004B4D23">
              <w:rPr>
                <w:rFonts w:eastAsia="Times New Roman" w:cs="Times New Roman"/>
                <w:color w:val="000000"/>
                <w:kern w:val="0"/>
                <w:sz w:val="22"/>
                <w:szCs w:val="22"/>
                <w14:ligatures w14:val="none"/>
              </w:rPr>
              <w:t>s</w:t>
            </w:r>
          </w:p>
        </w:tc>
        <w:tc>
          <w:tcPr>
            <w:tcW w:w="3843" w:type="dxa"/>
            <w:noWrap/>
          </w:tcPr>
          <w:p w14:paraId="7DCF1456" w14:textId="2CC6E3DB" w:rsidR="00D129D3" w:rsidRPr="002E52A1" w:rsidRDefault="00D129D3" w:rsidP="00584248">
            <w:pPr>
              <w:pStyle w:val="ListParagraph"/>
              <w:numPr>
                <w:ilvl w:val="0"/>
                <w:numId w:val="33"/>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Assess current barriers and identify existing community-based, charitable, safety net, or other supports </w:t>
            </w:r>
            <w:r w:rsidR="00641086">
              <w:rPr>
                <w:rFonts w:eastAsia="Times New Roman" w:cs="Times New Roman"/>
                <w:color w:val="000000"/>
                <w:kern w:val="0"/>
                <w:sz w:val="22"/>
                <w:szCs w:val="22"/>
                <w14:ligatures w14:val="none"/>
              </w:rPr>
              <w:t xml:space="preserve">and funding </w:t>
            </w:r>
            <w:r w:rsidRPr="003E14FB">
              <w:rPr>
                <w:rFonts w:eastAsia="Times New Roman" w:cs="Times New Roman"/>
                <w:color w:val="000000"/>
                <w:kern w:val="0"/>
                <w:sz w:val="22"/>
                <w:szCs w:val="22"/>
                <w14:ligatures w14:val="none"/>
              </w:rPr>
              <w:t xml:space="preserve">that could assist with </w:t>
            </w:r>
            <w:r w:rsidR="004B4D23">
              <w:rPr>
                <w:rFonts w:eastAsia="Times New Roman" w:cs="Times New Roman"/>
                <w:color w:val="000000"/>
                <w:kern w:val="0"/>
                <w:sz w:val="22"/>
                <w:szCs w:val="22"/>
                <w14:ligatures w14:val="none"/>
              </w:rPr>
              <w:t>post-acute</w:t>
            </w:r>
            <w:r w:rsidR="0043662C" w:rsidRPr="003E14FB">
              <w:rPr>
                <w:rFonts w:eastAsia="Times New Roman" w:cs="Times New Roman"/>
                <w:color w:val="000000"/>
                <w:kern w:val="0"/>
                <w:sz w:val="22"/>
                <w:szCs w:val="22"/>
                <w14:ligatures w14:val="none"/>
              </w:rPr>
              <w:t xml:space="preserve"> </w:t>
            </w:r>
            <w:r w:rsidRPr="003E14FB">
              <w:rPr>
                <w:rFonts w:eastAsia="Times New Roman" w:cs="Times New Roman"/>
                <w:color w:val="000000"/>
                <w:kern w:val="0"/>
                <w:sz w:val="22"/>
                <w:szCs w:val="22"/>
                <w14:ligatures w14:val="none"/>
              </w:rPr>
              <w:t>care and discharge planning for individuals with no post-acute care coverage</w:t>
            </w:r>
            <w:r w:rsidR="00540822">
              <w:rPr>
                <w:rFonts w:eastAsia="Times New Roman" w:cs="Times New Roman"/>
                <w:color w:val="000000"/>
                <w:kern w:val="0"/>
                <w:sz w:val="22"/>
                <w:szCs w:val="22"/>
                <w14:ligatures w14:val="none"/>
              </w:rPr>
              <w:t>.</w:t>
            </w:r>
          </w:p>
        </w:tc>
        <w:tc>
          <w:tcPr>
            <w:tcW w:w="2700" w:type="dxa"/>
            <w:noWrap/>
          </w:tcPr>
          <w:p w14:paraId="0C4C3409" w14:textId="6AD5A301"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Supports timely discharge for individuals who are medically stable but face challenges due to limited coverage, without requiring benefit expansion</w:t>
            </w:r>
            <w:r w:rsidR="005B27A5">
              <w:rPr>
                <w:sz w:val="22"/>
                <w:szCs w:val="22"/>
              </w:rPr>
              <w:t>.</w:t>
            </w:r>
          </w:p>
        </w:tc>
        <w:tc>
          <w:tcPr>
            <w:tcW w:w="1440" w:type="dxa"/>
            <w:noWrap/>
          </w:tcPr>
          <w:p w14:paraId="6274FC6F" w14:textId="19FC8303"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sz w:val="22"/>
                <w:szCs w:val="22"/>
              </w:rPr>
              <w:t>i, ii, vi</w:t>
            </w:r>
          </w:p>
        </w:tc>
      </w:tr>
      <w:tr w:rsidR="00E4526E" w:rsidRPr="007B7E0A" w14:paraId="3B00DE11"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41FE1692" w14:textId="14AC8A5A"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5.2 </w:t>
            </w:r>
            <w:r>
              <w:rPr>
                <w:rFonts w:eastAsia="Times New Roman" w:cs="Times New Roman"/>
                <w:color w:val="000000"/>
                <w:kern w:val="0"/>
                <w:sz w:val="22"/>
                <w:szCs w:val="22"/>
                <w14:ligatures w14:val="none"/>
              </w:rPr>
              <w:t>Scale</w:t>
            </w:r>
            <w:r w:rsidR="00D129D3" w:rsidRPr="003E14FB">
              <w:rPr>
                <w:rFonts w:eastAsia="Times New Roman" w:cs="Times New Roman"/>
                <w:color w:val="000000"/>
                <w:kern w:val="0"/>
                <w:sz w:val="22"/>
                <w:szCs w:val="22"/>
                <w14:ligatures w14:val="none"/>
              </w:rPr>
              <w:t xml:space="preserve"> Enhanced Medical Group Living Environment (EMGLE) and Nursing Facility Transition (NFT) team models</w:t>
            </w:r>
          </w:p>
        </w:tc>
        <w:tc>
          <w:tcPr>
            <w:tcW w:w="3843" w:type="dxa"/>
            <w:noWrap/>
          </w:tcPr>
          <w:p w14:paraId="61630E06" w14:textId="65201356" w:rsidR="00D129D3" w:rsidRPr="003E14FB" w:rsidRDefault="00D129D3" w:rsidP="003E14FB">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the impact and value of supporting regional EMGLE programs</w:t>
            </w:r>
            <w:r w:rsidR="00540822">
              <w:rPr>
                <w:rFonts w:eastAsia="Times New Roman" w:cs="Times New Roman"/>
                <w:color w:val="000000"/>
                <w:kern w:val="0"/>
                <w:sz w:val="22"/>
                <w:szCs w:val="22"/>
                <w14:ligatures w14:val="none"/>
              </w:rPr>
              <w:t>.</w:t>
            </w:r>
          </w:p>
          <w:p w14:paraId="4BB4BE7F" w14:textId="75D49ED5" w:rsidR="00D129D3" w:rsidRPr="003E14FB" w:rsidRDefault="00D129D3" w:rsidP="003E14FB">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Formalize NFT discharge protocols across hospitals, SNFs, IRFs/LTACHs, BH and group home providers including but not limited to patients with acute &amp; traumatic brain injuries, spinal cord injuries and quadriplegia</w:t>
            </w:r>
            <w:r w:rsidR="00540822">
              <w:rPr>
                <w:rFonts w:eastAsia="Times New Roman" w:cs="Times New Roman"/>
                <w:color w:val="000000"/>
                <w:kern w:val="0"/>
                <w:sz w:val="22"/>
                <w:szCs w:val="22"/>
                <w14:ligatures w14:val="none"/>
              </w:rPr>
              <w:t>.</w:t>
            </w:r>
          </w:p>
        </w:tc>
        <w:tc>
          <w:tcPr>
            <w:tcW w:w="2700" w:type="dxa"/>
            <w:noWrap/>
          </w:tcPr>
          <w:p w14:paraId="6FFCF7B5" w14:textId="21E1B47B"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Facilitates discharge for complex behavioral and medical patients unsuited for SNFs</w:t>
            </w:r>
            <w:r w:rsidR="005B27A5">
              <w:rPr>
                <w:rFonts w:eastAsia="Times New Roman" w:cs="Times New Roman"/>
                <w:color w:val="000000"/>
                <w:kern w:val="0"/>
                <w:sz w:val="22"/>
                <w:szCs w:val="22"/>
                <w14:ligatures w14:val="none"/>
              </w:rPr>
              <w:t>.</w:t>
            </w:r>
          </w:p>
        </w:tc>
        <w:tc>
          <w:tcPr>
            <w:tcW w:w="1440" w:type="dxa"/>
            <w:noWrap/>
          </w:tcPr>
          <w:p w14:paraId="56B7D855" w14:textId="0A71114E"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iv, v, vii</w:t>
            </w:r>
          </w:p>
        </w:tc>
      </w:tr>
      <w:tr w:rsidR="00E4526E" w:rsidRPr="007B7E0A" w14:paraId="2A9CDAA7"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1AA83335" w14:textId="1E75CD49"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5.3 </w:t>
            </w:r>
            <w:r>
              <w:rPr>
                <w:rFonts w:eastAsia="Times New Roman" w:cs="Times New Roman"/>
                <w:color w:val="000000"/>
                <w:kern w:val="0"/>
                <w:sz w:val="22"/>
                <w:szCs w:val="22"/>
                <w14:ligatures w14:val="none"/>
              </w:rPr>
              <w:t>Develop</w:t>
            </w:r>
            <w:r w:rsidR="00D129D3" w:rsidRPr="003E14FB">
              <w:rPr>
                <w:rFonts w:eastAsia="Times New Roman" w:cs="Times New Roman"/>
                <w:color w:val="000000"/>
                <w:kern w:val="0"/>
                <w:sz w:val="22"/>
                <w:szCs w:val="22"/>
                <w14:ligatures w14:val="none"/>
              </w:rPr>
              <w:t xml:space="preserve"> clear referral pathways and procedures </w:t>
            </w:r>
            <w:r w:rsidR="001803C9">
              <w:rPr>
                <w:rFonts w:eastAsia="Times New Roman" w:cs="Times New Roman"/>
                <w:color w:val="000000"/>
                <w:kern w:val="0"/>
                <w:sz w:val="22"/>
                <w:szCs w:val="22"/>
                <w14:ligatures w14:val="none"/>
              </w:rPr>
              <w:t xml:space="preserve">for </w:t>
            </w:r>
            <w:r w:rsidR="00D129D3" w:rsidRPr="003E14FB">
              <w:rPr>
                <w:rFonts w:eastAsia="Times New Roman" w:cs="Times New Roman"/>
                <w:color w:val="000000"/>
                <w:kern w:val="0"/>
                <w:sz w:val="22"/>
                <w:szCs w:val="22"/>
                <w14:ligatures w14:val="none"/>
              </w:rPr>
              <w:t>discharges back to DMH &amp; DDS group homes</w:t>
            </w:r>
          </w:p>
        </w:tc>
        <w:tc>
          <w:tcPr>
            <w:tcW w:w="3843" w:type="dxa"/>
            <w:noWrap/>
          </w:tcPr>
          <w:p w14:paraId="4B54AAEA" w14:textId="4073A416" w:rsidR="00D129D3" w:rsidRPr="003E14FB" w:rsidRDefault="00D129D3" w:rsidP="00865088">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Develop standard discharge planning forms and referral protocols specific to DMH and DDS group home settings.</w:t>
            </w:r>
          </w:p>
          <w:p w14:paraId="41C13C70" w14:textId="2DE8C60F" w:rsidR="00D129D3" w:rsidRPr="003E14FB" w:rsidRDefault="00D129D3" w:rsidP="00865088">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or pilot a model that assists with patient discharges on Fridays, Saturdays and Sundays when group homes are not typically staffed with admissions nurses and the discharge is not medically complex.</w:t>
            </w:r>
          </w:p>
        </w:tc>
        <w:tc>
          <w:tcPr>
            <w:tcW w:w="2700" w:type="dxa"/>
            <w:noWrap/>
          </w:tcPr>
          <w:p w14:paraId="2D3879C4" w14:textId="1DD30BA4"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Reduces discharge delays for returning to group homes, especially on weekends, and improves coordination between hospitals and state-operated or contracted residential settings.</w:t>
            </w:r>
          </w:p>
        </w:tc>
        <w:tc>
          <w:tcPr>
            <w:tcW w:w="1440" w:type="dxa"/>
            <w:noWrap/>
          </w:tcPr>
          <w:p w14:paraId="6AA42F50" w14:textId="28911093"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iii, v</w:t>
            </w:r>
          </w:p>
        </w:tc>
      </w:tr>
      <w:tr w:rsidR="00E4526E" w:rsidRPr="007B7E0A" w14:paraId="378EEEBF"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5E50AE28" w14:textId="0D5C07D4" w:rsidR="00D129D3" w:rsidRPr="003E14FB" w:rsidRDefault="00361F50" w:rsidP="0036294A">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5.4 </w:t>
            </w:r>
            <w:r>
              <w:rPr>
                <w:rFonts w:eastAsia="Times New Roman" w:cs="Times New Roman"/>
                <w:color w:val="000000"/>
                <w:kern w:val="0"/>
                <w:sz w:val="22"/>
                <w:szCs w:val="22"/>
                <w14:ligatures w14:val="none"/>
              </w:rPr>
              <w:t>Develop</w:t>
            </w:r>
            <w:r w:rsidR="00D129D3" w:rsidRPr="003E14FB">
              <w:rPr>
                <w:rFonts w:eastAsia="Times New Roman" w:cs="Times New Roman"/>
                <w:color w:val="000000"/>
                <w:kern w:val="0"/>
                <w:sz w:val="22"/>
                <w:szCs w:val="22"/>
                <w14:ligatures w14:val="none"/>
              </w:rPr>
              <w:t xml:space="preserve"> Standard Operating Procedures (SOPs) for justice-involved patient supports and discharges</w:t>
            </w:r>
          </w:p>
        </w:tc>
        <w:tc>
          <w:tcPr>
            <w:tcW w:w="3843" w:type="dxa"/>
            <w:noWrap/>
          </w:tcPr>
          <w:p w14:paraId="399B6A8B" w14:textId="1200B318" w:rsidR="00D129D3" w:rsidRPr="003E14FB" w:rsidRDefault="00D129D3" w:rsidP="0036294A">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Develop SOPs and/or clear referral pathways for hospitals discharging patients who are justice-involved or are on sex offender registries</w:t>
            </w:r>
            <w:r w:rsidR="00AD3294">
              <w:rPr>
                <w:rFonts w:eastAsia="Times New Roman" w:cs="Times New Roman"/>
                <w:color w:val="000000"/>
                <w:kern w:val="0"/>
                <w:sz w:val="22"/>
                <w:szCs w:val="22"/>
                <w14:ligatures w14:val="none"/>
              </w:rPr>
              <w:t>.</w:t>
            </w:r>
          </w:p>
          <w:p w14:paraId="400C37A1" w14:textId="0D71A88F" w:rsidR="00D129D3" w:rsidRPr="003E14FB" w:rsidRDefault="00D129D3" w:rsidP="0036294A">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Develop clear referral pathways, eligibility criteria, and process ownership for hospital discharges to Department of Correction (DOC)-secured medical beds</w:t>
            </w:r>
            <w:r w:rsidR="00AD3294">
              <w:rPr>
                <w:rFonts w:eastAsia="Times New Roman" w:cs="Times New Roman"/>
                <w:color w:val="000000"/>
                <w:kern w:val="0"/>
                <w:sz w:val="22"/>
                <w:szCs w:val="22"/>
                <w14:ligatures w14:val="none"/>
              </w:rPr>
              <w:t>.</w:t>
            </w:r>
          </w:p>
          <w:p w14:paraId="58361E1B" w14:textId="03F0C868" w:rsidR="00D129D3" w:rsidRPr="003E14FB" w:rsidRDefault="00D129D3" w:rsidP="003E14FB">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Develop clear referral pathways for access by DOC / House of Correction (HOC) to post-acute care beds.</w:t>
            </w:r>
          </w:p>
        </w:tc>
        <w:tc>
          <w:tcPr>
            <w:tcW w:w="2700" w:type="dxa"/>
            <w:noWrap/>
          </w:tcPr>
          <w:p w14:paraId="2F2DC907" w14:textId="20DB52C7" w:rsidR="00D129D3" w:rsidRPr="003E14FB" w:rsidRDefault="00D129D3" w:rsidP="007A0566">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Improves patient flow, reduces unnecessary hospitalizations, and enhances awareness of safe and appropriate discharge options</w:t>
            </w:r>
            <w:r w:rsidR="005B27A5">
              <w:rPr>
                <w:rFonts w:eastAsia="Times New Roman" w:cs="Times New Roman"/>
                <w:color w:val="000000"/>
                <w:kern w:val="0"/>
                <w:sz w:val="22"/>
                <w:szCs w:val="22"/>
                <w14:ligatures w14:val="none"/>
              </w:rPr>
              <w:t>.</w:t>
            </w:r>
          </w:p>
        </w:tc>
        <w:tc>
          <w:tcPr>
            <w:tcW w:w="1440" w:type="dxa"/>
            <w:noWrap/>
          </w:tcPr>
          <w:p w14:paraId="0A85D582" w14:textId="72EE9F55"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iii, v</w:t>
            </w:r>
          </w:p>
        </w:tc>
      </w:tr>
      <w:tr w:rsidR="00E4526E" w:rsidRPr="007B7E0A" w14:paraId="4894CBF9"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44881A76" w14:textId="38050E18"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5.5 </w:t>
            </w:r>
            <w:r>
              <w:rPr>
                <w:rFonts w:eastAsia="Times New Roman" w:cs="Times New Roman"/>
                <w:color w:val="000000"/>
                <w:kern w:val="0"/>
                <w:sz w:val="22"/>
                <w:szCs w:val="22"/>
                <w14:ligatures w14:val="none"/>
              </w:rPr>
              <w:t>Explore</w:t>
            </w:r>
            <w:r w:rsidR="00D129D3" w:rsidRPr="003E14FB">
              <w:rPr>
                <w:rFonts w:eastAsia="Times New Roman" w:cs="Times New Roman"/>
                <w:color w:val="000000"/>
                <w:kern w:val="0"/>
                <w:sz w:val="22"/>
                <w:szCs w:val="22"/>
                <w14:ligatures w14:val="none"/>
              </w:rPr>
              <w:t xml:space="preserve"> co-located service models</w:t>
            </w:r>
          </w:p>
        </w:tc>
        <w:tc>
          <w:tcPr>
            <w:tcW w:w="3843" w:type="dxa"/>
            <w:noWrap/>
          </w:tcPr>
          <w:p w14:paraId="346C0592" w14:textId="772AC025" w:rsidR="00D129D3" w:rsidRPr="003E14FB" w:rsidRDefault="00D129D3" w:rsidP="00FA738B">
            <w:pPr>
              <w:pStyle w:val="ListParagraph"/>
              <w:numPr>
                <w:ilvl w:val="0"/>
                <w:numId w:val="32"/>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Expand existing and pilot new models like co-location and transport support utilizing telehealth and/or remote monitoring to meet patient needs, building a system that is more flexible and efficient (e.g., co-location of high-frequency services such as dialysis dens within SNF settings, </w:t>
            </w:r>
            <w:r w:rsidR="00B72CA3" w:rsidRPr="00FA738B">
              <w:rPr>
                <w:rFonts w:eastAsia="Times New Roman" w:cs="Times New Roman"/>
                <w:color w:val="000000"/>
                <w:kern w:val="0"/>
                <w:sz w:val="22"/>
                <w:szCs w:val="22"/>
                <w14:ligatures w14:val="none"/>
              </w:rPr>
              <w:t>methadone medication units</w:t>
            </w:r>
            <w:r w:rsidR="009E68B8" w:rsidRPr="00FA738B">
              <w:rPr>
                <w:rFonts w:eastAsia="Times New Roman" w:cs="Times New Roman"/>
                <w:color w:val="000000"/>
                <w:kern w:val="0"/>
                <w:sz w:val="22"/>
                <w:szCs w:val="22"/>
                <w14:ligatures w14:val="none"/>
              </w:rPr>
              <w:t xml:space="preserve">, bariatric support, </w:t>
            </w:r>
            <w:r w:rsidR="0036294A" w:rsidRPr="003E14FB">
              <w:rPr>
                <w:rFonts w:eastAsia="Times New Roman" w:cs="Times New Roman"/>
                <w:color w:val="000000"/>
                <w:kern w:val="0"/>
                <w:sz w:val="22"/>
                <w:szCs w:val="22"/>
                <w14:ligatures w14:val="none"/>
              </w:rPr>
              <w:t>BH supports, etc.)</w:t>
            </w:r>
            <w:r w:rsidR="002B4E27">
              <w:rPr>
                <w:rFonts w:eastAsia="Times New Roman" w:cs="Times New Roman"/>
                <w:color w:val="000000"/>
                <w:kern w:val="0"/>
                <w:sz w:val="22"/>
                <w:szCs w:val="22"/>
                <w14:ligatures w14:val="none"/>
              </w:rPr>
              <w:t>.</w:t>
            </w:r>
          </w:p>
        </w:tc>
        <w:tc>
          <w:tcPr>
            <w:tcW w:w="2700" w:type="dxa"/>
            <w:noWrap/>
          </w:tcPr>
          <w:p w14:paraId="2F1E90AD" w14:textId="3E1A4919"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Supports timely access to care, reduces reliance on acute care settings, and addresses transportation and site-of-care barriers for medically complex patients</w:t>
            </w:r>
            <w:r w:rsidR="002B4E27">
              <w:rPr>
                <w:rFonts w:eastAsia="Times New Roman" w:cs="Times New Roman"/>
                <w:color w:val="000000"/>
                <w:kern w:val="0"/>
                <w:sz w:val="22"/>
                <w:szCs w:val="22"/>
                <w14:ligatures w14:val="none"/>
              </w:rPr>
              <w:t>.</w:t>
            </w:r>
          </w:p>
        </w:tc>
        <w:tc>
          <w:tcPr>
            <w:tcW w:w="1440" w:type="dxa"/>
            <w:noWrap/>
          </w:tcPr>
          <w:p w14:paraId="5435A4AD" w14:textId="2584200A" w:rsidR="00D129D3" w:rsidRPr="003E14FB" w:rsidRDefault="00783971"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vanish/>
                <w:color w:val="000000"/>
                <w:kern w:val="0"/>
                <w:sz w:val="22"/>
                <w:szCs w:val="22"/>
                <w14:ligatures w14:val="none"/>
              </w:rPr>
            </w:pPr>
            <w:r w:rsidRPr="003E14FB">
              <w:rPr>
                <w:rFonts w:eastAsia="Times New Roman" w:cs="Times New Roman"/>
                <w:color w:val="000000"/>
                <w:kern w:val="0"/>
                <w:sz w:val="22"/>
                <w:szCs w:val="22"/>
                <w14:ligatures w14:val="none"/>
              </w:rPr>
              <w:t>i, ii, v, vi</w:t>
            </w:r>
          </w:p>
          <w:p w14:paraId="42A10022" w14:textId="7777777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
        </w:tc>
      </w:tr>
      <w:tr w:rsidR="00E4526E" w:rsidRPr="007B7E0A" w14:paraId="10E92485"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60A377EF" w14:textId="57B21648" w:rsidR="00124FF8" w:rsidRPr="00FA738B" w:rsidRDefault="00361F50" w:rsidP="0036294A">
            <w:pPr>
              <w:spacing w:after="120"/>
              <w:rPr>
                <w:rFonts w:eastAsia="Times New Roman" w:cs="Times New Roman"/>
                <w:color w:val="000000"/>
                <w:kern w:val="0"/>
                <w:sz w:val="22"/>
                <w:szCs w:val="22"/>
                <w14:ligatures w14:val="none"/>
              </w:rPr>
            </w:pPr>
            <w:r w:rsidRPr="00FA738B">
              <w:rPr>
                <w:rFonts w:eastAsia="Times New Roman" w:cs="Times New Roman"/>
                <w:color w:val="000000"/>
                <w:kern w:val="0"/>
                <w:sz w:val="22"/>
                <w:szCs w:val="22"/>
                <w14:ligatures w14:val="none"/>
              </w:rPr>
              <w:t>5.6 Enhance</w:t>
            </w:r>
            <w:r w:rsidR="006E01FA" w:rsidRPr="00FA738B">
              <w:rPr>
                <w:rFonts w:eastAsia="Times New Roman" w:cs="Times New Roman"/>
                <w:color w:val="000000"/>
                <w:kern w:val="0"/>
                <w:sz w:val="22"/>
                <w:szCs w:val="22"/>
                <w14:ligatures w14:val="none"/>
              </w:rPr>
              <w:t xml:space="preserve"> supports for bariatric population</w:t>
            </w:r>
          </w:p>
        </w:tc>
        <w:tc>
          <w:tcPr>
            <w:tcW w:w="3843" w:type="dxa"/>
            <w:noWrap/>
          </w:tcPr>
          <w:p w14:paraId="7A3CEC07" w14:textId="57DD6583" w:rsidR="00124FF8" w:rsidRPr="00FA738B" w:rsidRDefault="00A24670" w:rsidP="00FA738B">
            <w:pPr>
              <w:pStyle w:val="ListParagraph"/>
              <w:numPr>
                <w:ilvl w:val="0"/>
                <w:numId w:val="32"/>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FA738B">
              <w:rPr>
                <w:rFonts w:eastAsia="Times New Roman" w:cs="Times New Roman"/>
                <w:color w:val="000000"/>
                <w:kern w:val="0"/>
                <w:sz w:val="22"/>
                <w:szCs w:val="22"/>
                <w14:ligatures w14:val="none"/>
              </w:rPr>
              <w:t xml:space="preserve">Develop and </w:t>
            </w:r>
            <w:r w:rsidR="00121081" w:rsidRPr="00FA738B">
              <w:rPr>
                <w:rFonts w:eastAsia="Times New Roman" w:cs="Times New Roman"/>
                <w:color w:val="000000"/>
                <w:kern w:val="0"/>
                <w:sz w:val="22"/>
                <w:szCs w:val="22"/>
                <w14:ligatures w14:val="none"/>
              </w:rPr>
              <w:t>s</w:t>
            </w:r>
            <w:r w:rsidR="00EB3E24" w:rsidRPr="00FA738B">
              <w:rPr>
                <w:rFonts w:eastAsia="Times New Roman" w:cs="Times New Roman"/>
                <w:color w:val="000000"/>
                <w:kern w:val="0"/>
                <w:sz w:val="22"/>
                <w:szCs w:val="22"/>
                <w14:ligatures w14:val="none"/>
              </w:rPr>
              <w:t xml:space="preserve">tandardize statewide policies and procedures </w:t>
            </w:r>
            <w:r w:rsidR="00A04885" w:rsidRPr="00FA738B">
              <w:rPr>
                <w:rFonts w:eastAsia="Times New Roman" w:cs="Times New Roman"/>
                <w:color w:val="000000"/>
                <w:kern w:val="0"/>
                <w:sz w:val="22"/>
                <w:szCs w:val="22"/>
                <w14:ligatures w14:val="none"/>
              </w:rPr>
              <w:t xml:space="preserve">regarding equipment </w:t>
            </w:r>
            <w:r w:rsidR="00365A72" w:rsidRPr="00FA738B">
              <w:rPr>
                <w:rFonts w:eastAsia="Times New Roman" w:cs="Times New Roman"/>
                <w:color w:val="000000"/>
                <w:kern w:val="0"/>
                <w:sz w:val="22"/>
                <w:szCs w:val="22"/>
                <w14:ligatures w14:val="none"/>
              </w:rPr>
              <w:t xml:space="preserve">(e.g., bariatric beds, lifts, and mobility supports) </w:t>
            </w:r>
            <w:r w:rsidR="00A04885" w:rsidRPr="00FA738B">
              <w:rPr>
                <w:rFonts w:eastAsia="Times New Roman" w:cs="Times New Roman"/>
                <w:color w:val="000000"/>
                <w:kern w:val="0"/>
                <w:sz w:val="22"/>
                <w:szCs w:val="22"/>
                <w14:ligatures w14:val="none"/>
              </w:rPr>
              <w:t xml:space="preserve">and staffing for </w:t>
            </w:r>
            <w:r w:rsidR="00EC7335" w:rsidRPr="00FA738B">
              <w:rPr>
                <w:rFonts w:eastAsia="Times New Roman" w:cs="Times New Roman"/>
                <w:color w:val="000000"/>
                <w:kern w:val="0"/>
                <w:sz w:val="22"/>
                <w:szCs w:val="22"/>
                <w14:ligatures w14:val="none"/>
              </w:rPr>
              <w:t>safely supporting residents with bariatric care needs</w:t>
            </w:r>
            <w:r w:rsidR="00D07388" w:rsidRPr="00FA738B">
              <w:rPr>
                <w:rFonts w:eastAsia="Times New Roman" w:cs="Times New Roman"/>
                <w:color w:val="000000"/>
                <w:kern w:val="0"/>
                <w:sz w:val="22"/>
                <w:szCs w:val="22"/>
                <w14:ligatures w14:val="none"/>
              </w:rPr>
              <w:t xml:space="preserve"> at SNFs</w:t>
            </w:r>
            <w:r w:rsidR="00EC7335" w:rsidRPr="00FA738B">
              <w:rPr>
                <w:rFonts w:eastAsia="Times New Roman" w:cs="Times New Roman"/>
                <w:color w:val="000000"/>
                <w:kern w:val="0"/>
                <w:sz w:val="22"/>
                <w:szCs w:val="22"/>
                <w14:ligatures w14:val="none"/>
              </w:rPr>
              <w:t>.</w:t>
            </w:r>
          </w:p>
        </w:tc>
        <w:tc>
          <w:tcPr>
            <w:tcW w:w="2700" w:type="dxa"/>
            <w:noWrap/>
          </w:tcPr>
          <w:p w14:paraId="0E37D171" w14:textId="18F151AA" w:rsidR="00124FF8" w:rsidRPr="00124FF8" w:rsidRDefault="006C1EE1"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Building</w:t>
            </w:r>
            <w:r w:rsidR="00BB2B67">
              <w:rPr>
                <w:rFonts w:eastAsia="Times New Roman" w:cs="Times New Roman"/>
                <w:color w:val="000000"/>
                <w:kern w:val="0"/>
                <w:sz w:val="22"/>
                <w:szCs w:val="22"/>
                <w14:ligatures w14:val="none"/>
              </w:rPr>
              <w:t xml:space="preserve"> </w:t>
            </w:r>
            <w:r w:rsidR="005158DC">
              <w:rPr>
                <w:rFonts w:eastAsia="Times New Roman" w:cs="Times New Roman"/>
                <w:color w:val="000000"/>
                <w:kern w:val="0"/>
                <w:sz w:val="22"/>
                <w:szCs w:val="22"/>
                <w14:ligatures w14:val="none"/>
              </w:rPr>
              <w:t>consistent</w:t>
            </w:r>
            <w:r w:rsidR="00BB2B67">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SNF</w:t>
            </w:r>
            <w:r w:rsidR="00BB2B67" w:rsidRPr="00BB2B67">
              <w:rPr>
                <w:rFonts w:eastAsia="Times New Roman" w:cs="Times New Roman"/>
                <w:color w:val="000000"/>
                <w:kern w:val="0"/>
                <w:sz w:val="22"/>
                <w:szCs w:val="22"/>
                <w14:ligatures w14:val="none"/>
              </w:rPr>
              <w:t xml:space="preserve"> bariatric care capacity will </w:t>
            </w:r>
            <w:r w:rsidR="003A785C">
              <w:rPr>
                <w:rFonts w:eastAsia="Times New Roman" w:cs="Times New Roman"/>
                <w:color w:val="000000"/>
                <w:kern w:val="0"/>
                <w:sz w:val="22"/>
                <w:szCs w:val="22"/>
                <w14:ligatures w14:val="none"/>
              </w:rPr>
              <w:t xml:space="preserve">help </w:t>
            </w:r>
            <w:r w:rsidR="00BB2B67" w:rsidRPr="00BB2B67">
              <w:rPr>
                <w:rFonts w:eastAsia="Times New Roman" w:cs="Times New Roman"/>
                <w:color w:val="000000"/>
                <w:kern w:val="0"/>
                <w:sz w:val="22"/>
                <w:szCs w:val="22"/>
                <w14:ligatures w14:val="none"/>
              </w:rPr>
              <w:t>reduce discharge delays, improve access to appropriate care, and enhance resident safety and quality</w:t>
            </w:r>
            <w:r w:rsidR="005C5FD1">
              <w:rPr>
                <w:rFonts w:eastAsia="Times New Roman" w:cs="Times New Roman"/>
                <w:color w:val="000000"/>
                <w:kern w:val="0"/>
                <w:sz w:val="22"/>
                <w:szCs w:val="22"/>
                <w14:ligatures w14:val="none"/>
              </w:rPr>
              <w:t>.</w:t>
            </w:r>
          </w:p>
        </w:tc>
        <w:tc>
          <w:tcPr>
            <w:tcW w:w="1440" w:type="dxa"/>
            <w:noWrap/>
          </w:tcPr>
          <w:p w14:paraId="6857AA2F" w14:textId="63B74CBA" w:rsidR="00124FF8" w:rsidRDefault="00783971"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X</w:t>
            </w:r>
            <w:r w:rsidR="00091FB8">
              <w:rPr>
                <w:rFonts w:eastAsia="Times New Roman" w:cs="Times New Roman"/>
                <w:color w:val="000000"/>
                <w:kern w:val="0"/>
                <w:sz w:val="22"/>
                <w:szCs w:val="22"/>
                <w14:ligatures w14:val="none"/>
              </w:rPr>
              <w:t>iv</w:t>
            </w:r>
          </w:p>
          <w:p w14:paraId="0E6A8A23" w14:textId="67AAFBA0" w:rsidR="00783971" w:rsidRPr="00124FF8" w:rsidRDefault="00783971"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
        </w:tc>
      </w:tr>
    </w:tbl>
    <w:p w14:paraId="15B35915" w14:textId="77777777" w:rsidR="00783971" w:rsidRDefault="00783971"/>
    <w:p w14:paraId="22D0DC05" w14:textId="1FB7229B" w:rsidR="00783971" w:rsidRDefault="00783971">
      <w:r>
        <w:t xml:space="preserve">Table 6 = </w:t>
      </w:r>
      <w:r w:rsidRPr="003E14FB">
        <w:rPr>
          <w:color w:val="000000"/>
          <w:sz w:val="22"/>
          <w:szCs w:val="22"/>
        </w:rPr>
        <w:t>Non-Emergency Medical Transportation (NEMT)</w:t>
      </w:r>
    </w:p>
    <w:tbl>
      <w:tblPr>
        <w:tblStyle w:val="GridTable1Light"/>
        <w:tblW w:w="9990" w:type="dxa"/>
        <w:tblInd w:w="-5" w:type="dxa"/>
        <w:tblLook w:val="04A0" w:firstRow="1" w:lastRow="0" w:firstColumn="1" w:lastColumn="0" w:noHBand="0" w:noVBand="1"/>
      </w:tblPr>
      <w:tblGrid>
        <w:gridCol w:w="2007"/>
        <w:gridCol w:w="3843"/>
        <w:gridCol w:w="2700"/>
        <w:gridCol w:w="1440"/>
      </w:tblGrid>
      <w:tr w:rsidR="00783971" w:rsidRPr="007B7E0A" w14:paraId="7185DBD7" w14:textId="77777777" w:rsidTr="00F405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7" w:type="dxa"/>
            <w:shd w:val="clear" w:color="auto" w:fill="156082" w:themeFill="accent1"/>
            <w:noWrap/>
            <w:hideMark/>
          </w:tcPr>
          <w:p w14:paraId="75EC223B" w14:textId="77777777" w:rsidR="00783971" w:rsidRPr="0090471A" w:rsidRDefault="00783971" w:rsidP="00F405B4">
            <w:pPr>
              <w:spacing w:after="12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Recommendation</w:t>
            </w:r>
          </w:p>
        </w:tc>
        <w:tc>
          <w:tcPr>
            <w:tcW w:w="3843" w:type="dxa"/>
            <w:shd w:val="clear" w:color="auto" w:fill="156082" w:themeFill="accent1"/>
            <w:noWrap/>
            <w:hideMark/>
          </w:tcPr>
          <w:p w14:paraId="7EEA2A5D"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Action</w:t>
            </w:r>
          </w:p>
        </w:tc>
        <w:tc>
          <w:tcPr>
            <w:tcW w:w="2700" w:type="dxa"/>
            <w:shd w:val="clear" w:color="auto" w:fill="156082" w:themeFill="accent1"/>
            <w:noWrap/>
            <w:hideMark/>
          </w:tcPr>
          <w:p w14:paraId="78683894"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Justification</w:t>
            </w:r>
          </w:p>
        </w:tc>
        <w:tc>
          <w:tcPr>
            <w:tcW w:w="1440" w:type="dxa"/>
            <w:shd w:val="clear" w:color="auto" w:fill="156082" w:themeFill="accent1"/>
            <w:noWrap/>
            <w:hideMark/>
          </w:tcPr>
          <w:p w14:paraId="514F7D47" w14:textId="77777777" w:rsidR="00783971" w:rsidRPr="0090471A" w:rsidRDefault="00783971" w:rsidP="00F405B4">
            <w:pPr>
              <w:spacing w:after="120"/>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kern w:val="0"/>
                <w:sz w:val="22"/>
                <w:szCs w:val="22"/>
                <w14:ligatures w14:val="none"/>
              </w:rPr>
            </w:pPr>
            <w:r w:rsidRPr="0090471A">
              <w:rPr>
                <w:rFonts w:eastAsia="Times New Roman" w:cs="Times New Roman"/>
                <w:color w:val="FFFFFF" w:themeColor="background1"/>
                <w:kern w:val="0"/>
                <w:sz w:val="22"/>
                <w:szCs w:val="22"/>
                <w14:ligatures w14:val="none"/>
              </w:rPr>
              <w:t>T</w:t>
            </w:r>
            <w:r>
              <w:rPr>
                <w:rFonts w:eastAsia="Times New Roman" w:cs="Times New Roman"/>
                <w:color w:val="FFFFFF" w:themeColor="background1"/>
                <w:kern w:val="0"/>
                <w:sz w:val="22"/>
                <w:szCs w:val="22"/>
                <w14:ligatures w14:val="none"/>
              </w:rPr>
              <w:t xml:space="preserve">ask </w:t>
            </w:r>
            <w:r w:rsidRPr="0090471A">
              <w:rPr>
                <w:rFonts w:eastAsia="Times New Roman" w:cs="Times New Roman"/>
                <w:color w:val="FFFFFF" w:themeColor="background1"/>
                <w:kern w:val="0"/>
                <w:sz w:val="22"/>
                <w:szCs w:val="22"/>
                <w14:ligatures w14:val="none"/>
              </w:rPr>
              <w:t>F</w:t>
            </w:r>
            <w:r>
              <w:rPr>
                <w:rFonts w:eastAsia="Times New Roman" w:cs="Times New Roman"/>
                <w:color w:val="FFFFFF" w:themeColor="background1"/>
                <w:kern w:val="0"/>
                <w:sz w:val="22"/>
                <w:szCs w:val="22"/>
                <w14:ligatures w14:val="none"/>
              </w:rPr>
              <w:t>orce</w:t>
            </w:r>
            <w:r w:rsidRPr="0090471A">
              <w:rPr>
                <w:rFonts w:eastAsia="Times New Roman" w:cs="Times New Roman"/>
                <w:color w:val="FFFFFF" w:themeColor="background1"/>
                <w:kern w:val="0"/>
                <w:sz w:val="22"/>
                <w:szCs w:val="22"/>
                <w14:ligatures w14:val="none"/>
              </w:rPr>
              <w:t xml:space="preserve"> </w:t>
            </w:r>
            <w:r>
              <w:rPr>
                <w:rFonts w:eastAsia="Times New Roman" w:cs="Times New Roman"/>
                <w:color w:val="FFFFFF" w:themeColor="background1"/>
                <w:kern w:val="0"/>
                <w:sz w:val="22"/>
                <w:szCs w:val="22"/>
                <w14:ligatures w14:val="none"/>
              </w:rPr>
              <w:t>Charge</w:t>
            </w:r>
            <w:r w:rsidRPr="0090471A">
              <w:rPr>
                <w:rFonts w:eastAsia="Times New Roman" w:cs="Times New Roman"/>
                <w:color w:val="FFFFFF" w:themeColor="background1"/>
                <w:kern w:val="0"/>
                <w:sz w:val="22"/>
                <w:szCs w:val="22"/>
                <w14:ligatures w14:val="none"/>
              </w:rPr>
              <w:t>(s) Addressed</w:t>
            </w:r>
          </w:p>
        </w:tc>
      </w:tr>
      <w:tr w:rsidR="00E4526E" w:rsidRPr="007B7E0A" w14:paraId="0240FCF4"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35B5805C" w14:textId="76AE7D36" w:rsidR="00D129D3" w:rsidRPr="003E14FB" w:rsidRDefault="00361F50" w:rsidP="0036294A">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6.1 </w:t>
            </w:r>
            <w:r>
              <w:rPr>
                <w:rFonts w:eastAsia="Times New Roman" w:cs="Times New Roman"/>
                <w:color w:val="000000"/>
                <w:kern w:val="0"/>
                <w:sz w:val="22"/>
                <w:szCs w:val="22"/>
                <w14:ligatures w14:val="none"/>
              </w:rPr>
              <w:t>Require</w:t>
            </w:r>
            <w:r w:rsidR="00D129D3" w:rsidRPr="003E14FB">
              <w:rPr>
                <w:rFonts w:eastAsia="Times New Roman" w:cs="Times New Roman"/>
                <w:color w:val="000000"/>
                <w:kern w:val="0"/>
                <w:sz w:val="22"/>
                <w:szCs w:val="22"/>
                <w14:ligatures w14:val="none"/>
              </w:rPr>
              <w:t xml:space="preserve"> early PT-1 submission in discharge workflows</w:t>
            </w:r>
          </w:p>
        </w:tc>
        <w:tc>
          <w:tcPr>
            <w:tcW w:w="3843" w:type="dxa"/>
            <w:noWrap/>
          </w:tcPr>
          <w:p w14:paraId="0F0A1F85" w14:textId="7CD6ACAA" w:rsidR="00D129D3" w:rsidRPr="003E14FB" w:rsidRDefault="00D129D3" w:rsidP="00FA738B">
            <w:pPr>
              <w:pStyle w:val="ListParagraph"/>
              <w:numPr>
                <w:ilvl w:val="0"/>
                <w:numId w:val="32"/>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Mandate documentation of transport needs and PT-1 submission during discharge order entry</w:t>
            </w:r>
            <w:r w:rsidR="005C5FD1">
              <w:rPr>
                <w:rFonts w:eastAsia="Times New Roman" w:cs="Times New Roman"/>
                <w:color w:val="000000"/>
                <w:kern w:val="0"/>
                <w:sz w:val="22"/>
                <w:szCs w:val="22"/>
                <w14:ligatures w14:val="none"/>
              </w:rPr>
              <w:t>.</w:t>
            </w:r>
          </w:p>
        </w:tc>
        <w:tc>
          <w:tcPr>
            <w:tcW w:w="2700" w:type="dxa"/>
            <w:noWrap/>
          </w:tcPr>
          <w:p w14:paraId="1267D97B" w14:textId="52AAE1A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Eliminates last-minute delays caused by uncoordinated or late-arranged NEMT</w:t>
            </w:r>
            <w:r w:rsidR="005C5FD1">
              <w:rPr>
                <w:rFonts w:eastAsia="Times New Roman" w:cs="Times New Roman"/>
                <w:color w:val="000000"/>
                <w:kern w:val="0"/>
                <w:sz w:val="22"/>
                <w:szCs w:val="22"/>
                <w14:ligatures w14:val="none"/>
              </w:rPr>
              <w:t>.</w:t>
            </w:r>
          </w:p>
        </w:tc>
        <w:tc>
          <w:tcPr>
            <w:tcW w:w="1440" w:type="dxa"/>
            <w:noWrap/>
          </w:tcPr>
          <w:p w14:paraId="350F04F2" w14:textId="08DC586A"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ii, vi</w:t>
            </w:r>
          </w:p>
        </w:tc>
      </w:tr>
      <w:tr w:rsidR="00E4526E" w:rsidRPr="007B7E0A" w14:paraId="5359E960"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0F4E9DE2" w14:textId="705FF237" w:rsidR="00D129D3" w:rsidRPr="003E14FB" w:rsidRDefault="00361F50" w:rsidP="0036294A">
            <w:pPr>
              <w:spacing w:after="12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 xml:space="preserve">6.2 </w:t>
            </w:r>
            <w:r>
              <w:rPr>
                <w:rFonts w:eastAsia="Times New Roman" w:cs="Times New Roman"/>
                <w:color w:val="000000"/>
                <w:kern w:val="0"/>
                <w:sz w:val="22"/>
                <w:szCs w:val="22"/>
                <w14:ligatures w14:val="none"/>
              </w:rPr>
              <w:t>Create</w:t>
            </w:r>
            <w:r w:rsidR="00D129D3" w:rsidRPr="003E14FB">
              <w:rPr>
                <w:rFonts w:eastAsia="Times New Roman" w:cs="Times New Roman"/>
                <w:color w:val="000000"/>
                <w:kern w:val="0"/>
                <w:sz w:val="22"/>
                <w:szCs w:val="22"/>
                <w14:ligatures w14:val="none"/>
              </w:rPr>
              <w:t xml:space="preserve"> regional discharge and transport coordination portals</w:t>
            </w:r>
          </w:p>
        </w:tc>
        <w:tc>
          <w:tcPr>
            <w:tcW w:w="3843" w:type="dxa"/>
            <w:noWrap/>
          </w:tcPr>
          <w:p w14:paraId="560BA2AB" w14:textId="2DA1CDC5" w:rsidR="00D129D3" w:rsidRPr="003E14FB" w:rsidRDefault="00D129D3" w:rsidP="00FA738B">
            <w:pPr>
              <w:pStyle w:val="ListParagraph"/>
              <w:numPr>
                <w:ilvl w:val="0"/>
                <w:numId w:val="32"/>
              </w:numPr>
              <w:spacing w:after="120"/>
              <w:ind w:left="31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feasibility, governance and cost of developing real-time coordination tools, like statewide or regional “Open Table” transportation coordination tool that could integrate PT-1 status,</w:t>
            </w:r>
            <w:r w:rsidR="009F7B8C">
              <w:rPr>
                <w:rFonts w:eastAsia="Times New Roman" w:cs="Times New Roman"/>
                <w:color w:val="000000"/>
                <w:kern w:val="0"/>
                <w:sz w:val="22"/>
                <w:szCs w:val="22"/>
                <w14:ligatures w14:val="none"/>
              </w:rPr>
              <w:t xml:space="preserve"> post-acute care</w:t>
            </w:r>
            <w:r w:rsidR="00B5074A">
              <w:rPr>
                <w:rFonts w:eastAsia="Times New Roman" w:cs="Times New Roman"/>
                <w:color w:val="000000"/>
                <w:kern w:val="0"/>
                <w:sz w:val="22"/>
                <w:szCs w:val="22"/>
                <w14:ligatures w14:val="none"/>
              </w:rPr>
              <w:t>,</w:t>
            </w:r>
            <w:r w:rsidRPr="003E14FB">
              <w:rPr>
                <w:rFonts w:eastAsia="Times New Roman" w:cs="Times New Roman"/>
                <w:color w:val="000000"/>
                <w:kern w:val="0"/>
                <w:sz w:val="22"/>
                <w:szCs w:val="22"/>
                <w14:ligatures w14:val="none"/>
              </w:rPr>
              <w:t xml:space="preserve"> facility </w:t>
            </w:r>
            <w:r w:rsidR="00775B51">
              <w:rPr>
                <w:rFonts w:eastAsia="Times New Roman" w:cs="Times New Roman"/>
                <w:color w:val="000000"/>
                <w:kern w:val="0"/>
                <w:sz w:val="22"/>
                <w:szCs w:val="22"/>
                <w14:ligatures w14:val="none"/>
              </w:rPr>
              <w:t xml:space="preserve">or service </w:t>
            </w:r>
            <w:r w:rsidRPr="003E14FB">
              <w:rPr>
                <w:rFonts w:eastAsia="Times New Roman" w:cs="Times New Roman"/>
                <w:color w:val="000000"/>
                <w:kern w:val="0"/>
                <w:sz w:val="22"/>
                <w:szCs w:val="22"/>
                <w14:ligatures w14:val="none"/>
              </w:rPr>
              <w:lastRenderedPageBreak/>
              <w:t>capacity, and transport availability in one shared tool.</w:t>
            </w:r>
          </w:p>
        </w:tc>
        <w:tc>
          <w:tcPr>
            <w:tcW w:w="2700" w:type="dxa"/>
            <w:noWrap/>
          </w:tcPr>
          <w:p w14:paraId="176C6379" w14:textId="009FB317"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lastRenderedPageBreak/>
              <w:t>Enables real-time matching and proactive problem-solving in discharge planning</w:t>
            </w:r>
            <w:r w:rsidR="005C5FD1">
              <w:rPr>
                <w:rFonts w:eastAsia="Times New Roman" w:cs="Times New Roman"/>
                <w:color w:val="000000"/>
                <w:kern w:val="0"/>
                <w:sz w:val="22"/>
                <w:szCs w:val="22"/>
                <w14:ligatures w14:val="none"/>
              </w:rPr>
              <w:t>.</w:t>
            </w:r>
          </w:p>
        </w:tc>
        <w:tc>
          <w:tcPr>
            <w:tcW w:w="1440" w:type="dxa"/>
            <w:noWrap/>
          </w:tcPr>
          <w:p w14:paraId="3430DB45" w14:textId="54369BE4"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vii</w:t>
            </w:r>
          </w:p>
        </w:tc>
      </w:tr>
      <w:tr w:rsidR="00E4526E" w:rsidRPr="007B7E0A" w14:paraId="7D175752" w14:textId="77777777" w:rsidTr="00361F50">
        <w:trPr>
          <w:trHeight w:val="300"/>
        </w:trPr>
        <w:tc>
          <w:tcPr>
            <w:cnfStyle w:val="001000000000" w:firstRow="0" w:lastRow="0" w:firstColumn="1" w:lastColumn="0" w:oddVBand="0" w:evenVBand="0" w:oddHBand="0" w:evenHBand="0" w:firstRowFirstColumn="0" w:firstRowLastColumn="0" w:lastRowFirstColumn="0" w:lastRowLastColumn="0"/>
            <w:tcW w:w="2007" w:type="dxa"/>
            <w:noWrap/>
          </w:tcPr>
          <w:p w14:paraId="3E9A9383" w14:textId="37C087DB" w:rsidR="00D129D3" w:rsidRPr="003E14FB" w:rsidRDefault="00361F50" w:rsidP="0036294A">
            <w:pPr>
              <w:spacing w:after="120"/>
              <w:rPr>
                <w:rFonts w:eastAsia="Times New Roman" w:cs="Times New Roman"/>
                <w:b w:val="0"/>
                <w:bCs w:val="0"/>
                <w:color w:val="000000"/>
                <w:kern w:val="0"/>
                <w:sz w:val="22"/>
                <w:szCs w:val="22"/>
                <w14:ligatures w14:val="none"/>
              </w:rPr>
            </w:pPr>
            <w:r w:rsidRPr="003E14FB">
              <w:rPr>
                <w:rFonts w:eastAsia="Times New Roman" w:cs="Times New Roman"/>
                <w:color w:val="000000"/>
                <w:kern w:val="0"/>
                <w:sz w:val="22"/>
                <w:szCs w:val="22"/>
                <w14:ligatures w14:val="none"/>
              </w:rPr>
              <w:t xml:space="preserve">6.3 </w:t>
            </w:r>
            <w:r>
              <w:rPr>
                <w:rFonts w:eastAsia="Times New Roman" w:cs="Times New Roman"/>
                <w:color w:val="000000"/>
                <w:kern w:val="0"/>
                <w:sz w:val="22"/>
                <w:szCs w:val="22"/>
                <w14:ligatures w14:val="none"/>
              </w:rPr>
              <w:t>Explore</w:t>
            </w:r>
            <w:r w:rsidR="00D129D3" w:rsidRPr="003E14FB">
              <w:rPr>
                <w:rFonts w:eastAsia="Times New Roman" w:cs="Times New Roman"/>
                <w:color w:val="000000"/>
                <w:kern w:val="0"/>
                <w:sz w:val="22"/>
                <w:szCs w:val="22"/>
                <w14:ligatures w14:val="none"/>
              </w:rPr>
              <w:t xml:space="preserve"> Behavioral Health Transportation Models</w:t>
            </w:r>
          </w:p>
        </w:tc>
        <w:tc>
          <w:tcPr>
            <w:tcW w:w="3843" w:type="dxa"/>
            <w:noWrap/>
          </w:tcPr>
          <w:p w14:paraId="5289302F" w14:textId="452C6E6E" w:rsidR="00D129D3" w:rsidRPr="003E14FB" w:rsidRDefault="00D129D3" w:rsidP="00F923BD">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Explore feasibility and funding for implementation of alternative behavioral health transportation models</w:t>
            </w:r>
            <w:r w:rsidR="00DB01C2">
              <w:rPr>
                <w:rFonts w:eastAsia="Times New Roman" w:cs="Times New Roman"/>
                <w:color w:val="000000"/>
                <w:kern w:val="0"/>
                <w:sz w:val="22"/>
                <w:szCs w:val="22"/>
                <w14:ligatures w14:val="none"/>
              </w:rPr>
              <w:t>, including studying models</w:t>
            </w:r>
            <w:r w:rsidR="005A7430">
              <w:rPr>
                <w:rFonts w:eastAsia="Times New Roman" w:cs="Times New Roman"/>
                <w:color w:val="000000"/>
                <w:kern w:val="0"/>
                <w:sz w:val="22"/>
                <w:szCs w:val="22"/>
                <w14:ligatures w14:val="none"/>
              </w:rPr>
              <w:t xml:space="preserve"> in place</w:t>
            </w:r>
            <w:r w:rsidR="0085726E">
              <w:rPr>
                <w:rFonts w:eastAsia="Times New Roman" w:cs="Times New Roman"/>
                <w:color w:val="000000"/>
                <w:kern w:val="0"/>
                <w:sz w:val="22"/>
                <w:szCs w:val="22"/>
                <w14:ligatures w14:val="none"/>
              </w:rPr>
              <w:t xml:space="preserve"> in</w:t>
            </w:r>
            <w:r w:rsidRPr="003E14FB" w:rsidDel="0085726E">
              <w:rPr>
                <w:rFonts w:eastAsia="Times New Roman" w:cs="Times New Roman"/>
                <w:color w:val="000000"/>
                <w:kern w:val="0"/>
                <w:sz w:val="22"/>
                <w:szCs w:val="22"/>
                <w14:ligatures w14:val="none"/>
              </w:rPr>
              <w:t xml:space="preserve"> </w:t>
            </w:r>
            <w:r w:rsidRPr="003E14FB">
              <w:rPr>
                <w:rFonts w:eastAsia="Times New Roman" w:cs="Times New Roman"/>
                <w:color w:val="000000"/>
                <w:kern w:val="0"/>
                <w:sz w:val="22"/>
                <w:szCs w:val="22"/>
                <w14:ligatures w14:val="none"/>
              </w:rPr>
              <w:t>Colorado and Virginia</w:t>
            </w:r>
            <w:r w:rsidRPr="003E14FB" w:rsidDel="006F29FA">
              <w:rPr>
                <w:rFonts w:eastAsia="Times New Roman" w:cs="Times New Roman"/>
                <w:color w:val="000000"/>
                <w:kern w:val="0"/>
                <w:sz w:val="22"/>
                <w:szCs w:val="22"/>
                <w14:ligatures w14:val="none"/>
              </w:rPr>
              <w:t xml:space="preserve"> </w:t>
            </w:r>
            <w:r w:rsidRPr="0039763C" w:rsidDel="006F29FA">
              <w:rPr>
                <w:sz w:val="22"/>
                <w:szCs w:val="22"/>
              </w:rPr>
              <w:t>(</w:t>
            </w:r>
            <w:r w:rsidR="00EF22FF" w:rsidRPr="0039763C">
              <w:rPr>
                <w:sz w:val="22"/>
                <w:szCs w:val="22"/>
              </w:rPr>
              <w:t xml:space="preserve">reflected in </w:t>
            </w:r>
            <w:r w:rsidR="00EF22FF">
              <w:rPr>
                <w:sz w:val="22"/>
                <w:szCs w:val="22"/>
              </w:rPr>
              <w:t xml:space="preserve">provisions included in </w:t>
            </w:r>
            <w:r w:rsidR="00EF22FF" w:rsidRPr="0039763C">
              <w:rPr>
                <w:sz w:val="22"/>
                <w:szCs w:val="22"/>
              </w:rPr>
              <w:t xml:space="preserve">various bills </w:t>
            </w:r>
            <w:r w:rsidR="00EF22FF">
              <w:rPr>
                <w:sz w:val="22"/>
                <w:szCs w:val="22"/>
              </w:rPr>
              <w:t xml:space="preserve">currently </w:t>
            </w:r>
            <w:r w:rsidR="00EF22FF" w:rsidRPr="0039763C">
              <w:rPr>
                <w:sz w:val="22"/>
                <w:szCs w:val="22"/>
              </w:rPr>
              <w:t xml:space="preserve">under </w:t>
            </w:r>
            <w:r w:rsidR="00EF22FF">
              <w:rPr>
                <w:sz w:val="22"/>
                <w:szCs w:val="22"/>
              </w:rPr>
              <w:t>r</w:t>
            </w:r>
            <w:r w:rsidR="00EF22FF" w:rsidRPr="0039763C">
              <w:rPr>
                <w:sz w:val="22"/>
                <w:szCs w:val="22"/>
              </w:rPr>
              <w:t>e</w:t>
            </w:r>
            <w:r w:rsidR="00EF22FF">
              <w:rPr>
                <w:sz w:val="22"/>
                <w:szCs w:val="22"/>
              </w:rPr>
              <w:t>view</w:t>
            </w:r>
            <w:r w:rsidRPr="003E14FB" w:rsidDel="006F29FA">
              <w:rPr>
                <w:rFonts w:eastAsia="Times New Roman" w:cs="Times New Roman"/>
                <w:color w:val="000000"/>
                <w:kern w:val="0"/>
                <w:sz w:val="22"/>
                <w:szCs w:val="22"/>
                <w14:ligatures w14:val="none"/>
              </w:rPr>
              <w:t>)</w:t>
            </w:r>
            <w:r w:rsidRPr="003E14FB">
              <w:rPr>
                <w:rFonts w:eastAsia="Times New Roman" w:cs="Times New Roman"/>
                <w:color w:val="000000"/>
                <w:kern w:val="0"/>
                <w:sz w:val="22"/>
                <w:szCs w:val="22"/>
                <w14:ligatures w14:val="none"/>
              </w:rPr>
              <w:t>.</w:t>
            </w:r>
          </w:p>
          <w:p w14:paraId="23EEE31E" w14:textId="77777777" w:rsidR="00D129D3" w:rsidRPr="003E14FB" w:rsidRDefault="00D129D3" w:rsidP="00F923BD">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Promote piloting BH transportation alternatives focused on safety, patient-centered care, and cost-effectiveness.</w:t>
            </w:r>
          </w:p>
          <w:p w14:paraId="4B19D1F2" w14:textId="75380B7E" w:rsidR="00D129D3" w:rsidRPr="003E14FB" w:rsidDel="006C13EA" w:rsidRDefault="00D129D3" w:rsidP="003E14FB">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Develop monitoring and evaluation frameworks for new transportation models.</w:t>
            </w:r>
          </w:p>
        </w:tc>
        <w:tc>
          <w:tcPr>
            <w:tcW w:w="2700" w:type="dxa"/>
            <w:noWrap/>
          </w:tcPr>
          <w:p w14:paraId="38980416" w14:textId="2EA03F31"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Expands transportation options for individuals in behavioral health crisis, reducing reliance on police or ambulance transport, improving patient experience, and enhancing safety.</w:t>
            </w:r>
          </w:p>
        </w:tc>
        <w:tc>
          <w:tcPr>
            <w:tcW w:w="1440" w:type="dxa"/>
            <w:noWrap/>
          </w:tcPr>
          <w:p w14:paraId="3AE18B4C" w14:textId="5C7A0104" w:rsidR="00D129D3" w:rsidRPr="003E14FB" w:rsidRDefault="00D129D3" w:rsidP="0036294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3E14FB">
              <w:rPr>
                <w:rFonts w:eastAsia="Times New Roman" w:cs="Times New Roman"/>
                <w:color w:val="000000"/>
                <w:kern w:val="0"/>
                <w:sz w:val="22"/>
                <w:szCs w:val="22"/>
                <w14:ligatures w14:val="none"/>
              </w:rPr>
              <w:t>i, v, vi</w:t>
            </w:r>
          </w:p>
        </w:tc>
      </w:tr>
    </w:tbl>
    <w:p w14:paraId="72C9AA2D" w14:textId="77777777" w:rsidR="00355FC2" w:rsidRPr="007B7E0A" w:rsidRDefault="00355FC2" w:rsidP="009C2DEC">
      <w:pPr>
        <w:spacing w:after="120" w:line="240" w:lineRule="auto"/>
      </w:pPr>
    </w:p>
    <w:p w14:paraId="14F71A7C" w14:textId="3FBB5AA4" w:rsidR="00601799" w:rsidRDefault="00601799"/>
    <w:p w14:paraId="2F803644" w14:textId="77777777" w:rsidR="003C4447" w:rsidRPr="001B14D9" w:rsidRDefault="003C4447">
      <w:pPr>
        <w:rPr>
          <w:rFonts w:eastAsiaTheme="majorEastAsia" w:cstheme="majorBidi"/>
          <w:color w:val="0F4761" w:themeColor="accent1" w:themeShade="BF"/>
          <w:sz w:val="32"/>
          <w:szCs w:val="32"/>
        </w:rPr>
      </w:pPr>
    </w:p>
    <w:p w14:paraId="4D419248" w14:textId="1FF73A94" w:rsidR="00355FC2" w:rsidRPr="001B14D9" w:rsidRDefault="00355FC2" w:rsidP="009C2DEC">
      <w:pPr>
        <w:pStyle w:val="Heading2"/>
        <w:spacing w:before="0" w:after="120" w:line="240" w:lineRule="auto"/>
        <w:rPr>
          <w:rFonts w:asciiTheme="minorHAnsi" w:hAnsiTheme="minorHAnsi"/>
        </w:rPr>
      </w:pPr>
      <w:bookmarkStart w:id="5" w:name="_Toc202276027"/>
      <w:r w:rsidRPr="001B14D9">
        <w:rPr>
          <w:rFonts w:asciiTheme="minorHAnsi" w:hAnsiTheme="minorHAnsi"/>
        </w:rPr>
        <w:t>V</w:t>
      </w:r>
      <w:r w:rsidR="00FF53D1" w:rsidRPr="001B14D9">
        <w:rPr>
          <w:rFonts w:asciiTheme="minorHAnsi" w:hAnsiTheme="minorHAnsi"/>
        </w:rPr>
        <w:t>I</w:t>
      </w:r>
      <w:r w:rsidRPr="001B14D9">
        <w:rPr>
          <w:rFonts w:asciiTheme="minorHAnsi" w:hAnsiTheme="minorHAnsi"/>
        </w:rPr>
        <w:t>. A Path Forward: Strategic Alignment and Accountability</w:t>
      </w:r>
      <w:bookmarkEnd w:id="5"/>
    </w:p>
    <w:p w14:paraId="54D3E7DF" w14:textId="3C388A22" w:rsidR="009C2DEC" w:rsidRPr="007B7E0A" w:rsidRDefault="009C2DEC" w:rsidP="009C2DEC">
      <w:pPr>
        <w:spacing w:after="120" w:line="240" w:lineRule="auto"/>
        <w:rPr>
          <w:sz w:val="22"/>
          <w:szCs w:val="22"/>
        </w:rPr>
      </w:pPr>
      <w:r w:rsidRPr="007B7E0A">
        <w:rPr>
          <w:sz w:val="22"/>
          <w:szCs w:val="22"/>
        </w:rPr>
        <w:t xml:space="preserve">Massachusetts has launched a range of promising efforts to improve hospital throughput and transitions to post-acute care. Building on this momentum will require </w:t>
      </w:r>
      <w:r w:rsidR="00676BFA" w:rsidRPr="007B7E0A">
        <w:rPr>
          <w:sz w:val="22"/>
          <w:szCs w:val="22"/>
        </w:rPr>
        <w:t xml:space="preserve">a trained, skilled workforce and </w:t>
      </w:r>
      <w:r w:rsidRPr="007B7E0A">
        <w:rPr>
          <w:sz w:val="22"/>
          <w:szCs w:val="22"/>
        </w:rPr>
        <w:t>deliberate alignment across agencies, providers, and payers to ensure these efforts translate into sustained, system-level change.</w:t>
      </w:r>
    </w:p>
    <w:p w14:paraId="26911EFF" w14:textId="77777777" w:rsidR="009C2DEC" w:rsidRPr="007B7E0A" w:rsidRDefault="009C2DEC" w:rsidP="009C2DEC">
      <w:pPr>
        <w:spacing w:after="120" w:line="240" w:lineRule="auto"/>
        <w:rPr>
          <w:sz w:val="22"/>
          <w:szCs w:val="22"/>
        </w:rPr>
      </w:pPr>
      <w:r w:rsidRPr="007B7E0A">
        <w:rPr>
          <w:sz w:val="22"/>
          <w:szCs w:val="22"/>
        </w:rPr>
        <w:t>To move forward effectively, state partners can:</w:t>
      </w:r>
    </w:p>
    <w:p w14:paraId="285ED19D" w14:textId="77777777" w:rsidR="009C2DEC" w:rsidRPr="007B7E0A" w:rsidRDefault="009C2DEC" w:rsidP="009C2DEC">
      <w:pPr>
        <w:numPr>
          <w:ilvl w:val="0"/>
          <w:numId w:val="6"/>
        </w:numPr>
        <w:spacing w:after="120" w:line="240" w:lineRule="auto"/>
        <w:rPr>
          <w:sz w:val="22"/>
          <w:szCs w:val="22"/>
        </w:rPr>
      </w:pPr>
      <w:r w:rsidRPr="007B7E0A">
        <w:rPr>
          <w:b/>
          <w:bCs/>
          <w:sz w:val="22"/>
          <w:szCs w:val="22"/>
        </w:rPr>
        <w:t>Scale what works.</w:t>
      </w:r>
      <w:r w:rsidRPr="007B7E0A">
        <w:rPr>
          <w:sz w:val="22"/>
          <w:szCs w:val="22"/>
        </w:rPr>
        <w:t xml:space="preserve"> Time-limited pilots and embedded staffing models are already showing value. Promising innovations should be assessed for long-term sustainability and opportunities to support statewide adoption.</w:t>
      </w:r>
    </w:p>
    <w:p w14:paraId="589C379F" w14:textId="77777777" w:rsidR="009C2DEC" w:rsidRPr="007B7E0A" w:rsidRDefault="009C2DEC" w:rsidP="009C2DEC">
      <w:pPr>
        <w:numPr>
          <w:ilvl w:val="0"/>
          <w:numId w:val="6"/>
        </w:numPr>
        <w:spacing w:after="120" w:line="240" w:lineRule="auto"/>
        <w:rPr>
          <w:sz w:val="22"/>
          <w:szCs w:val="22"/>
        </w:rPr>
      </w:pPr>
      <w:r w:rsidRPr="007B7E0A">
        <w:rPr>
          <w:b/>
          <w:bCs/>
          <w:sz w:val="22"/>
          <w:szCs w:val="22"/>
        </w:rPr>
        <w:t>Strengthen infrastructure for coordination.</w:t>
      </w:r>
      <w:r w:rsidRPr="007B7E0A">
        <w:rPr>
          <w:sz w:val="22"/>
          <w:szCs w:val="22"/>
        </w:rPr>
        <w:t xml:space="preserve"> Durable tools, workflows, and data systems that support real-time discharge planning, referral management, and transport readiness can help streamline transitions and reduce delays across the continuum.</w:t>
      </w:r>
    </w:p>
    <w:p w14:paraId="7C0EA274" w14:textId="77777777" w:rsidR="009C2DEC" w:rsidRPr="007B7E0A" w:rsidRDefault="009C2DEC" w:rsidP="009C2DEC">
      <w:pPr>
        <w:numPr>
          <w:ilvl w:val="0"/>
          <w:numId w:val="6"/>
        </w:numPr>
        <w:spacing w:after="120" w:line="240" w:lineRule="auto"/>
        <w:rPr>
          <w:sz w:val="22"/>
          <w:szCs w:val="22"/>
        </w:rPr>
      </w:pPr>
      <w:r w:rsidRPr="007B7E0A">
        <w:rPr>
          <w:b/>
          <w:bCs/>
          <w:sz w:val="22"/>
          <w:szCs w:val="22"/>
        </w:rPr>
        <w:t>Clarify roles and accountability.</w:t>
      </w:r>
      <w:r w:rsidRPr="007B7E0A">
        <w:rPr>
          <w:sz w:val="22"/>
          <w:szCs w:val="22"/>
        </w:rPr>
        <w:t xml:space="preserve"> Shared expectations, standard operating procedures, and clear lines of responsibility—across hospitals, post-acute providers, transportation brokers, and community-based organizations—can reduce fragmentation and improve outcomes.</w:t>
      </w:r>
    </w:p>
    <w:p w14:paraId="587B3839" w14:textId="77777777" w:rsidR="009C2DEC" w:rsidRPr="007B7E0A" w:rsidRDefault="009C2DEC" w:rsidP="009C2DEC">
      <w:pPr>
        <w:numPr>
          <w:ilvl w:val="0"/>
          <w:numId w:val="6"/>
        </w:numPr>
        <w:spacing w:after="120" w:line="240" w:lineRule="auto"/>
        <w:rPr>
          <w:sz w:val="22"/>
          <w:szCs w:val="22"/>
        </w:rPr>
      </w:pPr>
      <w:r w:rsidRPr="007B7E0A">
        <w:rPr>
          <w:b/>
          <w:bCs/>
          <w:sz w:val="22"/>
          <w:szCs w:val="22"/>
        </w:rPr>
        <w:lastRenderedPageBreak/>
        <w:t>Ensure ongoing performance monitoring.</w:t>
      </w:r>
      <w:r w:rsidRPr="007B7E0A">
        <w:rPr>
          <w:sz w:val="22"/>
          <w:szCs w:val="22"/>
        </w:rPr>
        <w:t xml:space="preserve"> Implementation of recent reforms, including those under Chapter 197 of 2024, should be closely monitored to ensure intended outcomes and to identify opportunities for course correction.</w:t>
      </w:r>
    </w:p>
    <w:p w14:paraId="0A28B4C2" w14:textId="77777777" w:rsidR="009C2DEC" w:rsidRPr="007B7E0A" w:rsidRDefault="009C2DEC" w:rsidP="009C2DEC">
      <w:pPr>
        <w:numPr>
          <w:ilvl w:val="0"/>
          <w:numId w:val="6"/>
        </w:numPr>
        <w:spacing w:after="120" w:line="240" w:lineRule="auto"/>
        <w:rPr>
          <w:sz w:val="22"/>
          <w:szCs w:val="22"/>
        </w:rPr>
      </w:pPr>
      <w:r w:rsidRPr="007B7E0A">
        <w:rPr>
          <w:b/>
          <w:bCs/>
          <w:sz w:val="22"/>
          <w:szCs w:val="22"/>
        </w:rPr>
        <w:t>Advance equity.</w:t>
      </w:r>
      <w:r w:rsidRPr="007B7E0A">
        <w:rPr>
          <w:sz w:val="22"/>
          <w:szCs w:val="22"/>
        </w:rPr>
        <w:t xml:space="preserve"> Populations with complex needs—including those with behavioral health conditions, disabilities, or limited insurance coverage—continue to face disproportionate discharge delays. Targeted strategies must ensure equitable access to timely, appropriate care transitions.</w:t>
      </w:r>
    </w:p>
    <w:p w14:paraId="6134398E" w14:textId="4C6F4C9A" w:rsidR="00355FC2" w:rsidRPr="007B7E0A" w:rsidRDefault="00355FC2" w:rsidP="009C2DEC">
      <w:pPr>
        <w:spacing w:after="120" w:line="240" w:lineRule="auto"/>
        <w:rPr>
          <w:sz w:val="22"/>
          <w:szCs w:val="22"/>
        </w:rPr>
      </w:pPr>
    </w:p>
    <w:p w14:paraId="43FAC155" w14:textId="77777777" w:rsidR="0065765B" w:rsidRPr="007B7E0A" w:rsidRDefault="0065765B" w:rsidP="009C2DEC">
      <w:pPr>
        <w:spacing w:after="120" w:line="240" w:lineRule="auto"/>
        <w:rPr>
          <w:sz w:val="22"/>
          <w:szCs w:val="22"/>
        </w:rPr>
      </w:pPr>
    </w:p>
    <w:p w14:paraId="1D4E5FE9" w14:textId="77777777" w:rsidR="0065765B" w:rsidRPr="007B7E0A" w:rsidRDefault="0065765B" w:rsidP="009C2DEC">
      <w:pPr>
        <w:spacing w:after="120" w:line="240" w:lineRule="auto"/>
        <w:rPr>
          <w:sz w:val="22"/>
          <w:szCs w:val="22"/>
        </w:rPr>
      </w:pPr>
    </w:p>
    <w:p w14:paraId="4AAAF45D" w14:textId="049A8BD7" w:rsidR="0065765B" w:rsidRPr="00D129D3" w:rsidRDefault="0065765B" w:rsidP="0065765B">
      <w:pPr>
        <w:pStyle w:val="Heading2"/>
        <w:spacing w:before="0" w:after="120" w:line="240" w:lineRule="auto"/>
        <w:rPr>
          <w:rFonts w:asciiTheme="minorHAnsi" w:hAnsiTheme="minorHAnsi"/>
        </w:rPr>
      </w:pPr>
      <w:bookmarkStart w:id="6" w:name="_Toc202276028"/>
      <w:r w:rsidRPr="00D129D3">
        <w:rPr>
          <w:rFonts w:asciiTheme="minorHAnsi" w:hAnsiTheme="minorHAnsi"/>
        </w:rPr>
        <w:t>VII. Appendices</w:t>
      </w:r>
      <w:bookmarkEnd w:id="6"/>
    </w:p>
    <w:p w14:paraId="1B6D7F16" w14:textId="04CE1AA1" w:rsidR="0065765B" w:rsidRDefault="0065765B" w:rsidP="0065765B">
      <w:pPr>
        <w:spacing w:after="120" w:line="240" w:lineRule="auto"/>
        <w:rPr>
          <w:sz w:val="22"/>
          <w:szCs w:val="22"/>
        </w:rPr>
      </w:pPr>
    </w:p>
    <w:p w14:paraId="37DFCBC5" w14:textId="2C3A9422" w:rsidR="0014748E" w:rsidRPr="00D129D3" w:rsidRDefault="0014748E" w:rsidP="0014748E">
      <w:pPr>
        <w:pStyle w:val="Heading2"/>
        <w:spacing w:before="0" w:after="120" w:line="240" w:lineRule="auto"/>
        <w:rPr>
          <w:rFonts w:asciiTheme="minorHAnsi" w:hAnsiTheme="minorHAnsi"/>
        </w:rPr>
      </w:pPr>
      <w:r w:rsidRPr="00D129D3">
        <w:rPr>
          <w:rFonts w:asciiTheme="minorHAnsi" w:hAnsiTheme="minorHAnsi"/>
        </w:rPr>
        <w:t>Appendi</w:t>
      </w:r>
      <w:r>
        <w:rPr>
          <w:rFonts w:asciiTheme="minorHAnsi" w:hAnsiTheme="minorHAnsi"/>
        </w:rPr>
        <w:t xml:space="preserve">x </w:t>
      </w:r>
      <w:r w:rsidR="00286095">
        <w:rPr>
          <w:rFonts w:asciiTheme="minorHAnsi" w:hAnsiTheme="minorHAnsi"/>
        </w:rPr>
        <w:t>A</w:t>
      </w:r>
      <w:r w:rsidR="00AA12FB">
        <w:rPr>
          <w:rFonts w:asciiTheme="minorHAnsi" w:hAnsiTheme="minorHAnsi"/>
        </w:rPr>
        <w:t xml:space="preserve"> – Full Text of the </w:t>
      </w:r>
      <w:r w:rsidR="0041009D">
        <w:rPr>
          <w:rFonts w:asciiTheme="minorHAnsi" w:hAnsiTheme="minorHAnsi"/>
        </w:rPr>
        <w:t>Task Force</w:t>
      </w:r>
      <w:r w:rsidR="00AA12FB">
        <w:rPr>
          <w:rFonts w:asciiTheme="minorHAnsi" w:hAnsiTheme="minorHAnsi"/>
        </w:rPr>
        <w:t>’s Charge</w:t>
      </w:r>
    </w:p>
    <w:p w14:paraId="2F90DE7A" w14:textId="653B8810" w:rsidR="0014748E" w:rsidRDefault="0014748E" w:rsidP="0065765B">
      <w:pPr>
        <w:spacing w:after="120" w:line="240" w:lineRule="auto"/>
        <w:rPr>
          <w:sz w:val="22"/>
          <w:szCs w:val="22"/>
        </w:rPr>
      </w:pPr>
    </w:p>
    <w:p w14:paraId="0855F9E8" w14:textId="130F2111" w:rsidR="00D876A9" w:rsidRDefault="00F978E0" w:rsidP="00D876A9">
      <w:pPr>
        <w:spacing w:after="120" w:line="240" w:lineRule="auto"/>
        <w:rPr>
          <w:sz w:val="22"/>
          <w:szCs w:val="22"/>
        </w:rPr>
      </w:pPr>
      <w:r>
        <w:rPr>
          <w:b/>
          <w:bCs/>
          <w:sz w:val="22"/>
          <w:szCs w:val="22"/>
        </w:rPr>
        <w:t xml:space="preserve">Link: </w:t>
      </w:r>
      <w:hyperlink r:id="rId12" w:history="1">
        <w:r w:rsidR="00D876A9" w:rsidRPr="00D876A9">
          <w:rPr>
            <w:rStyle w:val="Hyperlink"/>
            <w:b/>
            <w:bCs/>
            <w:sz w:val="22"/>
            <w:szCs w:val="22"/>
          </w:rPr>
          <w:t>https://malegislature.gov/Laws/SessionLaws/Acts/2024/Chapter197</w:t>
        </w:r>
      </w:hyperlink>
    </w:p>
    <w:p w14:paraId="0C7F9DD5" w14:textId="77777777" w:rsidR="00D876A9" w:rsidRPr="00F27319" w:rsidRDefault="00D876A9" w:rsidP="00D876A9">
      <w:pPr>
        <w:spacing w:after="120" w:line="240" w:lineRule="auto"/>
        <w:rPr>
          <w:b/>
          <w:bCs/>
          <w:sz w:val="22"/>
          <w:szCs w:val="22"/>
        </w:rPr>
      </w:pPr>
    </w:p>
    <w:p w14:paraId="1F436352" w14:textId="615ECA31" w:rsidR="00D876A9" w:rsidRPr="00F27319" w:rsidRDefault="00D876A9" w:rsidP="00D876A9">
      <w:pPr>
        <w:spacing w:after="120" w:line="240" w:lineRule="auto"/>
        <w:rPr>
          <w:b/>
          <w:bCs/>
          <w:sz w:val="22"/>
          <w:szCs w:val="22"/>
        </w:rPr>
      </w:pPr>
      <w:r w:rsidRPr="00F27319">
        <w:rPr>
          <w:b/>
          <w:bCs/>
          <w:sz w:val="22"/>
          <w:szCs w:val="22"/>
        </w:rPr>
        <w:t>CHAPTER 197, SECTION 25</w:t>
      </w:r>
    </w:p>
    <w:p w14:paraId="7745FF93" w14:textId="77777777" w:rsidR="00D876A9" w:rsidRPr="00D876A9" w:rsidRDefault="00D876A9" w:rsidP="00D876A9">
      <w:pPr>
        <w:spacing w:after="120" w:line="240" w:lineRule="auto"/>
        <w:rPr>
          <w:sz w:val="22"/>
          <w:szCs w:val="22"/>
        </w:rPr>
      </w:pPr>
      <w:r w:rsidRPr="00F978E0">
        <w:rPr>
          <w:sz w:val="22"/>
          <w:szCs w:val="22"/>
        </w:rPr>
        <w:t xml:space="preserve">(a) There shall be a task force to study and propose recommendations to address acute care </w:t>
      </w:r>
      <w:r w:rsidRPr="00D876A9">
        <w:rPr>
          <w:sz w:val="22"/>
          <w:szCs w:val="22"/>
        </w:rPr>
        <w:t>hospital throughput challenges and the impact of persistent delays in discharging patients from acute to post-acute care settings. The task force shall examine: (i) hospital discharge planning and case management practices; (ii) payer administrative barriers to discharge; (iii) legal and regulatory barriers to discharge; (iv) efforts to increase public awareness of health care proxies and the importance of designating a health care agent; (v) post-acute care capacity constraints and additional opportunities to provide financial incentives to increase capacity; (vi) administrative day rates and the cost to hospitals of discharge delays; (vii) enhanced hospital case management practices and reimbursement for wraparound services; (viii) the adequacy of post-acute care facility insurance networks and the establishment of an out-of-network rate for post-acute care facilities; (ix) expanding MassHealth Limited coverage to include post-acute and long-term care services; (x) the effectiveness of interagency coordination to resolve complex case discharges; (xi) the adequacy of reimbursement rates of MassHealth and commercial carriers for nonemergency medical transportation; (xii) opportunities to expand coverage and reimbursement for services delivered by mobile integrated health programs certified by the department of public health and by participating providers in the federal Centers for Medicare and Medicaid Services acute hospital care at home program; (xiii) alternative transportation options for patients being discharged and transferred to post-acute care facilities or home health agencies; and (xiv) the 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appropriate placement for post-acute care for 6 months or longer.</w:t>
      </w:r>
      <w:r w:rsidRPr="00D876A9">
        <w:rPr>
          <w:sz w:val="22"/>
          <w:szCs w:val="22"/>
        </w:rPr>
        <w:br/>
        <w:t> </w:t>
      </w:r>
    </w:p>
    <w:p w14:paraId="536AB2D9" w14:textId="77777777" w:rsidR="00D876A9" w:rsidRPr="00D876A9" w:rsidRDefault="00D876A9" w:rsidP="00D876A9">
      <w:pPr>
        <w:spacing w:after="120" w:line="240" w:lineRule="auto"/>
        <w:rPr>
          <w:sz w:val="22"/>
          <w:szCs w:val="22"/>
        </w:rPr>
      </w:pPr>
      <w:r w:rsidRPr="00D876A9">
        <w:rPr>
          <w:sz w:val="22"/>
          <w:szCs w:val="22"/>
        </w:rPr>
        <w:lastRenderedPageBreak/>
        <w:t>(b) The task force shall consist of: the secretary of health and human services, or a designee, who shall serve as chair; the assistant secretary for MassHealth, or a designee; the commissioner of mental health, or a designee; the attorney general, or a designee; the commissioner of correction, or a designee; 1 sheriff appointed by the Massachusetts Sheriffs’ Association, Inc.; 1 member representing the division of the probate and family court department of the trial court to be appointed by the chief justice of said division; and 10 members to be appointed by the chair, 1 of whom shall be a representative of the Massachusetts Hospital Association, Inc., 1 of whom shall be a representative of the Massachusetts Senior Care Association, Inc., 1 of whom shall be a representative of the Home Care Alliance of Massachusetts, Inc., 1 of whom shall be a representative of the Massachusetts Academy of Elder Law Attorneys, 1 of whom shall be a representative from the Massachusetts Ambulance Association, Incorporated, 1 of whom shall be a representative from the Massachusetts Association of Health Plans, Inc., 1 of whom shall be a representative from Blue Cross and Blue Shield of Massachusetts, Inc., 1 of whom shall be a representative from an academic medical center located in Worcester county, 1 of whom shall be a representative of an acute care hospital located in Suffolk county and 1 of whom shall be a representative from an acute care hospital designated by the health policy commission as an independent community hospital for the purposes of 105 CMR 100.715(B)(2)(b).</w:t>
      </w:r>
      <w:r w:rsidRPr="00D876A9">
        <w:rPr>
          <w:sz w:val="22"/>
          <w:szCs w:val="22"/>
        </w:rPr>
        <w:br/>
        <w:t> </w:t>
      </w:r>
    </w:p>
    <w:p w14:paraId="3F5BFFD4" w14:textId="77777777" w:rsidR="00D876A9" w:rsidRPr="00D876A9" w:rsidRDefault="00D876A9" w:rsidP="00D876A9">
      <w:pPr>
        <w:spacing w:after="120" w:line="240" w:lineRule="auto"/>
        <w:rPr>
          <w:sz w:val="22"/>
          <w:szCs w:val="22"/>
        </w:rPr>
      </w:pPr>
      <w:r w:rsidRPr="00D876A9">
        <w:rPr>
          <w:sz w:val="22"/>
          <w:szCs w:val="22"/>
        </w:rPr>
        <w:t>(c) Not later than July 31, 2025, the task force shall submit its report, including its recommendations or any proposed legislation necessary to carry out its recommendations, to the clerks of the house of representatives and the senate, the house and senate committees on ways and means and the joint committee on health care financing.</w:t>
      </w:r>
    </w:p>
    <w:p w14:paraId="7AF9595E" w14:textId="77777777" w:rsidR="00B64072" w:rsidRDefault="00B64072" w:rsidP="0065765B">
      <w:pPr>
        <w:spacing w:after="120" w:line="240" w:lineRule="auto"/>
        <w:rPr>
          <w:sz w:val="22"/>
          <w:szCs w:val="22"/>
        </w:rPr>
      </w:pPr>
    </w:p>
    <w:p w14:paraId="1D871600" w14:textId="77777777" w:rsidR="00D876A9" w:rsidRDefault="00D876A9" w:rsidP="0065765B">
      <w:pPr>
        <w:spacing w:after="120" w:line="240" w:lineRule="auto"/>
        <w:rPr>
          <w:sz w:val="22"/>
          <w:szCs w:val="22"/>
        </w:rPr>
      </w:pPr>
    </w:p>
    <w:p w14:paraId="0FABF37E" w14:textId="77777777" w:rsidR="008975A1" w:rsidRDefault="008975A1" w:rsidP="0065765B">
      <w:pPr>
        <w:spacing w:after="120" w:line="240" w:lineRule="auto"/>
        <w:rPr>
          <w:sz w:val="22"/>
          <w:szCs w:val="22"/>
        </w:rPr>
      </w:pPr>
    </w:p>
    <w:p w14:paraId="2C78D6CB" w14:textId="77777777" w:rsidR="008975A1" w:rsidRDefault="008975A1">
      <w:pPr>
        <w:rPr>
          <w:rFonts w:eastAsiaTheme="majorEastAsia" w:cstheme="majorBidi"/>
          <w:color w:val="0F4761" w:themeColor="accent1" w:themeShade="BF"/>
          <w:sz w:val="32"/>
          <w:szCs w:val="32"/>
        </w:rPr>
      </w:pPr>
      <w:r>
        <w:br w:type="page"/>
      </w:r>
    </w:p>
    <w:p w14:paraId="1294A6F6" w14:textId="19EC83CB" w:rsidR="008975A1" w:rsidRPr="00D129D3" w:rsidRDefault="008975A1" w:rsidP="008975A1">
      <w:pPr>
        <w:pStyle w:val="Heading2"/>
        <w:spacing w:before="0" w:after="120" w:line="240" w:lineRule="auto"/>
        <w:rPr>
          <w:rFonts w:asciiTheme="minorHAnsi" w:hAnsiTheme="minorHAnsi"/>
        </w:rPr>
      </w:pPr>
      <w:r w:rsidRPr="00D129D3">
        <w:rPr>
          <w:rFonts w:asciiTheme="minorHAnsi" w:hAnsiTheme="minorHAnsi"/>
        </w:rPr>
        <w:lastRenderedPageBreak/>
        <w:t>Appendi</w:t>
      </w:r>
      <w:r>
        <w:rPr>
          <w:rFonts w:asciiTheme="minorHAnsi" w:hAnsiTheme="minorHAnsi"/>
        </w:rPr>
        <w:t xml:space="preserve">x </w:t>
      </w:r>
      <w:r w:rsidR="00286095">
        <w:rPr>
          <w:rFonts w:asciiTheme="minorHAnsi" w:hAnsiTheme="minorHAnsi"/>
        </w:rPr>
        <w:t>B</w:t>
      </w:r>
      <w:r w:rsidR="0041009D">
        <w:rPr>
          <w:rFonts w:asciiTheme="minorHAnsi" w:hAnsiTheme="minorHAnsi"/>
        </w:rPr>
        <w:t xml:space="preserve"> – List of Task Force Members</w:t>
      </w:r>
    </w:p>
    <w:p w14:paraId="6EB001B8" w14:textId="77777777" w:rsidR="00D876A9" w:rsidRDefault="00D876A9" w:rsidP="0065765B">
      <w:pPr>
        <w:spacing w:after="120" w:line="240" w:lineRule="auto"/>
        <w:rPr>
          <w:sz w:val="22"/>
          <w:szCs w:val="22"/>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43" w:type="dxa"/>
          <w:bottom w:w="15" w:type="dxa"/>
          <w:right w:w="43" w:type="dxa"/>
        </w:tblCellMar>
        <w:tblLook w:val="04A0" w:firstRow="1" w:lastRow="0" w:firstColumn="1" w:lastColumn="0" w:noHBand="0" w:noVBand="1"/>
      </w:tblPr>
      <w:tblGrid>
        <w:gridCol w:w="2335"/>
        <w:gridCol w:w="7385"/>
      </w:tblGrid>
      <w:tr w:rsidR="008975A1" w:rsidRPr="00B64072" w14:paraId="3807C3FD" w14:textId="77777777" w:rsidTr="00F27319">
        <w:tc>
          <w:tcPr>
            <w:tcW w:w="2335" w:type="dxa"/>
            <w:shd w:val="clear" w:color="auto" w:fill="0B769F" w:themeFill="accent4" w:themeFillShade="BF"/>
          </w:tcPr>
          <w:p w14:paraId="6DA16BA8" w14:textId="1561F06F" w:rsidR="008975A1" w:rsidRPr="00F27319" w:rsidRDefault="008975A1" w:rsidP="00B64072">
            <w:pPr>
              <w:spacing w:after="120" w:line="240" w:lineRule="auto"/>
              <w:rPr>
                <w:b/>
                <w:bCs/>
                <w:color w:val="FFFFFF" w:themeColor="background1"/>
                <w:sz w:val="22"/>
                <w:szCs w:val="22"/>
              </w:rPr>
            </w:pPr>
            <w:r w:rsidRPr="00F27319">
              <w:rPr>
                <w:b/>
                <w:bCs/>
                <w:color w:val="FFFFFF" w:themeColor="background1"/>
                <w:sz w:val="22"/>
                <w:szCs w:val="22"/>
              </w:rPr>
              <w:t>Name</w:t>
            </w:r>
          </w:p>
        </w:tc>
        <w:tc>
          <w:tcPr>
            <w:tcW w:w="7385" w:type="dxa"/>
            <w:shd w:val="clear" w:color="auto" w:fill="0B769F" w:themeFill="accent4" w:themeFillShade="BF"/>
          </w:tcPr>
          <w:p w14:paraId="64AC10A7" w14:textId="511F3410" w:rsidR="008975A1" w:rsidRPr="00F27319" w:rsidRDefault="008975A1" w:rsidP="00B64072">
            <w:pPr>
              <w:spacing w:after="120" w:line="240" w:lineRule="auto"/>
              <w:rPr>
                <w:b/>
                <w:bCs/>
                <w:color w:val="FFFFFF" w:themeColor="background1"/>
                <w:sz w:val="22"/>
                <w:szCs w:val="22"/>
              </w:rPr>
            </w:pPr>
            <w:r w:rsidRPr="00F27319">
              <w:rPr>
                <w:b/>
                <w:bCs/>
                <w:color w:val="FFFFFF" w:themeColor="background1"/>
                <w:sz w:val="22"/>
                <w:szCs w:val="22"/>
              </w:rPr>
              <w:t>Seat</w:t>
            </w:r>
          </w:p>
        </w:tc>
      </w:tr>
      <w:tr w:rsidR="00476C50" w:rsidRPr="00B64072" w14:paraId="5E428CDF" w14:textId="77777777" w:rsidTr="00F27319">
        <w:tc>
          <w:tcPr>
            <w:tcW w:w="2335" w:type="dxa"/>
            <w:hideMark/>
          </w:tcPr>
          <w:p w14:paraId="719B29FD" w14:textId="018A421B" w:rsidR="00B64072" w:rsidRPr="00B64072" w:rsidRDefault="008975A1" w:rsidP="00B64072">
            <w:pPr>
              <w:spacing w:after="120" w:line="240" w:lineRule="auto"/>
              <w:rPr>
                <w:sz w:val="22"/>
                <w:szCs w:val="22"/>
              </w:rPr>
            </w:pPr>
            <w:r>
              <w:rPr>
                <w:sz w:val="22"/>
                <w:szCs w:val="22"/>
              </w:rPr>
              <w:t>J</w:t>
            </w:r>
            <w:r w:rsidR="00B64072" w:rsidRPr="00B64072">
              <w:rPr>
                <w:sz w:val="22"/>
                <w:szCs w:val="22"/>
              </w:rPr>
              <w:t>oanne Marqusee</w:t>
            </w:r>
          </w:p>
        </w:tc>
        <w:tc>
          <w:tcPr>
            <w:tcW w:w="7385" w:type="dxa"/>
            <w:hideMark/>
          </w:tcPr>
          <w:p w14:paraId="68A6B389" w14:textId="5E143811" w:rsidR="00B64072" w:rsidRPr="00B64072" w:rsidRDefault="0029141F" w:rsidP="00B64072">
            <w:pPr>
              <w:spacing w:after="120" w:line="240" w:lineRule="auto"/>
              <w:rPr>
                <w:sz w:val="22"/>
                <w:szCs w:val="22"/>
              </w:rPr>
            </w:pPr>
            <w:r>
              <w:rPr>
                <w:sz w:val="22"/>
                <w:szCs w:val="22"/>
              </w:rPr>
              <w:t>Chair and Designee of the Se</w:t>
            </w:r>
            <w:r w:rsidRPr="00D876A9">
              <w:rPr>
                <w:sz w:val="22"/>
                <w:szCs w:val="22"/>
              </w:rPr>
              <w:t xml:space="preserve">cretary of </w:t>
            </w:r>
            <w:r w:rsidR="00B64072" w:rsidRPr="00B64072">
              <w:rPr>
                <w:sz w:val="22"/>
                <w:szCs w:val="22"/>
              </w:rPr>
              <w:t>Health and Human Services</w:t>
            </w:r>
          </w:p>
        </w:tc>
      </w:tr>
      <w:tr w:rsidR="00476C50" w:rsidRPr="00B64072" w14:paraId="540EC8C9" w14:textId="77777777" w:rsidTr="00F27319">
        <w:tc>
          <w:tcPr>
            <w:tcW w:w="2335" w:type="dxa"/>
            <w:hideMark/>
          </w:tcPr>
          <w:p w14:paraId="3A233BC0" w14:textId="77777777" w:rsidR="00B64072" w:rsidRPr="00B64072" w:rsidRDefault="00B64072" w:rsidP="00B64072">
            <w:pPr>
              <w:spacing w:after="120" w:line="240" w:lineRule="auto"/>
              <w:rPr>
                <w:sz w:val="22"/>
                <w:szCs w:val="22"/>
              </w:rPr>
            </w:pPr>
            <w:r w:rsidRPr="00B64072">
              <w:rPr>
                <w:sz w:val="22"/>
                <w:szCs w:val="22"/>
              </w:rPr>
              <w:t>Carminda Andrade</w:t>
            </w:r>
          </w:p>
        </w:tc>
        <w:tc>
          <w:tcPr>
            <w:tcW w:w="7385" w:type="dxa"/>
            <w:hideMark/>
          </w:tcPr>
          <w:p w14:paraId="74B80E70" w14:textId="3010C1A9" w:rsidR="00B64072" w:rsidRPr="00B64072" w:rsidRDefault="00B64072" w:rsidP="00B64072">
            <w:pPr>
              <w:spacing w:after="120" w:line="240" w:lineRule="auto"/>
              <w:rPr>
                <w:sz w:val="22"/>
                <w:szCs w:val="22"/>
              </w:rPr>
            </w:pPr>
            <w:r w:rsidRPr="00B64072">
              <w:rPr>
                <w:sz w:val="22"/>
                <w:szCs w:val="22"/>
              </w:rPr>
              <w:t>De</w:t>
            </w:r>
            <w:r w:rsidR="00293F36">
              <w:rPr>
                <w:sz w:val="22"/>
                <w:szCs w:val="22"/>
              </w:rPr>
              <w:t>signee of the Commissioner of the De</w:t>
            </w:r>
            <w:r w:rsidRPr="00B64072">
              <w:rPr>
                <w:sz w:val="22"/>
                <w:szCs w:val="22"/>
              </w:rPr>
              <w:t>partment of Mental Health (DMH)</w:t>
            </w:r>
          </w:p>
        </w:tc>
      </w:tr>
      <w:tr w:rsidR="00476C50" w:rsidRPr="00B64072" w14:paraId="31954A3D" w14:textId="77777777" w:rsidTr="00F27319">
        <w:tc>
          <w:tcPr>
            <w:tcW w:w="2335" w:type="dxa"/>
            <w:hideMark/>
          </w:tcPr>
          <w:p w14:paraId="5639A8A6" w14:textId="5949134D" w:rsidR="00B64072" w:rsidRPr="00B64072" w:rsidRDefault="00B64072" w:rsidP="00B64072">
            <w:pPr>
              <w:spacing w:after="120" w:line="240" w:lineRule="auto"/>
              <w:rPr>
                <w:sz w:val="22"/>
                <w:szCs w:val="22"/>
              </w:rPr>
            </w:pPr>
            <w:r w:rsidRPr="00B64072">
              <w:rPr>
                <w:sz w:val="22"/>
                <w:szCs w:val="22"/>
              </w:rPr>
              <w:t>Donna Buckley</w:t>
            </w:r>
          </w:p>
        </w:tc>
        <w:tc>
          <w:tcPr>
            <w:tcW w:w="7385" w:type="dxa"/>
            <w:hideMark/>
          </w:tcPr>
          <w:p w14:paraId="7D07DC24" w14:textId="4BA49637" w:rsidR="00B64072" w:rsidRPr="00B64072" w:rsidRDefault="00293F36" w:rsidP="00B64072">
            <w:pPr>
              <w:spacing w:after="120" w:line="240" w:lineRule="auto"/>
              <w:rPr>
                <w:sz w:val="22"/>
                <w:szCs w:val="22"/>
              </w:rPr>
            </w:pPr>
            <w:r>
              <w:rPr>
                <w:sz w:val="22"/>
                <w:szCs w:val="22"/>
              </w:rPr>
              <w:t>A</w:t>
            </w:r>
            <w:r w:rsidRPr="00D876A9">
              <w:rPr>
                <w:sz w:val="22"/>
                <w:szCs w:val="22"/>
              </w:rPr>
              <w:t>ppointe</w:t>
            </w:r>
            <w:r>
              <w:rPr>
                <w:sz w:val="22"/>
                <w:szCs w:val="22"/>
              </w:rPr>
              <w:t>e of</w:t>
            </w:r>
            <w:r w:rsidRPr="00D876A9">
              <w:rPr>
                <w:sz w:val="22"/>
                <w:szCs w:val="22"/>
              </w:rPr>
              <w:t xml:space="preserve"> the Massachusetts Sheriffs’ Association</w:t>
            </w:r>
          </w:p>
        </w:tc>
      </w:tr>
      <w:tr w:rsidR="00F25EC9" w:rsidRPr="00B64072" w14:paraId="2F854D15" w14:textId="77777777" w:rsidTr="00F27319">
        <w:tc>
          <w:tcPr>
            <w:tcW w:w="2335" w:type="dxa"/>
          </w:tcPr>
          <w:p w14:paraId="459D7776" w14:textId="2BF28622" w:rsidR="00F25EC9" w:rsidRPr="00B64072" w:rsidRDefault="00F25EC9" w:rsidP="00F25EC9">
            <w:pPr>
              <w:spacing w:after="120" w:line="240" w:lineRule="auto"/>
              <w:rPr>
                <w:sz w:val="22"/>
                <w:szCs w:val="22"/>
              </w:rPr>
            </w:pPr>
            <w:r>
              <w:rPr>
                <w:sz w:val="22"/>
                <w:szCs w:val="22"/>
              </w:rPr>
              <w:t>Samantha Canica</w:t>
            </w:r>
          </w:p>
        </w:tc>
        <w:tc>
          <w:tcPr>
            <w:tcW w:w="7385" w:type="dxa"/>
          </w:tcPr>
          <w:p w14:paraId="44FCC102" w14:textId="12108BF7" w:rsidR="00F25EC9" w:rsidRDefault="00F25EC9" w:rsidP="00F25EC9">
            <w:pPr>
              <w:spacing w:after="120" w:line="240" w:lineRule="auto"/>
              <w:rPr>
                <w:sz w:val="22"/>
                <w:szCs w:val="22"/>
              </w:rPr>
            </w:pPr>
            <w:r>
              <w:rPr>
                <w:sz w:val="22"/>
                <w:szCs w:val="22"/>
              </w:rPr>
              <w:t>Appointee of the C</w:t>
            </w:r>
            <w:r w:rsidRPr="00D876A9">
              <w:rPr>
                <w:sz w:val="22"/>
                <w:szCs w:val="22"/>
              </w:rPr>
              <w:t xml:space="preserve">hief </w:t>
            </w:r>
            <w:r>
              <w:rPr>
                <w:sz w:val="22"/>
                <w:szCs w:val="22"/>
              </w:rPr>
              <w:t>J</w:t>
            </w:r>
            <w:r w:rsidRPr="00D876A9">
              <w:rPr>
                <w:sz w:val="22"/>
                <w:szCs w:val="22"/>
              </w:rPr>
              <w:t xml:space="preserve">ustice </w:t>
            </w:r>
            <w:r>
              <w:rPr>
                <w:sz w:val="22"/>
                <w:szCs w:val="22"/>
              </w:rPr>
              <w:t>of the Trial Court representing th</w:t>
            </w:r>
            <w:r w:rsidRPr="00D876A9">
              <w:rPr>
                <w:sz w:val="22"/>
                <w:szCs w:val="22"/>
              </w:rPr>
              <w:t xml:space="preserve">e </w:t>
            </w:r>
            <w:r>
              <w:rPr>
                <w:sz w:val="22"/>
                <w:szCs w:val="22"/>
              </w:rPr>
              <w:t>D</w:t>
            </w:r>
            <w:r w:rsidRPr="00D876A9">
              <w:rPr>
                <w:sz w:val="22"/>
                <w:szCs w:val="22"/>
              </w:rPr>
              <w:t xml:space="preserve">ivision of the </w:t>
            </w:r>
            <w:r>
              <w:rPr>
                <w:sz w:val="22"/>
                <w:szCs w:val="22"/>
              </w:rPr>
              <w:t>P</w:t>
            </w:r>
            <w:r w:rsidRPr="00D876A9">
              <w:rPr>
                <w:sz w:val="22"/>
                <w:szCs w:val="22"/>
              </w:rPr>
              <w:t xml:space="preserve">robate and </w:t>
            </w:r>
            <w:r>
              <w:rPr>
                <w:sz w:val="22"/>
                <w:szCs w:val="22"/>
              </w:rPr>
              <w:t>F</w:t>
            </w:r>
            <w:r w:rsidRPr="00D876A9">
              <w:rPr>
                <w:sz w:val="22"/>
                <w:szCs w:val="22"/>
              </w:rPr>
              <w:t xml:space="preserve">amily </w:t>
            </w:r>
            <w:r>
              <w:rPr>
                <w:sz w:val="22"/>
                <w:szCs w:val="22"/>
              </w:rPr>
              <w:t>C</w:t>
            </w:r>
            <w:r w:rsidRPr="00D876A9">
              <w:rPr>
                <w:sz w:val="22"/>
                <w:szCs w:val="22"/>
              </w:rPr>
              <w:t xml:space="preserve">ourt </w:t>
            </w:r>
            <w:r w:rsidRPr="00B64072">
              <w:rPr>
                <w:sz w:val="22"/>
                <w:szCs w:val="22"/>
              </w:rPr>
              <w:t>Department</w:t>
            </w:r>
          </w:p>
        </w:tc>
      </w:tr>
      <w:tr w:rsidR="00476C50" w:rsidRPr="00B64072" w14:paraId="0C3108D7" w14:textId="77777777" w:rsidTr="00F27319">
        <w:tc>
          <w:tcPr>
            <w:tcW w:w="2335" w:type="dxa"/>
            <w:hideMark/>
          </w:tcPr>
          <w:p w14:paraId="474DD50F" w14:textId="77777777" w:rsidR="00F25EC9" w:rsidRPr="00B64072" w:rsidRDefault="00F25EC9" w:rsidP="00F25EC9">
            <w:pPr>
              <w:spacing w:after="120" w:line="240" w:lineRule="auto"/>
              <w:rPr>
                <w:sz w:val="22"/>
                <w:szCs w:val="22"/>
              </w:rPr>
            </w:pPr>
            <w:r w:rsidRPr="00B64072">
              <w:rPr>
                <w:sz w:val="22"/>
                <w:szCs w:val="22"/>
              </w:rPr>
              <w:t>Leslie Darcy</w:t>
            </w:r>
          </w:p>
        </w:tc>
        <w:tc>
          <w:tcPr>
            <w:tcW w:w="7385" w:type="dxa"/>
            <w:hideMark/>
          </w:tcPr>
          <w:p w14:paraId="0FF3848F" w14:textId="32A729F6" w:rsidR="00F25EC9" w:rsidRPr="00B64072" w:rsidRDefault="00F25EC9" w:rsidP="00F25EC9">
            <w:pPr>
              <w:spacing w:after="120" w:line="240" w:lineRule="auto"/>
              <w:rPr>
                <w:sz w:val="22"/>
                <w:szCs w:val="22"/>
              </w:rPr>
            </w:pPr>
            <w:r>
              <w:rPr>
                <w:sz w:val="22"/>
                <w:szCs w:val="22"/>
              </w:rPr>
              <w:t xml:space="preserve">Designee of </w:t>
            </w:r>
            <w:r w:rsidRPr="00D876A9">
              <w:rPr>
                <w:sz w:val="22"/>
                <w:szCs w:val="22"/>
              </w:rPr>
              <w:t xml:space="preserve">the </w:t>
            </w:r>
            <w:r>
              <w:rPr>
                <w:sz w:val="22"/>
                <w:szCs w:val="22"/>
              </w:rPr>
              <w:t>A</w:t>
            </w:r>
            <w:r w:rsidRPr="00D876A9">
              <w:rPr>
                <w:sz w:val="22"/>
                <w:szCs w:val="22"/>
              </w:rPr>
              <w:t xml:space="preserve">ssistant </w:t>
            </w:r>
            <w:r>
              <w:rPr>
                <w:sz w:val="22"/>
                <w:szCs w:val="22"/>
              </w:rPr>
              <w:t>S</w:t>
            </w:r>
            <w:r w:rsidRPr="00D876A9">
              <w:rPr>
                <w:sz w:val="22"/>
                <w:szCs w:val="22"/>
              </w:rPr>
              <w:t>ecretary for MassHealth</w:t>
            </w:r>
          </w:p>
        </w:tc>
      </w:tr>
      <w:tr w:rsidR="00476C50" w:rsidRPr="00B64072" w14:paraId="06A22CAB" w14:textId="77777777" w:rsidTr="00F27319">
        <w:tc>
          <w:tcPr>
            <w:tcW w:w="2335" w:type="dxa"/>
            <w:hideMark/>
          </w:tcPr>
          <w:p w14:paraId="502CDDFF" w14:textId="77777777" w:rsidR="00F25EC9" w:rsidRPr="00B64072" w:rsidRDefault="00F25EC9" w:rsidP="00F25EC9">
            <w:pPr>
              <w:spacing w:after="120" w:line="240" w:lineRule="auto"/>
              <w:rPr>
                <w:sz w:val="22"/>
                <w:szCs w:val="22"/>
              </w:rPr>
            </w:pPr>
            <w:r w:rsidRPr="00B64072">
              <w:rPr>
                <w:sz w:val="22"/>
                <w:szCs w:val="22"/>
              </w:rPr>
              <w:t>Adam Delmolino</w:t>
            </w:r>
          </w:p>
        </w:tc>
        <w:tc>
          <w:tcPr>
            <w:tcW w:w="7385" w:type="dxa"/>
            <w:hideMark/>
          </w:tcPr>
          <w:p w14:paraId="644D5AD3" w14:textId="2DBFBF2E" w:rsidR="00F25EC9" w:rsidRPr="00B64072" w:rsidRDefault="00F93E53" w:rsidP="00F25EC9">
            <w:pPr>
              <w:spacing w:after="120" w:line="240" w:lineRule="auto"/>
              <w:rPr>
                <w:sz w:val="22"/>
                <w:szCs w:val="22"/>
              </w:rPr>
            </w:pPr>
            <w:r>
              <w:rPr>
                <w:sz w:val="22"/>
                <w:szCs w:val="22"/>
              </w:rPr>
              <w:t>A</w:t>
            </w:r>
            <w:r w:rsidRPr="00D876A9">
              <w:rPr>
                <w:sz w:val="22"/>
                <w:szCs w:val="22"/>
              </w:rPr>
              <w:t>ppointe</w:t>
            </w:r>
            <w:r>
              <w:rPr>
                <w:sz w:val="22"/>
                <w:szCs w:val="22"/>
              </w:rPr>
              <w:t>e</w:t>
            </w:r>
            <w:r w:rsidRPr="00D876A9">
              <w:rPr>
                <w:sz w:val="22"/>
                <w:szCs w:val="22"/>
              </w:rPr>
              <w:t xml:space="preserve"> </w:t>
            </w:r>
            <w:r>
              <w:rPr>
                <w:sz w:val="22"/>
                <w:szCs w:val="22"/>
              </w:rPr>
              <w:t>of</w:t>
            </w:r>
            <w:r w:rsidRPr="00D876A9">
              <w:rPr>
                <w:sz w:val="22"/>
                <w:szCs w:val="22"/>
              </w:rPr>
              <w:t xml:space="preserve"> the </w:t>
            </w:r>
            <w:r>
              <w:rPr>
                <w:sz w:val="22"/>
                <w:szCs w:val="22"/>
              </w:rPr>
              <w:t>C</w:t>
            </w:r>
            <w:r w:rsidRPr="00D876A9">
              <w:rPr>
                <w:sz w:val="22"/>
                <w:szCs w:val="22"/>
              </w:rPr>
              <w:t>hair, representi</w:t>
            </w:r>
            <w:r>
              <w:rPr>
                <w:sz w:val="22"/>
                <w:szCs w:val="22"/>
              </w:rPr>
              <w:t xml:space="preserve">ng </w:t>
            </w:r>
            <w:r w:rsidRPr="00D876A9">
              <w:rPr>
                <w:sz w:val="22"/>
                <w:szCs w:val="22"/>
              </w:rPr>
              <w:t xml:space="preserve">the Massachusetts </w:t>
            </w:r>
            <w:r w:rsidR="00F25EC9" w:rsidRPr="00B64072">
              <w:rPr>
                <w:sz w:val="22"/>
                <w:szCs w:val="22"/>
              </w:rPr>
              <w:t>Health &amp; Hospital Association (MHA)</w:t>
            </w:r>
          </w:p>
        </w:tc>
      </w:tr>
      <w:tr w:rsidR="00476C50" w:rsidRPr="00B64072" w14:paraId="760995F0" w14:textId="77777777" w:rsidTr="00F27319">
        <w:tc>
          <w:tcPr>
            <w:tcW w:w="2335" w:type="dxa"/>
            <w:hideMark/>
          </w:tcPr>
          <w:p w14:paraId="169851B3" w14:textId="77777777" w:rsidR="00F25EC9" w:rsidRPr="00B64072" w:rsidRDefault="00F25EC9" w:rsidP="00F25EC9">
            <w:pPr>
              <w:spacing w:after="120" w:line="240" w:lineRule="auto"/>
              <w:rPr>
                <w:sz w:val="22"/>
                <w:szCs w:val="22"/>
              </w:rPr>
            </w:pPr>
            <w:r w:rsidRPr="00B64072">
              <w:rPr>
                <w:sz w:val="22"/>
                <w:szCs w:val="22"/>
              </w:rPr>
              <w:t>Shauna Dube</w:t>
            </w:r>
          </w:p>
        </w:tc>
        <w:tc>
          <w:tcPr>
            <w:tcW w:w="7385" w:type="dxa"/>
            <w:hideMark/>
          </w:tcPr>
          <w:p w14:paraId="6C82EEA1" w14:textId="2EED02E8" w:rsidR="00F25EC9" w:rsidRPr="00B64072" w:rsidRDefault="00B875A8" w:rsidP="00F25EC9">
            <w:pPr>
              <w:spacing w:after="120" w:line="240" w:lineRule="auto"/>
              <w:rPr>
                <w:sz w:val="22"/>
                <w:szCs w:val="22"/>
              </w:rPr>
            </w:pPr>
            <w:r>
              <w:rPr>
                <w:sz w:val="22"/>
                <w:szCs w:val="22"/>
              </w:rPr>
              <w:t xml:space="preserve">Appointee of the Chair, </w:t>
            </w:r>
            <w:r w:rsidRPr="00D876A9">
              <w:rPr>
                <w:sz w:val="22"/>
                <w:szCs w:val="22"/>
              </w:rPr>
              <w:t>represent</w:t>
            </w:r>
            <w:r>
              <w:rPr>
                <w:sz w:val="22"/>
                <w:szCs w:val="22"/>
              </w:rPr>
              <w:t xml:space="preserve">ing </w:t>
            </w:r>
            <w:r w:rsidRPr="00D876A9">
              <w:rPr>
                <w:sz w:val="22"/>
                <w:szCs w:val="22"/>
              </w:rPr>
              <w:t xml:space="preserve">an academic medical center located in Worcester </w:t>
            </w:r>
            <w:r>
              <w:rPr>
                <w:sz w:val="22"/>
                <w:szCs w:val="22"/>
              </w:rPr>
              <w:t>C</w:t>
            </w:r>
            <w:r w:rsidRPr="00D876A9">
              <w:rPr>
                <w:sz w:val="22"/>
                <w:szCs w:val="22"/>
              </w:rPr>
              <w:t>ounty</w:t>
            </w:r>
            <w:r w:rsidR="005574CC">
              <w:rPr>
                <w:sz w:val="22"/>
                <w:szCs w:val="22"/>
              </w:rPr>
              <w:t xml:space="preserve"> (UMass </w:t>
            </w:r>
            <w:r w:rsidR="0054305D">
              <w:rPr>
                <w:sz w:val="22"/>
                <w:szCs w:val="22"/>
              </w:rPr>
              <w:t xml:space="preserve">Memorial </w:t>
            </w:r>
            <w:r w:rsidR="005574CC">
              <w:rPr>
                <w:sz w:val="22"/>
                <w:szCs w:val="22"/>
              </w:rPr>
              <w:t>Medical Center)</w:t>
            </w:r>
          </w:p>
        </w:tc>
      </w:tr>
      <w:tr w:rsidR="00476C50" w:rsidRPr="00B64072" w14:paraId="6F489CCA" w14:textId="77777777" w:rsidTr="00F27319">
        <w:tc>
          <w:tcPr>
            <w:tcW w:w="2335" w:type="dxa"/>
            <w:hideMark/>
          </w:tcPr>
          <w:p w14:paraId="68CA1757" w14:textId="77777777" w:rsidR="00F25EC9" w:rsidRPr="00B64072" w:rsidRDefault="00F25EC9" w:rsidP="00F25EC9">
            <w:pPr>
              <w:spacing w:after="120" w:line="240" w:lineRule="auto"/>
              <w:rPr>
                <w:sz w:val="22"/>
                <w:szCs w:val="22"/>
              </w:rPr>
            </w:pPr>
            <w:r w:rsidRPr="00B64072">
              <w:rPr>
                <w:sz w:val="22"/>
                <w:szCs w:val="22"/>
              </w:rPr>
              <w:t>Jeff Fisher</w:t>
            </w:r>
          </w:p>
        </w:tc>
        <w:tc>
          <w:tcPr>
            <w:tcW w:w="7385" w:type="dxa"/>
            <w:hideMark/>
          </w:tcPr>
          <w:p w14:paraId="2BEE47E3" w14:textId="273AFE44" w:rsidR="00F25EC9" w:rsidRPr="00B64072" w:rsidRDefault="00F25EC9" w:rsidP="00F25EC9">
            <w:pPr>
              <w:spacing w:after="120" w:line="240" w:lineRule="auto"/>
              <w:rPr>
                <w:sz w:val="22"/>
                <w:szCs w:val="22"/>
              </w:rPr>
            </w:pPr>
            <w:r w:rsidRPr="00B64072">
              <w:rPr>
                <w:sz w:val="22"/>
                <w:szCs w:val="22"/>
              </w:rPr>
              <w:t>De</w:t>
            </w:r>
            <w:r>
              <w:rPr>
                <w:sz w:val="22"/>
                <w:szCs w:val="22"/>
              </w:rPr>
              <w:t>signee of the Commissioner of the De</w:t>
            </w:r>
            <w:r w:rsidRPr="00B64072">
              <w:rPr>
                <w:sz w:val="22"/>
                <w:szCs w:val="22"/>
              </w:rPr>
              <w:t>partment of Correction (DOC)</w:t>
            </w:r>
          </w:p>
        </w:tc>
      </w:tr>
      <w:tr w:rsidR="00476C50" w:rsidRPr="00B64072" w14:paraId="53620822" w14:textId="77777777" w:rsidTr="00F27319">
        <w:tc>
          <w:tcPr>
            <w:tcW w:w="2335" w:type="dxa"/>
            <w:hideMark/>
          </w:tcPr>
          <w:p w14:paraId="4FB3DC9B" w14:textId="77777777" w:rsidR="00F25EC9" w:rsidRPr="00B64072" w:rsidRDefault="00F25EC9" w:rsidP="00F25EC9">
            <w:pPr>
              <w:spacing w:after="120" w:line="240" w:lineRule="auto"/>
              <w:rPr>
                <w:sz w:val="22"/>
                <w:szCs w:val="22"/>
              </w:rPr>
            </w:pPr>
            <w:r w:rsidRPr="00B64072">
              <w:rPr>
                <w:sz w:val="22"/>
                <w:szCs w:val="22"/>
              </w:rPr>
              <w:t>Valerie Frias</w:t>
            </w:r>
          </w:p>
        </w:tc>
        <w:tc>
          <w:tcPr>
            <w:tcW w:w="7385" w:type="dxa"/>
            <w:hideMark/>
          </w:tcPr>
          <w:p w14:paraId="4222FD73" w14:textId="6EEC2567" w:rsidR="00F25EC9" w:rsidRPr="00B64072" w:rsidRDefault="00F25EC9" w:rsidP="00F25EC9">
            <w:pPr>
              <w:spacing w:after="120" w:line="240" w:lineRule="auto"/>
              <w:rPr>
                <w:sz w:val="22"/>
                <w:szCs w:val="22"/>
              </w:rPr>
            </w:pPr>
            <w:r>
              <w:rPr>
                <w:sz w:val="22"/>
                <w:szCs w:val="22"/>
              </w:rPr>
              <w:t>Designee of the Attorney General</w:t>
            </w:r>
          </w:p>
        </w:tc>
      </w:tr>
      <w:tr w:rsidR="00476C50" w:rsidRPr="00B64072" w14:paraId="6D186E6F" w14:textId="77777777" w:rsidTr="00F27319">
        <w:tc>
          <w:tcPr>
            <w:tcW w:w="2335" w:type="dxa"/>
            <w:hideMark/>
          </w:tcPr>
          <w:p w14:paraId="72DED4A5" w14:textId="77777777" w:rsidR="00F25EC9" w:rsidRPr="00B64072" w:rsidRDefault="00F25EC9" w:rsidP="00F25EC9">
            <w:pPr>
              <w:spacing w:after="120" w:line="240" w:lineRule="auto"/>
              <w:rPr>
                <w:sz w:val="22"/>
                <w:szCs w:val="22"/>
              </w:rPr>
            </w:pPr>
            <w:r w:rsidRPr="00B64072">
              <w:rPr>
                <w:sz w:val="22"/>
                <w:szCs w:val="22"/>
              </w:rPr>
              <w:t>Tara Gregorio</w:t>
            </w:r>
          </w:p>
        </w:tc>
        <w:tc>
          <w:tcPr>
            <w:tcW w:w="7385" w:type="dxa"/>
            <w:hideMark/>
          </w:tcPr>
          <w:p w14:paraId="6990A50A" w14:textId="615A4414" w:rsidR="00F25EC9" w:rsidRPr="00B64072" w:rsidRDefault="00F93E53" w:rsidP="00F25EC9">
            <w:pPr>
              <w:spacing w:after="120" w:line="240" w:lineRule="auto"/>
              <w:rPr>
                <w:sz w:val="22"/>
                <w:szCs w:val="22"/>
              </w:rPr>
            </w:pPr>
            <w:r>
              <w:rPr>
                <w:sz w:val="22"/>
                <w:szCs w:val="22"/>
              </w:rPr>
              <w:t>A</w:t>
            </w:r>
            <w:r w:rsidRPr="00D876A9">
              <w:rPr>
                <w:sz w:val="22"/>
                <w:szCs w:val="22"/>
              </w:rPr>
              <w:t>ppointe</w:t>
            </w:r>
            <w:r>
              <w:rPr>
                <w:sz w:val="22"/>
                <w:szCs w:val="22"/>
              </w:rPr>
              <w:t>e</w:t>
            </w:r>
            <w:r w:rsidRPr="00D876A9">
              <w:rPr>
                <w:sz w:val="22"/>
                <w:szCs w:val="22"/>
              </w:rPr>
              <w:t xml:space="preserve"> </w:t>
            </w:r>
            <w:r>
              <w:rPr>
                <w:sz w:val="22"/>
                <w:szCs w:val="22"/>
              </w:rPr>
              <w:t>of</w:t>
            </w:r>
            <w:r w:rsidRPr="00D876A9">
              <w:rPr>
                <w:sz w:val="22"/>
                <w:szCs w:val="22"/>
              </w:rPr>
              <w:t xml:space="preserve"> the </w:t>
            </w:r>
            <w:r>
              <w:rPr>
                <w:sz w:val="22"/>
                <w:szCs w:val="22"/>
              </w:rPr>
              <w:t>C</w:t>
            </w:r>
            <w:r w:rsidRPr="00D876A9">
              <w:rPr>
                <w:sz w:val="22"/>
                <w:szCs w:val="22"/>
              </w:rPr>
              <w:t>hair, representi</w:t>
            </w:r>
            <w:r>
              <w:rPr>
                <w:sz w:val="22"/>
                <w:szCs w:val="22"/>
              </w:rPr>
              <w:t xml:space="preserve">ng </w:t>
            </w:r>
            <w:r w:rsidRPr="00D876A9">
              <w:rPr>
                <w:sz w:val="22"/>
                <w:szCs w:val="22"/>
              </w:rPr>
              <w:t>th</w:t>
            </w:r>
            <w:r w:rsidR="007D09DE">
              <w:rPr>
                <w:sz w:val="22"/>
                <w:szCs w:val="22"/>
              </w:rPr>
              <w:t xml:space="preserve">e </w:t>
            </w:r>
            <w:r w:rsidR="00F25EC9" w:rsidRPr="00B64072">
              <w:rPr>
                <w:sz w:val="22"/>
                <w:szCs w:val="22"/>
              </w:rPr>
              <w:t>Massachusetts Senior Care Association (MSCA)</w:t>
            </w:r>
          </w:p>
        </w:tc>
      </w:tr>
      <w:tr w:rsidR="00476C50" w:rsidRPr="00B64072" w14:paraId="2EAC5909" w14:textId="77777777" w:rsidTr="00F27319">
        <w:tc>
          <w:tcPr>
            <w:tcW w:w="2335" w:type="dxa"/>
            <w:hideMark/>
          </w:tcPr>
          <w:p w14:paraId="5D51978D" w14:textId="77777777" w:rsidR="00F25EC9" w:rsidRPr="00B64072" w:rsidRDefault="00F25EC9" w:rsidP="00F25EC9">
            <w:pPr>
              <w:spacing w:after="120" w:line="240" w:lineRule="auto"/>
              <w:rPr>
                <w:sz w:val="22"/>
                <w:szCs w:val="22"/>
              </w:rPr>
            </w:pPr>
            <w:r w:rsidRPr="00B64072">
              <w:rPr>
                <w:sz w:val="22"/>
                <w:szCs w:val="22"/>
              </w:rPr>
              <w:t>Jake Krilovich</w:t>
            </w:r>
          </w:p>
        </w:tc>
        <w:tc>
          <w:tcPr>
            <w:tcW w:w="7385" w:type="dxa"/>
            <w:hideMark/>
          </w:tcPr>
          <w:p w14:paraId="1E2FE68C" w14:textId="07756E5D" w:rsidR="00F25EC9" w:rsidRPr="00B64072" w:rsidRDefault="00AA2AD8" w:rsidP="00F25EC9">
            <w:pPr>
              <w:spacing w:after="120" w:line="240" w:lineRule="auto"/>
              <w:rPr>
                <w:sz w:val="22"/>
                <w:szCs w:val="22"/>
              </w:rPr>
            </w:pPr>
            <w:r>
              <w:rPr>
                <w:sz w:val="22"/>
                <w:szCs w:val="22"/>
              </w:rPr>
              <w:t>A</w:t>
            </w:r>
            <w:r w:rsidRPr="00D876A9">
              <w:rPr>
                <w:sz w:val="22"/>
                <w:szCs w:val="22"/>
              </w:rPr>
              <w:t>ppointe</w:t>
            </w:r>
            <w:r>
              <w:rPr>
                <w:sz w:val="22"/>
                <w:szCs w:val="22"/>
              </w:rPr>
              <w:t>e</w:t>
            </w:r>
            <w:r w:rsidRPr="00D876A9">
              <w:rPr>
                <w:sz w:val="22"/>
                <w:szCs w:val="22"/>
              </w:rPr>
              <w:t xml:space="preserve"> </w:t>
            </w:r>
            <w:r>
              <w:rPr>
                <w:sz w:val="22"/>
                <w:szCs w:val="22"/>
              </w:rPr>
              <w:t>of</w:t>
            </w:r>
            <w:r w:rsidRPr="00D876A9">
              <w:rPr>
                <w:sz w:val="22"/>
                <w:szCs w:val="22"/>
              </w:rPr>
              <w:t xml:space="preserve"> the </w:t>
            </w:r>
            <w:r>
              <w:rPr>
                <w:sz w:val="22"/>
                <w:szCs w:val="22"/>
              </w:rPr>
              <w:t>C</w:t>
            </w:r>
            <w:r w:rsidRPr="00D876A9">
              <w:rPr>
                <w:sz w:val="22"/>
                <w:szCs w:val="22"/>
              </w:rPr>
              <w:t>hair, representi</w:t>
            </w:r>
            <w:r>
              <w:rPr>
                <w:sz w:val="22"/>
                <w:szCs w:val="22"/>
              </w:rPr>
              <w:t xml:space="preserve">ng </w:t>
            </w:r>
            <w:r w:rsidRPr="00D876A9">
              <w:rPr>
                <w:sz w:val="22"/>
                <w:szCs w:val="22"/>
              </w:rPr>
              <w:t>the</w:t>
            </w:r>
            <w:r w:rsidRPr="00B64072">
              <w:rPr>
                <w:sz w:val="22"/>
                <w:szCs w:val="22"/>
              </w:rPr>
              <w:t xml:space="preserve"> </w:t>
            </w:r>
            <w:r w:rsidR="00F25EC9" w:rsidRPr="00B64072">
              <w:rPr>
                <w:sz w:val="22"/>
                <w:szCs w:val="22"/>
              </w:rPr>
              <w:t>Home Care Alliance of Massachusetts</w:t>
            </w:r>
          </w:p>
        </w:tc>
      </w:tr>
      <w:tr w:rsidR="00476C50" w:rsidRPr="00B64072" w14:paraId="00BB96F2" w14:textId="77777777" w:rsidTr="00F27319">
        <w:tc>
          <w:tcPr>
            <w:tcW w:w="2335" w:type="dxa"/>
            <w:hideMark/>
          </w:tcPr>
          <w:p w14:paraId="24E06F62" w14:textId="77777777" w:rsidR="00F25EC9" w:rsidRPr="00B64072" w:rsidRDefault="00F25EC9" w:rsidP="00F25EC9">
            <w:pPr>
              <w:spacing w:after="120" w:line="240" w:lineRule="auto"/>
              <w:rPr>
                <w:sz w:val="22"/>
                <w:szCs w:val="22"/>
              </w:rPr>
            </w:pPr>
            <w:r w:rsidRPr="00B64072">
              <w:rPr>
                <w:sz w:val="22"/>
                <w:szCs w:val="22"/>
              </w:rPr>
              <w:t>Liz Leahy</w:t>
            </w:r>
          </w:p>
        </w:tc>
        <w:tc>
          <w:tcPr>
            <w:tcW w:w="7385" w:type="dxa"/>
            <w:hideMark/>
          </w:tcPr>
          <w:p w14:paraId="511DD685" w14:textId="1A9950BA" w:rsidR="00F25EC9" w:rsidRPr="00B64072" w:rsidRDefault="009E5648" w:rsidP="00F25EC9">
            <w:pPr>
              <w:spacing w:after="120" w:line="240" w:lineRule="auto"/>
              <w:rPr>
                <w:sz w:val="22"/>
                <w:szCs w:val="22"/>
              </w:rPr>
            </w:pPr>
            <w:r>
              <w:rPr>
                <w:sz w:val="22"/>
                <w:szCs w:val="22"/>
              </w:rPr>
              <w:t xml:space="preserve">Appointee of the Chair, representing the </w:t>
            </w:r>
            <w:r w:rsidR="00F25EC9" w:rsidRPr="00B64072">
              <w:rPr>
                <w:sz w:val="22"/>
                <w:szCs w:val="22"/>
              </w:rPr>
              <w:t>Mass</w:t>
            </w:r>
            <w:r>
              <w:rPr>
                <w:sz w:val="22"/>
                <w:szCs w:val="22"/>
              </w:rPr>
              <w:t>achusetts</w:t>
            </w:r>
            <w:r w:rsidR="00F25EC9" w:rsidRPr="00B64072">
              <w:rPr>
                <w:sz w:val="22"/>
                <w:szCs w:val="22"/>
              </w:rPr>
              <w:t xml:space="preserve"> Association of Health Plans (MAHP)</w:t>
            </w:r>
          </w:p>
        </w:tc>
      </w:tr>
      <w:tr w:rsidR="00476C50" w:rsidRPr="00B64072" w14:paraId="30645344" w14:textId="77777777" w:rsidTr="00F27319">
        <w:tc>
          <w:tcPr>
            <w:tcW w:w="2335" w:type="dxa"/>
            <w:hideMark/>
          </w:tcPr>
          <w:p w14:paraId="379A613C" w14:textId="77777777" w:rsidR="00F25EC9" w:rsidRPr="00B64072" w:rsidRDefault="00F25EC9" w:rsidP="00F25EC9">
            <w:pPr>
              <w:spacing w:after="120" w:line="240" w:lineRule="auto"/>
              <w:rPr>
                <w:sz w:val="22"/>
                <w:szCs w:val="22"/>
              </w:rPr>
            </w:pPr>
            <w:r w:rsidRPr="00B64072">
              <w:rPr>
                <w:sz w:val="22"/>
                <w:szCs w:val="22"/>
              </w:rPr>
              <w:t>Tracy Lee</w:t>
            </w:r>
          </w:p>
        </w:tc>
        <w:tc>
          <w:tcPr>
            <w:tcW w:w="7385" w:type="dxa"/>
            <w:hideMark/>
          </w:tcPr>
          <w:p w14:paraId="389111CA" w14:textId="76DC7AC7" w:rsidR="00F25EC9" w:rsidRPr="00B64072" w:rsidRDefault="000C6D4E" w:rsidP="000C6D4E">
            <w:pPr>
              <w:spacing w:after="120" w:line="240" w:lineRule="auto"/>
              <w:rPr>
                <w:sz w:val="22"/>
                <w:szCs w:val="22"/>
              </w:rPr>
            </w:pPr>
            <w:r>
              <w:rPr>
                <w:sz w:val="22"/>
                <w:szCs w:val="22"/>
              </w:rPr>
              <w:t xml:space="preserve">Appointee of the Chair, representing </w:t>
            </w:r>
            <w:r w:rsidRPr="00D876A9">
              <w:rPr>
                <w:sz w:val="22"/>
                <w:szCs w:val="22"/>
              </w:rPr>
              <w:t xml:space="preserve">an acute care hospital located in Suffolk </w:t>
            </w:r>
            <w:r>
              <w:rPr>
                <w:sz w:val="22"/>
                <w:szCs w:val="22"/>
              </w:rPr>
              <w:t>C</w:t>
            </w:r>
            <w:r w:rsidRPr="00D876A9">
              <w:rPr>
                <w:sz w:val="22"/>
                <w:szCs w:val="22"/>
              </w:rPr>
              <w:t>ounty</w:t>
            </w:r>
            <w:r>
              <w:rPr>
                <w:sz w:val="22"/>
                <w:szCs w:val="22"/>
              </w:rPr>
              <w:t xml:space="preserve"> (</w:t>
            </w:r>
            <w:r w:rsidR="00F25EC9" w:rsidRPr="00B64072">
              <w:rPr>
                <w:sz w:val="22"/>
                <w:szCs w:val="22"/>
              </w:rPr>
              <w:t>Beth Israel Deaconess Medical Center</w:t>
            </w:r>
            <w:r>
              <w:rPr>
                <w:sz w:val="22"/>
                <w:szCs w:val="22"/>
              </w:rPr>
              <w:t>)</w:t>
            </w:r>
          </w:p>
        </w:tc>
      </w:tr>
      <w:tr w:rsidR="00476C50" w:rsidRPr="00B64072" w14:paraId="58AFB3C6" w14:textId="77777777" w:rsidTr="00F27319">
        <w:tc>
          <w:tcPr>
            <w:tcW w:w="2335" w:type="dxa"/>
            <w:hideMark/>
          </w:tcPr>
          <w:p w14:paraId="13DB2C3A" w14:textId="77777777" w:rsidR="00F25EC9" w:rsidRPr="00B64072" w:rsidRDefault="00F25EC9" w:rsidP="00F25EC9">
            <w:pPr>
              <w:spacing w:after="120" w:line="240" w:lineRule="auto"/>
              <w:rPr>
                <w:sz w:val="22"/>
                <w:szCs w:val="22"/>
              </w:rPr>
            </w:pPr>
            <w:r w:rsidRPr="00B64072">
              <w:rPr>
                <w:sz w:val="22"/>
                <w:szCs w:val="22"/>
              </w:rPr>
              <w:t>Mary McClintock</w:t>
            </w:r>
          </w:p>
        </w:tc>
        <w:tc>
          <w:tcPr>
            <w:tcW w:w="7385" w:type="dxa"/>
            <w:hideMark/>
          </w:tcPr>
          <w:p w14:paraId="5A3C5C59" w14:textId="1789F936" w:rsidR="00F25EC9" w:rsidRPr="00B64072" w:rsidRDefault="000C6D4E" w:rsidP="000C6D4E">
            <w:pPr>
              <w:spacing w:after="120" w:line="240" w:lineRule="auto"/>
              <w:rPr>
                <w:sz w:val="22"/>
                <w:szCs w:val="22"/>
              </w:rPr>
            </w:pPr>
            <w:r>
              <w:rPr>
                <w:sz w:val="22"/>
                <w:szCs w:val="22"/>
              </w:rPr>
              <w:t xml:space="preserve">Appointee of the Chair, representing an </w:t>
            </w:r>
            <w:r w:rsidRPr="00D876A9">
              <w:rPr>
                <w:sz w:val="22"/>
                <w:szCs w:val="22"/>
              </w:rPr>
              <w:t xml:space="preserve">acute care hospital designated by the </w:t>
            </w:r>
            <w:r>
              <w:rPr>
                <w:sz w:val="22"/>
                <w:szCs w:val="22"/>
              </w:rPr>
              <w:t>H</w:t>
            </w:r>
            <w:r w:rsidRPr="00D876A9">
              <w:rPr>
                <w:sz w:val="22"/>
                <w:szCs w:val="22"/>
              </w:rPr>
              <w:t xml:space="preserve">ealth </w:t>
            </w:r>
            <w:r>
              <w:rPr>
                <w:sz w:val="22"/>
                <w:szCs w:val="22"/>
              </w:rPr>
              <w:t>P</w:t>
            </w:r>
            <w:r w:rsidRPr="00D876A9">
              <w:rPr>
                <w:sz w:val="22"/>
                <w:szCs w:val="22"/>
              </w:rPr>
              <w:t xml:space="preserve">olicy </w:t>
            </w:r>
            <w:r>
              <w:rPr>
                <w:sz w:val="22"/>
                <w:szCs w:val="22"/>
              </w:rPr>
              <w:t>C</w:t>
            </w:r>
            <w:r w:rsidRPr="00D876A9">
              <w:rPr>
                <w:sz w:val="22"/>
                <w:szCs w:val="22"/>
              </w:rPr>
              <w:t xml:space="preserve">ommission as an independent community hospital </w:t>
            </w:r>
            <w:r>
              <w:rPr>
                <w:sz w:val="22"/>
                <w:szCs w:val="22"/>
              </w:rPr>
              <w:t>(</w:t>
            </w:r>
            <w:r w:rsidR="00F25EC9" w:rsidRPr="00B64072">
              <w:rPr>
                <w:sz w:val="22"/>
                <w:szCs w:val="22"/>
              </w:rPr>
              <w:t>South Shore Hospital</w:t>
            </w:r>
            <w:r>
              <w:rPr>
                <w:sz w:val="22"/>
                <w:szCs w:val="22"/>
              </w:rPr>
              <w:t>)</w:t>
            </w:r>
          </w:p>
        </w:tc>
      </w:tr>
      <w:tr w:rsidR="00476C50" w:rsidRPr="00B64072" w14:paraId="29417933" w14:textId="77777777" w:rsidTr="00F27319">
        <w:tc>
          <w:tcPr>
            <w:tcW w:w="2335" w:type="dxa"/>
            <w:hideMark/>
          </w:tcPr>
          <w:p w14:paraId="12F183DB" w14:textId="77777777" w:rsidR="00F25EC9" w:rsidRPr="00B64072" w:rsidRDefault="00F25EC9" w:rsidP="00F25EC9">
            <w:pPr>
              <w:spacing w:after="120" w:line="240" w:lineRule="auto"/>
              <w:rPr>
                <w:sz w:val="22"/>
                <w:szCs w:val="22"/>
              </w:rPr>
            </w:pPr>
            <w:r w:rsidRPr="00B64072">
              <w:rPr>
                <w:sz w:val="22"/>
                <w:szCs w:val="22"/>
              </w:rPr>
              <w:t>Richard Raymond</w:t>
            </w:r>
          </w:p>
        </w:tc>
        <w:tc>
          <w:tcPr>
            <w:tcW w:w="7385" w:type="dxa"/>
            <w:hideMark/>
          </w:tcPr>
          <w:p w14:paraId="565C2D44" w14:textId="0654F6A5" w:rsidR="00F25EC9" w:rsidRPr="00B64072" w:rsidRDefault="00D81D9D" w:rsidP="00F25EC9">
            <w:pPr>
              <w:spacing w:after="120" w:line="240" w:lineRule="auto"/>
              <w:rPr>
                <w:sz w:val="22"/>
                <w:szCs w:val="22"/>
              </w:rPr>
            </w:pPr>
            <w:r>
              <w:rPr>
                <w:sz w:val="22"/>
                <w:szCs w:val="22"/>
              </w:rPr>
              <w:t xml:space="preserve">Appointee of the Chair, representing the </w:t>
            </w:r>
            <w:r w:rsidRPr="00D876A9">
              <w:rPr>
                <w:sz w:val="22"/>
                <w:szCs w:val="22"/>
              </w:rPr>
              <w:t>Massachusetts Ambulance Association</w:t>
            </w:r>
          </w:p>
        </w:tc>
      </w:tr>
      <w:tr w:rsidR="00476C50" w:rsidRPr="00B64072" w14:paraId="02F04FEB" w14:textId="77777777" w:rsidTr="00F27319">
        <w:tc>
          <w:tcPr>
            <w:tcW w:w="2335" w:type="dxa"/>
            <w:hideMark/>
          </w:tcPr>
          <w:p w14:paraId="4FD357CB" w14:textId="77777777" w:rsidR="00F25EC9" w:rsidRPr="00B64072" w:rsidRDefault="00F25EC9" w:rsidP="00F25EC9">
            <w:pPr>
              <w:spacing w:after="120" w:line="240" w:lineRule="auto"/>
              <w:rPr>
                <w:sz w:val="22"/>
                <w:szCs w:val="22"/>
              </w:rPr>
            </w:pPr>
            <w:r w:rsidRPr="00B64072">
              <w:rPr>
                <w:sz w:val="22"/>
                <w:szCs w:val="22"/>
              </w:rPr>
              <w:t>Clarence Richardson</w:t>
            </w:r>
          </w:p>
        </w:tc>
        <w:tc>
          <w:tcPr>
            <w:tcW w:w="7385" w:type="dxa"/>
            <w:hideMark/>
          </w:tcPr>
          <w:p w14:paraId="79DBDE69" w14:textId="46BE9351" w:rsidR="00F25EC9" w:rsidRPr="00B64072" w:rsidRDefault="00AA2AD8" w:rsidP="00F25EC9">
            <w:pPr>
              <w:spacing w:after="120" w:line="240" w:lineRule="auto"/>
              <w:rPr>
                <w:sz w:val="22"/>
                <w:szCs w:val="22"/>
              </w:rPr>
            </w:pPr>
            <w:r>
              <w:rPr>
                <w:sz w:val="22"/>
                <w:szCs w:val="22"/>
              </w:rPr>
              <w:t>A</w:t>
            </w:r>
            <w:r w:rsidRPr="00D876A9">
              <w:rPr>
                <w:sz w:val="22"/>
                <w:szCs w:val="22"/>
              </w:rPr>
              <w:t>ppointe</w:t>
            </w:r>
            <w:r>
              <w:rPr>
                <w:sz w:val="22"/>
                <w:szCs w:val="22"/>
              </w:rPr>
              <w:t>e</w:t>
            </w:r>
            <w:r w:rsidRPr="00D876A9">
              <w:rPr>
                <w:sz w:val="22"/>
                <w:szCs w:val="22"/>
              </w:rPr>
              <w:t xml:space="preserve"> </w:t>
            </w:r>
            <w:r>
              <w:rPr>
                <w:sz w:val="22"/>
                <w:szCs w:val="22"/>
              </w:rPr>
              <w:t>of</w:t>
            </w:r>
            <w:r w:rsidRPr="00D876A9">
              <w:rPr>
                <w:sz w:val="22"/>
                <w:szCs w:val="22"/>
              </w:rPr>
              <w:t xml:space="preserve"> the </w:t>
            </w:r>
            <w:r>
              <w:rPr>
                <w:sz w:val="22"/>
                <w:szCs w:val="22"/>
              </w:rPr>
              <w:t>C</w:t>
            </w:r>
            <w:r w:rsidRPr="00D876A9">
              <w:rPr>
                <w:sz w:val="22"/>
                <w:szCs w:val="22"/>
              </w:rPr>
              <w:t>hair, representi</w:t>
            </w:r>
            <w:r>
              <w:rPr>
                <w:sz w:val="22"/>
                <w:szCs w:val="22"/>
              </w:rPr>
              <w:t xml:space="preserve">ng </w:t>
            </w:r>
            <w:r w:rsidRPr="00D876A9">
              <w:rPr>
                <w:sz w:val="22"/>
                <w:szCs w:val="22"/>
              </w:rPr>
              <w:t xml:space="preserve">the </w:t>
            </w:r>
            <w:r w:rsidR="00F25EC9" w:rsidRPr="00B64072">
              <w:rPr>
                <w:sz w:val="22"/>
                <w:szCs w:val="22"/>
              </w:rPr>
              <w:t>Mass</w:t>
            </w:r>
            <w:r w:rsidR="00D81D9D">
              <w:rPr>
                <w:sz w:val="22"/>
                <w:szCs w:val="22"/>
              </w:rPr>
              <w:t>achusetts</w:t>
            </w:r>
            <w:r w:rsidR="00F25EC9" w:rsidRPr="00B64072">
              <w:rPr>
                <w:sz w:val="22"/>
                <w:szCs w:val="22"/>
              </w:rPr>
              <w:t xml:space="preserve"> Chapter of the National Academy of Elder Law Attorneys</w:t>
            </w:r>
          </w:p>
        </w:tc>
      </w:tr>
      <w:tr w:rsidR="00476C50" w:rsidRPr="00B64072" w14:paraId="30011E5A" w14:textId="77777777" w:rsidTr="00F27319">
        <w:tc>
          <w:tcPr>
            <w:tcW w:w="2335" w:type="dxa"/>
            <w:hideMark/>
          </w:tcPr>
          <w:p w14:paraId="5836A1E4" w14:textId="77777777" w:rsidR="00F25EC9" w:rsidRPr="00B64072" w:rsidRDefault="00F25EC9" w:rsidP="00F25EC9">
            <w:pPr>
              <w:spacing w:after="120" w:line="240" w:lineRule="auto"/>
              <w:rPr>
                <w:sz w:val="22"/>
                <w:szCs w:val="22"/>
              </w:rPr>
            </w:pPr>
            <w:r w:rsidRPr="00B64072">
              <w:rPr>
                <w:sz w:val="22"/>
                <w:szCs w:val="22"/>
              </w:rPr>
              <w:t>Deborah Vona</w:t>
            </w:r>
          </w:p>
        </w:tc>
        <w:tc>
          <w:tcPr>
            <w:tcW w:w="7385" w:type="dxa"/>
            <w:hideMark/>
          </w:tcPr>
          <w:p w14:paraId="42ED9886" w14:textId="4DA1211A" w:rsidR="00F25EC9" w:rsidRPr="00B64072" w:rsidRDefault="009E5648" w:rsidP="00F25EC9">
            <w:pPr>
              <w:spacing w:after="120" w:line="240" w:lineRule="auto"/>
              <w:rPr>
                <w:sz w:val="22"/>
                <w:szCs w:val="22"/>
              </w:rPr>
            </w:pPr>
            <w:r>
              <w:rPr>
                <w:sz w:val="22"/>
                <w:szCs w:val="22"/>
              </w:rPr>
              <w:t>A</w:t>
            </w:r>
            <w:r w:rsidRPr="00D876A9">
              <w:rPr>
                <w:sz w:val="22"/>
                <w:szCs w:val="22"/>
              </w:rPr>
              <w:t>ppointe</w:t>
            </w:r>
            <w:r>
              <w:rPr>
                <w:sz w:val="22"/>
                <w:szCs w:val="22"/>
              </w:rPr>
              <w:t>e</w:t>
            </w:r>
            <w:r w:rsidRPr="00D876A9">
              <w:rPr>
                <w:sz w:val="22"/>
                <w:szCs w:val="22"/>
              </w:rPr>
              <w:t xml:space="preserve"> </w:t>
            </w:r>
            <w:r>
              <w:rPr>
                <w:sz w:val="22"/>
                <w:szCs w:val="22"/>
              </w:rPr>
              <w:t>of</w:t>
            </w:r>
            <w:r w:rsidRPr="00D876A9">
              <w:rPr>
                <w:sz w:val="22"/>
                <w:szCs w:val="22"/>
              </w:rPr>
              <w:t xml:space="preserve"> the </w:t>
            </w:r>
            <w:r>
              <w:rPr>
                <w:sz w:val="22"/>
                <w:szCs w:val="22"/>
              </w:rPr>
              <w:t>C</w:t>
            </w:r>
            <w:r w:rsidRPr="00D876A9">
              <w:rPr>
                <w:sz w:val="22"/>
                <w:szCs w:val="22"/>
              </w:rPr>
              <w:t>hair, representi</w:t>
            </w:r>
            <w:r>
              <w:rPr>
                <w:sz w:val="22"/>
                <w:szCs w:val="22"/>
              </w:rPr>
              <w:t xml:space="preserve">ng </w:t>
            </w:r>
            <w:r w:rsidR="00F25EC9" w:rsidRPr="00B64072">
              <w:rPr>
                <w:sz w:val="22"/>
                <w:szCs w:val="22"/>
              </w:rPr>
              <w:t xml:space="preserve">Blue Cross </w:t>
            </w:r>
            <w:r>
              <w:rPr>
                <w:sz w:val="22"/>
                <w:szCs w:val="22"/>
              </w:rPr>
              <w:t xml:space="preserve">and </w:t>
            </w:r>
            <w:r w:rsidR="00F25EC9" w:rsidRPr="00B64072">
              <w:rPr>
                <w:sz w:val="22"/>
                <w:szCs w:val="22"/>
              </w:rPr>
              <w:t>Blue Shield of Mass</w:t>
            </w:r>
            <w:r>
              <w:rPr>
                <w:sz w:val="22"/>
                <w:szCs w:val="22"/>
              </w:rPr>
              <w:t>achusetts</w:t>
            </w:r>
          </w:p>
        </w:tc>
      </w:tr>
    </w:tbl>
    <w:p w14:paraId="7BF02F5A" w14:textId="4DE2B0B7" w:rsidR="0029141F" w:rsidRDefault="0029141F" w:rsidP="00AA12FB">
      <w:pPr>
        <w:spacing w:after="120" w:line="240" w:lineRule="auto"/>
        <w:rPr>
          <w:sz w:val="22"/>
          <w:szCs w:val="22"/>
        </w:rPr>
      </w:pPr>
    </w:p>
    <w:p w14:paraId="0DE8493E" w14:textId="77777777" w:rsidR="009E33DB" w:rsidRDefault="009E33DB" w:rsidP="00AA12FB">
      <w:pPr>
        <w:spacing w:after="120" w:line="240" w:lineRule="auto"/>
        <w:rPr>
          <w:sz w:val="22"/>
          <w:szCs w:val="22"/>
        </w:rPr>
      </w:pPr>
    </w:p>
    <w:p w14:paraId="62C974F5" w14:textId="5C3C0640" w:rsidR="009E33DB" w:rsidRPr="00D129D3" w:rsidRDefault="009E33DB" w:rsidP="009E33DB">
      <w:pPr>
        <w:pStyle w:val="Heading2"/>
        <w:spacing w:before="0" w:after="120" w:line="240" w:lineRule="auto"/>
        <w:rPr>
          <w:rFonts w:asciiTheme="minorHAnsi" w:hAnsiTheme="minorHAnsi"/>
        </w:rPr>
      </w:pPr>
      <w:r w:rsidRPr="00D129D3">
        <w:rPr>
          <w:rFonts w:asciiTheme="minorHAnsi" w:hAnsiTheme="minorHAnsi"/>
        </w:rPr>
        <w:lastRenderedPageBreak/>
        <w:t>Appendi</w:t>
      </w:r>
      <w:r>
        <w:rPr>
          <w:rFonts w:asciiTheme="minorHAnsi" w:hAnsiTheme="minorHAnsi"/>
        </w:rPr>
        <w:t xml:space="preserve">x C – </w:t>
      </w:r>
      <w:r w:rsidR="00EF46B1">
        <w:rPr>
          <w:rFonts w:asciiTheme="minorHAnsi" w:hAnsiTheme="minorHAnsi"/>
        </w:rPr>
        <w:t xml:space="preserve">Relevant </w:t>
      </w:r>
      <w:r>
        <w:rPr>
          <w:rFonts w:asciiTheme="minorHAnsi" w:hAnsiTheme="minorHAnsi"/>
        </w:rPr>
        <w:t>State Legislation Currently Under Review</w:t>
      </w:r>
    </w:p>
    <w:p w14:paraId="6598C626" w14:textId="77777777" w:rsidR="009E33DB" w:rsidRDefault="009E33DB" w:rsidP="009E33DB">
      <w:pPr>
        <w:spacing w:after="120" w:line="240" w:lineRule="auto"/>
        <w:rPr>
          <w:sz w:val="22"/>
          <w:szCs w:val="22"/>
        </w:rPr>
      </w:pPr>
    </w:p>
    <w:p w14:paraId="498D02A1" w14:textId="256FEBAA" w:rsidR="00142DB7" w:rsidRPr="008D5DBB" w:rsidRDefault="00EC193A" w:rsidP="009E33DB">
      <w:pPr>
        <w:spacing w:after="120" w:line="240" w:lineRule="auto"/>
        <w:rPr>
          <w:b/>
          <w:sz w:val="22"/>
          <w:szCs w:val="22"/>
        </w:rPr>
      </w:pPr>
      <w:r w:rsidRPr="008D5DBB">
        <w:rPr>
          <w:b/>
          <w:bCs/>
          <w:sz w:val="22"/>
          <w:szCs w:val="22"/>
        </w:rPr>
        <w:t xml:space="preserve">State Legislation </w:t>
      </w:r>
      <w:r>
        <w:rPr>
          <w:b/>
          <w:bCs/>
          <w:sz w:val="22"/>
          <w:szCs w:val="22"/>
        </w:rPr>
        <w:t xml:space="preserve">Currently </w:t>
      </w:r>
      <w:r w:rsidRPr="008D5DBB">
        <w:rPr>
          <w:b/>
          <w:bCs/>
          <w:sz w:val="22"/>
          <w:szCs w:val="22"/>
        </w:rPr>
        <w:t xml:space="preserve">Under Review </w:t>
      </w:r>
      <w:r w:rsidR="00A93575">
        <w:rPr>
          <w:b/>
          <w:bCs/>
          <w:sz w:val="22"/>
          <w:szCs w:val="22"/>
        </w:rPr>
        <w:t>(</w:t>
      </w:r>
      <w:r w:rsidRPr="008D5DBB">
        <w:rPr>
          <w:b/>
          <w:bCs/>
          <w:sz w:val="22"/>
          <w:szCs w:val="22"/>
        </w:rPr>
        <w:t xml:space="preserve">by </w:t>
      </w:r>
      <w:r w:rsidR="00A5364B">
        <w:rPr>
          <w:b/>
          <w:bCs/>
          <w:sz w:val="22"/>
          <w:szCs w:val="22"/>
        </w:rPr>
        <w:t>Task Force Recommendation</w:t>
      </w:r>
      <w:r w:rsidR="00A93575">
        <w:rPr>
          <w:b/>
          <w:bCs/>
          <w:sz w:val="22"/>
          <w:szCs w:val="22"/>
        </w:rPr>
        <w:t>)</w:t>
      </w:r>
    </w:p>
    <w:p w14:paraId="36B2D8D3" w14:textId="77777777" w:rsidR="00EC193A" w:rsidRDefault="00EC193A" w:rsidP="009E33DB">
      <w:pPr>
        <w:spacing w:after="120" w:line="240" w:lineRule="auto"/>
        <w:rPr>
          <w:sz w:val="22"/>
          <w:szCs w:val="22"/>
        </w:rPr>
      </w:pPr>
    </w:p>
    <w:p w14:paraId="40006012" w14:textId="6F4BCCE4" w:rsidR="00A5364B" w:rsidRPr="008D5DBB" w:rsidRDefault="00361F50" w:rsidP="00A5364B">
      <w:pPr>
        <w:pStyle w:val="Default"/>
        <w:rPr>
          <w:sz w:val="22"/>
          <w:szCs w:val="22"/>
          <w:u w:val="single"/>
        </w:rPr>
      </w:pPr>
      <w:r w:rsidRPr="008D5DBB">
        <w:rPr>
          <w:b/>
          <w:sz w:val="22"/>
          <w:szCs w:val="22"/>
          <w:u w:val="single"/>
        </w:rPr>
        <w:t>1.1</w:t>
      </w:r>
      <w:r w:rsidRPr="008D5DBB">
        <w:rPr>
          <w:b/>
          <w:bCs/>
          <w:sz w:val="22"/>
          <w:szCs w:val="22"/>
          <w:u w:val="single"/>
        </w:rPr>
        <w:t xml:space="preserve"> </w:t>
      </w:r>
      <w:r>
        <w:rPr>
          <w:b/>
          <w:sz w:val="22"/>
          <w:szCs w:val="22"/>
          <w:u w:val="single"/>
        </w:rPr>
        <w:t>Advance</w:t>
      </w:r>
      <w:r w:rsidR="00A5364B" w:rsidRPr="008D5DBB">
        <w:rPr>
          <w:b/>
          <w:sz w:val="22"/>
          <w:szCs w:val="22"/>
          <w:u w:val="single"/>
        </w:rPr>
        <w:t xml:space="preserve"> “Next of Kin” or “Surrogate” Decision-Making </w:t>
      </w:r>
      <w:r w:rsidR="002E430A">
        <w:rPr>
          <w:b/>
          <w:bCs/>
          <w:sz w:val="22"/>
          <w:szCs w:val="22"/>
          <w:u w:val="single"/>
        </w:rPr>
        <w:t>L</w:t>
      </w:r>
      <w:r w:rsidR="00A5364B" w:rsidRPr="008D5DBB">
        <w:rPr>
          <w:b/>
          <w:bCs/>
          <w:sz w:val="22"/>
          <w:szCs w:val="22"/>
          <w:u w:val="single"/>
        </w:rPr>
        <w:t>egislation</w:t>
      </w:r>
      <w:r w:rsidR="00A5364B" w:rsidRPr="008D5DBB">
        <w:rPr>
          <w:b/>
          <w:sz w:val="22"/>
          <w:szCs w:val="22"/>
          <w:u w:val="single"/>
        </w:rPr>
        <w:t xml:space="preserve"> </w:t>
      </w:r>
    </w:p>
    <w:p w14:paraId="24075A0D" w14:textId="77777777" w:rsidR="00EF2B81" w:rsidRPr="00C1432C" w:rsidRDefault="00EF2B81" w:rsidP="008D5DBB">
      <w:pPr>
        <w:pStyle w:val="ListParagraph"/>
        <w:numPr>
          <w:ilvl w:val="0"/>
          <w:numId w:val="41"/>
        </w:numPr>
        <w:spacing w:after="120" w:line="240" w:lineRule="auto"/>
        <w:rPr>
          <w:sz w:val="22"/>
          <w:szCs w:val="22"/>
        </w:rPr>
      </w:pPr>
      <w:r w:rsidRPr="00C1432C">
        <w:rPr>
          <w:sz w:val="22"/>
          <w:szCs w:val="22"/>
        </w:rPr>
        <w:t>HB 1692 / HB 1874 / SB 1047</w:t>
      </w:r>
    </w:p>
    <w:p w14:paraId="6F64D6F0" w14:textId="77777777" w:rsidR="00EF2B81" w:rsidRDefault="00EF2B81" w:rsidP="009E33DB">
      <w:pPr>
        <w:spacing w:after="120" w:line="240" w:lineRule="auto"/>
        <w:rPr>
          <w:sz w:val="22"/>
          <w:szCs w:val="22"/>
        </w:rPr>
      </w:pPr>
    </w:p>
    <w:p w14:paraId="474873DA" w14:textId="25C4759A" w:rsidR="005354DC" w:rsidRPr="008D5DBB" w:rsidRDefault="00783971" w:rsidP="005354DC">
      <w:pPr>
        <w:pStyle w:val="Default"/>
        <w:rPr>
          <w:sz w:val="22"/>
          <w:szCs w:val="22"/>
          <w:u w:val="single"/>
        </w:rPr>
      </w:pPr>
      <w:r w:rsidRPr="008D5DBB">
        <w:rPr>
          <w:b/>
          <w:bCs/>
          <w:sz w:val="22"/>
          <w:szCs w:val="22"/>
          <w:u w:val="single"/>
        </w:rPr>
        <w:t xml:space="preserve">1.5 </w:t>
      </w:r>
      <w:r>
        <w:rPr>
          <w:b/>
          <w:bCs/>
          <w:sz w:val="22"/>
          <w:szCs w:val="22"/>
          <w:u w:val="single"/>
        </w:rPr>
        <w:t>Promote</w:t>
      </w:r>
      <w:r w:rsidR="005354DC" w:rsidRPr="008D5DBB">
        <w:rPr>
          <w:b/>
          <w:bCs/>
          <w:sz w:val="22"/>
          <w:szCs w:val="22"/>
          <w:u w:val="single"/>
        </w:rPr>
        <w:t xml:space="preserve"> Supported Decision-Making </w:t>
      </w:r>
    </w:p>
    <w:p w14:paraId="7468FDD5" w14:textId="7787FAF1" w:rsidR="00DD4E00" w:rsidRPr="00C1432C" w:rsidRDefault="00DD4E00" w:rsidP="008D5DBB">
      <w:pPr>
        <w:pStyle w:val="ListParagraph"/>
        <w:numPr>
          <w:ilvl w:val="0"/>
          <w:numId w:val="37"/>
        </w:numPr>
        <w:spacing w:after="120" w:line="240" w:lineRule="auto"/>
        <w:rPr>
          <w:sz w:val="22"/>
          <w:szCs w:val="22"/>
        </w:rPr>
      </w:pPr>
      <w:r w:rsidRPr="00C1432C">
        <w:rPr>
          <w:sz w:val="22"/>
          <w:szCs w:val="22"/>
        </w:rPr>
        <w:t>HB</w:t>
      </w:r>
      <w:r w:rsidR="002B578D" w:rsidRPr="00C1432C">
        <w:rPr>
          <w:sz w:val="22"/>
          <w:szCs w:val="22"/>
        </w:rPr>
        <w:t xml:space="preserve"> </w:t>
      </w:r>
      <w:r w:rsidRPr="00C1432C">
        <w:rPr>
          <w:sz w:val="22"/>
          <w:szCs w:val="22"/>
        </w:rPr>
        <w:t>261 / HB</w:t>
      </w:r>
      <w:r w:rsidR="002B578D" w:rsidRPr="00C1432C">
        <w:rPr>
          <w:sz w:val="22"/>
          <w:szCs w:val="22"/>
        </w:rPr>
        <w:t xml:space="preserve"> </w:t>
      </w:r>
      <w:r w:rsidRPr="00C1432C">
        <w:rPr>
          <w:sz w:val="22"/>
          <w:szCs w:val="22"/>
        </w:rPr>
        <w:t>264</w:t>
      </w:r>
      <w:r w:rsidR="002B578D" w:rsidRPr="00C1432C">
        <w:rPr>
          <w:sz w:val="22"/>
          <w:szCs w:val="22"/>
        </w:rPr>
        <w:t xml:space="preserve"> / SB 155</w:t>
      </w:r>
    </w:p>
    <w:p w14:paraId="7BC91B53" w14:textId="77777777" w:rsidR="00D241DB" w:rsidRDefault="00D241DB" w:rsidP="00C1432C">
      <w:pPr>
        <w:pStyle w:val="Default"/>
        <w:rPr>
          <w:sz w:val="22"/>
          <w:szCs w:val="22"/>
        </w:rPr>
      </w:pPr>
    </w:p>
    <w:p w14:paraId="192C8594" w14:textId="570A6904" w:rsidR="005354DC" w:rsidRPr="00237E4A" w:rsidRDefault="00361F50" w:rsidP="005354DC">
      <w:pPr>
        <w:pStyle w:val="Default"/>
        <w:rPr>
          <w:sz w:val="22"/>
          <w:szCs w:val="22"/>
          <w:u w:val="single"/>
        </w:rPr>
      </w:pPr>
      <w:r w:rsidRPr="00237E4A">
        <w:rPr>
          <w:b/>
          <w:bCs/>
          <w:sz w:val="22"/>
          <w:szCs w:val="22"/>
          <w:u w:val="single"/>
        </w:rPr>
        <w:t xml:space="preserve">1.6 </w:t>
      </w:r>
      <w:r>
        <w:rPr>
          <w:b/>
          <w:bCs/>
          <w:sz w:val="22"/>
          <w:szCs w:val="22"/>
          <w:u w:val="single"/>
        </w:rPr>
        <w:t>Expand</w:t>
      </w:r>
      <w:r w:rsidR="005354DC" w:rsidRPr="00237E4A">
        <w:rPr>
          <w:b/>
          <w:bCs/>
          <w:sz w:val="22"/>
          <w:szCs w:val="22"/>
          <w:u w:val="single"/>
        </w:rPr>
        <w:t xml:space="preserve"> Public Guardian Programs and Volunteer Recruitment</w:t>
      </w:r>
    </w:p>
    <w:p w14:paraId="2A07C143" w14:textId="780A5F22" w:rsidR="00590A70" w:rsidRPr="008D5DBB" w:rsidRDefault="00C01033" w:rsidP="008D5DBB">
      <w:pPr>
        <w:pStyle w:val="ListParagraph"/>
        <w:numPr>
          <w:ilvl w:val="0"/>
          <w:numId w:val="37"/>
        </w:numPr>
        <w:spacing w:after="120" w:line="240" w:lineRule="auto"/>
        <w:rPr>
          <w:sz w:val="22"/>
          <w:szCs w:val="22"/>
        </w:rPr>
      </w:pPr>
      <w:r w:rsidRPr="00C1432C">
        <w:rPr>
          <w:sz w:val="22"/>
          <w:szCs w:val="22"/>
        </w:rPr>
        <w:t>HB1412 / SB903</w:t>
      </w:r>
    </w:p>
    <w:p w14:paraId="1EB2CDDD" w14:textId="77777777" w:rsidR="00C01033" w:rsidRDefault="00C01033" w:rsidP="00590CA0">
      <w:pPr>
        <w:pStyle w:val="Default"/>
        <w:rPr>
          <w:sz w:val="22"/>
          <w:szCs w:val="22"/>
        </w:rPr>
      </w:pPr>
    </w:p>
    <w:p w14:paraId="2A99EBA0" w14:textId="4B87A960" w:rsidR="00EC05EC" w:rsidRPr="008D5DBB" w:rsidRDefault="00361F50" w:rsidP="00EC05EC">
      <w:pPr>
        <w:pStyle w:val="Default"/>
        <w:rPr>
          <w:sz w:val="22"/>
          <w:szCs w:val="22"/>
          <w:u w:val="single"/>
        </w:rPr>
      </w:pPr>
      <w:r w:rsidRPr="008D5DBB">
        <w:rPr>
          <w:b/>
          <w:bCs/>
          <w:sz w:val="22"/>
          <w:szCs w:val="22"/>
          <w:u w:val="single"/>
        </w:rPr>
        <w:t>4.3 Expand</w:t>
      </w:r>
      <w:r w:rsidR="00EC05EC" w:rsidRPr="008D5DBB">
        <w:rPr>
          <w:b/>
          <w:bCs/>
          <w:sz w:val="22"/>
          <w:szCs w:val="22"/>
          <w:u w:val="single"/>
        </w:rPr>
        <w:t xml:space="preserve"> Mobile Integrated Healthcare (MIH) and Hospital-at-Home models </w:t>
      </w:r>
    </w:p>
    <w:p w14:paraId="73DE8C38" w14:textId="77777777" w:rsidR="00A1271B" w:rsidRDefault="00523809" w:rsidP="00A1271B">
      <w:pPr>
        <w:pStyle w:val="ListParagraph"/>
        <w:numPr>
          <w:ilvl w:val="0"/>
          <w:numId w:val="36"/>
        </w:numPr>
        <w:spacing w:after="120" w:line="240" w:lineRule="auto"/>
        <w:rPr>
          <w:sz w:val="22"/>
          <w:szCs w:val="22"/>
        </w:rPr>
      </w:pPr>
      <w:r w:rsidRPr="00C1432C">
        <w:rPr>
          <w:sz w:val="22"/>
          <w:szCs w:val="22"/>
        </w:rPr>
        <w:t>HB 1154 / SB 726</w:t>
      </w:r>
      <w:r w:rsidR="00A1271B" w:rsidRPr="00A1271B">
        <w:rPr>
          <w:sz w:val="22"/>
          <w:szCs w:val="22"/>
        </w:rPr>
        <w:t xml:space="preserve"> – Mobile Integrated Health</w:t>
      </w:r>
    </w:p>
    <w:p w14:paraId="73B2B362" w14:textId="60929EAF" w:rsidR="00A1271B" w:rsidRPr="00A1271B" w:rsidRDefault="00A1271B" w:rsidP="00A1271B">
      <w:pPr>
        <w:pStyle w:val="ListParagraph"/>
        <w:numPr>
          <w:ilvl w:val="0"/>
          <w:numId w:val="36"/>
        </w:numPr>
        <w:spacing w:after="120" w:line="240" w:lineRule="auto"/>
        <w:rPr>
          <w:sz w:val="22"/>
          <w:szCs w:val="22"/>
        </w:rPr>
      </w:pPr>
      <w:r w:rsidRPr="00A1271B">
        <w:rPr>
          <w:sz w:val="22"/>
          <w:szCs w:val="22"/>
        </w:rPr>
        <w:t xml:space="preserve">HB 1141 / SB 806 – Hospital at Home </w:t>
      </w:r>
    </w:p>
    <w:p w14:paraId="3DD88660" w14:textId="77777777" w:rsidR="00A1271B" w:rsidRDefault="00A1271B" w:rsidP="001F7057">
      <w:pPr>
        <w:pStyle w:val="Default"/>
        <w:rPr>
          <w:sz w:val="22"/>
          <w:szCs w:val="22"/>
          <w:u w:val="single"/>
        </w:rPr>
      </w:pPr>
    </w:p>
    <w:p w14:paraId="3B6725D8" w14:textId="54320F37" w:rsidR="001F7057" w:rsidRPr="008D5DBB" w:rsidRDefault="00361F50" w:rsidP="008D5DBB">
      <w:pPr>
        <w:pStyle w:val="Default"/>
        <w:rPr>
          <w:sz w:val="22"/>
          <w:szCs w:val="22"/>
          <w:u w:val="single"/>
        </w:rPr>
      </w:pPr>
      <w:r w:rsidRPr="008D5DBB">
        <w:rPr>
          <w:b/>
          <w:bCs/>
          <w:sz w:val="22"/>
          <w:szCs w:val="22"/>
          <w:u w:val="single"/>
        </w:rPr>
        <w:t xml:space="preserve">6.3 </w:t>
      </w:r>
      <w:r>
        <w:rPr>
          <w:b/>
          <w:bCs/>
          <w:sz w:val="22"/>
          <w:szCs w:val="22"/>
          <w:u w:val="single"/>
        </w:rPr>
        <w:t>Explore</w:t>
      </w:r>
      <w:r w:rsidR="00F81DA4" w:rsidRPr="008D5DBB">
        <w:rPr>
          <w:b/>
          <w:bCs/>
          <w:sz w:val="22"/>
          <w:szCs w:val="22"/>
          <w:u w:val="single"/>
        </w:rPr>
        <w:t xml:space="preserve"> Behavioral Health Transportation Models</w:t>
      </w:r>
    </w:p>
    <w:p w14:paraId="14EA7D2D" w14:textId="1C3F0248" w:rsidR="00AC23EE" w:rsidRPr="00C1432C" w:rsidRDefault="00AC23EE" w:rsidP="008D5DBB">
      <w:pPr>
        <w:pStyle w:val="ListParagraph"/>
        <w:numPr>
          <w:ilvl w:val="0"/>
          <w:numId w:val="36"/>
        </w:numPr>
        <w:spacing w:after="120" w:line="240" w:lineRule="auto"/>
        <w:rPr>
          <w:sz w:val="22"/>
          <w:szCs w:val="22"/>
        </w:rPr>
      </w:pPr>
      <w:r w:rsidRPr="00C1432C">
        <w:rPr>
          <w:sz w:val="22"/>
          <w:szCs w:val="22"/>
        </w:rPr>
        <w:t>HB 2234 / SB 1397</w:t>
      </w:r>
    </w:p>
    <w:p w14:paraId="17D29FB1" w14:textId="5613858D" w:rsidR="0029141F" w:rsidRPr="007B7E0A" w:rsidRDefault="0029141F" w:rsidP="00AA12FB">
      <w:pPr>
        <w:spacing w:after="120" w:line="240" w:lineRule="auto"/>
        <w:rPr>
          <w:sz w:val="22"/>
          <w:szCs w:val="22"/>
        </w:rPr>
      </w:pPr>
    </w:p>
    <w:sectPr w:rsidR="0029141F" w:rsidRPr="007B7E0A" w:rsidSect="00D3227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18E6" w14:textId="77777777" w:rsidR="007C28A2" w:rsidRDefault="007C28A2" w:rsidP="0082345B">
      <w:pPr>
        <w:spacing w:after="0" w:line="240" w:lineRule="auto"/>
      </w:pPr>
      <w:r>
        <w:separator/>
      </w:r>
    </w:p>
  </w:endnote>
  <w:endnote w:type="continuationSeparator" w:id="0">
    <w:p w14:paraId="49771A1A" w14:textId="77777777" w:rsidR="007C28A2" w:rsidRDefault="007C28A2" w:rsidP="008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72AD" w14:textId="33903D8A" w:rsidR="0082345B" w:rsidRPr="0082345B" w:rsidRDefault="00A918B0" w:rsidP="00A918B0">
    <w:pPr>
      <w:pStyle w:val="Footer"/>
      <w:tabs>
        <w:tab w:val="clear" w:pos="4680"/>
        <w:tab w:val="clear" w:pos="9360"/>
      </w:tabs>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6320E">
      <w:rPr>
        <w:sz w:val="20"/>
        <w:szCs w:val="20"/>
      </w:rPr>
      <w:tab/>
    </w:r>
    <w:sdt>
      <w:sdtPr>
        <w:rPr>
          <w:sz w:val="20"/>
          <w:szCs w:val="20"/>
        </w:rPr>
        <w:id w:val="-1975669944"/>
        <w:docPartObj>
          <w:docPartGallery w:val="Page Numbers (Bottom of Page)"/>
          <w:docPartUnique/>
        </w:docPartObj>
      </w:sdtPr>
      <w:sdtEndPr>
        <w:rPr>
          <w:noProof/>
        </w:rPr>
      </w:sdtEndPr>
      <w:sdtContent>
        <w:r w:rsidR="0082345B" w:rsidRPr="0082345B">
          <w:rPr>
            <w:sz w:val="20"/>
            <w:szCs w:val="20"/>
          </w:rPr>
          <w:fldChar w:fldCharType="begin"/>
        </w:r>
        <w:r w:rsidR="0082345B" w:rsidRPr="0082345B">
          <w:rPr>
            <w:sz w:val="20"/>
            <w:szCs w:val="20"/>
          </w:rPr>
          <w:instrText xml:space="preserve"> PAGE   \* MERGEFORMAT </w:instrText>
        </w:r>
        <w:r w:rsidR="0082345B" w:rsidRPr="0082345B">
          <w:rPr>
            <w:sz w:val="20"/>
            <w:szCs w:val="20"/>
          </w:rPr>
          <w:fldChar w:fldCharType="separate"/>
        </w:r>
        <w:r w:rsidR="0082345B" w:rsidRPr="0082345B">
          <w:rPr>
            <w:noProof/>
            <w:sz w:val="20"/>
            <w:szCs w:val="20"/>
          </w:rPr>
          <w:t>2</w:t>
        </w:r>
        <w:r w:rsidR="0082345B" w:rsidRPr="0082345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2F54" w14:textId="77777777" w:rsidR="007C28A2" w:rsidRDefault="007C28A2" w:rsidP="0082345B">
      <w:pPr>
        <w:spacing w:after="0" w:line="240" w:lineRule="auto"/>
      </w:pPr>
      <w:r>
        <w:separator/>
      </w:r>
    </w:p>
  </w:footnote>
  <w:footnote w:type="continuationSeparator" w:id="0">
    <w:p w14:paraId="3A087A7E" w14:textId="77777777" w:rsidR="007C28A2" w:rsidRDefault="007C28A2" w:rsidP="0082345B">
      <w:pPr>
        <w:spacing w:after="0" w:line="240" w:lineRule="auto"/>
      </w:pPr>
      <w:r>
        <w:continuationSeparator/>
      </w:r>
    </w:p>
  </w:footnote>
  <w:footnote w:id="1">
    <w:p w14:paraId="020C0542" w14:textId="77777777" w:rsidR="00300599" w:rsidRPr="006B2C89" w:rsidRDefault="00300599">
      <w:pPr>
        <w:pStyle w:val="FootnoteText"/>
      </w:pPr>
      <w:r>
        <w:rPr>
          <w:rStyle w:val="FootnoteReference"/>
        </w:rPr>
        <w:footnoteRef/>
      </w:r>
      <w:r>
        <w:t xml:space="preserve"> </w:t>
      </w:r>
      <w:r w:rsidR="007C7E61" w:rsidRPr="007C7E61">
        <w:t xml:space="preserve">Center for Health Information and Analysis. (2025, March 6). </w:t>
      </w:r>
      <w:r w:rsidR="007C7E61" w:rsidRPr="007C7E61">
        <w:rPr>
          <w:i/>
          <w:iCs/>
        </w:rPr>
        <w:t>Enrollment in health insurance: Enrollment trends (through September 2024)</w:t>
      </w:r>
      <w:r w:rsidR="007C7E61" w:rsidRPr="007C7E61">
        <w:t xml:space="preserve">. Commonwealth of Massachusetts. Retrieved June 30, 2025, from </w:t>
      </w:r>
      <w:hyperlink r:id="rId1" w:anchor="enrollment-trends-interactive" w:tgtFrame="_new" w:history="1">
        <w:r w:rsidR="007C7E61" w:rsidRPr="007C7E61">
          <w:rPr>
            <w:rStyle w:val="Hyperlink"/>
          </w:rPr>
          <w:t>https://www.chiamass.gov/enrollment-in-health-insurance/#enrollment-trends-interactive</w:t>
        </w:r>
      </w:hyperlink>
    </w:p>
    <w:p w14:paraId="7EBA704C" w14:textId="5C77C107" w:rsidR="00300599" w:rsidRDefault="00300599">
      <w:pPr>
        <w:pStyle w:val="FootnoteText"/>
      </w:pPr>
    </w:p>
  </w:footnote>
  <w:footnote w:id="2">
    <w:p w14:paraId="2EBFE9B7" w14:textId="193F2166" w:rsidR="00646AB8" w:rsidRDefault="00646AB8">
      <w:pPr>
        <w:pStyle w:val="FootnoteText"/>
      </w:pPr>
      <w:r>
        <w:rPr>
          <w:rStyle w:val="FootnoteReference"/>
        </w:rPr>
        <w:footnoteRef/>
      </w:r>
      <w:r w:rsidR="00550ADB">
        <w:t xml:space="preserve"> </w:t>
      </w:r>
      <w:r>
        <w:t>Health care costs for uninsured residents</w:t>
      </w:r>
      <w:r w:rsidR="00F8442A">
        <w:t>, including those who may be j</w:t>
      </w:r>
      <w:r w:rsidRPr="006B2C89">
        <w:t>ustice-involved</w:t>
      </w:r>
      <w:r w:rsidR="00E5201A">
        <w:t>,</w:t>
      </w:r>
      <w:r>
        <w:t xml:space="preserve"> are </w:t>
      </w:r>
      <w:r w:rsidR="00B75588">
        <w:t xml:space="preserve">paid from the </w:t>
      </w:r>
      <w:r w:rsidR="00555504">
        <w:t>S</w:t>
      </w:r>
      <w:r w:rsidR="00B75588">
        <w:t>tate’s G</w:t>
      </w:r>
      <w:r>
        <w:t>eneral Fund.</w:t>
      </w:r>
    </w:p>
  </w:footnote>
  <w:footnote w:id="3">
    <w:p w14:paraId="7F9813DC" w14:textId="44F3699A" w:rsidR="00C47AE8" w:rsidRDefault="00C47AE8">
      <w:pPr>
        <w:pStyle w:val="FootnoteText"/>
      </w:pPr>
      <w:r>
        <w:rPr>
          <w:rStyle w:val="FootnoteReference"/>
        </w:rPr>
        <w:footnoteRef/>
      </w:r>
      <w:r>
        <w:t xml:space="preserve"> </w:t>
      </w:r>
      <w:r w:rsidR="00C02911" w:rsidRPr="00C02911">
        <w:t xml:space="preserve">Center for Health Information and Analysis. (2025, February 27). </w:t>
      </w:r>
      <w:r w:rsidR="00C02911" w:rsidRPr="00C02911">
        <w:rPr>
          <w:i/>
          <w:iCs/>
        </w:rPr>
        <w:t>Massachusetts acute care hospital inpatient discharge reporting</w:t>
      </w:r>
      <w:r w:rsidR="00C02911" w:rsidRPr="00C02911">
        <w:t xml:space="preserve">. CHIA. </w:t>
      </w:r>
      <w:hyperlink r:id="rId2" w:anchor="dashboard" w:tgtFrame="_new" w:history="1">
        <w:r w:rsidR="00C02911" w:rsidRPr="00C02911">
          <w:rPr>
            <w:rStyle w:val="Hyperlink"/>
          </w:rPr>
          <w:t>https://www.chiamass.gov/massachusetts-acute-care-hospital-inpatient-discharge-reporting/#dashboard</w:t>
        </w:r>
      </w:hyperlink>
    </w:p>
  </w:footnote>
  <w:footnote w:id="4">
    <w:p w14:paraId="1333CAA3" w14:textId="77777777" w:rsidR="008A04EC" w:rsidRDefault="008A04EC" w:rsidP="008A04EC">
      <w:pPr>
        <w:pStyle w:val="FootnoteText"/>
      </w:pPr>
      <w:r>
        <w:rPr>
          <w:rStyle w:val="FootnoteReference"/>
        </w:rPr>
        <w:footnoteRef/>
      </w:r>
      <w:r>
        <w:t xml:space="preserve"> </w:t>
      </w:r>
      <w:r w:rsidRPr="003E2D4C">
        <w:t xml:space="preserve">Massachusetts Health &amp; Hospital Association. (n.d.). </w:t>
      </w:r>
      <w:r w:rsidRPr="003E2D4C">
        <w:rPr>
          <w:i/>
          <w:iCs/>
        </w:rPr>
        <w:t>Monthly throughput survey reports</w:t>
      </w:r>
      <w:r w:rsidRPr="003E2D4C">
        <w:t xml:space="preserve">. Retrieved June 30, 2025, from </w:t>
      </w:r>
      <w:hyperlink r:id="rId3" w:tgtFrame="_new" w:history="1">
        <w:r w:rsidRPr="003E2D4C">
          <w:rPr>
            <w:rStyle w:val="Hyperlink"/>
          </w:rPr>
          <w:t>https://www.mhalink.org/throughputreports/</w:t>
        </w:r>
      </w:hyperlink>
    </w:p>
  </w:footnote>
  <w:footnote w:id="5">
    <w:p w14:paraId="559D81BC" w14:textId="240D4BAC" w:rsidR="00DE0893" w:rsidRPr="00237E4A" w:rsidRDefault="00DE0893" w:rsidP="00DE0893">
      <w:pPr>
        <w:spacing w:after="120" w:line="240" w:lineRule="auto"/>
        <w:rPr>
          <w:sz w:val="20"/>
          <w:szCs w:val="20"/>
        </w:rPr>
      </w:pPr>
      <w:r w:rsidRPr="00237E4A">
        <w:rPr>
          <w:rStyle w:val="FootnoteReference"/>
          <w:sz w:val="20"/>
          <w:szCs w:val="20"/>
        </w:rPr>
        <w:footnoteRef/>
      </w:r>
      <w:r w:rsidRPr="00237E4A">
        <w:rPr>
          <w:sz w:val="20"/>
          <w:szCs w:val="20"/>
        </w:rPr>
        <w:t xml:space="preserve"> Massachusetts Health Policy Commission</w:t>
      </w:r>
      <w:r>
        <w:rPr>
          <w:sz w:val="20"/>
          <w:szCs w:val="20"/>
        </w:rPr>
        <w:t xml:space="preserve"> (HPC). Health Care Cost Trends Hearing presentation (November 2024). Available on the HPC website: </w:t>
      </w:r>
      <w:hyperlink r:id="rId4" w:history="1">
        <w:r w:rsidR="00D9696F" w:rsidRPr="00D71A4F">
          <w:rPr>
            <w:rStyle w:val="Hyperlink"/>
            <w:sz w:val="20"/>
            <w:szCs w:val="20"/>
          </w:rPr>
          <w:t>https://masshpc.gov/sites/default/files/2024-11/2024%20CTH%20Presentation.pdf</w:t>
        </w:r>
      </w:hyperlink>
      <w:r w:rsidR="00D9696F">
        <w:rPr>
          <w:sz w:val="20"/>
          <w:szCs w:val="20"/>
        </w:rPr>
        <w:t xml:space="preserve"> </w:t>
      </w:r>
    </w:p>
    <w:p w14:paraId="1686E47D" w14:textId="77777777" w:rsidR="00DE0893" w:rsidRDefault="00DE0893" w:rsidP="00DE0893">
      <w:pPr>
        <w:pStyle w:val="FootnoteText"/>
      </w:pPr>
    </w:p>
  </w:footnote>
  <w:footnote w:id="6">
    <w:p w14:paraId="72152FF2" w14:textId="0CBFC026" w:rsidR="00D129D3" w:rsidRDefault="00D129D3">
      <w:pPr>
        <w:pStyle w:val="FootnoteText"/>
      </w:pPr>
      <w:r>
        <w:rPr>
          <w:rStyle w:val="FootnoteReference"/>
        </w:rPr>
        <w:footnoteRef/>
      </w:r>
      <w:r>
        <w:t xml:space="preserve"> </w:t>
      </w:r>
      <w:r w:rsidRPr="00D6446A">
        <w:t xml:space="preserve">Massachusetts Center for Health Information and Analysis (CHIA), </w:t>
      </w:r>
      <w:r w:rsidRPr="00D6446A">
        <w:rPr>
          <w:i/>
          <w:iCs/>
        </w:rPr>
        <w:t>Mandated Benefit Review of House Bill 1154 and Senate Bill 726: An Act Advancing Mobile Integrated Health and Emergency Response</w:t>
      </w:r>
      <w:r w:rsidRPr="00D6446A">
        <w:t xml:space="preserve">, June 2025. Available at: </w:t>
      </w:r>
      <w:hyperlink r:id="rId5" w:tgtFrame="_new" w:history="1">
        <w:r w:rsidRPr="00D6446A">
          <w:rPr>
            <w:rStyle w:val="Hyperlink"/>
          </w:rPr>
          <w:t>https://www.chiamass.gov/assets/docs/r/pubs/mandates/Mobile-Integrated-Health-MBR.pdf</w:t>
        </w:r>
      </w:hyperlink>
      <w:r w:rsidRPr="00D644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77D3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C7985"/>
    <w:multiLevelType w:val="hybridMultilevel"/>
    <w:tmpl w:val="5912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57B37"/>
    <w:multiLevelType w:val="hybridMultilevel"/>
    <w:tmpl w:val="721C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A22"/>
    <w:multiLevelType w:val="hybridMultilevel"/>
    <w:tmpl w:val="595EF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43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51939"/>
    <w:multiLevelType w:val="hybridMultilevel"/>
    <w:tmpl w:val="AF2E1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16F58"/>
    <w:multiLevelType w:val="hybridMultilevel"/>
    <w:tmpl w:val="8B8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1635D"/>
    <w:multiLevelType w:val="hybridMultilevel"/>
    <w:tmpl w:val="59C42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F30DC2"/>
    <w:multiLevelType w:val="hybridMultilevel"/>
    <w:tmpl w:val="E6D63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C4993"/>
    <w:multiLevelType w:val="hybridMultilevel"/>
    <w:tmpl w:val="AAD42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CE3D0C"/>
    <w:multiLevelType w:val="hybridMultilevel"/>
    <w:tmpl w:val="5A5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A0CA0"/>
    <w:multiLevelType w:val="multilevel"/>
    <w:tmpl w:val="033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56B26"/>
    <w:multiLevelType w:val="hybridMultilevel"/>
    <w:tmpl w:val="CD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813FD"/>
    <w:multiLevelType w:val="hybridMultilevel"/>
    <w:tmpl w:val="FBDA7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630047"/>
    <w:multiLevelType w:val="hybridMultilevel"/>
    <w:tmpl w:val="81506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5A3C77"/>
    <w:multiLevelType w:val="hybridMultilevel"/>
    <w:tmpl w:val="C9B4AA36"/>
    <w:lvl w:ilvl="0" w:tplc="B92A1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20C6E"/>
    <w:multiLevelType w:val="hybridMultilevel"/>
    <w:tmpl w:val="2A7E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27750"/>
    <w:multiLevelType w:val="hybridMultilevel"/>
    <w:tmpl w:val="0780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779C"/>
    <w:multiLevelType w:val="hybridMultilevel"/>
    <w:tmpl w:val="CD189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D634DD"/>
    <w:multiLevelType w:val="hybridMultilevel"/>
    <w:tmpl w:val="7B980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D85E09"/>
    <w:multiLevelType w:val="hybridMultilevel"/>
    <w:tmpl w:val="A424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6A4521"/>
    <w:multiLevelType w:val="hybridMultilevel"/>
    <w:tmpl w:val="8FCA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F508C"/>
    <w:multiLevelType w:val="hybridMultilevel"/>
    <w:tmpl w:val="A3A0D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712507"/>
    <w:multiLevelType w:val="hybridMultilevel"/>
    <w:tmpl w:val="500A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20172"/>
    <w:multiLevelType w:val="hybridMultilevel"/>
    <w:tmpl w:val="52561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C853BD"/>
    <w:multiLevelType w:val="hybridMultilevel"/>
    <w:tmpl w:val="A028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069D2"/>
    <w:multiLevelType w:val="hybridMultilevel"/>
    <w:tmpl w:val="C902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E30614"/>
    <w:multiLevelType w:val="hybridMultilevel"/>
    <w:tmpl w:val="CF0EE77A"/>
    <w:lvl w:ilvl="0" w:tplc="DD00F0E8">
      <w:start w:val="1"/>
      <w:numFmt w:val="bullet"/>
      <w:lvlText w:val="•"/>
      <w:lvlJc w:val="left"/>
      <w:pPr>
        <w:tabs>
          <w:tab w:val="num" w:pos="720"/>
        </w:tabs>
        <w:ind w:left="720" w:hanging="360"/>
      </w:pPr>
      <w:rPr>
        <w:rFonts w:ascii="Calibri" w:hAnsi="Calibri" w:hint="default"/>
      </w:rPr>
    </w:lvl>
    <w:lvl w:ilvl="1" w:tplc="8E62DEA4" w:tentative="1">
      <w:start w:val="1"/>
      <w:numFmt w:val="bullet"/>
      <w:lvlText w:val="•"/>
      <w:lvlJc w:val="left"/>
      <w:pPr>
        <w:tabs>
          <w:tab w:val="num" w:pos="1440"/>
        </w:tabs>
        <w:ind w:left="1440" w:hanging="360"/>
      </w:pPr>
      <w:rPr>
        <w:rFonts w:ascii="Calibri" w:hAnsi="Calibri" w:hint="default"/>
      </w:rPr>
    </w:lvl>
    <w:lvl w:ilvl="2" w:tplc="EE0E2640" w:tentative="1">
      <w:start w:val="1"/>
      <w:numFmt w:val="bullet"/>
      <w:lvlText w:val="•"/>
      <w:lvlJc w:val="left"/>
      <w:pPr>
        <w:tabs>
          <w:tab w:val="num" w:pos="2160"/>
        </w:tabs>
        <w:ind w:left="2160" w:hanging="360"/>
      </w:pPr>
      <w:rPr>
        <w:rFonts w:ascii="Calibri" w:hAnsi="Calibri" w:hint="default"/>
      </w:rPr>
    </w:lvl>
    <w:lvl w:ilvl="3" w:tplc="DCEA9C64">
      <w:start w:val="1"/>
      <w:numFmt w:val="bullet"/>
      <w:lvlText w:val="•"/>
      <w:lvlJc w:val="left"/>
      <w:pPr>
        <w:tabs>
          <w:tab w:val="num" w:pos="2880"/>
        </w:tabs>
        <w:ind w:left="2880" w:hanging="360"/>
      </w:pPr>
      <w:rPr>
        <w:rFonts w:ascii="Calibri" w:hAnsi="Calibri" w:hint="default"/>
      </w:rPr>
    </w:lvl>
    <w:lvl w:ilvl="4" w:tplc="39DAEFF8" w:tentative="1">
      <w:start w:val="1"/>
      <w:numFmt w:val="bullet"/>
      <w:lvlText w:val="•"/>
      <w:lvlJc w:val="left"/>
      <w:pPr>
        <w:tabs>
          <w:tab w:val="num" w:pos="3600"/>
        </w:tabs>
        <w:ind w:left="3600" w:hanging="360"/>
      </w:pPr>
      <w:rPr>
        <w:rFonts w:ascii="Calibri" w:hAnsi="Calibri" w:hint="default"/>
      </w:rPr>
    </w:lvl>
    <w:lvl w:ilvl="5" w:tplc="7FCAC7F2" w:tentative="1">
      <w:start w:val="1"/>
      <w:numFmt w:val="bullet"/>
      <w:lvlText w:val="•"/>
      <w:lvlJc w:val="left"/>
      <w:pPr>
        <w:tabs>
          <w:tab w:val="num" w:pos="4320"/>
        </w:tabs>
        <w:ind w:left="4320" w:hanging="360"/>
      </w:pPr>
      <w:rPr>
        <w:rFonts w:ascii="Calibri" w:hAnsi="Calibri" w:hint="default"/>
      </w:rPr>
    </w:lvl>
    <w:lvl w:ilvl="6" w:tplc="4CFA9194" w:tentative="1">
      <w:start w:val="1"/>
      <w:numFmt w:val="bullet"/>
      <w:lvlText w:val="•"/>
      <w:lvlJc w:val="left"/>
      <w:pPr>
        <w:tabs>
          <w:tab w:val="num" w:pos="5040"/>
        </w:tabs>
        <w:ind w:left="5040" w:hanging="360"/>
      </w:pPr>
      <w:rPr>
        <w:rFonts w:ascii="Calibri" w:hAnsi="Calibri" w:hint="default"/>
      </w:rPr>
    </w:lvl>
    <w:lvl w:ilvl="7" w:tplc="78F6D2F4" w:tentative="1">
      <w:start w:val="1"/>
      <w:numFmt w:val="bullet"/>
      <w:lvlText w:val="•"/>
      <w:lvlJc w:val="left"/>
      <w:pPr>
        <w:tabs>
          <w:tab w:val="num" w:pos="5760"/>
        </w:tabs>
        <w:ind w:left="5760" w:hanging="360"/>
      </w:pPr>
      <w:rPr>
        <w:rFonts w:ascii="Calibri" w:hAnsi="Calibri" w:hint="default"/>
      </w:rPr>
    </w:lvl>
    <w:lvl w:ilvl="8" w:tplc="6BE0FD58"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50B746BA"/>
    <w:multiLevelType w:val="hybridMultilevel"/>
    <w:tmpl w:val="81E6C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22525F"/>
    <w:multiLevelType w:val="multilevel"/>
    <w:tmpl w:val="B31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B95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3F27C56"/>
    <w:multiLevelType w:val="hybridMultilevel"/>
    <w:tmpl w:val="93D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B65BD"/>
    <w:multiLevelType w:val="hybridMultilevel"/>
    <w:tmpl w:val="B8507222"/>
    <w:lvl w:ilvl="0" w:tplc="26501620">
      <w:start w:val="1"/>
      <w:numFmt w:val="upperRoman"/>
      <w:lvlText w:val="%1."/>
      <w:lvlJc w:val="left"/>
      <w:pPr>
        <w:ind w:left="990" w:hanging="720"/>
      </w:pPr>
      <w:rPr>
        <w:rFonts w:eastAsiaTheme="minorHAnsi" w:hint="default"/>
        <w:color w:val="auto"/>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8F3797E"/>
    <w:multiLevelType w:val="hybridMultilevel"/>
    <w:tmpl w:val="6FAA44D6"/>
    <w:lvl w:ilvl="0" w:tplc="45F66AAA">
      <w:start w:val="1"/>
      <w:numFmt w:val="lowerRoman"/>
      <w:lvlText w:val="%1."/>
      <w:lvlJc w:val="right"/>
      <w:pPr>
        <w:tabs>
          <w:tab w:val="num" w:pos="720"/>
        </w:tabs>
        <w:ind w:left="720" w:hanging="360"/>
      </w:pPr>
    </w:lvl>
    <w:lvl w:ilvl="1" w:tplc="8966A9DA">
      <w:start w:val="1"/>
      <w:numFmt w:val="lowerRoman"/>
      <w:lvlText w:val="%2."/>
      <w:lvlJc w:val="right"/>
      <w:pPr>
        <w:tabs>
          <w:tab w:val="num" w:pos="1440"/>
        </w:tabs>
        <w:ind w:left="1440" w:hanging="360"/>
      </w:pPr>
    </w:lvl>
    <w:lvl w:ilvl="2" w:tplc="8D1280BE" w:tentative="1">
      <w:start w:val="1"/>
      <w:numFmt w:val="lowerRoman"/>
      <w:lvlText w:val="%3."/>
      <w:lvlJc w:val="right"/>
      <w:pPr>
        <w:tabs>
          <w:tab w:val="num" w:pos="2160"/>
        </w:tabs>
        <w:ind w:left="2160" w:hanging="360"/>
      </w:pPr>
    </w:lvl>
    <w:lvl w:ilvl="3" w:tplc="6D06FC92" w:tentative="1">
      <w:start w:val="1"/>
      <w:numFmt w:val="lowerRoman"/>
      <w:lvlText w:val="%4."/>
      <w:lvlJc w:val="right"/>
      <w:pPr>
        <w:tabs>
          <w:tab w:val="num" w:pos="2880"/>
        </w:tabs>
        <w:ind w:left="2880" w:hanging="360"/>
      </w:pPr>
    </w:lvl>
    <w:lvl w:ilvl="4" w:tplc="2F02D010" w:tentative="1">
      <w:start w:val="1"/>
      <w:numFmt w:val="lowerRoman"/>
      <w:lvlText w:val="%5."/>
      <w:lvlJc w:val="right"/>
      <w:pPr>
        <w:tabs>
          <w:tab w:val="num" w:pos="3600"/>
        </w:tabs>
        <w:ind w:left="3600" w:hanging="360"/>
      </w:pPr>
    </w:lvl>
    <w:lvl w:ilvl="5" w:tplc="99F01446" w:tentative="1">
      <w:start w:val="1"/>
      <w:numFmt w:val="lowerRoman"/>
      <w:lvlText w:val="%6."/>
      <w:lvlJc w:val="right"/>
      <w:pPr>
        <w:tabs>
          <w:tab w:val="num" w:pos="4320"/>
        </w:tabs>
        <w:ind w:left="4320" w:hanging="360"/>
      </w:pPr>
    </w:lvl>
    <w:lvl w:ilvl="6" w:tplc="2D581030" w:tentative="1">
      <w:start w:val="1"/>
      <w:numFmt w:val="lowerRoman"/>
      <w:lvlText w:val="%7."/>
      <w:lvlJc w:val="right"/>
      <w:pPr>
        <w:tabs>
          <w:tab w:val="num" w:pos="5040"/>
        </w:tabs>
        <w:ind w:left="5040" w:hanging="360"/>
      </w:pPr>
    </w:lvl>
    <w:lvl w:ilvl="7" w:tplc="84D09808" w:tentative="1">
      <w:start w:val="1"/>
      <w:numFmt w:val="lowerRoman"/>
      <w:lvlText w:val="%8."/>
      <w:lvlJc w:val="right"/>
      <w:pPr>
        <w:tabs>
          <w:tab w:val="num" w:pos="5760"/>
        </w:tabs>
        <w:ind w:left="5760" w:hanging="360"/>
      </w:pPr>
    </w:lvl>
    <w:lvl w:ilvl="8" w:tplc="E7FA0618" w:tentative="1">
      <w:start w:val="1"/>
      <w:numFmt w:val="lowerRoman"/>
      <w:lvlText w:val="%9."/>
      <w:lvlJc w:val="right"/>
      <w:pPr>
        <w:tabs>
          <w:tab w:val="num" w:pos="6480"/>
        </w:tabs>
        <w:ind w:left="6480" w:hanging="360"/>
      </w:pPr>
    </w:lvl>
  </w:abstractNum>
  <w:abstractNum w:abstractNumId="34" w15:restartNumberingAfterBreak="0">
    <w:nsid w:val="71B86ADA"/>
    <w:multiLevelType w:val="hybridMultilevel"/>
    <w:tmpl w:val="02C00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901D2D"/>
    <w:multiLevelType w:val="multilevel"/>
    <w:tmpl w:val="1054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4048E"/>
    <w:multiLevelType w:val="hybridMultilevel"/>
    <w:tmpl w:val="DE38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B7D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A071E3E"/>
    <w:multiLevelType w:val="multilevel"/>
    <w:tmpl w:val="F120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24F0F"/>
    <w:multiLevelType w:val="hybridMultilevel"/>
    <w:tmpl w:val="77346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A141FB"/>
    <w:multiLevelType w:val="hybridMultilevel"/>
    <w:tmpl w:val="E7F09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5131279">
    <w:abstractNumId w:val="35"/>
  </w:num>
  <w:num w:numId="2" w16cid:durableId="1727141620">
    <w:abstractNumId w:val="26"/>
  </w:num>
  <w:num w:numId="3" w16cid:durableId="1703163455">
    <w:abstractNumId w:val="24"/>
  </w:num>
  <w:num w:numId="4" w16cid:durableId="1744403220">
    <w:abstractNumId w:val="4"/>
  </w:num>
  <w:num w:numId="5" w16cid:durableId="1827820482">
    <w:abstractNumId w:val="2"/>
  </w:num>
  <w:num w:numId="6" w16cid:durableId="1781415846">
    <w:abstractNumId w:val="11"/>
  </w:num>
  <w:num w:numId="7" w16cid:durableId="1056779763">
    <w:abstractNumId w:val="34"/>
  </w:num>
  <w:num w:numId="8" w16cid:durableId="579755064">
    <w:abstractNumId w:val="7"/>
  </w:num>
  <w:num w:numId="9" w16cid:durableId="1475637969">
    <w:abstractNumId w:val="39"/>
  </w:num>
  <w:num w:numId="10" w16cid:durableId="145979768">
    <w:abstractNumId w:val="13"/>
  </w:num>
  <w:num w:numId="11" w16cid:durableId="1778476036">
    <w:abstractNumId w:val="19"/>
  </w:num>
  <w:num w:numId="12" w16cid:durableId="449134537">
    <w:abstractNumId w:val="28"/>
  </w:num>
  <w:num w:numId="13" w16cid:durableId="711537233">
    <w:abstractNumId w:val="5"/>
  </w:num>
  <w:num w:numId="14" w16cid:durableId="2098285392">
    <w:abstractNumId w:val="40"/>
  </w:num>
  <w:num w:numId="15" w16cid:durableId="2105957949">
    <w:abstractNumId w:val="8"/>
  </w:num>
  <w:num w:numId="16" w16cid:durableId="622077480">
    <w:abstractNumId w:val="1"/>
  </w:num>
  <w:num w:numId="17" w16cid:durableId="1285381317">
    <w:abstractNumId w:val="20"/>
  </w:num>
  <w:num w:numId="18" w16cid:durableId="77793708">
    <w:abstractNumId w:val="18"/>
  </w:num>
  <w:num w:numId="19" w16cid:durableId="1932663013">
    <w:abstractNumId w:val="22"/>
  </w:num>
  <w:num w:numId="20" w16cid:durableId="574172823">
    <w:abstractNumId w:val="9"/>
  </w:num>
  <w:num w:numId="21" w16cid:durableId="480269761">
    <w:abstractNumId w:val="3"/>
  </w:num>
  <w:num w:numId="22" w16cid:durableId="1383020719">
    <w:abstractNumId w:val="15"/>
  </w:num>
  <w:num w:numId="23" w16cid:durableId="615480483">
    <w:abstractNumId w:val="29"/>
  </w:num>
  <w:num w:numId="24" w16cid:durableId="1290433982">
    <w:abstractNumId w:val="21"/>
  </w:num>
  <w:num w:numId="25" w16cid:durableId="923682355">
    <w:abstractNumId w:val="38"/>
  </w:num>
  <w:num w:numId="26" w16cid:durableId="519396255">
    <w:abstractNumId w:val="17"/>
  </w:num>
  <w:num w:numId="27" w16cid:durableId="123161230">
    <w:abstractNumId w:val="31"/>
  </w:num>
  <w:num w:numId="28" w16cid:durableId="1983150880">
    <w:abstractNumId w:val="32"/>
  </w:num>
  <w:num w:numId="29" w16cid:durableId="338823478">
    <w:abstractNumId w:val="33"/>
  </w:num>
  <w:num w:numId="30" w16cid:durableId="182091612">
    <w:abstractNumId w:val="14"/>
  </w:num>
  <w:num w:numId="31" w16cid:durableId="1423141215">
    <w:abstractNumId w:val="16"/>
  </w:num>
  <w:num w:numId="32" w16cid:durableId="1508326295">
    <w:abstractNumId w:val="25"/>
  </w:num>
  <w:num w:numId="33" w16cid:durableId="387075024">
    <w:abstractNumId w:val="12"/>
  </w:num>
  <w:num w:numId="34" w16cid:durableId="2050690238">
    <w:abstractNumId w:val="6"/>
  </w:num>
  <w:num w:numId="35" w16cid:durableId="1498769314">
    <w:abstractNumId w:val="27"/>
  </w:num>
  <w:num w:numId="36" w16cid:durableId="1657412888">
    <w:abstractNumId w:val="23"/>
  </w:num>
  <w:num w:numId="37" w16cid:durableId="191304722">
    <w:abstractNumId w:val="10"/>
  </w:num>
  <w:num w:numId="38" w16cid:durableId="812257575">
    <w:abstractNumId w:val="30"/>
  </w:num>
  <w:num w:numId="39" w16cid:durableId="946812704">
    <w:abstractNumId w:val="37"/>
  </w:num>
  <w:num w:numId="40" w16cid:durableId="2129278498">
    <w:abstractNumId w:val="0"/>
  </w:num>
  <w:num w:numId="41" w16cid:durableId="5595631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C2"/>
    <w:rsid w:val="00000F85"/>
    <w:rsid w:val="000014DF"/>
    <w:rsid w:val="00001A04"/>
    <w:rsid w:val="00001EC0"/>
    <w:rsid w:val="00003D62"/>
    <w:rsid w:val="00003EE5"/>
    <w:rsid w:val="0000451E"/>
    <w:rsid w:val="00004F42"/>
    <w:rsid w:val="00005162"/>
    <w:rsid w:val="00005B97"/>
    <w:rsid w:val="00005FDE"/>
    <w:rsid w:val="000062F4"/>
    <w:rsid w:val="0000791A"/>
    <w:rsid w:val="0001041A"/>
    <w:rsid w:val="000113A9"/>
    <w:rsid w:val="0001231E"/>
    <w:rsid w:val="00013975"/>
    <w:rsid w:val="00013C71"/>
    <w:rsid w:val="00014B9F"/>
    <w:rsid w:val="00015D5B"/>
    <w:rsid w:val="000161E3"/>
    <w:rsid w:val="0001696E"/>
    <w:rsid w:val="00017160"/>
    <w:rsid w:val="0001770E"/>
    <w:rsid w:val="00020293"/>
    <w:rsid w:val="00021555"/>
    <w:rsid w:val="00021CD5"/>
    <w:rsid w:val="00022320"/>
    <w:rsid w:val="000240B9"/>
    <w:rsid w:val="00024799"/>
    <w:rsid w:val="00025472"/>
    <w:rsid w:val="00025741"/>
    <w:rsid w:val="000264EE"/>
    <w:rsid w:val="0002674E"/>
    <w:rsid w:val="0002721C"/>
    <w:rsid w:val="000318DA"/>
    <w:rsid w:val="000332C4"/>
    <w:rsid w:val="0003394D"/>
    <w:rsid w:val="00034D68"/>
    <w:rsid w:val="00034E72"/>
    <w:rsid w:val="00035426"/>
    <w:rsid w:val="00035895"/>
    <w:rsid w:val="00035C5A"/>
    <w:rsid w:val="00036B4A"/>
    <w:rsid w:val="0003714D"/>
    <w:rsid w:val="00037534"/>
    <w:rsid w:val="000402E9"/>
    <w:rsid w:val="0004062F"/>
    <w:rsid w:val="00040F9B"/>
    <w:rsid w:val="00042C7A"/>
    <w:rsid w:val="00043184"/>
    <w:rsid w:val="00043290"/>
    <w:rsid w:val="00043530"/>
    <w:rsid w:val="000437EF"/>
    <w:rsid w:val="00043940"/>
    <w:rsid w:val="00044518"/>
    <w:rsid w:val="0004507D"/>
    <w:rsid w:val="000457C2"/>
    <w:rsid w:val="000458CF"/>
    <w:rsid w:val="00046050"/>
    <w:rsid w:val="000466E3"/>
    <w:rsid w:val="00046856"/>
    <w:rsid w:val="00050129"/>
    <w:rsid w:val="00050672"/>
    <w:rsid w:val="00051B36"/>
    <w:rsid w:val="00052EEC"/>
    <w:rsid w:val="000536A2"/>
    <w:rsid w:val="0005519E"/>
    <w:rsid w:val="00056E1A"/>
    <w:rsid w:val="00056E42"/>
    <w:rsid w:val="0005776C"/>
    <w:rsid w:val="00060863"/>
    <w:rsid w:val="00060F93"/>
    <w:rsid w:val="000613E5"/>
    <w:rsid w:val="0006310A"/>
    <w:rsid w:val="0006320E"/>
    <w:rsid w:val="00063A45"/>
    <w:rsid w:val="00064B0A"/>
    <w:rsid w:val="00065CCA"/>
    <w:rsid w:val="00066B83"/>
    <w:rsid w:val="000678CA"/>
    <w:rsid w:val="00070F7D"/>
    <w:rsid w:val="000713F4"/>
    <w:rsid w:val="00071BD4"/>
    <w:rsid w:val="00072A2A"/>
    <w:rsid w:val="00073FB1"/>
    <w:rsid w:val="000747AB"/>
    <w:rsid w:val="00074D0E"/>
    <w:rsid w:val="00077681"/>
    <w:rsid w:val="00077A99"/>
    <w:rsid w:val="00082EE3"/>
    <w:rsid w:val="00083FC5"/>
    <w:rsid w:val="0008639E"/>
    <w:rsid w:val="00086F03"/>
    <w:rsid w:val="000901D2"/>
    <w:rsid w:val="0009170B"/>
    <w:rsid w:val="000919B2"/>
    <w:rsid w:val="00091FB8"/>
    <w:rsid w:val="0009254F"/>
    <w:rsid w:val="0009524A"/>
    <w:rsid w:val="00096AD2"/>
    <w:rsid w:val="00096AFC"/>
    <w:rsid w:val="00097E15"/>
    <w:rsid w:val="000A0F2A"/>
    <w:rsid w:val="000A12B9"/>
    <w:rsid w:val="000A1422"/>
    <w:rsid w:val="000A4724"/>
    <w:rsid w:val="000A4C3F"/>
    <w:rsid w:val="000A4CBA"/>
    <w:rsid w:val="000A5658"/>
    <w:rsid w:val="000A681A"/>
    <w:rsid w:val="000A73E2"/>
    <w:rsid w:val="000A7D74"/>
    <w:rsid w:val="000B0176"/>
    <w:rsid w:val="000B0C01"/>
    <w:rsid w:val="000B153E"/>
    <w:rsid w:val="000B1809"/>
    <w:rsid w:val="000B21DC"/>
    <w:rsid w:val="000B2417"/>
    <w:rsid w:val="000B40AB"/>
    <w:rsid w:val="000B4378"/>
    <w:rsid w:val="000B48BE"/>
    <w:rsid w:val="000B4DCD"/>
    <w:rsid w:val="000B5599"/>
    <w:rsid w:val="000B71B4"/>
    <w:rsid w:val="000B7A09"/>
    <w:rsid w:val="000B7C86"/>
    <w:rsid w:val="000C1578"/>
    <w:rsid w:val="000C217A"/>
    <w:rsid w:val="000C3AB1"/>
    <w:rsid w:val="000C509B"/>
    <w:rsid w:val="000C56F1"/>
    <w:rsid w:val="000C5E30"/>
    <w:rsid w:val="000C63AC"/>
    <w:rsid w:val="000C68EE"/>
    <w:rsid w:val="000C6D4E"/>
    <w:rsid w:val="000C7021"/>
    <w:rsid w:val="000C71B4"/>
    <w:rsid w:val="000C79F9"/>
    <w:rsid w:val="000C7BFC"/>
    <w:rsid w:val="000D1072"/>
    <w:rsid w:val="000D2345"/>
    <w:rsid w:val="000D3DAC"/>
    <w:rsid w:val="000D5577"/>
    <w:rsid w:val="000D75D2"/>
    <w:rsid w:val="000E028F"/>
    <w:rsid w:val="000E0575"/>
    <w:rsid w:val="000E0949"/>
    <w:rsid w:val="000E0B9C"/>
    <w:rsid w:val="000E10BF"/>
    <w:rsid w:val="000E2580"/>
    <w:rsid w:val="000E4134"/>
    <w:rsid w:val="000E41FA"/>
    <w:rsid w:val="000E42A2"/>
    <w:rsid w:val="000E567C"/>
    <w:rsid w:val="000E5F2A"/>
    <w:rsid w:val="000E68A9"/>
    <w:rsid w:val="000E7348"/>
    <w:rsid w:val="000E7A93"/>
    <w:rsid w:val="000F04A2"/>
    <w:rsid w:val="000F08A0"/>
    <w:rsid w:val="000F0A2A"/>
    <w:rsid w:val="000F10D4"/>
    <w:rsid w:val="000F19DB"/>
    <w:rsid w:val="000F2EEF"/>
    <w:rsid w:val="000F2F25"/>
    <w:rsid w:val="000F36BC"/>
    <w:rsid w:val="000F3A05"/>
    <w:rsid w:val="000F42B2"/>
    <w:rsid w:val="000F44D6"/>
    <w:rsid w:val="000F50B6"/>
    <w:rsid w:val="000F6327"/>
    <w:rsid w:val="00100D98"/>
    <w:rsid w:val="0010114F"/>
    <w:rsid w:val="00101A78"/>
    <w:rsid w:val="0010284A"/>
    <w:rsid w:val="0010340B"/>
    <w:rsid w:val="001035DF"/>
    <w:rsid w:val="00103C10"/>
    <w:rsid w:val="00103D1C"/>
    <w:rsid w:val="0010416C"/>
    <w:rsid w:val="001042E6"/>
    <w:rsid w:val="00104AB7"/>
    <w:rsid w:val="0010726C"/>
    <w:rsid w:val="001072CF"/>
    <w:rsid w:val="001076F9"/>
    <w:rsid w:val="00107A2B"/>
    <w:rsid w:val="00110DD7"/>
    <w:rsid w:val="0011189A"/>
    <w:rsid w:val="001135C1"/>
    <w:rsid w:val="00113DB0"/>
    <w:rsid w:val="0011462B"/>
    <w:rsid w:val="001147EF"/>
    <w:rsid w:val="00114C9D"/>
    <w:rsid w:val="001152BF"/>
    <w:rsid w:val="00115FA0"/>
    <w:rsid w:val="001165E5"/>
    <w:rsid w:val="001174F1"/>
    <w:rsid w:val="00117674"/>
    <w:rsid w:val="00120082"/>
    <w:rsid w:val="00121081"/>
    <w:rsid w:val="00121863"/>
    <w:rsid w:val="001219D2"/>
    <w:rsid w:val="0012226F"/>
    <w:rsid w:val="0012253D"/>
    <w:rsid w:val="00122E41"/>
    <w:rsid w:val="0012385C"/>
    <w:rsid w:val="00124FF8"/>
    <w:rsid w:val="001267F4"/>
    <w:rsid w:val="001269C1"/>
    <w:rsid w:val="00126ED0"/>
    <w:rsid w:val="00127299"/>
    <w:rsid w:val="0012759A"/>
    <w:rsid w:val="001277FD"/>
    <w:rsid w:val="00130F32"/>
    <w:rsid w:val="00130F7D"/>
    <w:rsid w:val="001320B6"/>
    <w:rsid w:val="00132544"/>
    <w:rsid w:val="00134408"/>
    <w:rsid w:val="00134659"/>
    <w:rsid w:val="00134EA4"/>
    <w:rsid w:val="001359FB"/>
    <w:rsid w:val="001362B9"/>
    <w:rsid w:val="00136AA1"/>
    <w:rsid w:val="001405CC"/>
    <w:rsid w:val="00140C09"/>
    <w:rsid w:val="0014124C"/>
    <w:rsid w:val="00141FDF"/>
    <w:rsid w:val="00142B21"/>
    <w:rsid w:val="00142C26"/>
    <w:rsid w:val="00142DB7"/>
    <w:rsid w:val="00143600"/>
    <w:rsid w:val="0014383B"/>
    <w:rsid w:val="0014622F"/>
    <w:rsid w:val="00147144"/>
    <w:rsid w:val="00147418"/>
    <w:rsid w:val="0014748E"/>
    <w:rsid w:val="001477A2"/>
    <w:rsid w:val="00151027"/>
    <w:rsid w:val="001526CD"/>
    <w:rsid w:val="0015529C"/>
    <w:rsid w:val="00156235"/>
    <w:rsid w:val="00157E14"/>
    <w:rsid w:val="00161F6C"/>
    <w:rsid w:val="0016253A"/>
    <w:rsid w:val="00162902"/>
    <w:rsid w:val="001634C0"/>
    <w:rsid w:val="00163B6F"/>
    <w:rsid w:val="00164E83"/>
    <w:rsid w:val="001652D6"/>
    <w:rsid w:val="00165AA1"/>
    <w:rsid w:val="00166B2A"/>
    <w:rsid w:val="00166E2D"/>
    <w:rsid w:val="00170B6C"/>
    <w:rsid w:val="0017219F"/>
    <w:rsid w:val="00174A4D"/>
    <w:rsid w:val="001754A1"/>
    <w:rsid w:val="00175D3D"/>
    <w:rsid w:val="00176DA7"/>
    <w:rsid w:val="001802E1"/>
    <w:rsid w:val="001803C9"/>
    <w:rsid w:val="00180E56"/>
    <w:rsid w:val="00180EE0"/>
    <w:rsid w:val="00180F95"/>
    <w:rsid w:val="001810DD"/>
    <w:rsid w:val="001813F1"/>
    <w:rsid w:val="0018144F"/>
    <w:rsid w:val="00181D99"/>
    <w:rsid w:val="00182B2D"/>
    <w:rsid w:val="00182CA1"/>
    <w:rsid w:val="00183D24"/>
    <w:rsid w:val="00183EF0"/>
    <w:rsid w:val="00184B80"/>
    <w:rsid w:val="001856CE"/>
    <w:rsid w:val="00185CF7"/>
    <w:rsid w:val="0018600A"/>
    <w:rsid w:val="00186575"/>
    <w:rsid w:val="001871EA"/>
    <w:rsid w:val="0019056C"/>
    <w:rsid w:val="00190641"/>
    <w:rsid w:val="0019142E"/>
    <w:rsid w:val="001914A3"/>
    <w:rsid w:val="00192B3D"/>
    <w:rsid w:val="00197DA1"/>
    <w:rsid w:val="001A0DD3"/>
    <w:rsid w:val="001A15E9"/>
    <w:rsid w:val="001A2518"/>
    <w:rsid w:val="001A27E8"/>
    <w:rsid w:val="001A2848"/>
    <w:rsid w:val="001A2F82"/>
    <w:rsid w:val="001A34A0"/>
    <w:rsid w:val="001A4C39"/>
    <w:rsid w:val="001A6E34"/>
    <w:rsid w:val="001A72FF"/>
    <w:rsid w:val="001A731E"/>
    <w:rsid w:val="001B0645"/>
    <w:rsid w:val="001B0B64"/>
    <w:rsid w:val="001B1144"/>
    <w:rsid w:val="001B14D9"/>
    <w:rsid w:val="001B200F"/>
    <w:rsid w:val="001B2BFF"/>
    <w:rsid w:val="001B3D6E"/>
    <w:rsid w:val="001B454F"/>
    <w:rsid w:val="001B545A"/>
    <w:rsid w:val="001B583F"/>
    <w:rsid w:val="001B5933"/>
    <w:rsid w:val="001C026A"/>
    <w:rsid w:val="001C04ED"/>
    <w:rsid w:val="001C1E7D"/>
    <w:rsid w:val="001C2887"/>
    <w:rsid w:val="001C32C8"/>
    <w:rsid w:val="001C3EE1"/>
    <w:rsid w:val="001C424A"/>
    <w:rsid w:val="001C5A80"/>
    <w:rsid w:val="001C686D"/>
    <w:rsid w:val="001C7399"/>
    <w:rsid w:val="001C76BA"/>
    <w:rsid w:val="001D0261"/>
    <w:rsid w:val="001D3425"/>
    <w:rsid w:val="001D4A5A"/>
    <w:rsid w:val="001E07EC"/>
    <w:rsid w:val="001E096E"/>
    <w:rsid w:val="001E158D"/>
    <w:rsid w:val="001E1AEE"/>
    <w:rsid w:val="001E1F43"/>
    <w:rsid w:val="001E2D04"/>
    <w:rsid w:val="001E2EC1"/>
    <w:rsid w:val="001E3791"/>
    <w:rsid w:val="001E5A10"/>
    <w:rsid w:val="001E5D10"/>
    <w:rsid w:val="001E65C7"/>
    <w:rsid w:val="001E6C3A"/>
    <w:rsid w:val="001E6D15"/>
    <w:rsid w:val="001E7829"/>
    <w:rsid w:val="001E7B65"/>
    <w:rsid w:val="001F0017"/>
    <w:rsid w:val="001F0B4B"/>
    <w:rsid w:val="001F213C"/>
    <w:rsid w:val="001F3E87"/>
    <w:rsid w:val="001F4795"/>
    <w:rsid w:val="001F5500"/>
    <w:rsid w:val="001F58FA"/>
    <w:rsid w:val="001F7057"/>
    <w:rsid w:val="001F7292"/>
    <w:rsid w:val="001F77C2"/>
    <w:rsid w:val="001F7826"/>
    <w:rsid w:val="00200F0C"/>
    <w:rsid w:val="00201BA7"/>
    <w:rsid w:val="002024E8"/>
    <w:rsid w:val="00203302"/>
    <w:rsid w:val="00204222"/>
    <w:rsid w:val="00204363"/>
    <w:rsid w:val="002043F4"/>
    <w:rsid w:val="00204646"/>
    <w:rsid w:val="002060EE"/>
    <w:rsid w:val="00206744"/>
    <w:rsid w:val="00207773"/>
    <w:rsid w:val="002105A4"/>
    <w:rsid w:val="00211409"/>
    <w:rsid w:val="002141A0"/>
    <w:rsid w:val="002144BA"/>
    <w:rsid w:val="00214DBA"/>
    <w:rsid w:val="002153C1"/>
    <w:rsid w:val="00215ADA"/>
    <w:rsid w:val="00216ECE"/>
    <w:rsid w:val="002173C5"/>
    <w:rsid w:val="00220801"/>
    <w:rsid w:val="0022091D"/>
    <w:rsid w:val="00220C5E"/>
    <w:rsid w:val="0022189C"/>
    <w:rsid w:val="00221CD0"/>
    <w:rsid w:val="0022295E"/>
    <w:rsid w:val="00222E25"/>
    <w:rsid w:val="002237F8"/>
    <w:rsid w:val="00225A42"/>
    <w:rsid w:val="00227385"/>
    <w:rsid w:val="00231B59"/>
    <w:rsid w:val="0023274F"/>
    <w:rsid w:val="00232A22"/>
    <w:rsid w:val="00232BC6"/>
    <w:rsid w:val="0023312A"/>
    <w:rsid w:val="00233C2E"/>
    <w:rsid w:val="002346DD"/>
    <w:rsid w:val="00234C53"/>
    <w:rsid w:val="002359FA"/>
    <w:rsid w:val="00236802"/>
    <w:rsid w:val="00236EC6"/>
    <w:rsid w:val="0023704E"/>
    <w:rsid w:val="00237291"/>
    <w:rsid w:val="00242A4E"/>
    <w:rsid w:val="00243119"/>
    <w:rsid w:val="00243BCC"/>
    <w:rsid w:val="00244C7B"/>
    <w:rsid w:val="0024517A"/>
    <w:rsid w:val="002461B4"/>
    <w:rsid w:val="00247378"/>
    <w:rsid w:val="002508A4"/>
    <w:rsid w:val="002509CA"/>
    <w:rsid w:val="00250BD0"/>
    <w:rsid w:val="00251EB5"/>
    <w:rsid w:val="00253812"/>
    <w:rsid w:val="002539B7"/>
    <w:rsid w:val="0025472B"/>
    <w:rsid w:val="002549D0"/>
    <w:rsid w:val="00255367"/>
    <w:rsid w:val="002556F8"/>
    <w:rsid w:val="00255953"/>
    <w:rsid w:val="00255EF1"/>
    <w:rsid w:val="00260377"/>
    <w:rsid w:val="00261A28"/>
    <w:rsid w:val="00261B5C"/>
    <w:rsid w:val="00261C8F"/>
    <w:rsid w:val="00262AE0"/>
    <w:rsid w:val="002643B7"/>
    <w:rsid w:val="002646D1"/>
    <w:rsid w:val="002648DA"/>
    <w:rsid w:val="002649D1"/>
    <w:rsid w:val="002659B9"/>
    <w:rsid w:val="00266654"/>
    <w:rsid w:val="0027029D"/>
    <w:rsid w:val="002718A9"/>
    <w:rsid w:val="0027190C"/>
    <w:rsid w:val="00271CB9"/>
    <w:rsid w:val="00272074"/>
    <w:rsid w:val="00272F4B"/>
    <w:rsid w:val="00272FFB"/>
    <w:rsid w:val="002731A1"/>
    <w:rsid w:val="00273A83"/>
    <w:rsid w:val="00273D33"/>
    <w:rsid w:val="002743D7"/>
    <w:rsid w:val="002744F6"/>
    <w:rsid w:val="00275721"/>
    <w:rsid w:val="00275820"/>
    <w:rsid w:val="002767CC"/>
    <w:rsid w:val="00276B29"/>
    <w:rsid w:val="002777C6"/>
    <w:rsid w:val="00281313"/>
    <w:rsid w:val="00281516"/>
    <w:rsid w:val="00281B31"/>
    <w:rsid w:val="00282A86"/>
    <w:rsid w:val="002831BF"/>
    <w:rsid w:val="0028369C"/>
    <w:rsid w:val="002842F9"/>
    <w:rsid w:val="00285810"/>
    <w:rsid w:val="00285E6D"/>
    <w:rsid w:val="00286095"/>
    <w:rsid w:val="00286428"/>
    <w:rsid w:val="002871DD"/>
    <w:rsid w:val="002879E9"/>
    <w:rsid w:val="0029141F"/>
    <w:rsid w:val="00292D64"/>
    <w:rsid w:val="00292D85"/>
    <w:rsid w:val="00293792"/>
    <w:rsid w:val="002938C6"/>
    <w:rsid w:val="00293F36"/>
    <w:rsid w:val="00293FCB"/>
    <w:rsid w:val="0029407E"/>
    <w:rsid w:val="0029470F"/>
    <w:rsid w:val="00296AF8"/>
    <w:rsid w:val="002A09B1"/>
    <w:rsid w:val="002A11FD"/>
    <w:rsid w:val="002A1AF2"/>
    <w:rsid w:val="002A2035"/>
    <w:rsid w:val="002A2533"/>
    <w:rsid w:val="002A48B9"/>
    <w:rsid w:val="002A4BE4"/>
    <w:rsid w:val="002A4DE6"/>
    <w:rsid w:val="002A5D5E"/>
    <w:rsid w:val="002A63EF"/>
    <w:rsid w:val="002A647A"/>
    <w:rsid w:val="002A6716"/>
    <w:rsid w:val="002A6859"/>
    <w:rsid w:val="002A6959"/>
    <w:rsid w:val="002B09D6"/>
    <w:rsid w:val="002B2040"/>
    <w:rsid w:val="002B3CF0"/>
    <w:rsid w:val="002B3CFB"/>
    <w:rsid w:val="002B3E5B"/>
    <w:rsid w:val="002B42BA"/>
    <w:rsid w:val="002B4460"/>
    <w:rsid w:val="002B4E27"/>
    <w:rsid w:val="002B578D"/>
    <w:rsid w:val="002B5793"/>
    <w:rsid w:val="002B6834"/>
    <w:rsid w:val="002B6BC3"/>
    <w:rsid w:val="002B6BF6"/>
    <w:rsid w:val="002C2B65"/>
    <w:rsid w:val="002C30AB"/>
    <w:rsid w:val="002C3389"/>
    <w:rsid w:val="002C45EA"/>
    <w:rsid w:val="002C490E"/>
    <w:rsid w:val="002C5ADE"/>
    <w:rsid w:val="002C66D5"/>
    <w:rsid w:val="002C7E01"/>
    <w:rsid w:val="002D01FB"/>
    <w:rsid w:val="002D1F55"/>
    <w:rsid w:val="002D2B8F"/>
    <w:rsid w:val="002D5471"/>
    <w:rsid w:val="002E0834"/>
    <w:rsid w:val="002E0B4B"/>
    <w:rsid w:val="002E0DC5"/>
    <w:rsid w:val="002E14D4"/>
    <w:rsid w:val="002E29CF"/>
    <w:rsid w:val="002E2BBD"/>
    <w:rsid w:val="002E3C02"/>
    <w:rsid w:val="002E430A"/>
    <w:rsid w:val="002E4CC2"/>
    <w:rsid w:val="002E4EC2"/>
    <w:rsid w:val="002E52A1"/>
    <w:rsid w:val="002E65B6"/>
    <w:rsid w:val="002E6A89"/>
    <w:rsid w:val="002E6D1E"/>
    <w:rsid w:val="002E7E8A"/>
    <w:rsid w:val="002F01F3"/>
    <w:rsid w:val="002F0722"/>
    <w:rsid w:val="002F1D45"/>
    <w:rsid w:val="002F22B4"/>
    <w:rsid w:val="002F5C41"/>
    <w:rsid w:val="00300599"/>
    <w:rsid w:val="00300738"/>
    <w:rsid w:val="00301100"/>
    <w:rsid w:val="003027A6"/>
    <w:rsid w:val="00304D96"/>
    <w:rsid w:val="0030509A"/>
    <w:rsid w:val="00305F9C"/>
    <w:rsid w:val="00306849"/>
    <w:rsid w:val="0031023A"/>
    <w:rsid w:val="003107E1"/>
    <w:rsid w:val="00310822"/>
    <w:rsid w:val="003119C8"/>
    <w:rsid w:val="00312081"/>
    <w:rsid w:val="00312159"/>
    <w:rsid w:val="003149E1"/>
    <w:rsid w:val="003152CC"/>
    <w:rsid w:val="00315AE2"/>
    <w:rsid w:val="00315BB5"/>
    <w:rsid w:val="003165BD"/>
    <w:rsid w:val="00316B9C"/>
    <w:rsid w:val="00320012"/>
    <w:rsid w:val="00321653"/>
    <w:rsid w:val="00322421"/>
    <w:rsid w:val="00323728"/>
    <w:rsid w:val="00323CBE"/>
    <w:rsid w:val="003250D4"/>
    <w:rsid w:val="003251D3"/>
    <w:rsid w:val="003301D9"/>
    <w:rsid w:val="00333280"/>
    <w:rsid w:val="00333E08"/>
    <w:rsid w:val="0033506D"/>
    <w:rsid w:val="00335BDB"/>
    <w:rsid w:val="00336B26"/>
    <w:rsid w:val="00337243"/>
    <w:rsid w:val="003377B5"/>
    <w:rsid w:val="00340F32"/>
    <w:rsid w:val="00343C76"/>
    <w:rsid w:val="00344512"/>
    <w:rsid w:val="00344600"/>
    <w:rsid w:val="00344975"/>
    <w:rsid w:val="003462B3"/>
    <w:rsid w:val="0034796C"/>
    <w:rsid w:val="003501DF"/>
    <w:rsid w:val="0035277B"/>
    <w:rsid w:val="00353285"/>
    <w:rsid w:val="00353532"/>
    <w:rsid w:val="003539E7"/>
    <w:rsid w:val="003542ED"/>
    <w:rsid w:val="003548EC"/>
    <w:rsid w:val="00354F10"/>
    <w:rsid w:val="00354F12"/>
    <w:rsid w:val="00355FC2"/>
    <w:rsid w:val="003565CE"/>
    <w:rsid w:val="00356F9E"/>
    <w:rsid w:val="0035778F"/>
    <w:rsid w:val="00357B4B"/>
    <w:rsid w:val="003601FF"/>
    <w:rsid w:val="00361106"/>
    <w:rsid w:val="003611C1"/>
    <w:rsid w:val="003615AC"/>
    <w:rsid w:val="00361F2C"/>
    <w:rsid w:val="00361F50"/>
    <w:rsid w:val="00361F94"/>
    <w:rsid w:val="0036222E"/>
    <w:rsid w:val="0036265C"/>
    <w:rsid w:val="0036294A"/>
    <w:rsid w:val="00362A8C"/>
    <w:rsid w:val="00362E83"/>
    <w:rsid w:val="00363662"/>
    <w:rsid w:val="0036529B"/>
    <w:rsid w:val="00365A72"/>
    <w:rsid w:val="00365ECE"/>
    <w:rsid w:val="00366694"/>
    <w:rsid w:val="00366982"/>
    <w:rsid w:val="0037060D"/>
    <w:rsid w:val="00371A3C"/>
    <w:rsid w:val="00373073"/>
    <w:rsid w:val="003730E4"/>
    <w:rsid w:val="003742A9"/>
    <w:rsid w:val="003750BF"/>
    <w:rsid w:val="0038022C"/>
    <w:rsid w:val="0038024E"/>
    <w:rsid w:val="0038052E"/>
    <w:rsid w:val="00380BBC"/>
    <w:rsid w:val="003825A7"/>
    <w:rsid w:val="00382DC9"/>
    <w:rsid w:val="00382DD9"/>
    <w:rsid w:val="00384485"/>
    <w:rsid w:val="0038531C"/>
    <w:rsid w:val="0038568B"/>
    <w:rsid w:val="00385798"/>
    <w:rsid w:val="00386855"/>
    <w:rsid w:val="003874E6"/>
    <w:rsid w:val="003908B5"/>
    <w:rsid w:val="0039109E"/>
    <w:rsid w:val="003911DE"/>
    <w:rsid w:val="00391589"/>
    <w:rsid w:val="00392257"/>
    <w:rsid w:val="00393D7A"/>
    <w:rsid w:val="00394379"/>
    <w:rsid w:val="00394618"/>
    <w:rsid w:val="00396A32"/>
    <w:rsid w:val="00397206"/>
    <w:rsid w:val="0039763C"/>
    <w:rsid w:val="00397B63"/>
    <w:rsid w:val="00397F9A"/>
    <w:rsid w:val="003A0682"/>
    <w:rsid w:val="003A183A"/>
    <w:rsid w:val="003A3CFD"/>
    <w:rsid w:val="003A3E93"/>
    <w:rsid w:val="003A43BA"/>
    <w:rsid w:val="003A4F28"/>
    <w:rsid w:val="003A5FE4"/>
    <w:rsid w:val="003A68A5"/>
    <w:rsid w:val="003A6B16"/>
    <w:rsid w:val="003A6DCF"/>
    <w:rsid w:val="003A7304"/>
    <w:rsid w:val="003A785C"/>
    <w:rsid w:val="003A7E00"/>
    <w:rsid w:val="003B2E77"/>
    <w:rsid w:val="003B4180"/>
    <w:rsid w:val="003B5CFD"/>
    <w:rsid w:val="003B5D88"/>
    <w:rsid w:val="003B6108"/>
    <w:rsid w:val="003B625F"/>
    <w:rsid w:val="003B65F5"/>
    <w:rsid w:val="003B7889"/>
    <w:rsid w:val="003C0A36"/>
    <w:rsid w:val="003C1323"/>
    <w:rsid w:val="003C4447"/>
    <w:rsid w:val="003C59DF"/>
    <w:rsid w:val="003C5C46"/>
    <w:rsid w:val="003C76CC"/>
    <w:rsid w:val="003D005E"/>
    <w:rsid w:val="003D043C"/>
    <w:rsid w:val="003D133E"/>
    <w:rsid w:val="003D15A4"/>
    <w:rsid w:val="003D2C5D"/>
    <w:rsid w:val="003D32F6"/>
    <w:rsid w:val="003D3595"/>
    <w:rsid w:val="003D455E"/>
    <w:rsid w:val="003D4E03"/>
    <w:rsid w:val="003D4EB9"/>
    <w:rsid w:val="003D5F21"/>
    <w:rsid w:val="003D6770"/>
    <w:rsid w:val="003D6FDC"/>
    <w:rsid w:val="003D705A"/>
    <w:rsid w:val="003E14FB"/>
    <w:rsid w:val="003E2BC0"/>
    <w:rsid w:val="003E2D4C"/>
    <w:rsid w:val="003E2FB5"/>
    <w:rsid w:val="003E42F9"/>
    <w:rsid w:val="003E4F43"/>
    <w:rsid w:val="003E60EA"/>
    <w:rsid w:val="003E612A"/>
    <w:rsid w:val="003E73F0"/>
    <w:rsid w:val="003E76AE"/>
    <w:rsid w:val="003E78DF"/>
    <w:rsid w:val="003E795E"/>
    <w:rsid w:val="003E7B01"/>
    <w:rsid w:val="003F0E33"/>
    <w:rsid w:val="003F10B5"/>
    <w:rsid w:val="003F1DFC"/>
    <w:rsid w:val="003F2BC3"/>
    <w:rsid w:val="003F3027"/>
    <w:rsid w:val="003F3AC1"/>
    <w:rsid w:val="003F3E65"/>
    <w:rsid w:val="003F4251"/>
    <w:rsid w:val="003F488B"/>
    <w:rsid w:val="003F4ED5"/>
    <w:rsid w:val="003F54F6"/>
    <w:rsid w:val="003F66AF"/>
    <w:rsid w:val="003F704A"/>
    <w:rsid w:val="003F74A1"/>
    <w:rsid w:val="003F7C03"/>
    <w:rsid w:val="00400077"/>
    <w:rsid w:val="00400477"/>
    <w:rsid w:val="00400789"/>
    <w:rsid w:val="00401B60"/>
    <w:rsid w:val="00401C08"/>
    <w:rsid w:val="00401ECD"/>
    <w:rsid w:val="004024AA"/>
    <w:rsid w:val="00402741"/>
    <w:rsid w:val="00403D27"/>
    <w:rsid w:val="00404973"/>
    <w:rsid w:val="00404C0D"/>
    <w:rsid w:val="00405423"/>
    <w:rsid w:val="0041009D"/>
    <w:rsid w:val="00410A2B"/>
    <w:rsid w:val="004112C8"/>
    <w:rsid w:val="00412930"/>
    <w:rsid w:val="004145AB"/>
    <w:rsid w:val="00414BCE"/>
    <w:rsid w:val="00415D17"/>
    <w:rsid w:val="004177B7"/>
    <w:rsid w:val="0042135A"/>
    <w:rsid w:val="00421992"/>
    <w:rsid w:val="00421BCD"/>
    <w:rsid w:val="00421D38"/>
    <w:rsid w:val="0042260B"/>
    <w:rsid w:val="00424714"/>
    <w:rsid w:val="00427EC2"/>
    <w:rsid w:val="00427FBF"/>
    <w:rsid w:val="0043119E"/>
    <w:rsid w:val="00431AA4"/>
    <w:rsid w:val="0043624F"/>
    <w:rsid w:val="0043662C"/>
    <w:rsid w:val="0044036B"/>
    <w:rsid w:val="004432D7"/>
    <w:rsid w:val="00443F2F"/>
    <w:rsid w:val="004447F0"/>
    <w:rsid w:val="00446BC5"/>
    <w:rsid w:val="0044764F"/>
    <w:rsid w:val="00451237"/>
    <w:rsid w:val="0045174D"/>
    <w:rsid w:val="00451C1C"/>
    <w:rsid w:val="004524F3"/>
    <w:rsid w:val="00454475"/>
    <w:rsid w:val="004557E3"/>
    <w:rsid w:val="004560B8"/>
    <w:rsid w:val="004566A2"/>
    <w:rsid w:val="00456CAE"/>
    <w:rsid w:val="00460345"/>
    <w:rsid w:val="00460E6F"/>
    <w:rsid w:val="00462209"/>
    <w:rsid w:val="0046222C"/>
    <w:rsid w:val="00462513"/>
    <w:rsid w:val="0046255C"/>
    <w:rsid w:val="00463F32"/>
    <w:rsid w:val="00464B98"/>
    <w:rsid w:val="00464D8F"/>
    <w:rsid w:val="00467680"/>
    <w:rsid w:val="0047083E"/>
    <w:rsid w:val="00472207"/>
    <w:rsid w:val="00472F4A"/>
    <w:rsid w:val="00473F2F"/>
    <w:rsid w:val="004767AA"/>
    <w:rsid w:val="00476920"/>
    <w:rsid w:val="00476C50"/>
    <w:rsid w:val="004774E1"/>
    <w:rsid w:val="0048029E"/>
    <w:rsid w:val="00480DE5"/>
    <w:rsid w:val="00480E9C"/>
    <w:rsid w:val="00480FD9"/>
    <w:rsid w:val="00481308"/>
    <w:rsid w:val="00481B11"/>
    <w:rsid w:val="00481E29"/>
    <w:rsid w:val="00482D16"/>
    <w:rsid w:val="00483729"/>
    <w:rsid w:val="00483B0B"/>
    <w:rsid w:val="00483DCA"/>
    <w:rsid w:val="0048575C"/>
    <w:rsid w:val="00485E08"/>
    <w:rsid w:val="0048714E"/>
    <w:rsid w:val="00487B15"/>
    <w:rsid w:val="00487F29"/>
    <w:rsid w:val="0049026B"/>
    <w:rsid w:val="004914D4"/>
    <w:rsid w:val="00491A47"/>
    <w:rsid w:val="00491DF7"/>
    <w:rsid w:val="00492885"/>
    <w:rsid w:val="004929CF"/>
    <w:rsid w:val="004930C1"/>
    <w:rsid w:val="00494485"/>
    <w:rsid w:val="00494F1F"/>
    <w:rsid w:val="0049594A"/>
    <w:rsid w:val="00495B05"/>
    <w:rsid w:val="0049681D"/>
    <w:rsid w:val="004969CC"/>
    <w:rsid w:val="0049777D"/>
    <w:rsid w:val="004977D4"/>
    <w:rsid w:val="004A08E9"/>
    <w:rsid w:val="004A1107"/>
    <w:rsid w:val="004A1572"/>
    <w:rsid w:val="004A3781"/>
    <w:rsid w:val="004A3C80"/>
    <w:rsid w:val="004A47E2"/>
    <w:rsid w:val="004A4A43"/>
    <w:rsid w:val="004A5BEF"/>
    <w:rsid w:val="004A5DD4"/>
    <w:rsid w:val="004A5F60"/>
    <w:rsid w:val="004A5F84"/>
    <w:rsid w:val="004A6080"/>
    <w:rsid w:val="004A6897"/>
    <w:rsid w:val="004A7A78"/>
    <w:rsid w:val="004B2D66"/>
    <w:rsid w:val="004B3DE1"/>
    <w:rsid w:val="004B4379"/>
    <w:rsid w:val="004B45F9"/>
    <w:rsid w:val="004B4D23"/>
    <w:rsid w:val="004B5673"/>
    <w:rsid w:val="004B5F43"/>
    <w:rsid w:val="004B670E"/>
    <w:rsid w:val="004B7FDB"/>
    <w:rsid w:val="004C044F"/>
    <w:rsid w:val="004C0EC2"/>
    <w:rsid w:val="004C3A4F"/>
    <w:rsid w:val="004C3DFD"/>
    <w:rsid w:val="004C43F0"/>
    <w:rsid w:val="004C4A43"/>
    <w:rsid w:val="004C6861"/>
    <w:rsid w:val="004C717F"/>
    <w:rsid w:val="004C760A"/>
    <w:rsid w:val="004C7CDD"/>
    <w:rsid w:val="004D148A"/>
    <w:rsid w:val="004D1A36"/>
    <w:rsid w:val="004D20D0"/>
    <w:rsid w:val="004D323B"/>
    <w:rsid w:val="004D4925"/>
    <w:rsid w:val="004D6814"/>
    <w:rsid w:val="004D79F8"/>
    <w:rsid w:val="004E0902"/>
    <w:rsid w:val="004E14CA"/>
    <w:rsid w:val="004E1556"/>
    <w:rsid w:val="004E264D"/>
    <w:rsid w:val="004E3368"/>
    <w:rsid w:val="004E4953"/>
    <w:rsid w:val="004E56F1"/>
    <w:rsid w:val="004E69E6"/>
    <w:rsid w:val="004E76C2"/>
    <w:rsid w:val="004E79EA"/>
    <w:rsid w:val="004F0173"/>
    <w:rsid w:val="004F0842"/>
    <w:rsid w:val="004F193B"/>
    <w:rsid w:val="004F35C6"/>
    <w:rsid w:val="004F4FD1"/>
    <w:rsid w:val="004F52AE"/>
    <w:rsid w:val="004F57DA"/>
    <w:rsid w:val="00500656"/>
    <w:rsid w:val="00500DCF"/>
    <w:rsid w:val="00503CB9"/>
    <w:rsid w:val="00504A34"/>
    <w:rsid w:val="00506E1C"/>
    <w:rsid w:val="0051021E"/>
    <w:rsid w:val="00511B0F"/>
    <w:rsid w:val="00512498"/>
    <w:rsid w:val="0051306E"/>
    <w:rsid w:val="00514784"/>
    <w:rsid w:val="0051524E"/>
    <w:rsid w:val="005158DC"/>
    <w:rsid w:val="0051595D"/>
    <w:rsid w:val="005159AC"/>
    <w:rsid w:val="00516BE5"/>
    <w:rsid w:val="0052027F"/>
    <w:rsid w:val="0052046F"/>
    <w:rsid w:val="005205AE"/>
    <w:rsid w:val="005207C4"/>
    <w:rsid w:val="00520822"/>
    <w:rsid w:val="00520CC5"/>
    <w:rsid w:val="00522E05"/>
    <w:rsid w:val="00523809"/>
    <w:rsid w:val="005243EC"/>
    <w:rsid w:val="00524D6E"/>
    <w:rsid w:val="00524F6B"/>
    <w:rsid w:val="00525D0C"/>
    <w:rsid w:val="0052664A"/>
    <w:rsid w:val="00526F71"/>
    <w:rsid w:val="0053029C"/>
    <w:rsid w:val="0053288C"/>
    <w:rsid w:val="00532C36"/>
    <w:rsid w:val="005354DC"/>
    <w:rsid w:val="00536C20"/>
    <w:rsid w:val="00537DDF"/>
    <w:rsid w:val="00540822"/>
    <w:rsid w:val="00540FBC"/>
    <w:rsid w:val="005412E6"/>
    <w:rsid w:val="005413B8"/>
    <w:rsid w:val="0054305D"/>
    <w:rsid w:val="00543376"/>
    <w:rsid w:val="005434E5"/>
    <w:rsid w:val="005435B4"/>
    <w:rsid w:val="00544A17"/>
    <w:rsid w:val="00544A77"/>
    <w:rsid w:val="00545B30"/>
    <w:rsid w:val="005473CC"/>
    <w:rsid w:val="00550ADB"/>
    <w:rsid w:val="00551EE8"/>
    <w:rsid w:val="00553235"/>
    <w:rsid w:val="0055329C"/>
    <w:rsid w:val="00554875"/>
    <w:rsid w:val="00554E5D"/>
    <w:rsid w:val="00554F1E"/>
    <w:rsid w:val="00554F47"/>
    <w:rsid w:val="00555166"/>
    <w:rsid w:val="00555231"/>
    <w:rsid w:val="00555504"/>
    <w:rsid w:val="005558B3"/>
    <w:rsid w:val="0055611D"/>
    <w:rsid w:val="005565DB"/>
    <w:rsid w:val="00556ABA"/>
    <w:rsid w:val="00556D34"/>
    <w:rsid w:val="005574CC"/>
    <w:rsid w:val="00557C4C"/>
    <w:rsid w:val="00557D5D"/>
    <w:rsid w:val="00560D91"/>
    <w:rsid w:val="00561212"/>
    <w:rsid w:val="00561897"/>
    <w:rsid w:val="00561B9C"/>
    <w:rsid w:val="0056242E"/>
    <w:rsid w:val="005627E2"/>
    <w:rsid w:val="00564C07"/>
    <w:rsid w:val="00565EB0"/>
    <w:rsid w:val="0056760B"/>
    <w:rsid w:val="005678A0"/>
    <w:rsid w:val="00567ECA"/>
    <w:rsid w:val="0057098B"/>
    <w:rsid w:val="00571DB8"/>
    <w:rsid w:val="00573FEE"/>
    <w:rsid w:val="0057429D"/>
    <w:rsid w:val="0057452B"/>
    <w:rsid w:val="0057537B"/>
    <w:rsid w:val="00575706"/>
    <w:rsid w:val="005771B5"/>
    <w:rsid w:val="005771D1"/>
    <w:rsid w:val="00580B90"/>
    <w:rsid w:val="005819F3"/>
    <w:rsid w:val="00583F7A"/>
    <w:rsid w:val="00584085"/>
    <w:rsid w:val="00584248"/>
    <w:rsid w:val="00584C17"/>
    <w:rsid w:val="0058516C"/>
    <w:rsid w:val="00586804"/>
    <w:rsid w:val="00586F2A"/>
    <w:rsid w:val="0058768E"/>
    <w:rsid w:val="00590A70"/>
    <w:rsid w:val="00590CA0"/>
    <w:rsid w:val="00591550"/>
    <w:rsid w:val="00592598"/>
    <w:rsid w:val="0059643C"/>
    <w:rsid w:val="00596AD3"/>
    <w:rsid w:val="00597C3F"/>
    <w:rsid w:val="005A03B4"/>
    <w:rsid w:val="005A21A4"/>
    <w:rsid w:val="005A3576"/>
    <w:rsid w:val="005A51AC"/>
    <w:rsid w:val="005A5541"/>
    <w:rsid w:val="005A689F"/>
    <w:rsid w:val="005A7430"/>
    <w:rsid w:val="005A79BC"/>
    <w:rsid w:val="005B0D5D"/>
    <w:rsid w:val="005B1119"/>
    <w:rsid w:val="005B12A4"/>
    <w:rsid w:val="005B27A5"/>
    <w:rsid w:val="005B2913"/>
    <w:rsid w:val="005B2AA7"/>
    <w:rsid w:val="005B2F9E"/>
    <w:rsid w:val="005B48AE"/>
    <w:rsid w:val="005B60C9"/>
    <w:rsid w:val="005B648A"/>
    <w:rsid w:val="005B708B"/>
    <w:rsid w:val="005B7837"/>
    <w:rsid w:val="005C065C"/>
    <w:rsid w:val="005C17FB"/>
    <w:rsid w:val="005C2132"/>
    <w:rsid w:val="005C3424"/>
    <w:rsid w:val="005C38B6"/>
    <w:rsid w:val="005C3BD6"/>
    <w:rsid w:val="005C5FD1"/>
    <w:rsid w:val="005C6331"/>
    <w:rsid w:val="005C6D02"/>
    <w:rsid w:val="005C6DAE"/>
    <w:rsid w:val="005C7019"/>
    <w:rsid w:val="005C7F3E"/>
    <w:rsid w:val="005D0C15"/>
    <w:rsid w:val="005D1D27"/>
    <w:rsid w:val="005D3364"/>
    <w:rsid w:val="005D3585"/>
    <w:rsid w:val="005D3ABD"/>
    <w:rsid w:val="005D48A6"/>
    <w:rsid w:val="005D53BD"/>
    <w:rsid w:val="005D6C8A"/>
    <w:rsid w:val="005D7448"/>
    <w:rsid w:val="005D7C25"/>
    <w:rsid w:val="005E2BA4"/>
    <w:rsid w:val="005E2E04"/>
    <w:rsid w:val="005E3732"/>
    <w:rsid w:val="005E4FCD"/>
    <w:rsid w:val="005E53B4"/>
    <w:rsid w:val="005E5B7E"/>
    <w:rsid w:val="005E6C4E"/>
    <w:rsid w:val="005F25E9"/>
    <w:rsid w:val="005F36DF"/>
    <w:rsid w:val="005F374C"/>
    <w:rsid w:val="005F4E13"/>
    <w:rsid w:val="005F5393"/>
    <w:rsid w:val="005F6121"/>
    <w:rsid w:val="005F6543"/>
    <w:rsid w:val="005F670E"/>
    <w:rsid w:val="005F69C3"/>
    <w:rsid w:val="005F74C5"/>
    <w:rsid w:val="005F7547"/>
    <w:rsid w:val="005F7C21"/>
    <w:rsid w:val="00600FFE"/>
    <w:rsid w:val="006016B8"/>
    <w:rsid w:val="00601799"/>
    <w:rsid w:val="00601DA3"/>
    <w:rsid w:val="006020B0"/>
    <w:rsid w:val="006023D7"/>
    <w:rsid w:val="00602532"/>
    <w:rsid w:val="006025C6"/>
    <w:rsid w:val="00603094"/>
    <w:rsid w:val="00604678"/>
    <w:rsid w:val="006049C9"/>
    <w:rsid w:val="0060510B"/>
    <w:rsid w:val="00605D63"/>
    <w:rsid w:val="00605DE7"/>
    <w:rsid w:val="0060688F"/>
    <w:rsid w:val="00606A2C"/>
    <w:rsid w:val="006078AE"/>
    <w:rsid w:val="00614107"/>
    <w:rsid w:val="00614161"/>
    <w:rsid w:val="00614391"/>
    <w:rsid w:val="0061631F"/>
    <w:rsid w:val="00621B87"/>
    <w:rsid w:val="00621D8F"/>
    <w:rsid w:val="0062236F"/>
    <w:rsid w:val="00622B90"/>
    <w:rsid w:val="00622F60"/>
    <w:rsid w:val="006235A7"/>
    <w:rsid w:val="00624919"/>
    <w:rsid w:val="00624C03"/>
    <w:rsid w:val="00624F63"/>
    <w:rsid w:val="00625B76"/>
    <w:rsid w:val="006274B1"/>
    <w:rsid w:val="00632806"/>
    <w:rsid w:val="0063285F"/>
    <w:rsid w:val="00632DA4"/>
    <w:rsid w:val="00634889"/>
    <w:rsid w:val="00634D28"/>
    <w:rsid w:val="0063590D"/>
    <w:rsid w:val="006359E3"/>
    <w:rsid w:val="00635D16"/>
    <w:rsid w:val="00635DAB"/>
    <w:rsid w:val="006363C5"/>
    <w:rsid w:val="00636AEE"/>
    <w:rsid w:val="00636E10"/>
    <w:rsid w:val="00641086"/>
    <w:rsid w:val="00641F23"/>
    <w:rsid w:val="006443A7"/>
    <w:rsid w:val="00644E2A"/>
    <w:rsid w:val="006459F1"/>
    <w:rsid w:val="00645ACE"/>
    <w:rsid w:val="006460E7"/>
    <w:rsid w:val="00646AB8"/>
    <w:rsid w:val="00646E0B"/>
    <w:rsid w:val="006473F6"/>
    <w:rsid w:val="00647AD6"/>
    <w:rsid w:val="00647F7E"/>
    <w:rsid w:val="00652CB5"/>
    <w:rsid w:val="00653619"/>
    <w:rsid w:val="00653CAC"/>
    <w:rsid w:val="00654951"/>
    <w:rsid w:val="006561AF"/>
    <w:rsid w:val="0065620C"/>
    <w:rsid w:val="00656980"/>
    <w:rsid w:val="006569BD"/>
    <w:rsid w:val="0065765B"/>
    <w:rsid w:val="0065768A"/>
    <w:rsid w:val="006602AE"/>
    <w:rsid w:val="00660B93"/>
    <w:rsid w:val="00660E9A"/>
    <w:rsid w:val="006620B4"/>
    <w:rsid w:val="0066291B"/>
    <w:rsid w:val="00663F55"/>
    <w:rsid w:val="00664C21"/>
    <w:rsid w:val="00664D31"/>
    <w:rsid w:val="00665EA0"/>
    <w:rsid w:val="006675CC"/>
    <w:rsid w:val="00671167"/>
    <w:rsid w:val="006712BB"/>
    <w:rsid w:val="00671353"/>
    <w:rsid w:val="00672291"/>
    <w:rsid w:val="00672536"/>
    <w:rsid w:val="0067342B"/>
    <w:rsid w:val="00674E95"/>
    <w:rsid w:val="00675210"/>
    <w:rsid w:val="00676BFA"/>
    <w:rsid w:val="00677CEE"/>
    <w:rsid w:val="006802B0"/>
    <w:rsid w:val="00680932"/>
    <w:rsid w:val="00681A37"/>
    <w:rsid w:val="00682490"/>
    <w:rsid w:val="00682B28"/>
    <w:rsid w:val="0068377A"/>
    <w:rsid w:val="006852EE"/>
    <w:rsid w:val="006905D8"/>
    <w:rsid w:val="006916EB"/>
    <w:rsid w:val="0069180F"/>
    <w:rsid w:val="00692DDB"/>
    <w:rsid w:val="006967ED"/>
    <w:rsid w:val="006A019E"/>
    <w:rsid w:val="006A0FFA"/>
    <w:rsid w:val="006A3631"/>
    <w:rsid w:val="006A38A4"/>
    <w:rsid w:val="006A4074"/>
    <w:rsid w:val="006A4554"/>
    <w:rsid w:val="006A4CD4"/>
    <w:rsid w:val="006A5EAD"/>
    <w:rsid w:val="006A6502"/>
    <w:rsid w:val="006A6ADE"/>
    <w:rsid w:val="006A6DEF"/>
    <w:rsid w:val="006A7D21"/>
    <w:rsid w:val="006B057D"/>
    <w:rsid w:val="006B0A07"/>
    <w:rsid w:val="006B2281"/>
    <w:rsid w:val="006B2A7D"/>
    <w:rsid w:val="006B2C89"/>
    <w:rsid w:val="006B3700"/>
    <w:rsid w:val="006B37C1"/>
    <w:rsid w:val="006B3972"/>
    <w:rsid w:val="006B3F19"/>
    <w:rsid w:val="006B3F1F"/>
    <w:rsid w:val="006B4AE1"/>
    <w:rsid w:val="006B569B"/>
    <w:rsid w:val="006B59C7"/>
    <w:rsid w:val="006B6A15"/>
    <w:rsid w:val="006B6D59"/>
    <w:rsid w:val="006B727B"/>
    <w:rsid w:val="006B7814"/>
    <w:rsid w:val="006C13EA"/>
    <w:rsid w:val="006C1C9C"/>
    <w:rsid w:val="006C1EE1"/>
    <w:rsid w:val="006C21CF"/>
    <w:rsid w:val="006C2B08"/>
    <w:rsid w:val="006C2EF2"/>
    <w:rsid w:val="006C3217"/>
    <w:rsid w:val="006C3C2A"/>
    <w:rsid w:val="006C3CB3"/>
    <w:rsid w:val="006C3E4E"/>
    <w:rsid w:val="006C4D6E"/>
    <w:rsid w:val="006C54B2"/>
    <w:rsid w:val="006C59C0"/>
    <w:rsid w:val="006C5C54"/>
    <w:rsid w:val="006C5FFF"/>
    <w:rsid w:val="006D000B"/>
    <w:rsid w:val="006D0176"/>
    <w:rsid w:val="006D1443"/>
    <w:rsid w:val="006D1569"/>
    <w:rsid w:val="006D194C"/>
    <w:rsid w:val="006D1B5C"/>
    <w:rsid w:val="006D221C"/>
    <w:rsid w:val="006D2830"/>
    <w:rsid w:val="006D5BA7"/>
    <w:rsid w:val="006D7252"/>
    <w:rsid w:val="006E01FA"/>
    <w:rsid w:val="006E13DD"/>
    <w:rsid w:val="006E1BAB"/>
    <w:rsid w:val="006E1D71"/>
    <w:rsid w:val="006E209C"/>
    <w:rsid w:val="006E2250"/>
    <w:rsid w:val="006E2716"/>
    <w:rsid w:val="006E279D"/>
    <w:rsid w:val="006E3021"/>
    <w:rsid w:val="006E3E14"/>
    <w:rsid w:val="006E4790"/>
    <w:rsid w:val="006E55FC"/>
    <w:rsid w:val="006E5A46"/>
    <w:rsid w:val="006F17F3"/>
    <w:rsid w:val="006F29FA"/>
    <w:rsid w:val="006F5B82"/>
    <w:rsid w:val="006F5C6F"/>
    <w:rsid w:val="006F6753"/>
    <w:rsid w:val="006F6FA9"/>
    <w:rsid w:val="006F7490"/>
    <w:rsid w:val="0070100C"/>
    <w:rsid w:val="007010A6"/>
    <w:rsid w:val="007011DE"/>
    <w:rsid w:val="007022D0"/>
    <w:rsid w:val="0070275A"/>
    <w:rsid w:val="00702C9C"/>
    <w:rsid w:val="007036A3"/>
    <w:rsid w:val="00704E74"/>
    <w:rsid w:val="00705A4C"/>
    <w:rsid w:val="007067EB"/>
    <w:rsid w:val="00706B00"/>
    <w:rsid w:val="007109E7"/>
    <w:rsid w:val="00711CCF"/>
    <w:rsid w:val="00711CEC"/>
    <w:rsid w:val="0071281B"/>
    <w:rsid w:val="007137C9"/>
    <w:rsid w:val="00713B0C"/>
    <w:rsid w:val="00714D63"/>
    <w:rsid w:val="00716131"/>
    <w:rsid w:val="00717A66"/>
    <w:rsid w:val="007205AE"/>
    <w:rsid w:val="00720875"/>
    <w:rsid w:val="00720ED5"/>
    <w:rsid w:val="007219A1"/>
    <w:rsid w:val="00722119"/>
    <w:rsid w:val="00722B1A"/>
    <w:rsid w:val="00725EBC"/>
    <w:rsid w:val="0072613D"/>
    <w:rsid w:val="007267AC"/>
    <w:rsid w:val="00726F0C"/>
    <w:rsid w:val="00733A3C"/>
    <w:rsid w:val="0073418C"/>
    <w:rsid w:val="007341E8"/>
    <w:rsid w:val="00735563"/>
    <w:rsid w:val="00735C2A"/>
    <w:rsid w:val="00735E41"/>
    <w:rsid w:val="007367BE"/>
    <w:rsid w:val="00741ED5"/>
    <w:rsid w:val="00742E5A"/>
    <w:rsid w:val="007441B3"/>
    <w:rsid w:val="00746481"/>
    <w:rsid w:val="00746D61"/>
    <w:rsid w:val="00747524"/>
    <w:rsid w:val="0075003A"/>
    <w:rsid w:val="0075218E"/>
    <w:rsid w:val="0075245D"/>
    <w:rsid w:val="00752747"/>
    <w:rsid w:val="00752789"/>
    <w:rsid w:val="00753191"/>
    <w:rsid w:val="007534EC"/>
    <w:rsid w:val="00753626"/>
    <w:rsid w:val="00753CF0"/>
    <w:rsid w:val="00753EC0"/>
    <w:rsid w:val="00754CAD"/>
    <w:rsid w:val="00754F05"/>
    <w:rsid w:val="0075587A"/>
    <w:rsid w:val="0076061F"/>
    <w:rsid w:val="007611F4"/>
    <w:rsid w:val="007613A9"/>
    <w:rsid w:val="00761BB4"/>
    <w:rsid w:val="00762238"/>
    <w:rsid w:val="007627A2"/>
    <w:rsid w:val="007629AB"/>
    <w:rsid w:val="00763421"/>
    <w:rsid w:val="00763970"/>
    <w:rsid w:val="00764217"/>
    <w:rsid w:val="0076430D"/>
    <w:rsid w:val="00764FC2"/>
    <w:rsid w:val="00765E7A"/>
    <w:rsid w:val="00766063"/>
    <w:rsid w:val="00766972"/>
    <w:rsid w:val="00770087"/>
    <w:rsid w:val="007701BB"/>
    <w:rsid w:val="0077086F"/>
    <w:rsid w:val="00771FD4"/>
    <w:rsid w:val="00772061"/>
    <w:rsid w:val="007722E9"/>
    <w:rsid w:val="007728CB"/>
    <w:rsid w:val="00772F7C"/>
    <w:rsid w:val="00773700"/>
    <w:rsid w:val="00774021"/>
    <w:rsid w:val="007755DA"/>
    <w:rsid w:val="00775B51"/>
    <w:rsid w:val="00775C3C"/>
    <w:rsid w:val="00776BE0"/>
    <w:rsid w:val="0078310C"/>
    <w:rsid w:val="00783971"/>
    <w:rsid w:val="00784C39"/>
    <w:rsid w:val="007855D4"/>
    <w:rsid w:val="00792192"/>
    <w:rsid w:val="00792F66"/>
    <w:rsid w:val="00793410"/>
    <w:rsid w:val="00793AE8"/>
    <w:rsid w:val="00793C88"/>
    <w:rsid w:val="00794505"/>
    <w:rsid w:val="0079487E"/>
    <w:rsid w:val="007949F5"/>
    <w:rsid w:val="00794CED"/>
    <w:rsid w:val="007957DB"/>
    <w:rsid w:val="00795DD1"/>
    <w:rsid w:val="007965E4"/>
    <w:rsid w:val="00796780"/>
    <w:rsid w:val="007A0566"/>
    <w:rsid w:val="007A0E60"/>
    <w:rsid w:val="007A1A05"/>
    <w:rsid w:val="007A3EC1"/>
    <w:rsid w:val="007A4198"/>
    <w:rsid w:val="007A4666"/>
    <w:rsid w:val="007A56A8"/>
    <w:rsid w:val="007A5B6B"/>
    <w:rsid w:val="007A79D6"/>
    <w:rsid w:val="007A7ED7"/>
    <w:rsid w:val="007B1E79"/>
    <w:rsid w:val="007B29F0"/>
    <w:rsid w:val="007B2E3A"/>
    <w:rsid w:val="007B3175"/>
    <w:rsid w:val="007B32EC"/>
    <w:rsid w:val="007B3A3B"/>
    <w:rsid w:val="007B5C89"/>
    <w:rsid w:val="007B6D74"/>
    <w:rsid w:val="007B7E0A"/>
    <w:rsid w:val="007C0020"/>
    <w:rsid w:val="007C05DF"/>
    <w:rsid w:val="007C0842"/>
    <w:rsid w:val="007C0B6D"/>
    <w:rsid w:val="007C0F6B"/>
    <w:rsid w:val="007C28A2"/>
    <w:rsid w:val="007C2A86"/>
    <w:rsid w:val="007C42ED"/>
    <w:rsid w:val="007C4E38"/>
    <w:rsid w:val="007C547F"/>
    <w:rsid w:val="007C5AE1"/>
    <w:rsid w:val="007C6815"/>
    <w:rsid w:val="007C7E61"/>
    <w:rsid w:val="007D09DE"/>
    <w:rsid w:val="007D12A7"/>
    <w:rsid w:val="007D1509"/>
    <w:rsid w:val="007D1BAB"/>
    <w:rsid w:val="007D2B92"/>
    <w:rsid w:val="007D2D4A"/>
    <w:rsid w:val="007D5EAE"/>
    <w:rsid w:val="007D6280"/>
    <w:rsid w:val="007D64AD"/>
    <w:rsid w:val="007D6C97"/>
    <w:rsid w:val="007D729C"/>
    <w:rsid w:val="007E225D"/>
    <w:rsid w:val="007E35E9"/>
    <w:rsid w:val="007E4192"/>
    <w:rsid w:val="007E4D83"/>
    <w:rsid w:val="007E4F11"/>
    <w:rsid w:val="007E583C"/>
    <w:rsid w:val="007E6BBC"/>
    <w:rsid w:val="007E75DC"/>
    <w:rsid w:val="007E7A15"/>
    <w:rsid w:val="007E7B20"/>
    <w:rsid w:val="007F07B1"/>
    <w:rsid w:val="007F0B9F"/>
    <w:rsid w:val="007F1E42"/>
    <w:rsid w:val="007F2F3D"/>
    <w:rsid w:val="007F3FB6"/>
    <w:rsid w:val="007F5769"/>
    <w:rsid w:val="007F5DD0"/>
    <w:rsid w:val="007F612D"/>
    <w:rsid w:val="007F649C"/>
    <w:rsid w:val="007F67CA"/>
    <w:rsid w:val="007F69F8"/>
    <w:rsid w:val="007F6F48"/>
    <w:rsid w:val="007F710E"/>
    <w:rsid w:val="007F7D18"/>
    <w:rsid w:val="00800378"/>
    <w:rsid w:val="0080074C"/>
    <w:rsid w:val="00800AD4"/>
    <w:rsid w:val="00800E61"/>
    <w:rsid w:val="00801CC7"/>
    <w:rsid w:val="0080403D"/>
    <w:rsid w:val="00804CC3"/>
    <w:rsid w:val="00805BEF"/>
    <w:rsid w:val="008060C1"/>
    <w:rsid w:val="008108D1"/>
    <w:rsid w:val="008113F8"/>
    <w:rsid w:val="008119C1"/>
    <w:rsid w:val="00811F80"/>
    <w:rsid w:val="008136D7"/>
    <w:rsid w:val="00813A5D"/>
    <w:rsid w:val="00814143"/>
    <w:rsid w:val="00814F9E"/>
    <w:rsid w:val="0081648C"/>
    <w:rsid w:val="00817670"/>
    <w:rsid w:val="0082096D"/>
    <w:rsid w:val="008227C4"/>
    <w:rsid w:val="00822CBC"/>
    <w:rsid w:val="0082345B"/>
    <w:rsid w:val="0082554A"/>
    <w:rsid w:val="008269E6"/>
    <w:rsid w:val="00826C66"/>
    <w:rsid w:val="00826DD6"/>
    <w:rsid w:val="00826E8E"/>
    <w:rsid w:val="0082710D"/>
    <w:rsid w:val="0083254A"/>
    <w:rsid w:val="008326E9"/>
    <w:rsid w:val="00833B22"/>
    <w:rsid w:val="00834CF4"/>
    <w:rsid w:val="0083500F"/>
    <w:rsid w:val="00835D8D"/>
    <w:rsid w:val="00836747"/>
    <w:rsid w:val="00840AA8"/>
    <w:rsid w:val="00841353"/>
    <w:rsid w:val="00841AAF"/>
    <w:rsid w:val="008428E3"/>
    <w:rsid w:val="00842955"/>
    <w:rsid w:val="008444DB"/>
    <w:rsid w:val="0084512E"/>
    <w:rsid w:val="00845404"/>
    <w:rsid w:val="00845B67"/>
    <w:rsid w:val="00850BBF"/>
    <w:rsid w:val="0085113D"/>
    <w:rsid w:val="0085186B"/>
    <w:rsid w:val="00851A31"/>
    <w:rsid w:val="0085366F"/>
    <w:rsid w:val="008542C7"/>
    <w:rsid w:val="008543F6"/>
    <w:rsid w:val="008552E8"/>
    <w:rsid w:val="00855FE0"/>
    <w:rsid w:val="00856BF3"/>
    <w:rsid w:val="0085726E"/>
    <w:rsid w:val="008600F0"/>
    <w:rsid w:val="00860186"/>
    <w:rsid w:val="008604F9"/>
    <w:rsid w:val="00860A77"/>
    <w:rsid w:val="008628DC"/>
    <w:rsid w:val="00862C99"/>
    <w:rsid w:val="00863199"/>
    <w:rsid w:val="00863336"/>
    <w:rsid w:val="00863434"/>
    <w:rsid w:val="008637C8"/>
    <w:rsid w:val="00863808"/>
    <w:rsid w:val="00865088"/>
    <w:rsid w:val="0086701D"/>
    <w:rsid w:val="00870446"/>
    <w:rsid w:val="008712CA"/>
    <w:rsid w:val="00873C8F"/>
    <w:rsid w:val="00874513"/>
    <w:rsid w:val="0087473E"/>
    <w:rsid w:val="0087558D"/>
    <w:rsid w:val="00876B90"/>
    <w:rsid w:val="008777D5"/>
    <w:rsid w:val="00877F31"/>
    <w:rsid w:val="00880DA9"/>
    <w:rsid w:val="00881E27"/>
    <w:rsid w:val="00882670"/>
    <w:rsid w:val="00883D9C"/>
    <w:rsid w:val="008845AC"/>
    <w:rsid w:val="00884954"/>
    <w:rsid w:val="00884A0B"/>
    <w:rsid w:val="008859BA"/>
    <w:rsid w:val="00886099"/>
    <w:rsid w:val="008862E7"/>
    <w:rsid w:val="0089019E"/>
    <w:rsid w:val="00891644"/>
    <w:rsid w:val="00891901"/>
    <w:rsid w:val="00893197"/>
    <w:rsid w:val="00893EC4"/>
    <w:rsid w:val="00894C82"/>
    <w:rsid w:val="00894F8A"/>
    <w:rsid w:val="00896CE1"/>
    <w:rsid w:val="0089748C"/>
    <w:rsid w:val="008975A1"/>
    <w:rsid w:val="008976DB"/>
    <w:rsid w:val="008A04EC"/>
    <w:rsid w:val="008A1C9B"/>
    <w:rsid w:val="008A1D5D"/>
    <w:rsid w:val="008A2E44"/>
    <w:rsid w:val="008A3922"/>
    <w:rsid w:val="008A3FA6"/>
    <w:rsid w:val="008A5B8C"/>
    <w:rsid w:val="008A66C6"/>
    <w:rsid w:val="008A6AB6"/>
    <w:rsid w:val="008B08FA"/>
    <w:rsid w:val="008B2AB6"/>
    <w:rsid w:val="008B3BA7"/>
    <w:rsid w:val="008B451F"/>
    <w:rsid w:val="008B4B29"/>
    <w:rsid w:val="008B5DC8"/>
    <w:rsid w:val="008B7A51"/>
    <w:rsid w:val="008B7EBE"/>
    <w:rsid w:val="008C0B78"/>
    <w:rsid w:val="008C2EED"/>
    <w:rsid w:val="008C4B3E"/>
    <w:rsid w:val="008C4E7B"/>
    <w:rsid w:val="008C6948"/>
    <w:rsid w:val="008C7554"/>
    <w:rsid w:val="008D095A"/>
    <w:rsid w:val="008D1AB7"/>
    <w:rsid w:val="008D2B0C"/>
    <w:rsid w:val="008D39D4"/>
    <w:rsid w:val="008D4231"/>
    <w:rsid w:val="008D516D"/>
    <w:rsid w:val="008D5231"/>
    <w:rsid w:val="008D5B0C"/>
    <w:rsid w:val="008D5CF4"/>
    <w:rsid w:val="008D5DBB"/>
    <w:rsid w:val="008D5DCF"/>
    <w:rsid w:val="008E0D26"/>
    <w:rsid w:val="008E0FCF"/>
    <w:rsid w:val="008E1060"/>
    <w:rsid w:val="008E157C"/>
    <w:rsid w:val="008E20AB"/>
    <w:rsid w:val="008E27F9"/>
    <w:rsid w:val="008E2C25"/>
    <w:rsid w:val="008E355C"/>
    <w:rsid w:val="008E4324"/>
    <w:rsid w:val="008E530C"/>
    <w:rsid w:val="008E558F"/>
    <w:rsid w:val="008E5693"/>
    <w:rsid w:val="008E613A"/>
    <w:rsid w:val="008E6C1E"/>
    <w:rsid w:val="008E6CC3"/>
    <w:rsid w:val="008E6F13"/>
    <w:rsid w:val="008F2BE7"/>
    <w:rsid w:val="008F3A45"/>
    <w:rsid w:val="008F427A"/>
    <w:rsid w:val="008F4D2D"/>
    <w:rsid w:val="008F5F88"/>
    <w:rsid w:val="008F690E"/>
    <w:rsid w:val="0090074B"/>
    <w:rsid w:val="00900A50"/>
    <w:rsid w:val="00901EB9"/>
    <w:rsid w:val="009023A2"/>
    <w:rsid w:val="009036F4"/>
    <w:rsid w:val="00903E70"/>
    <w:rsid w:val="00903FEE"/>
    <w:rsid w:val="00904194"/>
    <w:rsid w:val="009046C9"/>
    <w:rsid w:val="0090471A"/>
    <w:rsid w:val="00904D8B"/>
    <w:rsid w:val="00905961"/>
    <w:rsid w:val="0090617B"/>
    <w:rsid w:val="00910597"/>
    <w:rsid w:val="00914C38"/>
    <w:rsid w:val="00916A10"/>
    <w:rsid w:val="00916C2C"/>
    <w:rsid w:val="009170EB"/>
    <w:rsid w:val="00917590"/>
    <w:rsid w:val="0092123F"/>
    <w:rsid w:val="009214A3"/>
    <w:rsid w:val="00923C3C"/>
    <w:rsid w:val="00923EC4"/>
    <w:rsid w:val="009255EF"/>
    <w:rsid w:val="0092567C"/>
    <w:rsid w:val="00925A69"/>
    <w:rsid w:val="00926113"/>
    <w:rsid w:val="00926E6A"/>
    <w:rsid w:val="00926FBE"/>
    <w:rsid w:val="009301BE"/>
    <w:rsid w:val="00931905"/>
    <w:rsid w:val="00932F8E"/>
    <w:rsid w:val="00933320"/>
    <w:rsid w:val="00933849"/>
    <w:rsid w:val="00934143"/>
    <w:rsid w:val="00935D57"/>
    <w:rsid w:val="00935F47"/>
    <w:rsid w:val="0093637C"/>
    <w:rsid w:val="00942316"/>
    <w:rsid w:val="009430D3"/>
    <w:rsid w:val="00944AAB"/>
    <w:rsid w:val="00945827"/>
    <w:rsid w:val="009458A1"/>
    <w:rsid w:val="00945A31"/>
    <w:rsid w:val="0094638C"/>
    <w:rsid w:val="00946DA6"/>
    <w:rsid w:val="00947319"/>
    <w:rsid w:val="00950291"/>
    <w:rsid w:val="00950482"/>
    <w:rsid w:val="00950A00"/>
    <w:rsid w:val="00950FBA"/>
    <w:rsid w:val="00950FBD"/>
    <w:rsid w:val="00952071"/>
    <w:rsid w:val="00952CF1"/>
    <w:rsid w:val="00953922"/>
    <w:rsid w:val="009541EC"/>
    <w:rsid w:val="009546F0"/>
    <w:rsid w:val="00956777"/>
    <w:rsid w:val="009571E3"/>
    <w:rsid w:val="00957842"/>
    <w:rsid w:val="00957AEB"/>
    <w:rsid w:val="0096053F"/>
    <w:rsid w:val="0096215B"/>
    <w:rsid w:val="00962F98"/>
    <w:rsid w:val="0096364D"/>
    <w:rsid w:val="009640B0"/>
    <w:rsid w:val="00964701"/>
    <w:rsid w:val="009648FA"/>
    <w:rsid w:val="00964A11"/>
    <w:rsid w:val="00964A23"/>
    <w:rsid w:val="0096568C"/>
    <w:rsid w:val="00966FF1"/>
    <w:rsid w:val="00967BE9"/>
    <w:rsid w:val="0097084E"/>
    <w:rsid w:val="00970CD0"/>
    <w:rsid w:val="00971533"/>
    <w:rsid w:val="00971918"/>
    <w:rsid w:val="00971A85"/>
    <w:rsid w:val="00972FB4"/>
    <w:rsid w:val="00973101"/>
    <w:rsid w:val="009742C7"/>
    <w:rsid w:val="00975431"/>
    <w:rsid w:val="00977320"/>
    <w:rsid w:val="00977888"/>
    <w:rsid w:val="00977918"/>
    <w:rsid w:val="00980D7B"/>
    <w:rsid w:val="009814B6"/>
    <w:rsid w:val="009827FA"/>
    <w:rsid w:val="009829FB"/>
    <w:rsid w:val="00982D04"/>
    <w:rsid w:val="0098327C"/>
    <w:rsid w:val="009832AD"/>
    <w:rsid w:val="009832B8"/>
    <w:rsid w:val="009841B0"/>
    <w:rsid w:val="0098578B"/>
    <w:rsid w:val="00985DB0"/>
    <w:rsid w:val="00986F4F"/>
    <w:rsid w:val="00987202"/>
    <w:rsid w:val="009877C1"/>
    <w:rsid w:val="00987E8D"/>
    <w:rsid w:val="009902B1"/>
    <w:rsid w:val="00990A61"/>
    <w:rsid w:val="009916E1"/>
    <w:rsid w:val="009933F4"/>
    <w:rsid w:val="00993908"/>
    <w:rsid w:val="00994063"/>
    <w:rsid w:val="009956C8"/>
    <w:rsid w:val="00995EDC"/>
    <w:rsid w:val="009962CB"/>
    <w:rsid w:val="009977A4"/>
    <w:rsid w:val="009A062B"/>
    <w:rsid w:val="009A1B4A"/>
    <w:rsid w:val="009A1E55"/>
    <w:rsid w:val="009A3DFD"/>
    <w:rsid w:val="009A5487"/>
    <w:rsid w:val="009A5529"/>
    <w:rsid w:val="009A591E"/>
    <w:rsid w:val="009A5BD0"/>
    <w:rsid w:val="009A652B"/>
    <w:rsid w:val="009A6A76"/>
    <w:rsid w:val="009A6AB6"/>
    <w:rsid w:val="009B00EB"/>
    <w:rsid w:val="009B0E7F"/>
    <w:rsid w:val="009B1416"/>
    <w:rsid w:val="009B1DD7"/>
    <w:rsid w:val="009B220C"/>
    <w:rsid w:val="009B331B"/>
    <w:rsid w:val="009B64A6"/>
    <w:rsid w:val="009B7B8F"/>
    <w:rsid w:val="009C0E5F"/>
    <w:rsid w:val="009C113C"/>
    <w:rsid w:val="009C2582"/>
    <w:rsid w:val="009C2D91"/>
    <w:rsid w:val="009C2DEC"/>
    <w:rsid w:val="009C3EFB"/>
    <w:rsid w:val="009C4FD8"/>
    <w:rsid w:val="009C7683"/>
    <w:rsid w:val="009D04E7"/>
    <w:rsid w:val="009D1267"/>
    <w:rsid w:val="009D220A"/>
    <w:rsid w:val="009D43E2"/>
    <w:rsid w:val="009D4DE2"/>
    <w:rsid w:val="009D6A2F"/>
    <w:rsid w:val="009D6B54"/>
    <w:rsid w:val="009D6B71"/>
    <w:rsid w:val="009D6EF7"/>
    <w:rsid w:val="009D702D"/>
    <w:rsid w:val="009D70F3"/>
    <w:rsid w:val="009D7421"/>
    <w:rsid w:val="009D77DD"/>
    <w:rsid w:val="009E0AC2"/>
    <w:rsid w:val="009E1661"/>
    <w:rsid w:val="009E241E"/>
    <w:rsid w:val="009E29F1"/>
    <w:rsid w:val="009E320C"/>
    <w:rsid w:val="009E33DB"/>
    <w:rsid w:val="009E3929"/>
    <w:rsid w:val="009E4AE3"/>
    <w:rsid w:val="009E4F57"/>
    <w:rsid w:val="009E5648"/>
    <w:rsid w:val="009E6288"/>
    <w:rsid w:val="009E68B8"/>
    <w:rsid w:val="009E6BAA"/>
    <w:rsid w:val="009E714D"/>
    <w:rsid w:val="009E7F5D"/>
    <w:rsid w:val="009F001B"/>
    <w:rsid w:val="009F0CA6"/>
    <w:rsid w:val="009F0EE6"/>
    <w:rsid w:val="009F1FEF"/>
    <w:rsid w:val="009F5561"/>
    <w:rsid w:val="009F617A"/>
    <w:rsid w:val="009F63AC"/>
    <w:rsid w:val="009F641F"/>
    <w:rsid w:val="009F653D"/>
    <w:rsid w:val="009F6BE6"/>
    <w:rsid w:val="009F7B8C"/>
    <w:rsid w:val="009F7C99"/>
    <w:rsid w:val="009F7E03"/>
    <w:rsid w:val="00A017CC"/>
    <w:rsid w:val="00A021C7"/>
    <w:rsid w:val="00A02DBA"/>
    <w:rsid w:val="00A03004"/>
    <w:rsid w:val="00A04885"/>
    <w:rsid w:val="00A05506"/>
    <w:rsid w:val="00A062F0"/>
    <w:rsid w:val="00A0631C"/>
    <w:rsid w:val="00A077C3"/>
    <w:rsid w:val="00A105C6"/>
    <w:rsid w:val="00A11214"/>
    <w:rsid w:val="00A11E06"/>
    <w:rsid w:val="00A1271B"/>
    <w:rsid w:val="00A142DD"/>
    <w:rsid w:val="00A14752"/>
    <w:rsid w:val="00A1520E"/>
    <w:rsid w:val="00A1581D"/>
    <w:rsid w:val="00A16063"/>
    <w:rsid w:val="00A166DE"/>
    <w:rsid w:val="00A174C4"/>
    <w:rsid w:val="00A1768C"/>
    <w:rsid w:val="00A17813"/>
    <w:rsid w:val="00A17882"/>
    <w:rsid w:val="00A17B24"/>
    <w:rsid w:val="00A203DB"/>
    <w:rsid w:val="00A2123D"/>
    <w:rsid w:val="00A223E0"/>
    <w:rsid w:val="00A22474"/>
    <w:rsid w:val="00A22D82"/>
    <w:rsid w:val="00A233FA"/>
    <w:rsid w:val="00A239C5"/>
    <w:rsid w:val="00A243CC"/>
    <w:rsid w:val="00A24670"/>
    <w:rsid w:val="00A2485F"/>
    <w:rsid w:val="00A24B25"/>
    <w:rsid w:val="00A2502B"/>
    <w:rsid w:val="00A2596E"/>
    <w:rsid w:val="00A25CFB"/>
    <w:rsid w:val="00A30E3A"/>
    <w:rsid w:val="00A30FE5"/>
    <w:rsid w:val="00A32A41"/>
    <w:rsid w:val="00A337F5"/>
    <w:rsid w:val="00A344D2"/>
    <w:rsid w:val="00A35E3B"/>
    <w:rsid w:val="00A36B34"/>
    <w:rsid w:val="00A36ED9"/>
    <w:rsid w:val="00A40816"/>
    <w:rsid w:val="00A40E48"/>
    <w:rsid w:val="00A4172B"/>
    <w:rsid w:val="00A4185B"/>
    <w:rsid w:val="00A41E04"/>
    <w:rsid w:val="00A4239E"/>
    <w:rsid w:val="00A439AD"/>
    <w:rsid w:val="00A43B7A"/>
    <w:rsid w:val="00A43EE9"/>
    <w:rsid w:val="00A445C9"/>
    <w:rsid w:val="00A47072"/>
    <w:rsid w:val="00A473CB"/>
    <w:rsid w:val="00A47F8B"/>
    <w:rsid w:val="00A501F4"/>
    <w:rsid w:val="00A50563"/>
    <w:rsid w:val="00A51B88"/>
    <w:rsid w:val="00A52602"/>
    <w:rsid w:val="00A52CD3"/>
    <w:rsid w:val="00A5364B"/>
    <w:rsid w:val="00A53D48"/>
    <w:rsid w:val="00A53E52"/>
    <w:rsid w:val="00A54200"/>
    <w:rsid w:val="00A547AB"/>
    <w:rsid w:val="00A54A00"/>
    <w:rsid w:val="00A560AD"/>
    <w:rsid w:val="00A561AA"/>
    <w:rsid w:val="00A566A6"/>
    <w:rsid w:val="00A57635"/>
    <w:rsid w:val="00A57A43"/>
    <w:rsid w:val="00A57C3F"/>
    <w:rsid w:val="00A6209A"/>
    <w:rsid w:val="00A62749"/>
    <w:rsid w:val="00A62F6D"/>
    <w:rsid w:val="00A64103"/>
    <w:rsid w:val="00A645F2"/>
    <w:rsid w:val="00A64F1E"/>
    <w:rsid w:val="00A66E31"/>
    <w:rsid w:val="00A70204"/>
    <w:rsid w:val="00A71A10"/>
    <w:rsid w:val="00A71E07"/>
    <w:rsid w:val="00A73E17"/>
    <w:rsid w:val="00A747AF"/>
    <w:rsid w:val="00A74B25"/>
    <w:rsid w:val="00A7575F"/>
    <w:rsid w:val="00A805F1"/>
    <w:rsid w:val="00A807A8"/>
    <w:rsid w:val="00A80F43"/>
    <w:rsid w:val="00A813A0"/>
    <w:rsid w:val="00A82B9E"/>
    <w:rsid w:val="00A8350E"/>
    <w:rsid w:val="00A85276"/>
    <w:rsid w:val="00A85871"/>
    <w:rsid w:val="00A864BD"/>
    <w:rsid w:val="00A8706B"/>
    <w:rsid w:val="00A902DC"/>
    <w:rsid w:val="00A918B0"/>
    <w:rsid w:val="00A92EA7"/>
    <w:rsid w:val="00A93575"/>
    <w:rsid w:val="00A93D7D"/>
    <w:rsid w:val="00A94389"/>
    <w:rsid w:val="00A94639"/>
    <w:rsid w:val="00A94D48"/>
    <w:rsid w:val="00A95244"/>
    <w:rsid w:val="00A9578F"/>
    <w:rsid w:val="00A96023"/>
    <w:rsid w:val="00A96413"/>
    <w:rsid w:val="00AA045B"/>
    <w:rsid w:val="00AA1247"/>
    <w:rsid w:val="00AA12FB"/>
    <w:rsid w:val="00AA1CD9"/>
    <w:rsid w:val="00AA2AD8"/>
    <w:rsid w:val="00AA3448"/>
    <w:rsid w:val="00AA35FF"/>
    <w:rsid w:val="00AA433D"/>
    <w:rsid w:val="00AA46A8"/>
    <w:rsid w:val="00AA51B2"/>
    <w:rsid w:val="00AA577E"/>
    <w:rsid w:val="00AA74EE"/>
    <w:rsid w:val="00AA7B73"/>
    <w:rsid w:val="00AB0099"/>
    <w:rsid w:val="00AB05C9"/>
    <w:rsid w:val="00AB0875"/>
    <w:rsid w:val="00AB0965"/>
    <w:rsid w:val="00AB0EF8"/>
    <w:rsid w:val="00AB22B4"/>
    <w:rsid w:val="00AB290D"/>
    <w:rsid w:val="00AB2F76"/>
    <w:rsid w:val="00AB3C6A"/>
    <w:rsid w:val="00AB4AF3"/>
    <w:rsid w:val="00AB5249"/>
    <w:rsid w:val="00AB62FF"/>
    <w:rsid w:val="00AB7DEF"/>
    <w:rsid w:val="00AC0CB8"/>
    <w:rsid w:val="00AC23EE"/>
    <w:rsid w:val="00AC2D28"/>
    <w:rsid w:val="00AC30BE"/>
    <w:rsid w:val="00AC4DF8"/>
    <w:rsid w:val="00AD050B"/>
    <w:rsid w:val="00AD1841"/>
    <w:rsid w:val="00AD2987"/>
    <w:rsid w:val="00AD3294"/>
    <w:rsid w:val="00AD42DC"/>
    <w:rsid w:val="00AD5524"/>
    <w:rsid w:val="00AD5628"/>
    <w:rsid w:val="00AD579C"/>
    <w:rsid w:val="00AD7474"/>
    <w:rsid w:val="00AD7C66"/>
    <w:rsid w:val="00AE0088"/>
    <w:rsid w:val="00AE1079"/>
    <w:rsid w:val="00AE3C02"/>
    <w:rsid w:val="00AE4E85"/>
    <w:rsid w:val="00AE54DE"/>
    <w:rsid w:val="00AE688D"/>
    <w:rsid w:val="00AE6A48"/>
    <w:rsid w:val="00AE706D"/>
    <w:rsid w:val="00AE7667"/>
    <w:rsid w:val="00AF054B"/>
    <w:rsid w:val="00AF1176"/>
    <w:rsid w:val="00AF1192"/>
    <w:rsid w:val="00AF19A4"/>
    <w:rsid w:val="00AF1A46"/>
    <w:rsid w:val="00AF22E6"/>
    <w:rsid w:val="00AF2827"/>
    <w:rsid w:val="00AF2B47"/>
    <w:rsid w:val="00AF4087"/>
    <w:rsid w:val="00AF4222"/>
    <w:rsid w:val="00AF4A06"/>
    <w:rsid w:val="00AF62E3"/>
    <w:rsid w:val="00AF6FB5"/>
    <w:rsid w:val="00B009AB"/>
    <w:rsid w:val="00B023B3"/>
    <w:rsid w:val="00B02715"/>
    <w:rsid w:val="00B02C38"/>
    <w:rsid w:val="00B040FF"/>
    <w:rsid w:val="00B058DE"/>
    <w:rsid w:val="00B05A16"/>
    <w:rsid w:val="00B05ABE"/>
    <w:rsid w:val="00B05B70"/>
    <w:rsid w:val="00B05C25"/>
    <w:rsid w:val="00B05FCB"/>
    <w:rsid w:val="00B06068"/>
    <w:rsid w:val="00B06579"/>
    <w:rsid w:val="00B06D05"/>
    <w:rsid w:val="00B06E98"/>
    <w:rsid w:val="00B075D1"/>
    <w:rsid w:val="00B10273"/>
    <w:rsid w:val="00B1037D"/>
    <w:rsid w:val="00B121FB"/>
    <w:rsid w:val="00B13280"/>
    <w:rsid w:val="00B14226"/>
    <w:rsid w:val="00B15A4A"/>
    <w:rsid w:val="00B16C30"/>
    <w:rsid w:val="00B17050"/>
    <w:rsid w:val="00B20AA2"/>
    <w:rsid w:val="00B21926"/>
    <w:rsid w:val="00B21F99"/>
    <w:rsid w:val="00B23BDE"/>
    <w:rsid w:val="00B245E7"/>
    <w:rsid w:val="00B24BAA"/>
    <w:rsid w:val="00B26B18"/>
    <w:rsid w:val="00B30409"/>
    <w:rsid w:val="00B30D55"/>
    <w:rsid w:val="00B3202D"/>
    <w:rsid w:val="00B320FB"/>
    <w:rsid w:val="00B33FDB"/>
    <w:rsid w:val="00B35663"/>
    <w:rsid w:val="00B35816"/>
    <w:rsid w:val="00B3581C"/>
    <w:rsid w:val="00B36385"/>
    <w:rsid w:val="00B36C60"/>
    <w:rsid w:val="00B37754"/>
    <w:rsid w:val="00B405ED"/>
    <w:rsid w:val="00B40E51"/>
    <w:rsid w:val="00B41889"/>
    <w:rsid w:val="00B4201E"/>
    <w:rsid w:val="00B42C98"/>
    <w:rsid w:val="00B42F57"/>
    <w:rsid w:val="00B446C2"/>
    <w:rsid w:val="00B449B2"/>
    <w:rsid w:val="00B4587D"/>
    <w:rsid w:val="00B46716"/>
    <w:rsid w:val="00B47B41"/>
    <w:rsid w:val="00B5074A"/>
    <w:rsid w:val="00B5117E"/>
    <w:rsid w:val="00B5157A"/>
    <w:rsid w:val="00B51AEF"/>
    <w:rsid w:val="00B52B7A"/>
    <w:rsid w:val="00B52E90"/>
    <w:rsid w:val="00B53494"/>
    <w:rsid w:val="00B54925"/>
    <w:rsid w:val="00B54F3F"/>
    <w:rsid w:val="00B55AC3"/>
    <w:rsid w:val="00B568AA"/>
    <w:rsid w:val="00B579AE"/>
    <w:rsid w:val="00B579DB"/>
    <w:rsid w:val="00B57E06"/>
    <w:rsid w:val="00B60635"/>
    <w:rsid w:val="00B60FB3"/>
    <w:rsid w:val="00B63EF2"/>
    <w:rsid w:val="00B64072"/>
    <w:rsid w:val="00B6496A"/>
    <w:rsid w:val="00B66228"/>
    <w:rsid w:val="00B666FF"/>
    <w:rsid w:val="00B668A1"/>
    <w:rsid w:val="00B70745"/>
    <w:rsid w:val="00B70B09"/>
    <w:rsid w:val="00B71C53"/>
    <w:rsid w:val="00B72133"/>
    <w:rsid w:val="00B72CA3"/>
    <w:rsid w:val="00B738F7"/>
    <w:rsid w:val="00B7390D"/>
    <w:rsid w:val="00B75588"/>
    <w:rsid w:val="00B75B27"/>
    <w:rsid w:val="00B75F4B"/>
    <w:rsid w:val="00B76375"/>
    <w:rsid w:val="00B8045A"/>
    <w:rsid w:val="00B817F4"/>
    <w:rsid w:val="00B82ECA"/>
    <w:rsid w:val="00B8382E"/>
    <w:rsid w:val="00B8540A"/>
    <w:rsid w:val="00B855BF"/>
    <w:rsid w:val="00B85D46"/>
    <w:rsid w:val="00B875A8"/>
    <w:rsid w:val="00B879B5"/>
    <w:rsid w:val="00B87DDA"/>
    <w:rsid w:val="00B904E6"/>
    <w:rsid w:val="00B907EB"/>
    <w:rsid w:val="00B90E16"/>
    <w:rsid w:val="00B916C5"/>
    <w:rsid w:val="00B92F52"/>
    <w:rsid w:val="00B9302C"/>
    <w:rsid w:val="00B93C9F"/>
    <w:rsid w:val="00B95F4B"/>
    <w:rsid w:val="00B964A2"/>
    <w:rsid w:val="00B96F80"/>
    <w:rsid w:val="00B97915"/>
    <w:rsid w:val="00BA0C02"/>
    <w:rsid w:val="00BA16E6"/>
    <w:rsid w:val="00BA2BC7"/>
    <w:rsid w:val="00BA30D6"/>
    <w:rsid w:val="00BA3CAB"/>
    <w:rsid w:val="00BA6987"/>
    <w:rsid w:val="00BA6C0B"/>
    <w:rsid w:val="00BA72E7"/>
    <w:rsid w:val="00BA7707"/>
    <w:rsid w:val="00BB0020"/>
    <w:rsid w:val="00BB2B67"/>
    <w:rsid w:val="00BB4E25"/>
    <w:rsid w:val="00BB722C"/>
    <w:rsid w:val="00BC048B"/>
    <w:rsid w:val="00BC2A45"/>
    <w:rsid w:val="00BC2F7A"/>
    <w:rsid w:val="00BC3149"/>
    <w:rsid w:val="00BC4897"/>
    <w:rsid w:val="00BD001F"/>
    <w:rsid w:val="00BD0A5E"/>
    <w:rsid w:val="00BD0FDE"/>
    <w:rsid w:val="00BD11E8"/>
    <w:rsid w:val="00BD167E"/>
    <w:rsid w:val="00BD2377"/>
    <w:rsid w:val="00BD308B"/>
    <w:rsid w:val="00BD392A"/>
    <w:rsid w:val="00BD4C72"/>
    <w:rsid w:val="00BD6121"/>
    <w:rsid w:val="00BD6E4C"/>
    <w:rsid w:val="00BE0B07"/>
    <w:rsid w:val="00BE0E99"/>
    <w:rsid w:val="00BE1E7C"/>
    <w:rsid w:val="00BE201F"/>
    <w:rsid w:val="00BE4FF3"/>
    <w:rsid w:val="00BE5512"/>
    <w:rsid w:val="00BE5CB7"/>
    <w:rsid w:val="00BE6213"/>
    <w:rsid w:val="00BE66AE"/>
    <w:rsid w:val="00BE76DA"/>
    <w:rsid w:val="00BF0410"/>
    <w:rsid w:val="00BF1040"/>
    <w:rsid w:val="00BF18AD"/>
    <w:rsid w:val="00BF1986"/>
    <w:rsid w:val="00BF2446"/>
    <w:rsid w:val="00BF35C5"/>
    <w:rsid w:val="00BF3891"/>
    <w:rsid w:val="00BF3E1C"/>
    <w:rsid w:val="00BF43E6"/>
    <w:rsid w:val="00BF61F6"/>
    <w:rsid w:val="00BF6F96"/>
    <w:rsid w:val="00BF7323"/>
    <w:rsid w:val="00BF7878"/>
    <w:rsid w:val="00C00172"/>
    <w:rsid w:val="00C01033"/>
    <w:rsid w:val="00C010B6"/>
    <w:rsid w:val="00C01D4C"/>
    <w:rsid w:val="00C01DE4"/>
    <w:rsid w:val="00C025FF"/>
    <w:rsid w:val="00C02622"/>
    <w:rsid w:val="00C02760"/>
    <w:rsid w:val="00C02911"/>
    <w:rsid w:val="00C02C33"/>
    <w:rsid w:val="00C03AF5"/>
    <w:rsid w:val="00C03C01"/>
    <w:rsid w:val="00C04950"/>
    <w:rsid w:val="00C06E9A"/>
    <w:rsid w:val="00C070D3"/>
    <w:rsid w:val="00C07E1A"/>
    <w:rsid w:val="00C12513"/>
    <w:rsid w:val="00C12994"/>
    <w:rsid w:val="00C12D7C"/>
    <w:rsid w:val="00C13499"/>
    <w:rsid w:val="00C13A10"/>
    <w:rsid w:val="00C13EFA"/>
    <w:rsid w:val="00C1432C"/>
    <w:rsid w:val="00C151FA"/>
    <w:rsid w:val="00C1692B"/>
    <w:rsid w:val="00C22181"/>
    <w:rsid w:val="00C22BE6"/>
    <w:rsid w:val="00C232ED"/>
    <w:rsid w:val="00C233E8"/>
    <w:rsid w:val="00C237C0"/>
    <w:rsid w:val="00C23A70"/>
    <w:rsid w:val="00C23A87"/>
    <w:rsid w:val="00C2475B"/>
    <w:rsid w:val="00C26785"/>
    <w:rsid w:val="00C2786C"/>
    <w:rsid w:val="00C27940"/>
    <w:rsid w:val="00C30160"/>
    <w:rsid w:val="00C301BD"/>
    <w:rsid w:val="00C31363"/>
    <w:rsid w:val="00C3184B"/>
    <w:rsid w:val="00C31FAB"/>
    <w:rsid w:val="00C329B9"/>
    <w:rsid w:val="00C32C3F"/>
    <w:rsid w:val="00C33260"/>
    <w:rsid w:val="00C33F8C"/>
    <w:rsid w:val="00C354C5"/>
    <w:rsid w:val="00C35666"/>
    <w:rsid w:val="00C361A0"/>
    <w:rsid w:val="00C378B7"/>
    <w:rsid w:val="00C4091B"/>
    <w:rsid w:val="00C433F2"/>
    <w:rsid w:val="00C43682"/>
    <w:rsid w:val="00C43CF8"/>
    <w:rsid w:val="00C45E73"/>
    <w:rsid w:val="00C46244"/>
    <w:rsid w:val="00C46CF8"/>
    <w:rsid w:val="00C47AE8"/>
    <w:rsid w:val="00C50C7D"/>
    <w:rsid w:val="00C5142B"/>
    <w:rsid w:val="00C52ADD"/>
    <w:rsid w:val="00C5347B"/>
    <w:rsid w:val="00C564C9"/>
    <w:rsid w:val="00C564D4"/>
    <w:rsid w:val="00C6244F"/>
    <w:rsid w:val="00C63C4E"/>
    <w:rsid w:val="00C64A48"/>
    <w:rsid w:val="00C66372"/>
    <w:rsid w:val="00C6639D"/>
    <w:rsid w:val="00C66619"/>
    <w:rsid w:val="00C67384"/>
    <w:rsid w:val="00C673BA"/>
    <w:rsid w:val="00C71B3A"/>
    <w:rsid w:val="00C71C8B"/>
    <w:rsid w:val="00C73A1C"/>
    <w:rsid w:val="00C74C7F"/>
    <w:rsid w:val="00C7526F"/>
    <w:rsid w:val="00C75334"/>
    <w:rsid w:val="00C756F3"/>
    <w:rsid w:val="00C76CED"/>
    <w:rsid w:val="00C80B06"/>
    <w:rsid w:val="00C80CD4"/>
    <w:rsid w:val="00C80EE4"/>
    <w:rsid w:val="00C815B4"/>
    <w:rsid w:val="00C8350D"/>
    <w:rsid w:val="00C83E85"/>
    <w:rsid w:val="00C84AA5"/>
    <w:rsid w:val="00C84FBC"/>
    <w:rsid w:val="00C855EE"/>
    <w:rsid w:val="00C85F6E"/>
    <w:rsid w:val="00C86977"/>
    <w:rsid w:val="00C86D8C"/>
    <w:rsid w:val="00C86F71"/>
    <w:rsid w:val="00C90EF0"/>
    <w:rsid w:val="00C90F0E"/>
    <w:rsid w:val="00C91BF2"/>
    <w:rsid w:val="00C9234B"/>
    <w:rsid w:val="00C93B43"/>
    <w:rsid w:val="00C941C5"/>
    <w:rsid w:val="00C95764"/>
    <w:rsid w:val="00C95F10"/>
    <w:rsid w:val="00C96245"/>
    <w:rsid w:val="00C96603"/>
    <w:rsid w:val="00C97185"/>
    <w:rsid w:val="00CA00A3"/>
    <w:rsid w:val="00CA1391"/>
    <w:rsid w:val="00CA28FA"/>
    <w:rsid w:val="00CA2CA0"/>
    <w:rsid w:val="00CA2E1D"/>
    <w:rsid w:val="00CA3B05"/>
    <w:rsid w:val="00CA4B75"/>
    <w:rsid w:val="00CA4FDE"/>
    <w:rsid w:val="00CA5E60"/>
    <w:rsid w:val="00CB0D11"/>
    <w:rsid w:val="00CB13D6"/>
    <w:rsid w:val="00CB24BC"/>
    <w:rsid w:val="00CB2761"/>
    <w:rsid w:val="00CB3603"/>
    <w:rsid w:val="00CB3ACB"/>
    <w:rsid w:val="00CB3EAA"/>
    <w:rsid w:val="00CB5263"/>
    <w:rsid w:val="00CB6CD0"/>
    <w:rsid w:val="00CC0990"/>
    <w:rsid w:val="00CC0AEA"/>
    <w:rsid w:val="00CC11DE"/>
    <w:rsid w:val="00CC173D"/>
    <w:rsid w:val="00CC1E9E"/>
    <w:rsid w:val="00CC275C"/>
    <w:rsid w:val="00CC2A0B"/>
    <w:rsid w:val="00CC3012"/>
    <w:rsid w:val="00CC3839"/>
    <w:rsid w:val="00CC3BCD"/>
    <w:rsid w:val="00CC3F39"/>
    <w:rsid w:val="00CC520D"/>
    <w:rsid w:val="00CC645E"/>
    <w:rsid w:val="00CC66FF"/>
    <w:rsid w:val="00CC69A2"/>
    <w:rsid w:val="00CC6B2A"/>
    <w:rsid w:val="00CC6F3A"/>
    <w:rsid w:val="00CC7493"/>
    <w:rsid w:val="00CC7EE7"/>
    <w:rsid w:val="00CC7EFD"/>
    <w:rsid w:val="00CD0698"/>
    <w:rsid w:val="00CD0B24"/>
    <w:rsid w:val="00CD1758"/>
    <w:rsid w:val="00CD2169"/>
    <w:rsid w:val="00CD2887"/>
    <w:rsid w:val="00CD2EEE"/>
    <w:rsid w:val="00CD3C3B"/>
    <w:rsid w:val="00CD485D"/>
    <w:rsid w:val="00CD5003"/>
    <w:rsid w:val="00CD5DAA"/>
    <w:rsid w:val="00CD7A5A"/>
    <w:rsid w:val="00CE0F04"/>
    <w:rsid w:val="00CE1A8E"/>
    <w:rsid w:val="00CE30CF"/>
    <w:rsid w:val="00CE3128"/>
    <w:rsid w:val="00CE5036"/>
    <w:rsid w:val="00CE53FA"/>
    <w:rsid w:val="00CE7529"/>
    <w:rsid w:val="00CE773A"/>
    <w:rsid w:val="00CF03C7"/>
    <w:rsid w:val="00CF167D"/>
    <w:rsid w:val="00CF1AE5"/>
    <w:rsid w:val="00CF1CD3"/>
    <w:rsid w:val="00CF2344"/>
    <w:rsid w:val="00CF32BF"/>
    <w:rsid w:val="00CF3C43"/>
    <w:rsid w:val="00CF50C7"/>
    <w:rsid w:val="00CF5371"/>
    <w:rsid w:val="00CF5845"/>
    <w:rsid w:val="00CF6703"/>
    <w:rsid w:val="00CF6D59"/>
    <w:rsid w:val="00CF6D76"/>
    <w:rsid w:val="00D005FE"/>
    <w:rsid w:val="00D01F82"/>
    <w:rsid w:val="00D02DB0"/>
    <w:rsid w:val="00D04BAF"/>
    <w:rsid w:val="00D04C4F"/>
    <w:rsid w:val="00D054EC"/>
    <w:rsid w:val="00D05B6A"/>
    <w:rsid w:val="00D060CB"/>
    <w:rsid w:val="00D068E7"/>
    <w:rsid w:val="00D06F90"/>
    <w:rsid w:val="00D07388"/>
    <w:rsid w:val="00D07A69"/>
    <w:rsid w:val="00D11B0A"/>
    <w:rsid w:val="00D11DFD"/>
    <w:rsid w:val="00D129D3"/>
    <w:rsid w:val="00D132C2"/>
    <w:rsid w:val="00D134D5"/>
    <w:rsid w:val="00D1697C"/>
    <w:rsid w:val="00D16DD6"/>
    <w:rsid w:val="00D207E4"/>
    <w:rsid w:val="00D20E08"/>
    <w:rsid w:val="00D21161"/>
    <w:rsid w:val="00D21DCC"/>
    <w:rsid w:val="00D22B2C"/>
    <w:rsid w:val="00D22C9B"/>
    <w:rsid w:val="00D23327"/>
    <w:rsid w:val="00D241DB"/>
    <w:rsid w:val="00D244DA"/>
    <w:rsid w:val="00D245E6"/>
    <w:rsid w:val="00D267AE"/>
    <w:rsid w:val="00D3017E"/>
    <w:rsid w:val="00D306FF"/>
    <w:rsid w:val="00D32274"/>
    <w:rsid w:val="00D3295D"/>
    <w:rsid w:val="00D33034"/>
    <w:rsid w:val="00D33EE8"/>
    <w:rsid w:val="00D3468C"/>
    <w:rsid w:val="00D34753"/>
    <w:rsid w:val="00D356F2"/>
    <w:rsid w:val="00D35B71"/>
    <w:rsid w:val="00D35D9F"/>
    <w:rsid w:val="00D36A74"/>
    <w:rsid w:val="00D37CC6"/>
    <w:rsid w:val="00D4018C"/>
    <w:rsid w:val="00D40960"/>
    <w:rsid w:val="00D40977"/>
    <w:rsid w:val="00D40C16"/>
    <w:rsid w:val="00D42F1E"/>
    <w:rsid w:val="00D43F66"/>
    <w:rsid w:val="00D44792"/>
    <w:rsid w:val="00D4484D"/>
    <w:rsid w:val="00D45CBA"/>
    <w:rsid w:val="00D4712E"/>
    <w:rsid w:val="00D50829"/>
    <w:rsid w:val="00D517A7"/>
    <w:rsid w:val="00D52358"/>
    <w:rsid w:val="00D53C57"/>
    <w:rsid w:val="00D55A3F"/>
    <w:rsid w:val="00D5648D"/>
    <w:rsid w:val="00D564AE"/>
    <w:rsid w:val="00D578AF"/>
    <w:rsid w:val="00D57B15"/>
    <w:rsid w:val="00D635E7"/>
    <w:rsid w:val="00D6436E"/>
    <w:rsid w:val="00D6446A"/>
    <w:rsid w:val="00D6666C"/>
    <w:rsid w:val="00D70381"/>
    <w:rsid w:val="00D7232C"/>
    <w:rsid w:val="00D72A70"/>
    <w:rsid w:val="00D72FE9"/>
    <w:rsid w:val="00D73DB3"/>
    <w:rsid w:val="00D74951"/>
    <w:rsid w:val="00D76515"/>
    <w:rsid w:val="00D77719"/>
    <w:rsid w:val="00D77871"/>
    <w:rsid w:val="00D80B13"/>
    <w:rsid w:val="00D813C3"/>
    <w:rsid w:val="00D81AD6"/>
    <w:rsid w:val="00D81C88"/>
    <w:rsid w:val="00D81D9D"/>
    <w:rsid w:val="00D84FBF"/>
    <w:rsid w:val="00D850D6"/>
    <w:rsid w:val="00D855F5"/>
    <w:rsid w:val="00D8578A"/>
    <w:rsid w:val="00D85C54"/>
    <w:rsid w:val="00D85F32"/>
    <w:rsid w:val="00D86375"/>
    <w:rsid w:val="00D867D5"/>
    <w:rsid w:val="00D876A9"/>
    <w:rsid w:val="00D87A8A"/>
    <w:rsid w:val="00D87BCC"/>
    <w:rsid w:val="00D90626"/>
    <w:rsid w:val="00D912EE"/>
    <w:rsid w:val="00D93983"/>
    <w:rsid w:val="00D945D5"/>
    <w:rsid w:val="00D9512C"/>
    <w:rsid w:val="00D96701"/>
    <w:rsid w:val="00D9696F"/>
    <w:rsid w:val="00DA1A10"/>
    <w:rsid w:val="00DA2638"/>
    <w:rsid w:val="00DA2928"/>
    <w:rsid w:val="00DA2DC8"/>
    <w:rsid w:val="00DA44D6"/>
    <w:rsid w:val="00DA4638"/>
    <w:rsid w:val="00DA4D46"/>
    <w:rsid w:val="00DA57B5"/>
    <w:rsid w:val="00DA650F"/>
    <w:rsid w:val="00DA69BB"/>
    <w:rsid w:val="00DA6C7D"/>
    <w:rsid w:val="00DA6F99"/>
    <w:rsid w:val="00DB01C2"/>
    <w:rsid w:val="00DB13F6"/>
    <w:rsid w:val="00DB204A"/>
    <w:rsid w:val="00DB2055"/>
    <w:rsid w:val="00DB344A"/>
    <w:rsid w:val="00DB473F"/>
    <w:rsid w:val="00DB50F0"/>
    <w:rsid w:val="00DB5A90"/>
    <w:rsid w:val="00DB5B37"/>
    <w:rsid w:val="00DB5EAB"/>
    <w:rsid w:val="00DB6B63"/>
    <w:rsid w:val="00DB7BE2"/>
    <w:rsid w:val="00DB7DFB"/>
    <w:rsid w:val="00DC2420"/>
    <w:rsid w:val="00DC24DE"/>
    <w:rsid w:val="00DC3B4F"/>
    <w:rsid w:val="00DC3F1E"/>
    <w:rsid w:val="00DC62FD"/>
    <w:rsid w:val="00DC6BB1"/>
    <w:rsid w:val="00DC6D8D"/>
    <w:rsid w:val="00DC6E05"/>
    <w:rsid w:val="00DC6F4B"/>
    <w:rsid w:val="00DC7072"/>
    <w:rsid w:val="00DC7669"/>
    <w:rsid w:val="00DC7F53"/>
    <w:rsid w:val="00DD059A"/>
    <w:rsid w:val="00DD080D"/>
    <w:rsid w:val="00DD1425"/>
    <w:rsid w:val="00DD1AA6"/>
    <w:rsid w:val="00DD2A03"/>
    <w:rsid w:val="00DD354D"/>
    <w:rsid w:val="00DD355F"/>
    <w:rsid w:val="00DD3B8A"/>
    <w:rsid w:val="00DD3CA6"/>
    <w:rsid w:val="00DD4E00"/>
    <w:rsid w:val="00DD5462"/>
    <w:rsid w:val="00DD5562"/>
    <w:rsid w:val="00DD67B1"/>
    <w:rsid w:val="00DE04DD"/>
    <w:rsid w:val="00DE0893"/>
    <w:rsid w:val="00DE13B1"/>
    <w:rsid w:val="00DE250E"/>
    <w:rsid w:val="00DE2741"/>
    <w:rsid w:val="00DE2A58"/>
    <w:rsid w:val="00DE2BC8"/>
    <w:rsid w:val="00DE3E2B"/>
    <w:rsid w:val="00DE4BBD"/>
    <w:rsid w:val="00DE4E76"/>
    <w:rsid w:val="00DE5340"/>
    <w:rsid w:val="00DE5EDB"/>
    <w:rsid w:val="00DE69CA"/>
    <w:rsid w:val="00DE7140"/>
    <w:rsid w:val="00DE7B05"/>
    <w:rsid w:val="00DF00DA"/>
    <w:rsid w:val="00DF107E"/>
    <w:rsid w:val="00DF1089"/>
    <w:rsid w:val="00DF2011"/>
    <w:rsid w:val="00DF2AC3"/>
    <w:rsid w:val="00DF464C"/>
    <w:rsid w:val="00DF46F1"/>
    <w:rsid w:val="00DF5B39"/>
    <w:rsid w:val="00DF5CDA"/>
    <w:rsid w:val="00DF75D8"/>
    <w:rsid w:val="00DF77D4"/>
    <w:rsid w:val="00E0134C"/>
    <w:rsid w:val="00E01418"/>
    <w:rsid w:val="00E02FCE"/>
    <w:rsid w:val="00E0350F"/>
    <w:rsid w:val="00E03FCF"/>
    <w:rsid w:val="00E048D7"/>
    <w:rsid w:val="00E04F3B"/>
    <w:rsid w:val="00E062B6"/>
    <w:rsid w:val="00E06653"/>
    <w:rsid w:val="00E10A67"/>
    <w:rsid w:val="00E12BD8"/>
    <w:rsid w:val="00E13831"/>
    <w:rsid w:val="00E147FC"/>
    <w:rsid w:val="00E15A40"/>
    <w:rsid w:val="00E15F8D"/>
    <w:rsid w:val="00E166C0"/>
    <w:rsid w:val="00E16830"/>
    <w:rsid w:val="00E16A74"/>
    <w:rsid w:val="00E20C0D"/>
    <w:rsid w:val="00E20CD2"/>
    <w:rsid w:val="00E23186"/>
    <w:rsid w:val="00E2367C"/>
    <w:rsid w:val="00E2426E"/>
    <w:rsid w:val="00E25042"/>
    <w:rsid w:val="00E25046"/>
    <w:rsid w:val="00E2747A"/>
    <w:rsid w:val="00E27DA4"/>
    <w:rsid w:val="00E3062E"/>
    <w:rsid w:val="00E3093F"/>
    <w:rsid w:val="00E30E3C"/>
    <w:rsid w:val="00E3168D"/>
    <w:rsid w:val="00E31EAC"/>
    <w:rsid w:val="00E32023"/>
    <w:rsid w:val="00E32279"/>
    <w:rsid w:val="00E323FB"/>
    <w:rsid w:val="00E325D0"/>
    <w:rsid w:val="00E328FC"/>
    <w:rsid w:val="00E34258"/>
    <w:rsid w:val="00E35614"/>
    <w:rsid w:val="00E36726"/>
    <w:rsid w:val="00E36A41"/>
    <w:rsid w:val="00E3764D"/>
    <w:rsid w:val="00E40537"/>
    <w:rsid w:val="00E405E8"/>
    <w:rsid w:val="00E41197"/>
    <w:rsid w:val="00E41295"/>
    <w:rsid w:val="00E413D5"/>
    <w:rsid w:val="00E416FB"/>
    <w:rsid w:val="00E41C98"/>
    <w:rsid w:val="00E41DCB"/>
    <w:rsid w:val="00E42432"/>
    <w:rsid w:val="00E43220"/>
    <w:rsid w:val="00E43D44"/>
    <w:rsid w:val="00E45047"/>
    <w:rsid w:val="00E4526E"/>
    <w:rsid w:val="00E452BA"/>
    <w:rsid w:val="00E45AD7"/>
    <w:rsid w:val="00E45CBA"/>
    <w:rsid w:val="00E45F01"/>
    <w:rsid w:val="00E50129"/>
    <w:rsid w:val="00E5065D"/>
    <w:rsid w:val="00E50B1F"/>
    <w:rsid w:val="00E50EF1"/>
    <w:rsid w:val="00E5201A"/>
    <w:rsid w:val="00E522B8"/>
    <w:rsid w:val="00E53192"/>
    <w:rsid w:val="00E536CD"/>
    <w:rsid w:val="00E54217"/>
    <w:rsid w:val="00E55A01"/>
    <w:rsid w:val="00E56B26"/>
    <w:rsid w:val="00E602DA"/>
    <w:rsid w:val="00E607BF"/>
    <w:rsid w:val="00E61602"/>
    <w:rsid w:val="00E619DA"/>
    <w:rsid w:val="00E6326E"/>
    <w:rsid w:val="00E637CB"/>
    <w:rsid w:val="00E64290"/>
    <w:rsid w:val="00E64EBA"/>
    <w:rsid w:val="00E654F6"/>
    <w:rsid w:val="00E65C96"/>
    <w:rsid w:val="00E67960"/>
    <w:rsid w:val="00E703A2"/>
    <w:rsid w:val="00E70B2E"/>
    <w:rsid w:val="00E70E2C"/>
    <w:rsid w:val="00E71CAB"/>
    <w:rsid w:val="00E728DC"/>
    <w:rsid w:val="00E75ADE"/>
    <w:rsid w:val="00E77BBA"/>
    <w:rsid w:val="00E80227"/>
    <w:rsid w:val="00E82DF5"/>
    <w:rsid w:val="00E83D8C"/>
    <w:rsid w:val="00E855A1"/>
    <w:rsid w:val="00E85699"/>
    <w:rsid w:val="00E85968"/>
    <w:rsid w:val="00E86806"/>
    <w:rsid w:val="00E87801"/>
    <w:rsid w:val="00E902D0"/>
    <w:rsid w:val="00E91449"/>
    <w:rsid w:val="00E918BF"/>
    <w:rsid w:val="00E91E78"/>
    <w:rsid w:val="00E9327B"/>
    <w:rsid w:val="00E94883"/>
    <w:rsid w:val="00E96D3C"/>
    <w:rsid w:val="00E97457"/>
    <w:rsid w:val="00EA0E31"/>
    <w:rsid w:val="00EA131F"/>
    <w:rsid w:val="00EA2484"/>
    <w:rsid w:val="00EA27C0"/>
    <w:rsid w:val="00EA39C3"/>
    <w:rsid w:val="00EA51E9"/>
    <w:rsid w:val="00EA60C9"/>
    <w:rsid w:val="00EA690A"/>
    <w:rsid w:val="00EB0BFC"/>
    <w:rsid w:val="00EB1F90"/>
    <w:rsid w:val="00EB27BD"/>
    <w:rsid w:val="00EB2E0C"/>
    <w:rsid w:val="00EB2EEB"/>
    <w:rsid w:val="00EB31D1"/>
    <w:rsid w:val="00EB3E24"/>
    <w:rsid w:val="00EB4233"/>
    <w:rsid w:val="00EB4719"/>
    <w:rsid w:val="00EB47F1"/>
    <w:rsid w:val="00EB532A"/>
    <w:rsid w:val="00EB54D2"/>
    <w:rsid w:val="00EB5698"/>
    <w:rsid w:val="00EB6163"/>
    <w:rsid w:val="00EB78C9"/>
    <w:rsid w:val="00EB7A8B"/>
    <w:rsid w:val="00EC0494"/>
    <w:rsid w:val="00EC05EC"/>
    <w:rsid w:val="00EC193A"/>
    <w:rsid w:val="00EC243C"/>
    <w:rsid w:val="00EC3A96"/>
    <w:rsid w:val="00EC3CEB"/>
    <w:rsid w:val="00EC6232"/>
    <w:rsid w:val="00EC66E8"/>
    <w:rsid w:val="00EC6D23"/>
    <w:rsid w:val="00EC7335"/>
    <w:rsid w:val="00ED0626"/>
    <w:rsid w:val="00ED1EB7"/>
    <w:rsid w:val="00ED2DD4"/>
    <w:rsid w:val="00ED3301"/>
    <w:rsid w:val="00ED33EF"/>
    <w:rsid w:val="00ED3D8F"/>
    <w:rsid w:val="00ED42D4"/>
    <w:rsid w:val="00ED42D7"/>
    <w:rsid w:val="00ED5796"/>
    <w:rsid w:val="00ED5B49"/>
    <w:rsid w:val="00ED5C20"/>
    <w:rsid w:val="00ED6110"/>
    <w:rsid w:val="00ED6996"/>
    <w:rsid w:val="00ED7836"/>
    <w:rsid w:val="00ED7937"/>
    <w:rsid w:val="00EE278A"/>
    <w:rsid w:val="00EE3326"/>
    <w:rsid w:val="00EE3B16"/>
    <w:rsid w:val="00EE41CC"/>
    <w:rsid w:val="00EE552E"/>
    <w:rsid w:val="00EE55C3"/>
    <w:rsid w:val="00EE5670"/>
    <w:rsid w:val="00EE6222"/>
    <w:rsid w:val="00EE7200"/>
    <w:rsid w:val="00EF0198"/>
    <w:rsid w:val="00EF04C5"/>
    <w:rsid w:val="00EF0592"/>
    <w:rsid w:val="00EF091C"/>
    <w:rsid w:val="00EF22FF"/>
    <w:rsid w:val="00EF2B81"/>
    <w:rsid w:val="00EF32ED"/>
    <w:rsid w:val="00EF46B1"/>
    <w:rsid w:val="00EF4CB0"/>
    <w:rsid w:val="00EF4E08"/>
    <w:rsid w:val="00EF6482"/>
    <w:rsid w:val="00EF654F"/>
    <w:rsid w:val="00EF697B"/>
    <w:rsid w:val="00EF708A"/>
    <w:rsid w:val="00F0048B"/>
    <w:rsid w:val="00F00691"/>
    <w:rsid w:val="00F00735"/>
    <w:rsid w:val="00F00BC6"/>
    <w:rsid w:val="00F012F5"/>
    <w:rsid w:val="00F01399"/>
    <w:rsid w:val="00F013D3"/>
    <w:rsid w:val="00F0177C"/>
    <w:rsid w:val="00F03DE5"/>
    <w:rsid w:val="00F04A72"/>
    <w:rsid w:val="00F04EDC"/>
    <w:rsid w:val="00F06646"/>
    <w:rsid w:val="00F06BEA"/>
    <w:rsid w:val="00F06CAD"/>
    <w:rsid w:val="00F06CEB"/>
    <w:rsid w:val="00F07035"/>
    <w:rsid w:val="00F07195"/>
    <w:rsid w:val="00F0763C"/>
    <w:rsid w:val="00F076F0"/>
    <w:rsid w:val="00F11190"/>
    <w:rsid w:val="00F136F9"/>
    <w:rsid w:val="00F138D3"/>
    <w:rsid w:val="00F13CFC"/>
    <w:rsid w:val="00F13D3D"/>
    <w:rsid w:val="00F15F85"/>
    <w:rsid w:val="00F170CE"/>
    <w:rsid w:val="00F17D90"/>
    <w:rsid w:val="00F17F14"/>
    <w:rsid w:val="00F20AC8"/>
    <w:rsid w:val="00F21B92"/>
    <w:rsid w:val="00F21DB2"/>
    <w:rsid w:val="00F23A4F"/>
    <w:rsid w:val="00F24E3F"/>
    <w:rsid w:val="00F25EC9"/>
    <w:rsid w:val="00F27319"/>
    <w:rsid w:val="00F273F6"/>
    <w:rsid w:val="00F2753A"/>
    <w:rsid w:val="00F277CD"/>
    <w:rsid w:val="00F278E8"/>
    <w:rsid w:val="00F27C5C"/>
    <w:rsid w:val="00F27E98"/>
    <w:rsid w:val="00F337B2"/>
    <w:rsid w:val="00F34231"/>
    <w:rsid w:val="00F34261"/>
    <w:rsid w:val="00F3450B"/>
    <w:rsid w:val="00F34C31"/>
    <w:rsid w:val="00F35666"/>
    <w:rsid w:val="00F35E87"/>
    <w:rsid w:val="00F3627D"/>
    <w:rsid w:val="00F36426"/>
    <w:rsid w:val="00F367FF"/>
    <w:rsid w:val="00F36D77"/>
    <w:rsid w:val="00F36E88"/>
    <w:rsid w:val="00F4019E"/>
    <w:rsid w:val="00F41B63"/>
    <w:rsid w:val="00F41F35"/>
    <w:rsid w:val="00F41FBE"/>
    <w:rsid w:val="00F42E78"/>
    <w:rsid w:val="00F43354"/>
    <w:rsid w:val="00F4495D"/>
    <w:rsid w:val="00F466B0"/>
    <w:rsid w:val="00F476A7"/>
    <w:rsid w:val="00F47CDF"/>
    <w:rsid w:val="00F50E9A"/>
    <w:rsid w:val="00F50FF9"/>
    <w:rsid w:val="00F522B9"/>
    <w:rsid w:val="00F52486"/>
    <w:rsid w:val="00F53B99"/>
    <w:rsid w:val="00F53CD6"/>
    <w:rsid w:val="00F53D09"/>
    <w:rsid w:val="00F54659"/>
    <w:rsid w:val="00F54830"/>
    <w:rsid w:val="00F55194"/>
    <w:rsid w:val="00F5529B"/>
    <w:rsid w:val="00F60D6E"/>
    <w:rsid w:val="00F61B0E"/>
    <w:rsid w:val="00F61FE0"/>
    <w:rsid w:val="00F6285C"/>
    <w:rsid w:val="00F62E16"/>
    <w:rsid w:val="00F64EF9"/>
    <w:rsid w:val="00F65E9E"/>
    <w:rsid w:val="00F66F0B"/>
    <w:rsid w:val="00F7268E"/>
    <w:rsid w:val="00F7361D"/>
    <w:rsid w:val="00F73BA9"/>
    <w:rsid w:val="00F75ACE"/>
    <w:rsid w:val="00F76728"/>
    <w:rsid w:val="00F76D43"/>
    <w:rsid w:val="00F77132"/>
    <w:rsid w:val="00F77576"/>
    <w:rsid w:val="00F77E17"/>
    <w:rsid w:val="00F802E8"/>
    <w:rsid w:val="00F806E5"/>
    <w:rsid w:val="00F818A9"/>
    <w:rsid w:val="00F81BBA"/>
    <w:rsid w:val="00F81DA4"/>
    <w:rsid w:val="00F82152"/>
    <w:rsid w:val="00F8427E"/>
    <w:rsid w:val="00F8442A"/>
    <w:rsid w:val="00F84F10"/>
    <w:rsid w:val="00F904DF"/>
    <w:rsid w:val="00F90F63"/>
    <w:rsid w:val="00F91186"/>
    <w:rsid w:val="00F91698"/>
    <w:rsid w:val="00F923BD"/>
    <w:rsid w:val="00F9343C"/>
    <w:rsid w:val="00F93720"/>
    <w:rsid w:val="00F93E53"/>
    <w:rsid w:val="00F93FFD"/>
    <w:rsid w:val="00F978E0"/>
    <w:rsid w:val="00F97C01"/>
    <w:rsid w:val="00FA0B1F"/>
    <w:rsid w:val="00FA2805"/>
    <w:rsid w:val="00FA3016"/>
    <w:rsid w:val="00FA364A"/>
    <w:rsid w:val="00FA36BC"/>
    <w:rsid w:val="00FA4B01"/>
    <w:rsid w:val="00FA6ADC"/>
    <w:rsid w:val="00FA738B"/>
    <w:rsid w:val="00FA75DB"/>
    <w:rsid w:val="00FA7D0F"/>
    <w:rsid w:val="00FB0583"/>
    <w:rsid w:val="00FB0A2A"/>
    <w:rsid w:val="00FB19E6"/>
    <w:rsid w:val="00FB2A60"/>
    <w:rsid w:val="00FB38E5"/>
    <w:rsid w:val="00FB4C60"/>
    <w:rsid w:val="00FB4E02"/>
    <w:rsid w:val="00FB5131"/>
    <w:rsid w:val="00FB73F8"/>
    <w:rsid w:val="00FC0198"/>
    <w:rsid w:val="00FC2A8D"/>
    <w:rsid w:val="00FC3FFB"/>
    <w:rsid w:val="00FC447E"/>
    <w:rsid w:val="00FC57C2"/>
    <w:rsid w:val="00FC5A76"/>
    <w:rsid w:val="00FC7934"/>
    <w:rsid w:val="00FD12C8"/>
    <w:rsid w:val="00FD2358"/>
    <w:rsid w:val="00FD265E"/>
    <w:rsid w:val="00FD2A0F"/>
    <w:rsid w:val="00FD2A42"/>
    <w:rsid w:val="00FD43AA"/>
    <w:rsid w:val="00FD4933"/>
    <w:rsid w:val="00FD676B"/>
    <w:rsid w:val="00FD7E28"/>
    <w:rsid w:val="00FE04D3"/>
    <w:rsid w:val="00FE1020"/>
    <w:rsid w:val="00FE12D8"/>
    <w:rsid w:val="00FE36AE"/>
    <w:rsid w:val="00FE4431"/>
    <w:rsid w:val="00FE570B"/>
    <w:rsid w:val="00FE5D3F"/>
    <w:rsid w:val="00FE5D59"/>
    <w:rsid w:val="00FE6391"/>
    <w:rsid w:val="00FE719F"/>
    <w:rsid w:val="00FE761A"/>
    <w:rsid w:val="00FE7A24"/>
    <w:rsid w:val="00FF1BF7"/>
    <w:rsid w:val="00FF28D8"/>
    <w:rsid w:val="00FF3158"/>
    <w:rsid w:val="00FF32C3"/>
    <w:rsid w:val="00FF3784"/>
    <w:rsid w:val="00FF53D1"/>
    <w:rsid w:val="00FF59F6"/>
    <w:rsid w:val="00FF70F3"/>
    <w:rsid w:val="17295853"/>
    <w:rsid w:val="23FF8BD0"/>
    <w:rsid w:val="517A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2CD9"/>
  <w15:chartTrackingRefBased/>
  <w15:docId w15:val="{B7E6709E-2E66-4FE7-B507-18875D05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50"/>
  </w:style>
  <w:style w:type="paragraph" w:styleId="Heading1">
    <w:name w:val="heading 1"/>
    <w:basedOn w:val="Normal"/>
    <w:next w:val="Normal"/>
    <w:link w:val="Heading1Char"/>
    <w:uiPriority w:val="9"/>
    <w:qFormat/>
    <w:rsid w:val="0035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5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5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FC2"/>
    <w:rPr>
      <w:rFonts w:eastAsiaTheme="majorEastAsia" w:cstheme="majorBidi"/>
      <w:color w:val="272727" w:themeColor="text1" w:themeTint="D8"/>
    </w:rPr>
  </w:style>
  <w:style w:type="paragraph" w:styleId="Title">
    <w:name w:val="Title"/>
    <w:basedOn w:val="Normal"/>
    <w:next w:val="Normal"/>
    <w:link w:val="TitleChar"/>
    <w:uiPriority w:val="10"/>
    <w:qFormat/>
    <w:rsid w:val="002E6D1E"/>
    <w:pPr>
      <w:spacing w:after="80" w:line="240" w:lineRule="auto"/>
      <w:contextualSpacing/>
    </w:pPr>
    <w:rPr>
      <w:rFonts w:asciiTheme="majorHAnsi" w:eastAsiaTheme="majorEastAsia" w:hAnsiTheme="majorHAnsi" w:cstheme="majorBidi"/>
      <w:b/>
      <w:color w:val="156082" w:themeColor="accent1"/>
      <w:spacing w:val="-10"/>
      <w:kern w:val="28"/>
      <w:sz w:val="36"/>
      <w:szCs w:val="56"/>
    </w:rPr>
  </w:style>
  <w:style w:type="character" w:customStyle="1" w:styleId="TitleChar">
    <w:name w:val="Title Char"/>
    <w:basedOn w:val="DefaultParagraphFont"/>
    <w:link w:val="Title"/>
    <w:uiPriority w:val="10"/>
    <w:rsid w:val="002E6D1E"/>
    <w:rPr>
      <w:rFonts w:asciiTheme="majorHAnsi" w:eastAsiaTheme="majorEastAsia" w:hAnsiTheme="majorHAnsi" w:cstheme="majorBidi"/>
      <w:b/>
      <w:color w:val="156082" w:themeColor="accent1"/>
      <w:spacing w:val="-10"/>
      <w:kern w:val="28"/>
      <w:sz w:val="36"/>
      <w:szCs w:val="56"/>
    </w:rPr>
  </w:style>
  <w:style w:type="paragraph" w:styleId="Subtitle">
    <w:name w:val="Subtitle"/>
    <w:basedOn w:val="Normal"/>
    <w:next w:val="Normal"/>
    <w:link w:val="SubtitleChar"/>
    <w:uiPriority w:val="11"/>
    <w:qFormat/>
    <w:rsid w:val="0035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FC2"/>
    <w:pPr>
      <w:spacing w:before="160"/>
      <w:jc w:val="center"/>
    </w:pPr>
    <w:rPr>
      <w:i/>
      <w:iCs/>
      <w:color w:val="404040" w:themeColor="text1" w:themeTint="BF"/>
    </w:rPr>
  </w:style>
  <w:style w:type="character" w:customStyle="1" w:styleId="QuoteChar">
    <w:name w:val="Quote Char"/>
    <w:basedOn w:val="DefaultParagraphFont"/>
    <w:link w:val="Quote"/>
    <w:uiPriority w:val="29"/>
    <w:rsid w:val="00355FC2"/>
    <w:rPr>
      <w:i/>
      <w:iCs/>
      <w:color w:val="404040" w:themeColor="text1" w:themeTint="BF"/>
    </w:rPr>
  </w:style>
  <w:style w:type="paragraph" w:styleId="ListParagraph">
    <w:name w:val="List Paragraph"/>
    <w:basedOn w:val="Normal"/>
    <w:uiPriority w:val="34"/>
    <w:qFormat/>
    <w:rsid w:val="00355FC2"/>
    <w:pPr>
      <w:ind w:left="720"/>
      <w:contextualSpacing/>
    </w:pPr>
  </w:style>
  <w:style w:type="character" w:styleId="IntenseEmphasis">
    <w:name w:val="Intense Emphasis"/>
    <w:basedOn w:val="DefaultParagraphFont"/>
    <w:uiPriority w:val="21"/>
    <w:qFormat/>
    <w:rsid w:val="00355FC2"/>
    <w:rPr>
      <w:i/>
      <w:iCs/>
      <w:color w:val="0F4761" w:themeColor="accent1" w:themeShade="BF"/>
    </w:rPr>
  </w:style>
  <w:style w:type="paragraph" w:styleId="IntenseQuote">
    <w:name w:val="Intense Quote"/>
    <w:basedOn w:val="Normal"/>
    <w:next w:val="Normal"/>
    <w:link w:val="IntenseQuoteChar"/>
    <w:uiPriority w:val="30"/>
    <w:qFormat/>
    <w:rsid w:val="0035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FC2"/>
    <w:rPr>
      <w:i/>
      <w:iCs/>
      <w:color w:val="0F4761" w:themeColor="accent1" w:themeShade="BF"/>
    </w:rPr>
  </w:style>
  <w:style w:type="character" w:styleId="IntenseReference">
    <w:name w:val="Intense Reference"/>
    <w:basedOn w:val="DefaultParagraphFont"/>
    <w:uiPriority w:val="32"/>
    <w:qFormat/>
    <w:rsid w:val="00355FC2"/>
    <w:rPr>
      <w:b/>
      <w:bCs/>
      <w:smallCaps/>
      <w:color w:val="0F4761" w:themeColor="accent1" w:themeShade="BF"/>
      <w:spacing w:val="5"/>
    </w:rPr>
  </w:style>
  <w:style w:type="table" w:styleId="GridTable1Light">
    <w:name w:val="Grid Table 1 Light"/>
    <w:basedOn w:val="TableNormal"/>
    <w:uiPriority w:val="46"/>
    <w:rsid w:val="00355F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E6D1E"/>
    <w:pPr>
      <w:spacing w:before="240" w:after="0" w:line="259" w:lineRule="auto"/>
      <w:outlineLvl w:val="9"/>
    </w:pPr>
    <w:rPr>
      <w:kern w:val="0"/>
      <w:sz w:val="32"/>
      <w:szCs w:val="32"/>
      <w14:ligatures w14:val="none"/>
    </w:rPr>
  </w:style>
  <w:style w:type="paragraph" w:styleId="TOC3">
    <w:name w:val="toc 3"/>
    <w:basedOn w:val="Normal"/>
    <w:next w:val="Normal"/>
    <w:autoRedefine/>
    <w:uiPriority w:val="39"/>
    <w:unhideWhenUsed/>
    <w:rsid w:val="009023A2"/>
    <w:pPr>
      <w:tabs>
        <w:tab w:val="left" w:pos="720"/>
        <w:tab w:val="right" w:leader="dot" w:pos="9350"/>
      </w:tabs>
      <w:spacing w:after="100"/>
      <w:ind w:left="270"/>
    </w:pPr>
  </w:style>
  <w:style w:type="paragraph" w:styleId="TOC2">
    <w:name w:val="toc 2"/>
    <w:basedOn w:val="Normal"/>
    <w:next w:val="Normal"/>
    <w:autoRedefine/>
    <w:uiPriority w:val="39"/>
    <w:unhideWhenUsed/>
    <w:rsid w:val="002E6D1E"/>
    <w:pPr>
      <w:spacing w:after="100"/>
      <w:ind w:left="240"/>
    </w:pPr>
  </w:style>
  <w:style w:type="character" w:styleId="Hyperlink">
    <w:name w:val="Hyperlink"/>
    <w:basedOn w:val="DefaultParagraphFont"/>
    <w:uiPriority w:val="99"/>
    <w:unhideWhenUsed/>
    <w:rsid w:val="002E6D1E"/>
    <w:rPr>
      <w:color w:val="467886" w:themeColor="hyperlink"/>
      <w:u w:val="single"/>
    </w:rPr>
  </w:style>
  <w:style w:type="paragraph" w:styleId="Header">
    <w:name w:val="header"/>
    <w:basedOn w:val="Normal"/>
    <w:link w:val="HeaderChar"/>
    <w:uiPriority w:val="99"/>
    <w:unhideWhenUsed/>
    <w:rsid w:val="00823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5B"/>
  </w:style>
  <w:style w:type="paragraph" w:styleId="Footer">
    <w:name w:val="footer"/>
    <w:basedOn w:val="Normal"/>
    <w:link w:val="FooterChar"/>
    <w:uiPriority w:val="99"/>
    <w:unhideWhenUsed/>
    <w:rsid w:val="00823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5B"/>
  </w:style>
  <w:style w:type="character" w:styleId="Emphasis">
    <w:name w:val="Emphasis"/>
    <w:basedOn w:val="DefaultParagraphFont"/>
    <w:uiPriority w:val="20"/>
    <w:qFormat/>
    <w:rsid w:val="008628DC"/>
    <w:rPr>
      <w:i/>
      <w:iCs/>
    </w:rPr>
  </w:style>
  <w:style w:type="paragraph" w:styleId="NormalWeb">
    <w:name w:val="Normal (Web)"/>
    <w:basedOn w:val="Normal"/>
    <w:uiPriority w:val="99"/>
    <w:semiHidden/>
    <w:unhideWhenUsed/>
    <w:rsid w:val="00C855EE"/>
    <w:rPr>
      <w:rFonts w:ascii="Times New Roman" w:hAnsi="Times New Roman" w:cs="Times New Roman"/>
    </w:rPr>
  </w:style>
  <w:style w:type="paragraph" w:styleId="Revision">
    <w:name w:val="Revision"/>
    <w:hidden/>
    <w:uiPriority w:val="99"/>
    <w:semiHidden/>
    <w:rsid w:val="00F23A4F"/>
    <w:pPr>
      <w:spacing w:after="0" w:line="240" w:lineRule="auto"/>
    </w:pPr>
  </w:style>
  <w:style w:type="character" w:styleId="CommentReference">
    <w:name w:val="annotation reference"/>
    <w:basedOn w:val="DefaultParagraphFont"/>
    <w:uiPriority w:val="99"/>
    <w:semiHidden/>
    <w:unhideWhenUsed/>
    <w:rsid w:val="00050672"/>
    <w:rPr>
      <w:sz w:val="16"/>
      <w:szCs w:val="16"/>
    </w:rPr>
  </w:style>
  <w:style w:type="paragraph" w:styleId="CommentText">
    <w:name w:val="annotation text"/>
    <w:basedOn w:val="Normal"/>
    <w:link w:val="CommentTextChar"/>
    <w:uiPriority w:val="99"/>
    <w:unhideWhenUsed/>
    <w:rsid w:val="00050672"/>
    <w:pPr>
      <w:spacing w:line="240" w:lineRule="auto"/>
    </w:pPr>
    <w:rPr>
      <w:sz w:val="20"/>
      <w:szCs w:val="20"/>
    </w:rPr>
  </w:style>
  <w:style w:type="character" w:customStyle="1" w:styleId="CommentTextChar">
    <w:name w:val="Comment Text Char"/>
    <w:basedOn w:val="DefaultParagraphFont"/>
    <w:link w:val="CommentText"/>
    <w:uiPriority w:val="99"/>
    <w:rsid w:val="00050672"/>
    <w:rPr>
      <w:sz w:val="20"/>
      <w:szCs w:val="20"/>
    </w:rPr>
  </w:style>
  <w:style w:type="paragraph" w:styleId="CommentSubject">
    <w:name w:val="annotation subject"/>
    <w:basedOn w:val="CommentText"/>
    <w:next w:val="CommentText"/>
    <w:link w:val="CommentSubjectChar"/>
    <w:uiPriority w:val="99"/>
    <w:semiHidden/>
    <w:unhideWhenUsed/>
    <w:rsid w:val="00050672"/>
    <w:rPr>
      <w:b/>
      <w:bCs/>
    </w:rPr>
  </w:style>
  <w:style w:type="character" w:customStyle="1" w:styleId="CommentSubjectChar">
    <w:name w:val="Comment Subject Char"/>
    <w:basedOn w:val="CommentTextChar"/>
    <w:link w:val="CommentSubject"/>
    <w:uiPriority w:val="99"/>
    <w:semiHidden/>
    <w:rsid w:val="00050672"/>
    <w:rPr>
      <w:b/>
      <w:bCs/>
      <w:sz w:val="20"/>
      <w:szCs w:val="20"/>
    </w:rPr>
  </w:style>
  <w:style w:type="character" w:styleId="UnresolvedMention">
    <w:name w:val="Unresolved Mention"/>
    <w:basedOn w:val="DefaultParagraphFont"/>
    <w:uiPriority w:val="99"/>
    <w:semiHidden/>
    <w:unhideWhenUsed/>
    <w:rsid w:val="00DC2420"/>
    <w:rPr>
      <w:color w:val="605E5C"/>
      <w:shd w:val="clear" w:color="auto" w:fill="E1DFDD"/>
    </w:rPr>
  </w:style>
  <w:style w:type="paragraph" w:styleId="FootnoteText">
    <w:name w:val="footnote text"/>
    <w:basedOn w:val="Normal"/>
    <w:link w:val="FootnoteTextChar"/>
    <w:uiPriority w:val="99"/>
    <w:semiHidden/>
    <w:unhideWhenUsed/>
    <w:rsid w:val="00DC2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20"/>
    <w:rPr>
      <w:sz w:val="20"/>
      <w:szCs w:val="20"/>
    </w:rPr>
  </w:style>
  <w:style w:type="character" w:styleId="FootnoteReference">
    <w:name w:val="footnote reference"/>
    <w:basedOn w:val="DefaultParagraphFont"/>
    <w:uiPriority w:val="99"/>
    <w:semiHidden/>
    <w:unhideWhenUsed/>
    <w:rsid w:val="00DC2420"/>
    <w:rPr>
      <w:vertAlign w:val="superscript"/>
    </w:rPr>
  </w:style>
  <w:style w:type="character" w:styleId="FollowedHyperlink">
    <w:name w:val="FollowedHyperlink"/>
    <w:basedOn w:val="DefaultParagraphFont"/>
    <w:uiPriority w:val="99"/>
    <w:semiHidden/>
    <w:unhideWhenUsed/>
    <w:rsid w:val="00E67960"/>
    <w:rPr>
      <w:color w:val="96607D" w:themeColor="followedHyperlink"/>
      <w:u w:val="single"/>
    </w:rPr>
  </w:style>
  <w:style w:type="character" w:styleId="Mention">
    <w:name w:val="Mention"/>
    <w:basedOn w:val="DefaultParagraphFont"/>
    <w:uiPriority w:val="99"/>
    <w:unhideWhenUsed/>
    <w:rsid w:val="00293FCB"/>
    <w:rPr>
      <w:color w:val="2B579A"/>
      <w:shd w:val="clear" w:color="auto" w:fill="E1DFDD"/>
    </w:rPr>
  </w:style>
  <w:style w:type="paragraph" w:customStyle="1" w:styleId="Default">
    <w:name w:val="Default"/>
    <w:rsid w:val="003377B5"/>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21">
      <w:bodyDiv w:val="1"/>
      <w:marLeft w:val="0"/>
      <w:marRight w:val="0"/>
      <w:marTop w:val="0"/>
      <w:marBottom w:val="0"/>
      <w:divBdr>
        <w:top w:val="none" w:sz="0" w:space="0" w:color="auto"/>
        <w:left w:val="none" w:sz="0" w:space="0" w:color="auto"/>
        <w:bottom w:val="none" w:sz="0" w:space="0" w:color="auto"/>
        <w:right w:val="none" w:sz="0" w:space="0" w:color="auto"/>
      </w:divBdr>
    </w:div>
    <w:div w:id="86584247">
      <w:bodyDiv w:val="1"/>
      <w:marLeft w:val="0"/>
      <w:marRight w:val="0"/>
      <w:marTop w:val="0"/>
      <w:marBottom w:val="0"/>
      <w:divBdr>
        <w:top w:val="none" w:sz="0" w:space="0" w:color="auto"/>
        <w:left w:val="none" w:sz="0" w:space="0" w:color="auto"/>
        <w:bottom w:val="none" w:sz="0" w:space="0" w:color="auto"/>
        <w:right w:val="none" w:sz="0" w:space="0" w:color="auto"/>
      </w:divBdr>
      <w:divsChild>
        <w:div w:id="6030365">
          <w:marLeft w:val="1267"/>
          <w:marRight w:val="0"/>
          <w:marTop w:val="0"/>
          <w:marBottom w:val="0"/>
          <w:divBdr>
            <w:top w:val="none" w:sz="0" w:space="0" w:color="auto"/>
            <w:left w:val="none" w:sz="0" w:space="0" w:color="auto"/>
            <w:bottom w:val="none" w:sz="0" w:space="0" w:color="auto"/>
            <w:right w:val="none" w:sz="0" w:space="0" w:color="auto"/>
          </w:divBdr>
        </w:div>
        <w:div w:id="9920217">
          <w:marLeft w:val="1267"/>
          <w:marRight w:val="0"/>
          <w:marTop w:val="0"/>
          <w:marBottom w:val="0"/>
          <w:divBdr>
            <w:top w:val="none" w:sz="0" w:space="0" w:color="auto"/>
            <w:left w:val="none" w:sz="0" w:space="0" w:color="auto"/>
            <w:bottom w:val="none" w:sz="0" w:space="0" w:color="auto"/>
            <w:right w:val="none" w:sz="0" w:space="0" w:color="auto"/>
          </w:divBdr>
        </w:div>
        <w:div w:id="357315394">
          <w:marLeft w:val="1267"/>
          <w:marRight w:val="0"/>
          <w:marTop w:val="0"/>
          <w:marBottom w:val="0"/>
          <w:divBdr>
            <w:top w:val="none" w:sz="0" w:space="0" w:color="auto"/>
            <w:left w:val="none" w:sz="0" w:space="0" w:color="auto"/>
            <w:bottom w:val="none" w:sz="0" w:space="0" w:color="auto"/>
            <w:right w:val="none" w:sz="0" w:space="0" w:color="auto"/>
          </w:divBdr>
        </w:div>
        <w:div w:id="373820124">
          <w:marLeft w:val="1267"/>
          <w:marRight w:val="0"/>
          <w:marTop w:val="0"/>
          <w:marBottom w:val="0"/>
          <w:divBdr>
            <w:top w:val="none" w:sz="0" w:space="0" w:color="auto"/>
            <w:left w:val="none" w:sz="0" w:space="0" w:color="auto"/>
            <w:bottom w:val="none" w:sz="0" w:space="0" w:color="auto"/>
            <w:right w:val="none" w:sz="0" w:space="0" w:color="auto"/>
          </w:divBdr>
        </w:div>
        <w:div w:id="652951681">
          <w:marLeft w:val="1267"/>
          <w:marRight w:val="0"/>
          <w:marTop w:val="0"/>
          <w:marBottom w:val="0"/>
          <w:divBdr>
            <w:top w:val="none" w:sz="0" w:space="0" w:color="auto"/>
            <w:left w:val="none" w:sz="0" w:space="0" w:color="auto"/>
            <w:bottom w:val="none" w:sz="0" w:space="0" w:color="auto"/>
            <w:right w:val="none" w:sz="0" w:space="0" w:color="auto"/>
          </w:divBdr>
        </w:div>
        <w:div w:id="878973199">
          <w:marLeft w:val="1267"/>
          <w:marRight w:val="0"/>
          <w:marTop w:val="0"/>
          <w:marBottom w:val="0"/>
          <w:divBdr>
            <w:top w:val="none" w:sz="0" w:space="0" w:color="auto"/>
            <w:left w:val="none" w:sz="0" w:space="0" w:color="auto"/>
            <w:bottom w:val="none" w:sz="0" w:space="0" w:color="auto"/>
            <w:right w:val="none" w:sz="0" w:space="0" w:color="auto"/>
          </w:divBdr>
        </w:div>
        <w:div w:id="906497461">
          <w:marLeft w:val="1267"/>
          <w:marRight w:val="0"/>
          <w:marTop w:val="0"/>
          <w:marBottom w:val="0"/>
          <w:divBdr>
            <w:top w:val="none" w:sz="0" w:space="0" w:color="auto"/>
            <w:left w:val="none" w:sz="0" w:space="0" w:color="auto"/>
            <w:bottom w:val="none" w:sz="0" w:space="0" w:color="auto"/>
            <w:right w:val="none" w:sz="0" w:space="0" w:color="auto"/>
          </w:divBdr>
        </w:div>
        <w:div w:id="1279340093">
          <w:marLeft w:val="1267"/>
          <w:marRight w:val="0"/>
          <w:marTop w:val="0"/>
          <w:marBottom w:val="0"/>
          <w:divBdr>
            <w:top w:val="none" w:sz="0" w:space="0" w:color="auto"/>
            <w:left w:val="none" w:sz="0" w:space="0" w:color="auto"/>
            <w:bottom w:val="none" w:sz="0" w:space="0" w:color="auto"/>
            <w:right w:val="none" w:sz="0" w:space="0" w:color="auto"/>
          </w:divBdr>
        </w:div>
        <w:div w:id="1378893959">
          <w:marLeft w:val="1267"/>
          <w:marRight w:val="0"/>
          <w:marTop w:val="0"/>
          <w:marBottom w:val="0"/>
          <w:divBdr>
            <w:top w:val="none" w:sz="0" w:space="0" w:color="auto"/>
            <w:left w:val="none" w:sz="0" w:space="0" w:color="auto"/>
            <w:bottom w:val="none" w:sz="0" w:space="0" w:color="auto"/>
            <w:right w:val="none" w:sz="0" w:space="0" w:color="auto"/>
          </w:divBdr>
        </w:div>
        <w:div w:id="1502113078">
          <w:marLeft w:val="1267"/>
          <w:marRight w:val="0"/>
          <w:marTop w:val="0"/>
          <w:marBottom w:val="0"/>
          <w:divBdr>
            <w:top w:val="none" w:sz="0" w:space="0" w:color="auto"/>
            <w:left w:val="none" w:sz="0" w:space="0" w:color="auto"/>
            <w:bottom w:val="none" w:sz="0" w:space="0" w:color="auto"/>
            <w:right w:val="none" w:sz="0" w:space="0" w:color="auto"/>
          </w:divBdr>
        </w:div>
        <w:div w:id="1748191802">
          <w:marLeft w:val="1267"/>
          <w:marRight w:val="0"/>
          <w:marTop w:val="0"/>
          <w:marBottom w:val="0"/>
          <w:divBdr>
            <w:top w:val="none" w:sz="0" w:space="0" w:color="auto"/>
            <w:left w:val="none" w:sz="0" w:space="0" w:color="auto"/>
            <w:bottom w:val="none" w:sz="0" w:space="0" w:color="auto"/>
            <w:right w:val="none" w:sz="0" w:space="0" w:color="auto"/>
          </w:divBdr>
        </w:div>
        <w:div w:id="1857160374">
          <w:marLeft w:val="1267"/>
          <w:marRight w:val="0"/>
          <w:marTop w:val="0"/>
          <w:marBottom w:val="0"/>
          <w:divBdr>
            <w:top w:val="none" w:sz="0" w:space="0" w:color="auto"/>
            <w:left w:val="none" w:sz="0" w:space="0" w:color="auto"/>
            <w:bottom w:val="none" w:sz="0" w:space="0" w:color="auto"/>
            <w:right w:val="none" w:sz="0" w:space="0" w:color="auto"/>
          </w:divBdr>
        </w:div>
        <w:div w:id="2050841163">
          <w:marLeft w:val="1267"/>
          <w:marRight w:val="0"/>
          <w:marTop w:val="0"/>
          <w:marBottom w:val="0"/>
          <w:divBdr>
            <w:top w:val="none" w:sz="0" w:space="0" w:color="auto"/>
            <w:left w:val="none" w:sz="0" w:space="0" w:color="auto"/>
            <w:bottom w:val="none" w:sz="0" w:space="0" w:color="auto"/>
            <w:right w:val="none" w:sz="0" w:space="0" w:color="auto"/>
          </w:divBdr>
        </w:div>
        <w:div w:id="2081050619">
          <w:marLeft w:val="1267"/>
          <w:marRight w:val="0"/>
          <w:marTop w:val="0"/>
          <w:marBottom w:val="0"/>
          <w:divBdr>
            <w:top w:val="none" w:sz="0" w:space="0" w:color="auto"/>
            <w:left w:val="none" w:sz="0" w:space="0" w:color="auto"/>
            <w:bottom w:val="none" w:sz="0" w:space="0" w:color="auto"/>
            <w:right w:val="none" w:sz="0" w:space="0" w:color="auto"/>
          </w:divBdr>
        </w:div>
      </w:divsChild>
    </w:div>
    <w:div w:id="119996782">
      <w:bodyDiv w:val="1"/>
      <w:marLeft w:val="0"/>
      <w:marRight w:val="0"/>
      <w:marTop w:val="0"/>
      <w:marBottom w:val="0"/>
      <w:divBdr>
        <w:top w:val="none" w:sz="0" w:space="0" w:color="auto"/>
        <w:left w:val="none" w:sz="0" w:space="0" w:color="auto"/>
        <w:bottom w:val="none" w:sz="0" w:space="0" w:color="auto"/>
        <w:right w:val="none" w:sz="0" w:space="0" w:color="auto"/>
      </w:divBdr>
    </w:div>
    <w:div w:id="202134780">
      <w:bodyDiv w:val="1"/>
      <w:marLeft w:val="0"/>
      <w:marRight w:val="0"/>
      <w:marTop w:val="0"/>
      <w:marBottom w:val="0"/>
      <w:divBdr>
        <w:top w:val="none" w:sz="0" w:space="0" w:color="auto"/>
        <w:left w:val="none" w:sz="0" w:space="0" w:color="auto"/>
        <w:bottom w:val="none" w:sz="0" w:space="0" w:color="auto"/>
        <w:right w:val="none" w:sz="0" w:space="0" w:color="auto"/>
      </w:divBdr>
    </w:div>
    <w:div w:id="256868345">
      <w:bodyDiv w:val="1"/>
      <w:marLeft w:val="0"/>
      <w:marRight w:val="0"/>
      <w:marTop w:val="0"/>
      <w:marBottom w:val="0"/>
      <w:divBdr>
        <w:top w:val="none" w:sz="0" w:space="0" w:color="auto"/>
        <w:left w:val="none" w:sz="0" w:space="0" w:color="auto"/>
        <w:bottom w:val="none" w:sz="0" w:space="0" w:color="auto"/>
        <w:right w:val="none" w:sz="0" w:space="0" w:color="auto"/>
      </w:divBdr>
    </w:div>
    <w:div w:id="294600458">
      <w:bodyDiv w:val="1"/>
      <w:marLeft w:val="0"/>
      <w:marRight w:val="0"/>
      <w:marTop w:val="0"/>
      <w:marBottom w:val="0"/>
      <w:divBdr>
        <w:top w:val="none" w:sz="0" w:space="0" w:color="auto"/>
        <w:left w:val="none" w:sz="0" w:space="0" w:color="auto"/>
        <w:bottom w:val="none" w:sz="0" w:space="0" w:color="auto"/>
        <w:right w:val="none" w:sz="0" w:space="0" w:color="auto"/>
      </w:divBdr>
      <w:divsChild>
        <w:div w:id="79445267">
          <w:marLeft w:val="1181"/>
          <w:marRight w:val="0"/>
          <w:marTop w:val="40"/>
          <w:marBottom w:val="122"/>
          <w:divBdr>
            <w:top w:val="none" w:sz="0" w:space="0" w:color="auto"/>
            <w:left w:val="none" w:sz="0" w:space="0" w:color="auto"/>
            <w:bottom w:val="none" w:sz="0" w:space="0" w:color="auto"/>
            <w:right w:val="none" w:sz="0" w:space="0" w:color="auto"/>
          </w:divBdr>
        </w:div>
        <w:div w:id="534317015">
          <w:marLeft w:val="1181"/>
          <w:marRight w:val="0"/>
          <w:marTop w:val="40"/>
          <w:marBottom w:val="122"/>
          <w:divBdr>
            <w:top w:val="none" w:sz="0" w:space="0" w:color="auto"/>
            <w:left w:val="none" w:sz="0" w:space="0" w:color="auto"/>
            <w:bottom w:val="none" w:sz="0" w:space="0" w:color="auto"/>
            <w:right w:val="none" w:sz="0" w:space="0" w:color="auto"/>
          </w:divBdr>
        </w:div>
      </w:divsChild>
    </w:div>
    <w:div w:id="313606110">
      <w:bodyDiv w:val="1"/>
      <w:marLeft w:val="0"/>
      <w:marRight w:val="0"/>
      <w:marTop w:val="0"/>
      <w:marBottom w:val="0"/>
      <w:divBdr>
        <w:top w:val="none" w:sz="0" w:space="0" w:color="auto"/>
        <w:left w:val="none" w:sz="0" w:space="0" w:color="auto"/>
        <w:bottom w:val="none" w:sz="0" w:space="0" w:color="auto"/>
        <w:right w:val="none" w:sz="0" w:space="0" w:color="auto"/>
      </w:divBdr>
    </w:div>
    <w:div w:id="428277964">
      <w:bodyDiv w:val="1"/>
      <w:marLeft w:val="0"/>
      <w:marRight w:val="0"/>
      <w:marTop w:val="0"/>
      <w:marBottom w:val="0"/>
      <w:divBdr>
        <w:top w:val="none" w:sz="0" w:space="0" w:color="auto"/>
        <w:left w:val="none" w:sz="0" w:space="0" w:color="auto"/>
        <w:bottom w:val="none" w:sz="0" w:space="0" w:color="auto"/>
        <w:right w:val="none" w:sz="0" w:space="0" w:color="auto"/>
      </w:divBdr>
    </w:div>
    <w:div w:id="490757009">
      <w:bodyDiv w:val="1"/>
      <w:marLeft w:val="0"/>
      <w:marRight w:val="0"/>
      <w:marTop w:val="0"/>
      <w:marBottom w:val="0"/>
      <w:divBdr>
        <w:top w:val="none" w:sz="0" w:space="0" w:color="auto"/>
        <w:left w:val="none" w:sz="0" w:space="0" w:color="auto"/>
        <w:bottom w:val="none" w:sz="0" w:space="0" w:color="auto"/>
        <w:right w:val="none" w:sz="0" w:space="0" w:color="auto"/>
      </w:divBdr>
    </w:div>
    <w:div w:id="499850106">
      <w:bodyDiv w:val="1"/>
      <w:marLeft w:val="0"/>
      <w:marRight w:val="0"/>
      <w:marTop w:val="0"/>
      <w:marBottom w:val="0"/>
      <w:divBdr>
        <w:top w:val="none" w:sz="0" w:space="0" w:color="auto"/>
        <w:left w:val="none" w:sz="0" w:space="0" w:color="auto"/>
        <w:bottom w:val="none" w:sz="0" w:space="0" w:color="auto"/>
        <w:right w:val="none" w:sz="0" w:space="0" w:color="auto"/>
      </w:divBdr>
    </w:div>
    <w:div w:id="509371232">
      <w:bodyDiv w:val="1"/>
      <w:marLeft w:val="0"/>
      <w:marRight w:val="0"/>
      <w:marTop w:val="0"/>
      <w:marBottom w:val="0"/>
      <w:divBdr>
        <w:top w:val="none" w:sz="0" w:space="0" w:color="auto"/>
        <w:left w:val="none" w:sz="0" w:space="0" w:color="auto"/>
        <w:bottom w:val="none" w:sz="0" w:space="0" w:color="auto"/>
        <w:right w:val="none" w:sz="0" w:space="0" w:color="auto"/>
      </w:divBdr>
    </w:div>
    <w:div w:id="543179987">
      <w:bodyDiv w:val="1"/>
      <w:marLeft w:val="0"/>
      <w:marRight w:val="0"/>
      <w:marTop w:val="0"/>
      <w:marBottom w:val="0"/>
      <w:divBdr>
        <w:top w:val="none" w:sz="0" w:space="0" w:color="auto"/>
        <w:left w:val="none" w:sz="0" w:space="0" w:color="auto"/>
        <w:bottom w:val="none" w:sz="0" w:space="0" w:color="auto"/>
        <w:right w:val="none" w:sz="0" w:space="0" w:color="auto"/>
      </w:divBdr>
    </w:div>
    <w:div w:id="647973725">
      <w:bodyDiv w:val="1"/>
      <w:marLeft w:val="0"/>
      <w:marRight w:val="0"/>
      <w:marTop w:val="0"/>
      <w:marBottom w:val="0"/>
      <w:divBdr>
        <w:top w:val="none" w:sz="0" w:space="0" w:color="auto"/>
        <w:left w:val="none" w:sz="0" w:space="0" w:color="auto"/>
        <w:bottom w:val="none" w:sz="0" w:space="0" w:color="auto"/>
        <w:right w:val="none" w:sz="0" w:space="0" w:color="auto"/>
      </w:divBdr>
    </w:div>
    <w:div w:id="712272334">
      <w:bodyDiv w:val="1"/>
      <w:marLeft w:val="0"/>
      <w:marRight w:val="0"/>
      <w:marTop w:val="0"/>
      <w:marBottom w:val="0"/>
      <w:divBdr>
        <w:top w:val="none" w:sz="0" w:space="0" w:color="auto"/>
        <w:left w:val="none" w:sz="0" w:space="0" w:color="auto"/>
        <w:bottom w:val="none" w:sz="0" w:space="0" w:color="auto"/>
        <w:right w:val="none" w:sz="0" w:space="0" w:color="auto"/>
      </w:divBdr>
    </w:div>
    <w:div w:id="764040095">
      <w:bodyDiv w:val="1"/>
      <w:marLeft w:val="0"/>
      <w:marRight w:val="0"/>
      <w:marTop w:val="0"/>
      <w:marBottom w:val="0"/>
      <w:divBdr>
        <w:top w:val="none" w:sz="0" w:space="0" w:color="auto"/>
        <w:left w:val="none" w:sz="0" w:space="0" w:color="auto"/>
        <w:bottom w:val="none" w:sz="0" w:space="0" w:color="auto"/>
        <w:right w:val="none" w:sz="0" w:space="0" w:color="auto"/>
      </w:divBdr>
    </w:div>
    <w:div w:id="794059840">
      <w:bodyDiv w:val="1"/>
      <w:marLeft w:val="0"/>
      <w:marRight w:val="0"/>
      <w:marTop w:val="0"/>
      <w:marBottom w:val="0"/>
      <w:divBdr>
        <w:top w:val="none" w:sz="0" w:space="0" w:color="auto"/>
        <w:left w:val="none" w:sz="0" w:space="0" w:color="auto"/>
        <w:bottom w:val="none" w:sz="0" w:space="0" w:color="auto"/>
        <w:right w:val="none" w:sz="0" w:space="0" w:color="auto"/>
      </w:divBdr>
    </w:div>
    <w:div w:id="823083025">
      <w:bodyDiv w:val="1"/>
      <w:marLeft w:val="0"/>
      <w:marRight w:val="0"/>
      <w:marTop w:val="0"/>
      <w:marBottom w:val="0"/>
      <w:divBdr>
        <w:top w:val="none" w:sz="0" w:space="0" w:color="auto"/>
        <w:left w:val="none" w:sz="0" w:space="0" w:color="auto"/>
        <w:bottom w:val="none" w:sz="0" w:space="0" w:color="auto"/>
        <w:right w:val="none" w:sz="0" w:space="0" w:color="auto"/>
      </w:divBdr>
    </w:div>
    <w:div w:id="847451140">
      <w:bodyDiv w:val="1"/>
      <w:marLeft w:val="0"/>
      <w:marRight w:val="0"/>
      <w:marTop w:val="0"/>
      <w:marBottom w:val="0"/>
      <w:divBdr>
        <w:top w:val="none" w:sz="0" w:space="0" w:color="auto"/>
        <w:left w:val="none" w:sz="0" w:space="0" w:color="auto"/>
        <w:bottom w:val="none" w:sz="0" w:space="0" w:color="auto"/>
        <w:right w:val="none" w:sz="0" w:space="0" w:color="auto"/>
      </w:divBdr>
    </w:div>
    <w:div w:id="929000049">
      <w:bodyDiv w:val="1"/>
      <w:marLeft w:val="0"/>
      <w:marRight w:val="0"/>
      <w:marTop w:val="0"/>
      <w:marBottom w:val="0"/>
      <w:divBdr>
        <w:top w:val="none" w:sz="0" w:space="0" w:color="auto"/>
        <w:left w:val="none" w:sz="0" w:space="0" w:color="auto"/>
        <w:bottom w:val="none" w:sz="0" w:space="0" w:color="auto"/>
        <w:right w:val="none" w:sz="0" w:space="0" w:color="auto"/>
      </w:divBdr>
    </w:div>
    <w:div w:id="930819852">
      <w:bodyDiv w:val="1"/>
      <w:marLeft w:val="0"/>
      <w:marRight w:val="0"/>
      <w:marTop w:val="0"/>
      <w:marBottom w:val="0"/>
      <w:divBdr>
        <w:top w:val="none" w:sz="0" w:space="0" w:color="auto"/>
        <w:left w:val="none" w:sz="0" w:space="0" w:color="auto"/>
        <w:bottom w:val="none" w:sz="0" w:space="0" w:color="auto"/>
        <w:right w:val="none" w:sz="0" w:space="0" w:color="auto"/>
      </w:divBdr>
      <w:divsChild>
        <w:div w:id="1168790015">
          <w:marLeft w:val="0"/>
          <w:marRight w:val="0"/>
          <w:marTop w:val="675"/>
          <w:marBottom w:val="0"/>
          <w:divBdr>
            <w:top w:val="none" w:sz="0" w:space="0" w:color="auto"/>
            <w:left w:val="none" w:sz="0" w:space="0" w:color="auto"/>
            <w:bottom w:val="none" w:sz="0" w:space="0" w:color="auto"/>
            <w:right w:val="none" w:sz="0" w:space="0" w:color="auto"/>
          </w:divBdr>
          <w:divsChild>
            <w:div w:id="2046365078">
              <w:marLeft w:val="0"/>
              <w:marRight w:val="0"/>
              <w:marTop w:val="0"/>
              <w:marBottom w:val="0"/>
              <w:divBdr>
                <w:top w:val="none" w:sz="0" w:space="0" w:color="auto"/>
                <w:left w:val="none" w:sz="0" w:space="0" w:color="auto"/>
                <w:bottom w:val="none" w:sz="0" w:space="0" w:color="auto"/>
                <w:right w:val="none" w:sz="0" w:space="0" w:color="auto"/>
              </w:divBdr>
            </w:div>
          </w:divsChild>
        </w:div>
        <w:div w:id="2129738476">
          <w:marLeft w:val="0"/>
          <w:marRight w:val="0"/>
          <w:marTop w:val="0"/>
          <w:marBottom w:val="0"/>
          <w:divBdr>
            <w:top w:val="none" w:sz="0" w:space="0" w:color="auto"/>
            <w:left w:val="none" w:sz="0" w:space="0" w:color="auto"/>
            <w:bottom w:val="none" w:sz="0" w:space="0" w:color="auto"/>
            <w:right w:val="none" w:sz="0" w:space="0" w:color="auto"/>
          </w:divBdr>
        </w:div>
      </w:divsChild>
    </w:div>
    <w:div w:id="971863487">
      <w:bodyDiv w:val="1"/>
      <w:marLeft w:val="0"/>
      <w:marRight w:val="0"/>
      <w:marTop w:val="0"/>
      <w:marBottom w:val="0"/>
      <w:divBdr>
        <w:top w:val="none" w:sz="0" w:space="0" w:color="auto"/>
        <w:left w:val="none" w:sz="0" w:space="0" w:color="auto"/>
        <w:bottom w:val="none" w:sz="0" w:space="0" w:color="auto"/>
        <w:right w:val="none" w:sz="0" w:space="0" w:color="auto"/>
      </w:divBdr>
    </w:div>
    <w:div w:id="989793510">
      <w:bodyDiv w:val="1"/>
      <w:marLeft w:val="0"/>
      <w:marRight w:val="0"/>
      <w:marTop w:val="0"/>
      <w:marBottom w:val="0"/>
      <w:divBdr>
        <w:top w:val="none" w:sz="0" w:space="0" w:color="auto"/>
        <w:left w:val="none" w:sz="0" w:space="0" w:color="auto"/>
        <w:bottom w:val="none" w:sz="0" w:space="0" w:color="auto"/>
        <w:right w:val="none" w:sz="0" w:space="0" w:color="auto"/>
      </w:divBdr>
    </w:div>
    <w:div w:id="1061831186">
      <w:bodyDiv w:val="1"/>
      <w:marLeft w:val="0"/>
      <w:marRight w:val="0"/>
      <w:marTop w:val="0"/>
      <w:marBottom w:val="0"/>
      <w:divBdr>
        <w:top w:val="none" w:sz="0" w:space="0" w:color="auto"/>
        <w:left w:val="none" w:sz="0" w:space="0" w:color="auto"/>
        <w:bottom w:val="none" w:sz="0" w:space="0" w:color="auto"/>
        <w:right w:val="none" w:sz="0" w:space="0" w:color="auto"/>
      </w:divBdr>
    </w:div>
    <w:div w:id="1102266192">
      <w:bodyDiv w:val="1"/>
      <w:marLeft w:val="0"/>
      <w:marRight w:val="0"/>
      <w:marTop w:val="0"/>
      <w:marBottom w:val="0"/>
      <w:divBdr>
        <w:top w:val="none" w:sz="0" w:space="0" w:color="auto"/>
        <w:left w:val="none" w:sz="0" w:space="0" w:color="auto"/>
        <w:bottom w:val="none" w:sz="0" w:space="0" w:color="auto"/>
        <w:right w:val="none" w:sz="0" w:space="0" w:color="auto"/>
      </w:divBdr>
    </w:div>
    <w:div w:id="1115371658">
      <w:bodyDiv w:val="1"/>
      <w:marLeft w:val="0"/>
      <w:marRight w:val="0"/>
      <w:marTop w:val="0"/>
      <w:marBottom w:val="0"/>
      <w:divBdr>
        <w:top w:val="none" w:sz="0" w:space="0" w:color="auto"/>
        <w:left w:val="none" w:sz="0" w:space="0" w:color="auto"/>
        <w:bottom w:val="none" w:sz="0" w:space="0" w:color="auto"/>
        <w:right w:val="none" w:sz="0" w:space="0" w:color="auto"/>
      </w:divBdr>
    </w:div>
    <w:div w:id="1115757264">
      <w:bodyDiv w:val="1"/>
      <w:marLeft w:val="0"/>
      <w:marRight w:val="0"/>
      <w:marTop w:val="0"/>
      <w:marBottom w:val="0"/>
      <w:divBdr>
        <w:top w:val="none" w:sz="0" w:space="0" w:color="auto"/>
        <w:left w:val="none" w:sz="0" w:space="0" w:color="auto"/>
        <w:bottom w:val="none" w:sz="0" w:space="0" w:color="auto"/>
        <w:right w:val="none" w:sz="0" w:space="0" w:color="auto"/>
      </w:divBdr>
    </w:div>
    <w:div w:id="1140533112">
      <w:bodyDiv w:val="1"/>
      <w:marLeft w:val="0"/>
      <w:marRight w:val="0"/>
      <w:marTop w:val="0"/>
      <w:marBottom w:val="0"/>
      <w:divBdr>
        <w:top w:val="none" w:sz="0" w:space="0" w:color="auto"/>
        <w:left w:val="none" w:sz="0" w:space="0" w:color="auto"/>
        <w:bottom w:val="none" w:sz="0" w:space="0" w:color="auto"/>
        <w:right w:val="none" w:sz="0" w:space="0" w:color="auto"/>
      </w:divBdr>
    </w:div>
    <w:div w:id="1231572594">
      <w:bodyDiv w:val="1"/>
      <w:marLeft w:val="0"/>
      <w:marRight w:val="0"/>
      <w:marTop w:val="0"/>
      <w:marBottom w:val="0"/>
      <w:divBdr>
        <w:top w:val="none" w:sz="0" w:space="0" w:color="auto"/>
        <w:left w:val="none" w:sz="0" w:space="0" w:color="auto"/>
        <w:bottom w:val="none" w:sz="0" w:space="0" w:color="auto"/>
        <w:right w:val="none" w:sz="0" w:space="0" w:color="auto"/>
      </w:divBdr>
    </w:div>
    <w:div w:id="1315791375">
      <w:bodyDiv w:val="1"/>
      <w:marLeft w:val="0"/>
      <w:marRight w:val="0"/>
      <w:marTop w:val="0"/>
      <w:marBottom w:val="0"/>
      <w:divBdr>
        <w:top w:val="none" w:sz="0" w:space="0" w:color="auto"/>
        <w:left w:val="none" w:sz="0" w:space="0" w:color="auto"/>
        <w:bottom w:val="none" w:sz="0" w:space="0" w:color="auto"/>
        <w:right w:val="none" w:sz="0" w:space="0" w:color="auto"/>
      </w:divBdr>
    </w:div>
    <w:div w:id="1328826833">
      <w:bodyDiv w:val="1"/>
      <w:marLeft w:val="0"/>
      <w:marRight w:val="0"/>
      <w:marTop w:val="0"/>
      <w:marBottom w:val="0"/>
      <w:divBdr>
        <w:top w:val="none" w:sz="0" w:space="0" w:color="auto"/>
        <w:left w:val="none" w:sz="0" w:space="0" w:color="auto"/>
        <w:bottom w:val="none" w:sz="0" w:space="0" w:color="auto"/>
        <w:right w:val="none" w:sz="0" w:space="0" w:color="auto"/>
      </w:divBdr>
    </w:div>
    <w:div w:id="1357923492">
      <w:bodyDiv w:val="1"/>
      <w:marLeft w:val="0"/>
      <w:marRight w:val="0"/>
      <w:marTop w:val="0"/>
      <w:marBottom w:val="0"/>
      <w:divBdr>
        <w:top w:val="none" w:sz="0" w:space="0" w:color="auto"/>
        <w:left w:val="none" w:sz="0" w:space="0" w:color="auto"/>
        <w:bottom w:val="none" w:sz="0" w:space="0" w:color="auto"/>
        <w:right w:val="none" w:sz="0" w:space="0" w:color="auto"/>
      </w:divBdr>
    </w:div>
    <w:div w:id="1378893536">
      <w:bodyDiv w:val="1"/>
      <w:marLeft w:val="0"/>
      <w:marRight w:val="0"/>
      <w:marTop w:val="0"/>
      <w:marBottom w:val="0"/>
      <w:divBdr>
        <w:top w:val="none" w:sz="0" w:space="0" w:color="auto"/>
        <w:left w:val="none" w:sz="0" w:space="0" w:color="auto"/>
        <w:bottom w:val="none" w:sz="0" w:space="0" w:color="auto"/>
        <w:right w:val="none" w:sz="0" w:space="0" w:color="auto"/>
      </w:divBdr>
    </w:div>
    <w:div w:id="1412120492">
      <w:bodyDiv w:val="1"/>
      <w:marLeft w:val="0"/>
      <w:marRight w:val="0"/>
      <w:marTop w:val="0"/>
      <w:marBottom w:val="0"/>
      <w:divBdr>
        <w:top w:val="none" w:sz="0" w:space="0" w:color="auto"/>
        <w:left w:val="none" w:sz="0" w:space="0" w:color="auto"/>
        <w:bottom w:val="none" w:sz="0" w:space="0" w:color="auto"/>
        <w:right w:val="none" w:sz="0" w:space="0" w:color="auto"/>
      </w:divBdr>
    </w:div>
    <w:div w:id="1434009817">
      <w:bodyDiv w:val="1"/>
      <w:marLeft w:val="0"/>
      <w:marRight w:val="0"/>
      <w:marTop w:val="0"/>
      <w:marBottom w:val="0"/>
      <w:divBdr>
        <w:top w:val="none" w:sz="0" w:space="0" w:color="auto"/>
        <w:left w:val="none" w:sz="0" w:space="0" w:color="auto"/>
        <w:bottom w:val="none" w:sz="0" w:space="0" w:color="auto"/>
        <w:right w:val="none" w:sz="0" w:space="0" w:color="auto"/>
      </w:divBdr>
    </w:div>
    <w:div w:id="1438721864">
      <w:bodyDiv w:val="1"/>
      <w:marLeft w:val="0"/>
      <w:marRight w:val="0"/>
      <w:marTop w:val="0"/>
      <w:marBottom w:val="0"/>
      <w:divBdr>
        <w:top w:val="none" w:sz="0" w:space="0" w:color="auto"/>
        <w:left w:val="none" w:sz="0" w:space="0" w:color="auto"/>
        <w:bottom w:val="none" w:sz="0" w:space="0" w:color="auto"/>
        <w:right w:val="none" w:sz="0" w:space="0" w:color="auto"/>
      </w:divBdr>
    </w:div>
    <w:div w:id="1444881427">
      <w:bodyDiv w:val="1"/>
      <w:marLeft w:val="0"/>
      <w:marRight w:val="0"/>
      <w:marTop w:val="0"/>
      <w:marBottom w:val="0"/>
      <w:divBdr>
        <w:top w:val="none" w:sz="0" w:space="0" w:color="auto"/>
        <w:left w:val="none" w:sz="0" w:space="0" w:color="auto"/>
        <w:bottom w:val="none" w:sz="0" w:space="0" w:color="auto"/>
        <w:right w:val="none" w:sz="0" w:space="0" w:color="auto"/>
      </w:divBdr>
    </w:div>
    <w:div w:id="1503815287">
      <w:bodyDiv w:val="1"/>
      <w:marLeft w:val="0"/>
      <w:marRight w:val="0"/>
      <w:marTop w:val="0"/>
      <w:marBottom w:val="0"/>
      <w:divBdr>
        <w:top w:val="none" w:sz="0" w:space="0" w:color="auto"/>
        <w:left w:val="none" w:sz="0" w:space="0" w:color="auto"/>
        <w:bottom w:val="none" w:sz="0" w:space="0" w:color="auto"/>
        <w:right w:val="none" w:sz="0" w:space="0" w:color="auto"/>
      </w:divBdr>
    </w:div>
    <w:div w:id="1520197015">
      <w:bodyDiv w:val="1"/>
      <w:marLeft w:val="0"/>
      <w:marRight w:val="0"/>
      <w:marTop w:val="0"/>
      <w:marBottom w:val="0"/>
      <w:divBdr>
        <w:top w:val="none" w:sz="0" w:space="0" w:color="auto"/>
        <w:left w:val="none" w:sz="0" w:space="0" w:color="auto"/>
        <w:bottom w:val="none" w:sz="0" w:space="0" w:color="auto"/>
        <w:right w:val="none" w:sz="0" w:space="0" w:color="auto"/>
      </w:divBdr>
    </w:div>
    <w:div w:id="1592158258">
      <w:bodyDiv w:val="1"/>
      <w:marLeft w:val="0"/>
      <w:marRight w:val="0"/>
      <w:marTop w:val="0"/>
      <w:marBottom w:val="0"/>
      <w:divBdr>
        <w:top w:val="none" w:sz="0" w:space="0" w:color="auto"/>
        <w:left w:val="none" w:sz="0" w:space="0" w:color="auto"/>
        <w:bottom w:val="none" w:sz="0" w:space="0" w:color="auto"/>
        <w:right w:val="none" w:sz="0" w:space="0" w:color="auto"/>
      </w:divBdr>
    </w:div>
    <w:div w:id="1640450456">
      <w:bodyDiv w:val="1"/>
      <w:marLeft w:val="0"/>
      <w:marRight w:val="0"/>
      <w:marTop w:val="0"/>
      <w:marBottom w:val="0"/>
      <w:divBdr>
        <w:top w:val="none" w:sz="0" w:space="0" w:color="auto"/>
        <w:left w:val="none" w:sz="0" w:space="0" w:color="auto"/>
        <w:bottom w:val="none" w:sz="0" w:space="0" w:color="auto"/>
        <w:right w:val="none" w:sz="0" w:space="0" w:color="auto"/>
      </w:divBdr>
    </w:div>
    <w:div w:id="1656883266">
      <w:bodyDiv w:val="1"/>
      <w:marLeft w:val="0"/>
      <w:marRight w:val="0"/>
      <w:marTop w:val="0"/>
      <w:marBottom w:val="0"/>
      <w:divBdr>
        <w:top w:val="none" w:sz="0" w:space="0" w:color="auto"/>
        <w:left w:val="none" w:sz="0" w:space="0" w:color="auto"/>
        <w:bottom w:val="none" w:sz="0" w:space="0" w:color="auto"/>
        <w:right w:val="none" w:sz="0" w:space="0" w:color="auto"/>
      </w:divBdr>
    </w:div>
    <w:div w:id="1691830958">
      <w:bodyDiv w:val="1"/>
      <w:marLeft w:val="0"/>
      <w:marRight w:val="0"/>
      <w:marTop w:val="0"/>
      <w:marBottom w:val="0"/>
      <w:divBdr>
        <w:top w:val="none" w:sz="0" w:space="0" w:color="auto"/>
        <w:left w:val="none" w:sz="0" w:space="0" w:color="auto"/>
        <w:bottom w:val="none" w:sz="0" w:space="0" w:color="auto"/>
        <w:right w:val="none" w:sz="0" w:space="0" w:color="auto"/>
      </w:divBdr>
    </w:div>
    <w:div w:id="1723674527">
      <w:bodyDiv w:val="1"/>
      <w:marLeft w:val="0"/>
      <w:marRight w:val="0"/>
      <w:marTop w:val="0"/>
      <w:marBottom w:val="0"/>
      <w:divBdr>
        <w:top w:val="none" w:sz="0" w:space="0" w:color="auto"/>
        <w:left w:val="none" w:sz="0" w:space="0" w:color="auto"/>
        <w:bottom w:val="none" w:sz="0" w:space="0" w:color="auto"/>
        <w:right w:val="none" w:sz="0" w:space="0" w:color="auto"/>
      </w:divBdr>
    </w:div>
    <w:div w:id="1765567850">
      <w:bodyDiv w:val="1"/>
      <w:marLeft w:val="0"/>
      <w:marRight w:val="0"/>
      <w:marTop w:val="0"/>
      <w:marBottom w:val="0"/>
      <w:divBdr>
        <w:top w:val="none" w:sz="0" w:space="0" w:color="auto"/>
        <w:left w:val="none" w:sz="0" w:space="0" w:color="auto"/>
        <w:bottom w:val="none" w:sz="0" w:space="0" w:color="auto"/>
        <w:right w:val="none" w:sz="0" w:space="0" w:color="auto"/>
      </w:divBdr>
    </w:div>
    <w:div w:id="1807972126">
      <w:bodyDiv w:val="1"/>
      <w:marLeft w:val="0"/>
      <w:marRight w:val="0"/>
      <w:marTop w:val="0"/>
      <w:marBottom w:val="0"/>
      <w:divBdr>
        <w:top w:val="none" w:sz="0" w:space="0" w:color="auto"/>
        <w:left w:val="none" w:sz="0" w:space="0" w:color="auto"/>
        <w:bottom w:val="none" w:sz="0" w:space="0" w:color="auto"/>
        <w:right w:val="none" w:sz="0" w:space="0" w:color="auto"/>
      </w:divBdr>
      <w:divsChild>
        <w:div w:id="171264765">
          <w:marLeft w:val="0"/>
          <w:marRight w:val="0"/>
          <w:marTop w:val="0"/>
          <w:marBottom w:val="0"/>
          <w:divBdr>
            <w:top w:val="none" w:sz="0" w:space="0" w:color="auto"/>
            <w:left w:val="none" w:sz="0" w:space="0" w:color="auto"/>
            <w:bottom w:val="none" w:sz="0" w:space="0" w:color="auto"/>
            <w:right w:val="none" w:sz="0" w:space="0" w:color="auto"/>
          </w:divBdr>
        </w:div>
        <w:div w:id="395858545">
          <w:marLeft w:val="0"/>
          <w:marRight w:val="0"/>
          <w:marTop w:val="675"/>
          <w:marBottom w:val="0"/>
          <w:divBdr>
            <w:top w:val="none" w:sz="0" w:space="0" w:color="auto"/>
            <w:left w:val="none" w:sz="0" w:space="0" w:color="auto"/>
            <w:bottom w:val="none" w:sz="0" w:space="0" w:color="auto"/>
            <w:right w:val="none" w:sz="0" w:space="0" w:color="auto"/>
          </w:divBdr>
          <w:divsChild>
            <w:div w:id="20112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508">
      <w:bodyDiv w:val="1"/>
      <w:marLeft w:val="0"/>
      <w:marRight w:val="0"/>
      <w:marTop w:val="0"/>
      <w:marBottom w:val="0"/>
      <w:divBdr>
        <w:top w:val="none" w:sz="0" w:space="0" w:color="auto"/>
        <w:left w:val="none" w:sz="0" w:space="0" w:color="auto"/>
        <w:bottom w:val="none" w:sz="0" w:space="0" w:color="auto"/>
        <w:right w:val="none" w:sz="0" w:space="0" w:color="auto"/>
      </w:divBdr>
    </w:div>
    <w:div w:id="1865554590">
      <w:bodyDiv w:val="1"/>
      <w:marLeft w:val="0"/>
      <w:marRight w:val="0"/>
      <w:marTop w:val="0"/>
      <w:marBottom w:val="0"/>
      <w:divBdr>
        <w:top w:val="none" w:sz="0" w:space="0" w:color="auto"/>
        <w:left w:val="none" w:sz="0" w:space="0" w:color="auto"/>
        <w:bottom w:val="none" w:sz="0" w:space="0" w:color="auto"/>
        <w:right w:val="none" w:sz="0" w:space="0" w:color="auto"/>
      </w:divBdr>
    </w:div>
    <w:div w:id="1877691729">
      <w:bodyDiv w:val="1"/>
      <w:marLeft w:val="0"/>
      <w:marRight w:val="0"/>
      <w:marTop w:val="0"/>
      <w:marBottom w:val="0"/>
      <w:divBdr>
        <w:top w:val="none" w:sz="0" w:space="0" w:color="auto"/>
        <w:left w:val="none" w:sz="0" w:space="0" w:color="auto"/>
        <w:bottom w:val="none" w:sz="0" w:space="0" w:color="auto"/>
        <w:right w:val="none" w:sz="0" w:space="0" w:color="auto"/>
      </w:divBdr>
    </w:div>
    <w:div w:id="1908032726">
      <w:bodyDiv w:val="1"/>
      <w:marLeft w:val="0"/>
      <w:marRight w:val="0"/>
      <w:marTop w:val="0"/>
      <w:marBottom w:val="0"/>
      <w:divBdr>
        <w:top w:val="none" w:sz="0" w:space="0" w:color="auto"/>
        <w:left w:val="none" w:sz="0" w:space="0" w:color="auto"/>
        <w:bottom w:val="none" w:sz="0" w:space="0" w:color="auto"/>
        <w:right w:val="none" w:sz="0" w:space="0" w:color="auto"/>
      </w:divBdr>
    </w:div>
    <w:div w:id="1911234488">
      <w:bodyDiv w:val="1"/>
      <w:marLeft w:val="0"/>
      <w:marRight w:val="0"/>
      <w:marTop w:val="0"/>
      <w:marBottom w:val="0"/>
      <w:divBdr>
        <w:top w:val="none" w:sz="0" w:space="0" w:color="auto"/>
        <w:left w:val="none" w:sz="0" w:space="0" w:color="auto"/>
        <w:bottom w:val="none" w:sz="0" w:space="0" w:color="auto"/>
        <w:right w:val="none" w:sz="0" w:space="0" w:color="auto"/>
      </w:divBdr>
    </w:div>
    <w:div w:id="1937788086">
      <w:bodyDiv w:val="1"/>
      <w:marLeft w:val="0"/>
      <w:marRight w:val="0"/>
      <w:marTop w:val="0"/>
      <w:marBottom w:val="0"/>
      <w:divBdr>
        <w:top w:val="none" w:sz="0" w:space="0" w:color="auto"/>
        <w:left w:val="none" w:sz="0" w:space="0" w:color="auto"/>
        <w:bottom w:val="none" w:sz="0" w:space="0" w:color="auto"/>
        <w:right w:val="none" w:sz="0" w:space="0" w:color="auto"/>
      </w:divBdr>
    </w:div>
    <w:div w:id="1938370971">
      <w:bodyDiv w:val="1"/>
      <w:marLeft w:val="0"/>
      <w:marRight w:val="0"/>
      <w:marTop w:val="0"/>
      <w:marBottom w:val="0"/>
      <w:divBdr>
        <w:top w:val="none" w:sz="0" w:space="0" w:color="auto"/>
        <w:left w:val="none" w:sz="0" w:space="0" w:color="auto"/>
        <w:bottom w:val="none" w:sz="0" w:space="0" w:color="auto"/>
        <w:right w:val="none" w:sz="0" w:space="0" w:color="auto"/>
      </w:divBdr>
    </w:div>
    <w:div w:id="2006087105">
      <w:bodyDiv w:val="1"/>
      <w:marLeft w:val="0"/>
      <w:marRight w:val="0"/>
      <w:marTop w:val="0"/>
      <w:marBottom w:val="0"/>
      <w:divBdr>
        <w:top w:val="none" w:sz="0" w:space="0" w:color="auto"/>
        <w:left w:val="none" w:sz="0" w:space="0" w:color="auto"/>
        <w:bottom w:val="none" w:sz="0" w:space="0" w:color="auto"/>
        <w:right w:val="none" w:sz="0" w:space="0" w:color="auto"/>
      </w:divBdr>
    </w:div>
    <w:div w:id="20442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legislature.gov/Laws/SessionLaws/Acts/2024/Chapter1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mass.gov/transitions-from-acute-care-to-post-acute-care-tacpac-task-forc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halink.org/throughputreports/" TargetMode="External"/><Relationship Id="rId2" Type="http://schemas.openxmlformats.org/officeDocument/2006/relationships/hyperlink" Target="https://www.chiamass.gov/massachusetts-acute-care-hospital-inpatient-discharge-reporting/" TargetMode="External"/><Relationship Id="rId1" Type="http://schemas.openxmlformats.org/officeDocument/2006/relationships/hyperlink" Target="https://www.chiamass.gov/enrollment-in-health-insurance/" TargetMode="External"/><Relationship Id="rId5" Type="http://schemas.openxmlformats.org/officeDocument/2006/relationships/hyperlink" Target="https://www.chiamass.gov/assets/docs/r/pubs/mandates/Mobile-Integrated-Health-MBR.pdf" TargetMode="External"/><Relationship Id="rId4" Type="http://schemas.openxmlformats.org/officeDocument/2006/relationships/hyperlink" Target="https://masshpc.gov/sites/default/files/2024-11/2024%20CTH%20Presentatio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Cohen\Desktop\TACPAC%20Task%20Force\Report\Insurance%20distribu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E7-4A50-BF02-DDC048F9B9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E7-4A50-BF02-DDC048F9B9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E7-4A50-BF02-DDC048F9B9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E7-4A50-BF02-DDC048F9B919}"/>
              </c:ext>
            </c:extLst>
          </c:dPt>
          <c:dLbls>
            <c:dLbl>
              <c:idx val="0"/>
              <c:layout>
                <c:manualLayout>
                  <c:x val="7.2222222222222215E-2"/>
                  <c:y val="2.3147965879265094E-2"/>
                </c:manualLayout>
              </c:layout>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7010236220472441"/>
                      <c:h val="0.18588692038495183"/>
                    </c:manualLayout>
                  </c15:layout>
                </c:ext>
                <c:ext xmlns:c16="http://schemas.microsoft.com/office/drawing/2014/chart" uri="{C3380CC4-5D6E-409C-BE32-E72D297353CC}">
                  <c16:uniqueId val="{00000001-F5E7-4A50-BF02-DDC048F9B919}"/>
                </c:ext>
              </c:extLst>
            </c:dLbl>
            <c:dLbl>
              <c:idx val="1"/>
              <c:layout>
                <c:manualLayout>
                  <c:x val="4.1666666666666664E-2"/>
                  <c:y val="3.7037037037037035E-2"/>
                </c:manualLayout>
              </c:layout>
              <c:tx>
                <c:rich>
                  <a:bodyPr rot="0" spcFirstLastPara="1" vertOverflow="clip" horzOverflow="clip"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Fully-Insured Commercial</a:t>
                    </a:r>
                    <a:r>
                      <a:rPr lang="en-US" sz="1100" baseline="0">
                        <a:solidFill>
                          <a:sysClr val="windowText" lastClr="000000"/>
                        </a:solidFill>
                      </a:rPr>
                      <a:t>
</a:t>
                    </a:r>
                    <a:fld id="{80F1C399-29CE-43F4-B825-F3533A33714A}" type="PERCENTAGE">
                      <a:rPr lang="en-US" sz="1100" baseline="0">
                        <a:solidFill>
                          <a:sysClr val="windowText" lastClr="000000"/>
                        </a:solidFill>
                      </a:rPr>
                      <a:pPr>
                        <a:defRPr sz="1100">
                          <a:solidFill>
                            <a:sysClr val="windowText" lastClr="000000"/>
                          </a:solidFill>
                        </a:defRPr>
                      </a:pPr>
                      <a:t>[PERCENTAGE]</a:t>
                    </a:fld>
                    <a:endParaRPr lang="en-US" sz="1100" baseline="0">
                      <a:solidFill>
                        <a:sysClr val="windowText" lastClr="000000"/>
                      </a:solidFill>
                    </a:endParaRPr>
                  </a:p>
                </c:rich>
              </c:tx>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0806189851268592"/>
                      <c:h val="0.24215806357538641"/>
                    </c:manualLayout>
                  </c15:layout>
                  <c15:dlblFieldTable/>
                  <c15:showDataLabelsRange val="0"/>
                </c:ext>
                <c:ext xmlns:c16="http://schemas.microsoft.com/office/drawing/2014/chart" uri="{C3380CC4-5D6E-409C-BE32-E72D297353CC}">
                  <c16:uniqueId val="{00000003-F5E7-4A50-BF02-DDC048F9B919}"/>
                </c:ext>
              </c:extLst>
            </c:dLbl>
            <c:dLbl>
              <c:idx val="2"/>
              <c:layout>
                <c:manualLayout>
                  <c:x val="-0.11388888888888891"/>
                  <c:y val="1.85185185185184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5E7-4A50-BF02-DDC048F9B919}"/>
                </c:ext>
              </c:extLst>
            </c:dLbl>
            <c:dLbl>
              <c:idx val="3"/>
              <c:layout>
                <c:manualLayout>
                  <c:x val="-5.4166557305336836E-2"/>
                  <c:y val="9.722240449110528E-2"/>
                </c:manualLayout>
              </c:layout>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134645669291335"/>
                      <c:h val="0.26718868474773982"/>
                    </c:manualLayout>
                  </c15:layout>
                </c:ext>
                <c:ext xmlns:c16="http://schemas.microsoft.com/office/drawing/2014/chart" uri="{C3380CC4-5D6E-409C-BE32-E72D297353CC}">
                  <c16:uniqueId val="{00000007-F5E7-4A50-BF02-DDC048F9B919}"/>
                </c:ext>
              </c:extLst>
            </c:dLbl>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Medicare</c:v>
                </c:pt>
                <c:pt idx="1">
                  <c:v>Fully-Insured Commerical</c:v>
                </c:pt>
                <c:pt idx="2">
                  <c:v>Medicaid (MassHealth)</c:v>
                </c:pt>
                <c:pt idx="3">
                  <c:v>Employer Self-Insured</c:v>
                </c:pt>
              </c:strCache>
            </c:strRef>
          </c:cat>
          <c:val>
            <c:numRef>
              <c:f>Sheet1!$B$2:$B$5</c:f>
              <c:numCache>
                <c:formatCode>General</c:formatCode>
                <c:ptCount val="4"/>
                <c:pt idx="0">
                  <c:v>18</c:v>
                </c:pt>
                <c:pt idx="1">
                  <c:v>23</c:v>
                </c:pt>
                <c:pt idx="2">
                  <c:v>23</c:v>
                </c:pt>
                <c:pt idx="3">
                  <c:v>36</c:v>
                </c:pt>
              </c:numCache>
            </c:numRef>
          </c:val>
          <c:extLst>
            <c:ext xmlns:c16="http://schemas.microsoft.com/office/drawing/2014/chart" uri="{C3380CC4-5D6E-409C-BE32-E72D297353CC}">
              <c16:uniqueId val="{00000008-F5E7-4A50-BF02-DDC048F9B919}"/>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54016149023038784"/>
          <c:y val="0.77558894453719163"/>
          <c:w val="0.45393613298337704"/>
          <c:h val="0.2216827063283756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40D4-26A0-472D-B098-E3CBE7937B9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27</Pages>
  <Words>6961</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46546</CharactersWithSpaces>
  <SharedDoc>false</SharedDoc>
  <HLinks>
    <vt:vector size="102" baseType="variant">
      <vt:variant>
        <vt:i4>8126527</vt:i4>
      </vt:variant>
      <vt:variant>
        <vt:i4>60</vt:i4>
      </vt:variant>
      <vt:variant>
        <vt:i4>0</vt:i4>
      </vt:variant>
      <vt:variant>
        <vt:i4>5</vt:i4>
      </vt:variant>
      <vt:variant>
        <vt:lpwstr>https://malegislature.gov/Laws/SessionLaws/Acts/2024/Chapter197</vt:lpwstr>
      </vt:variant>
      <vt:variant>
        <vt:lpwstr/>
      </vt:variant>
      <vt:variant>
        <vt:i4>262151</vt:i4>
      </vt:variant>
      <vt:variant>
        <vt:i4>57</vt:i4>
      </vt:variant>
      <vt:variant>
        <vt:i4>0</vt:i4>
      </vt:variant>
      <vt:variant>
        <vt:i4>5</vt:i4>
      </vt:variant>
      <vt:variant>
        <vt:lpwstr>https://www.mass.gov/transitions-from-acute-care-to-post-acute-care-tacpac-task-force</vt:lpwstr>
      </vt:variant>
      <vt:variant>
        <vt:lpwstr/>
      </vt:variant>
      <vt:variant>
        <vt:i4>1114167</vt:i4>
      </vt:variant>
      <vt:variant>
        <vt:i4>54</vt:i4>
      </vt:variant>
      <vt:variant>
        <vt:i4>0</vt:i4>
      </vt:variant>
      <vt:variant>
        <vt:i4>5</vt:i4>
      </vt:variant>
      <vt:variant>
        <vt:lpwstr/>
      </vt:variant>
      <vt:variant>
        <vt:lpwstr>_Toc202276028</vt:lpwstr>
      </vt:variant>
      <vt:variant>
        <vt:i4>1114167</vt:i4>
      </vt:variant>
      <vt:variant>
        <vt:i4>51</vt:i4>
      </vt:variant>
      <vt:variant>
        <vt:i4>0</vt:i4>
      </vt:variant>
      <vt:variant>
        <vt:i4>5</vt:i4>
      </vt:variant>
      <vt:variant>
        <vt:lpwstr/>
      </vt:variant>
      <vt:variant>
        <vt:lpwstr>_Toc202276028</vt:lpwstr>
      </vt:variant>
      <vt:variant>
        <vt:i4>1114167</vt:i4>
      </vt:variant>
      <vt:variant>
        <vt:i4>45</vt:i4>
      </vt:variant>
      <vt:variant>
        <vt:i4>0</vt:i4>
      </vt:variant>
      <vt:variant>
        <vt:i4>5</vt:i4>
      </vt:variant>
      <vt:variant>
        <vt:lpwstr/>
      </vt:variant>
      <vt:variant>
        <vt:lpwstr>_Toc202276028</vt:lpwstr>
      </vt:variant>
      <vt:variant>
        <vt:i4>1114167</vt:i4>
      </vt:variant>
      <vt:variant>
        <vt:i4>38</vt:i4>
      </vt:variant>
      <vt:variant>
        <vt:i4>0</vt:i4>
      </vt:variant>
      <vt:variant>
        <vt:i4>5</vt:i4>
      </vt:variant>
      <vt:variant>
        <vt:lpwstr/>
      </vt:variant>
      <vt:variant>
        <vt:lpwstr>_Toc202276028</vt:lpwstr>
      </vt:variant>
      <vt:variant>
        <vt:i4>1114167</vt:i4>
      </vt:variant>
      <vt:variant>
        <vt:i4>32</vt:i4>
      </vt:variant>
      <vt:variant>
        <vt:i4>0</vt:i4>
      </vt:variant>
      <vt:variant>
        <vt:i4>5</vt:i4>
      </vt:variant>
      <vt:variant>
        <vt:lpwstr/>
      </vt:variant>
      <vt:variant>
        <vt:lpwstr>_Toc202276027</vt:lpwstr>
      </vt:variant>
      <vt:variant>
        <vt:i4>1114167</vt:i4>
      </vt:variant>
      <vt:variant>
        <vt:i4>26</vt:i4>
      </vt:variant>
      <vt:variant>
        <vt:i4>0</vt:i4>
      </vt:variant>
      <vt:variant>
        <vt:i4>5</vt:i4>
      </vt:variant>
      <vt:variant>
        <vt:lpwstr/>
      </vt:variant>
      <vt:variant>
        <vt:lpwstr>_Toc202276026</vt:lpwstr>
      </vt:variant>
      <vt:variant>
        <vt:i4>1114167</vt:i4>
      </vt:variant>
      <vt:variant>
        <vt:i4>20</vt:i4>
      </vt:variant>
      <vt:variant>
        <vt:i4>0</vt:i4>
      </vt:variant>
      <vt:variant>
        <vt:i4>5</vt:i4>
      </vt:variant>
      <vt:variant>
        <vt:lpwstr/>
      </vt:variant>
      <vt:variant>
        <vt:lpwstr>_Toc202276025</vt:lpwstr>
      </vt:variant>
      <vt:variant>
        <vt:i4>1114167</vt:i4>
      </vt:variant>
      <vt:variant>
        <vt:i4>14</vt:i4>
      </vt:variant>
      <vt:variant>
        <vt:i4>0</vt:i4>
      </vt:variant>
      <vt:variant>
        <vt:i4>5</vt:i4>
      </vt:variant>
      <vt:variant>
        <vt:lpwstr/>
      </vt:variant>
      <vt:variant>
        <vt:lpwstr>_Toc202276024</vt:lpwstr>
      </vt:variant>
      <vt:variant>
        <vt:i4>1114167</vt:i4>
      </vt:variant>
      <vt:variant>
        <vt:i4>8</vt:i4>
      </vt:variant>
      <vt:variant>
        <vt:i4>0</vt:i4>
      </vt:variant>
      <vt:variant>
        <vt:i4>5</vt:i4>
      </vt:variant>
      <vt:variant>
        <vt:lpwstr/>
      </vt:variant>
      <vt:variant>
        <vt:lpwstr>_Toc202276023</vt:lpwstr>
      </vt:variant>
      <vt:variant>
        <vt:i4>1114167</vt:i4>
      </vt:variant>
      <vt:variant>
        <vt:i4>2</vt:i4>
      </vt:variant>
      <vt:variant>
        <vt:i4>0</vt:i4>
      </vt:variant>
      <vt:variant>
        <vt:i4>5</vt:i4>
      </vt:variant>
      <vt:variant>
        <vt:lpwstr/>
      </vt:variant>
      <vt:variant>
        <vt:lpwstr>_Toc202276022</vt:lpwstr>
      </vt:variant>
      <vt:variant>
        <vt:i4>327752</vt:i4>
      </vt:variant>
      <vt:variant>
        <vt:i4>12</vt:i4>
      </vt:variant>
      <vt:variant>
        <vt:i4>0</vt:i4>
      </vt:variant>
      <vt:variant>
        <vt:i4>5</vt:i4>
      </vt:variant>
      <vt:variant>
        <vt:lpwstr>https://www.chiamass.gov/assets/docs/r/pubs/mandates/Mobile-Integrated-Health-MBR.pdf</vt:lpwstr>
      </vt:variant>
      <vt:variant>
        <vt:lpwstr/>
      </vt:variant>
      <vt:variant>
        <vt:i4>1704027</vt:i4>
      </vt:variant>
      <vt:variant>
        <vt:i4>9</vt:i4>
      </vt:variant>
      <vt:variant>
        <vt:i4>0</vt:i4>
      </vt:variant>
      <vt:variant>
        <vt:i4>5</vt:i4>
      </vt:variant>
      <vt:variant>
        <vt:lpwstr>https://masshpc.gov/sites/default/files/2024-11/2024 CTH Presentation.pdf</vt:lpwstr>
      </vt:variant>
      <vt:variant>
        <vt:lpwstr/>
      </vt:variant>
      <vt:variant>
        <vt:i4>6553643</vt:i4>
      </vt:variant>
      <vt:variant>
        <vt:i4>6</vt:i4>
      </vt:variant>
      <vt:variant>
        <vt:i4>0</vt:i4>
      </vt:variant>
      <vt:variant>
        <vt:i4>5</vt:i4>
      </vt:variant>
      <vt:variant>
        <vt:lpwstr>https://www.mhalink.org/throughputreports/</vt:lpwstr>
      </vt:variant>
      <vt:variant>
        <vt:lpwstr/>
      </vt:variant>
      <vt:variant>
        <vt:i4>1376258</vt:i4>
      </vt:variant>
      <vt:variant>
        <vt:i4>3</vt:i4>
      </vt:variant>
      <vt:variant>
        <vt:i4>0</vt:i4>
      </vt:variant>
      <vt:variant>
        <vt:i4>5</vt:i4>
      </vt:variant>
      <vt:variant>
        <vt:lpwstr>https://www.chiamass.gov/massachusetts-acute-care-hospital-inpatient-discharge-reporting/</vt:lpwstr>
      </vt:variant>
      <vt:variant>
        <vt:lpwstr>dashboard</vt:lpwstr>
      </vt:variant>
      <vt:variant>
        <vt:i4>5439583</vt:i4>
      </vt:variant>
      <vt:variant>
        <vt:i4>0</vt:i4>
      </vt:variant>
      <vt:variant>
        <vt:i4>0</vt:i4>
      </vt:variant>
      <vt:variant>
        <vt:i4>5</vt:i4>
      </vt:variant>
      <vt:variant>
        <vt:lpwstr>https://www.chiamass.gov/enrollment-in-health-insurance/</vt:lpwstr>
      </vt:variant>
      <vt:variant>
        <vt:lpwstr>enrollment-trends-interactive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(ELD)</dc:creator>
  <cp:keywords/>
  <dc:description/>
  <cp:lastModifiedBy>Leblanc, Donna M (EHS)</cp:lastModifiedBy>
  <cp:revision>5</cp:revision>
  <cp:lastPrinted>2025-07-21T20:43:00Z</cp:lastPrinted>
  <dcterms:created xsi:type="dcterms:W3CDTF">2025-07-29T14:52:00Z</dcterms:created>
  <dcterms:modified xsi:type="dcterms:W3CDTF">2025-07-31T18:02:00Z</dcterms:modified>
</cp:coreProperties>
</file>