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29FFE" w14:textId="65D2E283" w:rsidR="00C04AAF" w:rsidRDefault="00F736AC" w:rsidP="0001397D">
      <w:pPr>
        <w:jc w:val="center"/>
        <w:rPr>
          <w:rFonts w:ascii="Gill Sans MT" w:eastAsia="Times New Roman" w:hAnsi="Gill Sans MT" w:cs="Times New Roman"/>
          <w:b/>
          <w:bCs/>
          <w:sz w:val="24"/>
          <w:szCs w:val="24"/>
        </w:rPr>
      </w:pPr>
      <w:r>
        <w:rPr>
          <w:rFonts w:ascii="Gill Sans MT" w:eastAsia="Times New Roman" w:hAnsi="Gill Sans MT" w:cs="Times New Roman"/>
          <w:b/>
          <w:bCs/>
          <w:sz w:val="24"/>
          <w:szCs w:val="24"/>
        </w:rPr>
        <w:t>Transition from Acut</w:t>
      </w:r>
      <w:r w:rsidR="0092714B">
        <w:rPr>
          <w:rFonts w:ascii="Gill Sans MT" w:eastAsia="Times New Roman" w:hAnsi="Gill Sans MT" w:cs="Times New Roman"/>
          <w:b/>
          <w:bCs/>
          <w:sz w:val="24"/>
          <w:szCs w:val="24"/>
        </w:rPr>
        <w:t>e</w:t>
      </w:r>
      <w:r>
        <w:rPr>
          <w:rFonts w:ascii="Gill Sans MT" w:eastAsia="Times New Roman" w:hAnsi="Gill Sans MT" w:cs="Times New Roman"/>
          <w:b/>
          <w:bCs/>
          <w:sz w:val="24"/>
          <w:szCs w:val="24"/>
        </w:rPr>
        <w:t xml:space="preserve"> Care to Pos</w:t>
      </w:r>
      <w:r w:rsidR="0092714B">
        <w:rPr>
          <w:rFonts w:ascii="Gill Sans MT" w:eastAsia="Times New Roman" w:hAnsi="Gill Sans MT" w:cs="Times New Roman"/>
          <w:b/>
          <w:bCs/>
          <w:sz w:val="24"/>
          <w:szCs w:val="24"/>
        </w:rPr>
        <w:t>t</w:t>
      </w:r>
      <w:r>
        <w:rPr>
          <w:rFonts w:ascii="Gill Sans MT" w:eastAsia="Times New Roman" w:hAnsi="Gill Sans MT" w:cs="Times New Roman"/>
          <w:b/>
          <w:bCs/>
          <w:sz w:val="24"/>
          <w:szCs w:val="24"/>
        </w:rPr>
        <w:t>-Acute</w:t>
      </w:r>
      <w:r w:rsidR="0092714B">
        <w:rPr>
          <w:rFonts w:ascii="Gill Sans MT" w:eastAsia="Times New Roman" w:hAnsi="Gill Sans MT" w:cs="Times New Roman"/>
          <w:b/>
          <w:bCs/>
          <w:sz w:val="24"/>
          <w:szCs w:val="24"/>
        </w:rPr>
        <w:t xml:space="preserve"> </w:t>
      </w:r>
      <w:r>
        <w:rPr>
          <w:rFonts w:ascii="Gill Sans MT" w:eastAsia="Times New Roman" w:hAnsi="Gill Sans MT" w:cs="Times New Roman"/>
          <w:b/>
          <w:bCs/>
          <w:sz w:val="24"/>
          <w:szCs w:val="24"/>
        </w:rPr>
        <w:t xml:space="preserve">Care </w:t>
      </w:r>
      <w:r w:rsidR="00D20B5F">
        <w:rPr>
          <w:rFonts w:ascii="Gill Sans MT" w:eastAsia="Times New Roman" w:hAnsi="Gill Sans MT" w:cs="Times New Roman"/>
          <w:b/>
          <w:bCs/>
          <w:sz w:val="24"/>
          <w:szCs w:val="24"/>
        </w:rPr>
        <w:t xml:space="preserve">(TACPAC) </w:t>
      </w:r>
      <w:r>
        <w:rPr>
          <w:rFonts w:ascii="Gill Sans MT" w:eastAsia="Times New Roman" w:hAnsi="Gill Sans MT" w:cs="Times New Roman"/>
          <w:b/>
          <w:bCs/>
          <w:sz w:val="24"/>
          <w:szCs w:val="24"/>
        </w:rPr>
        <w:t>Task</w:t>
      </w:r>
      <w:r w:rsidR="00A8438F">
        <w:rPr>
          <w:rFonts w:ascii="Gill Sans MT" w:eastAsia="Times New Roman" w:hAnsi="Gill Sans MT" w:cs="Times New Roman"/>
          <w:b/>
          <w:bCs/>
          <w:sz w:val="24"/>
          <w:szCs w:val="24"/>
        </w:rPr>
        <w:t xml:space="preserve"> Force</w:t>
      </w:r>
    </w:p>
    <w:p w14:paraId="3DDEC81E" w14:textId="77777777" w:rsidR="003123F0" w:rsidRDefault="003123F0" w:rsidP="00F05815">
      <w:pPr>
        <w:spacing w:after="0" w:line="240" w:lineRule="auto"/>
        <w:contextualSpacing/>
        <w:rPr>
          <w:rFonts w:ascii="Gill Sans MT" w:hAnsi="Gill Sans MT" w:cs="Times New Roman"/>
          <w:b/>
          <w:bCs/>
          <w:sz w:val="24"/>
          <w:szCs w:val="24"/>
          <w:u w:val="single"/>
        </w:rPr>
      </w:pPr>
    </w:p>
    <w:p w14:paraId="7C4E50A9" w14:textId="526712A4" w:rsidR="00F05815" w:rsidRPr="0031330F" w:rsidRDefault="00F05815" w:rsidP="00F05815">
      <w:pPr>
        <w:spacing w:after="0" w:line="240" w:lineRule="auto"/>
        <w:contextualSpacing/>
        <w:rPr>
          <w:rFonts w:ascii="Gill Sans MT" w:hAnsi="Gill Sans MT" w:cs="Times New Roman"/>
          <w:i/>
          <w:sz w:val="24"/>
          <w:szCs w:val="24"/>
        </w:rPr>
      </w:pPr>
      <w:r w:rsidRPr="0031330F">
        <w:rPr>
          <w:rFonts w:ascii="Gill Sans MT" w:hAnsi="Gill Sans MT" w:cs="Times New Roman"/>
          <w:b/>
          <w:bCs/>
          <w:sz w:val="24"/>
          <w:szCs w:val="24"/>
          <w:u w:val="single"/>
        </w:rPr>
        <w:t>Legal Authority:</w:t>
      </w:r>
      <w:r w:rsidRPr="0031330F">
        <w:rPr>
          <w:rFonts w:ascii="Gill Sans MT" w:hAnsi="Gill Sans MT" w:cs="Times New Roman"/>
          <w:sz w:val="24"/>
          <w:szCs w:val="24"/>
        </w:rPr>
        <w:t xml:space="preserve"> </w:t>
      </w:r>
      <w:r w:rsidR="00D20512" w:rsidRPr="00D20512">
        <w:rPr>
          <w:rFonts w:ascii="Gill Sans MT" w:hAnsi="Gill Sans MT" w:cs="Times New Roman"/>
          <w:i/>
          <w:iCs/>
          <w:sz w:val="24"/>
          <w:szCs w:val="24"/>
        </w:rPr>
        <w:t>Section 2</w:t>
      </w:r>
      <w:r w:rsidR="00F736AC">
        <w:rPr>
          <w:rFonts w:ascii="Gill Sans MT" w:hAnsi="Gill Sans MT" w:cs="Times New Roman"/>
          <w:i/>
          <w:iCs/>
          <w:sz w:val="24"/>
          <w:szCs w:val="24"/>
        </w:rPr>
        <w:t>5</w:t>
      </w:r>
      <w:r w:rsidR="00D20512" w:rsidRPr="00D20512">
        <w:rPr>
          <w:rFonts w:ascii="Gill Sans MT" w:hAnsi="Gill Sans MT" w:cs="Times New Roman"/>
          <w:i/>
          <w:iCs/>
          <w:sz w:val="24"/>
          <w:szCs w:val="24"/>
        </w:rPr>
        <w:t xml:space="preserve"> of </w:t>
      </w:r>
      <w:r w:rsidRPr="00D20512">
        <w:rPr>
          <w:rFonts w:ascii="Gill Sans MT" w:hAnsi="Gill Sans MT" w:cs="Times New Roman"/>
          <w:i/>
          <w:iCs/>
          <w:sz w:val="24"/>
          <w:szCs w:val="24"/>
        </w:rPr>
        <w:t>Chapter 1</w:t>
      </w:r>
      <w:r w:rsidR="00D20512" w:rsidRPr="00D20512">
        <w:rPr>
          <w:rFonts w:ascii="Gill Sans MT" w:hAnsi="Gill Sans MT" w:cs="Times New Roman"/>
          <w:i/>
          <w:iCs/>
          <w:sz w:val="24"/>
          <w:szCs w:val="24"/>
        </w:rPr>
        <w:t>97</w:t>
      </w:r>
      <w:r w:rsidRPr="00D20512">
        <w:rPr>
          <w:rFonts w:ascii="Gill Sans MT" w:hAnsi="Gill Sans MT" w:cs="Times New Roman"/>
          <w:i/>
          <w:iCs/>
          <w:sz w:val="24"/>
          <w:szCs w:val="24"/>
        </w:rPr>
        <w:t xml:space="preserve"> of t</w:t>
      </w:r>
      <w:r w:rsidRPr="0031330F">
        <w:rPr>
          <w:rFonts w:ascii="Gill Sans MT" w:hAnsi="Gill Sans MT" w:cs="Times New Roman"/>
          <w:i/>
          <w:sz w:val="24"/>
          <w:szCs w:val="24"/>
        </w:rPr>
        <w:t>he Acts of 202</w:t>
      </w:r>
      <w:r w:rsidR="00386CE0">
        <w:rPr>
          <w:rFonts w:ascii="Gill Sans MT" w:hAnsi="Gill Sans MT" w:cs="Times New Roman"/>
          <w:i/>
          <w:sz w:val="24"/>
          <w:szCs w:val="24"/>
        </w:rPr>
        <w:t>4</w:t>
      </w:r>
    </w:p>
    <w:p w14:paraId="63796E9C" w14:textId="77777777" w:rsidR="00F05815" w:rsidRPr="0001397D" w:rsidRDefault="00F05815" w:rsidP="00F05815">
      <w:pPr>
        <w:spacing w:after="0" w:line="240" w:lineRule="auto"/>
        <w:contextualSpacing/>
        <w:rPr>
          <w:rFonts w:ascii="Gill Sans MT" w:hAnsi="Gill Sans MT" w:cs="Times New Roman"/>
          <w:b/>
          <w:bCs/>
          <w:sz w:val="24"/>
          <w:szCs w:val="24"/>
          <w:u w:val="single"/>
        </w:rPr>
      </w:pPr>
    </w:p>
    <w:p w14:paraId="01873C8D" w14:textId="19A52E8C" w:rsidR="00F05815" w:rsidRPr="003123F0" w:rsidRDefault="003123F0" w:rsidP="003123F0">
      <w:pPr>
        <w:spacing w:after="0" w:line="240" w:lineRule="auto"/>
        <w:ind w:right="270"/>
        <w:contextualSpacing/>
        <w:rPr>
          <w:rFonts w:ascii="Gill Sans MT" w:hAnsi="Gill Sans MT" w:cs="Times New Roman"/>
          <w:b/>
          <w:bCs/>
          <w:sz w:val="24"/>
          <w:szCs w:val="24"/>
        </w:rPr>
      </w:pPr>
      <w:r>
        <w:rPr>
          <w:rFonts w:ascii="Gill Sans MT" w:hAnsi="Gill Sans MT" w:cs="Times New Roman"/>
          <w:b/>
          <w:bCs/>
          <w:sz w:val="24"/>
          <w:szCs w:val="24"/>
          <w:u w:val="single"/>
        </w:rPr>
        <w:t>Link</w:t>
      </w:r>
      <w:r w:rsidR="00F05815" w:rsidRPr="0001397D">
        <w:rPr>
          <w:rFonts w:ascii="Gill Sans MT" w:hAnsi="Gill Sans MT" w:cs="Times New Roman"/>
          <w:b/>
          <w:bCs/>
          <w:sz w:val="24"/>
          <w:szCs w:val="24"/>
          <w:u w:val="single"/>
        </w:rPr>
        <w:t>:</w:t>
      </w:r>
      <w:r w:rsidRPr="003123F0">
        <w:rPr>
          <w:rFonts w:ascii="Gill Sans MT" w:hAnsi="Gill Sans MT" w:cs="Times New Roman"/>
          <w:b/>
          <w:bCs/>
          <w:sz w:val="24"/>
          <w:szCs w:val="24"/>
        </w:rPr>
        <w:t xml:space="preserve"> </w:t>
      </w:r>
      <w:hyperlink r:id="rId7" w:history="1">
        <w:r w:rsidRPr="003123F0">
          <w:rPr>
            <w:rStyle w:val="Hyperlink"/>
            <w:rFonts w:ascii="Gill Sans MT" w:hAnsi="Gill Sans MT" w:cs="Times New Roman"/>
            <w:sz w:val="24"/>
            <w:szCs w:val="24"/>
            <w:u w:val="none"/>
          </w:rPr>
          <w:t>https://malegislature.gov/Laws/S</w:t>
        </w:r>
        <w:r w:rsidRPr="003123F0">
          <w:rPr>
            <w:rStyle w:val="Hyperlink"/>
            <w:rFonts w:ascii="Gill Sans MT" w:hAnsi="Gill Sans MT" w:cs="Times New Roman"/>
            <w:sz w:val="24"/>
            <w:szCs w:val="24"/>
            <w:u w:val="none"/>
          </w:rPr>
          <w:t>e</w:t>
        </w:r>
        <w:r w:rsidRPr="003123F0">
          <w:rPr>
            <w:rStyle w:val="Hyperlink"/>
            <w:rFonts w:ascii="Gill Sans MT" w:hAnsi="Gill Sans MT" w:cs="Times New Roman"/>
            <w:sz w:val="24"/>
            <w:szCs w:val="24"/>
            <w:u w:val="none"/>
          </w:rPr>
          <w:t>ssionLaws/Acts/2024/Chapter197</w:t>
        </w:r>
      </w:hyperlink>
    </w:p>
    <w:p w14:paraId="20D54434" w14:textId="77777777" w:rsidR="0042662D" w:rsidRPr="0042662D" w:rsidRDefault="0042662D" w:rsidP="00F05815">
      <w:pPr>
        <w:spacing w:after="0" w:line="240" w:lineRule="auto"/>
        <w:contextualSpacing/>
      </w:pPr>
    </w:p>
    <w:p w14:paraId="4DF7AC67" w14:textId="29F762CF" w:rsidR="003123F0" w:rsidRDefault="00D20B5F" w:rsidP="00F05815">
      <w:pPr>
        <w:spacing w:after="0" w:line="240" w:lineRule="auto"/>
        <w:contextualSpacing/>
        <w:rPr>
          <w:rFonts w:ascii="Gill Sans MT" w:hAnsi="Gill Sans MT" w:cs="Times New Roman"/>
          <w:b/>
          <w:bCs/>
          <w:sz w:val="24"/>
          <w:szCs w:val="24"/>
          <w:u w:val="single"/>
        </w:rPr>
      </w:pPr>
      <w:r>
        <w:rPr>
          <w:rFonts w:ascii="Gill Sans MT" w:hAnsi="Gill Sans MT" w:cs="Times New Roman"/>
          <w:b/>
          <w:bCs/>
          <w:sz w:val="24"/>
          <w:szCs w:val="24"/>
          <w:u w:val="single"/>
        </w:rPr>
        <w:t xml:space="preserve">Full Text of </w:t>
      </w:r>
      <w:r w:rsidR="003123F0">
        <w:rPr>
          <w:rFonts w:ascii="Gill Sans MT" w:hAnsi="Gill Sans MT" w:cs="Times New Roman"/>
          <w:b/>
          <w:bCs/>
          <w:sz w:val="24"/>
          <w:szCs w:val="24"/>
          <w:u w:val="single"/>
        </w:rPr>
        <w:t>S</w:t>
      </w:r>
      <w:r w:rsidR="003123F0" w:rsidRPr="003123F0">
        <w:rPr>
          <w:rFonts w:ascii="Gill Sans MT" w:hAnsi="Gill Sans MT" w:cs="Times New Roman"/>
          <w:b/>
          <w:bCs/>
          <w:sz w:val="24"/>
          <w:szCs w:val="24"/>
          <w:u w:val="single"/>
        </w:rPr>
        <w:t>tatute:</w:t>
      </w:r>
    </w:p>
    <w:p w14:paraId="482741B3" w14:textId="77777777" w:rsidR="003123F0" w:rsidRPr="003123F0" w:rsidRDefault="003123F0" w:rsidP="00F05815">
      <w:pPr>
        <w:spacing w:after="0" w:line="240" w:lineRule="auto"/>
        <w:contextualSpacing/>
        <w:rPr>
          <w:rFonts w:ascii="Gill Sans MT" w:hAnsi="Gill Sans MT" w:cs="Times New Roman"/>
          <w:b/>
          <w:bCs/>
          <w:sz w:val="24"/>
          <w:szCs w:val="24"/>
          <w:u w:val="single"/>
        </w:rPr>
      </w:pPr>
    </w:p>
    <w:p w14:paraId="3B9AF749" w14:textId="73E8CC6A" w:rsidR="00D20512" w:rsidRDefault="00A553E4" w:rsidP="00D20512">
      <w:pPr>
        <w:spacing w:after="0" w:line="240" w:lineRule="auto"/>
        <w:contextualSpacing/>
        <w:rPr>
          <w:rFonts w:ascii="Gill Sans MT" w:hAnsi="Gill Sans MT" w:cs="Times New Roman"/>
          <w:sz w:val="24"/>
          <w:szCs w:val="24"/>
        </w:rPr>
      </w:pPr>
      <w:r>
        <w:rPr>
          <w:rFonts w:ascii="Gill Sans MT" w:hAnsi="Gill Sans MT" w:cs="Times New Roman"/>
          <w:sz w:val="24"/>
          <w:szCs w:val="24"/>
        </w:rPr>
        <w:t>C</w:t>
      </w:r>
      <w:r w:rsidR="00D20512">
        <w:rPr>
          <w:rFonts w:ascii="Gill Sans MT" w:hAnsi="Gill Sans MT" w:cs="Times New Roman"/>
          <w:sz w:val="24"/>
          <w:szCs w:val="24"/>
        </w:rPr>
        <w:t xml:space="preserve">HAPTER </w:t>
      </w:r>
      <w:r>
        <w:rPr>
          <w:rFonts w:ascii="Gill Sans MT" w:hAnsi="Gill Sans MT" w:cs="Times New Roman"/>
          <w:sz w:val="24"/>
          <w:szCs w:val="24"/>
        </w:rPr>
        <w:t>1</w:t>
      </w:r>
      <w:r w:rsidR="00D20512">
        <w:rPr>
          <w:rFonts w:ascii="Gill Sans MT" w:hAnsi="Gill Sans MT" w:cs="Times New Roman"/>
          <w:sz w:val="24"/>
          <w:szCs w:val="24"/>
        </w:rPr>
        <w:t xml:space="preserve">97, </w:t>
      </w:r>
      <w:r w:rsidR="00D20512" w:rsidRPr="00D20512">
        <w:rPr>
          <w:rFonts w:ascii="Gill Sans MT" w:hAnsi="Gill Sans MT" w:cs="Times New Roman"/>
          <w:sz w:val="24"/>
          <w:szCs w:val="24"/>
        </w:rPr>
        <w:t>SECTION 2</w:t>
      </w:r>
      <w:r w:rsidR="00F736AC">
        <w:rPr>
          <w:rFonts w:ascii="Gill Sans MT" w:hAnsi="Gill Sans MT" w:cs="Times New Roman"/>
          <w:sz w:val="24"/>
          <w:szCs w:val="24"/>
        </w:rPr>
        <w:t>5</w:t>
      </w:r>
    </w:p>
    <w:p w14:paraId="1D98D540" w14:textId="77777777" w:rsidR="00B70528" w:rsidRDefault="00B70528" w:rsidP="00B70528">
      <w:pPr>
        <w:spacing w:after="0" w:line="240" w:lineRule="auto"/>
        <w:contextualSpacing/>
        <w:rPr>
          <w:rFonts w:ascii="Gill Sans MT" w:hAnsi="Gill Sans MT" w:cs="Times New Roman"/>
          <w:sz w:val="24"/>
          <w:szCs w:val="24"/>
        </w:rPr>
      </w:pPr>
    </w:p>
    <w:p w14:paraId="1ECAA6DB" w14:textId="77777777" w:rsidR="00B70528" w:rsidRDefault="00B70528" w:rsidP="00B70528">
      <w:pPr>
        <w:spacing w:after="0" w:line="240" w:lineRule="auto"/>
        <w:contextualSpacing/>
        <w:rPr>
          <w:rFonts w:ascii="Gill Sans MT" w:hAnsi="Gill Sans MT" w:cs="Times New Roman"/>
          <w:sz w:val="24"/>
          <w:szCs w:val="24"/>
        </w:rPr>
      </w:pPr>
      <w:r w:rsidRPr="00B70528">
        <w:rPr>
          <w:rFonts w:ascii="Gill Sans MT" w:hAnsi="Gill Sans MT" w:cs="Times New Roman"/>
          <w:sz w:val="24"/>
          <w:szCs w:val="24"/>
        </w:rPr>
        <w:t>(a) There shall be a task force to study and propose recommendations to address acute care hospital throughput challenges and the impact of persistent delays in discharging patients from acute to post-acute care settings.</w:t>
      </w:r>
    </w:p>
    <w:p w14:paraId="4EFB1F65" w14:textId="77777777" w:rsidR="00B70528" w:rsidRDefault="00B70528" w:rsidP="00B70528">
      <w:pPr>
        <w:spacing w:after="0" w:line="240" w:lineRule="auto"/>
        <w:contextualSpacing/>
        <w:rPr>
          <w:rFonts w:ascii="Gill Sans MT" w:hAnsi="Gill Sans MT" w:cs="Times New Roman"/>
          <w:sz w:val="24"/>
          <w:szCs w:val="24"/>
        </w:rPr>
      </w:pPr>
    </w:p>
    <w:p w14:paraId="689D11FC" w14:textId="77777777" w:rsidR="00B70528" w:rsidRDefault="00B70528" w:rsidP="00B70528">
      <w:pPr>
        <w:spacing w:after="0" w:line="240" w:lineRule="auto"/>
        <w:contextualSpacing/>
        <w:rPr>
          <w:rFonts w:ascii="Gill Sans MT" w:hAnsi="Gill Sans MT" w:cs="Times New Roman"/>
          <w:sz w:val="24"/>
          <w:szCs w:val="24"/>
        </w:rPr>
      </w:pPr>
      <w:r w:rsidRPr="00B70528">
        <w:rPr>
          <w:rFonts w:ascii="Gill Sans MT" w:hAnsi="Gill Sans MT" w:cs="Times New Roman"/>
          <w:sz w:val="24"/>
          <w:szCs w:val="24"/>
        </w:rPr>
        <w:t>The task force shall examine:</w:t>
      </w:r>
    </w:p>
    <w:p w14:paraId="495B363D" w14:textId="77777777" w:rsidR="00B70528" w:rsidRDefault="00B70528" w:rsidP="00B70528">
      <w:pPr>
        <w:spacing w:after="0" w:line="240" w:lineRule="auto"/>
        <w:contextualSpacing/>
        <w:rPr>
          <w:rFonts w:ascii="Gill Sans MT" w:hAnsi="Gill Sans MT" w:cs="Times New Roman"/>
          <w:sz w:val="24"/>
          <w:szCs w:val="24"/>
        </w:rPr>
      </w:pPr>
    </w:p>
    <w:p w14:paraId="79FC8FDE" w14:textId="69283AB2" w:rsidR="00B70528" w:rsidRPr="00B70528" w:rsidRDefault="00B70528" w:rsidP="00B70528">
      <w:pPr>
        <w:pStyle w:val="ListParagraph"/>
        <w:numPr>
          <w:ilvl w:val="0"/>
          <w:numId w:val="24"/>
        </w:numPr>
        <w:spacing w:after="0" w:line="240" w:lineRule="auto"/>
        <w:rPr>
          <w:rFonts w:ascii="Gill Sans MT" w:hAnsi="Gill Sans MT" w:cs="Times New Roman"/>
          <w:sz w:val="24"/>
          <w:szCs w:val="24"/>
        </w:rPr>
      </w:pPr>
      <w:r w:rsidRPr="00B70528">
        <w:rPr>
          <w:rFonts w:ascii="Gill Sans MT" w:hAnsi="Gill Sans MT" w:cs="Times New Roman"/>
          <w:sz w:val="24"/>
          <w:szCs w:val="24"/>
        </w:rPr>
        <w:t xml:space="preserve">hospital discharge planning and case management </w:t>
      </w:r>
      <w:proofErr w:type="gramStart"/>
      <w:r w:rsidRPr="00B70528">
        <w:rPr>
          <w:rFonts w:ascii="Gill Sans MT" w:hAnsi="Gill Sans MT" w:cs="Times New Roman"/>
          <w:sz w:val="24"/>
          <w:szCs w:val="24"/>
        </w:rPr>
        <w:t>practices;</w:t>
      </w:r>
      <w:proofErr w:type="gramEnd"/>
    </w:p>
    <w:p w14:paraId="428D4052" w14:textId="77777777" w:rsidR="00B70528" w:rsidRDefault="00B70528" w:rsidP="00B70528">
      <w:pPr>
        <w:pStyle w:val="ListParagraph"/>
        <w:numPr>
          <w:ilvl w:val="0"/>
          <w:numId w:val="24"/>
        </w:numPr>
        <w:spacing w:after="0" w:line="240" w:lineRule="auto"/>
        <w:rPr>
          <w:rFonts w:ascii="Gill Sans MT" w:hAnsi="Gill Sans MT" w:cs="Times New Roman"/>
          <w:sz w:val="24"/>
          <w:szCs w:val="24"/>
        </w:rPr>
      </w:pPr>
      <w:r w:rsidRPr="00B70528">
        <w:rPr>
          <w:rFonts w:ascii="Gill Sans MT" w:hAnsi="Gill Sans MT" w:cs="Times New Roman"/>
          <w:sz w:val="24"/>
          <w:szCs w:val="24"/>
        </w:rPr>
        <w:t xml:space="preserve">payer administrative barriers to </w:t>
      </w:r>
      <w:proofErr w:type="gramStart"/>
      <w:r w:rsidRPr="00B70528">
        <w:rPr>
          <w:rFonts w:ascii="Gill Sans MT" w:hAnsi="Gill Sans MT" w:cs="Times New Roman"/>
          <w:sz w:val="24"/>
          <w:szCs w:val="24"/>
        </w:rPr>
        <w:t>discharge;</w:t>
      </w:r>
      <w:proofErr w:type="gramEnd"/>
    </w:p>
    <w:p w14:paraId="7CDBA01D" w14:textId="109A7598" w:rsidR="00B70528" w:rsidRDefault="00B70528" w:rsidP="00B70528">
      <w:pPr>
        <w:pStyle w:val="ListParagraph"/>
        <w:numPr>
          <w:ilvl w:val="0"/>
          <w:numId w:val="24"/>
        </w:numPr>
        <w:spacing w:after="0" w:line="240" w:lineRule="auto"/>
        <w:rPr>
          <w:rFonts w:ascii="Gill Sans MT" w:hAnsi="Gill Sans MT" w:cs="Times New Roman"/>
          <w:sz w:val="24"/>
          <w:szCs w:val="24"/>
        </w:rPr>
      </w:pPr>
      <w:r w:rsidRPr="00B70528">
        <w:rPr>
          <w:rFonts w:ascii="Gill Sans MT" w:hAnsi="Gill Sans MT" w:cs="Times New Roman"/>
          <w:sz w:val="24"/>
          <w:szCs w:val="24"/>
        </w:rPr>
        <w:t xml:space="preserve">legal and regulatory barriers to </w:t>
      </w:r>
      <w:proofErr w:type="gramStart"/>
      <w:r w:rsidRPr="00B70528">
        <w:rPr>
          <w:rFonts w:ascii="Gill Sans MT" w:hAnsi="Gill Sans MT" w:cs="Times New Roman"/>
          <w:sz w:val="24"/>
          <w:szCs w:val="24"/>
        </w:rPr>
        <w:t>discharge;</w:t>
      </w:r>
      <w:proofErr w:type="gramEnd"/>
    </w:p>
    <w:p w14:paraId="6A67DE13" w14:textId="77777777" w:rsidR="00E0476E" w:rsidRDefault="00B70528" w:rsidP="00B70528">
      <w:pPr>
        <w:pStyle w:val="ListParagraph"/>
        <w:numPr>
          <w:ilvl w:val="0"/>
          <w:numId w:val="24"/>
        </w:numPr>
        <w:spacing w:after="0" w:line="240" w:lineRule="auto"/>
        <w:rPr>
          <w:rFonts w:ascii="Gill Sans MT" w:hAnsi="Gill Sans MT" w:cs="Times New Roman"/>
          <w:sz w:val="24"/>
          <w:szCs w:val="24"/>
        </w:rPr>
      </w:pPr>
      <w:r w:rsidRPr="00B70528">
        <w:rPr>
          <w:rFonts w:ascii="Gill Sans MT" w:hAnsi="Gill Sans MT" w:cs="Times New Roman"/>
          <w:sz w:val="24"/>
          <w:szCs w:val="24"/>
        </w:rPr>
        <w:t xml:space="preserve">efforts to increase public awareness of health care proxies and the importance of designating a health care </w:t>
      </w:r>
      <w:proofErr w:type="gramStart"/>
      <w:r w:rsidRPr="00B70528">
        <w:rPr>
          <w:rFonts w:ascii="Gill Sans MT" w:hAnsi="Gill Sans MT" w:cs="Times New Roman"/>
          <w:sz w:val="24"/>
          <w:szCs w:val="24"/>
        </w:rPr>
        <w:t>agent;</w:t>
      </w:r>
      <w:proofErr w:type="gramEnd"/>
    </w:p>
    <w:p w14:paraId="6A5DA4E4" w14:textId="77777777" w:rsidR="00E0476E" w:rsidRDefault="00B70528" w:rsidP="00B70528">
      <w:pPr>
        <w:pStyle w:val="ListParagraph"/>
        <w:numPr>
          <w:ilvl w:val="0"/>
          <w:numId w:val="24"/>
        </w:numPr>
        <w:spacing w:after="0" w:line="240" w:lineRule="auto"/>
        <w:rPr>
          <w:rFonts w:ascii="Gill Sans MT" w:hAnsi="Gill Sans MT" w:cs="Times New Roman"/>
          <w:sz w:val="24"/>
          <w:szCs w:val="24"/>
        </w:rPr>
      </w:pPr>
      <w:r w:rsidRPr="00B70528">
        <w:rPr>
          <w:rFonts w:ascii="Gill Sans MT" w:hAnsi="Gill Sans MT" w:cs="Times New Roman"/>
          <w:sz w:val="24"/>
          <w:szCs w:val="24"/>
        </w:rPr>
        <w:t xml:space="preserve">post-acute </w:t>
      </w:r>
      <w:proofErr w:type="gramStart"/>
      <w:r w:rsidRPr="00B70528">
        <w:rPr>
          <w:rFonts w:ascii="Gill Sans MT" w:hAnsi="Gill Sans MT" w:cs="Times New Roman"/>
          <w:sz w:val="24"/>
          <w:szCs w:val="24"/>
        </w:rPr>
        <w:t>care capacity</w:t>
      </w:r>
      <w:proofErr w:type="gramEnd"/>
      <w:r w:rsidRPr="00B70528">
        <w:rPr>
          <w:rFonts w:ascii="Gill Sans MT" w:hAnsi="Gill Sans MT" w:cs="Times New Roman"/>
          <w:sz w:val="24"/>
          <w:szCs w:val="24"/>
        </w:rPr>
        <w:t xml:space="preserve"> constraints and additional opportunities to provide financial incentives to increase </w:t>
      </w:r>
      <w:proofErr w:type="gramStart"/>
      <w:r w:rsidRPr="00B70528">
        <w:rPr>
          <w:rFonts w:ascii="Gill Sans MT" w:hAnsi="Gill Sans MT" w:cs="Times New Roman"/>
          <w:sz w:val="24"/>
          <w:szCs w:val="24"/>
        </w:rPr>
        <w:t>capacity;</w:t>
      </w:r>
      <w:proofErr w:type="gramEnd"/>
    </w:p>
    <w:p w14:paraId="2194FC82" w14:textId="77777777" w:rsidR="00E0476E" w:rsidRDefault="00B70528" w:rsidP="00B70528">
      <w:pPr>
        <w:pStyle w:val="ListParagraph"/>
        <w:numPr>
          <w:ilvl w:val="0"/>
          <w:numId w:val="24"/>
        </w:numPr>
        <w:spacing w:after="0" w:line="240" w:lineRule="auto"/>
        <w:rPr>
          <w:rFonts w:ascii="Gill Sans MT" w:hAnsi="Gill Sans MT" w:cs="Times New Roman"/>
          <w:sz w:val="24"/>
          <w:szCs w:val="24"/>
        </w:rPr>
      </w:pPr>
      <w:r w:rsidRPr="00B70528">
        <w:rPr>
          <w:rFonts w:ascii="Gill Sans MT" w:hAnsi="Gill Sans MT" w:cs="Times New Roman"/>
          <w:sz w:val="24"/>
          <w:szCs w:val="24"/>
        </w:rPr>
        <w:t xml:space="preserve">administrative day rates and the cost to hospitals of discharge </w:t>
      </w:r>
      <w:proofErr w:type="gramStart"/>
      <w:r w:rsidRPr="00B70528">
        <w:rPr>
          <w:rFonts w:ascii="Gill Sans MT" w:hAnsi="Gill Sans MT" w:cs="Times New Roman"/>
          <w:sz w:val="24"/>
          <w:szCs w:val="24"/>
        </w:rPr>
        <w:t>delays;</w:t>
      </w:r>
      <w:proofErr w:type="gramEnd"/>
    </w:p>
    <w:p w14:paraId="1D14264E" w14:textId="77777777" w:rsidR="00E0476E" w:rsidRDefault="00B70528" w:rsidP="00B70528">
      <w:pPr>
        <w:pStyle w:val="ListParagraph"/>
        <w:numPr>
          <w:ilvl w:val="0"/>
          <w:numId w:val="24"/>
        </w:numPr>
        <w:spacing w:after="0" w:line="240" w:lineRule="auto"/>
        <w:rPr>
          <w:rFonts w:ascii="Gill Sans MT" w:hAnsi="Gill Sans MT" w:cs="Times New Roman"/>
          <w:sz w:val="24"/>
          <w:szCs w:val="24"/>
        </w:rPr>
      </w:pPr>
      <w:r w:rsidRPr="00B70528">
        <w:rPr>
          <w:rFonts w:ascii="Gill Sans MT" w:hAnsi="Gill Sans MT" w:cs="Times New Roman"/>
          <w:sz w:val="24"/>
          <w:szCs w:val="24"/>
        </w:rPr>
        <w:t xml:space="preserve">enhanced hospital case management practices and reimbursement for wraparound </w:t>
      </w:r>
      <w:proofErr w:type="gramStart"/>
      <w:r w:rsidRPr="00B70528">
        <w:rPr>
          <w:rFonts w:ascii="Gill Sans MT" w:hAnsi="Gill Sans MT" w:cs="Times New Roman"/>
          <w:sz w:val="24"/>
          <w:szCs w:val="24"/>
        </w:rPr>
        <w:t>services;</w:t>
      </w:r>
      <w:proofErr w:type="gramEnd"/>
    </w:p>
    <w:p w14:paraId="2556B6FF" w14:textId="77777777" w:rsidR="00E0476E" w:rsidRDefault="00B70528" w:rsidP="00B70528">
      <w:pPr>
        <w:pStyle w:val="ListParagraph"/>
        <w:numPr>
          <w:ilvl w:val="0"/>
          <w:numId w:val="24"/>
        </w:numPr>
        <w:spacing w:after="0" w:line="240" w:lineRule="auto"/>
        <w:rPr>
          <w:rFonts w:ascii="Gill Sans MT" w:hAnsi="Gill Sans MT" w:cs="Times New Roman"/>
          <w:sz w:val="24"/>
          <w:szCs w:val="24"/>
        </w:rPr>
      </w:pPr>
      <w:r w:rsidRPr="00B70528">
        <w:rPr>
          <w:rFonts w:ascii="Gill Sans MT" w:hAnsi="Gill Sans MT" w:cs="Times New Roman"/>
          <w:sz w:val="24"/>
          <w:szCs w:val="24"/>
        </w:rPr>
        <w:t xml:space="preserve">the adequacy of post-acute care facility insurance networks and the establishment of an out-of-network rate for post-acute care </w:t>
      </w:r>
      <w:proofErr w:type="gramStart"/>
      <w:r w:rsidRPr="00B70528">
        <w:rPr>
          <w:rFonts w:ascii="Gill Sans MT" w:hAnsi="Gill Sans MT" w:cs="Times New Roman"/>
          <w:sz w:val="24"/>
          <w:szCs w:val="24"/>
        </w:rPr>
        <w:t>facilities;</w:t>
      </w:r>
      <w:proofErr w:type="gramEnd"/>
    </w:p>
    <w:p w14:paraId="2D291667" w14:textId="77777777" w:rsidR="00E0476E" w:rsidRDefault="00B70528" w:rsidP="00B70528">
      <w:pPr>
        <w:pStyle w:val="ListParagraph"/>
        <w:numPr>
          <w:ilvl w:val="0"/>
          <w:numId w:val="24"/>
        </w:numPr>
        <w:spacing w:after="0" w:line="240" w:lineRule="auto"/>
        <w:rPr>
          <w:rFonts w:ascii="Gill Sans MT" w:hAnsi="Gill Sans MT" w:cs="Times New Roman"/>
          <w:sz w:val="24"/>
          <w:szCs w:val="24"/>
        </w:rPr>
      </w:pPr>
      <w:r w:rsidRPr="00B70528">
        <w:rPr>
          <w:rFonts w:ascii="Gill Sans MT" w:hAnsi="Gill Sans MT" w:cs="Times New Roman"/>
          <w:sz w:val="24"/>
          <w:szCs w:val="24"/>
        </w:rPr>
        <w:t xml:space="preserve">expanding MassHealth Limited coverage to include post-acute and long-term care </w:t>
      </w:r>
      <w:proofErr w:type="gramStart"/>
      <w:r w:rsidRPr="00B70528">
        <w:rPr>
          <w:rFonts w:ascii="Gill Sans MT" w:hAnsi="Gill Sans MT" w:cs="Times New Roman"/>
          <w:sz w:val="24"/>
          <w:szCs w:val="24"/>
        </w:rPr>
        <w:t>services;</w:t>
      </w:r>
      <w:proofErr w:type="gramEnd"/>
    </w:p>
    <w:p w14:paraId="615BF4BC" w14:textId="77777777" w:rsidR="00E0476E" w:rsidRDefault="00B70528" w:rsidP="00B70528">
      <w:pPr>
        <w:pStyle w:val="ListParagraph"/>
        <w:numPr>
          <w:ilvl w:val="0"/>
          <w:numId w:val="24"/>
        </w:numPr>
        <w:spacing w:after="0" w:line="240" w:lineRule="auto"/>
        <w:rPr>
          <w:rFonts w:ascii="Gill Sans MT" w:hAnsi="Gill Sans MT" w:cs="Times New Roman"/>
          <w:sz w:val="24"/>
          <w:szCs w:val="24"/>
        </w:rPr>
      </w:pPr>
      <w:r w:rsidRPr="00B70528">
        <w:rPr>
          <w:rFonts w:ascii="Gill Sans MT" w:hAnsi="Gill Sans MT" w:cs="Times New Roman"/>
          <w:sz w:val="24"/>
          <w:szCs w:val="24"/>
        </w:rPr>
        <w:t xml:space="preserve">the effectiveness of interagency coordination to resolve complex case </w:t>
      </w:r>
      <w:proofErr w:type="gramStart"/>
      <w:r w:rsidRPr="00B70528">
        <w:rPr>
          <w:rFonts w:ascii="Gill Sans MT" w:hAnsi="Gill Sans MT" w:cs="Times New Roman"/>
          <w:sz w:val="24"/>
          <w:szCs w:val="24"/>
        </w:rPr>
        <w:t>discharges;</w:t>
      </w:r>
      <w:proofErr w:type="gramEnd"/>
      <w:r w:rsidRPr="00B70528">
        <w:rPr>
          <w:rFonts w:ascii="Gill Sans MT" w:hAnsi="Gill Sans MT" w:cs="Times New Roman"/>
          <w:sz w:val="24"/>
          <w:szCs w:val="24"/>
        </w:rPr>
        <w:t xml:space="preserve"> </w:t>
      </w:r>
    </w:p>
    <w:p w14:paraId="17E63D34" w14:textId="77777777" w:rsidR="00E0476E" w:rsidRDefault="00B70528" w:rsidP="00B70528">
      <w:pPr>
        <w:pStyle w:val="ListParagraph"/>
        <w:numPr>
          <w:ilvl w:val="0"/>
          <w:numId w:val="24"/>
        </w:numPr>
        <w:spacing w:after="0" w:line="240" w:lineRule="auto"/>
        <w:rPr>
          <w:rFonts w:ascii="Gill Sans MT" w:hAnsi="Gill Sans MT" w:cs="Times New Roman"/>
          <w:sz w:val="24"/>
          <w:szCs w:val="24"/>
        </w:rPr>
      </w:pPr>
      <w:r w:rsidRPr="00B70528">
        <w:rPr>
          <w:rFonts w:ascii="Gill Sans MT" w:hAnsi="Gill Sans MT" w:cs="Times New Roman"/>
          <w:sz w:val="24"/>
          <w:szCs w:val="24"/>
        </w:rPr>
        <w:t xml:space="preserve">the adequacy of reimbursement rates of MassHealth and commercial carriers for nonemergency medical </w:t>
      </w:r>
      <w:proofErr w:type="gramStart"/>
      <w:r w:rsidRPr="00B70528">
        <w:rPr>
          <w:rFonts w:ascii="Gill Sans MT" w:hAnsi="Gill Sans MT" w:cs="Times New Roman"/>
          <w:sz w:val="24"/>
          <w:szCs w:val="24"/>
        </w:rPr>
        <w:t>transportation;</w:t>
      </w:r>
      <w:proofErr w:type="gramEnd"/>
    </w:p>
    <w:p w14:paraId="6AB9AC0C" w14:textId="77777777" w:rsidR="00E0476E" w:rsidRDefault="00B70528" w:rsidP="00B70528">
      <w:pPr>
        <w:pStyle w:val="ListParagraph"/>
        <w:numPr>
          <w:ilvl w:val="0"/>
          <w:numId w:val="24"/>
        </w:numPr>
        <w:spacing w:after="0" w:line="240" w:lineRule="auto"/>
        <w:rPr>
          <w:rFonts w:ascii="Gill Sans MT" w:hAnsi="Gill Sans MT" w:cs="Times New Roman"/>
          <w:sz w:val="24"/>
          <w:szCs w:val="24"/>
        </w:rPr>
      </w:pPr>
      <w:r w:rsidRPr="00B70528">
        <w:rPr>
          <w:rFonts w:ascii="Gill Sans MT" w:hAnsi="Gill Sans MT" w:cs="Times New Roman"/>
          <w:sz w:val="24"/>
          <w:szCs w:val="24"/>
        </w:rPr>
        <w:t xml:space="preserve">opportunities to expand coverage and reimbursement for services delivered by mobile integrated health programs certified by the department of public health and by participating providers in the federal Centers for Medicare and Medicaid Services acute hospital care at home </w:t>
      </w:r>
      <w:proofErr w:type="gramStart"/>
      <w:r w:rsidRPr="00B70528">
        <w:rPr>
          <w:rFonts w:ascii="Gill Sans MT" w:hAnsi="Gill Sans MT" w:cs="Times New Roman"/>
          <w:sz w:val="24"/>
          <w:szCs w:val="24"/>
        </w:rPr>
        <w:t>program;</w:t>
      </w:r>
      <w:proofErr w:type="gramEnd"/>
    </w:p>
    <w:p w14:paraId="76FBB46B" w14:textId="77777777" w:rsidR="00E0476E" w:rsidRDefault="00B70528" w:rsidP="00B70528">
      <w:pPr>
        <w:pStyle w:val="ListParagraph"/>
        <w:numPr>
          <w:ilvl w:val="0"/>
          <w:numId w:val="24"/>
        </w:numPr>
        <w:spacing w:after="0" w:line="240" w:lineRule="auto"/>
        <w:rPr>
          <w:rFonts w:ascii="Gill Sans MT" w:hAnsi="Gill Sans MT" w:cs="Times New Roman"/>
          <w:sz w:val="24"/>
          <w:szCs w:val="24"/>
        </w:rPr>
      </w:pPr>
      <w:r w:rsidRPr="00B70528">
        <w:rPr>
          <w:rFonts w:ascii="Gill Sans MT" w:hAnsi="Gill Sans MT" w:cs="Times New Roman"/>
          <w:sz w:val="24"/>
          <w:szCs w:val="24"/>
        </w:rPr>
        <w:t>alternative transportation options for patients being discharged and transferred to post-acute care facilities or home health agencies; and</w:t>
      </w:r>
    </w:p>
    <w:p w14:paraId="0DFD77FC" w14:textId="68FAC245" w:rsidR="00B70528" w:rsidRPr="00B70528" w:rsidRDefault="00B70528" w:rsidP="00B70528">
      <w:pPr>
        <w:pStyle w:val="ListParagraph"/>
        <w:numPr>
          <w:ilvl w:val="0"/>
          <w:numId w:val="24"/>
        </w:numPr>
        <w:spacing w:after="0" w:line="240" w:lineRule="auto"/>
        <w:rPr>
          <w:rFonts w:ascii="Gill Sans MT" w:hAnsi="Gill Sans MT" w:cs="Times New Roman"/>
          <w:sz w:val="24"/>
          <w:szCs w:val="24"/>
        </w:rPr>
      </w:pPr>
      <w:r w:rsidRPr="00B70528">
        <w:rPr>
          <w:rFonts w:ascii="Gill Sans MT" w:hAnsi="Gill Sans MT" w:cs="Times New Roman"/>
          <w:sz w:val="24"/>
          <w:szCs w:val="24"/>
        </w:rPr>
        <w:t>the adequacy of state resources and infrastructure to place complex case discharges in appropriate post-acute care settings, including, but not limited to, patients with dementia diagnoses, geriatric patients with psychiatric diagnoses, patients with behavioral health diagnoses, patients with substance use disorder diagnoses, justice-involved patients and patients who have been unable to find an appropriate placement for post-acute care for 6 months or longer.</w:t>
      </w:r>
    </w:p>
    <w:p w14:paraId="3DCA5B5E" w14:textId="77777777" w:rsidR="00B70528" w:rsidRDefault="00B70528" w:rsidP="00B70528">
      <w:pPr>
        <w:spacing w:after="0" w:line="240" w:lineRule="auto"/>
        <w:contextualSpacing/>
        <w:rPr>
          <w:rFonts w:ascii="Gill Sans MT" w:hAnsi="Gill Sans MT" w:cs="Times New Roman"/>
          <w:sz w:val="24"/>
          <w:szCs w:val="24"/>
        </w:rPr>
      </w:pPr>
    </w:p>
    <w:p w14:paraId="4FF0B312" w14:textId="437A16D2" w:rsidR="00B70528" w:rsidRPr="00B70528" w:rsidRDefault="00B70528" w:rsidP="00B70528">
      <w:pPr>
        <w:spacing w:after="0" w:line="240" w:lineRule="auto"/>
        <w:contextualSpacing/>
        <w:rPr>
          <w:rFonts w:ascii="Gill Sans MT" w:hAnsi="Gill Sans MT" w:cs="Times New Roman"/>
          <w:sz w:val="24"/>
          <w:szCs w:val="24"/>
        </w:rPr>
      </w:pPr>
      <w:r w:rsidRPr="00B70528">
        <w:rPr>
          <w:rFonts w:ascii="Gill Sans MT" w:hAnsi="Gill Sans MT" w:cs="Times New Roman"/>
          <w:sz w:val="24"/>
          <w:szCs w:val="24"/>
        </w:rPr>
        <w:t xml:space="preserve">(b) The task force shall consist of: the secretary of health and human services, or a designee, who shall serve as chair; the assistant secretary for MassHealth, or a designee; the </w:t>
      </w:r>
      <w:r w:rsidRPr="00B70528">
        <w:rPr>
          <w:rFonts w:ascii="Gill Sans MT" w:hAnsi="Gill Sans MT" w:cs="Times New Roman"/>
          <w:sz w:val="24"/>
          <w:szCs w:val="24"/>
        </w:rPr>
        <w:lastRenderedPageBreak/>
        <w:t>commissioner of mental health, or a designee; the attorney general, or a designee; the commissioner of correction, or a designee; 1 sheriff appointed by the Massachusetts Sheriffs’ Association, Inc.; 1 member representing the division of the probate and family court department of the trial court to be appointed by the chief justice of said division; and 10 members to be appointed by the chair, 1 of whom shall be a representative of the Massachusetts Hospital Association, Inc., 1 of whom shall be a representative of the Massachusetts Senior Care Association, Inc., 1 of whom shall be a representative of the Home Care Alliance of Massachusetts, Inc., 1 of whom shall be a representative of the Massachusetts Academy of Elder Law Attorneys, 1 of whom shall be a representative from the Massachusetts Ambulance Association, Incorporated, 1 of whom shall be a representative from the Massachusetts Association of Health Plans, Inc., 1 of whom shall be a representative from Blue Cross and Blue Shield of Massachusetts, Inc., 1 of whom shall be a representative from an academic medical center located in Worcester county, 1 of whom shall be a representative of an acute care hospital located in Suffolk county and 1 of whom shall be a representative from an acute care hospital designated by the health policy commission as an independent community hospital for the purposes of 105 CMR 100.715(B)(2)(b).</w:t>
      </w:r>
    </w:p>
    <w:p w14:paraId="1FA492A9" w14:textId="77777777" w:rsidR="00B70528" w:rsidRDefault="00B70528" w:rsidP="00B70528">
      <w:pPr>
        <w:spacing w:after="0" w:line="240" w:lineRule="auto"/>
        <w:contextualSpacing/>
        <w:rPr>
          <w:rFonts w:ascii="Gill Sans MT" w:hAnsi="Gill Sans MT" w:cs="Times New Roman"/>
          <w:sz w:val="24"/>
          <w:szCs w:val="24"/>
        </w:rPr>
      </w:pPr>
    </w:p>
    <w:p w14:paraId="619BF4AD" w14:textId="079B31FE" w:rsidR="003123F0" w:rsidRDefault="00B70528" w:rsidP="00B70528">
      <w:pPr>
        <w:spacing w:after="0" w:line="240" w:lineRule="auto"/>
        <w:contextualSpacing/>
        <w:rPr>
          <w:rFonts w:ascii="Gill Sans MT" w:hAnsi="Gill Sans MT" w:cs="Times New Roman"/>
          <w:sz w:val="24"/>
          <w:szCs w:val="24"/>
        </w:rPr>
      </w:pPr>
      <w:r w:rsidRPr="00B70528">
        <w:rPr>
          <w:rFonts w:ascii="Gill Sans MT" w:hAnsi="Gill Sans MT" w:cs="Times New Roman"/>
          <w:sz w:val="24"/>
          <w:szCs w:val="24"/>
        </w:rPr>
        <w:t>(c) Not later than July 31, 2025, the task force shall submit its report, including its recommendations or any proposed legislation necessary to carry out its recommendations, to the clerks of the house of representatives and the senate, the house and senate committees on ways and means and the joint committee on health care financing.</w:t>
      </w:r>
    </w:p>
    <w:p w14:paraId="4EA18D38" w14:textId="77777777" w:rsidR="00E0476E" w:rsidRPr="003123F0" w:rsidRDefault="00E0476E" w:rsidP="00B70528">
      <w:pPr>
        <w:spacing w:after="0" w:line="240" w:lineRule="auto"/>
        <w:contextualSpacing/>
        <w:rPr>
          <w:rFonts w:ascii="Gill Sans MT" w:hAnsi="Gill Sans MT" w:cs="Times New Roman"/>
          <w:sz w:val="24"/>
          <w:szCs w:val="24"/>
        </w:rPr>
      </w:pPr>
    </w:p>
    <w:sectPr w:rsidR="00E0476E" w:rsidRPr="003123F0" w:rsidSect="00E966F9">
      <w:footerReference w:type="default" r:id="rId8"/>
      <w:pgSz w:w="12240" w:h="15840"/>
      <w:pgMar w:top="108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7DD03" w14:textId="77777777" w:rsidR="005B3C08" w:rsidRDefault="005B3C08" w:rsidP="00986ACD">
      <w:pPr>
        <w:spacing w:after="0" w:line="240" w:lineRule="auto"/>
      </w:pPr>
      <w:r>
        <w:separator/>
      </w:r>
    </w:p>
  </w:endnote>
  <w:endnote w:type="continuationSeparator" w:id="0">
    <w:p w14:paraId="32764600" w14:textId="77777777" w:rsidR="005B3C08" w:rsidRDefault="005B3C08" w:rsidP="00986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AFB7" w14:textId="6F269ABF" w:rsidR="00986ACD" w:rsidRPr="00986ACD" w:rsidRDefault="00986ACD" w:rsidP="00986ACD">
    <w:pPr>
      <w:pStyle w:val="Footer"/>
      <w:jc w:val="center"/>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3340A" w14:textId="77777777" w:rsidR="005B3C08" w:rsidRDefault="005B3C08" w:rsidP="00986ACD">
      <w:pPr>
        <w:spacing w:after="0" w:line="240" w:lineRule="auto"/>
      </w:pPr>
      <w:r>
        <w:separator/>
      </w:r>
    </w:p>
  </w:footnote>
  <w:footnote w:type="continuationSeparator" w:id="0">
    <w:p w14:paraId="6A732D2E" w14:textId="77777777" w:rsidR="005B3C08" w:rsidRDefault="005B3C08" w:rsidP="00986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5B4"/>
    <w:multiLevelType w:val="hybridMultilevel"/>
    <w:tmpl w:val="9B407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E2D85"/>
    <w:multiLevelType w:val="multilevel"/>
    <w:tmpl w:val="CC42B5D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5023D2"/>
    <w:multiLevelType w:val="hybridMultilevel"/>
    <w:tmpl w:val="EB98C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45983"/>
    <w:multiLevelType w:val="hybridMultilevel"/>
    <w:tmpl w:val="88908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A0684"/>
    <w:multiLevelType w:val="hybridMultilevel"/>
    <w:tmpl w:val="3BE8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90D14"/>
    <w:multiLevelType w:val="hybridMultilevel"/>
    <w:tmpl w:val="D33AE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AC16F1"/>
    <w:multiLevelType w:val="hybridMultilevel"/>
    <w:tmpl w:val="A1F60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F513D5E"/>
    <w:multiLevelType w:val="hybridMultilevel"/>
    <w:tmpl w:val="C4E2BBD6"/>
    <w:lvl w:ilvl="0" w:tplc="16227E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F620E"/>
    <w:multiLevelType w:val="multilevel"/>
    <w:tmpl w:val="FDDC6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A731D6"/>
    <w:multiLevelType w:val="hybridMultilevel"/>
    <w:tmpl w:val="5524C25A"/>
    <w:lvl w:ilvl="0" w:tplc="85745AAA">
      <w:start w:val="1"/>
      <w:numFmt w:val="bullet"/>
      <w:lvlText w:val="•"/>
      <w:lvlJc w:val="left"/>
      <w:pPr>
        <w:tabs>
          <w:tab w:val="num" w:pos="720"/>
        </w:tabs>
        <w:ind w:left="720" w:hanging="360"/>
      </w:pPr>
      <w:rPr>
        <w:rFonts w:ascii="Arial" w:hAnsi="Arial" w:hint="default"/>
      </w:rPr>
    </w:lvl>
    <w:lvl w:ilvl="1" w:tplc="A26A254A">
      <w:start w:val="1"/>
      <w:numFmt w:val="bullet"/>
      <w:lvlText w:val="•"/>
      <w:lvlJc w:val="left"/>
      <w:pPr>
        <w:tabs>
          <w:tab w:val="num" w:pos="1440"/>
        </w:tabs>
        <w:ind w:left="1440" w:hanging="360"/>
      </w:pPr>
      <w:rPr>
        <w:rFonts w:ascii="Arial" w:hAnsi="Arial" w:hint="default"/>
      </w:rPr>
    </w:lvl>
    <w:lvl w:ilvl="2" w:tplc="F39067CA" w:tentative="1">
      <w:start w:val="1"/>
      <w:numFmt w:val="bullet"/>
      <w:lvlText w:val="•"/>
      <w:lvlJc w:val="left"/>
      <w:pPr>
        <w:tabs>
          <w:tab w:val="num" w:pos="2160"/>
        </w:tabs>
        <w:ind w:left="2160" w:hanging="360"/>
      </w:pPr>
      <w:rPr>
        <w:rFonts w:ascii="Arial" w:hAnsi="Arial" w:hint="default"/>
      </w:rPr>
    </w:lvl>
    <w:lvl w:ilvl="3" w:tplc="19CC1EC6" w:tentative="1">
      <w:start w:val="1"/>
      <w:numFmt w:val="bullet"/>
      <w:lvlText w:val="•"/>
      <w:lvlJc w:val="left"/>
      <w:pPr>
        <w:tabs>
          <w:tab w:val="num" w:pos="2880"/>
        </w:tabs>
        <w:ind w:left="2880" w:hanging="360"/>
      </w:pPr>
      <w:rPr>
        <w:rFonts w:ascii="Arial" w:hAnsi="Arial" w:hint="default"/>
      </w:rPr>
    </w:lvl>
    <w:lvl w:ilvl="4" w:tplc="DF1851A6" w:tentative="1">
      <w:start w:val="1"/>
      <w:numFmt w:val="bullet"/>
      <w:lvlText w:val="•"/>
      <w:lvlJc w:val="left"/>
      <w:pPr>
        <w:tabs>
          <w:tab w:val="num" w:pos="3600"/>
        </w:tabs>
        <w:ind w:left="3600" w:hanging="360"/>
      </w:pPr>
      <w:rPr>
        <w:rFonts w:ascii="Arial" w:hAnsi="Arial" w:hint="default"/>
      </w:rPr>
    </w:lvl>
    <w:lvl w:ilvl="5" w:tplc="C48A7AFC" w:tentative="1">
      <w:start w:val="1"/>
      <w:numFmt w:val="bullet"/>
      <w:lvlText w:val="•"/>
      <w:lvlJc w:val="left"/>
      <w:pPr>
        <w:tabs>
          <w:tab w:val="num" w:pos="4320"/>
        </w:tabs>
        <w:ind w:left="4320" w:hanging="360"/>
      </w:pPr>
      <w:rPr>
        <w:rFonts w:ascii="Arial" w:hAnsi="Arial" w:hint="default"/>
      </w:rPr>
    </w:lvl>
    <w:lvl w:ilvl="6" w:tplc="8698116E" w:tentative="1">
      <w:start w:val="1"/>
      <w:numFmt w:val="bullet"/>
      <w:lvlText w:val="•"/>
      <w:lvlJc w:val="left"/>
      <w:pPr>
        <w:tabs>
          <w:tab w:val="num" w:pos="5040"/>
        </w:tabs>
        <w:ind w:left="5040" w:hanging="360"/>
      </w:pPr>
      <w:rPr>
        <w:rFonts w:ascii="Arial" w:hAnsi="Arial" w:hint="default"/>
      </w:rPr>
    </w:lvl>
    <w:lvl w:ilvl="7" w:tplc="0024C060" w:tentative="1">
      <w:start w:val="1"/>
      <w:numFmt w:val="bullet"/>
      <w:lvlText w:val="•"/>
      <w:lvlJc w:val="left"/>
      <w:pPr>
        <w:tabs>
          <w:tab w:val="num" w:pos="5760"/>
        </w:tabs>
        <w:ind w:left="5760" w:hanging="360"/>
      </w:pPr>
      <w:rPr>
        <w:rFonts w:ascii="Arial" w:hAnsi="Arial" w:hint="default"/>
      </w:rPr>
    </w:lvl>
    <w:lvl w:ilvl="8" w:tplc="C54A1E3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AAB4509"/>
    <w:multiLevelType w:val="hybridMultilevel"/>
    <w:tmpl w:val="53F08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B3987"/>
    <w:multiLevelType w:val="multilevel"/>
    <w:tmpl w:val="78225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EA3C93"/>
    <w:multiLevelType w:val="hybridMultilevel"/>
    <w:tmpl w:val="13EEE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A927B3"/>
    <w:multiLevelType w:val="hybridMultilevel"/>
    <w:tmpl w:val="6BAAB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314EC"/>
    <w:multiLevelType w:val="multilevel"/>
    <w:tmpl w:val="C01CA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8712109"/>
    <w:multiLevelType w:val="hybridMultilevel"/>
    <w:tmpl w:val="81E6D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C75CDF"/>
    <w:multiLevelType w:val="hybridMultilevel"/>
    <w:tmpl w:val="189C5F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310FF0"/>
    <w:multiLevelType w:val="hybridMultilevel"/>
    <w:tmpl w:val="85A0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435D1A"/>
    <w:multiLevelType w:val="hybridMultilevel"/>
    <w:tmpl w:val="51E651C4"/>
    <w:lvl w:ilvl="0" w:tplc="DB98F8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5255ED"/>
    <w:multiLevelType w:val="hybridMultilevel"/>
    <w:tmpl w:val="917E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5B2267"/>
    <w:multiLevelType w:val="hybridMultilevel"/>
    <w:tmpl w:val="BCD6E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F60555"/>
    <w:multiLevelType w:val="hybridMultilevel"/>
    <w:tmpl w:val="5C56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CF5A80"/>
    <w:multiLevelType w:val="hybridMultilevel"/>
    <w:tmpl w:val="3B3E2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E75B24"/>
    <w:multiLevelType w:val="hybridMultilevel"/>
    <w:tmpl w:val="6B58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9352">
    <w:abstractNumId w:val="6"/>
  </w:num>
  <w:num w:numId="2" w16cid:durableId="2109035857">
    <w:abstractNumId w:val="21"/>
  </w:num>
  <w:num w:numId="3" w16cid:durableId="373389304">
    <w:abstractNumId w:val="9"/>
  </w:num>
  <w:num w:numId="4" w16cid:durableId="1755541740">
    <w:abstractNumId w:val="13"/>
  </w:num>
  <w:num w:numId="5" w16cid:durableId="1083260223">
    <w:abstractNumId w:val="19"/>
  </w:num>
  <w:num w:numId="6" w16cid:durableId="1352217917">
    <w:abstractNumId w:val="4"/>
  </w:num>
  <w:num w:numId="7" w16cid:durableId="1768110943">
    <w:abstractNumId w:val="12"/>
  </w:num>
  <w:num w:numId="8" w16cid:durableId="1958102488">
    <w:abstractNumId w:val="15"/>
  </w:num>
  <w:num w:numId="9" w16cid:durableId="1967465920">
    <w:abstractNumId w:val="16"/>
  </w:num>
  <w:num w:numId="10" w16cid:durableId="610629835">
    <w:abstractNumId w:val="22"/>
  </w:num>
  <w:num w:numId="11" w16cid:durableId="1447313912">
    <w:abstractNumId w:val="0"/>
  </w:num>
  <w:num w:numId="12" w16cid:durableId="1902325146">
    <w:abstractNumId w:val="18"/>
  </w:num>
  <w:num w:numId="13" w16cid:durableId="1232156176">
    <w:abstractNumId w:val="3"/>
  </w:num>
  <w:num w:numId="14" w16cid:durableId="2115635569">
    <w:abstractNumId w:val="11"/>
  </w:num>
  <w:num w:numId="15" w16cid:durableId="1427192042">
    <w:abstractNumId w:val="8"/>
  </w:num>
  <w:num w:numId="16" w16cid:durableId="1566061552">
    <w:abstractNumId w:val="5"/>
  </w:num>
  <w:num w:numId="17" w16cid:durableId="70391663">
    <w:abstractNumId w:val="17"/>
  </w:num>
  <w:num w:numId="18" w16cid:durableId="904679340">
    <w:abstractNumId w:val="23"/>
  </w:num>
  <w:num w:numId="19" w16cid:durableId="1715806802">
    <w:abstractNumId w:val="2"/>
  </w:num>
  <w:num w:numId="20" w16cid:durableId="305013822">
    <w:abstractNumId w:val="10"/>
  </w:num>
  <w:num w:numId="21" w16cid:durableId="1665694703">
    <w:abstractNumId w:val="20"/>
  </w:num>
  <w:num w:numId="22" w16cid:durableId="1775319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90971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7465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7A"/>
    <w:rsid w:val="00006DDB"/>
    <w:rsid w:val="0001397D"/>
    <w:rsid w:val="00014D69"/>
    <w:rsid w:val="00015C8E"/>
    <w:rsid w:val="000452B3"/>
    <w:rsid w:val="000550E2"/>
    <w:rsid w:val="00057E20"/>
    <w:rsid w:val="00064267"/>
    <w:rsid w:val="00065A6B"/>
    <w:rsid w:val="00070811"/>
    <w:rsid w:val="00082ED9"/>
    <w:rsid w:val="00091FCE"/>
    <w:rsid w:val="00092E37"/>
    <w:rsid w:val="000B79ED"/>
    <w:rsid w:val="000C3600"/>
    <w:rsid w:val="000C543A"/>
    <w:rsid w:val="000D0460"/>
    <w:rsid w:val="000E22A8"/>
    <w:rsid w:val="000E78EB"/>
    <w:rsid w:val="000F7A86"/>
    <w:rsid w:val="001014EB"/>
    <w:rsid w:val="0010400B"/>
    <w:rsid w:val="00157BC8"/>
    <w:rsid w:val="00165510"/>
    <w:rsid w:val="00170009"/>
    <w:rsid w:val="001722CD"/>
    <w:rsid w:val="001766C3"/>
    <w:rsid w:val="00192318"/>
    <w:rsid w:val="001B08BF"/>
    <w:rsid w:val="001B18C9"/>
    <w:rsid w:val="001C1199"/>
    <w:rsid w:val="001C2E97"/>
    <w:rsid w:val="001D2BA8"/>
    <w:rsid w:val="001D45B7"/>
    <w:rsid w:val="00227BA4"/>
    <w:rsid w:val="00232D14"/>
    <w:rsid w:val="00236D47"/>
    <w:rsid w:val="0023758A"/>
    <w:rsid w:val="0027645D"/>
    <w:rsid w:val="00283C56"/>
    <w:rsid w:val="00284F96"/>
    <w:rsid w:val="002A2E5C"/>
    <w:rsid w:val="002A6562"/>
    <w:rsid w:val="002B1929"/>
    <w:rsid w:val="002B5359"/>
    <w:rsid w:val="002B64CB"/>
    <w:rsid w:val="002B65D3"/>
    <w:rsid w:val="002C7B9D"/>
    <w:rsid w:val="002E483A"/>
    <w:rsid w:val="002E490B"/>
    <w:rsid w:val="003043C6"/>
    <w:rsid w:val="00312059"/>
    <w:rsid w:val="003123F0"/>
    <w:rsid w:val="00326844"/>
    <w:rsid w:val="00334A14"/>
    <w:rsid w:val="003401CB"/>
    <w:rsid w:val="0034071A"/>
    <w:rsid w:val="003430FF"/>
    <w:rsid w:val="00344BE2"/>
    <w:rsid w:val="00347265"/>
    <w:rsid w:val="0036507A"/>
    <w:rsid w:val="00386CE0"/>
    <w:rsid w:val="00387ACC"/>
    <w:rsid w:val="003915E5"/>
    <w:rsid w:val="003B5485"/>
    <w:rsid w:val="003C413E"/>
    <w:rsid w:val="003C6404"/>
    <w:rsid w:val="003E42E5"/>
    <w:rsid w:val="00402D00"/>
    <w:rsid w:val="00404959"/>
    <w:rsid w:val="00414E3E"/>
    <w:rsid w:val="004175BE"/>
    <w:rsid w:val="00420038"/>
    <w:rsid w:val="0042662D"/>
    <w:rsid w:val="00431F29"/>
    <w:rsid w:val="00432BB2"/>
    <w:rsid w:val="004419FC"/>
    <w:rsid w:val="0045029A"/>
    <w:rsid w:val="00457110"/>
    <w:rsid w:val="004626B9"/>
    <w:rsid w:val="00491C8E"/>
    <w:rsid w:val="00497747"/>
    <w:rsid w:val="004C06DD"/>
    <w:rsid w:val="004F50AB"/>
    <w:rsid w:val="004F5C6A"/>
    <w:rsid w:val="00510085"/>
    <w:rsid w:val="00512EEF"/>
    <w:rsid w:val="00523AB1"/>
    <w:rsid w:val="00525513"/>
    <w:rsid w:val="00544B3A"/>
    <w:rsid w:val="005455B5"/>
    <w:rsid w:val="00552E60"/>
    <w:rsid w:val="00562B0E"/>
    <w:rsid w:val="00571551"/>
    <w:rsid w:val="00575288"/>
    <w:rsid w:val="005824E8"/>
    <w:rsid w:val="00591829"/>
    <w:rsid w:val="005B03E2"/>
    <w:rsid w:val="005B3C08"/>
    <w:rsid w:val="005E0EA8"/>
    <w:rsid w:val="005E7514"/>
    <w:rsid w:val="005F63C3"/>
    <w:rsid w:val="0060537E"/>
    <w:rsid w:val="00611DB3"/>
    <w:rsid w:val="00633198"/>
    <w:rsid w:val="0064326D"/>
    <w:rsid w:val="00643F23"/>
    <w:rsid w:val="0064458D"/>
    <w:rsid w:val="0065523F"/>
    <w:rsid w:val="006653BA"/>
    <w:rsid w:val="006666E9"/>
    <w:rsid w:val="0067344F"/>
    <w:rsid w:val="006761AC"/>
    <w:rsid w:val="006B1A75"/>
    <w:rsid w:val="006B215A"/>
    <w:rsid w:val="006B6EE7"/>
    <w:rsid w:val="006D65A8"/>
    <w:rsid w:val="006E0DD1"/>
    <w:rsid w:val="006E6717"/>
    <w:rsid w:val="006F7E31"/>
    <w:rsid w:val="00702041"/>
    <w:rsid w:val="007063E3"/>
    <w:rsid w:val="00710FBB"/>
    <w:rsid w:val="0071236D"/>
    <w:rsid w:val="0074266F"/>
    <w:rsid w:val="0074557C"/>
    <w:rsid w:val="00752742"/>
    <w:rsid w:val="00752F5F"/>
    <w:rsid w:val="0076634F"/>
    <w:rsid w:val="007877BE"/>
    <w:rsid w:val="00791454"/>
    <w:rsid w:val="0079268A"/>
    <w:rsid w:val="00797331"/>
    <w:rsid w:val="007C0282"/>
    <w:rsid w:val="007C14D8"/>
    <w:rsid w:val="007C7209"/>
    <w:rsid w:val="007D64E1"/>
    <w:rsid w:val="007D68C3"/>
    <w:rsid w:val="0080281A"/>
    <w:rsid w:val="008037E4"/>
    <w:rsid w:val="008039A6"/>
    <w:rsid w:val="00806735"/>
    <w:rsid w:val="00821BA6"/>
    <w:rsid w:val="00827FDA"/>
    <w:rsid w:val="00845E4B"/>
    <w:rsid w:val="00846110"/>
    <w:rsid w:val="00872955"/>
    <w:rsid w:val="008736D4"/>
    <w:rsid w:val="0088769E"/>
    <w:rsid w:val="00891E51"/>
    <w:rsid w:val="00892286"/>
    <w:rsid w:val="008934D3"/>
    <w:rsid w:val="008A1C29"/>
    <w:rsid w:val="008A2A50"/>
    <w:rsid w:val="008D507A"/>
    <w:rsid w:val="008E1760"/>
    <w:rsid w:val="00903DCE"/>
    <w:rsid w:val="00914A6B"/>
    <w:rsid w:val="0092714B"/>
    <w:rsid w:val="00935883"/>
    <w:rsid w:val="00945B7A"/>
    <w:rsid w:val="0095233E"/>
    <w:rsid w:val="009545A1"/>
    <w:rsid w:val="00971E86"/>
    <w:rsid w:val="009753D6"/>
    <w:rsid w:val="00975BE0"/>
    <w:rsid w:val="00980C01"/>
    <w:rsid w:val="00986ACD"/>
    <w:rsid w:val="00993A38"/>
    <w:rsid w:val="00997CE2"/>
    <w:rsid w:val="009B26DB"/>
    <w:rsid w:val="009B4D4D"/>
    <w:rsid w:val="009C146B"/>
    <w:rsid w:val="009C1C61"/>
    <w:rsid w:val="009C4949"/>
    <w:rsid w:val="009D4272"/>
    <w:rsid w:val="00A100F8"/>
    <w:rsid w:val="00A30160"/>
    <w:rsid w:val="00A36525"/>
    <w:rsid w:val="00A37C66"/>
    <w:rsid w:val="00A41E12"/>
    <w:rsid w:val="00A52A94"/>
    <w:rsid w:val="00A553E4"/>
    <w:rsid w:val="00A702E8"/>
    <w:rsid w:val="00A71D5E"/>
    <w:rsid w:val="00A8438F"/>
    <w:rsid w:val="00A870EC"/>
    <w:rsid w:val="00AD39DE"/>
    <w:rsid w:val="00AE1653"/>
    <w:rsid w:val="00AE2BAE"/>
    <w:rsid w:val="00AF3E59"/>
    <w:rsid w:val="00B009AF"/>
    <w:rsid w:val="00B02E4E"/>
    <w:rsid w:val="00B06C62"/>
    <w:rsid w:val="00B3769C"/>
    <w:rsid w:val="00B445D0"/>
    <w:rsid w:val="00B47B10"/>
    <w:rsid w:val="00B51649"/>
    <w:rsid w:val="00B601FE"/>
    <w:rsid w:val="00B70528"/>
    <w:rsid w:val="00B71EBB"/>
    <w:rsid w:val="00B759BA"/>
    <w:rsid w:val="00B80BA5"/>
    <w:rsid w:val="00BA3B5C"/>
    <w:rsid w:val="00BD0441"/>
    <w:rsid w:val="00BE3919"/>
    <w:rsid w:val="00BF6103"/>
    <w:rsid w:val="00C00B69"/>
    <w:rsid w:val="00C04AAF"/>
    <w:rsid w:val="00C0582A"/>
    <w:rsid w:val="00C05BDD"/>
    <w:rsid w:val="00C06A80"/>
    <w:rsid w:val="00C26D4C"/>
    <w:rsid w:val="00C32D51"/>
    <w:rsid w:val="00C3345F"/>
    <w:rsid w:val="00C51EB6"/>
    <w:rsid w:val="00C76442"/>
    <w:rsid w:val="00C8270C"/>
    <w:rsid w:val="00C861C3"/>
    <w:rsid w:val="00C97A7C"/>
    <w:rsid w:val="00CC05EC"/>
    <w:rsid w:val="00CC29E7"/>
    <w:rsid w:val="00CC5146"/>
    <w:rsid w:val="00CE452F"/>
    <w:rsid w:val="00D06372"/>
    <w:rsid w:val="00D10CB9"/>
    <w:rsid w:val="00D1461E"/>
    <w:rsid w:val="00D15315"/>
    <w:rsid w:val="00D20512"/>
    <w:rsid w:val="00D20B5F"/>
    <w:rsid w:val="00D2725E"/>
    <w:rsid w:val="00D32CC8"/>
    <w:rsid w:val="00D4638E"/>
    <w:rsid w:val="00D534B3"/>
    <w:rsid w:val="00D5794C"/>
    <w:rsid w:val="00D66B4C"/>
    <w:rsid w:val="00D8620B"/>
    <w:rsid w:val="00D902F1"/>
    <w:rsid w:val="00DB5329"/>
    <w:rsid w:val="00DC7E33"/>
    <w:rsid w:val="00DD0202"/>
    <w:rsid w:val="00DE4347"/>
    <w:rsid w:val="00DE53C9"/>
    <w:rsid w:val="00DF0F79"/>
    <w:rsid w:val="00DF7AAA"/>
    <w:rsid w:val="00E0476E"/>
    <w:rsid w:val="00E27C99"/>
    <w:rsid w:val="00E41653"/>
    <w:rsid w:val="00E469FB"/>
    <w:rsid w:val="00E46A28"/>
    <w:rsid w:val="00E72209"/>
    <w:rsid w:val="00E72DBD"/>
    <w:rsid w:val="00E81C04"/>
    <w:rsid w:val="00E872B0"/>
    <w:rsid w:val="00E95EED"/>
    <w:rsid w:val="00E966F9"/>
    <w:rsid w:val="00EC4A37"/>
    <w:rsid w:val="00ED0C18"/>
    <w:rsid w:val="00EE266C"/>
    <w:rsid w:val="00EF5802"/>
    <w:rsid w:val="00F01B1B"/>
    <w:rsid w:val="00F05815"/>
    <w:rsid w:val="00F100F9"/>
    <w:rsid w:val="00F23EE3"/>
    <w:rsid w:val="00F2408F"/>
    <w:rsid w:val="00F27755"/>
    <w:rsid w:val="00F30B97"/>
    <w:rsid w:val="00F34D9F"/>
    <w:rsid w:val="00F47130"/>
    <w:rsid w:val="00F473A3"/>
    <w:rsid w:val="00F53CF0"/>
    <w:rsid w:val="00F61DE2"/>
    <w:rsid w:val="00F66781"/>
    <w:rsid w:val="00F66FAB"/>
    <w:rsid w:val="00F736AC"/>
    <w:rsid w:val="00F76055"/>
    <w:rsid w:val="00F81758"/>
    <w:rsid w:val="00F90275"/>
    <w:rsid w:val="00FA1BAC"/>
    <w:rsid w:val="00FA2E90"/>
    <w:rsid w:val="00FA6F4E"/>
    <w:rsid w:val="00FA7A05"/>
    <w:rsid w:val="00FB58A4"/>
    <w:rsid w:val="00FC52A2"/>
    <w:rsid w:val="00FD2C4E"/>
    <w:rsid w:val="00FD5BF7"/>
    <w:rsid w:val="00FE0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AA3D"/>
  <w15:docId w15:val="{6FC50E86-04DA-4980-91B5-B5A6CDDC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9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205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B516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5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5B7A"/>
    <w:pPr>
      <w:spacing w:after="0" w:line="240" w:lineRule="auto"/>
    </w:pPr>
  </w:style>
  <w:style w:type="character" w:customStyle="1" w:styleId="Heading4Char">
    <w:name w:val="Heading 4 Char"/>
    <w:basedOn w:val="DefaultParagraphFont"/>
    <w:link w:val="Heading4"/>
    <w:uiPriority w:val="9"/>
    <w:rsid w:val="00B51649"/>
    <w:rPr>
      <w:rFonts w:ascii="Times New Roman" w:eastAsia="Times New Roman" w:hAnsi="Times New Roman" w:cs="Times New Roman"/>
      <w:b/>
      <w:bCs/>
      <w:sz w:val="24"/>
      <w:szCs w:val="24"/>
    </w:rPr>
  </w:style>
  <w:style w:type="paragraph" w:styleId="ListParagraph">
    <w:name w:val="List Paragraph"/>
    <w:basedOn w:val="Normal"/>
    <w:qFormat/>
    <w:rsid w:val="00070811"/>
    <w:pPr>
      <w:ind w:left="720"/>
      <w:contextualSpacing/>
    </w:pPr>
  </w:style>
  <w:style w:type="character" w:styleId="Hyperlink">
    <w:name w:val="Hyperlink"/>
    <w:basedOn w:val="DefaultParagraphFont"/>
    <w:uiPriority w:val="99"/>
    <w:unhideWhenUsed/>
    <w:rsid w:val="00806735"/>
    <w:rPr>
      <w:color w:val="0000FF" w:themeColor="hyperlink"/>
      <w:u w:val="single"/>
    </w:rPr>
  </w:style>
  <w:style w:type="character" w:styleId="UnresolvedMention">
    <w:name w:val="Unresolved Mention"/>
    <w:basedOn w:val="DefaultParagraphFont"/>
    <w:uiPriority w:val="99"/>
    <w:semiHidden/>
    <w:unhideWhenUsed/>
    <w:rsid w:val="00806735"/>
    <w:rPr>
      <w:color w:val="605E5C"/>
      <w:shd w:val="clear" w:color="auto" w:fill="E1DFDD"/>
    </w:rPr>
  </w:style>
  <w:style w:type="character" w:styleId="FollowedHyperlink">
    <w:name w:val="FollowedHyperlink"/>
    <w:basedOn w:val="DefaultParagraphFont"/>
    <w:uiPriority w:val="99"/>
    <w:semiHidden/>
    <w:unhideWhenUsed/>
    <w:rsid w:val="0001397D"/>
    <w:rPr>
      <w:color w:val="800080" w:themeColor="followedHyperlink"/>
      <w:u w:val="single"/>
    </w:rPr>
  </w:style>
  <w:style w:type="character" w:customStyle="1" w:styleId="Heading1Char">
    <w:name w:val="Heading 1 Char"/>
    <w:basedOn w:val="DefaultParagraphFont"/>
    <w:link w:val="Heading1"/>
    <w:uiPriority w:val="9"/>
    <w:rsid w:val="0001397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E722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86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ACD"/>
  </w:style>
  <w:style w:type="paragraph" w:styleId="Footer">
    <w:name w:val="footer"/>
    <w:basedOn w:val="Normal"/>
    <w:link w:val="FooterChar"/>
    <w:uiPriority w:val="99"/>
    <w:unhideWhenUsed/>
    <w:rsid w:val="00986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ACD"/>
  </w:style>
  <w:style w:type="character" w:styleId="Strong">
    <w:name w:val="Strong"/>
    <w:basedOn w:val="DefaultParagraphFont"/>
    <w:uiPriority w:val="22"/>
    <w:qFormat/>
    <w:rsid w:val="00006DDB"/>
    <w:rPr>
      <w:b/>
      <w:bCs/>
    </w:rPr>
  </w:style>
  <w:style w:type="paragraph" w:customStyle="1" w:styleId="pf0">
    <w:name w:val="pf0"/>
    <w:basedOn w:val="Normal"/>
    <w:rsid w:val="00414E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14E3E"/>
    <w:rPr>
      <w:rFonts w:ascii="Calibri" w:hAnsi="Calibri" w:cs="Calibri" w:hint="default"/>
      <w:sz w:val="22"/>
      <w:szCs w:val="22"/>
    </w:rPr>
  </w:style>
  <w:style w:type="character" w:customStyle="1" w:styleId="cf11">
    <w:name w:val="cf11"/>
    <w:basedOn w:val="DefaultParagraphFont"/>
    <w:rsid w:val="00414E3E"/>
    <w:rPr>
      <w:rFonts w:ascii="Calibri" w:hAnsi="Calibri" w:cs="Calibri" w:hint="default"/>
      <w:color w:val="1F497D"/>
      <w:sz w:val="22"/>
      <w:szCs w:val="22"/>
    </w:rPr>
  </w:style>
  <w:style w:type="character" w:customStyle="1" w:styleId="cf31">
    <w:name w:val="cf31"/>
    <w:basedOn w:val="DefaultParagraphFont"/>
    <w:rsid w:val="00414E3E"/>
    <w:rPr>
      <w:rFonts w:ascii="Calibri" w:hAnsi="Calibri" w:cs="Calibri" w:hint="default"/>
      <w:b/>
      <w:bCs/>
      <w:color w:val="1F497D"/>
      <w:sz w:val="22"/>
      <w:szCs w:val="22"/>
    </w:rPr>
  </w:style>
  <w:style w:type="character" w:customStyle="1" w:styleId="Heading2Char">
    <w:name w:val="Heading 2 Char"/>
    <w:basedOn w:val="DefaultParagraphFont"/>
    <w:link w:val="Heading2"/>
    <w:uiPriority w:val="9"/>
    <w:semiHidden/>
    <w:rsid w:val="00D2051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877">
      <w:bodyDiv w:val="1"/>
      <w:marLeft w:val="0"/>
      <w:marRight w:val="0"/>
      <w:marTop w:val="0"/>
      <w:marBottom w:val="0"/>
      <w:divBdr>
        <w:top w:val="none" w:sz="0" w:space="0" w:color="auto"/>
        <w:left w:val="none" w:sz="0" w:space="0" w:color="auto"/>
        <w:bottom w:val="none" w:sz="0" w:space="0" w:color="auto"/>
        <w:right w:val="none" w:sz="0" w:space="0" w:color="auto"/>
      </w:divBdr>
    </w:div>
    <w:div w:id="69616644">
      <w:bodyDiv w:val="1"/>
      <w:marLeft w:val="0"/>
      <w:marRight w:val="0"/>
      <w:marTop w:val="0"/>
      <w:marBottom w:val="0"/>
      <w:divBdr>
        <w:top w:val="none" w:sz="0" w:space="0" w:color="auto"/>
        <w:left w:val="none" w:sz="0" w:space="0" w:color="auto"/>
        <w:bottom w:val="none" w:sz="0" w:space="0" w:color="auto"/>
        <w:right w:val="none" w:sz="0" w:space="0" w:color="auto"/>
      </w:divBdr>
    </w:div>
    <w:div w:id="163520379">
      <w:bodyDiv w:val="1"/>
      <w:marLeft w:val="0"/>
      <w:marRight w:val="0"/>
      <w:marTop w:val="0"/>
      <w:marBottom w:val="0"/>
      <w:divBdr>
        <w:top w:val="none" w:sz="0" w:space="0" w:color="auto"/>
        <w:left w:val="none" w:sz="0" w:space="0" w:color="auto"/>
        <w:bottom w:val="none" w:sz="0" w:space="0" w:color="auto"/>
        <w:right w:val="none" w:sz="0" w:space="0" w:color="auto"/>
      </w:divBdr>
    </w:div>
    <w:div w:id="373114509">
      <w:bodyDiv w:val="1"/>
      <w:marLeft w:val="0"/>
      <w:marRight w:val="0"/>
      <w:marTop w:val="0"/>
      <w:marBottom w:val="0"/>
      <w:divBdr>
        <w:top w:val="none" w:sz="0" w:space="0" w:color="auto"/>
        <w:left w:val="none" w:sz="0" w:space="0" w:color="auto"/>
        <w:bottom w:val="none" w:sz="0" w:space="0" w:color="auto"/>
        <w:right w:val="none" w:sz="0" w:space="0" w:color="auto"/>
      </w:divBdr>
    </w:div>
    <w:div w:id="575939477">
      <w:bodyDiv w:val="1"/>
      <w:marLeft w:val="0"/>
      <w:marRight w:val="0"/>
      <w:marTop w:val="0"/>
      <w:marBottom w:val="0"/>
      <w:divBdr>
        <w:top w:val="none" w:sz="0" w:space="0" w:color="auto"/>
        <w:left w:val="none" w:sz="0" w:space="0" w:color="auto"/>
        <w:bottom w:val="none" w:sz="0" w:space="0" w:color="auto"/>
        <w:right w:val="none" w:sz="0" w:space="0" w:color="auto"/>
      </w:divBdr>
    </w:div>
    <w:div w:id="593248803">
      <w:bodyDiv w:val="1"/>
      <w:marLeft w:val="0"/>
      <w:marRight w:val="0"/>
      <w:marTop w:val="0"/>
      <w:marBottom w:val="0"/>
      <w:divBdr>
        <w:top w:val="none" w:sz="0" w:space="0" w:color="auto"/>
        <w:left w:val="none" w:sz="0" w:space="0" w:color="auto"/>
        <w:bottom w:val="none" w:sz="0" w:space="0" w:color="auto"/>
        <w:right w:val="none" w:sz="0" w:space="0" w:color="auto"/>
      </w:divBdr>
    </w:div>
    <w:div w:id="733964458">
      <w:bodyDiv w:val="1"/>
      <w:marLeft w:val="0"/>
      <w:marRight w:val="0"/>
      <w:marTop w:val="0"/>
      <w:marBottom w:val="0"/>
      <w:divBdr>
        <w:top w:val="none" w:sz="0" w:space="0" w:color="auto"/>
        <w:left w:val="none" w:sz="0" w:space="0" w:color="auto"/>
        <w:bottom w:val="none" w:sz="0" w:space="0" w:color="auto"/>
        <w:right w:val="none" w:sz="0" w:space="0" w:color="auto"/>
      </w:divBdr>
    </w:div>
    <w:div w:id="739641392">
      <w:bodyDiv w:val="1"/>
      <w:marLeft w:val="0"/>
      <w:marRight w:val="0"/>
      <w:marTop w:val="0"/>
      <w:marBottom w:val="0"/>
      <w:divBdr>
        <w:top w:val="none" w:sz="0" w:space="0" w:color="auto"/>
        <w:left w:val="none" w:sz="0" w:space="0" w:color="auto"/>
        <w:bottom w:val="none" w:sz="0" w:space="0" w:color="auto"/>
        <w:right w:val="none" w:sz="0" w:space="0" w:color="auto"/>
      </w:divBdr>
    </w:div>
    <w:div w:id="912204909">
      <w:bodyDiv w:val="1"/>
      <w:marLeft w:val="0"/>
      <w:marRight w:val="0"/>
      <w:marTop w:val="0"/>
      <w:marBottom w:val="0"/>
      <w:divBdr>
        <w:top w:val="none" w:sz="0" w:space="0" w:color="auto"/>
        <w:left w:val="none" w:sz="0" w:space="0" w:color="auto"/>
        <w:bottom w:val="none" w:sz="0" w:space="0" w:color="auto"/>
        <w:right w:val="none" w:sz="0" w:space="0" w:color="auto"/>
      </w:divBdr>
    </w:div>
    <w:div w:id="1152327584">
      <w:bodyDiv w:val="1"/>
      <w:marLeft w:val="0"/>
      <w:marRight w:val="0"/>
      <w:marTop w:val="0"/>
      <w:marBottom w:val="0"/>
      <w:divBdr>
        <w:top w:val="none" w:sz="0" w:space="0" w:color="auto"/>
        <w:left w:val="none" w:sz="0" w:space="0" w:color="auto"/>
        <w:bottom w:val="none" w:sz="0" w:space="0" w:color="auto"/>
        <w:right w:val="none" w:sz="0" w:space="0" w:color="auto"/>
      </w:divBdr>
      <w:divsChild>
        <w:div w:id="510022704">
          <w:marLeft w:val="0"/>
          <w:marRight w:val="0"/>
          <w:marTop w:val="0"/>
          <w:marBottom w:val="0"/>
          <w:divBdr>
            <w:top w:val="none" w:sz="0" w:space="0" w:color="auto"/>
            <w:left w:val="none" w:sz="0" w:space="0" w:color="auto"/>
            <w:bottom w:val="none" w:sz="0" w:space="0" w:color="auto"/>
            <w:right w:val="none" w:sz="0" w:space="0" w:color="auto"/>
          </w:divBdr>
        </w:div>
        <w:div w:id="2073968870">
          <w:marLeft w:val="0"/>
          <w:marRight w:val="0"/>
          <w:marTop w:val="0"/>
          <w:marBottom w:val="0"/>
          <w:divBdr>
            <w:top w:val="none" w:sz="0" w:space="0" w:color="auto"/>
            <w:left w:val="none" w:sz="0" w:space="0" w:color="auto"/>
            <w:bottom w:val="none" w:sz="0" w:space="0" w:color="auto"/>
            <w:right w:val="none" w:sz="0" w:space="0" w:color="auto"/>
          </w:divBdr>
          <w:divsChild>
            <w:div w:id="1296981585">
              <w:marLeft w:val="0"/>
              <w:marRight w:val="0"/>
              <w:marTop w:val="0"/>
              <w:marBottom w:val="0"/>
              <w:divBdr>
                <w:top w:val="none" w:sz="0" w:space="0" w:color="auto"/>
                <w:left w:val="none" w:sz="0" w:space="0" w:color="auto"/>
                <w:bottom w:val="none" w:sz="0" w:space="0" w:color="auto"/>
                <w:right w:val="none" w:sz="0" w:space="0" w:color="auto"/>
              </w:divBdr>
              <w:divsChild>
                <w:div w:id="12062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44003">
      <w:bodyDiv w:val="1"/>
      <w:marLeft w:val="0"/>
      <w:marRight w:val="0"/>
      <w:marTop w:val="0"/>
      <w:marBottom w:val="0"/>
      <w:divBdr>
        <w:top w:val="none" w:sz="0" w:space="0" w:color="auto"/>
        <w:left w:val="none" w:sz="0" w:space="0" w:color="auto"/>
        <w:bottom w:val="none" w:sz="0" w:space="0" w:color="auto"/>
        <w:right w:val="none" w:sz="0" w:space="0" w:color="auto"/>
      </w:divBdr>
    </w:div>
    <w:div w:id="1308589635">
      <w:bodyDiv w:val="1"/>
      <w:marLeft w:val="0"/>
      <w:marRight w:val="0"/>
      <w:marTop w:val="0"/>
      <w:marBottom w:val="0"/>
      <w:divBdr>
        <w:top w:val="none" w:sz="0" w:space="0" w:color="auto"/>
        <w:left w:val="none" w:sz="0" w:space="0" w:color="auto"/>
        <w:bottom w:val="none" w:sz="0" w:space="0" w:color="auto"/>
        <w:right w:val="none" w:sz="0" w:space="0" w:color="auto"/>
      </w:divBdr>
    </w:div>
    <w:div w:id="1355694866">
      <w:bodyDiv w:val="1"/>
      <w:marLeft w:val="0"/>
      <w:marRight w:val="0"/>
      <w:marTop w:val="0"/>
      <w:marBottom w:val="0"/>
      <w:divBdr>
        <w:top w:val="none" w:sz="0" w:space="0" w:color="auto"/>
        <w:left w:val="none" w:sz="0" w:space="0" w:color="auto"/>
        <w:bottom w:val="none" w:sz="0" w:space="0" w:color="auto"/>
        <w:right w:val="none" w:sz="0" w:space="0" w:color="auto"/>
      </w:divBdr>
    </w:div>
    <w:div w:id="1373070264">
      <w:bodyDiv w:val="1"/>
      <w:marLeft w:val="0"/>
      <w:marRight w:val="0"/>
      <w:marTop w:val="0"/>
      <w:marBottom w:val="0"/>
      <w:divBdr>
        <w:top w:val="none" w:sz="0" w:space="0" w:color="auto"/>
        <w:left w:val="none" w:sz="0" w:space="0" w:color="auto"/>
        <w:bottom w:val="none" w:sz="0" w:space="0" w:color="auto"/>
        <w:right w:val="none" w:sz="0" w:space="0" w:color="auto"/>
      </w:divBdr>
    </w:div>
    <w:div w:id="1748727148">
      <w:bodyDiv w:val="1"/>
      <w:marLeft w:val="0"/>
      <w:marRight w:val="0"/>
      <w:marTop w:val="0"/>
      <w:marBottom w:val="0"/>
      <w:divBdr>
        <w:top w:val="none" w:sz="0" w:space="0" w:color="auto"/>
        <w:left w:val="none" w:sz="0" w:space="0" w:color="auto"/>
        <w:bottom w:val="none" w:sz="0" w:space="0" w:color="auto"/>
        <w:right w:val="none" w:sz="0" w:space="0" w:color="auto"/>
      </w:divBdr>
      <w:divsChild>
        <w:div w:id="1218587539">
          <w:marLeft w:val="0"/>
          <w:marRight w:val="0"/>
          <w:marTop w:val="0"/>
          <w:marBottom w:val="0"/>
          <w:divBdr>
            <w:top w:val="none" w:sz="0" w:space="0" w:color="auto"/>
            <w:left w:val="none" w:sz="0" w:space="0" w:color="auto"/>
            <w:bottom w:val="none" w:sz="0" w:space="0" w:color="auto"/>
            <w:right w:val="none" w:sz="0" w:space="0" w:color="auto"/>
          </w:divBdr>
        </w:div>
        <w:div w:id="242690824">
          <w:marLeft w:val="0"/>
          <w:marRight w:val="0"/>
          <w:marTop w:val="0"/>
          <w:marBottom w:val="0"/>
          <w:divBdr>
            <w:top w:val="none" w:sz="0" w:space="0" w:color="auto"/>
            <w:left w:val="none" w:sz="0" w:space="0" w:color="auto"/>
            <w:bottom w:val="none" w:sz="0" w:space="0" w:color="auto"/>
            <w:right w:val="none" w:sz="0" w:space="0" w:color="auto"/>
          </w:divBdr>
          <w:divsChild>
            <w:div w:id="1273242620">
              <w:marLeft w:val="0"/>
              <w:marRight w:val="0"/>
              <w:marTop w:val="0"/>
              <w:marBottom w:val="0"/>
              <w:divBdr>
                <w:top w:val="none" w:sz="0" w:space="0" w:color="auto"/>
                <w:left w:val="none" w:sz="0" w:space="0" w:color="auto"/>
                <w:bottom w:val="none" w:sz="0" w:space="0" w:color="auto"/>
                <w:right w:val="none" w:sz="0" w:space="0" w:color="auto"/>
              </w:divBdr>
              <w:divsChild>
                <w:div w:id="11189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87654">
      <w:bodyDiv w:val="1"/>
      <w:marLeft w:val="0"/>
      <w:marRight w:val="0"/>
      <w:marTop w:val="0"/>
      <w:marBottom w:val="0"/>
      <w:divBdr>
        <w:top w:val="none" w:sz="0" w:space="0" w:color="auto"/>
        <w:left w:val="none" w:sz="0" w:space="0" w:color="auto"/>
        <w:bottom w:val="none" w:sz="0" w:space="0" w:color="auto"/>
        <w:right w:val="none" w:sz="0" w:space="0" w:color="auto"/>
      </w:divBdr>
    </w:div>
    <w:div w:id="1983537707">
      <w:bodyDiv w:val="1"/>
      <w:marLeft w:val="0"/>
      <w:marRight w:val="0"/>
      <w:marTop w:val="0"/>
      <w:marBottom w:val="0"/>
      <w:divBdr>
        <w:top w:val="none" w:sz="0" w:space="0" w:color="auto"/>
        <w:left w:val="none" w:sz="0" w:space="0" w:color="auto"/>
        <w:bottom w:val="none" w:sz="0" w:space="0" w:color="auto"/>
        <w:right w:val="none" w:sz="0" w:space="0" w:color="auto"/>
      </w:divBdr>
    </w:div>
    <w:div w:id="2008092761">
      <w:bodyDiv w:val="1"/>
      <w:marLeft w:val="0"/>
      <w:marRight w:val="0"/>
      <w:marTop w:val="0"/>
      <w:marBottom w:val="0"/>
      <w:divBdr>
        <w:top w:val="none" w:sz="0" w:space="0" w:color="auto"/>
        <w:left w:val="none" w:sz="0" w:space="0" w:color="auto"/>
        <w:bottom w:val="none" w:sz="0" w:space="0" w:color="auto"/>
        <w:right w:val="none" w:sz="0" w:space="0" w:color="auto"/>
      </w:divBdr>
      <w:divsChild>
        <w:div w:id="1381325048">
          <w:marLeft w:val="0"/>
          <w:marRight w:val="0"/>
          <w:marTop w:val="0"/>
          <w:marBottom w:val="0"/>
          <w:divBdr>
            <w:top w:val="none" w:sz="0" w:space="0" w:color="auto"/>
            <w:left w:val="none" w:sz="0" w:space="0" w:color="auto"/>
            <w:bottom w:val="none" w:sz="0" w:space="0" w:color="auto"/>
            <w:right w:val="none" w:sz="0" w:space="0" w:color="auto"/>
          </w:divBdr>
        </w:div>
        <w:div w:id="1337340179">
          <w:marLeft w:val="0"/>
          <w:marRight w:val="0"/>
          <w:marTop w:val="0"/>
          <w:marBottom w:val="0"/>
          <w:divBdr>
            <w:top w:val="none" w:sz="0" w:space="0" w:color="auto"/>
            <w:left w:val="none" w:sz="0" w:space="0" w:color="auto"/>
            <w:bottom w:val="none" w:sz="0" w:space="0" w:color="auto"/>
            <w:right w:val="none" w:sz="0" w:space="0" w:color="auto"/>
          </w:divBdr>
        </w:div>
        <w:div w:id="788282650">
          <w:marLeft w:val="0"/>
          <w:marRight w:val="0"/>
          <w:marTop w:val="0"/>
          <w:marBottom w:val="0"/>
          <w:divBdr>
            <w:top w:val="none" w:sz="0" w:space="0" w:color="auto"/>
            <w:left w:val="none" w:sz="0" w:space="0" w:color="auto"/>
            <w:bottom w:val="none" w:sz="0" w:space="0" w:color="auto"/>
            <w:right w:val="none" w:sz="0" w:space="0" w:color="auto"/>
          </w:divBdr>
        </w:div>
        <w:div w:id="692339968">
          <w:marLeft w:val="0"/>
          <w:marRight w:val="0"/>
          <w:marTop w:val="0"/>
          <w:marBottom w:val="0"/>
          <w:divBdr>
            <w:top w:val="none" w:sz="0" w:space="0" w:color="auto"/>
            <w:left w:val="none" w:sz="0" w:space="0" w:color="auto"/>
            <w:bottom w:val="none" w:sz="0" w:space="0" w:color="auto"/>
            <w:right w:val="none" w:sz="0" w:space="0" w:color="auto"/>
          </w:divBdr>
        </w:div>
        <w:div w:id="681586124">
          <w:marLeft w:val="0"/>
          <w:marRight w:val="0"/>
          <w:marTop w:val="0"/>
          <w:marBottom w:val="0"/>
          <w:divBdr>
            <w:top w:val="none" w:sz="0" w:space="0" w:color="auto"/>
            <w:left w:val="none" w:sz="0" w:space="0" w:color="auto"/>
            <w:bottom w:val="none" w:sz="0" w:space="0" w:color="auto"/>
            <w:right w:val="none" w:sz="0" w:space="0" w:color="auto"/>
          </w:divBdr>
        </w:div>
        <w:div w:id="2049986566">
          <w:marLeft w:val="0"/>
          <w:marRight w:val="0"/>
          <w:marTop w:val="0"/>
          <w:marBottom w:val="0"/>
          <w:divBdr>
            <w:top w:val="none" w:sz="0" w:space="0" w:color="auto"/>
            <w:left w:val="none" w:sz="0" w:space="0" w:color="auto"/>
            <w:bottom w:val="none" w:sz="0" w:space="0" w:color="auto"/>
            <w:right w:val="none" w:sz="0" w:space="0" w:color="auto"/>
          </w:divBdr>
        </w:div>
        <w:div w:id="568923775">
          <w:marLeft w:val="0"/>
          <w:marRight w:val="0"/>
          <w:marTop w:val="0"/>
          <w:marBottom w:val="0"/>
          <w:divBdr>
            <w:top w:val="none" w:sz="0" w:space="0" w:color="auto"/>
            <w:left w:val="none" w:sz="0" w:space="0" w:color="auto"/>
            <w:bottom w:val="none" w:sz="0" w:space="0" w:color="auto"/>
            <w:right w:val="none" w:sz="0" w:space="0" w:color="auto"/>
          </w:divBdr>
        </w:div>
        <w:div w:id="56101062">
          <w:marLeft w:val="0"/>
          <w:marRight w:val="0"/>
          <w:marTop w:val="0"/>
          <w:marBottom w:val="0"/>
          <w:divBdr>
            <w:top w:val="none" w:sz="0" w:space="0" w:color="auto"/>
            <w:left w:val="none" w:sz="0" w:space="0" w:color="auto"/>
            <w:bottom w:val="none" w:sz="0" w:space="0" w:color="auto"/>
            <w:right w:val="none" w:sz="0" w:space="0" w:color="auto"/>
          </w:divBdr>
        </w:div>
        <w:div w:id="610279410">
          <w:marLeft w:val="0"/>
          <w:marRight w:val="0"/>
          <w:marTop w:val="0"/>
          <w:marBottom w:val="0"/>
          <w:divBdr>
            <w:top w:val="none" w:sz="0" w:space="0" w:color="auto"/>
            <w:left w:val="none" w:sz="0" w:space="0" w:color="auto"/>
            <w:bottom w:val="none" w:sz="0" w:space="0" w:color="auto"/>
            <w:right w:val="none" w:sz="0" w:space="0" w:color="auto"/>
          </w:divBdr>
        </w:div>
        <w:div w:id="608046649">
          <w:marLeft w:val="0"/>
          <w:marRight w:val="0"/>
          <w:marTop w:val="0"/>
          <w:marBottom w:val="0"/>
          <w:divBdr>
            <w:top w:val="none" w:sz="0" w:space="0" w:color="auto"/>
            <w:left w:val="none" w:sz="0" w:space="0" w:color="auto"/>
            <w:bottom w:val="none" w:sz="0" w:space="0" w:color="auto"/>
            <w:right w:val="none" w:sz="0" w:space="0" w:color="auto"/>
          </w:divBdr>
        </w:div>
        <w:div w:id="473988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legislature.gov/Laws/SessionLaws/Acts/2024/Chapter1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 Cohen</dc:creator>
  <cp:lastModifiedBy>Cohen, Gabriel R. (EHS)</cp:lastModifiedBy>
  <cp:revision>5</cp:revision>
  <cp:lastPrinted>2020-01-13T19:32:00Z</cp:lastPrinted>
  <dcterms:created xsi:type="dcterms:W3CDTF">2025-01-13T15:02:00Z</dcterms:created>
  <dcterms:modified xsi:type="dcterms:W3CDTF">2025-01-13T15:07:00Z</dcterms:modified>
</cp:coreProperties>
</file>