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66EFE" w14:textId="44253F6F" w:rsidR="00E327D9" w:rsidRPr="00372A2B" w:rsidRDefault="00372A2B" w:rsidP="007C47E5">
      <w:pPr>
        <w:spacing w:beforeLines="30" w:before="72"/>
        <w:jc w:val="center"/>
        <w:rPr>
          <w:rFonts w:ascii="Times New Roman" w:eastAsia="Times New Roman" w:hAnsi="Times New Roman" w:cs="Times New Roman"/>
          <w:sz w:val="24"/>
          <w:szCs w:val="24"/>
        </w:rPr>
      </w:pPr>
      <w:r w:rsidRPr="00372A2B">
        <w:rPr>
          <w:rFonts w:ascii="Times New Roman" w:eastAsia="Times New Roman" w:hAnsi="Times New Roman" w:cs="Times New Roman"/>
          <w:sz w:val="24"/>
          <w:szCs w:val="24"/>
        </w:rPr>
        <w:t>Commonwealth of Massachusetts</w:t>
      </w:r>
    </w:p>
    <w:p w14:paraId="5E95925B" w14:textId="5ED13668" w:rsidR="00372A2B" w:rsidRDefault="00372A2B" w:rsidP="003C2F72">
      <w:pPr>
        <w:spacing w:beforeLines="30" w:before="72"/>
        <w:rPr>
          <w:rFonts w:ascii="Times New Roman" w:eastAsia="Times New Roman" w:hAnsi="Times New Roman" w:cs="Times New Roman"/>
          <w:sz w:val="24"/>
          <w:szCs w:val="24"/>
        </w:rPr>
      </w:pPr>
    </w:p>
    <w:p w14:paraId="1B211A36" w14:textId="5FF748B5" w:rsidR="00372A2B" w:rsidRDefault="00372A2B" w:rsidP="003C2F72">
      <w:pPr>
        <w:spacing w:beforeLines="30" w:before="72"/>
        <w:rPr>
          <w:rFonts w:ascii="Times New Roman" w:eastAsia="Times New Roman" w:hAnsi="Times New Roman" w:cs="Times New Roman"/>
          <w:sz w:val="24"/>
          <w:szCs w:val="24"/>
        </w:rPr>
      </w:pPr>
    </w:p>
    <w:p w14:paraId="2CAD1F59" w14:textId="089859C6" w:rsidR="00372A2B" w:rsidRDefault="00372A2B" w:rsidP="003C2F72">
      <w:pPr>
        <w:spacing w:beforeLines="30" w:before="72"/>
        <w:rPr>
          <w:rFonts w:ascii="Times New Roman" w:eastAsia="Times New Roman" w:hAnsi="Times New Roman" w:cs="Times New Roman"/>
          <w:sz w:val="24"/>
          <w:szCs w:val="24"/>
        </w:rPr>
      </w:pPr>
    </w:p>
    <w:p w14:paraId="57B8BC7F" w14:textId="77777777" w:rsidR="00372A2B" w:rsidRPr="00372A2B" w:rsidRDefault="00372A2B" w:rsidP="003C2F72">
      <w:pPr>
        <w:spacing w:beforeLines="30" w:before="72"/>
        <w:rPr>
          <w:rFonts w:ascii="Times New Roman" w:eastAsia="Times New Roman" w:hAnsi="Times New Roman" w:cs="Times New Roman"/>
          <w:sz w:val="24"/>
          <w:szCs w:val="24"/>
        </w:rPr>
      </w:pPr>
    </w:p>
    <w:p w14:paraId="030AD93A" w14:textId="523C3C18" w:rsidR="00372A2B" w:rsidRPr="00372A2B" w:rsidRDefault="00372A2B" w:rsidP="003C2F72">
      <w:pPr>
        <w:spacing w:beforeLines="30" w:before="72"/>
        <w:rPr>
          <w:rFonts w:ascii="Times New Roman" w:eastAsia="Times New Roman" w:hAnsi="Times New Roman" w:cs="Times New Roman"/>
          <w:sz w:val="24"/>
          <w:szCs w:val="24"/>
        </w:rPr>
      </w:pPr>
    </w:p>
    <w:p w14:paraId="2906CA44" w14:textId="6120FD76" w:rsidR="00372A2B" w:rsidRDefault="00372A2B" w:rsidP="00372A2B">
      <w:pPr>
        <w:spacing w:beforeLines="30" w:before="72" w:line="276" w:lineRule="auto"/>
        <w:jc w:val="center"/>
        <w:rPr>
          <w:rFonts w:ascii="Times New Roman" w:eastAsia="Times New Roman" w:hAnsi="Times New Roman" w:cs="Times New Roman"/>
          <w:sz w:val="80"/>
          <w:szCs w:val="80"/>
        </w:rPr>
      </w:pPr>
      <w:r w:rsidRPr="00372A2B">
        <w:rPr>
          <w:rFonts w:ascii="Times New Roman" w:eastAsia="Times New Roman" w:hAnsi="Times New Roman" w:cs="Times New Roman"/>
          <w:sz w:val="80"/>
          <w:szCs w:val="80"/>
        </w:rPr>
        <w:t xml:space="preserve">Annual Report </w:t>
      </w:r>
      <w:proofErr w:type="gramStart"/>
      <w:r w:rsidRPr="00372A2B">
        <w:rPr>
          <w:rFonts w:ascii="Times New Roman" w:eastAsia="Times New Roman" w:hAnsi="Times New Roman" w:cs="Times New Roman"/>
          <w:sz w:val="80"/>
          <w:szCs w:val="80"/>
        </w:rPr>
        <w:t>of</w:t>
      </w:r>
      <w:proofErr w:type="gramEnd"/>
    </w:p>
    <w:p w14:paraId="4CC949CC" w14:textId="49A8765A" w:rsidR="00372A2B" w:rsidRDefault="00372A2B" w:rsidP="00372A2B">
      <w:pPr>
        <w:spacing w:beforeLines="30" w:before="72" w:line="276" w:lineRule="auto"/>
        <w:jc w:val="center"/>
        <w:rPr>
          <w:rFonts w:ascii="Times New Roman" w:eastAsia="Times New Roman" w:hAnsi="Times New Roman" w:cs="Times New Roman"/>
          <w:sz w:val="80"/>
          <w:szCs w:val="80"/>
        </w:rPr>
      </w:pPr>
      <w:r w:rsidRPr="00372A2B">
        <w:rPr>
          <w:rFonts w:ascii="Times New Roman" w:eastAsia="Times New Roman" w:hAnsi="Times New Roman" w:cs="Times New Roman"/>
          <w:sz w:val="80"/>
          <w:szCs w:val="80"/>
        </w:rPr>
        <w:t>Multi-Agency</w:t>
      </w:r>
    </w:p>
    <w:p w14:paraId="6BDA3D22" w14:textId="048A6820" w:rsidR="00372A2B" w:rsidRPr="00372A2B" w:rsidRDefault="00372A2B" w:rsidP="00372A2B">
      <w:pPr>
        <w:spacing w:beforeLines="30" w:before="72" w:line="276" w:lineRule="auto"/>
        <w:jc w:val="center"/>
        <w:rPr>
          <w:rFonts w:ascii="Times New Roman" w:eastAsia="Times New Roman" w:hAnsi="Times New Roman" w:cs="Times New Roman"/>
          <w:sz w:val="80"/>
          <w:szCs w:val="80"/>
        </w:rPr>
      </w:pPr>
      <w:r w:rsidRPr="00372A2B">
        <w:rPr>
          <w:rFonts w:ascii="Times New Roman" w:eastAsia="Times New Roman" w:hAnsi="Times New Roman" w:cs="Times New Roman"/>
          <w:sz w:val="80"/>
          <w:szCs w:val="80"/>
        </w:rPr>
        <w:t>Illegal Tobacco Task Force</w:t>
      </w:r>
    </w:p>
    <w:p w14:paraId="56B9AD2D" w14:textId="65243D7C" w:rsidR="00372A2B" w:rsidRDefault="00372A2B" w:rsidP="003C2F72">
      <w:pPr>
        <w:spacing w:beforeLines="30" w:before="72"/>
        <w:rPr>
          <w:rFonts w:ascii="Times New Roman" w:eastAsia="Times New Roman" w:hAnsi="Times New Roman" w:cs="Times New Roman"/>
          <w:sz w:val="24"/>
          <w:szCs w:val="24"/>
        </w:rPr>
      </w:pPr>
    </w:p>
    <w:p w14:paraId="3A57A6B9" w14:textId="77777777" w:rsidR="00372A2B" w:rsidRPr="00372A2B" w:rsidRDefault="00372A2B" w:rsidP="003C2F72">
      <w:pPr>
        <w:spacing w:beforeLines="30" w:before="72"/>
        <w:rPr>
          <w:rFonts w:ascii="Times New Roman" w:eastAsia="Times New Roman" w:hAnsi="Times New Roman" w:cs="Times New Roman"/>
          <w:sz w:val="24"/>
          <w:szCs w:val="24"/>
        </w:rPr>
      </w:pPr>
    </w:p>
    <w:p w14:paraId="1949CFDA" w14:textId="60E65E18" w:rsidR="00372A2B" w:rsidRPr="00372A2B" w:rsidRDefault="00F667C9" w:rsidP="00372A2B">
      <w:pPr>
        <w:spacing w:beforeLines="30" w:before="7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February 2</w:t>
      </w:r>
      <w:r w:rsidR="00A70EDC">
        <w:rPr>
          <w:rFonts w:ascii="Times New Roman" w:eastAsia="Times New Roman" w:hAnsi="Times New Roman" w:cs="Times New Roman"/>
          <w:b/>
          <w:bCs/>
          <w:sz w:val="24"/>
          <w:szCs w:val="24"/>
        </w:rPr>
        <w:t>5</w:t>
      </w:r>
      <w:r w:rsidR="00372A2B" w:rsidRPr="00372A2B">
        <w:rPr>
          <w:rFonts w:ascii="Times New Roman" w:eastAsia="Times New Roman" w:hAnsi="Times New Roman" w:cs="Times New Roman"/>
          <w:b/>
          <w:bCs/>
          <w:sz w:val="24"/>
          <w:szCs w:val="24"/>
        </w:rPr>
        <w:t>, 202</w:t>
      </w:r>
      <w:r w:rsidR="00836C44">
        <w:rPr>
          <w:rFonts w:ascii="Times New Roman" w:eastAsia="Times New Roman" w:hAnsi="Times New Roman" w:cs="Times New Roman"/>
          <w:b/>
          <w:bCs/>
          <w:sz w:val="24"/>
          <w:szCs w:val="24"/>
        </w:rPr>
        <w:t>6</w:t>
      </w:r>
    </w:p>
    <w:p w14:paraId="665CE46B" w14:textId="77777777" w:rsidR="00E327D9" w:rsidRPr="00372A2B" w:rsidRDefault="00E327D9" w:rsidP="003C2F72">
      <w:pPr>
        <w:spacing w:beforeLines="30" w:before="72"/>
        <w:rPr>
          <w:rFonts w:ascii="Times New Roman" w:eastAsia="Times New Roman" w:hAnsi="Times New Roman" w:cs="Times New Roman"/>
          <w:sz w:val="24"/>
          <w:szCs w:val="24"/>
        </w:rPr>
      </w:pPr>
    </w:p>
    <w:p w14:paraId="14B3D2D0" w14:textId="77777777" w:rsidR="00E327D9" w:rsidRPr="00A77A0B" w:rsidRDefault="00E327D9" w:rsidP="003C2F72">
      <w:pPr>
        <w:spacing w:beforeLines="30" w:before="72"/>
        <w:rPr>
          <w:rFonts w:ascii="Times New Roman" w:eastAsia="Times New Roman" w:hAnsi="Times New Roman" w:cs="Times New Roman"/>
          <w:sz w:val="20"/>
          <w:szCs w:val="20"/>
        </w:rPr>
      </w:pPr>
    </w:p>
    <w:p w14:paraId="51AB254B" w14:textId="77777777" w:rsidR="00E327D9" w:rsidRPr="00A77A0B" w:rsidRDefault="00E327D9" w:rsidP="003C2F72">
      <w:pPr>
        <w:spacing w:beforeLines="30" w:before="72"/>
        <w:rPr>
          <w:rFonts w:ascii="Times New Roman" w:eastAsia="Times New Roman" w:hAnsi="Times New Roman" w:cs="Times New Roman"/>
          <w:sz w:val="20"/>
          <w:szCs w:val="20"/>
        </w:rPr>
      </w:pPr>
    </w:p>
    <w:p w14:paraId="2DC27CC6" w14:textId="77777777" w:rsidR="00E327D9" w:rsidRPr="00A77A0B" w:rsidRDefault="00E327D9" w:rsidP="003C2F72">
      <w:pPr>
        <w:spacing w:beforeLines="30" w:before="72"/>
        <w:rPr>
          <w:rFonts w:ascii="Times New Roman" w:eastAsia="Times New Roman" w:hAnsi="Times New Roman" w:cs="Times New Roman"/>
          <w:sz w:val="20"/>
          <w:szCs w:val="20"/>
        </w:rPr>
      </w:pPr>
    </w:p>
    <w:p w14:paraId="19397932" w14:textId="77777777" w:rsidR="00E327D9" w:rsidRPr="00A77A0B" w:rsidRDefault="00E327D9" w:rsidP="003C2F72">
      <w:pPr>
        <w:spacing w:beforeLines="30" w:before="72"/>
        <w:rPr>
          <w:rFonts w:ascii="Times New Roman" w:eastAsia="Times New Roman" w:hAnsi="Times New Roman" w:cs="Times New Roman"/>
          <w:sz w:val="20"/>
          <w:szCs w:val="20"/>
        </w:rPr>
      </w:pPr>
    </w:p>
    <w:p w14:paraId="4CEB2EA8" w14:textId="77777777" w:rsidR="00E327D9" w:rsidRPr="00A77A0B" w:rsidRDefault="00E327D9" w:rsidP="003C2F72">
      <w:pPr>
        <w:spacing w:beforeLines="30" w:before="72"/>
        <w:rPr>
          <w:rFonts w:ascii="Times New Roman" w:eastAsia="Times New Roman" w:hAnsi="Times New Roman" w:cs="Times New Roman"/>
          <w:sz w:val="20"/>
          <w:szCs w:val="20"/>
        </w:rPr>
      </w:pPr>
    </w:p>
    <w:p w14:paraId="7569C569" w14:textId="77777777" w:rsidR="00E327D9" w:rsidRPr="00A77A0B" w:rsidRDefault="00E327D9" w:rsidP="003C2F72">
      <w:pPr>
        <w:spacing w:beforeLines="30" w:before="72"/>
        <w:rPr>
          <w:rFonts w:ascii="Times New Roman" w:eastAsia="Times New Roman" w:hAnsi="Times New Roman" w:cs="Times New Roman"/>
          <w:sz w:val="20"/>
          <w:szCs w:val="20"/>
        </w:rPr>
      </w:pPr>
    </w:p>
    <w:p w14:paraId="75C739F0" w14:textId="77777777" w:rsidR="00E327D9" w:rsidRPr="00A77A0B" w:rsidRDefault="00E327D9" w:rsidP="003C2F72">
      <w:pPr>
        <w:spacing w:beforeLines="30" w:before="72"/>
        <w:rPr>
          <w:rFonts w:ascii="Times New Roman" w:eastAsia="Times New Roman" w:hAnsi="Times New Roman" w:cs="Times New Roman"/>
          <w:sz w:val="20"/>
          <w:szCs w:val="20"/>
        </w:rPr>
      </w:pPr>
    </w:p>
    <w:p w14:paraId="7706A27F" w14:textId="77777777" w:rsidR="00E327D9" w:rsidRPr="00A77A0B" w:rsidRDefault="00E327D9" w:rsidP="003C2F72">
      <w:pPr>
        <w:spacing w:beforeLines="30" w:before="72"/>
        <w:rPr>
          <w:rFonts w:ascii="Times New Roman" w:eastAsia="Times New Roman" w:hAnsi="Times New Roman" w:cs="Times New Roman"/>
          <w:sz w:val="20"/>
          <w:szCs w:val="20"/>
        </w:rPr>
      </w:pPr>
    </w:p>
    <w:p w14:paraId="5494DB25" w14:textId="77777777" w:rsidR="00E327D9" w:rsidRPr="00A77A0B" w:rsidRDefault="00E327D9" w:rsidP="003C2F72">
      <w:pPr>
        <w:spacing w:beforeLines="30" w:before="72"/>
        <w:rPr>
          <w:rFonts w:ascii="Times New Roman" w:eastAsia="Times New Roman" w:hAnsi="Times New Roman" w:cs="Times New Roman"/>
          <w:sz w:val="20"/>
          <w:szCs w:val="20"/>
        </w:rPr>
      </w:pPr>
    </w:p>
    <w:p w14:paraId="6DA801C4" w14:textId="77777777" w:rsidR="00E327D9" w:rsidRPr="00A77A0B" w:rsidRDefault="00E327D9" w:rsidP="003C2F72">
      <w:pPr>
        <w:spacing w:beforeLines="30" w:before="72"/>
        <w:rPr>
          <w:rFonts w:ascii="Times New Roman" w:eastAsia="Times New Roman" w:hAnsi="Times New Roman" w:cs="Times New Roman"/>
          <w:sz w:val="20"/>
          <w:szCs w:val="20"/>
        </w:rPr>
      </w:pPr>
    </w:p>
    <w:p w14:paraId="6158A88C" w14:textId="77777777" w:rsidR="00E327D9" w:rsidRPr="00A77A0B" w:rsidRDefault="00E327D9" w:rsidP="003C2F72">
      <w:pPr>
        <w:spacing w:beforeLines="30" w:before="72"/>
        <w:rPr>
          <w:rFonts w:ascii="Times New Roman" w:eastAsia="Times New Roman" w:hAnsi="Times New Roman" w:cs="Times New Roman"/>
          <w:sz w:val="20"/>
          <w:szCs w:val="20"/>
        </w:rPr>
      </w:pPr>
    </w:p>
    <w:p w14:paraId="2146F5E0" w14:textId="77777777" w:rsidR="00E327D9" w:rsidRPr="00A77A0B" w:rsidRDefault="00E327D9" w:rsidP="003C2F72">
      <w:pPr>
        <w:spacing w:beforeLines="30" w:before="72"/>
        <w:rPr>
          <w:rFonts w:ascii="Times New Roman" w:eastAsia="Times New Roman" w:hAnsi="Times New Roman" w:cs="Times New Roman"/>
          <w:sz w:val="20"/>
          <w:szCs w:val="20"/>
        </w:rPr>
      </w:pPr>
    </w:p>
    <w:p w14:paraId="3A53653F" w14:textId="77777777" w:rsidR="00E327D9" w:rsidRPr="00A77A0B" w:rsidRDefault="00E327D9" w:rsidP="003C2F72">
      <w:pPr>
        <w:spacing w:beforeLines="30" w:before="72"/>
        <w:rPr>
          <w:rFonts w:ascii="Times New Roman" w:eastAsia="Times New Roman" w:hAnsi="Times New Roman" w:cs="Times New Roman"/>
          <w:sz w:val="20"/>
          <w:szCs w:val="20"/>
        </w:rPr>
      </w:pPr>
    </w:p>
    <w:p w14:paraId="2C5FF7AE" w14:textId="77777777" w:rsidR="00E327D9" w:rsidRPr="00A77A0B" w:rsidRDefault="00E327D9" w:rsidP="003C2F72">
      <w:pPr>
        <w:spacing w:beforeLines="30" w:before="72"/>
        <w:rPr>
          <w:rFonts w:ascii="Times New Roman" w:eastAsia="Times New Roman" w:hAnsi="Times New Roman" w:cs="Times New Roman"/>
          <w:sz w:val="20"/>
          <w:szCs w:val="20"/>
        </w:rPr>
      </w:pPr>
    </w:p>
    <w:p w14:paraId="78ADA739" w14:textId="77777777" w:rsidR="00E327D9" w:rsidRPr="00A77A0B" w:rsidRDefault="00E327D9" w:rsidP="003C2F72">
      <w:pPr>
        <w:spacing w:beforeLines="30" w:before="72"/>
        <w:rPr>
          <w:rFonts w:ascii="Times New Roman" w:eastAsia="Times New Roman" w:hAnsi="Times New Roman" w:cs="Times New Roman"/>
          <w:sz w:val="20"/>
          <w:szCs w:val="20"/>
        </w:rPr>
      </w:pPr>
    </w:p>
    <w:p w14:paraId="38F52DD1" w14:textId="77777777" w:rsidR="00E327D9" w:rsidRPr="00A77A0B" w:rsidRDefault="00E327D9" w:rsidP="003C2F72">
      <w:pPr>
        <w:spacing w:beforeLines="30" w:before="72"/>
        <w:rPr>
          <w:rFonts w:ascii="Times New Roman" w:eastAsia="Times New Roman" w:hAnsi="Times New Roman" w:cs="Times New Roman"/>
          <w:sz w:val="20"/>
          <w:szCs w:val="20"/>
        </w:rPr>
      </w:pPr>
    </w:p>
    <w:p w14:paraId="30EB8B5C" w14:textId="77777777" w:rsidR="00E327D9" w:rsidRPr="00A77A0B" w:rsidRDefault="00E327D9" w:rsidP="003C2F72">
      <w:pPr>
        <w:spacing w:beforeLines="30" w:before="72"/>
        <w:rPr>
          <w:rFonts w:ascii="Times New Roman" w:eastAsia="Times New Roman" w:hAnsi="Times New Roman" w:cs="Times New Roman"/>
          <w:sz w:val="20"/>
          <w:szCs w:val="20"/>
        </w:rPr>
      </w:pPr>
    </w:p>
    <w:p w14:paraId="0144CE3B" w14:textId="77777777" w:rsidR="00E327D9" w:rsidRDefault="00E327D9" w:rsidP="003C2F72">
      <w:pPr>
        <w:spacing w:beforeLines="30" w:before="72"/>
        <w:rPr>
          <w:rFonts w:ascii="Times New Roman" w:eastAsia="Times New Roman" w:hAnsi="Times New Roman" w:cs="Times New Roman"/>
          <w:sz w:val="20"/>
          <w:szCs w:val="20"/>
        </w:rPr>
      </w:pPr>
    </w:p>
    <w:p w14:paraId="36D4F1F8" w14:textId="77777777" w:rsidR="00DC34F0" w:rsidRPr="00A77A0B" w:rsidRDefault="00DC34F0" w:rsidP="003C2F72">
      <w:pPr>
        <w:spacing w:beforeLines="30" w:before="72"/>
        <w:rPr>
          <w:rFonts w:ascii="Times New Roman" w:eastAsia="Times New Roman" w:hAnsi="Times New Roman" w:cs="Times New Roman"/>
          <w:sz w:val="20"/>
          <w:szCs w:val="20"/>
        </w:rPr>
      </w:pPr>
    </w:p>
    <w:p w14:paraId="47A84D21" w14:textId="77777777" w:rsidR="00E327D9" w:rsidRPr="00A77A0B" w:rsidRDefault="00E327D9" w:rsidP="003C2F72">
      <w:pPr>
        <w:spacing w:beforeLines="30" w:before="72"/>
        <w:rPr>
          <w:rFonts w:ascii="Times New Roman" w:eastAsia="Times New Roman" w:hAnsi="Times New Roman" w:cs="Times New Roman"/>
          <w:sz w:val="20"/>
          <w:szCs w:val="20"/>
        </w:rPr>
      </w:pPr>
    </w:p>
    <w:p w14:paraId="31EDB870" w14:textId="45E30B4A" w:rsidR="00E327D9" w:rsidRPr="00D07750" w:rsidRDefault="00E327D9" w:rsidP="009F0AFD">
      <w:pPr>
        <w:pStyle w:val="Heading2"/>
        <w:spacing w:beforeLines="30" w:before="72"/>
        <w:ind w:left="0"/>
        <w:jc w:val="center"/>
        <w:rPr>
          <w:bCs w:val="0"/>
          <w:sz w:val="28"/>
          <w:szCs w:val="28"/>
          <w:u w:val="single"/>
        </w:rPr>
      </w:pPr>
      <w:r w:rsidRPr="00D07750">
        <w:rPr>
          <w:sz w:val="28"/>
          <w:szCs w:val="28"/>
          <w:u w:val="single"/>
        </w:rPr>
        <w:lastRenderedPageBreak/>
        <w:t>Illegal</w:t>
      </w:r>
      <w:r w:rsidRPr="00D07750">
        <w:rPr>
          <w:spacing w:val="-12"/>
          <w:sz w:val="28"/>
          <w:szCs w:val="28"/>
          <w:u w:val="single"/>
        </w:rPr>
        <w:t xml:space="preserve"> </w:t>
      </w:r>
      <w:r w:rsidRPr="00D07750">
        <w:rPr>
          <w:sz w:val="28"/>
          <w:szCs w:val="28"/>
          <w:u w:val="single"/>
        </w:rPr>
        <w:t>Tobacco Task Force</w:t>
      </w:r>
      <w:r w:rsidR="005C3FC8">
        <w:rPr>
          <w:sz w:val="28"/>
          <w:szCs w:val="28"/>
          <w:u w:val="single"/>
        </w:rPr>
        <w:t xml:space="preserve"> </w:t>
      </w:r>
      <w:r w:rsidR="005C3FC8" w:rsidRPr="00D07750">
        <w:rPr>
          <w:sz w:val="28"/>
          <w:szCs w:val="28"/>
          <w:u w:val="single"/>
        </w:rPr>
        <w:t>Members</w:t>
      </w:r>
    </w:p>
    <w:p w14:paraId="07C95DAF" w14:textId="77777777" w:rsidR="00E327D9" w:rsidRPr="00A77A0B" w:rsidRDefault="00E327D9" w:rsidP="009F0AFD">
      <w:pPr>
        <w:spacing w:beforeLines="30" w:before="72"/>
        <w:jc w:val="center"/>
        <w:rPr>
          <w:rFonts w:ascii="Times New Roman" w:eastAsia="Times New Roman" w:hAnsi="Times New Roman" w:cs="Times New Roman"/>
          <w:b/>
          <w:bCs/>
          <w:sz w:val="17"/>
          <w:szCs w:val="17"/>
        </w:rPr>
      </w:pPr>
    </w:p>
    <w:p w14:paraId="531BB081" w14:textId="6E45F42D" w:rsidR="00E327D9" w:rsidRPr="00A77A0B" w:rsidRDefault="005C0DAA" w:rsidP="009F0AFD">
      <w:pPr>
        <w:pStyle w:val="Heading2"/>
        <w:spacing w:beforeLines="30" w:before="72"/>
        <w:ind w:left="0"/>
        <w:jc w:val="center"/>
        <w:rPr>
          <w:rFonts w:cs="Times New Roman"/>
          <w:b w:val="0"/>
          <w:bCs w:val="0"/>
        </w:rPr>
      </w:pPr>
      <w:r>
        <w:t>John H. Hayes</w:t>
      </w:r>
      <w:r w:rsidR="00E327D9" w:rsidRPr="00A77A0B">
        <w:t>,</w:t>
      </w:r>
      <w:r w:rsidR="00E327D9" w:rsidRPr="00A77A0B">
        <w:rPr>
          <w:spacing w:val="-13"/>
        </w:rPr>
        <w:t xml:space="preserve"> </w:t>
      </w:r>
      <w:r w:rsidR="00E327D9" w:rsidRPr="00A77A0B">
        <w:rPr>
          <w:i/>
          <w:spacing w:val="-13"/>
        </w:rPr>
        <w:t>Co-</w:t>
      </w:r>
      <w:r w:rsidR="00E327D9" w:rsidRPr="00A77A0B">
        <w:rPr>
          <w:i/>
        </w:rPr>
        <w:t>Chair</w:t>
      </w:r>
    </w:p>
    <w:p w14:paraId="4CBACB0B" w14:textId="76C5CE32" w:rsidR="00EA149E" w:rsidRDefault="00EA149E" w:rsidP="009F0AFD">
      <w:pPr>
        <w:pStyle w:val="BodyText"/>
        <w:spacing w:beforeLines="30" w:before="72"/>
        <w:ind w:left="0"/>
        <w:jc w:val="center"/>
      </w:pPr>
      <w:r>
        <w:t>Director – Criminal Investigations Bureau</w:t>
      </w:r>
    </w:p>
    <w:p w14:paraId="684F2BF6" w14:textId="39855FD9" w:rsidR="00E327D9" w:rsidRPr="00A77A0B" w:rsidRDefault="00E327D9" w:rsidP="009F0AFD">
      <w:pPr>
        <w:pStyle w:val="BodyText"/>
        <w:spacing w:beforeLines="30" w:before="72"/>
        <w:ind w:left="0"/>
        <w:jc w:val="center"/>
      </w:pPr>
      <w:r w:rsidRPr="00A77A0B">
        <w:t>Department of</w:t>
      </w:r>
      <w:r w:rsidRPr="00A77A0B">
        <w:rPr>
          <w:spacing w:val="-6"/>
        </w:rPr>
        <w:t xml:space="preserve"> </w:t>
      </w:r>
      <w:r w:rsidRPr="00A77A0B">
        <w:t>Revenue Designee</w:t>
      </w:r>
    </w:p>
    <w:p w14:paraId="40567A2C" w14:textId="77777777" w:rsidR="00E327D9" w:rsidRPr="00A77A0B" w:rsidRDefault="00E327D9" w:rsidP="009F0AFD">
      <w:pPr>
        <w:spacing w:beforeLines="30" w:before="72"/>
        <w:jc w:val="center"/>
        <w:rPr>
          <w:rFonts w:ascii="Times New Roman" w:eastAsia="Times New Roman" w:hAnsi="Times New Roman" w:cs="Times New Roman"/>
          <w:sz w:val="24"/>
          <w:szCs w:val="24"/>
        </w:rPr>
      </w:pPr>
    </w:p>
    <w:p w14:paraId="5099C2D9" w14:textId="7717634E" w:rsidR="00E327D9" w:rsidRDefault="00836C44" w:rsidP="009F0AFD">
      <w:pPr>
        <w:pStyle w:val="Heading2"/>
        <w:spacing w:beforeLines="30" w:before="72"/>
        <w:ind w:left="0"/>
        <w:jc w:val="center"/>
        <w:rPr>
          <w:iCs/>
        </w:rPr>
      </w:pPr>
      <w:r>
        <w:t>Stephen C. McDonald</w:t>
      </w:r>
      <w:r w:rsidR="00E327D9" w:rsidRPr="00A77A0B">
        <w:t xml:space="preserve">, </w:t>
      </w:r>
      <w:r w:rsidR="00E327D9" w:rsidRPr="00A77A0B">
        <w:rPr>
          <w:i/>
        </w:rPr>
        <w:t>Co-Chair</w:t>
      </w:r>
    </w:p>
    <w:p w14:paraId="35C26CD5" w14:textId="5069CECD" w:rsidR="00836C44" w:rsidRDefault="00836C44" w:rsidP="00836C44">
      <w:pPr>
        <w:pStyle w:val="BodyText"/>
        <w:spacing w:beforeLines="30" w:before="72"/>
        <w:ind w:left="0"/>
        <w:jc w:val="center"/>
      </w:pPr>
      <w:r>
        <w:t>Captain – Division of Investigative Services</w:t>
      </w:r>
    </w:p>
    <w:p w14:paraId="7ED5FDEB" w14:textId="77777777" w:rsidR="00836C44" w:rsidRPr="00A77A0B" w:rsidRDefault="00836C44" w:rsidP="00836C44">
      <w:pPr>
        <w:pStyle w:val="BodyText"/>
        <w:spacing w:beforeLines="30" w:before="72"/>
        <w:ind w:left="0"/>
        <w:jc w:val="center"/>
      </w:pPr>
      <w:r>
        <w:t>Massachusetts State Police Designee</w:t>
      </w:r>
    </w:p>
    <w:p w14:paraId="6BDF4491" w14:textId="77777777" w:rsidR="009F0AFD" w:rsidRDefault="009F0AFD" w:rsidP="009F0AFD">
      <w:pPr>
        <w:pStyle w:val="BodyText"/>
        <w:spacing w:beforeLines="30" w:before="72"/>
        <w:ind w:left="0"/>
        <w:jc w:val="center"/>
      </w:pPr>
    </w:p>
    <w:p w14:paraId="2A33D416" w14:textId="5B5B0D3B" w:rsidR="00E327D9" w:rsidRPr="00A77A0B" w:rsidRDefault="005E3FC0" w:rsidP="009F0AFD">
      <w:pPr>
        <w:pStyle w:val="Heading2"/>
        <w:spacing w:beforeLines="30" w:before="72"/>
        <w:ind w:left="0"/>
        <w:jc w:val="center"/>
        <w:rPr>
          <w:b w:val="0"/>
          <w:bCs w:val="0"/>
        </w:rPr>
      </w:pPr>
      <w:r>
        <w:t>Jacqueline Doane</w:t>
      </w:r>
    </w:p>
    <w:p w14:paraId="3E0FDE5A" w14:textId="7A1E75D4" w:rsidR="00EA149E" w:rsidRDefault="00EA149E" w:rsidP="009F0AFD">
      <w:pPr>
        <w:pStyle w:val="BodyText"/>
        <w:spacing w:beforeLines="30" w:before="72"/>
        <w:ind w:left="0"/>
        <w:jc w:val="center"/>
      </w:pPr>
      <w:r>
        <w:t>Director</w:t>
      </w:r>
      <w:r w:rsidR="00AB5133">
        <w:t xml:space="preserve"> – T</w:t>
      </w:r>
      <w:r>
        <w:t>obacco Cessation and Prevention Program</w:t>
      </w:r>
    </w:p>
    <w:p w14:paraId="215C232A" w14:textId="20A03B4E" w:rsidR="00E327D9" w:rsidRDefault="00E327D9" w:rsidP="009F0AFD">
      <w:pPr>
        <w:pStyle w:val="BodyText"/>
        <w:spacing w:beforeLines="30" w:before="72"/>
        <w:ind w:left="0"/>
        <w:jc w:val="center"/>
      </w:pPr>
      <w:r w:rsidRPr="00A77A0B">
        <w:t>Department of Public Health Designee</w:t>
      </w:r>
    </w:p>
    <w:p w14:paraId="66BDCD8F" w14:textId="47FEC17E" w:rsidR="00E327D9" w:rsidRDefault="00E327D9" w:rsidP="009F0AFD">
      <w:pPr>
        <w:pStyle w:val="BodyText"/>
        <w:spacing w:beforeLines="30" w:before="72"/>
        <w:ind w:left="0"/>
        <w:jc w:val="center"/>
      </w:pPr>
    </w:p>
    <w:p w14:paraId="790DE6EF" w14:textId="77777777" w:rsidR="00421335" w:rsidRPr="00A77A0B" w:rsidRDefault="00421335" w:rsidP="00421335">
      <w:pPr>
        <w:pStyle w:val="Heading2"/>
        <w:spacing w:beforeLines="30" w:before="72"/>
        <w:ind w:left="0"/>
        <w:jc w:val="center"/>
        <w:rPr>
          <w:b w:val="0"/>
          <w:bCs w:val="0"/>
        </w:rPr>
      </w:pPr>
      <w:r>
        <w:t>John Melander</w:t>
      </w:r>
    </w:p>
    <w:p w14:paraId="25614B8C" w14:textId="77777777" w:rsidR="00421335" w:rsidRDefault="00421335" w:rsidP="00421335">
      <w:pPr>
        <w:pStyle w:val="BodyText"/>
        <w:spacing w:beforeLines="30" w:before="72"/>
        <w:ind w:left="0"/>
        <w:jc w:val="center"/>
      </w:pPr>
      <w:r>
        <w:t>Deputy General Counsel</w:t>
      </w:r>
    </w:p>
    <w:p w14:paraId="209C02EB" w14:textId="77777777" w:rsidR="00421335" w:rsidRPr="00A77A0B" w:rsidRDefault="00421335" w:rsidP="00421335">
      <w:pPr>
        <w:pStyle w:val="BodyText"/>
        <w:spacing w:beforeLines="30" w:before="72"/>
        <w:ind w:left="0"/>
        <w:jc w:val="center"/>
      </w:pPr>
      <w:r w:rsidRPr="00A77A0B">
        <w:t>Executive Office of Public Safety and Security Designee</w:t>
      </w:r>
    </w:p>
    <w:p w14:paraId="79381F18" w14:textId="77777777" w:rsidR="00421335" w:rsidRDefault="00421335" w:rsidP="009F0AFD">
      <w:pPr>
        <w:pStyle w:val="BodyText"/>
        <w:spacing w:beforeLines="30" w:before="72"/>
        <w:ind w:left="0"/>
        <w:jc w:val="center"/>
      </w:pPr>
    </w:p>
    <w:p w14:paraId="46E425B7" w14:textId="77777777" w:rsidR="00706ADD" w:rsidRPr="00A77A0B" w:rsidRDefault="00706ADD" w:rsidP="009F0AFD">
      <w:pPr>
        <w:pStyle w:val="Heading2"/>
        <w:spacing w:beforeLines="30" w:before="72"/>
        <w:ind w:left="0"/>
        <w:jc w:val="center"/>
        <w:rPr>
          <w:b w:val="0"/>
          <w:bCs w:val="0"/>
        </w:rPr>
      </w:pPr>
      <w:r>
        <w:t>Nicole Nixon</w:t>
      </w:r>
    </w:p>
    <w:p w14:paraId="306A6BC9" w14:textId="5A84740F" w:rsidR="00EA149E" w:rsidRDefault="00EA149E" w:rsidP="009F0AFD">
      <w:pPr>
        <w:pStyle w:val="BodyText"/>
        <w:spacing w:beforeLines="30" w:before="72"/>
        <w:ind w:left="0"/>
        <w:jc w:val="center"/>
      </w:pPr>
      <w:r>
        <w:t xml:space="preserve">Assistant Attorney General – </w:t>
      </w:r>
      <w:r w:rsidR="00421335">
        <w:t>Criminal Bureau</w:t>
      </w:r>
    </w:p>
    <w:p w14:paraId="3987B1DA" w14:textId="5EE91F80" w:rsidR="00706ADD" w:rsidRPr="00A77A0B" w:rsidRDefault="0082590B" w:rsidP="009F0AFD">
      <w:pPr>
        <w:pStyle w:val="BodyText"/>
        <w:spacing w:beforeLines="30" w:before="72"/>
        <w:ind w:left="0"/>
        <w:jc w:val="center"/>
      </w:pPr>
      <w:r>
        <w:t xml:space="preserve">Office of </w:t>
      </w:r>
      <w:r w:rsidR="00706ADD" w:rsidRPr="00A77A0B">
        <w:t>Attorney General Designee</w:t>
      </w:r>
    </w:p>
    <w:p w14:paraId="25BEBFE7" w14:textId="77777777" w:rsidR="00706ADD" w:rsidRDefault="00706ADD" w:rsidP="009F0AFD">
      <w:pPr>
        <w:pStyle w:val="BodyText"/>
        <w:spacing w:beforeLines="30" w:before="72"/>
        <w:ind w:left="0"/>
        <w:jc w:val="center"/>
      </w:pPr>
    </w:p>
    <w:p w14:paraId="21D4D43E" w14:textId="77777777" w:rsidR="00706ADD" w:rsidRPr="00A77A0B" w:rsidRDefault="00706ADD" w:rsidP="009F0AFD">
      <w:pPr>
        <w:pStyle w:val="Heading2"/>
        <w:spacing w:beforeLines="30" w:before="72"/>
        <w:ind w:left="0"/>
        <w:jc w:val="center"/>
        <w:rPr>
          <w:b w:val="0"/>
          <w:bCs w:val="0"/>
        </w:rPr>
      </w:pPr>
      <w:r>
        <w:t>Nicholas Ogden</w:t>
      </w:r>
    </w:p>
    <w:p w14:paraId="38EE56AC" w14:textId="77777777" w:rsidR="00EA149E" w:rsidRDefault="00EA149E" w:rsidP="009F0AFD">
      <w:pPr>
        <w:pStyle w:val="BodyText"/>
        <w:spacing w:beforeLines="30" w:before="72"/>
        <w:ind w:left="0"/>
        <w:jc w:val="center"/>
      </w:pPr>
      <w:r>
        <w:t>Assistant Attorney General – Senior Tobacco Enforcement Counsel</w:t>
      </w:r>
    </w:p>
    <w:p w14:paraId="7CDF0165" w14:textId="29ABA539" w:rsidR="00706ADD" w:rsidRPr="00A77A0B" w:rsidRDefault="0082590B" w:rsidP="009F0AFD">
      <w:pPr>
        <w:pStyle w:val="BodyText"/>
        <w:spacing w:beforeLines="30" w:before="72"/>
        <w:ind w:left="0"/>
        <w:jc w:val="center"/>
      </w:pPr>
      <w:r>
        <w:t xml:space="preserve">Office of </w:t>
      </w:r>
      <w:r w:rsidR="00706ADD" w:rsidRPr="00A77A0B">
        <w:t>Attorney General Designee</w:t>
      </w:r>
    </w:p>
    <w:p w14:paraId="1351DEFC" w14:textId="77777777" w:rsidR="00706ADD" w:rsidRPr="00A77A0B" w:rsidRDefault="00706ADD" w:rsidP="009F0AFD">
      <w:pPr>
        <w:pStyle w:val="BodyText"/>
        <w:spacing w:beforeLines="30" w:before="72"/>
        <w:ind w:left="0"/>
        <w:jc w:val="center"/>
      </w:pPr>
    </w:p>
    <w:p w14:paraId="1A83D5D8" w14:textId="45FAC9B7" w:rsidR="00E327D9" w:rsidRPr="00A77A0B" w:rsidRDefault="00706ADD" w:rsidP="009F0AFD">
      <w:pPr>
        <w:pStyle w:val="Heading2"/>
        <w:spacing w:beforeLines="30" w:before="72"/>
        <w:ind w:left="0"/>
        <w:jc w:val="center"/>
        <w:rPr>
          <w:b w:val="0"/>
          <w:bCs w:val="0"/>
        </w:rPr>
      </w:pPr>
      <w:r>
        <w:t>Dan O’Neil</w:t>
      </w:r>
    </w:p>
    <w:p w14:paraId="45246639" w14:textId="2AF8256D" w:rsidR="00AB5133" w:rsidRDefault="00AB5133" w:rsidP="009F0AFD">
      <w:pPr>
        <w:pStyle w:val="BodyText"/>
        <w:spacing w:beforeLines="30" w:before="72"/>
        <w:ind w:left="0"/>
        <w:jc w:val="center"/>
      </w:pPr>
      <w:r>
        <w:t>Director – State Lottery Security &amp; Compliance</w:t>
      </w:r>
    </w:p>
    <w:p w14:paraId="4EAF92B7" w14:textId="11DF78A7" w:rsidR="00E327D9" w:rsidRDefault="00E327D9" w:rsidP="009F0AFD">
      <w:pPr>
        <w:pStyle w:val="BodyText"/>
        <w:spacing w:beforeLines="30" w:before="72"/>
        <w:ind w:left="0"/>
        <w:jc w:val="center"/>
      </w:pPr>
      <w:r w:rsidRPr="00A77A0B">
        <w:t xml:space="preserve">Office of </w:t>
      </w:r>
      <w:r>
        <w:t xml:space="preserve">the </w:t>
      </w:r>
      <w:r w:rsidRPr="00A77A0B">
        <w:t>State Treasurer and Receiver General</w:t>
      </w:r>
      <w:r w:rsidR="0082590B">
        <w:t xml:space="preserve"> </w:t>
      </w:r>
      <w:r w:rsidRPr="00A77A0B">
        <w:t>Designee</w:t>
      </w:r>
    </w:p>
    <w:p w14:paraId="409C48C1" w14:textId="77777777" w:rsidR="00E327D9" w:rsidRPr="00A77A0B" w:rsidRDefault="00E327D9" w:rsidP="009F0AFD">
      <w:pPr>
        <w:spacing w:beforeLines="30" w:before="72"/>
        <w:jc w:val="center"/>
        <w:rPr>
          <w:rFonts w:ascii="Times New Roman" w:eastAsia="Times New Roman" w:hAnsi="Times New Roman" w:cs="Times New Roman"/>
          <w:sz w:val="24"/>
          <w:szCs w:val="24"/>
        </w:rPr>
      </w:pPr>
    </w:p>
    <w:p w14:paraId="767538B8" w14:textId="77777777" w:rsidR="00E327D9" w:rsidRPr="00A77A0B" w:rsidRDefault="00E327D9" w:rsidP="009F0AFD">
      <w:pPr>
        <w:spacing w:beforeLines="30" w:before="72"/>
        <w:jc w:val="center"/>
        <w:rPr>
          <w:rFonts w:ascii="Times New Roman" w:eastAsia="Times New Roman" w:hAnsi="Times New Roman" w:cs="Times New Roman"/>
          <w:sz w:val="24"/>
          <w:szCs w:val="24"/>
        </w:rPr>
      </w:pPr>
    </w:p>
    <w:p w14:paraId="267A8AD9" w14:textId="77777777" w:rsidR="00E327D9" w:rsidRPr="00A77A0B" w:rsidRDefault="00E327D9" w:rsidP="009F0AFD">
      <w:pPr>
        <w:pStyle w:val="BodyText"/>
        <w:spacing w:beforeLines="30" w:before="72"/>
        <w:ind w:left="2169"/>
        <w:jc w:val="center"/>
      </w:pPr>
    </w:p>
    <w:p w14:paraId="462D78CE" w14:textId="77777777" w:rsidR="00E327D9" w:rsidRPr="00A77A0B" w:rsidRDefault="00E327D9" w:rsidP="003C2F72">
      <w:pPr>
        <w:spacing w:beforeLines="30" w:before="72"/>
        <w:rPr>
          <w:rFonts w:ascii="Times New Roman" w:eastAsia="Times New Roman" w:hAnsi="Times New Roman" w:cs="Times New Roman"/>
          <w:sz w:val="24"/>
          <w:szCs w:val="24"/>
        </w:rPr>
      </w:pPr>
    </w:p>
    <w:p w14:paraId="598045BC" w14:textId="77777777" w:rsidR="00E327D9" w:rsidRPr="00A77A0B" w:rsidRDefault="00E327D9" w:rsidP="003C2F72">
      <w:pPr>
        <w:spacing w:beforeLines="30" w:before="72"/>
        <w:jc w:val="center"/>
      </w:pPr>
    </w:p>
    <w:p w14:paraId="29002167" w14:textId="77777777" w:rsidR="00E327D9" w:rsidRDefault="00E327D9" w:rsidP="003C2F72">
      <w:pPr>
        <w:spacing w:beforeLines="30" w:before="72"/>
      </w:pPr>
    </w:p>
    <w:p w14:paraId="0B1630E5" w14:textId="77777777" w:rsidR="00023185" w:rsidRDefault="00023185" w:rsidP="003C2F72">
      <w:pPr>
        <w:spacing w:beforeLines="30" w:before="72"/>
      </w:pPr>
    </w:p>
    <w:p w14:paraId="5B443A94" w14:textId="77777777" w:rsidR="00023185" w:rsidRPr="00A77A0B" w:rsidRDefault="00023185" w:rsidP="003C2F72">
      <w:pPr>
        <w:spacing w:beforeLines="30" w:before="72"/>
      </w:pPr>
    </w:p>
    <w:p w14:paraId="12DAA27D" w14:textId="77777777" w:rsidR="00E327D9" w:rsidRPr="00D07750" w:rsidRDefault="00E327D9" w:rsidP="003C2F72">
      <w:pPr>
        <w:pStyle w:val="Heading2"/>
        <w:spacing w:beforeLines="30" w:before="72"/>
        <w:ind w:left="120"/>
        <w:rPr>
          <w:sz w:val="28"/>
          <w:szCs w:val="28"/>
        </w:rPr>
      </w:pPr>
      <w:r w:rsidRPr="00D07750">
        <w:rPr>
          <w:sz w:val="28"/>
          <w:szCs w:val="28"/>
        </w:rPr>
        <w:lastRenderedPageBreak/>
        <w:t>Table of</w:t>
      </w:r>
      <w:r w:rsidRPr="00D07750">
        <w:rPr>
          <w:spacing w:val="-5"/>
          <w:sz w:val="28"/>
          <w:szCs w:val="28"/>
        </w:rPr>
        <w:t xml:space="preserve"> </w:t>
      </w:r>
      <w:r w:rsidRPr="00D07750">
        <w:rPr>
          <w:sz w:val="28"/>
          <w:szCs w:val="28"/>
        </w:rPr>
        <w:t>Contents</w:t>
      </w:r>
    </w:p>
    <w:p w14:paraId="68985566" w14:textId="77777777" w:rsidR="00E327D9" w:rsidRPr="00A77A0B" w:rsidRDefault="00E327D9" w:rsidP="003C2F72">
      <w:pPr>
        <w:pStyle w:val="Heading2"/>
        <w:spacing w:beforeLines="30" w:before="72"/>
        <w:ind w:left="120"/>
        <w:rPr>
          <w:b w:val="0"/>
          <w:bCs w:val="0"/>
        </w:rPr>
      </w:pPr>
    </w:p>
    <w:sdt>
      <w:sdtPr>
        <w:rPr>
          <w:rFonts w:asciiTheme="minorHAnsi" w:eastAsiaTheme="minorHAnsi" w:hAnsiTheme="minorHAnsi"/>
          <w:sz w:val="22"/>
          <w:szCs w:val="22"/>
        </w:rPr>
        <w:id w:val="1399166968"/>
        <w:docPartObj>
          <w:docPartGallery w:val="Table of Contents"/>
          <w:docPartUnique/>
        </w:docPartObj>
      </w:sdtPr>
      <w:sdtEndPr/>
      <w:sdtContent>
        <w:p w14:paraId="3711088A" w14:textId="0C2BCBB5" w:rsidR="00E327D9" w:rsidRDefault="00E327D9" w:rsidP="00D07750">
          <w:pPr>
            <w:pStyle w:val="TOC1"/>
            <w:tabs>
              <w:tab w:val="right" w:leader="dot" w:pos="9570"/>
            </w:tabs>
            <w:spacing w:beforeLines="30" w:before="72" w:line="480" w:lineRule="auto"/>
            <w:rPr>
              <w:rFonts w:asciiTheme="minorHAnsi" w:eastAsiaTheme="minorEastAsia" w:hAnsiTheme="minorHAnsi"/>
              <w:noProof/>
              <w:sz w:val="22"/>
              <w:szCs w:val="22"/>
            </w:rPr>
          </w:pPr>
          <w:r w:rsidRPr="00A77A0B">
            <w:fldChar w:fldCharType="begin"/>
          </w:r>
          <w:r w:rsidRPr="00A77A0B">
            <w:instrText xml:space="preserve">TOC \o "1-1" \h \z \u </w:instrText>
          </w:r>
          <w:r w:rsidRPr="00A77A0B">
            <w:fldChar w:fldCharType="separate"/>
          </w:r>
          <w:hyperlink w:anchor="_Toc1574824" w:history="1">
            <w:r w:rsidRPr="008A5305">
              <w:rPr>
                <w:rStyle w:val="Hyperlink"/>
                <w:noProof/>
              </w:rPr>
              <w:t>I.</w:t>
            </w:r>
            <w:r>
              <w:rPr>
                <w:rFonts w:asciiTheme="minorHAnsi" w:eastAsiaTheme="minorEastAsia" w:hAnsiTheme="minorHAnsi"/>
                <w:noProof/>
                <w:sz w:val="22"/>
                <w:szCs w:val="22"/>
              </w:rPr>
              <w:tab/>
            </w:r>
            <w:r w:rsidRPr="008A5305">
              <w:rPr>
                <w:rStyle w:val="Hyperlink"/>
                <w:noProof/>
              </w:rPr>
              <w:t>Task Force Creation and Legislative Background</w:t>
            </w:r>
            <w:r>
              <w:rPr>
                <w:noProof/>
                <w:webHidden/>
              </w:rPr>
              <w:tab/>
            </w:r>
            <w:r w:rsidR="001B0064">
              <w:rPr>
                <w:noProof/>
                <w:webHidden/>
              </w:rPr>
              <w:t>3</w:t>
            </w:r>
          </w:hyperlink>
        </w:p>
        <w:p w14:paraId="238171D9" w14:textId="39577C29" w:rsidR="00E327D9" w:rsidRDefault="00E327D9" w:rsidP="00D07750">
          <w:pPr>
            <w:pStyle w:val="TOC1"/>
            <w:tabs>
              <w:tab w:val="right" w:leader="dot" w:pos="9570"/>
            </w:tabs>
            <w:spacing w:beforeLines="30" w:before="72" w:line="480" w:lineRule="auto"/>
            <w:rPr>
              <w:noProof/>
            </w:rPr>
          </w:pPr>
          <w:hyperlink w:anchor="_Toc1574825" w:history="1">
            <w:r w:rsidRPr="008A5305">
              <w:rPr>
                <w:rStyle w:val="Hyperlink"/>
                <w:noProof/>
              </w:rPr>
              <w:t>II.</w:t>
            </w:r>
            <w:r>
              <w:rPr>
                <w:rFonts w:asciiTheme="minorHAnsi" w:eastAsiaTheme="minorEastAsia" w:hAnsiTheme="minorHAnsi"/>
                <w:noProof/>
                <w:sz w:val="22"/>
                <w:szCs w:val="22"/>
              </w:rPr>
              <w:tab/>
            </w:r>
            <w:r w:rsidRPr="008A5305">
              <w:rPr>
                <w:rStyle w:val="Hyperlink"/>
                <w:noProof/>
              </w:rPr>
              <w:t>Results and Trends</w:t>
            </w:r>
            <w:r>
              <w:rPr>
                <w:noProof/>
                <w:webHidden/>
              </w:rPr>
              <w:tab/>
            </w:r>
            <w:r w:rsidR="001B0064">
              <w:rPr>
                <w:noProof/>
                <w:webHidden/>
              </w:rPr>
              <w:t>4</w:t>
            </w:r>
          </w:hyperlink>
        </w:p>
        <w:p w14:paraId="00F8EB8C" w14:textId="52C612AC" w:rsidR="00CF73CC" w:rsidRDefault="00B271EA" w:rsidP="00B271EA">
          <w:pPr>
            <w:pStyle w:val="TOC1"/>
            <w:spacing w:beforeLines="30" w:before="72" w:line="480" w:lineRule="auto"/>
            <w:ind w:right="-50"/>
            <w:rPr>
              <w:noProof/>
            </w:rPr>
          </w:pPr>
          <w:r>
            <w:rPr>
              <w:noProof/>
            </w:rPr>
            <w:tab/>
          </w:r>
          <w:r w:rsidR="00CF73CC">
            <w:rPr>
              <w:noProof/>
            </w:rPr>
            <w:t>Tobacco Excise Tax Revenue</w:t>
          </w:r>
          <w:r w:rsidR="001E542C">
            <w:rPr>
              <w:noProof/>
            </w:rPr>
            <w:t>s</w:t>
          </w:r>
          <w:r>
            <w:rPr>
              <w:noProof/>
            </w:rPr>
            <w:t xml:space="preserve"> …</w:t>
          </w:r>
          <w:r w:rsidR="001E542C">
            <w:rPr>
              <w:noProof/>
            </w:rPr>
            <w:t>…</w:t>
          </w:r>
          <w:r>
            <w:rPr>
              <w:noProof/>
            </w:rPr>
            <w:t>…………………………………………………………..</w:t>
          </w:r>
          <w:r w:rsidR="004A46EC">
            <w:rPr>
              <w:noProof/>
            </w:rPr>
            <w:t xml:space="preserve"> </w:t>
          </w:r>
          <w:r>
            <w:rPr>
              <w:noProof/>
            </w:rPr>
            <w:t>4</w:t>
          </w:r>
        </w:p>
        <w:p w14:paraId="7AFA6404" w14:textId="2335DB2A" w:rsidR="00CF73CC" w:rsidRDefault="00B271EA" w:rsidP="00B271EA">
          <w:pPr>
            <w:pStyle w:val="TOC1"/>
            <w:spacing w:beforeLines="30" w:before="72" w:line="480" w:lineRule="auto"/>
            <w:ind w:right="-230"/>
            <w:rPr>
              <w:rFonts w:asciiTheme="minorHAnsi" w:eastAsiaTheme="minorEastAsia" w:hAnsiTheme="minorHAnsi"/>
              <w:noProof/>
              <w:sz w:val="22"/>
              <w:szCs w:val="22"/>
            </w:rPr>
          </w:pPr>
          <w:r>
            <w:rPr>
              <w:noProof/>
            </w:rPr>
            <w:tab/>
          </w:r>
          <w:r w:rsidR="00CF73CC">
            <w:rPr>
              <w:noProof/>
            </w:rPr>
            <w:t>Tobacco Seizures</w:t>
          </w:r>
          <w:r>
            <w:rPr>
              <w:noProof/>
            </w:rPr>
            <w:t xml:space="preserve"> ……………………………………………………………………………...</w:t>
          </w:r>
          <w:r w:rsidR="004A46EC">
            <w:rPr>
              <w:noProof/>
            </w:rPr>
            <w:t xml:space="preserve"> </w:t>
          </w:r>
          <w:r>
            <w:rPr>
              <w:noProof/>
            </w:rPr>
            <w:t>6</w:t>
          </w:r>
        </w:p>
        <w:p w14:paraId="37F951E6" w14:textId="18874095" w:rsidR="00E327D9" w:rsidRDefault="00E327D9" w:rsidP="00D07750">
          <w:pPr>
            <w:pStyle w:val="TOC1"/>
            <w:tabs>
              <w:tab w:val="left" w:pos="660"/>
              <w:tab w:val="right" w:leader="dot" w:pos="9570"/>
            </w:tabs>
            <w:spacing w:beforeLines="30" w:before="72" w:line="480" w:lineRule="auto"/>
            <w:rPr>
              <w:noProof/>
            </w:rPr>
          </w:pPr>
          <w:hyperlink w:anchor="_Toc1574826" w:history="1">
            <w:r w:rsidRPr="008A5305">
              <w:rPr>
                <w:rStyle w:val="Hyperlink"/>
                <w:noProof/>
              </w:rPr>
              <w:t>III.</w:t>
            </w:r>
            <w:r>
              <w:rPr>
                <w:rFonts w:asciiTheme="minorHAnsi" w:eastAsiaTheme="minorEastAsia" w:hAnsiTheme="minorHAnsi"/>
                <w:noProof/>
                <w:sz w:val="22"/>
                <w:szCs w:val="22"/>
              </w:rPr>
              <w:tab/>
            </w:r>
            <w:r w:rsidRPr="008A5305">
              <w:rPr>
                <w:rStyle w:val="Hyperlink"/>
                <w:noProof/>
              </w:rPr>
              <w:t>Summary of Task Force Activities</w:t>
            </w:r>
            <w:r w:rsidR="004A46EC">
              <w:rPr>
                <w:rStyle w:val="Hyperlink"/>
                <w:noProof/>
              </w:rPr>
              <w:t xml:space="preserve"> </w:t>
            </w:r>
            <w:r>
              <w:rPr>
                <w:noProof/>
                <w:webHidden/>
              </w:rPr>
              <w:tab/>
            </w:r>
            <w:r w:rsidR="00BC0092">
              <w:rPr>
                <w:noProof/>
                <w:webHidden/>
              </w:rPr>
              <w:t>7</w:t>
            </w:r>
          </w:hyperlink>
        </w:p>
        <w:p w14:paraId="09D0AC20" w14:textId="05D77780" w:rsidR="00CF73CC" w:rsidRDefault="004A46EC" w:rsidP="004A46EC">
          <w:pPr>
            <w:pStyle w:val="TOC1"/>
            <w:tabs>
              <w:tab w:val="left" w:pos="660"/>
            </w:tabs>
            <w:spacing w:beforeLines="30" w:before="72" w:line="480" w:lineRule="auto"/>
            <w:ind w:right="-50"/>
            <w:rPr>
              <w:noProof/>
            </w:rPr>
          </w:pPr>
          <w:r>
            <w:rPr>
              <w:noProof/>
            </w:rPr>
            <w:tab/>
          </w:r>
          <w:r w:rsidR="00CF73CC">
            <w:rPr>
              <w:noProof/>
            </w:rPr>
            <w:t>Civil Investigations/Inspections/Litigation</w:t>
          </w:r>
          <w:r w:rsidR="00B271EA">
            <w:rPr>
              <w:noProof/>
            </w:rPr>
            <w:t xml:space="preserve"> ………………………………</w:t>
          </w:r>
          <w:r>
            <w:rPr>
              <w:noProof/>
            </w:rPr>
            <w:t>…………</w:t>
          </w:r>
          <w:r w:rsidR="00B271EA">
            <w:rPr>
              <w:noProof/>
            </w:rPr>
            <w:t>………...</w:t>
          </w:r>
          <w:r>
            <w:rPr>
              <w:noProof/>
            </w:rPr>
            <w:t xml:space="preserve"> </w:t>
          </w:r>
          <w:r w:rsidR="00B271EA">
            <w:rPr>
              <w:noProof/>
            </w:rPr>
            <w:t>8</w:t>
          </w:r>
        </w:p>
        <w:p w14:paraId="45708C65" w14:textId="2829B1CA" w:rsidR="00CF73CC" w:rsidRDefault="004A46EC" w:rsidP="006D36F9">
          <w:pPr>
            <w:pStyle w:val="TOC1"/>
            <w:tabs>
              <w:tab w:val="left" w:pos="660"/>
            </w:tabs>
            <w:spacing w:beforeLines="30" w:before="72" w:line="480" w:lineRule="auto"/>
            <w:ind w:right="-50"/>
            <w:rPr>
              <w:rFonts w:asciiTheme="minorHAnsi" w:eastAsiaTheme="minorEastAsia" w:hAnsiTheme="minorHAnsi"/>
              <w:noProof/>
              <w:sz w:val="22"/>
              <w:szCs w:val="22"/>
            </w:rPr>
          </w:pPr>
          <w:r>
            <w:rPr>
              <w:noProof/>
            </w:rPr>
            <w:tab/>
          </w:r>
          <w:r w:rsidR="00CF73CC">
            <w:rPr>
              <w:noProof/>
            </w:rPr>
            <w:t>Criminal Investigations</w:t>
          </w:r>
          <w:r w:rsidR="00B271EA">
            <w:rPr>
              <w:noProof/>
            </w:rPr>
            <w:t>……………………………</w:t>
          </w:r>
          <w:r>
            <w:rPr>
              <w:noProof/>
            </w:rPr>
            <w:t>…………………</w:t>
          </w:r>
          <w:r w:rsidR="00B271EA">
            <w:rPr>
              <w:noProof/>
            </w:rPr>
            <w:t>……………………....</w:t>
          </w:r>
          <w:r w:rsidR="006D36F9">
            <w:rPr>
              <w:noProof/>
            </w:rPr>
            <w:t>.</w:t>
          </w:r>
          <w:r>
            <w:rPr>
              <w:noProof/>
            </w:rPr>
            <w:t xml:space="preserve"> </w:t>
          </w:r>
          <w:r w:rsidR="00B271EA">
            <w:rPr>
              <w:noProof/>
            </w:rPr>
            <w:t>12</w:t>
          </w:r>
        </w:p>
        <w:p w14:paraId="72C7A3A4" w14:textId="6A3D321C" w:rsidR="00E327D9" w:rsidRDefault="00E327D9" w:rsidP="00D07750">
          <w:pPr>
            <w:pStyle w:val="TOC1"/>
            <w:tabs>
              <w:tab w:val="left" w:pos="660"/>
              <w:tab w:val="right" w:leader="dot" w:pos="9570"/>
            </w:tabs>
            <w:spacing w:beforeLines="30" w:before="72" w:line="480" w:lineRule="auto"/>
            <w:rPr>
              <w:rFonts w:asciiTheme="minorHAnsi" w:eastAsiaTheme="minorEastAsia" w:hAnsiTheme="minorHAnsi"/>
              <w:noProof/>
              <w:sz w:val="22"/>
              <w:szCs w:val="22"/>
            </w:rPr>
          </w:pPr>
          <w:hyperlink w:anchor="_Toc1574827" w:history="1">
            <w:r w:rsidRPr="008A5305">
              <w:rPr>
                <w:rStyle w:val="Hyperlink"/>
                <w:noProof/>
              </w:rPr>
              <w:t>IV.</w:t>
            </w:r>
            <w:r>
              <w:rPr>
                <w:rFonts w:asciiTheme="minorHAnsi" w:eastAsiaTheme="minorEastAsia" w:hAnsiTheme="minorHAnsi"/>
                <w:noProof/>
                <w:sz w:val="22"/>
                <w:szCs w:val="22"/>
              </w:rPr>
              <w:tab/>
            </w:r>
            <w:r w:rsidRPr="008A5305">
              <w:rPr>
                <w:rStyle w:val="Hyperlink"/>
                <w:noProof/>
              </w:rPr>
              <w:t xml:space="preserve">Legislative </w:t>
            </w:r>
            <w:r w:rsidR="00013BE0">
              <w:rPr>
                <w:rStyle w:val="Hyperlink"/>
                <w:noProof/>
              </w:rPr>
              <w:t xml:space="preserve">Proposals </w:t>
            </w:r>
            <w:r>
              <w:rPr>
                <w:noProof/>
                <w:webHidden/>
              </w:rPr>
              <w:tab/>
            </w:r>
            <w:r>
              <w:rPr>
                <w:noProof/>
                <w:webHidden/>
              </w:rPr>
              <w:fldChar w:fldCharType="begin"/>
            </w:r>
            <w:r>
              <w:rPr>
                <w:noProof/>
                <w:webHidden/>
              </w:rPr>
              <w:instrText xml:space="preserve"> PAGEREF _Toc1574827 \h </w:instrText>
            </w:r>
            <w:r>
              <w:rPr>
                <w:noProof/>
                <w:webHidden/>
              </w:rPr>
            </w:r>
            <w:r>
              <w:rPr>
                <w:noProof/>
                <w:webHidden/>
              </w:rPr>
              <w:fldChar w:fldCharType="separate"/>
            </w:r>
            <w:r>
              <w:rPr>
                <w:noProof/>
                <w:webHidden/>
              </w:rPr>
              <w:t>1</w:t>
            </w:r>
            <w:r w:rsidR="00ED59B5">
              <w:rPr>
                <w:noProof/>
                <w:webHidden/>
              </w:rPr>
              <w:t>3</w:t>
            </w:r>
            <w:r>
              <w:rPr>
                <w:noProof/>
                <w:webHidden/>
              </w:rPr>
              <w:fldChar w:fldCharType="end"/>
            </w:r>
          </w:hyperlink>
        </w:p>
        <w:p w14:paraId="6FDDC888" w14:textId="68E01332" w:rsidR="00E327D9" w:rsidRDefault="00E327D9" w:rsidP="00D07750">
          <w:pPr>
            <w:pStyle w:val="TOC1"/>
            <w:tabs>
              <w:tab w:val="right" w:leader="dot" w:pos="9570"/>
            </w:tabs>
            <w:spacing w:beforeLines="30" w:before="72" w:line="480" w:lineRule="auto"/>
            <w:rPr>
              <w:rFonts w:asciiTheme="minorHAnsi" w:eastAsiaTheme="minorEastAsia" w:hAnsiTheme="minorHAnsi"/>
              <w:noProof/>
              <w:sz w:val="22"/>
              <w:szCs w:val="22"/>
            </w:rPr>
          </w:pPr>
          <w:hyperlink w:anchor="_Toc1574828" w:history="1">
            <w:r w:rsidRPr="008A5305">
              <w:rPr>
                <w:rStyle w:val="Hyperlink"/>
                <w:noProof/>
              </w:rPr>
              <w:t>V.</w:t>
            </w:r>
            <w:r>
              <w:rPr>
                <w:rFonts w:asciiTheme="minorHAnsi" w:eastAsiaTheme="minorEastAsia" w:hAnsiTheme="minorHAnsi"/>
                <w:noProof/>
                <w:sz w:val="22"/>
                <w:szCs w:val="22"/>
              </w:rPr>
              <w:tab/>
            </w:r>
            <w:r w:rsidRPr="008A5305">
              <w:rPr>
                <w:rStyle w:val="Hyperlink"/>
                <w:noProof/>
              </w:rPr>
              <w:t>Anticipated Barriers</w:t>
            </w:r>
            <w:r>
              <w:rPr>
                <w:noProof/>
                <w:webHidden/>
              </w:rPr>
              <w:tab/>
            </w:r>
            <w:r>
              <w:rPr>
                <w:noProof/>
                <w:webHidden/>
              </w:rPr>
              <w:fldChar w:fldCharType="begin"/>
            </w:r>
            <w:r>
              <w:rPr>
                <w:noProof/>
                <w:webHidden/>
              </w:rPr>
              <w:instrText xml:space="preserve"> PAGEREF _Toc1574828 \h </w:instrText>
            </w:r>
            <w:r>
              <w:rPr>
                <w:noProof/>
                <w:webHidden/>
              </w:rPr>
            </w:r>
            <w:r>
              <w:rPr>
                <w:noProof/>
                <w:webHidden/>
              </w:rPr>
              <w:fldChar w:fldCharType="separate"/>
            </w:r>
            <w:r>
              <w:rPr>
                <w:noProof/>
                <w:webHidden/>
              </w:rPr>
              <w:t>1</w:t>
            </w:r>
            <w:r w:rsidR="00ED59B5">
              <w:rPr>
                <w:noProof/>
                <w:webHidden/>
              </w:rPr>
              <w:t>6</w:t>
            </w:r>
            <w:r>
              <w:rPr>
                <w:noProof/>
                <w:webHidden/>
              </w:rPr>
              <w:fldChar w:fldCharType="end"/>
            </w:r>
          </w:hyperlink>
        </w:p>
        <w:p w14:paraId="2A62F049" w14:textId="726E03FB" w:rsidR="00E327D9" w:rsidRDefault="00E327D9" w:rsidP="00D07750">
          <w:pPr>
            <w:pStyle w:val="TOC1"/>
            <w:tabs>
              <w:tab w:val="left" w:pos="660"/>
              <w:tab w:val="right" w:leader="dot" w:pos="9570"/>
            </w:tabs>
            <w:spacing w:beforeLines="30" w:before="72" w:line="480" w:lineRule="auto"/>
            <w:rPr>
              <w:rFonts w:asciiTheme="minorHAnsi" w:eastAsiaTheme="minorEastAsia" w:hAnsiTheme="minorHAnsi"/>
              <w:noProof/>
              <w:sz w:val="22"/>
              <w:szCs w:val="22"/>
            </w:rPr>
          </w:pPr>
          <w:hyperlink w:anchor="_Toc1574829" w:history="1">
            <w:r w:rsidRPr="008A5305">
              <w:rPr>
                <w:rStyle w:val="Hyperlink"/>
                <w:noProof/>
              </w:rPr>
              <w:t>VI.</w:t>
            </w:r>
            <w:r>
              <w:rPr>
                <w:rFonts w:asciiTheme="minorHAnsi" w:eastAsiaTheme="minorEastAsia" w:hAnsiTheme="minorHAnsi"/>
                <w:noProof/>
                <w:sz w:val="22"/>
                <w:szCs w:val="22"/>
              </w:rPr>
              <w:tab/>
            </w:r>
            <w:r w:rsidRPr="008A5305">
              <w:rPr>
                <w:rStyle w:val="Hyperlink"/>
                <w:noProof/>
              </w:rPr>
              <w:t>Conclusion and Next Steps</w:t>
            </w:r>
            <w:r>
              <w:rPr>
                <w:noProof/>
                <w:webHidden/>
              </w:rPr>
              <w:tab/>
            </w:r>
            <w:r>
              <w:rPr>
                <w:noProof/>
                <w:webHidden/>
              </w:rPr>
              <w:fldChar w:fldCharType="begin"/>
            </w:r>
            <w:r>
              <w:rPr>
                <w:noProof/>
                <w:webHidden/>
              </w:rPr>
              <w:instrText xml:space="preserve"> PAGEREF _Toc1574829 \h </w:instrText>
            </w:r>
            <w:r>
              <w:rPr>
                <w:noProof/>
                <w:webHidden/>
              </w:rPr>
            </w:r>
            <w:r>
              <w:rPr>
                <w:noProof/>
                <w:webHidden/>
              </w:rPr>
              <w:fldChar w:fldCharType="separate"/>
            </w:r>
            <w:r>
              <w:rPr>
                <w:noProof/>
                <w:webHidden/>
              </w:rPr>
              <w:t>1</w:t>
            </w:r>
            <w:r w:rsidR="00BC0092">
              <w:rPr>
                <w:noProof/>
                <w:webHidden/>
              </w:rPr>
              <w:t>6</w:t>
            </w:r>
            <w:r>
              <w:rPr>
                <w:noProof/>
                <w:webHidden/>
              </w:rPr>
              <w:fldChar w:fldCharType="end"/>
            </w:r>
          </w:hyperlink>
        </w:p>
        <w:p w14:paraId="30A8E322" w14:textId="77777777" w:rsidR="00E327D9" w:rsidRPr="00A77A0B" w:rsidRDefault="00E327D9" w:rsidP="00D07750">
          <w:pPr>
            <w:spacing w:beforeLines="30" w:before="72" w:line="480" w:lineRule="auto"/>
          </w:pPr>
          <w:r w:rsidRPr="00A77A0B">
            <w:fldChar w:fldCharType="end"/>
          </w:r>
        </w:p>
      </w:sdtContent>
    </w:sdt>
    <w:p w14:paraId="5A1E552F" w14:textId="77777777" w:rsidR="00E327D9" w:rsidRPr="00A77A0B" w:rsidRDefault="00E327D9" w:rsidP="003C2F72">
      <w:pPr>
        <w:spacing w:beforeLines="30" w:before="72"/>
        <w:sectPr w:rsidR="00E327D9" w:rsidRPr="00A77A0B" w:rsidSect="00B874BA">
          <w:footerReference w:type="default" r:id="rId8"/>
          <w:pgSz w:w="12240" w:h="15840"/>
          <w:pgMar w:top="1500" w:right="1340" w:bottom="1200" w:left="1320" w:header="0" w:footer="1019" w:gutter="0"/>
          <w:pgNumType w:start="1"/>
          <w:cols w:space="720"/>
        </w:sectPr>
      </w:pPr>
    </w:p>
    <w:p w14:paraId="58B6D100" w14:textId="77777777" w:rsidR="00E327D9" w:rsidRPr="00A508A2" w:rsidRDefault="00E327D9" w:rsidP="00B32253">
      <w:pPr>
        <w:pStyle w:val="Heading1"/>
        <w:numPr>
          <w:ilvl w:val="1"/>
          <w:numId w:val="1"/>
        </w:numPr>
        <w:tabs>
          <w:tab w:val="left" w:pos="720"/>
        </w:tabs>
        <w:spacing w:before="0"/>
        <w:ind w:left="720" w:firstLine="0"/>
        <w:jc w:val="left"/>
        <w:rPr>
          <w:b w:val="0"/>
          <w:bCs w:val="0"/>
        </w:rPr>
      </w:pPr>
      <w:bookmarkStart w:id="0" w:name="I._Authority_to_Study"/>
      <w:bookmarkStart w:id="1" w:name="_Toc1574824"/>
      <w:bookmarkEnd w:id="0"/>
      <w:r w:rsidRPr="00A508A2">
        <w:lastRenderedPageBreak/>
        <w:t>Task Force Creation and Legislative Background</w:t>
      </w:r>
      <w:bookmarkEnd w:id="1"/>
    </w:p>
    <w:p w14:paraId="5C5A4741" w14:textId="77777777" w:rsidR="00E327D9" w:rsidRPr="00A77A0B" w:rsidRDefault="00E327D9" w:rsidP="00B32253">
      <w:pPr>
        <w:pStyle w:val="BodyText"/>
        <w:ind w:left="0" w:right="113" w:firstLine="720"/>
        <w:jc w:val="both"/>
      </w:pPr>
    </w:p>
    <w:p w14:paraId="0E6C6B39" w14:textId="22538373" w:rsidR="00E327D9" w:rsidRDefault="00E327D9" w:rsidP="00183537">
      <w:pPr>
        <w:pStyle w:val="BodyText"/>
        <w:ind w:left="0" w:right="115" w:firstLine="720"/>
        <w:jc w:val="both"/>
      </w:pPr>
      <w:r w:rsidRPr="00A77A0B">
        <w:t>The Illegal Tobacco Task Force (Task Force) was created pursuant to section 71 of the Fiscal Year 2016 (FY16) General Appropriations Act.</w:t>
      </w:r>
      <w:r w:rsidRPr="00A77A0B">
        <w:rPr>
          <w:rStyle w:val="FootnoteReference"/>
        </w:rPr>
        <w:footnoteReference w:id="1"/>
      </w:r>
      <w:r>
        <w:t xml:space="preserve"> </w:t>
      </w:r>
      <w:r w:rsidRPr="00A77A0B">
        <w:t>According to its enabling statute, the Task Force is co-chaired by the Colonel of the State Police and the Commissioner of Revenue</w:t>
      </w:r>
      <w:r w:rsidR="00A07708">
        <w:t>,</w:t>
      </w:r>
      <w:r w:rsidRPr="00A77A0B">
        <w:t xml:space="preserve"> or their designees</w:t>
      </w:r>
      <w:r w:rsidR="00A07708">
        <w:t>,</w:t>
      </w:r>
      <w:r w:rsidRPr="00A77A0B">
        <w:t xml:space="preserve"> and additional</w:t>
      </w:r>
      <w:r w:rsidR="00A07708">
        <w:t xml:space="preserve"> members include </w:t>
      </w:r>
      <w:r w:rsidRPr="00A77A0B">
        <w:t>the Secretary of Public Safety and Security, State Treasurer, Attorney General, and Commissioner of Public Health, or their respective designees.</w:t>
      </w:r>
      <w:r>
        <w:t xml:space="preserve"> </w:t>
      </w:r>
      <w:r w:rsidRPr="00A77A0B">
        <w:t>The Task Force</w:t>
      </w:r>
      <w:r>
        <w:t xml:space="preserve"> is statutor</w:t>
      </w:r>
      <w:r w:rsidR="00A07708">
        <w:t>il</w:t>
      </w:r>
      <w:r>
        <w:t>y required to</w:t>
      </w:r>
      <w:r w:rsidR="00DC34F0">
        <w:t>,</w:t>
      </w:r>
      <w:r>
        <w:t xml:space="preserve"> “c</w:t>
      </w:r>
      <w:r w:rsidRPr="00A77A0B">
        <w:t>oordinate efforts to combat contraband tobacco distribution, including efforts to foster compliance with the law and conduct targeted investigations and enforcement actions against violators</w:t>
      </w:r>
      <w:r>
        <w:t>.”</w:t>
      </w:r>
      <w:r>
        <w:rPr>
          <w:rStyle w:val="FootnoteReference"/>
        </w:rPr>
        <w:footnoteReference w:id="2"/>
      </w:r>
      <w:r>
        <w:t xml:space="preserve"> Further, t</w:t>
      </w:r>
      <w:r w:rsidRPr="00A77A0B">
        <w:t xml:space="preserve">he </w:t>
      </w:r>
      <w:r>
        <w:t>T</w:t>
      </w:r>
      <w:r w:rsidRPr="00A77A0B">
        <w:t xml:space="preserve">ask </w:t>
      </w:r>
      <w:r>
        <w:t>F</w:t>
      </w:r>
      <w:r w:rsidRPr="00A77A0B">
        <w:t xml:space="preserve">orce </w:t>
      </w:r>
      <w:r>
        <w:t>must</w:t>
      </w:r>
      <w:r w:rsidR="006C7EB0">
        <w:t>:</w:t>
      </w:r>
      <w:r>
        <w:t xml:space="preserve"> </w:t>
      </w:r>
    </w:p>
    <w:p w14:paraId="705A1EAE" w14:textId="77777777" w:rsidR="00E327D9" w:rsidRPr="004A46EC" w:rsidRDefault="00E327D9" w:rsidP="00183537">
      <w:pPr>
        <w:pStyle w:val="BodyText"/>
        <w:spacing w:beforeLines="30" w:before="72"/>
        <w:ind w:left="0" w:right="720"/>
        <w:jc w:val="both"/>
        <w:rPr>
          <w:sz w:val="20"/>
          <w:szCs w:val="20"/>
        </w:rPr>
      </w:pPr>
    </w:p>
    <w:p w14:paraId="4C57E329" w14:textId="6114895C" w:rsidR="00E327D9" w:rsidRDefault="00E327D9" w:rsidP="00183537">
      <w:pPr>
        <w:pStyle w:val="BodyText"/>
        <w:numPr>
          <w:ilvl w:val="0"/>
          <w:numId w:val="5"/>
        </w:numPr>
        <w:spacing w:beforeLines="30" w:before="72"/>
        <w:ind w:right="720"/>
        <w:jc w:val="both"/>
      </w:pPr>
      <w:r w:rsidRPr="00A77A0B">
        <w:t xml:space="preserve">facilitate timely information sharing among state agencies </w:t>
      </w:r>
      <w:r w:rsidR="00D36732" w:rsidRPr="00A77A0B">
        <w:t>to</w:t>
      </w:r>
      <w:r w:rsidRPr="00A77A0B">
        <w:t xml:space="preserve"> advise or refer matters of potential investigative </w:t>
      </w:r>
      <w:proofErr w:type="gramStart"/>
      <w:r w:rsidRPr="00A77A0B">
        <w:t>interest;</w:t>
      </w:r>
      <w:proofErr w:type="gramEnd"/>
      <w:r w:rsidRPr="00A77A0B">
        <w:t xml:space="preserve"> </w:t>
      </w:r>
    </w:p>
    <w:p w14:paraId="62B26FBD" w14:textId="77777777" w:rsidR="00E327D9" w:rsidRDefault="00E327D9" w:rsidP="003C2F72">
      <w:pPr>
        <w:pStyle w:val="BodyText"/>
        <w:numPr>
          <w:ilvl w:val="0"/>
          <w:numId w:val="5"/>
        </w:numPr>
        <w:spacing w:beforeLines="30" w:before="72"/>
        <w:ind w:right="720"/>
        <w:jc w:val="both"/>
      </w:pPr>
      <w:r w:rsidRPr="00A77A0B">
        <w:t xml:space="preserve">dedicate not less than an aggregate of 20 personnel from member agencies to carry out enforcement and investigative </w:t>
      </w:r>
      <w:proofErr w:type="gramStart"/>
      <w:r w:rsidRPr="00A77A0B">
        <w:t>strategies;</w:t>
      </w:r>
      <w:proofErr w:type="gramEnd"/>
      <w:r w:rsidRPr="00A77A0B">
        <w:t xml:space="preserve"> </w:t>
      </w:r>
    </w:p>
    <w:p w14:paraId="72758950" w14:textId="77777777" w:rsidR="00E327D9" w:rsidRDefault="00E327D9" w:rsidP="003C2F72">
      <w:pPr>
        <w:pStyle w:val="BodyText"/>
        <w:numPr>
          <w:ilvl w:val="0"/>
          <w:numId w:val="5"/>
        </w:numPr>
        <w:spacing w:beforeLines="30" w:before="72"/>
        <w:ind w:right="720"/>
        <w:jc w:val="both"/>
      </w:pPr>
      <w:r w:rsidRPr="00A77A0B">
        <w:t xml:space="preserve">identify where illegal tobacco distribution is most prevalent and target task force members’ investigative and enforcement resources against those in violation of [chapter 64C] and chapter 62C, including through the formation of joint investigative and enforcement </w:t>
      </w:r>
      <w:proofErr w:type="gramStart"/>
      <w:r w:rsidRPr="00A77A0B">
        <w:t>teams;</w:t>
      </w:r>
      <w:proofErr w:type="gramEnd"/>
      <w:r w:rsidRPr="00A77A0B">
        <w:t xml:space="preserve"> </w:t>
      </w:r>
    </w:p>
    <w:p w14:paraId="2221B23B" w14:textId="3A711F73" w:rsidR="00E327D9" w:rsidRDefault="00E327D9" w:rsidP="003C2F72">
      <w:pPr>
        <w:pStyle w:val="BodyText"/>
        <w:numPr>
          <w:ilvl w:val="0"/>
          <w:numId w:val="5"/>
        </w:numPr>
        <w:spacing w:beforeLines="30" w:before="72"/>
        <w:ind w:right="720"/>
        <w:jc w:val="both"/>
      </w:pPr>
      <w:r w:rsidRPr="00A77A0B">
        <w:t xml:space="preserve">assess existing investigative and enforcement methods in the </w:t>
      </w:r>
      <w:r w:rsidR="006C4F39">
        <w:t>C</w:t>
      </w:r>
      <w:r w:rsidRPr="00A77A0B">
        <w:t xml:space="preserve">ommonwealth and in other jurisdictions and develop and recommend strategies to improve those methods; and </w:t>
      </w:r>
    </w:p>
    <w:p w14:paraId="01BF5821" w14:textId="77777777" w:rsidR="00E327D9" w:rsidRPr="00A77A0B" w:rsidRDefault="00E327D9" w:rsidP="003C2F72">
      <w:pPr>
        <w:pStyle w:val="BodyText"/>
        <w:numPr>
          <w:ilvl w:val="0"/>
          <w:numId w:val="5"/>
        </w:numPr>
        <w:spacing w:beforeLines="30" w:before="72"/>
        <w:ind w:right="720"/>
        <w:jc w:val="both"/>
      </w:pPr>
      <w:r w:rsidRPr="00A77A0B">
        <w:t>solicit the cooperation and participation of other relevant enforcement agencies and establish procedures for referring cases to prosecuting authorities as appropriate.</w:t>
      </w:r>
      <w:r>
        <w:rPr>
          <w:rStyle w:val="FootnoteReference"/>
        </w:rPr>
        <w:footnoteReference w:id="3"/>
      </w:r>
      <w:r w:rsidRPr="00A77A0B">
        <w:t xml:space="preserve"> </w:t>
      </w:r>
    </w:p>
    <w:p w14:paraId="51E46853" w14:textId="77777777" w:rsidR="00AC072D" w:rsidRPr="004A46EC" w:rsidRDefault="00AC072D" w:rsidP="00B32253">
      <w:pPr>
        <w:pStyle w:val="BodyText"/>
        <w:ind w:left="0" w:right="113" w:firstLine="720"/>
        <w:jc w:val="both"/>
        <w:rPr>
          <w:sz w:val="20"/>
          <w:szCs w:val="20"/>
        </w:rPr>
      </w:pPr>
    </w:p>
    <w:p w14:paraId="5B22856E" w14:textId="78E689C6" w:rsidR="00E327D9" w:rsidRPr="00A77A0B" w:rsidRDefault="00E327D9" w:rsidP="00B32253">
      <w:pPr>
        <w:pStyle w:val="BodyText"/>
        <w:ind w:left="0" w:right="113" w:firstLine="720"/>
        <w:jc w:val="both"/>
      </w:pPr>
      <w:r w:rsidRPr="00A77A0B">
        <w:t>The Task Force is required to meet at times and places determined by the Co-Chairs as “deemed necessary to carry out its mandate” and to submit a report by March 1 of each year “on the results of its findings, activities and recommendations from the preceding year….”</w:t>
      </w:r>
      <w:r w:rsidRPr="00A77A0B">
        <w:rPr>
          <w:rStyle w:val="FootnoteReference"/>
        </w:rPr>
        <w:footnoteReference w:id="4"/>
      </w:r>
      <w:r w:rsidRPr="00A77A0B">
        <w:t xml:space="preserve"> Specifically, the report shall include: (i) a description of the </w:t>
      </w:r>
      <w:r>
        <w:t>T</w:t>
      </w:r>
      <w:r w:rsidRPr="00A77A0B">
        <w:t xml:space="preserve">ask </w:t>
      </w:r>
      <w:r>
        <w:t>F</w:t>
      </w:r>
      <w:r w:rsidRPr="00A77A0B">
        <w:t xml:space="preserve">orce’s efforts and activities during the year; </w:t>
      </w:r>
      <w:bookmarkStart w:id="2" w:name="_Hlk125357873"/>
      <w:r w:rsidRPr="00A77A0B">
        <w:t xml:space="preserve">(ii) identification of any administrative or legal barriers, including any barriers to multi-agency action or enforcement efforts; </w:t>
      </w:r>
      <w:bookmarkEnd w:id="2"/>
      <w:r w:rsidRPr="00A77A0B">
        <w:t>and (iii) proposed legislative or regulatory changes necessary to strengthen operations and enforcement efforts and reduce or eliminate any impediments to those efforts.</w:t>
      </w:r>
      <w:r w:rsidRPr="00A77A0B">
        <w:rPr>
          <w:rStyle w:val="FootnoteReference"/>
        </w:rPr>
        <w:footnoteReference w:id="5"/>
      </w:r>
      <w:r>
        <w:t xml:space="preserve"> </w:t>
      </w:r>
      <w:r w:rsidRPr="00A77A0B">
        <w:t xml:space="preserve">The report is to be filed with the clerks of the Senate and House of Representatives, the Chairs of the Joint Committee on Revenue, the Chairs of the Senate and House Committees on Ways and Means, and the Chairs of the Joint Committee on Public Safety and Homeland Security. The Task Force is filing this Annual Report </w:t>
      </w:r>
      <w:r w:rsidR="00AC072D">
        <w:t>to comply</w:t>
      </w:r>
      <w:r w:rsidRPr="00A77A0B">
        <w:t xml:space="preserve"> with its March 1, 20</w:t>
      </w:r>
      <w:r>
        <w:t>2</w:t>
      </w:r>
      <w:r w:rsidR="00AC072D">
        <w:t>6</w:t>
      </w:r>
      <w:r w:rsidRPr="00A77A0B">
        <w:t>, reporting obligation.</w:t>
      </w:r>
      <w:r w:rsidRPr="00A77A0B">
        <w:rPr>
          <w:rStyle w:val="FootnoteReference"/>
        </w:rPr>
        <w:footnoteReference w:id="6"/>
      </w:r>
      <w:r w:rsidRPr="00A77A0B">
        <w:t xml:space="preserve">  </w:t>
      </w:r>
    </w:p>
    <w:p w14:paraId="14161FA6" w14:textId="77777777" w:rsidR="00E327D9" w:rsidRPr="00A77A0B" w:rsidRDefault="00E327D9" w:rsidP="00B32253">
      <w:pPr>
        <w:pStyle w:val="Heading1"/>
        <w:numPr>
          <w:ilvl w:val="1"/>
          <w:numId w:val="1"/>
        </w:numPr>
        <w:tabs>
          <w:tab w:val="left" w:pos="841"/>
        </w:tabs>
        <w:spacing w:before="0"/>
        <w:ind w:left="720" w:firstLine="0"/>
        <w:jc w:val="left"/>
        <w:rPr>
          <w:b w:val="0"/>
          <w:bCs w:val="0"/>
        </w:rPr>
      </w:pPr>
      <w:bookmarkStart w:id="3" w:name="II._Executive_Summary"/>
      <w:bookmarkStart w:id="4" w:name="_Toc1574825"/>
      <w:bookmarkEnd w:id="3"/>
      <w:r>
        <w:lastRenderedPageBreak/>
        <w:t>Results and Trends</w:t>
      </w:r>
      <w:bookmarkEnd w:id="4"/>
    </w:p>
    <w:p w14:paraId="2FC8DF2C" w14:textId="77777777" w:rsidR="00E327D9" w:rsidRPr="00A77A0B" w:rsidRDefault="00E327D9" w:rsidP="00B32253">
      <w:pPr>
        <w:pStyle w:val="BodyText"/>
        <w:ind w:left="0" w:right="114" w:firstLine="720"/>
        <w:jc w:val="both"/>
      </w:pPr>
    </w:p>
    <w:p w14:paraId="482679D8" w14:textId="2C33EFBF" w:rsidR="00E327D9" w:rsidRDefault="001F1E3A" w:rsidP="00B32253">
      <w:pPr>
        <w:pStyle w:val="BodyText"/>
        <w:ind w:left="0" w:right="114" w:firstLine="720"/>
        <w:jc w:val="both"/>
      </w:pPr>
      <w:r>
        <w:t>During the past year</w:t>
      </w:r>
      <w:r w:rsidR="00E327D9">
        <w:t>,</w:t>
      </w:r>
      <w:r w:rsidR="00E327D9" w:rsidRPr="00A77A0B">
        <w:t xml:space="preserve"> </w:t>
      </w:r>
      <w:r w:rsidR="00E327D9" w:rsidRPr="000C788B">
        <w:t xml:space="preserve">the Task Force </w:t>
      </w:r>
      <w:r w:rsidR="00057086">
        <w:t xml:space="preserve">has continued to address </w:t>
      </w:r>
      <w:r w:rsidR="00CD3404">
        <w:t>the economic, public health, and public safety challenges</w:t>
      </w:r>
      <w:r w:rsidR="00982DC9" w:rsidRPr="00982DC9">
        <w:t xml:space="preserve"> </w:t>
      </w:r>
      <w:r w:rsidR="00982DC9">
        <w:t xml:space="preserve">associated </w:t>
      </w:r>
      <w:r w:rsidR="00AF3FF3">
        <w:t xml:space="preserve">with </w:t>
      </w:r>
      <w:r w:rsidR="00CD3404">
        <w:t xml:space="preserve">the illegal tobacco market. </w:t>
      </w:r>
      <w:r w:rsidR="00CD3404" w:rsidRPr="000C788B">
        <w:t xml:space="preserve">Irrespective of these challenges, the Task Force has </w:t>
      </w:r>
      <w:r w:rsidR="00CD3404">
        <w:t>w</w:t>
      </w:r>
      <w:r w:rsidR="00CD3404" w:rsidRPr="000C788B">
        <w:t>ork</w:t>
      </w:r>
      <w:r w:rsidR="00CD3404">
        <w:t>ed</w:t>
      </w:r>
      <w:r w:rsidR="00CD3404" w:rsidRPr="000C788B">
        <w:t xml:space="preserve"> with </w:t>
      </w:r>
      <w:r w:rsidR="00CD3404">
        <w:t xml:space="preserve">our </w:t>
      </w:r>
      <w:r w:rsidR="00CD3404" w:rsidRPr="000C788B">
        <w:t>federal, state, and local partner agencies</w:t>
      </w:r>
      <w:r w:rsidR="00CD3404">
        <w:t xml:space="preserve"> to foster compliance with the law as well as dismantle or </w:t>
      </w:r>
      <w:r w:rsidR="00CD3404" w:rsidRPr="000C788B">
        <w:t xml:space="preserve">disrupt sophisticated </w:t>
      </w:r>
      <w:r w:rsidR="00CD3404">
        <w:t xml:space="preserve">tobacco </w:t>
      </w:r>
      <w:r w:rsidR="00CD3404" w:rsidRPr="000C788B">
        <w:t>smuggling operations.</w:t>
      </w:r>
    </w:p>
    <w:p w14:paraId="071D2BAA" w14:textId="351E6161" w:rsidR="00E327D9" w:rsidRDefault="00E327D9" w:rsidP="00B32253">
      <w:pPr>
        <w:pStyle w:val="BodyText"/>
        <w:ind w:left="0" w:right="114" w:firstLine="720"/>
        <w:jc w:val="both"/>
      </w:pPr>
    </w:p>
    <w:p w14:paraId="49C9E061" w14:textId="1790FF29" w:rsidR="001D0392" w:rsidRPr="00110B27" w:rsidRDefault="00E907B5" w:rsidP="00B32253">
      <w:pPr>
        <w:pStyle w:val="BodyText"/>
        <w:numPr>
          <w:ilvl w:val="0"/>
          <w:numId w:val="2"/>
        </w:numPr>
        <w:ind w:right="114"/>
        <w:jc w:val="both"/>
        <w:rPr>
          <w:b/>
        </w:rPr>
      </w:pPr>
      <w:r>
        <w:rPr>
          <w:b/>
        </w:rPr>
        <w:t xml:space="preserve">Most </w:t>
      </w:r>
      <w:r w:rsidR="001D0392">
        <w:rPr>
          <w:b/>
        </w:rPr>
        <w:t xml:space="preserve">Recent </w:t>
      </w:r>
      <w:r w:rsidR="00C37718">
        <w:rPr>
          <w:b/>
        </w:rPr>
        <w:t>Legal</w:t>
      </w:r>
      <w:r w:rsidR="001D0392">
        <w:rPr>
          <w:b/>
        </w:rPr>
        <w:t xml:space="preserve"> Changes Concerning Tobacco Control</w:t>
      </w:r>
    </w:p>
    <w:p w14:paraId="60B1CB8B" w14:textId="77777777" w:rsidR="001D0392" w:rsidRDefault="001D0392" w:rsidP="00B32253">
      <w:pPr>
        <w:pStyle w:val="BodyText"/>
        <w:ind w:left="0" w:right="114" w:firstLine="720"/>
        <w:jc w:val="both"/>
      </w:pPr>
    </w:p>
    <w:p w14:paraId="1FDA7953" w14:textId="1BFB89F7" w:rsidR="001D0392" w:rsidRDefault="00531539" w:rsidP="00B32253">
      <w:pPr>
        <w:pStyle w:val="BodyText"/>
        <w:ind w:left="0" w:right="114" w:firstLine="720"/>
        <w:jc w:val="both"/>
      </w:pPr>
      <w:r>
        <w:t xml:space="preserve">There have </w:t>
      </w:r>
      <w:r w:rsidR="00CB2B3C">
        <w:t>been</w:t>
      </w:r>
      <w:r>
        <w:t xml:space="preserve"> no major changes to the tobacco laws since </w:t>
      </w:r>
      <w:r w:rsidR="00CD3404">
        <w:t>passage of the</w:t>
      </w:r>
      <w:r>
        <w:t xml:space="preserve"> </w:t>
      </w:r>
      <w:r w:rsidR="001D0392">
        <w:t>“Act Modernizing Tobacco Control” into law</w:t>
      </w:r>
      <w:r w:rsidR="00CD3404">
        <w:t xml:space="preserve"> on November 27, 201</w:t>
      </w:r>
      <w:r w:rsidR="007A7F20">
        <w:t>9,</w:t>
      </w:r>
      <w:r w:rsidR="001D0392">
        <w:rPr>
          <w:rStyle w:val="FootnoteReference"/>
        </w:rPr>
        <w:footnoteReference w:id="7"/>
      </w:r>
      <w:r w:rsidR="001D0392">
        <w:t xml:space="preserve"> </w:t>
      </w:r>
      <w:r w:rsidR="00CD3404">
        <w:t xml:space="preserve">which </w:t>
      </w:r>
      <w:r w:rsidR="00A07708">
        <w:t>include</w:t>
      </w:r>
      <w:r>
        <w:t>d</w:t>
      </w:r>
      <w:r w:rsidR="00A07708">
        <w:t xml:space="preserve"> a </w:t>
      </w:r>
      <w:r w:rsidR="001D0392">
        <w:t>ban on the retail sale of flavored tobacco products</w:t>
      </w:r>
      <w:r w:rsidR="00CD3404">
        <w:t xml:space="preserve"> a</w:t>
      </w:r>
      <w:r w:rsidR="001D0392">
        <w:t>nd</w:t>
      </w:r>
      <w:r w:rsidR="001D0392" w:rsidRPr="005F38B6">
        <w:t xml:space="preserve"> </w:t>
      </w:r>
      <w:r w:rsidR="001D0392">
        <w:t>a 75% excise t</w:t>
      </w:r>
      <w:r w:rsidR="00E00963">
        <w:t>a</w:t>
      </w:r>
      <w:r w:rsidR="001D0392">
        <w:t>x on the wholesale price of “electronic nicotine delivery systems” (“ENDS”), commonly referred to as “vape</w:t>
      </w:r>
      <w:r>
        <w:t>.</w:t>
      </w:r>
      <w:r w:rsidR="001D0392">
        <w:t>”</w:t>
      </w:r>
      <w:r>
        <w:t xml:space="preserve"> These laws became effective on June 1, </w:t>
      </w:r>
      <w:r w:rsidR="004F759A">
        <w:t>2020,</w:t>
      </w:r>
      <w:r>
        <w:t xml:space="preserve"> and are still in effect.</w:t>
      </w:r>
      <w:r w:rsidR="001D0392">
        <w:t xml:space="preserve"> </w:t>
      </w:r>
    </w:p>
    <w:p w14:paraId="698A8A0C" w14:textId="77777777" w:rsidR="001D0392" w:rsidRPr="001D0392" w:rsidRDefault="001D0392" w:rsidP="00B32253">
      <w:pPr>
        <w:pStyle w:val="BodyText"/>
        <w:ind w:left="0" w:right="114" w:firstLine="720"/>
        <w:jc w:val="both"/>
      </w:pPr>
    </w:p>
    <w:p w14:paraId="0520C438" w14:textId="3C983F5A" w:rsidR="00E327D9" w:rsidRDefault="00F85C14" w:rsidP="00B32253">
      <w:pPr>
        <w:pStyle w:val="BodyText"/>
        <w:numPr>
          <w:ilvl w:val="0"/>
          <w:numId w:val="2"/>
        </w:numPr>
        <w:ind w:right="114"/>
        <w:jc w:val="both"/>
        <w:rPr>
          <w:b/>
        </w:rPr>
      </w:pPr>
      <w:r>
        <w:rPr>
          <w:b/>
        </w:rPr>
        <w:t xml:space="preserve">Tobacco </w:t>
      </w:r>
      <w:r w:rsidR="00E327D9">
        <w:rPr>
          <w:b/>
        </w:rPr>
        <w:t xml:space="preserve">Excise Tax </w:t>
      </w:r>
      <w:r w:rsidR="00ED59B5">
        <w:rPr>
          <w:b/>
        </w:rPr>
        <w:t>Revenue</w:t>
      </w:r>
    </w:p>
    <w:p w14:paraId="5514594E" w14:textId="6D7191BC" w:rsidR="00E327D9" w:rsidRDefault="00E327D9" w:rsidP="00B32253">
      <w:pPr>
        <w:pStyle w:val="BodyText"/>
        <w:ind w:left="1080" w:right="114"/>
        <w:jc w:val="both"/>
        <w:rPr>
          <w:b/>
        </w:rPr>
      </w:pPr>
    </w:p>
    <w:p w14:paraId="6F3F2847" w14:textId="65C2030D" w:rsidR="00E56B05" w:rsidRPr="00337051" w:rsidRDefault="00E56B05" w:rsidP="00B32253">
      <w:pPr>
        <w:pStyle w:val="BodyText"/>
        <w:ind w:right="114" w:firstLine="600"/>
        <w:jc w:val="both"/>
        <w:rPr>
          <w:b/>
        </w:rPr>
      </w:pPr>
      <w:r>
        <w:t xml:space="preserve">The </w:t>
      </w:r>
      <w:r w:rsidR="0074166A">
        <w:t xml:space="preserve">chart </w:t>
      </w:r>
      <w:r>
        <w:t>below (</w:t>
      </w:r>
      <w:r w:rsidRPr="00183537">
        <w:rPr>
          <w:b/>
          <w:bCs/>
        </w:rPr>
        <w:t>Figure 1</w:t>
      </w:r>
      <w:r>
        <w:t xml:space="preserve">) identifies the tobacco excise tax collected </w:t>
      </w:r>
      <w:r w:rsidR="00337051">
        <w:t xml:space="preserve">by DOR </w:t>
      </w:r>
      <w:r w:rsidR="009826EC">
        <w:t>for FY1</w:t>
      </w:r>
      <w:r w:rsidR="001348E3">
        <w:t>9</w:t>
      </w:r>
      <w:r w:rsidR="009826EC">
        <w:t xml:space="preserve"> through FY2</w:t>
      </w:r>
      <w:r w:rsidR="001348E3">
        <w:t>5</w:t>
      </w:r>
      <w:r w:rsidR="00337051">
        <w:t>.</w:t>
      </w:r>
      <w:r w:rsidRPr="00D337C1">
        <w:rPr>
          <w:rStyle w:val="FootnoteReference"/>
        </w:rPr>
        <w:footnoteReference w:id="8"/>
      </w:r>
      <w:r w:rsidR="00337051">
        <w:rPr>
          <w:b/>
        </w:rPr>
        <w:t xml:space="preserve"> </w:t>
      </w:r>
      <w:r w:rsidR="00656CB5">
        <w:rPr>
          <w:bCs/>
        </w:rPr>
        <w:t>An a</w:t>
      </w:r>
      <w:r w:rsidR="00337051">
        <w:rPr>
          <w:bCs/>
        </w:rPr>
        <w:t xml:space="preserve">nalysis of the revenue data </w:t>
      </w:r>
      <w:r w:rsidR="00656CB5">
        <w:rPr>
          <w:bCs/>
        </w:rPr>
        <w:t>identifies</w:t>
      </w:r>
      <w:r w:rsidR="00337051">
        <w:rPr>
          <w:bCs/>
        </w:rPr>
        <w:t xml:space="preserve"> a </w:t>
      </w:r>
      <w:r w:rsidR="00337051" w:rsidRPr="00337051">
        <w:rPr>
          <w:bCs/>
        </w:rPr>
        <w:t>long</w:t>
      </w:r>
      <w:r w:rsidR="00337051">
        <w:rPr>
          <w:bCs/>
        </w:rPr>
        <w:t>er</w:t>
      </w:r>
      <w:r w:rsidR="009826EC">
        <w:rPr>
          <w:bCs/>
        </w:rPr>
        <w:t>-</w:t>
      </w:r>
      <w:r w:rsidR="00337051" w:rsidRPr="00337051">
        <w:rPr>
          <w:bCs/>
        </w:rPr>
        <w:t xml:space="preserve">term trend related to </w:t>
      </w:r>
      <w:r w:rsidR="00656CB5">
        <w:rPr>
          <w:bCs/>
        </w:rPr>
        <w:t xml:space="preserve">a decline in </w:t>
      </w:r>
      <w:r w:rsidR="00337051" w:rsidRPr="00337051">
        <w:rPr>
          <w:bCs/>
        </w:rPr>
        <w:t>cigarette</w:t>
      </w:r>
      <w:r w:rsidR="00656CB5">
        <w:rPr>
          <w:bCs/>
        </w:rPr>
        <w:t xml:space="preserve"> </w:t>
      </w:r>
      <w:r w:rsidR="004262E0">
        <w:rPr>
          <w:bCs/>
        </w:rPr>
        <w:t xml:space="preserve">and smokeless tobacco </w:t>
      </w:r>
      <w:r w:rsidR="00656CB5">
        <w:rPr>
          <w:bCs/>
        </w:rPr>
        <w:t xml:space="preserve">excise tax collections with </w:t>
      </w:r>
      <w:r w:rsidR="002A5605">
        <w:rPr>
          <w:bCs/>
        </w:rPr>
        <w:t>smaller</w:t>
      </w:r>
      <w:r w:rsidR="004262E0">
        <w:rPr>
          <w:bCs/>
        </w:rPr>
        <w:t xml:space="preserve"> fluctuations in </w:t>
      </w:r>
      <w:r w:rsidR="008E7FB1">
        <w:rPr>
          <w:bCs/>
        </w:rPr>
        <w:t>excise</w:t>
      </w:r>
      <w:r w:rsidR="004262E0">
        <w:rPr>
          <w:bCs/>
        </w:rPr>
        <w:t xml:space="preserve"> collections</w:t>
      </w:r>
      <w:r w:rsidR="00656CB5">
        <w:rPr>
          <w:bCs/>
        </w:rPr>
        <w:t xml:space="preserve"> related to</w:t>
      </w:r>
      <w:r w:rsidR="00337051" w:rsidRPr="00337051">
        <w:rPr>
          <w:bCs/>
        </w:rPr>
        <w:t xml:space="preserve"> </w:t>
      </w:r>
      <w:r w:rsidR="00656CB5" w:rsidRPr="00337051">
        <w:rPr>
          <w:bCs/>
        </w:rPr>
        <w:t>cigar</w:t>
      </w:r>
      <w:r w:rsidR="00656CB5">
        <w:rPr>
          <w:bCs/>
        </w:rPr>
        <w:t xml:space="preserve">s, </w:t>
      </w:r>
      <w:r w:rsidR="00656CB5" w:rsidRPr="00337051">
        <w:rPr>
          <w:bCs/>
        </w:rPr>
        <w:t>smoking tobacco</w:t>
      </w:r>
      <w:r w:rsidR="00656CB5">
        <w:rPr>
          <w:bCs/>
        </w:rPr>
        <w:t xml:space="preserve">, </w:t>
      </w:r>
      <w:r w:rsidR="00337051" w:rsidRPr="00337051">
        <w:rPr>
          <w:bCs/>
        </w:rPr>
        <w:t xml:space="preserve">and </w:t>
      </w:r>
      <w:r w:rsidR="00183537">
        <w:rPr>
          <w:bCs/>
        </w:rPr>
        <w:t>ENDS</w:t>
      </w:r>
      <w:r w:rsidR="00337051" w:rsidRPr="00337051">
        <w:rPr>
          <w:bCs/>
        </w:rPr>
        <w:t>.</w:t>
      </w:r>
    </w:p>
    <w:p w14:paraId="477CB901" w14:textId="77777777" w:rsidR="00337051" w:rsidRDefault="00337051" w:rsidP="00B32253">
      <w:pPr>
        <w:pStyle w:val="BodyText"/>
        <w:ind w:right="114"/>
        <w:jc w:val="both"/>
        <w:rPr>
          <w:b/>
        </w:rPr>
      </w:pPr>
    </w:p>
    <w:p w14:paraId="193032D5" w14:textId="48ED0244" w:rsidR="00E56B05" w:rsidRPr="00A77A0B" w:rsidRDefault="00E56B05" w:rsidP="00B32253">
      <w:pPr>
        <w:pStyle w:val="BodyText"/>
        <w:ind w:right="114"/>
        <w:jc w:val="center"/>
        <w:rPr>
          <w:b/>
        </w:rPr>
      </w:pPr>
      <w:r w:rsidRPr="00A77A0B">
        <w:rPr>
          <w:b/>
        </w:rPr>
        <w:t xml:space="preserve">Figure 1: </w:t>
      </w:r>
      <w:r>
        <w:rPr>
          <w:b/>
        </w:rPr>
        <w:t>MA Tobacco Excise Collections Broken Down by Product Category</w:t>
      </w:r>
      <w:r>
        <w:rPr>
          <w:rStyle w:val="FootnoteReference"/>
          <w:b/>
        </w:rPr>
        <w:footnoteReference w:id="9"/>
      </w:r>
    </w:p>
    <w:p w14:paraId="7D65082A" w14:textId="27F7217B" w:rsidR="00E56B05" w:rsidRDefault="00E56B05" w:rsidP="001F1E3A">
      <w:pPr>
        <w:pStyle w:val="BodyText"/>
        <w:spacing w:beforeLines="30" w:before="72"/>
        <w:ind w:left="0" w:right="114"/>
        <w:jc w:val="both"/>
        <w:rPr>
          <w:b/>
        </w:rPr>
      </w:pPr>
    </w:p>
    <w:tbl>
      <w:tblPr>
        <w:tblStyle w:val="TableGrid"/>
        <w:tblW w:w="9445" w:type="dxa"/>
        <w:jc w:val="center"/>
        <w:shd w:val="clear" w:color="auto" w:fill="BDD6EE" w:themeFill="accent5" w:themeFillTint="66"/>
        <w:tblLayout w:type="fixed"/>
        <w:tblLook w:val="04A0" w:firstRow="1" w:lastRow="0" w:firstColumn="1" w:lastColumn="0" w:noHBand="0" w:noVBand="1"/>
      </w:tblPr>
      <w:tblGrid>
        <w:gridCol w:w="3145"/>
        <w:gridCol w:w="900"/>
        <w:gridCol w:w="900"/>
        <w:gridCol w:w="900"/>
        <w:gridCol w:w="900"/>
        <w:gridCol w:w="900"/>
        <w:gridCol w:w="900"/>
        <w:gridCol w:w="900"/>
      </w:tblGrid>
      <w:tr w:rsidR="001348E3" w:rsidRPr="00DB7BE5" w14:paraId="0C6E04D4" w14:textId="26D6612C" w:rsidTr="00CC21AC">
        <w:trPr>
          <w:jc w:val="center"/>
        </w:trPr>
        <w:tc>
          <w:tcPr>
            <w:tcW w:w="3145" w:type="dxa"/>
            <w:shd w:val="clear" w:color="auto" w:fill="9CC2E5" w:themeFill="accent5" w:themeFillTint="99"/>
          </w:tcPr>
          <w:p w14:paraId="0859674C" w14:textId="610AD913" w:rsidR="001348E3" w:rsidRPr="00DB7BE5" w:rsidRDefault="001348E3" w:rsidP="003C2F72">
            <w:pPr>
              <w:pStyle w:val="BodyText"/>
              <w:spacing w:beforeLines="30" w:before="72"/>
              <w:ind w:left="0" w:right="114"/>
              <w:jc w:val="both"/>
              <w:rPr>
                <w:rFonts w:ascii="Arial" w:hAnsi="Arial" w:cs="Arial"/>
                <w:b/>
                <w:bCs/>
                <w:sz w:val="20"/>
                <w:szCs w:val="20"/>
              </w:rPr>
            </w:pPr>
            <w:bookmarkStart w:id="6" w:name="_Hlk156896786"/>
            <w:r w:rsidRPr="00DB7BE5">
              <w:rPr>
                <w:rFonts w:ascii="Arial" w:hAnsi="Arial" w:cs="Arial"/>
                <w:b/>
                <w:bCs/>
                <w:sz w:val="20"/>
                <w:szCs w:val="20"/>
              </w:rPr>
              <w:t xml:space="preserve">Collections by Type </w:t>
            </w:r>
            <w:r w:rsidRPr="00566716">
              <w:rPr>
                <w:rFonts w:ascii="Arial" w:hAnsi="Arial" w:cs="Arial"/>
                <w:b/>
                <w:bCs/>
                <w:sz w:val="14"/>
                <w:szCs w:val="14"/>
              </w:rPr>
              <w:t xml:space="preserve">(in </w:t>
            </w:r>
            <w:r>
              <w:rPr>
                <w:rFonts w:ascii="Arial" w:hAnsi="Arial" w:cs="Arial"/>
                <w:b/>
                <w:bCs/>
                <w:sz w:val="14"/>
                <w:szCs w:val="14"/>
              </w:rPr>
              <w:t xml:space="preserve">$ </w:t>
            </w:r>
            <w:r w:rsidRPr="00566716">
              <w:rPr>
                <w:rFonts w:ascii="Arial" w:hAnsi="Arial" w:cs="Arial"/>
                <w:b/>
                <w:bCs/>
                <w:sz w:val="14"/>
                <w:szCs w:val="14"/>
              </w:rPr>
              <w:t>Millions)</w:t>
            </w:r>
          </w:p>
        </w:tc>
        <w:tc>
          <w:tcPr>
            <w:tcW w:w="900" w:type="dxa"/>
            <w:shd w:val="clear" w:color="auto" w:fill="9CC2E5" w:themeFill="accent5" w:themeFillTint="99"/>
          </w:tcPr>
          <w:p w14:paraId="02A177BB" w14:textId="77777777" w:rsidR="001348E3" w:rsidRPr="00DB7BE5" w:rsidRDefault="001348E3" w:rsidP="003C2F72">
            <w:pPr>
              <w:pStyle w:val="BodyText"/>
              <w:spacing w:beforeLines="30" w:before="72"/>
              <w:ind w:left="0" w:right="114"/>
              <w:jc w:val="center"/>
              <w:rPr>
                <w:rFonts w:ascii="Arial" w:hAnsi="Arial" w:cs="Arial"/>
                <w:b/>
                <w:bCs/>
                <w:sz w:val="20"/>
                <w:szCs w:val="20"/>
              </w:rPr>
            </w:pPr>
            <w:r w:rsidRPr="00DB7BE5">
              <w:rPr>
                <w:rFonts w:ascii="Arial" w:hAnsi="Arial" w:cs="Arial"/>
                <w:b/>
                <w:bCs/>
                <w:sz w:val="20"/>
                <w:szCs w:val="20"/>
              </w:rPr>
              <w:t>FY19</w:t>
            </w:r>
          </w:p>
        </w:tc>
        <w:tc>
          <w:tcPr>
            <w:tcW w:w="900" w:type="dxa"/>
            <w:shd w:val="clear" w:color="auto" w:fill="9CC2E5" w:themeFill="accent5" w:themeFillTint="99"/>
          </w:tcPr>
          <w:p w14:paraId="077AF77C" w14:textId="77777777" w:rsidR="001348E3" w:rsidRPr="00DB7BE5" w:rsidRDefault="001348E3" w:rsidP="003C2F72">
            <w:pPr>
              <w:pStyle w:val="BodyText"/>
              <w:spacing w:beforeLines="30" w:before="72"/>
              <w:ind w:left="0" w:right="114"/>
              <w:jc w:val="center"/>
              <w:rPr>
                <w:rFonts w:ascii="Arial" w:hAnsi="Arial" w:cs="Arial"/>
                <w:b/>
                <w:bCs/>
                <w:sz w:val="20"/>
                <w:szCs w:val="20"/>
              </w:rPr>
            </w:pPr>
            <w:r w:rsidRPr="00DB7BE5">
              <w:rPr>
                <w:rFonts w:ascii="Arial" w:hAnsi="Arial" w:cs="Arial"/>
                <w:b/>
                <w:bCs/>
                <w:sz w:val="20"/>
                <w:szCs w:val="20"/>
              </w:rPr>
              <w:t>FY20</w:t>
            </w:r>
          </w:p>
        </w:tc>
        <w:tc>
          <w:tcPr>
            <w:tcW w:w="900" w:type="dxa"/>
            <w:shd w:val="clear" w:color="auto" w:fill="9CC2E5" w:themeFill="accent5" w:themeFillTint="99"/>
          </w:tcPr>
          <w:p w14:paraId="13750C85" w14:textId="77777777" w:rsidR="001348E3" w:rsidRPr="00DB7BE5" w:rsidRDefault="001348E3" w:rsidP="003C2F72">
            <w:pPr>
              <w:pStyle w:val="BodyText"/>
              <w:spacing w:beforeLines="30" w:before="72"/>
              <w:ind w:left="0" w:right="114"/>
              <w:jc w:val="center"/>
              <w:rPr>
                <w:rFonts w:ascii="Arial" w:hAnsi="Arial" w:cs="Arial"/>
                <w:b/>
                <w:bCs/>
                <w:sz w:val="20"/>
                <w:szCs w:val="20"/>
              </w:rPr>
            </w:pPr>
            <w:r w:rsidRPr="00DB7BE5">
              <w:rPr>
                <w:rFonts w:ascii="Arial" w:hAnsi="Arial" w:cs="Arial"/>
                <w:b/>
                <w:bCs/>
                <w:sz w:val="20"/>
                <w:szCs w:val="20"/>
              </w:rPr>
              <w:t>FY21</w:t>
            </w:r>
          </w:p>
        </w:tc>
        <w:tc>
          <w:tcPr>
            <w:tcW w:w="900" w:type="dxa"/>
            <w:shd w:val="clear" w:color="auto" w:fill="9CC2E5" w:themeFill="accent5" w:themeFillTint="99"/>
          </w:tcPr>
          <w:p w14:paraId="3DA4469E" w14:textId="53CB3A81" w:rsidR="001348E3" w:rsidRPr="00DB7BE5" w:rsidRDefault="001348E3" w:rsidP="003C2F72">
            <w:pPr>
              <w:pStyle w:val="BodyText"/>
              <w:spacing w:beforeLines="30" w:before="72"/>
              <w:ind w:left="0" w:right="114"/>
              <w:jc w:val="center"/>
              <w:rPr>
                <w:rFonts w:ascii="Arial" w:hAnsi="Arial" w:cs="Arial"/>
                <w:b/>
                <w:bCs/>
                <w:sz w:val="20"/>
                <w:szCs w:val="20"/>
              </w:rPr>
            </w:pPr>
            <w:r>
              <w:rPr>
                <w:rFonts w:ascii="Arial" w:hAnsi="Arial" w:cs="Arial"/>
                <w:b/>
                <w:bCs/>
                <w:sz w:val="20"/>
                <w:szCs w:val="20"/>
              </w:rPr>
              <w:t>FY22</w:t>
            </w:r>
          </w:p>
        </w:tc>
        <w:tc>
          <w:tcPr>
            <w:tcW w:w="900" w:type="dxa"/>
            <w:shd w:val="clear" w:color="auto" w:fill="9CC2E5" w:themeFill="accent5" w:themeFillTint="99"/>
          </w:tcPr>
          <w:p w14:paraId="7B8594FA" w14:textId="7DEE08EE" w:rsidR="001348E3" w:rsidRDefault="001348E3" w:rsidP="003C2F72">
            <w:pPr>
              <w:pStyle w:val="BodyText"/>
              <w:spacing w:beforeLines="30" w:before="72"/>
              <w:ind w:left="0" w:right="114"/>
              <w:jc w:val="center"/>
              <w:rPr>
                <w:rFonts w:ascii="Arial" w:hAnsi="Arial" w:cs="Arial"/>
                <w:b/>
                <w:bCs/>
                <w:sz w:val="20"/>
                <w:szCs w:val="20"/>
              </w:rPr>
            </w:pPr>
            <w:r>
              <w:rPr>
                <w:rFonts w:ascii="Arial" w:hAnsi="Arial" w:cs="Arial"/>
                <w:b/>
                <w:bCs/>
                <w:sz w:val="20"/>
                <w:szCs w:val="20"/>
              </w:rPr>
              <w:t>FY23</w:t>
            </w:r>
          </w:p>
        </w:tc>
        <w:tc>
          <w:tcPr>
            <w:tcW w:w="900" w:type="dxa"/>
            <w:shd w:val="clear" w:color="auto" w:fill="9CC2E5" w:themeFill="accent5" w:themeFillTint="99"/>
          </w:tcPr>
          <w:p w14:paraId="48D8E467" w14:textId="3DC60D78" w:rsidR="001348E3" w:rsidRDefault="001348E3" w:rsidP="003C2F72">
            <w:pPr>
              <w:pStyle w:val="BodyText"/>
              <w:spacing w:beforeLines="30" w:before="72"/>
              <w:ind w:left="0" w:right="114"/>
              <w:jc w:val="center"/>
              <w:rPr>
                <w:rFonts w:ascii="Arial" w:hAnsi="Arial" w:cs="Arial"/>
                <w:b/>
                <w:bCs/>
                <w:sz w:val="20"/>
                <w:szCs w:val="20"/>
              </w:rPr>
            </w:pPr>
            <w:r>
              <w:rPr>
                <w:rFonts w:ascii="Arial" w:hAnsi="Arial" w:cs="Arial"/>
                <w:b/>
                <w:bCs/>
                <w:sz w:val="20"/>
                <w:szCs w:val="20"/>
              </w:rPr>
              <w:t>FY24</w:t>
            </w:r>
          </w:p>
        </w:tc>
        <w:tc>
          <w:tcPr>
            <w:tcW w:w="900" w:type="dxa"/>
            <w:shd w:val="clear" w:color="auto" w:fill="9CC2E5" w:themeFill="accent5" w:themeFillTint="99"/>
          </w:tcPr>
          <w:p w14:paraId="095A8DC9" w14:textId="6D9FE7F0" w:rsidR="001348E3" w:rsidRDefault="001348E3" w:rsidP="003C2F72">
            <w:pPr>
              <w:pStyle w:val="BodyText"/>
              <w:spacing w:beforeLines="30" w:before="72"/>
              <w:ind w:left="0" w:right="114"/>
              <w:jc w:val="center"/>
              <w:rPr>
                <w:rFonts w:ascii="Arial" w:hAnsi="Arial" w:cs="Arial"/>
                <w:b/>
                <w:bCs/>
                <w:sz w:val="20"/>
                <w:szCs w:val="20"/>
              </w:rPr>
            </w:pPr>
            <w:r>
              <w:rPr>
                <w:rFonts w:ascii="Arial" w:hAnsi="Arial" w:cs="Arial"/>
                <w:b/>
                <w:bCs/>
                <w:sz w:val="20"/>
                <w:szCs w:val="20"/>
              </w:rPr>
              <w:t>FY25</w:t>
            </w:r>
          </w:p>
        </w:tc>
      </w:tr>
      <w:tr w:rsidR="001348E3" w:rsidRPr="00DB7BE5" w14:paraId="4A93846F" w14:textId="71FDFF5B" w:rsidTr="001348E3">
        <w:trPr>
          <w:jc w:val="center"/>
        </w:trPr>
        <w:tc>
          <w:tcPr>
            <w:tcW w:w="3145" w:type="dxa"/>
            <w:shd w:val="clear" w:color="auto" w:fill="BDD6EE" w:themeFill="accent5" w:themeFillTint="66"/>
          </w:tcPr>
          <w:p w14:paraId="73BBFE49" w14:textId="77777777" w:rsidR="001348E3" w:rsidRPr="00DB7BE5" w:rsidRDefault="001348E3" w:rsidP="003C2F72">
            <w:pPr>
              <w:pStyle w:val="BodyText"/>
              <w:spacing w:beforeLines="30" w:before="72"/>
              <w:ind w:left="0" w:right="114"/>
              <w:jc w:val="both"/>
              <w:rPr>
                <w:rFonts w:ascii="Arial" w:hAnsi="Arial" w:cs="Arial"/>
                <w:sz w:val="20"/>
                <w:szCs w:val="20"/>
              </w:rPr>
            </w:pPr>
            <w:r w:rsidRPr="00DB7BE5">
              <w:rPr>
                <w:rFonts w:ascii="Arial" w:hAnsi="Arial" w:cs="Arial"/>
                <w:sz w:val="20"/>
                <w:szCs w:val="20"/>
              </w:rPr>
              <w:t>Cigarettes</w:t>
            </w:r>
          </w:p>
        </w:tc>
        <w:tc>
          <w:tcPr>
            <w:tcW w:w="900" w:type="dxa"/>
            <w:shd w:val="clear" w:color="auto" w:fill="BDD6EE" w:themeFill="accent5" w:themeFillTint="66"/>
          </w:tcPr>
          <w:p w14:paraId="350216A6" w14:textId="77777777" w:rsidR="001348E3" w:rsidRPr="00DB7BE5" w:rsidRDefault="001348E3" w:rsidP="003C2F72">
            <w:pPr>
              <w:pStyle w:val="BodyText"/>
              <w:spacing w:beforeLines="30" w:before="72"/>
              <w:ind w:left="0" w:right="114"/>
              <w:jc w:val="center"/>
              <w:rPr>
                <w:rFonts w:ascii="Arial" w:hAnsi="Arial" w:cs="Arial"/>
                <w:sz w:val="20"/>
                <w:szCs w:val="20"/>
              </w:rPr>
            </w:pPr>
            <w:r>
              <w:rPr>
                <w:rFonts w:ascii="Arial" w:hAnsi="Arial" w:cs="Arial"/>
                <w:sz w:val="20"/>
                <w:szCs w:val="20"/>
              </w:rPr>
              <w:t>515.4</w:t>
            </w:r>
          </w:p>
        </w:tc>
        <w:tc>
          <w:tcPr>
            <w:tcW w:w="900" w:type="dxa"/>
            <w:shd w:val="clear" w:color="auto" w:fill="BDD6EE" w:themeFill="accent5" w:themeFillTint="66"/>
          </w:tcPr>
          <w:p w14:paraId="2C2BA809" w14:textId="77777777" w:rsidR="001348E3" w:rsidRPr="00DB7BE5" w:rsidRDefault="001348E3" w:rsidP="003C2F72">
            <w:pPr>
              <w:pStyle w:val="BodyText"/>
              <w:spacing w:beforeLines="30" w:before="72"/>
              <w:ind w:left="0" w:right="114"/>
              <w:jc w:val="center"/>
              <w:rPr>
                <w:rFonts w:ascii="Arial" w:hAnsi="Arial" w:cs="Arial"/>
                <w:sz w:val="20"/>
                <w:szCs w:val="20"/>
              </w:rPr>
            </w:pPr>
            <w:r>
              <w:rPr>
                <w:rFonts w:ascii="Arial" w:hAnsi="Arial" w:cs="Arial"/>
                <w:sz w:val="20"/>
                <w:szCs w:val="20"/>
              </w:rPr>
              <w:t>486.0</w:t>
            </w:r>
          </w:p>
        </w:tc>
        <w:tc>
          <w:tcPr>
            <w:tcW w:w="900" w:type="dxa"/>
            <w:shd w:val="clear" w:color="auto" w:fill="BDD6EE" w:themeFill="accent5" w:themeFillTint="66"/>
          </w:tcPr>
          <w:p w14:paraId="21DA30EC" w14:textId="77777777" w:rsidR="001348E3" w:rsidRPr="00DB7BE5" w:rsidRDefault="001348E3" w:rsidP="003C2F72">
            <w:pPr>
              <w:pStyle w:val="BodyText"/>
              <w:spacing w:beforeLines="30" w:before="72"/>
              <w:ind w:left="0" w:right="114"/>
              <w:jc w:val="center"/>
              <w:rPr>
                <w:rFonts w:ascii="Arial" w:hAnsi="Arial" w:cs="Arial"/>
                <w:sz w:val="20"/>
                <w:szCs w:val="20"/>
              </w:rPr>
            </w:pPr>
            <w:r w:rsidRPr="00D66750">
              <w:rPr>
                <w:rFonts w:ascii="Arial" w:hAnsi="Arial" w:cs="Arial"/>
                <w:sz w:val="20"/>
                <w:szCs w:val="20"/>
              </w:rPr>
              <w:t>370.6</w:t>
            </w:r>
          </w:p>
        </w:tc>
        <w:tc>
          <w:tcPr>
            <w:tcW w:w="900" w:type="dxa"/>
            <w:shd w:val="clear" w:color="auto" w:fill="BDD6EE" w:themeFill="accent5" w:themeFillTint="66"/>
          </w:tcPr>
          <w:p w14:paraId="4C782689" w14:textId="1CC78E0B" w:rsidR="001348E3" w:rsidRPr="00D66750" w:rsidRDefault="001348E3" w:rsidP="003C2F72">
            <w:pPr>
              <w:pStyle w:val="BodyText"/>
              <w:spacing w:beforeLines="30" w:before="72"/>
              <w:ind w:left="0" w:right="114"/>
              <w:jc w:val="center"/>
              <w:rPr>
                <w:rFonts w:ascii="Arial" w:hAnsi="Arial" w:cs="Arial"/>
                <w:sz w:val="20"/>
                <w:szCs w:val="20"/>
              </w:rPr>
            </w:pPr>
            <w:r>
              <w:rPr>
                <w:rFonts w:ascii="Arial" w:hAnsi="Arial" w:cs="Arial"/>
                <w:sz w:val="20"/>
                <w:szCs w:val="20"/>
              </w:rPr>
              <w:t>363.9</w:t>
            </w:r>
          </w:p>
        </w:tc>
        <w:tc>
          <w:tcPr>
            <w:tcW w:w="900" w:type="dxa"/>
            <w:shd w:val="clear" w:color="auto" w:fill="BDD6EE" w:themeFill="accent5" w:themeFillTint="66"/>
          </w:tcPr>
          <w:p w14:paraId="7E2F9DFF" w14:textId="0DDB4D3F" w:rsidR="001348E3" w:rsidRDefault="001348E3" w:rsidP="003C2F72">
            <w:pPr>
              <w:pStyle w:val="BodyText"/>
              <w:spacing w:beforeLines="30" w:before="72"/>
              <w:ind w:left="0" w:right="114"/>
              <w:jc w:val="center"/>
              <w:rPr>
                <w:rFonts w:ascii="Arial" w:hAnsi="Arial" w:cs="Arial"/>
                <w:sz w:val="20"/>
                <w:szCs w:val="20"/>
              </w:rPr>
            </w:pPr>
            <w:r>
              <w:rPr>
                <w:rFonts w:ascii="Arial" w:hAnsi="Arial" w:cs="Arial"/>
                <w:sz w:val="20"/>
                <w:szCs w:val="20"/>
              </w:rPr>
              <w:t>338.7</w:t>
            </w:r>
          </w:p>
        </w:tc>
        <w:tc>
          <w:tcPr>
            <w:tcW w:w="900" w:type="dxa"/>
            <w:shd w:val="clear" w:color="auto" w:fill="BDD6EE" w:themeFill="accent5" w:themeFillTint="66"/>
          </w:tcPr>
          <w:p w14:paraId="17702C07" w14:textId="4611AE54" w:rsidR="001348E3" w:rsidRDefault="001348E3" w:rsidP="003C2F72">
            <w:pPr>
              <w:pStyle w:val="BodyText"/>
              <w:spacing w:beforeLines="30" w:before="72"/>
              <w:ind w:left="0" w:right="114"/>
              <w:jc w:val="center"/>
              <w:rPr>
                <w:rFonts w:ascii="Arial" w:hAnsi="Arial" w:cs="Arial"/>
                <w:sz w:val="20"/>
                <w:szCs w:val="20"/>
              </w:rPr>
            </w:pPr>
            <w:r>
              <w:rPr>
                <w:rFonts w:ascii="Arial" w:hAnsi="Arial" w:cs="Arial"/>
                <w:sz w:val="20"/>
                <w:szCs w:val="20"/>
              </w:rPr>
              <w:t>315.3</w:t>
            </w:r>
          </w:p>
        </w:tc>
        <w:tc>
          <w:tcPr>
            <w:tcW w:w="900" w:type="dxa"/>
            <w:shd w:val="clear" w:color="auto" w:fill="BDD6EE" w:themeFill="accent5" w:themeFillTint="66"/>
          </w:tcPr>
          <w:p w14:paraId="383A2DC3" w14:textId="427C6AAB" w:rsidR="001348E3" w:rsidRDefault="00A46781" w:rsidP="003C2F72">
            <w:pPr>
              <w:pStyle w:val="BodyText"/>
              <w:spacing w:beforeLines="30" w:before="72"/>
              <w:ind w:left="0" w:right="114"/>
              <w:jc w:val="center"/>
              <w:rPr>
                <w:rFonts w:ascii="Arial" w:hAnsi="Arial" w:cs="Arial"/>
                <w:sz w:val="20"/>
                <w:szCs w:val="20"/>
              </w:rPr>
            </w:pPr>
            <w:r>
              <w:rPr>
                <w:rFonts w:ascii="Arial" w:hAnsi="Arial" w:cs="Arial"/>
                <w:sz w:val="20"/>
                <w:szCs w:val="20"/>
              </w:rPr>
              <w:t>289.4</w:t>
            </w:r>
          </w:p>
        </w:tc>
      </w:tr>
      <w:tr w:rsidR="001348E3" w:rsidRPr="00DB7BE5" w14:paraId="573530B1" w14:textId="2AFA544E" w:rsidTr="001348E3">
        <w:trPr>
          <w:jc w:val="center"/>
        </w:trPr>
        <w:tc>
          <w:tcPr>
            <w:tcW w:w="3145" w:type="dxa"/>
            <w:shd w:val="clear" w:color="auto" w:fill="BDD6EE" w:themeFill="accent5" w:themeFillTint="66"/>
          </w:tcPr>
          <w:p w14:paraId="184C60BB" w14:textId="77777777" w:rsidR="001348E3" w:rsidRPr="00DB7BE5" w:rsidRDefault="001348E3" w:rsidP="003C2F72">
            <w:pPr>
              <w:pStyle w:val="BodyText"/>
              <w:spacing w:beforeLines="30" w:before="72"/>
              <w:ind w:left="0" w:right="114"/>
              <w:jc w:val="both"/>
              <w:rPr>
                <w:rFonts w:ascii="Arial" w:hAnsi="Arial" w:cs="Arial"/>
                <w:sz w:val="20"/>
                <w:szCs w:val="20"/>
              </w:rPr>
            </w:pPr>
            <w:r w:rsidRPr="00DB7BE5">
              <w:rPr>
                <w:rFonts w:ascii="Arial" w:hAnsi="Arial" w:cs="Arial"/>
                <w:sz w:val="20"/>
                <w:szCs w:val="20"/>
              </w:rPr>
              <w:t>Smokeless Tobacco</w:t>
            </w:r>
          </w:p>
        </w:tc>
        <w:tc>
          <w:tcPr>
            <w:tcW w:w="900" w:type="dxa"/>
            <w:shd w:val="clear" w:color="auto" w:fill="BDD6EE" w:themeFill="accent5" w:themeFillTint="66"/>
          </w:tcPr>
          <w:p w14:paraId="6CAF78F9" w14:textId="77777777" w:rsidR="001348E3" w:rsidRPr="00DB7BE5" w:rsidRDefault="001348E3" w:rsidP="003C2F72">
            <w:pPr>
              <w:pStyle w:val="BodyText"/>
              <w:spacing w:beforeLines="30" w:before="72"/>
              <w:ind w:left="0" w:right="114"/>
              <w:jc w:val="center"/>
              <w:rPr>
                <w:rFonts w:ascii="Arial" w:hAnsi="Arial" w:cs="Arial"/>
                <w:sz w:val="20"/>
                <w:szCs w:val="20"/>
              </w:rPr>
            </w:pPr>
            <w:r>
              <w:rPr>
                <w:rFonts w:ascii="Arial" w:hAnsi="Arial" w:cs="Arial"/>
                <w:sz w:val="20"/>
                <w:szCs w:val="20"/>
              </w:rPr>
              <w:t>23.1</w:t>
            </w:r>
          </w:p>
        </w:tc>
        <w:tc>
          <w:tcPr>
            <w:tcW w:w="900" w:type="dxa"/>
            <w:shd w:val="clear" w:color="auto" w:fill="BDD6EE" w:themeFill="accent5" w:themeFillTint="66"/>
          </w:tcPr>
          <w:p w14:paraId="22C0CD2A" w14:textId="77777777" w:rsidR="001348E3" w:rsidRPr="00DB7BE5" w:rsidRDefault="001348E3" w:rsidP="003C2F72">
            <w:pPr>
              <w:pStyle w:val="BodyText"/>
              <w:spacing w:beforeLines="30" w:before="72"/>
              <w:ind w:left="0" w:right="114"/>
              <w:jc w:val="center"/>
              <w:rPr>
                <w:rFonts w:ascii="Arial" w:hAnsi="Arial" w:cs="Arial"/>
                <w:sz w:val="20"/>
                <w:szCs w:val="20"/>
              </w:rPr>
            </w:pPr>
            <w:r>
              <w:rPr>
                <w:rFonts w:ascii="Arial" w:hAnsi="Arial" w:cs="Arial"/>
                <w:sz w:val="20"/>
                <w:szCs w:val="20"/>
              </w:rPr>
              <w:t>21.6</w:t>
            </w:r>
          </w:p>
        </w:tc>
        <w:tc>
          <w:tcPr>
            <w:tcW w:w="900" w:type="dxa"/>
            <w:shd w:val="clear" w:color="auto" w:fill="BDD6EE" w:themeFill="accent5" w:themeFillTint="66"/>
          </w:tcPr>
          <w:p w14:paraId="598B7C87" w14:textId="77777777" w:rsidR="001348E3" w:rsidRPr="00DB7BE5" w:rsidRDefault="001348E3" w:rsidP="003C2F72">
            <w:pPr>
              <w:pStyle w:val="BodyText"/>
              <w:spacing w:beforeLines="30" w:before="72"/>
              <w:ind w:left="0" w:right="114"/>
              <w:jc w:val="center"/>
              <w:rPr>
                <w:rFonts w:ascii="Arial" w:hAnsi="Arial" w:cs="Arial"/>
                <w:sz w:val="20"/>
                <w:szCs w:val="20"/>
              </w:rPr>
            </w:pPr>
            <w:r>
              <w:rPr>
                <w:rFonts w:ascii="Arial" w:hAnsi="Arial" w:cs="Arial"/>
                <w:sz w:val="20"/>
                <w:szCs w:val="20"/>
              </w:rPr>
              <w:t>12.3</w:t>
            </w:r>
          </w:p>
        </w:tc>
        <w:tc>
          <w:tcPr>
            <w:tcW w:w="900" w:type="dxa"/>
            <w:shd w:val="clear" w:color="auto" w:fill="BDD6EE" w:themeFill="accent5" w:themeFillTint="66"/>
          </w:tcPr>
          <w:p w14:paraId="05A92758" w14:textId="1CC5D0A5" w:rsidR="001348E3" w:rsidRDefault="001348E3" w:rsidP="003C2F72">
            <w:pPr>
              <w:pStyle w:val="BodyText"/>
              <w:spacing w:beforeLines="30" w:before="72"/>
              <w:ind w:left="0" w:right="114"/>
              <w:jc w:val="center"/>
              <w:rPr>
                <w:rFonts w:ascii="Arial" w:hAnsi="Arial" w:cs="Arial"/>
                <w:sz w:val="20"/>
                <w:szCs w:val="20"/>
              </w:rPr>
            </w:pPr>
            <w:r>
              <w:rPr>
                <w:rFonts w:ascii="Arial" w:hAnsi="Arial" w:cs="Arial"/>
                <w:sz w:val="20"/>
                <w:szCs w:val="20"/>
              </w:rPr>
              <w:t>12.3</w:t>
            </w:r>
          </w:p>
        </w:tc>
        <w:tc>
          <w:tcPr>
            <w:tcW w:w="900" w:type="dxa"/>
            <w:shd w:val="clear" w:color="auto" w:fill="BDD6EE" w:themeFill="accent5" w:themeFillTint="66"/>
          </w:tcPr>
          <w:p w14:paraId="7555FE92" w14:textId="2147949E" w:rsidR="001348E3" w:rsidRDefault="001348E3" w:rsidP="003C2F72">
            <w:pPr>
              <w:pStyle w:val="BodyText"/>
              <w:spacing w:beforeLines="30" w:before="72"/>
              <w:ind w:left="0" w:right="114"/>
              <w:jc w:val="center"/>
              <w:rPr>
                <w:rFonts w:ascii="Arial" w:hAnsi="Arial" w:cs="Arial"/>
                <w:sz w:val="20"/>
                <w:szCs w:val="20"/>
              </w:rPr>
            </w:pPr>
            <w:r>
              <w:rPr>
                <w:rFonts w:ascii="Arial" w:hAnsi="Arial" w:cs="Arial"/>
                <w:sz w:val="20"/>
                <w:szCs w:val="20"/>
              </w:rPr>
              <w:t>11.3</w:t>
            </w:r>
          </w:p>
        </w:tc>
        <w:tc>
          <w:tcPr>
            <w:tcW w:w="900" w:type="dxa"/>
            <w:shd w:val="clear" w:color="auto" w:fill="BDD6EE" w:themeFill="accent5" w:themeFillTint="66"/>
          </w:tcPr>
          <w:p w14:paraId="08177B17" w14:textId="1052C912" w:rsidR="001348E3" w:rsidRDefault="001348E3" w:rsidP="003C2F72">
            <w:pPr>
              <w:pStyle w:val="BodyText"/>
              <w:spacing w:beforeLines="30" w:before="72"/>
              <w:ind w:left="0" w:right="114"/>
              <w:jc w:val="center"/>
              <w:rPr>
                <w:rFonts w:ascii="Arial" w:hAnsi="Arial" w:cs="Arial"/>
                <w:sz w:val="20"/>
                <w:szCs w:val="20"/>
              </w:rPr>
            </w:pPr>
            <w:r>
              <w:rPr>
                <w:rFonts w:ascii="Arial" w:hAnsi="Arial" w:cs="Arial"/>
                <w:sz w:val="20"/>
                <w:szCs w:val="20"/>
              </w:rPr>
              <w:t>9.2</w:t>
            </w:r>
          </w:p>
        </w:tc>
        <w:tc>
          <w:tcPr>
            <w:tcW w:w="900" w:type="dxa"/>
            <w:shd w:val="clear" w:color="auto" w:fill="BDD6EE" w:themeFill="accent5" w:themeFillTint="66"/>
          </w:tcPr>
          <w:p w14:paraId="6080EC3B" w14:textId="63522173" w:rsidR="001348E3" w:rsidRDefault="00A46781" w:rsidP="003C2F72">
            <w:pPr>
              <w:pStyle w:val="BodyText"/>
              <w:spacing w:beforeLines="30" w:before="72"/>
              <w:ind w:left="0" w:right="114"/>
              <w:jc w:val="center"/>
              <w:rPr>
                <w:rFonts w:ascii="Arial" w:hAnsi="Arial" w:cs="Arial"/>
                <w:sz w:val="20"/>
                <w:szCs w:val="20"/>
              </w:rPr>
            </w:pPr>
            <w:r>
              <w:rPr>
                <w:rFonts w:ascii="Arial" w:hAnsi="Arial" w:cs="Arial"/>
                <w:sz w:val="20"/>
                <w:szCs w:val="20"/>
              </w:rPr>
              <w:t>8.3</w:t>
            </w:r>
          </w:p>
        </w:tc>
      </w:tr>
      <w:tr w:rsidR="001348E3" w:rsidRPr="00DB7BE5" w14:paraId="01EF2A62" w14:textId="4CF3809B" w:rsidTr="001348E3">
        <w:trPr>
          <w:jc w:val="center"/>
        </w:trPr>
        <w:tc>
          <w:tcPr>
            <w:tcW w:w="3145" w:type="dxa"/>
            <w:shd w:val="clear" w:color="auto" w:fill="BDD6EE" w:themeFill="accent5" w:themeFillTint="66"/>
          </w:tcPr>
          <w:p w14:paraId="2E99D47D" w14:textId="77777777" w:rsidR="001348E3" w:rsidRPr="00DB7BE5" w:rsidRDefault="001348E3" w:rsidP="003C2F72">
            <w:pPr>
              <w:pStyle w:val="BodyText"/>
              <w:spacing w:beforeLines="30" w:before="72"/>
              <w:ind w:left="0" w:right="114"/>
              <w:jc w:val="both"/>
              <w:rPr>
                <w:rFonts w:ascii="Arial" w:hAnsi="Arial" w:cs="Arial"/>
                <w:sz w:val="20"/>
                <w:szCs w:val="20"/>
              </w:rPr>
            </w:pPr>
            <w:r w:rsidRPr="00DB7BE5">
              <w:rPr>
                <w:rFonts w:ascii="Arial" w:hAnsi="Arial" w:cs="Arial"/>
                <w:sz w:val="20"/>
                <w:szCs w:val="20"/>
              </w:rPr>
              <w:t>Cigar &amp; Smoking Tobacco</w:t>
            </w:r>
          </w:p>
        </w:tc>
        <w:tc>
          <w:tcPr>
            <w:tcW w:w="900" w:type="dxa"/>
            <w:shd w:val="clear" w:color="auto" w:fill="BDD6EE" w:themeFill="accent5" w:themeFillTint="66"/>
          </w:tcPr>
          <w:p w14:paraId="059683A5" w14:textId="77777777" w:rsidR="001348E3" w:rsidRPr="00DB7BE5" w:rsidRDefault="001348E3" w:rsidP="003C2F72">
            <w:pPr>
              <w:pStyle w:val="BodyText"/>
              <w:spacing w:beforeLines="30" w:before="72"/>
              <w:ind w:left="0" w:right="114"/>
              <w:jc w:val="center"/>
              <w:rPr>
                <w:rFonts w:ascii="Arial" w:hAnsi="Arial" w:cs="Arial"/>
                <w:sz w:val="20"/>
                <w:szCs w:val="20"/>
              </w:rPr>
            </w:pPr>
            <w:r>
              <w:rPr>
                <w:rFonts w:ascii="Arial" w:hAnsi="Arial" w:cs="Arial"/>
                <w:sz w:val="20"/>
                <w:szCs w:val="20"/>
              </w:rPr>
              <w:t>18.2</w:t>
            </w:r>
          </w:p>
        </w:tc>
        <w:tc>
          <w:tcPr>
            <w:tcW w:w="900" w:type="dxa"/>
            <w:shd w:val="clear" w:color="auto" w:fill="BDD6EE" w:themeFill="accent5" w:themeFillTint="66"/>
          </w:tcPr>
          <w:p w14:paraId="7A44FEA5" w14:textId="77777777" w:rsidR="001348E3" w:rsidRPr="00DB7BE5" w:rsidRDefault="001348E3" w:rsidP="003C2F72">
            <w:pPr>
              <w:pStyle w:val="BodyText"/>
              <w:spacing w:beforeLines="30" w:before="72"/>
              <w:ind w:left="0" w:right="114"/>
              <w:jc w:val="center"/>
              <w:rPr>
                <w:rFonts w:ascii="Arial" w:hAnsi="Arial" w:cs="Arial"/>
                <w:sz w:val="20"/>
                <w:szCs w:val="20"/>
              </w:rPr>
            </w:pPr>
            <w:r>
              <w:rPr>
                <w:rFonts w:ascii="Arial" w:hAnsi="Arial" w:cs="Arial"/>
                <w:sz w:val="20"/>
                <w:szCs w:val="20"/>
              </w:rPr>
              <w:t>16.3</w:t>
            </w:r>
          </w:p>
        </w:tc>
        <w:tc>
          <w:tcPr>
            <w:tcW w:w="900" w:type="dxa"/>
            <w:shd w:val="clear" w:color="auto" w:fill="BDD6EE" w:themeFill="accent5" w:themeFillTint="66"/>
          </w:tcPr>
          <w:p w14:paraId="43E9F880" w14:textId="77777777" w:rsidR="001348E3" w:rsidRPr="00DB7BE5" w:rsidRDefault="001348E3" w:rsidP="003C2F72">
            <w:pPr>
              <w:pStyle w:val="BodyText"/>
              <w:spacing w:beforeLines="30" w:before="72"/>
              <w:ind w:left="0" w:right="114"/>
              <w:jc w:val="center"/>
              <w:rPr>
                <w:rFonts w:ascii="Arial" w:hAnsi="Arial" w:cs="Arial"/>
                <w:sz w:val="20"/>
                <w:szCs w:val="20"/>
              </w:rPr>
            </w:pPr>
            <w:r>
              <w:rPr>
                <w:rFonts w:ascii="Arial" w:hAnsi="Arial" w:cs="Arial"/>
                <w:sz w:val="20"/>
                <w:szCs w:val="20"/>
              </w:rPr>
              <w:t>15.2</w:t>
            </w:r>
          </w:p>
        </w:tc>
        <w:tc>
          <w:tcPr>
            <w:tcW w:w="900" w:type="dxa"/>
            <w:shd w:val="clear" w:color="auto" w:fill="BDD6EE" w:themeFill="accent5" w:themeFillTint="66"/>
          </w:tcPr>
          <w:p w14:paraId="3833B8B1" w14:textId="5BD4B4F5" w:rsidR="001348E3" w:rsidRDefault="001348E3" w:rsidP="003C2F72">
            <w:pPr>
              <w:pStyle w:val="BodyText"/>
              <w:spacing w:beforeLines="30" w:before="72"/>
              <w:ind w:left="0" w:right="114"/>
              <w:jc w:val="center"/>
              <w:rPr>
                <w:rFonts w:ascii="Arial" w:hAnsi="Arial" w:cs="Arial"/>
                <w:sz w:val="20"/>
                <w:szCs w:val="20"/>
              </w:rPr>
            </w:pPr>
            <w:r>
              <w:rPr>
                <w:rFonts w:ascii="Arial" w:hAnsi="Arial" w:cs="Arial"/>
                <w:sz w:val="20"/>
                <w:szCs w:val="20"/>
              </w:rPr>
              <w:t>14.5</w:t>
            </w:r>
          </w:p>
        </w:tc>
        <w:tc>
          <w:tcPr>
            <w:tcW w:w="900" w:type="dxa"/>
            <w:shd w:val="clear" w:color="auto" w:fill="BDD6EE" w:themeFill="accent5" w:themeFillTint="66"/>
          </w:tcPr>
          <w:p w14:paraId="3FE80D3D" w14:textId="301BA657" w:rsidR="001348E3" w:rsidRDefault="001348E3" w:rsidP="003C2F72">
            <w:pPr>
              <w:pStyle w:val="BodyText"/>
              <w:spacing w:beforeLines="30" w:before="72"/>
              <w:ind w:left="0" w:right="114"/>
              <w:jc w:val="center"/>
              <w:rPr>
                <w:rFonts w:ascii="Arial" w:hAnsi="Arial" w:cs="Arial"/>
                <w:sz w:val="20"/>
                <w:szCs w:val="20"/>
              </w:rPr>
            </w:pPr>
            <w:r>
              <w:rPr>
                <w:rFonts w:ascii="Arial" w:hAnsi="Arial" w:cs="Arial"/>
                <w:sz w:val="20"/>
                <w:szCs w:val="20"/>
              </w:rPr>
              <w:t>15.3</w:t>
            </w:r>
          </w:p>
        </w:tc>
        <w:tc>
          <w:tcPr>
            <w:tcW w:w="900" w:type="dxa"/>
            <w:shd w:val="clear" w:color="auto" w:fill="BDD6EE" w:themeFill="accent5" w:themeFillTint="66"/>
          </w:tcPr>
          <w:p w14:paraId="4D2825A2" w14:textId="585920E4" w:rsidR="001348E3" w:rsidRDefault="001348E3" w:rsidP="003C2F72">
            <w:pPr>
              <w:pStyle w:val="BodyText"/>
              <w:spacing w:beforeLines="30" w:before="72"/>
              <w:ind w:left="0" w:right="114"/>
              <w:jc w:val="center"/>
              <w:rPr>
                <w:rFonts w:ascii="Arial" w:hAnsi="Arial" w:cs="Arial"/>
                <w:sz w:val="20"/>
                <w:szCs w:val="20"/>
              </w:rPr>
            </w:pPr>
            <w:r>
              <w:rPr>
                <w:rFonts w:ascii="Arial" w:hAnsi="Arial" w:cs="Arial"/>
                <w:sz w:val="20"/>
                <w:szCs w:val="20"/>
              </w:rPr>
              <w:t>15.0</w:t>
            </w:r>
          </w:p>
        </w:tc>
        <w:tc>
          <w:tcPr>
            <w:tcW w:w="900" w:type="dxa"/>
            <w:shd w:val="clear" w:color="auto" w:fill="BDD6EE" w:themeFill="accent5" w:themeFillTint="66"/>
          </w:tcPr>
          <w:p w14:paraId="349986BD" w14:textId="342D4C78" w:rsidR="001348E3" w:rsidRDefault="00A46781" w:rsidP="003C2F72">
            <w:pPr>
              <w:pStyle w:val="BodyText"/>
              <w:spacing w:beforeLines="30" w:before="72"/>
              <w:ind w:left="0" w:right="114"/>
              <w:jc w:val="center"/>
              <w:rPr>
                <w:rFonts w:ascii="Arial" w:hAnsi="Arial" w:cs="Arial"/>
                <w:sz w:val="20"/>
                <w:szCs w:val="20"/>
              </w:rPr>
            </w:pPr>
            <w:r>
              <w:rPr>
                <w:rFonts w:ascii="Arial" w:hAnsi="Arial" w:cs="Arial"/>
                <w:sz w:val="20"/>
                <w:szCs w:val="20"/>
              </w:rPr>
              <w:t>14.8</w:t>
            </w:r>
          </w:p>
        </w:tc>
      </w:tr>
      <w:tr w:rsidR="001348E3" w:rsidRPr="00DB7BE5" w14:paraId="49DCBF91" w14:textId="00D2BEA1" w:rsidTr="001348E3">
        <w:trPr>
          <w:jc w:val="center"/>
        </w:trPr>
        <w:tc>
          <w:tcPr>
            <w:tcW w:w="3145" w:type="dxa"/>
            <w:shd w:val="clear" w:color="auto" w:fill="BDD6EE" w:themeFill="accent5" w:themeFillTint="66"/>
          </w:tcPr>
          <w:p w14:paraId="4F39A9F2" w14:textId="77777777" w:rsidR="001348E3" w:rsidRPr="00DB7BE5" w:rsidRDefault="001348E3" w:rsidP="003C2F72">
            <w:pPr>
              <w:pStyle w:val="BodyText"/>
              <w:spacing w:beforeLines="30" w:before="72"/>
              <w:ind w:left="0" w:right="114"/>
              <w:jc w:val="both"/>
              <w:rPr>
                <w:rFonts w:ascii="Arial" w:hAnsi="Arial" w:cs="Arial"/>
                <w:sz w:val="20"/>
                <w:szCs w:val="20"/>
              </w:rPr>
            </w:pPr>
            <w:r w:rsidRPr="00DB7BE5">
              <w:rPr>
                <w:rFonts w:ascii="Arial" w:hAnsi="Arial" w:cs="Arial"/>
                <w:sz w:val="20"/>
                <w:szCs w:val="20"/>
              </w:rPr>
              <w:t>ENDS</w:t>
            </w:r>
          </w:p>
        </w:tc>
        <w:tc>
          <w:tcPr>
            <w:tcW w:w="900" w:type="dxa"/>
            <w:shd w:val="clear" w:color="auto" w:fill="BDD6EE" w:themeFill="accent5" w:themeFillTint="66"/>
          </w:tcPr>
          <w:p w14:paraId="7999AB50" w14:textId="77777777" w:rsidR="001348E3" w:rsidRPr="00DB7BE5" w:rsidRDefault="001348E3" w:rsidP="003C2F72">
            <w:pPr>
              <w:pStyle w:val="BodyText"/>
              <w:spacing w:beforeLines="30" w:before="72"/>
              <w:ind w:left="0" w:right="114"/>
              <w:jc w:val="center"/>
              <w:rPr>
                <w:rFonts w:ascii="Arial" w:hAnsi="Arial" w:cs="Arial"/>
                <w:sz w:val="20"/>
                <w:szCs w:val="20"/>
              </w:rPr>
            </w:pPr>
            <w:r>
              <w:rPr>
                <w:rFonts w:ascii="Arial" w:hAnsi="Arial" w:cs="Arial"/>
                <w:sz w:val="20"/>
                <w:szCs w:val="20"/>
              </w:rPr>
              <w:t>N/A</w:t>
            </w:r>
          </w:p>
        </w:tc>
        <w:tc>
          <w:tcPr>
            <w:tcW w:w="900" w:type="dxa"/>
            <w:shd w:val="clear" w:color="auto" w:fill="BDD6EE" w:themeFill="accent5" w:themeFillTint="66"/>
          </w:tcPr>
          <w:p w14:paraId="174E0D95" w14:textId="77777777" w:rsidR="001348E3" w:rsidRPr="00DB7BE5" w:rsidRDefault="001348E3" w:rsidP="003C2F72">
            <w:pPr>
              <w:pStyle w:val="BodyText"/>
              <w:spacing w:beforeLines="30" w:before="72"/>
              <w:ind w:left="0" w:right="114"/>
              <w:jc w:val="center"/>
              <w:rPr>
                <w:rFonts w:ascii="Arial" w:hAnsi="Arial" w:cs="Arial"/>
                <w:sz w:val="20"/>
                <w:szCs w:val="20"/>
              </w:rPr>
            </w:pPr>
            <w:r>
              <w:rPr>
                <w:rFonts w:ascii="Arial" w:hAnsi="Arial" w:cs="Arial"/>
                <w:sz w:val="20"/>
                <w:szCs w:val="20"/>
              </w:rPr>
              <w:t>1.7</w:t>
            </w:r>
            <w:r>
              <w:rPr>
                <w:rStyle w:val="FootnoteReference"/>
                <w:rFonts w:ascii="Arial" w:hAnsi="Arial" w:cs="Arial"/>
                <w:sz w:val="20"/>
                <w:szCs w:val="20"/>
              </w:rPr>
              <w:footnoteReference w:id="10"/>
            </w:r>
          </w:p>
        </w:tc>
        <w:tc>
          <w:tcPr>
            <w:tcW w:w="900" w:type="dxa"/>
            <w:shd w:val="clear" w:color="auto" w:fill="BDD6EE" w:themeFill="accent5" w:themeFillTint="66"/>
          </w:tcPr>
          <w:p w14:paraId="286BC7CD" w14:textId="77777777" w:rsidR="001348E3" w:rsidRPr="00DB7BE5" w:rsidRDefault="001348E3" w:rsidP="003C2F72">
            <w:pPr>
              <w:pStyle w:val="BodyText"/>
              <w:spacing w:beforeLines="30" w:before="72"/>
              <w:ind w:left="0" w:right="114"/>
              <w:jc w:val="center"/>
              <w:rPr>
                <w:rFonts w:ascii="Arial" w:hAnsi="Arial" w:cs="Arial"/>
                <w:sz w:val="20"/>
                <w:szCs w:val="20"/>
              </w:rPr>
            </w:pPr>
            <w:r>
              <w:rPr>
                <w:rFonts w:ascii="Arial" w:hAnsi="Arial" w:cs="Arial"/>
                <w:sz w:val="20"/>
                <w:szCs w:val="20"/>
              </w:rPr>
              <w:t>13.3</w:t>
            </w:r>
          </w:p>
        </w:tc>
        <w:tc>
          <w:tcPr>
            <w:tcW w:w="900" w:type="dxa"/>
            <w:shd w:val="clear" w:color="auto" w:fill="BDD6EE" w:themeFill="accent5" w:themeFillTint="66"/>
          </w:tcPr>
          <w:p w14:paraId="64423AB8" w14:textId="67581574" w:rsidR="001348E3" w:rsidRDefault="001348E3" w:rsidP="003C2F72">
            <w:pPr>
              <w:pStyle w:val="BodyText"/>
              <w:spacing w:beforeLines="30" w:before="72"/>
              <w:ind w:left="0" w:right="114"/>
              <w:jc w:val="center"/>
              <w:rPr>
                <w:rFonts w:ascii="Arial" w:hAnsi="Arial" w:cs="Arial"/>
                <w:sz w:val="20"/>
                <w:szCs w:val="20"/>
              </w:rPr>
            </w:pPr>
            <w:r>
              <w:rPr>
                <w:rFonts w:ascii="Arial" w:hAnsi="Arial" w:cs="Arial"/>
                <w:sz w:val="20"/>
                <w:szCs w:val="20"/>
              </w:rPr>
              <w:t>16.3</w:t>
            </w:r>
          </w:p>
        </w:tc>
        <w:tc>
          <w:tcPr>
            <w:tcW w:w="900" w:type="dxa"/>
            <w:shd w:val="clear" w:color="auto" w:fill="BDD6EE" w:themeFill="accent5" w:themeFillTint="66"/>
          </w:tcPr>
          <w:p w14:paraId="668C580D" w14:textId="04E0E61A" w:rsidR="001348E3" w:rsidRDefault="001348E3" w:rsidP="003C2F72">
            <w:pPr>
              <w:pStyle w:val="BodyText"/>
              <w:spacing w:beforeLines="30" w:before="72"/>
              <w:ind w:left="0" w:right="114"/>
              <w:jc w:val="center"/>
              <w:rPr>
                <w:rFonts w:ascii="Arial" w:hAnsi="Arial" w:cs="Arial"/>
                <w:sz w:val="20"/>
                <w:szCs w:val="20"/>
              </w:rPr>
            </w:pPr>
            <w:r>
              <w:rPr>
                <w:rFonts w:ascii="Arial" w:hAnsi="Arial" w:cs="Arial"/>
                <w:sz w:val="20"/>
                <w:szCs w:val="20"/>
              </w:rPr>
              <w:t>13.9</w:t>
            </w:r>
          </w:p>
        </w:tc>
        <w:tc>
          <w:tcPr>
            <w:tcW w:w="900" w:type="dxa"/>
            <w:shd w:val="clear" w:color="auto" w:fill="BDD6EE" w:themeFill="accent5" w:themeFillTint="66"/>
          </w:tcPr>
          <w:p w14:paraId="4E7636BF" w14:textId="4A0A93F3" w:rsidR="001348E3" w:rsidRDefault="001348E3" w:rsidP="003C2F72">
            <w:pPr>
              <w:pStyle w:val="BodyText"/>
              <w:spacing w:beforeLines="30" w:before="72"/>
              <w:ind w:left="0" w:right="114"/>
              <w:jc w:val="center"/>
              <w:rPr>
                <w:rFonts w:ascii="Arial" w:hAnsi="Arial" w:cs="Arial"/>
                <w:sz w:val="20"/>
                <w:szCs w:val="20"/>
              </w:rPr>
            </w:pPr>
            <w:r>
              <w:rPr>
                <w:rFonts w:ascii="Arial" w:hAnsi="Arial" w:cs="Arial"/>
                <w:sz w:val="20"/>
                <w:szCs w:val="20"/>
              </w:rPr>
              <w:t>14.8</w:t>
            </w:r>
          </w:p>
        </w:tc>
        <w:tc>
          <w:tcPr>
            <w:tcW w:w="900" w:type="dxa"/>
            <w:shd w:val="clear" w:color="auto" w:fill="BDD6EE" w:themeFill="accent5" w:themeFillTint="66"/>
          </w:tcPr>
          <w:p w14:paraId="2FE7E248" w14:textId="248E03CA" w:rsidR="001348E3" w:rsidRDefault="008311D1" w:rsidP="003C2F72">
            <w:pPr>
              <w:pStyle w:val="BodyText"/>
              <w:spacing w:beforeLines="30" w:before="72"/>
              <w:ind w:left="0" w:right="114"/>
              <w:jc w:val="center"/>
              <w:rPr>
                <w:rFonts w:ascii="Arial" w:hAnsi="Arial" w:cs="Arial"/>
                <w:sz w:val="20"/>
                <w:szCs w:val="20"/>
              </w:rPr>
            </w:pPr>
            <w:r>
              <w:rPr>
                <w:rFonts w:ascii="Arial" w:hAnsi="Arial" w:cs="Arial"/>
                <w:sz w:val="20"/>
                <w:szCs w:val="20"/>
              </w:rPr>
              <w:t>14.9</w:t>
            </w:r>
          </w:p>
        </w:tc>
      </w:tr>
      <w:tr w:rsidR="001348E3" w:rsidRPr="00DB7BE5" w14:paraId="156D1600" w14:textId="6DE0BC0C" w:rsidTr="001348E3">
        <w:trPr>
          <w:jc w:val="center"/>
        </w:trPr>
        <w:tc>
          <w:tcPr>
            <w:tcW w:w="3145" w:type="dxa"/>
            <w:shd w:val="clear" w:color="auto" w:fill="BDD6EE" w:themeFill="accent5" w:themeFillTint="66"/>
          </w:tcPr>
          <w:p w14:paraId="34ADEB14" w14:textId="77777777" w:rsidR="001348E3" w:rsidRPr="00DB7BE5" w:rsidRDefault="001348E3" w:rsidP="003C2F72">
            <w:pPr>
              <w:pStyle w:val="BodyText"/>
              <w:spacing w:beforeLines="30" w:before="72"/>
              <w:ind w:left="0" w:right="114"/>
              <w:jc w:val="both"/>
              <w:rPr>
                <w:rFonts w:ascii="Arial" w:hAnsi="Arial" w:cs="Arial"/>
                <w:b/>
                <w:bCs/>
                <w:sz w:val="20"/>
                <w:szCs w:val="20"/>
              </w:rPr>
            </w:pPr>
            <w:r>
              <w:rPr>
                <w:rFonts w:ascii="Arial" w:hAnsi="Arial" w:cs="Arial"/>
                <w:b/>
                <w:bCs/>
                <w:sz w:val="20"/>
                <w:szCs w:val="20"/>
              </w:rPr>
              <w:t>Totals</w:t>
            </w:r>
          </w:p>
        </w:tc>
        <w:tc>
          <w:tcPr>
            <w:tcW w:w="900" w:type="dxa"/>
            <w:shd w:val="clear" w:color="auto" w:fill="BDD6EE" w:themeFill="accent5" w:themeFillTint="66"/>
          </w:tcPr>
          <w:p w14:paraId="6725D635" w14:textId="77777777" w:rsidR="001348E3" w:rsidRPr="00DB7BE5" w:rsidRDefault="001348E3" w:rsidP="003C2F72">
            <w:pPr>
              <w:pStyle w:val="BodyText"/>
              <w:spacing w:beforeLines="30" w:before="72"/>
              <w:ind w:left="0" w:right="114"/>
              <w:jc w:val="center"/>
              <w:rPr>
                <w:rFonts w:ascii="Arial" w:hAnsi="Arial" w:cs="Arial"/>
                <w:b/>
                <w:bCs/>
                <w:sz w:val="20"/>
                <w:szCs w:val="20"/>
              </w:rPr>
            </w:pPr>
            <w:r>
              <w:rPr>
                <w:rFonts w:ascii="Arial" w:hAnsi="Arial" w:cs="Arial"/>
                <w:b/>
                <w:bCs/>
                <w:sz w:val="20"/>
                <w:szCs w:val="20"/>
              </w:rPr>
              <w:t>556.7</w:t>
            </w:r>
          </w:p>
        </w:tc>
        <w:tc>
          <w:tcPr>
            <w:tcW w:w="900" w:type="dxa"/>
            <w:shd w:val="clear" w:color="auto" w:fill="BDD6EE" w:themeFill="accent5" w:themeFillTint="66"/>
          </w:tcPr>
          <w:p w14:paraId="3197A7BD" w14:textId="77777777" w:rsidR="001348E3" w:rsidRPr="00DB7BE5" w:rsidRDefault="001348E3" w:rsidP="003C2F72">
            <w:pPr>
              <w:pStyle w:val="BodyText"/>
              <w:spacing w:beforeLines="30" w:before="72"/>
              <w:ind w:left="0" w:right="114"/>
              <w:jc w:val="center"/>
              <w:rPr>
                <w:rFonts w:ascii="Arial" w:hAnsi="Arial" w:cs="Arial"/>
                <w:b/>
                <w:bCs/>
                <w:sz w:val="20"/>
                <w:szCs w:val="20"/>
              </w:rPr>
            </w:pPr>
            <w:r>
              <w:rPr>
                <w:rFonts w:ascii="Arial" w:hAnsi="Arial" w:cs="Arial"/>
                <w:b/>
                <w:bCs/>
                <w:sz w:val="20"/>
                <w:szCs w:val="20"/>
              </w:rPr>
              <w:t>525.6</w:t>
            </w:r>
          </w:p>
        </w:tc>
        <w:tc>
          <w:tcPr>
            <w:tcW w:w="900" w:type="dxa"/>
            <w:shd w:val="clear" w:color="auto" w:fill="BDD6EE" w:themeFill="accent5" w:themeFillTint="66"/>
          </w:tcPr>
          <w:p w14:paraId="220ADA80" w14:textId="77777777" w:rsidR="001348E3" w:rsidRPr="00DB7BE5" w:rsidRDefault="001348E3" w:rsidP="003C2F72">
            <w:pPr>
              <w:pStyle w:val="BodyText"/>
              <w:spacing w:beforeLines="30" w:before="72"/>
              <w:ind w:left="0" w:right="114"/>
              <w:jc w:val="center"/>
              <w:rPr>
                <w:rFonts w:ascii="Arial" w:hAnsi="Arial" w:cs="Arial"/>
                <w:b/>
                <w:bCs/>
                <w:sz w:val="20"/>
                <w:szCs w:val="20"/>
              </w:rPr>
            </w:pPr>
            <w:r>
              <w:rPr>
                <w:rFonts w:ascii="Arial" w:hAnsi="Arial" w:cs="Arial"/>
                <w:b/>
                <w:bCs/>
                <w:sz w:val="20"/>
                <w:szCs w:val="20"/>
              </w:rPr>
              <w:t>411.4</w:t>
            </w:r>
          </w:p>
        </w:tc>
        <w:tc>
          <w:tcPr>
            <w:tcW w:w="900" w:type="dxa"/>
            <w:shd w:val="clear" w:color="auto" w:fill="BDD6EE" w:themeFill="accent5" w:themeFillTint="66"/>
          </w:tcPr>
          <w:p w14:paraId="5EA0EF5C" w14:textId="4042EAAE" w:rsidR="001348E3" w:rsidRDefault="001348E3" w:rsidP="003C2F72">
            <w:pPr>
              <w:pStyle w:val="BodyText"/>
              <w:spacing w:beforeLines="30" w:before="72"/>
              <w:ind w:left="0" w:right="114"/>
              <w:jc w:val="center"/>
              <w:rPr>
                <w:rFonts w:ascii="Arial" w:hAnsi="Arial" w:cs="Arial"/>
                <w:b/>
                <w:bCs/>
                <w:sz w:val="20"/>
                <w:szCs w:val="20"/>
              </w:rPr>
            </w:pPr>
            <w:r>
              <w:rPr>
                <w:rFonts w:ascii="Arial" w:hAnsi="Arial" w:cs="Arial"/>
                <w:b/>
                <w:bCs/>
                <w:sz w:val="20"/>
                <w:szCs w:val="20"/>
              </w:rPr>
              <w:t>407.0</w:t>
            </w:r>
          </w:p>
        </w:tc>
        <w:tc>
          <w:tcPr>
            <w:tcW w:w="900" w:type="dxa"/>
            <w:shd w:val="clear" w:color="auto" w:fill="BDD6EE" w:themeFill="accent5" w:themeFillTint="66"/>
          </w:tcPr>
          <w:p w14:paraId="6D7D3CC1" w14:textId="00C2BC95" w:rsidR="001348E3" w:rsidRDefault="001348E3" w:rsidP="003C2F72">
            <w:pPr>
              <w:pStyle w:val="BodyText"/>
              <w:spacing w:beforeLines="30" w:before="72"/>
              <w:ind w:left="0" w:right="114"/>
              <w:jc w:val="center"/>
              <w:rPr>
                <w:rFonts w:ascii="Arial" w:hAnsi="Arial" w:cs="Arial"/>
                <w:b/>
                <w:bCs/>
                <w:sz w:val="20"/>
                <w:szCs w:val="20"/>
              </w:rPr>
            </w:pPr>
            <w:r>
              <w:rPr>
                <w:rFonts w:ascii="Arial" w:hAnsi="Arial" w:cs="Arial"/>
                <w:b/>
                <w:bCs/>
                <w:sz w:val="20"/>
                <w:szCs w:val="20"/>
              </w:rPr>
              <w:t>379.2</w:t>
            </w:r>
          </w:p>
        </w:tc>
        <w:tc>
          <w:tcPr>
            <w:tcW w:w="900" w:type="dxa"/>
            <w:shd w:val="clear" w:color="auto" w:fill="BDD6EE" w:themeFill="accent5" w:themeFillTint="66"/>
          </w:tcPr>
          <w:p w14:paraId="4CC7D25C" w14:textId="088DB1A8" w:rsidR="001348E3" w:rsidRDefault="001348E3" w:rsidP="003C2F72">
            <w:pPr>
              <w:pStyle w:val="BodyText"/>
              <w:spacing w:beforeLines="30" w:before="72"/>
              <w:ind w:left="0" w:right="114"/>
              <w:jc w:val="center"/>
              <w:rPr>
                <w:rFonts w:ascii="Arial" w:hAnsi="Arial" w:cs="Arial"/>
                <w:b/>
                <w:bCs/>
                <w:sz w:val="20"/>
                <w:szCs w:val="20"/>
              </w:rPr>
            </w:pPr>
            <w:r>
              <w:rPr>
                <w:rFonts w:ascii="Arial" w:hAnsi="Arial" w:cs="Arial"/>
                <w:b/>
                <w:bCs/>
                <w:sz w:val="20"/>
                <w:szCs w:val="20"/>
              </w:rPr>
              <w:t>354.3</w:t>
            </w:r>
          </w:p>
        </w:tc>
        <w:tc>
          <w:tcPr>
            <w:tcW w:w="900" w:type="dxa"/>
            <w:shd w:val="clear" w:color="auto" w:fill="BDD6EE" w:themeFill="accent5" w:themeFillTint="66"/>
          </w:tcPr>
          <w:p w14:paraId="619B002C" w14:textId="398CB37F" w:rsidR="001348E3" w:rsidRDefault="00A46781" w:rsidP="003C2F72">
            <w:pPr>
              <w:pStyle w:val="BodyText"/>
              <w:spacing w:beforeLines="30" w:before="72"/>
              <w:ind w:left="0" w:right="114"/>
              <w:jc w:val="center"/>
              <w:rPr>
                <w:rFonts w:ascii="Arial" w:hAnsi="Arial" w:cs="Arial"/>
                <w:b/>
                <w:bCs/>
                <w:sz w:val="20"/>
                <w:szCs w:val="20"/>
              </w:rPr>
            </w:pPr>
            <w:r>
              <w:rPr>
                <w:rFonts w:ascii="Arial" w:hAnsi="Arial" w:cs="Arial"/>
                <w:b/>
                <w:bCs/>
                <w:sz w:val="20"/>
                <w:szCs w:val="20"/>
              </w:rPr>
              <w:t>327.4</w:t>
            </w:r>
          </w:p>
        </w:tc>
      </w:tr>
      <w:bookmarkEnd w:id="6"/>
    </w:tbl>
    <w:p w14:paraId="047A95C9" w14:textId="77777777" w:rsidR="003C2F72" w:rsidRDefault="003C2F72" w:rsidP="00733D84">
      <w:pPr>
        <w:pStyle w:val="BodyText"/>
        <w:ind w:left="0" w:right="115" w:firstLine="720"/>
        <w:jc w:val="both"/>
      </w:pPr>
    </w:p>
    <w:p w14:paraId="29D61903" w14:textId="5A4BA1B9" w:rsidR="00796395" w:rsidRDefault="009826EC" w:rsidP="00733D84">
      <w:pPr>
        <w:pStyle w:val="BodyText"/>
        <w:ind w:left="0" w:right="115" w:firstLine="720"/>
        <w:jc w:val="both"/>
      </w:pPr>
      <w:bookmarkStart w:id="7" w:name="_Hlk125359365"/>
      <w:bookmarkStart w:id="8" w:name="_Hlk188431309"/>
      <w:r>
        <w:t>Cigarette</w:t>
      </w:r>
      <w:r w:rsidR="00D337C1" w:rsidRPr="00D337C1">
        <w:t xml:space="preserve"> excise </w:t>
      </w:r>
      <w:r>
        <w:t xml:space="preserve">tax </w:t>
      </w:r>
      <w:r w:rsidR="00D337C1" w:rsidRPr="00D337C1">
        <w:t>collect</w:t>
      </w:r>
      <w:r>
        <w:t>ions</w:t>
      </w:r>
      <w:r w:rsidR="00D337C1" w:rsidRPr="00D337C1">
        <w:t xml:space="preserve"> in FY2</w:t>
      </w:r>
      <w:r w:rsidR="008311D1">
        <w:t>5</w:t>
      </w:r>
      <w:r w:rsidR="00D337C1" w:rsidRPr="00D337C1">
        <w:t xml:space="preserve"> </w:t>
      </w:r>
      <w:r w:rsidR="006224F8">
        <w:t>decreased $</w:t>
      </w:r>
      <w:r w:rsidR="00132F71" w:rsidRPr="00A46781">
        <w:t>2</w:t>
      </w:r>
      <w:r w:rsidR="009635BB">
        <w:t>5</w:t>
      </w:r>
      <w:r w:rsidR="00421335" w:rsidRPr="00A46781">
        <w:t>.9</w:t>
      </w:r>
      <w:r w:rsidR="006224F8">
        <w:t xml:space="preserve"> </w:t>
      </w:r>
      <w:r w:rsidR="00D337C1" w:rsidRPr="00D337C1">
        <w:t>million</w:t>
      </w:r>
      <w:r w:rsidR="00EF2DF1">
        <w:t xml:space="preserve"> from the prior </w:t>
      </w:r>
      <w:r w:rsidR="00C50D84">
        <w:t xml:space="preserve">fiscal </w:t>
      </w:r>
      <w:r w:rsidR="00EF2DF1">
        <w:t>year</w:t>
      </w:r>
      <w:r w:rsidR="00D337C1" w:rsidRPr="00D337C1">
        <w:t xml:space="preserve">. </w:t>
      </w:r>
      <w:r w:rsidR="004512C6" w:rsidRPr="005058AB">
        <w:t>In terms of an overall trend</w:t>
      </w:r>
      <w:r w:rsidR="00806054">
        <w:t xml:space="preserve"> over the past several years</w:t>
      </w:r>
      <w:r w:rsidR="004512C6" w:rsidRPr="005058AB">
        <w:t xml:space="preserve">, the </w:t>
      </w:r>
      <w:r w:rsidRPr="005058AB">
        <w:t xml:space="preserve">decline </w:t>
      </w:r>
      <w:bookmarkStart w:id="9" w:name="_Hlk94860469"/>
      <w:r w:rsidR="004262E0">
        <w:t xml:space="preserve">in revenue </w:t>
      </w:r>
      <w:r w:rsidR="00796395" w:rsidRPr="005058AB">
        <w:t xml:space="preserve">corresponds to </w:t>
      </w:r>
      <w:r w:rsidR="00D337C1" w:rsidRPr="005058AB">
        <w:t xml:space="preserve">a national trend of </w:t>
      </w:r>
      <w:r w:rsidR="005058AB" w:rsidRPr="005058AB">
        <w:t xml:space="preserve">a </w:t>
      </w:r>
      <w:r w:rsidR="0046425A" w:rsidRPr="005058AB">
        <w:t>decreasing</w:t>
      </w:r>
      <w:r w:rsidR="00D337C1" w:rsidRPr="005058AB">
        <w:t xml:space="preserve"> </w:t>
      </w:r>
      <w:r w:rsidR="00747D0D" w:rsidRPr="005058AB">
        <w:t xml:space="preserve">number of cigarettes manufactured </w:t>
      </w:r>
      <w:r w:rsidR="00D24342" w:rsidRPr="005058AB">
        <w:t>in the United States</w:t>
      </w:r>
      <w:r w:rsidR="00D337C1" w:rsidRPr="005058AB">
        <w:rPr>
          <w:rStyle w:val="FootnoteReference"/>
        </w:rPr>
        <w:footnoteReference w:id="11"/>
      </w:r>
      <w:r w:rsidR="00D337C1" w:rsidRPr="005058AB">
        <w:t xml:space="preserve"> as well as a decrease </w:t>
      </w:r>
      <w:r w:rsidR="00D337C1" w:rsidRPr="00B37103">
        <w:lastRenderedPageBreak/>
        <w:t>in the number of smokers</w:t>
      </w:r>
      <w:r w:rsidR="0029501D" w:rsidRPr="00B37103">
        <w:t xml:space="preserve"> since 2019</w:t>
      </w:r>
      <w:r w:rsidR="00D337C1" w:rsidRPr="00B37103">
        <w:t>.</w:t>
      </w:r>
      <w:r w:rsidR="00D337C1" w:rsidRPr="00B37103">
        <w:rPr>
          <w:rStyle w:val="FootnoteReference"/>
        </w:rPr>
        <w:footnoteReference w:id="12"/>
      </w:r>
      <w:r w:rsidR="00D337C1" w:rsidRPr="00B37103">
        <w:t xml:space="preserve"> </w:t>
      </w:r>
      <w:r w:rsidRPr="00B37103">
        <w:t>The</w:t>
      </w:r>
      <w:r w:rsidR="00D337C1" w:rsidRPr="00B37103">
        <w:t xml:space="preserve"> percentage of Massachusetts adults who currently smoke</w:t>
      </w:r>
      <w:r w:rsidR="00D337C1" w:rsidRPr="005058AB">
        <w:t xml:space="preserve"> </w:t>
      </w:r>
      <w:r w:rsidR="00D337C1" w:rsidRPr="00B37103">
        <w:t xml:space="preserve">cigarettes </w:t>
      </w:r>
      <w:r w:rsidR="009F3553" w:rsidRPr="00B37103">
        <w:t xml:space="preserve">has </w:t>
      </w:r>
      <w:r w:rsidR="004262E0" w:rsidRPr="00B37103">
        <w:t xml:space="preserve">also </w:t>
      </w:r>
      <w:r w:rsidR="009F3553" w:rsidRPr="00B37103">
        <w:t xml:space="preserve">consistently </w:t>
      </w:r>
      <w:r w:rsidR="00D337C1" w:rsidRPr="00B37103">
        <w:t xml:space="preserve">declined </w:t>
      </w:r>
      <w:r w:rsidR="0046425A" w:rsidRPr="00B37103">
        <w:t xml:space="preserve">each year for </w:t>
      </w:r>
      <w:r w:rsidR="009F3553" w:rsidRPr="00B37103">
        <w:t>the past decade</w:t>
      </w:r>
      <w:r w:rsidR="0046425A" w:rsidRPr="00B37103">
        <w:t xml:space="preserve"> – from </w:t>
      </w:r>
      <w:r w:rsidR="009F3553" w:rsidRPr="00B37103">
        <w:t xml:space="preserve">14.7% in 2014 </w:t>
      </w:r>
      <w:r w:rsidR="00D24342" w:rsidRPr="00B37103">
        <w:t xml:space="preserve">to </w:t>
      </w:r>
      <w:r w:rsidR="00E255BF">
        <w:t>8</w:t>
      </w:r>
      <w:r w:rsidR="00D24342" w:rsidRPr="00B37103">
        <w:t>.8% in 202</w:t>
      </w:r>
      <w:r w:rsidR="00E255BF">
        <w:t>4</w:t>
      </w:r>
      <w:r w:rsidR="00D337C1" w:rsidRPr="005058AB">
        <w:t>.</w:t>
      </w:r>
      <w:r w:rsidR="00D337C1" w:rsidRPr="005058AB">
        <w:rPr>
          <w:rStyle w:val="FootnoteReference"/>
        </w:rPr>
        <w:footnoteReference w:id="13"/>
      </w:r>
      <w:bookmarkEnd w:id="7"/>
      <w:bookmarkEnd w:id="9"/>
      <w:r w:rsidR="004C5429">
        <w:t xml:space="preserve"> </w:t>
      </w:r>
      <w:bookmarkEnd w:id="8"/>
    </w:p>
    <w:p w14:paraId="155FDA25" w14:textId="77777777" w:rsidR="00733D84" w:rsidRDefault="00733D84" w:rsidP="00733D84">
      <w:pPr>
        <w:pStyle w:val="BodyText"/>
        <w:ind w:left="0" w:right="115" w:firstLine="720"/>
        <w:jc w:val="both"/>
      </w:pPr>
      <w:bookmarkStart w:id="12" w:name="_Hlk157589635"/>
    </w:p>
    <w:p w14:paraId="11260741" w14:textId="06E5C7AF" w:rsidR="00D337C1" w:rsidRPr="00D337C1" w:rsidRDefault="00AF0267" w:rsidP="00AF0267">
      <w:pPr>
        <w:pStyle w:val="BodyText"/>
        <w:ind w:left="0" w:right="115" w:firstLine="720"/>
        <w:jc w:val="both"/>
      </w:pPr>
      <w:r>
        <w:t xml:space="preserve">The </w:t>
      </w:r>
      <w:r w:rsidR="008346C7">
        <w:t>continued</w:t>
      </w:r>
      <w:r>
        <w:t xml:space="preserve"> decline in s</w:t>
      </w:r>
      <w:r w:rsidR="004C5429">
        <w:t xml:space="preserve">mokeless tobacco excise tax </w:t>
      </w:r>
      <w:r w:rsidR="008346C7">
        <w:t xml:space="preserve">revenue </w:t>
      </w:r>
      <w:r w:rsidR="00D77C63">
        <w:t xml:space="preserve">is not surprising given that </w:t>
      </w:r>
      <w:r w:rsidR="008B3D3C">
        <w:t xml:space="preserve">use of smokeless tobacco among adults </w:t>
      </w:r>
      <w:r w:rsidR="008B3D3C" w:rsidRPr="00B37103">
        <w:t xml:space="preserve">in Massachusetts has </w:t>
      </w:r>
      <w:r w:rsidR="004262E0" w:rsidRPr="00B37103">
        <w:t xml:space="preserve">consistently </w:t>
      </w:r>
      <w:r w:rsidR="00D77C63" w:rsidRPr="00B37103">
        <w:t>declined</w:t>
      </w:r>
      <w:r w:rsidR="000C529F" w:rsidRPr="00B37103">
        <w:rPr>
          <w:rStyle w:val="FootnoteReference"/>
        </w:rPr>
        <w:footnoteReference w:id="14"/>
      </w:r>
      <w:r w:rsidR="000C529F">
        <w:t xml:space="preserve"> </w:t>
      </w:r>
      <w:r w:rsidR="003F2138">
        <w:t xml:space="preserve">and </w:t>
      </w:r>
      <w:r w:rsidR="00590CB0">
        <w:t xml:space="preserve">the </w:t>
      </w:r>
      <w:r w:rsidR="003F2138">
        <w:t xml:space="preserve">amount of smokeless tobacco sold (in terms of pounds) in the United States </w:t>
      </w:r>
      <w:r w:rsidR="008346C7">
        <w:t>since 2017</w:t>
      </w:r>
      <w:r w:rsidR="003F2138">
        <w:t xml:space="preserve"> has also continued to decline.</w:t>
      </w:r>
      <w:r w:rsidR="003F2138">
        <w:rPr>
          <w:rStyle w:val="FootnoteReference"/>
        </w:rPr>
        <w:footnoteReference w:id="15"/>
      </w:r>
      <w:r w:rsidR="00590CB0">
        <w:t xml:space="preserve"> However, </w:t>
      </w:r>
      <w:r w:rsidR="003F2138">
        <w:t xml:space="preserve">as documented in last year’s annual report, </w:t>
      </w:r>
      <w:r w:rsidR="00590CB0">
        <w:t xml:space="preserve">inspectors and investigators in the field </w:t>
      </w:r>
      <w:r w:rsidR="000E7807">
        <w:t>continued to</w:t>
      </w:r>
      <w:r w:rsidR="00590CB0">
        <w:t xml:space="preserve"> </w:t>
      </w:r>
      <w:r w:rsidR="004262E0">
        <w:t>observe</w:t>
      </w:r>
      <w:r w:rsidR="00590CB0">
        <w:t xml:space="preserve"> significant amounts of nicotine pouches</w:t>
      </w:r>
      <w:r w:rsidR="00BB1F57">
        <w:t xml:space="preserve"> on store shelves</w:t>
      </w:r>
      <w:r w:rsidR="00590CB0">
        <w:t>, as opposed to</w:t>
      </w:r>
      <w:r>
        <w:t xml:space="preserve"> </w:t>
      </w:r>
      <w:r w:rsidR="00590CB0">
        <w:t xml:space="preserve">traditional smokeless tobacco pouches. </w:t>
      </w:r>
      <w:r w:rsidR="00BB1F57">
        <w:t>The introduction and popularity of these new products</w:t>
      </w:r>
      <w:r w:rsidR="000E7807">
        <w:t>, among youth and adults,</w:t>
      </w:r>
      <w:r w:rsidR="00BB1F57">
        <w:t xml:space="preserve"> </w:t>
      </w:r>
      <w:r w:rsidR="00C50D84">
        <w:t>may</w:t>
      </w:r>
      <w:r w:rsidR="00806054">
        <w:t xml:space="preserve"> </w:t>
      </w:r>
      <w:r w:rsidR="003F2138">
        <w:t xml:space="preserve">also </w:t>
      </w:r>
      <w:r w:rsidR="00BB1F57">
        <w:t>be c</w:t>
      </w:r>
      <w:r w:rsidR="00590CB0">
        <w:t>ontribut</w:t>
      </w:r>
      <w:r w:rsidR="00BB1F57">
        <w:t>ing</w:t>
      </w:r>
      <w:r w:rsidR="00590CB0">
        <w:t xml:space="preserve"> to the decline in smokeless tobacco revenue as nicotine pouches are not subject to </w:t>
      </w:r>
      <w:r w:rsidR="008346C7">
        <w:t>a</w:t>
      </w:r>
      <w:r w:rsidR="00590CB0">
        <w:t xml:space="preserve"> </w:t>
      </w:r>
      <w:r w:rsidR="00BB1F57">
        <w:t xml:space="preserve">Massachusetts </w:t>
      </w:r>
      <w:r w:rsidR="00590CB0">
        <w:t xml:space="preserve">excise tax. </w:t>
      </w:r>
    </w:p>
    <w:bookmarkEnd w:id="12"/>
    <w:p w14:paraId="3EA8FE99" w14:textId="52AEDFF7" w:rsidR="002253BA" w:rsidRDefault="002253BA" w:rsidP="00B32253">
      <w:pPr>
        <w:pStyle w:val="BodyText"/>
        <w:ind w:left="0" w:right="114" w:firstLine="720"/>
        <w:jc w:val="both"/>
        <w:rPr>
          <w:bCs/>
        </w:rPr>
      </w:pPr>
    </w:p>
    <w:p w14:paraId="38623525" w14:textId="14B3E39C" w:rsidR="00E56B05" w:rsidRDefault="00676137" w:rsidP="006503ED">
      <w:pPr>
        <w:pStyle w:val="BodyText"/>
        <w:ind w:left="0" w:right="115" w:firstLine="720"/>
        <w:jc w:val="both"/>
      </w:pPr>
      <w:r>
        <w:t>Since FY21, the first full year DOR collected ENDS excise taxes, ENDS revenue has fluctuated between a low of $13.3 million in FY21 and a high of $16.3 million in FY22. S</w:t>
      </w:r>
      <w:r w:rsidR="00D56C2D">
        <w:t xml:space="preserve">tate </w:t>
      </w:r>
      <w:r>
        <w:t xml:space="preserve">public </w:t>
      </w:r>
      <w:r w:rsidRPr="00B37103">
        <w:t xml:space="preserve">health </w:t>
      </w:r>
      <w:r w:rsidR="00D56C2D" w:rsidRPr="00B37103">
        <w:t xml:space="preserve">data indicates that </w:t>
      </w:r>
      <w:r w:rsidR="0038287B" w:rsidRPr="00B37103">
        <w:t>t</w:t>
      </w:r>
      <w:r w:rsidR="00536659" w:rsidRPr="00B37103">
        <w:t xml:space="preserve">he </w:t>
      </w:r>
      <w:r w:rsidR="0038287B" w:rsidRPr="00B37103">
        <w:t xml:space="preserve">percentage of Massachusetts adults who currently use ENDS products </w:t>
      </w:r>
      <w:r w:rsidR="005058AB" w:rsidRPr="00B37103">
        <w:t xml:space="preserve">has </w:t>
      </w:r>
      <w:r w:rsidR="00E255BF">
        <w:t>decreased</w:t>
      </w:r>
      <w:r w:rsidR="003116F6" w:rsidRPr="00B37103">
        <w:t xml:space="preserve"> from</w:t>
      </w:r>
      <w:r w:rsidR="005058AB" w:rsidRPr="00B37103">
        <w:t xml:space="preserve"> 6.2% in </w:t>
      </w:r>
      <w:r w:rsidR="0038287B" w:rsidRPr="00B37103">
        <w:t>202</w:t>
      </w:r>
      <w:r w:rsidR="005058AB" w:rsidRPr="00B37103">
        <w:t>3</w:t>
      </w:r>
      <w:r w:rsidR="00E255BF">
        <w:t xml:space="preserve"> to </w:t>
      </w:r>
      <w:r w:rsidR="00E255BF" w:rsidRPr="00B37103">
        <w:t>5.6% in 202</w:t>
      </w:r>
      <w:r w:rsidR="00E255BF">
        <w:t>4.</w:t>
      </w:r>
      <w:r w:rsidR="0038287B" w:rsidRPr="00B37103">
        <w:rPr>
          <w:rStyle w:val="FootnoteReference"/>
        </w:rPr>
        <w:footnoteReference w:id="16"/>
      </w:r>
      <w:r w:rsidR="005058AB" w:rsidRPr="00B37103">
        <w:t xml:space="preserve"> </w:t>
      </w:r>
      <w:r w:rsidR="0025694D">
        <w:t>T</w:t>
      </w:r>
      <w:r w:rsidR="003116F6" w:rsidRPr="00B37103">
        <w:t>here has also been a 34.7</w:t>
      </w:r>
      <w:r w:rsidR="00536659" w:rsidRPr="00B37103">
        <w:t xml:space="preserve">% increase in ENDS sales nationwide between </w:t>
      </w:r>
      <w:r w:rsidR="003116F6" w:rsidRPr="00B37103">
        <w:t xml:space="preserve">February of </w:t>
      </w:r>
      <w:r w:rsidR="00536659" w:rsidRPr="00B37103">
        <w:t xml:space="preserve">2020 </w:t>
      </w:r>
      <w:r w:rsidR="003116F6" w:rsidRPr="00B37103">
        <w:t xml:space="preserve">and June of </w:t>
      </w:r>
      <w:r w:rsidR="00536659" w:rsidRPr="00B37103">
        <w:t>202</w:t>
      </w:r>
      <w:r w:rsidR="003116F6" w:rsidRPr="00B37103">
        <w:t>4</w:t>
      </w:r>
      <w:r w:rsidR="00D56C2D" w:rsidRPr="00B37103">
        <w:t>.</w:t>
      </w:r>
      <w:r w:rsidR="00536659" w:rsidRPr="00B37103">
        <w:rPr>
          <w:rStyle w:val="FootnoteReference"/>
        </w:rPr>
        <w:footnoteReference w:id="17"/>
      </w:r>
      <w:r w:rsidR="00932F2A" w:rsidRPr="00B37103">
        <w:t xml:space="preserve"> </w:t>
      </w:r>
      <w:r w:rsidRPr="00B37103">
        <w:t xml:space="preserve">However, </w:t>
      </w:r>
      <w:r w:rsidR="0038287B" w:rsidRPr="00B37103">
        <w:t xml:space="preserve">the number of youth (middle and high school) </w:t>
      </w:r>
      <w:r w:rsidR="00D56C2D" w:rsidRPr="00B37103">
        <w:t>nationwide</w:t>
      </w:r>
      <w:r w:rsidR="00FC7499" w:rsidRPr="00B37103">
        <w:t xml:space="preserve"> and in Massachusetts</w:t>
      </w:r>
      <w:r w:rsidR="002017C3" w:rsidRPr="00B37103">
        <w:t xml:space="preserve"> </w:t>
      </w:r>
      <w:r w:rsidR="0038287B" w:rsidRPr="00B37103">
        <w:t xml:space="preserve">who currently use ENDS declined </w:t>
      </w:r>
      <w:r w:rsidR="00252677" w:rsidRPr="00B37103">
        <w:t>to the lowest level in a decade</w:t>
      </w:r>
      <w:r w:rsidR="0038287B" w:rsidRPr="00B37103">
        <w:t>.</w:t>
      </w:r>
      <w:r w:rsidR="0038287B" w:rsidRPr="00B37103">
        <w:rPr>
          <w:rStyle w:val="FootnoteReference"/>
        </w:rPr>
        <w:footnoteReference w:id="18"/>
      </w:r>
      <w:r w:rsidR="00D56C2D" w:rsidRPr="00B37103">
        <w:t xml:space="preserve"> In future reports, the Task Force will continue to monitor changes in the</w:t>
      </w:r>
      <w:r w:rsidR="00D56C2D">
        <w:t xml:space="preserve"> ENDS excise tax collections to identify any longer-term trends.    </w:t>
      </w:r>
    </w:p>
    <w:p w14:paraId="0664F27B" w14:textId="6A648655" w:rsidR="00B90E16" w:rsidRDefault="00E327D9" w:rsidP="00B32253">
      <w:pPr>
        <w:pStyle w:val="BodyText"/>
        <w:ind w:left="0" w:right="115"/>
        <w:jc w:val="both"/>
        <w:rPr>
          <w:color w:val="FF0000"/>
        </w:rPr>
      </w:pPr>
      <w:r w:rsidRPr="00A77A0B">
        <w:t xml:space="preserve">  </w:t>
      </w:r>
    </w:p>
    <w:p w14:paraId="52C667CF" w14:textId="77777777" w:rsidR="00836F4C" w:rsidRDefault="00836F4C" w:rsidP="00B32253">
      <w:pPr>
        <w:pStyle w:val="BodyText"/>
        <w:ind w:left="0" w:right="115" w:firstLine="720"/>
        <w:jc w:val="both"/>
      </w:pPr>
    </w:p>
    <w:p w14:paraId="509942C8" w14:textId="77777777" w:rsidR="00836F4C" w:rsidRDefault="00836F4C" w:rsidP="00B32253">
      <w:pPr>
        <w:pStyle w:val="BodyText"/>
        <w:ind w:left="0" w:right="115" w:firstLine="720"/>
        <w:jc w:val="both"/>
      </w:pPr>
    </w:p>
    <w:p w14:paraId="01FFC945" w14:textId="77777777" w:rsidR="00836F4C" w:rsidRDefault="00836F4C" w:rsidP="00B32253">
      <w:pPr>
        <w:pStyle w:val="BodyText"/>
        <w:ind w:left="0" w:right="115" w:firstLine="720"/>
        <w:jc w:val="both"/>
      </w:pPr>
    </w:p>
    <w:p w14:paraId="03B03FFD" w14:textId="3BBAD5C0" w:rsidR="004A46EC" w:rsidRDefault="00D95CA8" w:rsidP="00836F4C">
      <w:pPr>
        <w:pStyle w:val="BodyText"/>
        <w:ind w:left="0" w:right="115" w:firstLine="720"/>
        <w:jc w:val="both"/>
      </w:pPr>
      <w:r w:rsidRPr="00D95CA8">
        <w:t>The Task Force can</w:t>
      </w:r>
      <w:r w:rsidR="008346C7">
        <w:t xml:space="preserve">not identify any </w:t>
      </w:r>
      <w:r w:rsidR="00111C11">
        <w:t>single</w:t>
      </w:r>
      <w:r w:rsidR="008346C7">
        <w:t xml:space="preserve"> </w:t>
      </w:r>
      <w:r w:rsidRPr="00D95CA8">
        <w:t>reason</w:t>
      </w:r>
      <w:r w:rsidR="008346C7">
        <w:t xml:space="preserve"> why the </w:t>
      </w:r>
      <w:r w:rsidR="00B37103">
        <w:t xml:space="preserve">combined </w:t>
      </w:r>
      <w:r w:rsidRPr="00D95CA8">
        <w:t xml:space="preserve">tobacco </w:t>
      </w:r>
      <w:r w:rsidR="00D56C2D">
        <w:t xml:space="preserve">and ENDS </w:t>
      </w:r>
      <w:r w:rsidRPr="00D95CA8">
        <w:t>excise tax</w:t>
      </w:r>
      <w:r w:rsidR="00D54D67">
        <w:t xml:space="preserve"> revenue</w:t>
      </w:r>
      <w:r w:rsidR="00D56C2D">
        <w:t>s</w:t>
      </w:r>
      <w:r w:rsidRPr="00D95CA8">
        <w:t xml:space="preserve"> </w:t>
      </w:r>
      <w:r w:rsidR="008346C7">
        <w:t xml:space="preserve">have declined </w:t>
      </w:r>
      <w:r w:rsidR="00144839">
        <w:t xml:space="preserve">approximately 41% </w:t>
      </w:r>
      <w:r w:rsidRPr="00D95CA8">
        <w:t>between FY</w:t>
      </w:r>
      <w:r w:rsidR="002017C3">
        <w:t>1</w:t>
      </w:r>
      <w:r w:rsidR="008346C7">
        <w:t>9</w:t>
      </w:r>
      <w:r w:rsidRPr="00D95CA8">
        <w:t xml:space="preserve"> and FY2</w:t>
      </w:r>
      <w:r w:rsidR="008346C7">
        <w:t>5</w:t>
      </w:r>
      <w:r w:rsidRPr="00D95CA8">
        <w:t>.</w:t>
      </w:r>
      <w:r w:rsidR="0069572A">
        <w:t xml:space="preserve"> The decline in tobacco </w:t>
      </w:r>
    </w:p>
    <w:p w14:paraId="570E8D40" w14:textId="19704914" w:rsidR="00E327D9" w:rsidRPr="00D95CA8" w:rsidRDefault="008945F5" w:rsidP="00CF73CC">
      <w:pPr>
        <w:pStyle w:val="BodyText"/>
        <w:ind w:left="0" w:right="115"/>
        <w:jc w:val="both"/>
      </w:pPr>
      <w:r>
        <w:t xml:space="preserve">excise </w:t>
      </w:r>
      <w:r w:rsidR="0069572A">
        <w:t>revenue could be due</w:t>
      </w:r>
      <w:r w:rsidR="00144839">
        <w:t xml:space="preserve"> in part</w:t>
      </w:r>
      <w:r w:rsidR="0069572A">
        <w:t xml:space="preserve"> to </w:t>
      </w:r>
      <w:r w:rsidR="00144839">
        <w:t xml:space="preserve">the </w:t>
      </w:r>
      <w:r w:rsidR="008346C7">
        <w:t>excise tax revenue system itself</w:t>
      </w:r>
      <w:r w:rsidR="00144839">
        <w:t xml:space="preserve"> as consumers change their spending habits based upon the costs of the tobacco </w:t>
      </w:r>
      <w:r w:rsidR="005B77AD">
        <w:t>products,</w:t>
      </w:r>
      <w:r w:rsidR="00B37103">
        <w:t xml:space="preserve"> especially given other economic pressures (</w:t>
      </w:r>
      <w:r w:rsidR="005B77AD">
        <w:t xml:space="preserve">e.g., </w:t>
      </w:r>
      <w:r w:rsidR="00B37103">
        <w:t>inflation) over the past several years</w:t>
      </w:r>
      <w:r w:rsidR="00144839">
        <w:t>. The decline could also be due in part to effective public health messaging which informs people about the harms associated with tobacco use. Or the decline could be due in part to the smuggling of untaxed tobacco products into Massachusetts.</w:t>
      </w:r>
      <w:r w:rsidR="003D1EE9">
        <w:t xml:space="preserve"> The</w:t>
      </w:r>
      <w:r w:rsidR="003D1EE9" w:rsidRPr="00A77A0B">
        <w:t xml:space="preserve"> Commonwealth’s high</w:t>
      </w:r>
      <w:r w:rsidR="003D1EE9">
        <w:t>er</w:t>
      </w:r>
      <w:r w:rsidR="003D1EE9" w:rsidRPr="00A77A0B">
        <w:t xml:space="preserve"> tax rates on </w:t>
      </w:r>
      <w:r w:rsidR="003D1EE9">
        <w:t>tobacco</w:t>
      </w:r>
      <w:r w:rsidR="003D1EE9" w:rsidRPr="00A77A0B">
        <w:t xml:space="preserve"> </w:t>
      </w:r>
      <w:r w:rsidR="003D1EE9">
        <w:t xml:space="preserve">and ENDS </w:t>
      </w:r>
      <w:r w:rsidR="003D1EE9" w:rsidRPr="00A77A0B">
        <w:t>relative to other states</w:t>
      </w:r>
      <w:r w:rsidR="003D1EE9">
        <w:t xml:space="preserve"> do </w:t>
      </w:r>
      <w:r w:rsidR="003D1EE9" w:rsidRPr="00A77A0B">
        <w:t>provide smugglers a</w:t>
      </w:r>
      <w:r w:rsidR="003D1EE9">
        <w:t xml:space="preserve"> financial</w:t>
      </w:r>
      <w:r w:rsidR="003D1EE9" w:rsidRPr="00A77A0B">
        <w:t xml:space="preserve"> incentive to import such products from low-tax states and sell them to in-state buyers </w:t>
      </w:r>
      <w:r w:rsidR="003D1EE9">
        <w:t>thereby evading the</w:t>
      </w:r>
      <w:r w:rsidR="003D1EE9" w:rsidRPr="00A77A0B">
        <w:t xml:space="preserve"> applicable tobacco excise.</w:t>
      </w:r>
      <w:r w:rsidR="003D1EE9" w:rsidRPr="00A77A0B">
        <w:rPr>
          <w:rStyle w:val="FootnoteReference"/>
        </w:rPr>
        <w:footnoteReference w:id="19"/>
      </w:r>
      <w:r w:rsidR="003D1EE9">
        <w:t xml:space="preserve"> </w:t>
      </w:r>
      <w:r w:rsidR="00144839">
        <w:t xml:space="preserve">However, whatever </w:t>
      </w:r>
      <w:r w:rsidR="00144839" w:rsidRPr="005B77AD">
        <w:t xml:space="preserve">the reason(s) for the decline in revenue, </w:t>
      </w:r>
      <w:r w:rsidR="003D1EE9" w:rsidRPr="005B77AD">
        <w:t xml:space="preserve">the most consistent </w:t>
      </w:r>
      <w:r w:rsidR="005B77AD" w:rsidRPr="005B77AD">
        <w:t>data point</w:t>
      </w:r>
      <w:r w:rsidR="003D1EE9" w:rsidRPr="005B77AD">
        <w:t xml:space="preserve"> is that </w:t>
      </w:r>
      <w:r w:rsidR="00144839" w:rsidRPr="005B77AD">
        <w:t>overall</w:t>
      </w:r>
      <w:r w:rsidR="00EF291B" w:rsidRPr="005B77AD">
        <w:t xml:space="preserve"> </w:t>
      </w:r>
      <w:r w:rsidRPr="005B77AD">
        <w:t>tobacco</w:t>
      </w:r>
      <w:r w:rsidR="00B876D0" w:rsidRPr="005B77AD">
        <w:t xml:space="preserve"> use has declined</w:t>
      </w:r>
      <w:r w:rsidRPr="005B77AD">
        <w:t xml:space="preserve"> </w:t>
      </w:r>
      <w:r w:rsidR="0069572A" w:rsidRPr="005B77AD">
        <w:t xml:space="preserve">in </w:t>
      </w:r>
      <w:r w:rsidR="002017C3" w:rsidRPr="005B77AD">
        <w:t xml:space="preserve">Massachusetts as well as nationally </w:t>
      </w:r>
      <w:r w:rsidRPr="005B77AD">
        <w:t>for the past several years</w:t>
      </w:r>
      <w:r w:rsidR="005B77AD" w:rsidRPr="005B77AD">
        <w:rPr>
          <w:rStyle w:val="FootnoteReference"/>
        </w:rPr>
        <w:footnoteReference w:id="20"/>
      </w:r>
      <w:r w:rsidR="005B77AD" w:rsidRPr="005B77AD">
        <w:t xml:space="preserve"> – which would naturally result in decreased revenues.</w:t>
      </w:r>
    </w:p>
    <w:p w14:paraId="6923B2CD" w14:textId="77777777" w:rsidR="009B3E2A" w:rsidRDefault="009B3E2A" w:rsidP="00B32253">
      <w:pPr>
        <w:pStyle w:val="BodyText"/>
        <w:ind w:left="0" w:right="114"/>
        <w:jc w:val="both"/>
      </w:pPr>
    </w:p>
    <w:p w14:paraId="312E0881" w14:textId="387DDF26" w:rsidR="00B90E16" w:rsidRDefault="00B90E16" w:rsidP="00B32253">
      <w:pPr>
        <w:pStyle w:val="BodyText"/>
        <w:numPr>
          <w:ilvl w:val="0"/>
          <w:numId w:val="2"/>
        </w:numPr>
        <w:ind w:right="114"/>
        <w:jc w:val="both"/>
        <w:rPr>
          <w:b/>
        </w:rPr>
      </w:pPr>
      <w:r>
        <w:rPr>
          <w:b/>
        </w:rPr>
        <w:t>Tobacco Seizure</w:t>
      </w:r>
      <w:r w:rsidR="00CF73CC">
        <w:rPr>
          <w:b/>
        </w:rPr>
        <w:t>s</w:t>
      </w:r>
    </w:p>
    <w:p w14:paraId="4E09186D" w14:textId="77777777" w:rsidR="00B90E16" w:rsidRPr="006134ED" w:rsidRDefault="00B90E16" w:rsidP="00B32253">
      <w:pPr>
        <w:pStyle w:val="BodyText"/>
        <w:ind w:left="1080" w:right="114"/>
        <w:jc w:val="both"/>
        <w:rPr>
          <w:b/>
        </w:rPr>
      </w:pPr>
    </w:p>
    <w:p w14:paraId="58E1CB5B" w14:textId="04FEC7BF" w:rsidR="00DA0AB4" w:rsidRDefault="00087945" w:rsidP="0057709F">
      <w:pPr>
        <w:pStyle w:val="BodyText"/>
        <w:ind w:left="0" w:right="114" w:firstLine="720"/>
        <w:jc w:val="both"/>
      </w:pPr>
      <w:r>
        <w:t>B</w:t>
      </w:r>
      <w:r w:rsidR="00CB0114">
        <w:t xml:space="preserve">eginning in November 2021, the Task Force adopted universal metrics for all agencies to track the seizure of tobacco products. </w:t>
      </w:r>
      <w:r w:rsidR="00B61D00">
        <w:t>The</w:t>
      </w:r>
      <w:r w:rsidR="00CB0114">
        <w:t xml:space="preserve"> Task Force </w:t>
      </w:r>
      <w:r w:rsidR="0057709F">
        <w:t>now</w:t>
      </w:r>
      <w:r w:rsidR="00B61D00">
        <w:t xml:space="preserve"> </w:t>
      </w:r>
      <w:r w:rsidR="008E2A90">
        <w:t>track</w:t>
      </w:r>
      <w:r w:rsidR="0057709F">
        <w:t>s</w:t>
      </w:r>
      <w:r w:rsidR="008E2A90">
        <w:t xml:space="preserve"> the types and amounts of tobacco products seized during regulatory inspections or criminal investigations</w:t>
      </w:r>
      <w:r w:rsidR="00DA0AB4">
        <w:t>.</w:t>
      </w:r>
      <w:r w:rsidR="003F61CD">
        <w:t xml:space="preserve"> </w:t>
      </w:r>
      <w:r w:rsidR="0057709F">
        <w:t xml:space="preserve">It has been </w:t>
      </w:r>
      <w:r w:rsidR="008E58BD">
        <w:t>five</w:t>
      </w:r>
      <w:r w:rsidR="0057709F">
        <w:t xml:space="preserve"> years since the Task Force began reporting on the quantity of tobacco products seized by the State Police or the DOR’s Criminal Investigations Bureau (“CIB”) and Miscellaneous Excise Bureau (“MEB”). The new tracking program allows the Task Force</w:t>
      </w:r>
      <w:r w:rsidR="008E3163">
        <w:t xml:space="preserve"> to </w:t>
      </w:r>
      <w:r w:rsidR="00C86691">
        <w:t xml:space="preserve">identify trends and </w:t>
      </w:r>
      <w:r w:rsidR="008E3163">
        <w:t>better all</w:t>
      </w:r>
      <w:r w:rsidR="00C86691">
        <w:t>ocate resources</w:t>
      </w:r>
      <w:r w:rsidR="00DA0AB4">
        <w:t xml:space="preserve"> in the future</w:t>
      </w:r>
      <w:r w:rsidR="008E2A90">
        <w:t>.</w:t>
      </w:r>
      <w:r w:rsidR="00C86691">
        <w:t xml:space="preserve"> </w:t>
      </w:r>
    </w:p>
    <w:p w14:paraId="11694F30" w14:textId="77777777" w:rsidR="00087945" w:rsidRDefault="00087945" w:rsidP="00DA0AB4">
      <w:pPr>
        <w:pStyle w:val="BodyText"/>
        <w:ind w:left="0" w:right="114" w:firstLine="720"/>
        <w:jc w:val="both"/>
      </w:pPr>
    </w:p>
    <w:p w14:paraId="1614A5EC" w14:textId="06DD17F5" w:rsidR="00B90E16" w:rsidRDefault="00C86691" w:rsidP="00DA0AB4">
      <w:pPr>
        <w:pStyle w:val="BodyText"/>
        <w:ind w:left="0" w:right="114" w:firstLine="720"/>
        <w:jc w:val="both"/>
      </w:pPr>
      <w:r>
        <w:t xml:space="preserve">The </w:t>
      </w:r>
      <w:r w:rsidR="00B61D00">
        <w:t xml:space="preserve">charts below identify the quantities of untaxed </w:t>
      </w:r>
      <w:r>
        <w:t>tobacco</w:t>
      </w:r>
      <w:r w:rsidR="005B77AD">
        <w:t xml:space="preserve"> </w:t>
      </w:r>
      <w:r>
        <w:t>products seized by the State Police (</w:t>
      </w:r>
      <w:r w:rsidR="006C4F39">
        <w:rPr>
          <w:b/>
          <w:bCs/>
        </w:rPr>
        <w:t>F</w:t>
      </w:r>
      <w:r w:rsidRPr="006C4F39">
        <w:rPr>
          <w:b/>
          <w:bCs/>
        </w:rPr>
        <w:t>igure 2</w:t>
      </w:r>
      <w:r>
        <w:t>)</w:t>
      </w:r>
      <w:r w:rsidR="00911E99">
        <w:t xml:space="preserve">, </w:t>
      </w:r>
      <w:r>
        <w:t>DOR (</w:t>
      </w:r>
      <w:r w:rsidR="006C4F39">
        <w:rPr>
          <w:b/>
          <w:bCs/>
        </w:rPr>
        <w:t>F</w:t>
      </w:r>
      <w:r w:rsidRPr="006C4F39">
        <w:rPr>
          <w:b/>
          <w:bCs/>
        </w:rPr>
        <w:t>igure 3</w:t>
      </w:r>
      <w:r>
        <w:t>)</w:t>
      </w:r>
      <w:r w:rsidR="00485447">
        <w:t xml:space="preserve">, and all Task Force </w:t>
      </w:r>
      <w:r w:rsidR="005453EA">
        <w:t>a</w:t>
      </w:r>
      <w:r w:rsidR="00485447">
        <w:t>gencies (</w:t>
      </w:r>
      <w:r w:rsidR="00485447" w:rsidRPr="00485447">
        <w:rPr>
          <w:b/>
          <w:bCs/>
        </w:rPr>
        <w:t>Figure 4</w:t>
      </w:r>
      <w:r w:rsidR="00485447">
        <w:t>)</w:t>
      </w:r>
      <w:r>
        <w:t xml:space="preserve"> during</w:t>
      </w:r>
      <w:r w:rsidR="005453EA">
        <w:t xml:space="preserve"> FY22</w:t>
      </w:r>
      <w:r w:rsidR="00042E1C">
        <w:t>/23</w:t>
      </w:r>
      <w:r w:rsidR="005453EA">
        <w:t xml:space="preserve"> – FY2</w:t>
      </w:r>
      <w:r w:rsidR="008311D1">
        <w:t>5</w:t>
      </w:r>
      <w:r>
        <w:t>.</w:t>
      </w:r>
    </w:p>
    <w:p w14:paraId="3305080A" w14:textId="77777777" w:rsidR="002017C3" w:rsidRDefault="002017C3" w:rsidP="002017C3">
      <w:pPr>
        <w:pStyle w:val="BodyText"/>
        <w:ind w:left="0" w:right="114"/>
        <w:jc w:val="both"/>
      </w:pPr>
    </w:p>
    <w:p w14:paraId="166991E6" w14:textId="0098EB20" w:rsidR="00F8145A" w:rsidRPr="00A77A0B" w:rsidRDefault="00F8145A" w:rsidP="00B32253">
      <w:pPr>
        <w:pStyle w:val="BodyText"/>
        <w:ind w:right="114"/>
        <w:jc w:val="center"/>
        <w:rPr>
          <w:b/>
        </w:rPr>
      </w:pPr>
      <w:r w:rsidRPr="00A77A0B">
        <w:rPr>
          <w:b/>
        </w:rPr>
        <w:t xml:space="preserve">Figure </w:t>
      </w:r>
      <w:r>
        <w:rPr>
          <w:b/>
        </w:rPr>
        <w:t>2</w:t>
      </w:r>
      <w:r w:rsidRPr="00A77A0B">
        <w:rPr>
          <w:b/>
        </w:rPr>
        <w:t xml:space="preserve">: </w:t>
      </w:r>
      <w:r>
        <w:rPr>
          <w:b/>
        </w:rPr>
        <w:t>State Police Tobacco Seizures</w:t>
      </w:r>
    </w:p>
    <w:p w14:paraId="4E13C764" w14:textId="77777777" w:rsidR="00F74A37" w:rsidRDefault="00F74A37" w:rsidP="00B32253">
      <w:pPr>
        <w:pStyle w:val="BodyText"/>
        <w:ind w:left="0" w:right="114" w:firstLine="720"/>
        <w:jc w:val="both"/>
      </w:pPr>
    </w:p>
    <w:tbl>
      <w:tblPr>
        <w:tblStyle w:val="TableGrid"/>
        <w:tblW w:w="0" w:type="auto"/>
        <w:jc w:val="center"/>
        <w:shd w:val="clear" w:color="auto" w:fill="BDD6EE" w:themeFill="accent5" w:themeFillTint="66"/>
        <w:tblLook w:val="04A0" w:firstRow="1" w:lastRow="0" w:firstColumn="1" w:lastColumn="0" w:noHBand="0" w:noVBand="1"/>
      </w:tblPr>
      <w:tblGrid>
        <w:gridCol w:w="4055"/>
        <w:gridCol w:w="1260"/>
        <w:gridCol w:w="1260"/>
        <w:gridCol w:w="1281"/>
        <w:gridCol w:w="1281"/>
      </w:tblGrid>
      <w:tr w:rsidR="008311D1" w:rsidRPr="00E56EDD" w14:paraId="72474812" w14:textId="59E0A71F" w:rsidTr="00D8467B">
        <w:trPr>
          <w:jc w:val="center"/>
        </w:trPr>
        <w:tc>
          <w:tcPr>
            <w:tcW w:w="4055" w:type="dxa"/>
            <w:shd w:val="clear" w:color="auto" w:fill="9CC2E5" w:themeFill="accent5" w:themeFillTint="99"/>
          </w:tcPr>
          <w:p w14:paraId="6C4373B2" w14:textId="41D0EC5D" w:rsidR="008311D1" w:rsidRPr="00E56EDD" w:rsidRDefault="008311D1" w:rsidP="003C2F72">
            <w:pPr>
              <w:pStyle w:val="BodyText"/>
              <w:spacing w:beforeLines="30" w:before="72"/>
              <w:ind w:left="0" w:right="114"/>
              <w:jc w:val="both"/>
              <w:rPr>
                <w:rFonts w:ascii="Arial" w:hAnsi="Arial" w:cs="Arial"/>
                <w:b/>
                <w:bCs/>
                <w:sz w:val="22"/>
                <w:szCs w:val="22"/>
              </w:rPr>
            </w:pPr>
            <w:bookmarkStart w:id="14" w:name="_Hlk155797873"/>
            <w:r w:rsidRPr="00E56EDD">
              <w:rPr>
                <w:rFonts w:ascii="Arial" w:hAnsi="Arial" w:cs="Arial"/>
                <w:b/>
                <w:bCs/>
                <w:sz w:val="22"/>
                <w:szCs w:val="22"/>
              </w:rPr>
              <w:t>State Police Tobacco Seizures</w:t>
            </w:r>
          </w:p>
        </w:tc>
        <w:tc>
          <w:tcPr>
            <w:tcW w:w="1260" w:type="dxa"/>
            <w:shd w:val="clear" w:color="auto" w:fill="9CC2E5" w:themeFill="accent5" w:themeFillTint="99"/>
          </w:tcPr>
          <w:p w14:paraId="6C94E909" w14:textId="11D6FEBD" w:rsidR="008311D1" w:rsidRPr="00E56EDD" w:rsidRDefault="008311D1" w:rsidP="003C2F72">
            <w:pPr>
              <w:pStyle w:val="BodyText"/>
              <w:spacing w:beforeLines="30" w:before="72"/>
              <w:ind w:left="0" w:right="114"/>
              <w:jc w:val="center"/>
              <w:rPr>
                <w:rFonts w:ascii="Arial" w:hAnsi="Arial" w:cs="Arial"/>
                <w:b/>
                <w:bCs/>
                <w:sz w:val="22"/>
                <w:szCs w:val="22"/>
              </w:rPr>
            </w:pPr>
            <w:r>
              <w:rPr>
                <w:rFonts w:ascii="Arial" w:hAnsi="Arial" w:cs="Arial"/>
                <w:b/>
                <w:bCs/>
                <w:sz w:val="22"/>
                <w:szCs w:val="22"/>
              </w:rPr>
              <w:t>FY22</w:t>
            </w:r>
          </w:p>
        </w:tc>
        <w:tc>
          <w:tcPr>
            <w:tcW w:w="1260" w:type="dxa"/>
            <w:shd w:val="clear" w:color="auto" w:fill="9CC2E5" w:themeFill="accent5" w:themeFillTint="99"/>
          </w:tcPr>
          <w:p w14:paraId="4F41B15F" w14:textId="39E7B5EE" w:rsidR="008311D1" w:rsidRDefault="008311D1" w:rsidP="003C2F72">
            <w:pPr>
              <w:pStyle w:val="BodyText"/>
              <w:spacing w:beforeLines="30" w:before="72"/>
              <w:ind w:left="0" w:right="114"/>
              <w:jc w:val="center"/>
              <w:rPr>
                <w:rFonts w:ascii="Arial" w:hAnsi="Arial" w:cs="Arial"/>
                <w:b/>
                <w:bCs/>
                <w:sz w:val="22"/>
                <w:szCs w:val="22"/>
              </w:rPr>
            </w:pPr>
            <w:r>
              <w:rPr>
                <w:rFonts w:ascii="Arial" w:hAnsi="Arial" w:cs="Arial"/>
                <w:b/>
                <w:bCs/>
                <w:sz w:val="22"/>
                <w:szCs w:val="22"/>
              </w:rPr>
              <w:t>FY23</w:t>
            </w:r>
          </w:p>
        </w:tc>
        <w:tc>
          <w:tcPr>
            <w:tcW w:w="1281" w:type="dxa"/>
            <w:shd w:val="clear" w:color="auto" w:fill="9CC2E5" w:themeFill="accent5" w:themeFillTint="99"/>
          </w:tcPr>
          <w:p w14:paraId="2F49E0B3" w14:textId="51EB7522" w:rsidR="008311D1" w:rsidRDefault="008311D1" w:rsidP="003C2F72">
            <w:pPr>
              <w:pStyle w:val="BodyText"/>
              <w:spacing w:beforeLines="30" w:before="72"/>
              <w:ind w:left="0" w:right="114"/>
              <w:jc w:val="center"/>
              <w:rPr>
                <w:rFonts w:ascii="Arial" w:hAnsi="Arial" w:cs="Arial"/>
                <w:b/>
                <w:bCs/>
                <w:sz w:val="22"/>
                <w:szCs w:val="22"/>
              </w:rPr>
            </w:pPr>
            <w:r>
              <w:rPr>
                <w:rFonts w:ascii="Arial" w:hAnsi="Arial" w:cs="Arial"/>
                <w:b/>
                <w:bCs/>
                <w:sz w:val="22"/>
                <w:szCs w:val="22"/>
              </w:rPr>
              <w:t>FY24</w:t>
            </w:r>
          </w:p>
        </w:tc>
        <w:tc>
          <w:tcPr>
            <w:tcW w:w="1281" w:type="dxa"/>
            <w:shd w:val="clear" w:color="auto" w:fill="9CC2E5" w:themeFill="accent5" w:themeFillTint="99"/>
          </w:tcPr>
          <w:p w14:paraId="1A783C03" w14:textId="7AF95700" w:rsidR="008311D1" w:rsidRDefault="008311D1" w:rsidP="003C2F72">
            <w:pPr>
              <w:pStyle w:val="BodyText"/>
              <w:spacing w:beforeLines="30" w:before="72"/>
              <w:ind w:left="0" w:right="114"/>
              <w:jc w:val="center"/>
              <w:rPr>
                <w:rFonts w:ascii="Arial" w:hAnsi="Arial" w:cs="Arial"/>
                <w:b/>
                <w:bCs/>
                <w:sz w:val="22"/>
                <w:szCs w:val="22"/>
              </w:rPr>
            </w:pPr>
            <w:r>
              <w:rPr>
                <w:rFonts w:ascii="Arial" w:hAnsi="Arial" w:cs="Arial"/>
                <w:b/>
                <w:bCs/>
                <w:sz w:val="22"/>
                <w:szCs w:val="22"/>
              </w:rPr>
              <w:t>FY25</w:t>
            </w:r>
          </w:p>
        </w:tc>
      </w:tr>
      <w:tr w:rsidR="008311D1" w:rsidRPr="00E56EDD" w14:paraId="359BC709" w14:textId="11A2FA36" w:rsidTr="008311D1">
        <w:trPr>
          <w:jc w:val="center"/>
        </w:trPr>
        <w:tc>
          <w:tcPr>
            <w:tcW w:w="4055" w:type="dxa"/>
            <w:shd w:val="clear" w:color="auto" w:fill="BDD6EE" w:themeFill="accent5" w:themeFillTint="66"/>
          </w:tcPr>
          <w:p w14:paraId="7DC6F886" w14:textId="0E0FE173" w:rsidR="008311D1" w:rsidRPr="00E56EDD" w:rsidRDefault="008311D1" w:rsidP="003C2F72">
            <w:pPr>
              <w:pStyle w:val="BodyText"/>
              <w:spacing w:beforeLines="30" w:before="72"/>
              <w:ind w:left="0" w:right="114"/>
              <w:jc w:val="both"/>
              <w:rPr>
                <w:rFonts w:ascii="Arial" w:hAnsi="Arial" w:cs="Arial"/>
                <w:sz w:val="22"/>
                <w:szCs w:val="22"/>
              </w:rPr>
            </w:pPr>
            <w:r w:rsidRPr="00E56EDD">
              <w:rPr>
                <w:rFonts w:ascii="Arial" w:hAnsi="Arial" w:cs="Arial"/>
                <w:sz w:val="22"/>
                <w:szCs w:val="22"/>
              </w:rPr>
              <w:t>Cigarettes (packs)</w:t>
            </w:r>
          </w:p>
        </w:tc>
        <w:tc>
          <w:tcPr>
            <w:tcW w:w="1260" w:type="dxa"/>
            <w:shd w:val="clear" w:color="auto" w:fill="BDD6EE" w:themeFill="accent5" w:themeFillTint="66"/>
          </w:tcPr>
          <w:p w14:paraId="17AF22D0" w14:textId="521E6C0C" w:rsidR="008311D1" w:rsidRPr="00E56EDD" w:rsidRDefault="008311D1" w:rsidP="003C2F72">
            <w:pPr>
              <w:pStyle w:val="BodyText"/>
              <w:spacing w:beforeLines="30" w:before="72"/>
              <w:ind w:left="0" w:right="114"/>
              <w:jc w:val="center"/>
              <w:rPr>
                <w:rFonts w:ascii="Arial" w:hAnsi="Arial" w:cs="Arial"/>
                <w:sz w:val="22"/>
                <w:szCs w:val="22"/>
              </w:rPr>
            </w:pPr>
            <w:r>
              <w:rPr>
                <w:rFonts w:ascii="Arial" w:hAnsi="Arial" w:cs="Arial"/>
                <w:sz w:val="22"/>
                <w:szCs w:val="22"/>
              </w:rPr>
              <w:t>1,972</w:t>
            </w:r>
          </w:p>
        </w:tc>
        <w:tc>
          <w:tcPr>
            <w:tcW w:w="1260" w:type="dxa"/>
            <w:shd w:val="clear" w:color="auto" w:fill="BDD6EE" w:themeFill="accent5" w:themeFillTint="66"/>
          </w:tcPr>
          <w:p w14:paraId="417670E1" w14:textId="5B536EAB" w:rsidR="008311D1" w:rsidRDefault="008311D1" w:rsidP="003C2F72">
            <w:pPr>
              <w:pStyle w:val="BodyText"/>
              <w:spacing w:beforeLines="30" w:before="72"/>
              <w:ind w:left="0" w:right="114"/>
              <w:jc w:val="center"/>
              <w:rPr>
                <w:rFonts w:ascii="Arial" w:hAnsi="Arial" w:cs="Arial"/>
                <w:sz w:val="22"/>
                <w:szCs w:val="22"/>
              </w:rPr>
            </w:pPr>
            <w:r>
              <w:rPr>
                <w:rFonts w:ascii="Arial" w:hAnsi="Arial" w:cs="Arial"/>
                <w:sz w:val="22"/>
                <w:szCs w:val="22"/>
              </w:rPr>
              <w:t>64</w:t>
            </w:r>
          </w:p>
        </w:tc>
        <w:tc>
          <w:tcPr>
            <w:tcW w:w="1281" w:type="dxa"/>
            <w:shd w:val="clear" w:color="auto" w:fill="BDD6EE" w:themeFill="accent5" w:themeFillTint="66"/>
          </w:tcPr>
          <w:p w14:paraId="25EE046E" w14:textId="41718856" w:rsidR="008311D1" w:rsidRPr="00EC722E" w:rsidRDefault="008311D1" w:rsidP="003C2F72">
            <w:pPr>
              <w:pStyle w:val="BodyText"/>
              <w:spacing w:beforeLines="30" w:before="72"/>
              <w:ind w:left="0" w:right="114"/>
              <w:jc w:val="center"/>
              <w:rPr>
                <w:rFonts w:ascii="Arial" w:hAnsi="Arial" w:cs="Arial"/>
                <w:sz w:val="22"/>
                <w:szCs w:val="22"/>
              </w:rPr>
            </w:pPr>
            <w:r w:rsidRPr="00EC722E">
              <w:rPr>
                <w:rFonts w:ascii="Arial" w:hAnsi="Arial" w:cs="Arial"/>
                <w:sz w:val="22"/>
                <w:szCs w:val="22"/>
              </w:rPr>
              <w:t>89</w:t>
            </w:r>
          </w:p>
        </w:tc>
        <w:tc>
          <w:tcPr>
            <w:tcW w:w="1281" w:type="dxa"/>
            <w:shd w:val="clear" w:color="auto" w:fill="BDD6EE" w:themeFill="accent5" w:themeFillTint="66"/>
          </w:tcPr>
          <w:p w14:paraId="3465A928" w14:textId="0ECD18AF" w:rsidR="008311D1" w:rsidRPr="00DE0266" w:rsidRDefault="00042E1C" w:rsidP="003C2F72">
            <w:pPr>
              <w:pStyle w:val="BodyText"/>
              <w:spacing w:beforeLines="30" w:before="72"/>
              <w:ind w:left="0" w:right="114"/>
              <w:jc w:val="center"/>
              <w:rPr>
                <w:rFonts w:ascii="Arial" w:hAnsi="Arial" w:cs="Arial"/>
                <w:b/>
                <w:bCs/>
                <w:sz w:val="22"/>
                <w:szCs w:val="22"/>
              </w:rPr>
            </w:pPr>
            <w:r>
              <w:rPr>
                <w:rFonts w:ascii="Arial" w:hAnsi="Arial" w:cs="Arial"/>
                <w:b/>
                <w:bCs/>
                <w:sz w:val="22"/>
                <w:szCs w:val="22"/>
              </w:rPr>
              <w:t>10</w:t>
            </w:r>
          </w:p>
        </w:tc>
      </w:tr>
      <w:tr w:rsidR="008311D1" w:rsidRPr="00E56EDD" w14:paraId="049BA734" w14:textId="3B173E92" w:rsidTr="008311D1">
        <w:trPr>
          <w:jc w:val="center"/>
        </w:trPr>
        <w:tc>
          <w:tcPr>
            <w:tcW w:w="4055" w:type="dxa"/>
            <w:shd w:val="clear" w:color="auto" w:fill="BDD6EE" w:themeFill="accent5" w:themeFillTint="66"/>
          </w:tcPr>
          <w:p w14:paraId="342F7A10" w14:textId="6EEC740E" w:rsidR="008311D1" w:rsidRPr="00E56EDD" w:rsidRDefault="008311D1" w:rsidP="003C2F72">
            <w:pPr>
              <w:pStyle w:val="BodyText"/>
              <w:spacing w:beforeLines="30" w:before="72"/>
              <w:ind w:left="0" w:right="114"/>
              <w:jc w:val="both"/>
              <w:rPr>
                <w:rFonts w:ascii="Arial" w:hAnsi="Arial" w:cs="Arial"/>
                <w:sz w:val="22"/>
                <w:szCs w:val="22"/>
              </w:rPr>
            </w:pPr>
            <w:r w:rsidRPr="00E56EDD">
              <w:rPr>
                <w:rFonts w:ascii="Arial" w:hAnsi="Arial" w:cs="Arial"/>
                <w:sz w:val="22"/>
                <w:szCs w:val="22"/>
              </w:rPr>
              <w:t>Smokeless Tobacco (tins/cans/bags)</w:t>
            </w:r>
          </w:p>
        </w:tc>
        <w:tc>
          <w:tcPr>
            <w:tcW w:w="1260" w:type="dxa"/>
            <w:shd w:val="clear" w:color="auto" w:fill="BDD6EE" w:themeFill="accent5" w:themeFillTint="66"/>
          </w:tcPr>
          <w:p w14:paraId="433D7D91" w14:textId="20E8A1D9" w:rsidR="008311D1" w:rsidRPr="00E56EDD" w:rsidRDefault="008311D1" w:rsidP="003C2F72">
            <w:pPr>
              <w:pStyle w:val="BodyText"/>
              <w:spacing w:beforeLines="30" w:before="72"/>
              <w:ind w:left="0" w:right="114"/>
              <w:jc w:val="center"/>
              <w:rPr>
                <w:rFonts w:ascii="Arial" w:hAnsi="Arial" w:cs="Arial"/>
                <w:sz w:val="22"/>
                <w:szCs w:val="22"/>
              </w:rPr>
            </w:pPr>
            <w:r>
              <w:rPr>
                <w:rFonts w:ascii="Arial" w:hAnsi="Arial" w:cs="Arial"/>
                <w:sz w:val="22"/>
                <w:szCs w:val="22"/>
              </w:rPr>
              <w:t>15</w:t>
            </w:r>
          </w:p>
        </w:tc>
        <w:tc>
          <w:tcPr>
            <w:tcW w:w="1260" w:type="dxa"/>
            <w:shd w:val="clear" w:color="auto" w:fill="BDD6EE" w:themeFill="accent5" w:themeFillTint="66"/>
          </w:tcPr>
          <w:p w14:paraId="48A99A50" w14:textId="11486EF5" w:rsidR="008311D1" w:rsidRDefault="008311D1" w:rsidP="003C2F72">
            <w:pPr>
              <w:pStyle w:val="BodyText"/>
              <w:spacing w:beforeLines="30" w:before="72"/>
              <w:ind w:left="0" w:right="114"/>
              <w:jc w:val="center"/>
              <w:rPr>
                <w:rFonts w:ascii="Arial" w:hAnsi="Arial" w:cs="Arial"/>
                <w:sz w:val="22"/>
                <w:szCs w:val="22"/>
              </w:rPr>
            </w:pPr>
            <w:r>
              <w:rPr>
                <w:rFonts w:ascii="Arial" w:hAnsi="Arial" w:cs="Arial"/>
                <w:sz w:val="22"/>
                <w:szCs w:val="22"/>
              </w:rPr>
              <w:t>25</w:t>
            </w:r>
          </w:p>
        </w:tc>
        <w:tc>
          <w:tcPr>
            <w:tcW w:w="1281" w:type="dxa"/>
            <w:shd w:val="clear" w:color="auto" w:fill="BDD6EE" w:themeFill="accent5" w:themeFillTint="66"/>
          </w:tcPr>
          <w:p w14:paraId="46AF0F8C" w14:textId="6FCA1665" w:rsidR="008311D1" w:rsidRPr="00EC722E" w:rsidRDefault="008311D1" w:rsidP="003C2F72">
            <w:pPr>
              <w:pStyle w:val="BodyText"/>
              <w:spacing w:beforeLines="30" w:before="72"/>
              <w:ind w:left="0" w:right="114"/>
              <w:jc w:val="center"/>
              <w:rPr>
                <w:rFonts w:ascii="Arial" w:hAnsi="Arial" w:cs="Arial"/>
                <w:sz w:val="22"/>
                <w:szCs w:val="22"/>
              </w:rPr>
            </w:pPr>
            <w:r w:rsidRPr="00EC722E">
              <w:rPr>
                <w:rFonts w:ascii="Arial" w:hAnsi="Arial" w:cs="Arial"/>
                <w:sz w:val="22"/>
                <w:szCs w:val="22"/>
              </w:rPr>
              <w:t>58</w:t>
            </w:r>
          </w:p>
        </w:tc>
        <w:tc>
          <w:tcPr>
            <w:tcW w:w="1281" w:type="dxa"/>
            <w:shd w:val="clear" w:color="auto" w:fill="BDD6EE" w:themeFill="accent5" w:themeFillTint="66"/>
          </w:tcPr>
          <w:p w14:paraId="05C8351E" w14:textId="6D38A965" w:rsidR="008311D1" w:rsidRPr="00DE0266" w:rsidRDefault="00042E1C" w:rsidP="003C2F72">
            <w:pPr>
              <w:pStyle w:val="BodyText"/>
              <w:spacing w:beforeLines="30" w:before="72"/>
              <w:ind w:left="0" w:right="114"/>
              <w:jc w:val="center"/>
              <w:rPr>
                <w:rFonts w:ascii="Arial" w:hAnsi="Arial" w:cs="Arial"/>
                <w:b/>
                <w:bCs/>
                <w:sz w:val="22"/>
                <w:szCs w:val="22"/>
              </w:rPr>
            </w:pPr>
            <w:r>
              <w:rPr>
                <w:rFonts w:ascii="Arial" w:hAnsi="Arial" w:cs="Arial"/>
                <w:b/>
                <w:bCs/>
                <w:sz w:val="22"/>
                <w:szCs w:val="22"/>
              </w:rPr>
              <w:t>0</w:t>
            </w:r>
          </w:p>
        </w:tc>
      </w:tr>
      <w:tr w:rsidR="008311D1" w:rsidRPr="00E56EDD" w14:paraId="7E71AFDA" w14:textId="6CAA7DB6" w:rsidTr="008311D1">
        <w:trPr>
          <w:jc w:val="center"/>
        </w:trPr>
        <w:tc>
          <w:tcPr>
            <w:tcW w:w="4055" w:type="dxa"/>
            <w:shd w:val="clear" w:color="auto" w:fill="BDD6EE" w:themeFill="accent5" w:themeFillTint="66"/>
          </w:tcPr>
          <w:p w14:paraId="626A19A1" w14:textId="77777777" w:rsidR="008311D1" w:rsidRPr="00E56EDD" w:rsidRDefault="008311D1" w:rsidP="003C2F72">
            <w:pPr>
              <w:pStyle w:val="BodyText"/>
              <w:spacing w:beforeLines="30" w:before="72"/>
              <w:ind w:left="0" w:right="114"/>
              <w:jc w:val="both"/>
              <w:rPr>
                <w:rFonts w:ascii="Arial" w:hAnsi="Arial" w:cs="Arial"/>
                <w:sz w:val="22"/>
                <w:szCs w:val="22"/>
              </w:rPr>
            </w:pPr>
            <w:r w:rsidRPr="00E56EDD">
              <w:rPr>
                <w:rFonts w:ascii="Arial" w:hAnsi="Arial" w:cs="Arial"/>
                <w:sz w:val="22"/>
                <w:szCs w:val="22"/>
              </w:rPr>
              <w:t>Cigars</w:t>
            </w:r>
          </w:p>
        </w:tc>
        <w:tc>
          <w:tcPr>
            <w:tcW w:w="1260" w:type="dxa"/>
            <w:shd w:val="clear" w:color="auto" w:fill="BDD6EE" w:themeFill="accent5" w:themeFillTint="66"/>
          </w:tcPr>
          <w:p w14:paraId="0D15D8AC" w14:textId="57864B2F" w:rsidR="008311D1" w:rsidRPr="00E56EDD" w:rsidRDefault="008311D1" w:rsidP="003C2F72">
            <w:pPr>
              <w:pStyle w:val="BodyText"/>
              <w:spacing w:beforeLines="30" w:before="72"/>
              <w:ind w:left="0" w:right="114"/>
              <w:jc w:val="center"/>
              <w:rPr>
                <w:rFonts w:ascii="Arial" w:hAnsi="Arial" w:cs="Arial"/>
                <w:sz w:val="22"/>
                <w:szCs w:val="22"/>
              </w:rPr>
            </w:pPr>
            <w:r>
              <w:rPr>
                <w:rFonts w:ascii="Arial" w:hAnsi="Arial" w:cs="Arial"/>
                <w:sz w:val="22"/>
                <w:szCs w:val="22"/>
              </w:rPr>
              <w:t>785</w:t>
            </w:r>
          </w:p>
        </w:tc>
        <w:tc>
          <w:tcPr>
            <w:tcW w:w="1260" w:type="dxa"/>
            <w:shd w:val="clear" w:color="auto" w:fill="BDD6EE" w:themeFill="accent5" w:themeFillTint="66"/>
          </w:tcPr>
          <w:p w14:paraId="4BB5A486" w14:textId="22D575D6" w:rsidR="008311D1" w:rsidRDefault="008311D1" w:rsidP="003C2F72">
            <w:pPr>
              <w:pStyle w:val="BodyText"/>
              <w:spacing w:beforeLines="30" w:before="72"/>
              <w:ind w:left="0" w:right="114"/>
              <w:jc w:val="center"/>
              <w:rPr>
                <w:rFonts w:ascii="Arial" w:hAnsi="Arial" w:cs="Arial"/>
                <w:sz w:val="22"/>
                <w:szCs w:val="22"/>
              </w:rPr>
            </w:pPr>
            <w:r>
              <w:rPr>
                <w:rFonts w:ascii="Arial" w:hAnsi="Arial" w:cs="Arial"/>
                <w:sz w:val="22"/>
                <w:szCs w:val="22"/>
              </w:rPr>
              <w:t>0</w:t>
            </w:r>
          </w:p>
        </w:tc>
        <w:tc>
          <w:tcPr>
            <w:tcW w:w="1281" w:type="dxa"/>
            <w:shd w:val="clear" w:color="auto" w:fill="BDD6EE" w:themeFill="accent5" w:themeFillTint="66"/>
          </w:tcPr>
          <w:p w14:paraId="6D384FA0" w14:textId="540A549F" w:rsidR="008311D1" w:rsidRPr="00EC722E" w:rsidRDefault="008311D1" w:rsidP="003C2F72">
            <w:pPr>
              <w:pStyle w:val="BodyText"/>
              <w:spacing w:beforeLines="30" w:before="72"/>
              <w:ind w:left="0" w:right="114"/>
              <w:jc w:val="center"/>
              <w:rPr>
                <w:rFonts w:ascii="Arial" w:hAnsi="Arial" w:cs="Arial"/>
                <w:sz w:val="22"/>
                <w:szCs w:val="22"/>
              </w:rPr>
            </w:pPr>
            <w:r w:rsidRPr="00EC722E">
              <w:rPr>
                <w:rFonts w:ascii="Arial" w:hAnsi="Arial" w:cs="Arial"/>
                <w:sz w:val="22"/>
                <w:szCs w:val="22"/>
              </w:rPr>
              <w:t>390</w:t>
            </w:r>
          </w:p>
        </w:tc>
        <w:tc>
          <w:tcPr>
            <w:tcW w:w="1281" w:type="dxa"/>
            <w:shd w:val="clear" w:color="auto" w:fill="BDD6EE" w:themeFill="accent5" w:themeFillTint="66"/>
          </w:tcPr>
          <w:p w14:paraId="63A5A9B3" w14:textId="31C76DE5" w:rsidR="008311D1" w:rsidRPr="00DE0266" w:rsidRDefault="00042E1C" w:rsidP="003C2F72">
            <w:pPr>
              <w:pStyle w:val="BodyText"/>
              <w:spacing w:beforeLines="30" w:before="72"/>
              <w:ind w:left="0" w:right="114"/>
              <w:jc w:val="center"/>
              <w:rPr>
                <w:rFonts w:ascii="Arial" w:hAnsi="Arial" w:cs="Arial"/>
                <w:b/>
                <w:bCs/>
                <w:sz w:val="22"/>
                <w:szCs w:val="22"/>
              </w:rPr>
            </w:pPr>
            <w:r>
              <w:rPr>
                <w:rFonts w:ascii="Arial" w:hAnsi="Arial" w:cs="Arial"/>
                <w:b/>
                <w:bCs/>
                <w:sz w:val="22"/>
                <w:szCs w:val="22"/>
              </w:rPr>
              <w:t>0</w:t>
            </w:r>
          </w:p>
        </w:tc>
      </w:tr>
      <w:tr w:rsidR="008311D1" w:rsidRPr="00E56EDD" w14:paraId="47D42428" w14:textId="656C1829" w:rsidTr="008311D1">
        <w:trPr>
          <w:jc w:val="center"/>
        </w:trPr>
        <w:tc>
          <w:tcPr>
            <w:tcW w:w="4055" w:type="dxa"/>
            <w:shd w:val="clear" w:color="auto" w:fill="BDD6EE" w:themeFill="accent5" w:themeFillTint="66"/>
          </w:tcPr>
          <w:p w14:paraId="6A743AF3" w14:textId="01820516" w:rsidR="008311D1" w:rsidRPr="00E56EDD" w:rsidRDefault="008311D1" w:rsidP="003C2F72">
            <w:pPr>
              <w:pStyle w:val="BodyText"/>
              <w:spacing w:beforeLines="30" w:before="72"/>
              <w:ind w:left="0" w:right="114"/>
              <w:jc w:val="both"/>
              <w:rPr>
                <w:rFonts w:ascii="Arial" w:hAnsi="Arial" w:cs="Arial"/>
                <w:sz w:val="22"/>
                <w:szCs w:val="22"/>
              </w:rPr>
            </w:pPr>
            <w:r w:rsidRPr="00E56EDD">
              <w:rPr>
                <w:rFonts w:ascii="Arial" w:hAnsi="Arial" w:cs="Arial"/>
                <w:sz w:val="22"/>
                <w:szCs w:val="22"/>
              </w:rPr>
              <w:t>Smoking Tobacco (bags)</w:t>
            </w:r>
          </w:p>
        </w:tc>
        <w:tc>
          <w:tcPr>
            <w:tcW w:w="1260" w:type="dxa"/>
            <w:shd w:val="clear" w:color="auto" w:fill="BDD6EE" w:themeFill="accent5" w:themeFillTint="66"/>
          </w:tcPr>
          <w:p w14:paraId="3B1F6ECB" w14:textId="383CB7BE" w:rsidR="008311D1" w:rsidRPr="00E56EDD" w:rsidRDefault="008311D1" w:rsidP="003C2F72">
            <w:pPr>
              <w:pStyle w:val="BodyText"/>
              <w:spacing w:beforeLines="30" w:before="72"/>
              <w:ind w:left="0" w:right="114"/>
              <w:jc w:val="center"/>
              <w:rPr>
                <w:rFonts w:ascii="Arial" w:hAnsi="Arial" w:cs="Arial"/>
                <w:sz w:val="22"/>
                <w:szCs w:val="22"/>
              </w:rPr>
            </w:pPr>
            <w:r>
              <w:rPr>
                <w:rFonts w:ascii="Arial" w:hAnsi="Arial" w:cs="Arial"/>
                <w:sz w:val="22"/>
                <w:szCs w:val="22"/>
              </w:rPr>
              <w:t>23</w:t>
            </w:r>
          </w:p>
        </w:tc>
        <w:tc>
          <w:tcPr>
            <w:tcW w:w="1260" w:type="dxa"/>
            <w:shd w:val="clear" w:color="auto" w:fill="BDD6EE" w:themeFill="accent5" w:themeFillTint="66"/>
          </w:tcPr>
          <w:p w14:paraId="3F904BD6" w14:textId="72165B7F" w:rsidR="008311D1" w:rsidRDefault="008311D1" w:rsidP="003C2F72">
            <w:pPr>
              <w:pStyle w:val="BodyText"/>
              <w:spacing w:beforeLines="30" w:before="72"/>
              <w:ind w:left="0" w:right="114"/>
              <w:jc w:val="center"/>
              <w:rPr>
                <w:rFonts w:ascii="Arial" w:hAnsi="Arial" w:cs="Arial"/>
                <w:sz w:val="22"/>
                <w:szCs w:val="22"/>
              </w:rPr>
            </w:pPr>
            <w:r>
              <w:rPr>
                <w:rFonts w:ascii="Arial" w:hAnsi="Arial" w:cs="Arial"/>
                <w:sz w:val="22"/>
                <w:szCs w:val="22"/>
              </w:rPr>
              <w:t>0</w:t>
            </w:r>
          </w:p>
        </w:tc>
        <w:tc>
          <w:tcPr>
            <w:tcW w:w="1281" w:type="dxa"/>
            <w:shd w:val="clear" w:color="auto" w:fill="BDD6EE" w:themeFill="accent5" w:themeFillTint="66"/>
          </w:tcPr>
          <w:p w14:paraId="356D2C75" w14:textId="3252F1ED" w:rsidR="008311D1" w:rsidRPr="00EC722E" w:rsidRDefault="008311D1" w:rsidP="003C2F72">
            <w:pPr>
              <w:pStyle w:val="BodyText"/>
              <w:spacing w:beforeLines="30" w:before="72"/>
              <w:ind w:left="0" w:right="114"/>
              <w:jc w:val="center"/>
              <w:rPr>
                <w:rFonts w:ascii="Arial" w:hAnsi="Arial" w:cs="Arial"/>
                <w:sz w:val="22"/>
                <w:szCs w:val="22"/>
              </w:rPr>
            </w:pPr>
            <w:r w:rsidRPr="00EC722E">
              <w:rPr>
                <w:rFonts w:ascii="Arial" w:hAnsi="Arial" w:cs="Arial"/>
                <w:sz w:val="22"/>
                <w:szCs w:val="22"/>
              </w:rPr>
              <w:t>82</w:t>
            </w:r>
          </w:p>
        </w:tc>
        <w:tc>
          <w:tcPr>
            <w:tcW w:w="1281" w:type="dxa"/>
            <w:shd w:val="clear" w:color="auto" w:fill="BDD6EE" w:themeFill="accent5" w:themeFillTint="66"/>
          </w:tcPr>
          <w:p w14:paraId="7EE7B874" w14:textId="6791E816" w:rsidR="008311D1" w:rsidRPr="00DE0266" w:rsidRDefault="00042E1C" w:rsidP="003C2F72">
            <w:pPr>
              <w:pStyle w:val="BodyText"/>
              <w:spacing w:beforeLines="30" w:before="72"/>
              <w:ind w:left="0" w:right="114"/>
              <w:jc w:val="center"/>
              <w:rPr>
                <w:rFonts w:ascii="Arial" w:hAnsi="Arial" w:cs="Arial"/>
                <w:b/>
                <w:bCs/>
                <w:sz w:val="22"/>
                <w:szCs w:val="22"/>
              </w:rPr>
            </w:pPr>
            <w:r>
              <w:rPr>
                <w:rFonts w:ascii="Arial" w:hAnsi="Arial" w:cs="Arial"/>
                <w:b/>
                <w:bCs/>
                <w:sz w:val="22"/>
                <w:szCs w:val="22"/>
              </w:rPr>
              <w:t>0</w:t>
            </w:r>
          </w:p>
        </w:tc>
      </w:tr>
      <w:tr w:rsidR="008311D1" w:rsidRPr="00E56EDD" w14:paraId="7F4AC3AA" w14:textId="1A9C38FF" w:rsidTr="008311D1">
        <w:trPr>
          <w:jc w:val="center"/>
        </w:trPr>
        <w:tc>
          <w:tcPr>
            <w:tcW w:w="4055" w:type="dxa"/>
            <w:shd w:val="clear" w:color="auto" w:fill="BDD6EE" w:themeFill="accent5" w:themeFillTint="66"/>
          </w:tcPr>
          <w:p w14:paraId="307BE747" w14:textId="77777777" w:rsidR="008311D1" w:rsidRPr="00E56EDD" w:rsidRDefault="008311D1" w:rsidP="003C2F72">
            <w:pPr>
              <w:pStyle w:val="BodyText"/>
              <w:spacing w:beforeLines="30" w:before="72"/>
              <w:ind w:left="0" w:right="114"/>
              <w:jc w:val="both"/>
              <w:rPr>
                <w:rFonts w:ascii="Arial" w:hAnsi="Arial" w:cs="Arial"/>
                <w:sz w:val="22"/>
                <w:szCs w:val="22"/>
              </w:rPr>
            </w:pPr>
            <w:r w:rsidRPr="00E56EDD">
              <w:rPr>
                <w:rFonts w:ascii="Arial" w:hAnsi="Arial" w:cs="Arial"/>
                <w:sz w:val="22"/>
                <w:szCs w:val="22"/>
              </w:rPr>
              <w:t>ENDS</w:t>
            </w:r>
          </w:p>
        </w:tc>
        <w:tc>
          <w:tcPr>
            <w:tcW w:w="1260" w:type="dxa"/>
            <w:shd w:val="clear" w:color="auto" w:fill="BDD6EE" w:themeFill="accent5" w:themeFillTint="66"/>
          </w:tcPr>
          <w:p w14:paraId="157BB802" w14:textId="35B4EC6A" w:rsidR="008311D1" w:rsidRPr="00E56EDD" w:rsidRDefault="008311D1" w:rsidP="003C2F72">
            <w:pPr>
              <w:pStyle w:val="BodyText"/>
              <w:spacing w:beforeLines="30" w:before="72"/>
              <w:ind w:left="0" w:right="114"/>
              <w:jc w:val="center"/>
              <w:rPr>
                <w:rFonts w:ascii="Arial" w:hAnsi="Arial" w:cs="Arial"/>
                <w:sz w:val="22"/>
                <w:szCs w:val="22"/>
              </w:rPr>
            </w:pPr>
            <w:r>
              <w:rPr>
                <w:rFonts w:ascii="Arial" w:hAnsi="Arial" w:cs="Arial"/>
                <w:sz w:val="22"/>
                <w:szCs w:val="22"/>
              </w:rPr>
              <w:t>6,406</w:t>
            </w:r>
          </w:p>
        </w:tc>
        <w:tc>
          <w:tcPr>
            <w:tcW w:w="1260" w:type="dxa"/>
            <w:shd w:val="clear" w:color="auto" w:fill="BDD6EE" w:themeFill="accent5" w:themeFillTint="66"/>
          </w:tcPr>
          <w:p w14:paraId="08EC7438" w14:textId="21A6F0AF" w:rsidR="008311D1" w:rsidRDefault="008311D1" w:rsidP="003C2F72">
            <w:pPr>
              <w:pStyle w:val="BodyText"/>
              <w:spacing w:beforeLines="30" w:before="72"/>
              <w:ind w:left="0" w:right="114"/>
              <w:jc w:val="center"/>
              <w:rPr>
                <w:rFonts w:ascii="Arial" w:hAnsi="Arial" w:cs="Arial"/>
                <w:sz w:val="22"/>
                <w:szCs w:val="22"/>
              </w:rPr>
            </w:pPr>
            <w:r>
              <w:rPr>
                <w:rFonts w:ascii="Arial" w:hAnsi="Arial" w:cs="Arial"/>
                <w:sz w:val="22"/>
                <w:szCs w:val="22"/>
              </w:rPr>
              <w:t>1,326</w:t>
            </w:r>
          </w:p>
        </w:tc>
        <w:tc>
          <w:tcPr>
            <w:tcW w:w="1281" w:type="dxa"/>
            <w:shd w:val="clear" w:color="auto" w:fill="BDD6EE" w:themeFill="accent5" w:themeFillTint="66"/>
          </w:tcPr>
          <w:p w14:paraId="582B0468" w14:textId="6315D4CB" w:rsidR="008311D1" w:rsidRPr="00EC722E" w:rsidRDefault="008311D1" w:rsidP="003C2F72">
            <w:pPr>
              <w:pStyle w:val="BodyText"/>
              <w:spacing w:beforeLines="30" w:before="72"/>
              <w:ind w:left="0" w:right="114"/>
              <w:jc w:val="center"/>
              <w:rPr>
                <w:rFonts w:ascii="Arial" w:hAnsi="Arial" w:cs="Arial"/>
                <w:sz w:val="22"/>
                <w:szCs w:val="22"/>
              </w:rPr>
            </w:pPr>
            <w:r w:rsidRPr="00EC722E">
              <w:rPr>
                <w:rFonts w:ascii="Arial" w:hAnsi="Arial" w:cs="Arial"/>
                <w:sz w:val="22"/>
                <w:szCs w:val="22"/>
              </w:rPr>
              <w:t>279,432</w:t>
            </w:r>
            <w:r w:rsidRPr="00EC722E">
              <w:rPr>
                <w:rStyle w:val="FootnoteReference"/>
                <w:rFonts w:ascii="Arial" w:hAnsi="Arial" w:cs="Arial"/>
                <w:sz w:val="22"/>
                <w:szCs w:val="22"/>
              </w:rPr>
              <w:footnoteReference w:id="21"/>
            </w:r>
          </w:p>
        </w:tc>
        <w:tc>
          <w:tcPr>
            <w:tcW w:w="1281" w:type="dxa"/>
            <w:shd w:val="clear" w:color="auto" w:fill="BDD6EE" w:themeFill="accent5" w:themeFillTint="66"/>
          </w:tcPr>
          <w:p w14:paraId="7643560A" w14:textId="5AEA3F79" w:rsidR="008311D1" w:rsidRPr="00DE0266" w:rsidRDefault="00042E1C" w:rsidP="003C2F72">
            <w:pPr>
              <w:pStyle w:val="BodyText"/>
              <w:spacing w:beforeLines="30" w:before="72"/>
              <w:ind w:left="0" w:right="114"/>
              <w:jc w:val="center"/>
              <w:rPr>
                <w:rFonts w:ascii="Arial" w:hAnsi="Arial" w:cs="Arial"/>
                <w:b/>
                <w:bCs/>
                <w:sz w:val="22"/>
                <w:szCs w:val="22"/>
              </w:rPr>
            </w:pPr>
            <w:r>
              <w:rPr>
                <w:rFonts w:ascii="Arial" w:hAnsi="Arial" w:cs="Arial"/>
                <w:b/>
                <w:bCs/>
                <w:sz w:val="22"/>
                <w:szCs w:val="22"/>
              </w:rPr>
              <w:t>1,617</w:t>
            </w:r>
          </w:p>
        </w:tc>
      </w:tr>
      <w:bookmarkEnd w:id="14"/>
    </w:tbl>
    <w:p w14:paraId="7AAE32A8" w14:textId="07DA5477" w:rsidR="00B90E16" w:rsidRDefault="00B90E16" w:rsidP="003A1D0D">
      <w:pPr>
        <w:pStyle w:val="BodyText"/>
        <w:ind w:left="0" w:right="115" w:firstLine="720"/>
        <w:jc w:val="both"/>
      </w:pPr>
    </w:p>
    <w:p w14:paraId="14F58497" w14:textId="77777777" w:rsidR="00B37103" w:rsidRDefault="00B37103" w:rsidP="003A1D0D">
      <w:pPr>
        <w:pStyle w:val="BodyText"/>
        <w:ind w:left="0" w:right="115" w:firstLine="720"/>
        <w:jc w:val="both"/>
      </w:pPr>
    </w:p>
    <w:p w14:paraId="68189CA0" w14:textId="77777777" w:rsidR="00B37103" w:rsidRDefault="00B37103" w:rsidP="003A1D0D">
      <w:pPr>
        <w:pStyle w:val="BodyText"/>
        <w:ind w:left="0" w:right="115" w:firstLine="720"/>
        <w:jc w:val="both"/>
      </w:pPr>
    </w:p>
    <w:p w14:paraId="3F5953BB" w14:textId="77777777" w:rsidR="00B37103" w:rsidRDefault="00B37103" w:rsidP="003A1D0D">
      <w:pPr>
        <w:pStyle w:val="BodyText"/>
        <w:ind w:left="0" w:right="115" w:firstLine="720"/>
        <w:jc w:val="both"/>
      </w:pPr>
    </w:p>
    <w:p w14:paraId="18CD5CDD" w14:textId="77777777" w:rsidR="004A46EC" w:rsidRDefault="004A46EC" w:rsidP="003A1D0D">
      <w:pPr>
        <w:pStyle w:val="BodyText"/>
        <w:ind w:left="0" w:right="115" w:firstLine="720"/>
        <w:jc w:val="both"/>
      </w:pPr>
    </w:p>
    <w:p w14:paraId="6C148DDC" w14:textId="4439EBD6" w:rsidR="00F8145A" w:rsidRPr="00A77A0B" w:rsidRDefault="00F8145A" w:rsidP="003A1D0D">
      <w:pPr>
        <w:pStyle w:val="BodyText"/>
        <w:ind w:right="115"/>
        <w:jc w:val="center"/>
        <w:rPr>
          <w:b/>
        </w:rPr>
      </w:pPr>
      <w:r w:rsidRPr="00A77A0B">
        <w:rPr>
          <w:b/>
        </w:rPr>
        <w:t xml:space="preserve">Figure </w:t>
      </w:r>
      <w:r>
        <w:rPr>
          <w:b/>
        </w:rPr>
        <w:t>3</w:t>
      </w:r>
      <w:r w:rsidRPr="00A77A0B">
        <w:rPr>
          <w:b/>
        </w:rPr>
        <w:t xml:space="preserve">: </w:t>
      </w:r>
      <w:r>
        <w:rPr>
          <w:b/>
        </w:rPr>
        <w:t>DOR Tobacco Seizures</w:t>
      </w:r>
    </w:p>
    <w:p w14:paraId="6E659118" w14:textId="20C61483" w:rsidR="00B90E16" w:rsidRDefault="00B90E16" w:rsidP="003A1D0D">
      <w:pPr>
        <w:pStyle w:val="BodyText"/>
        <w:ind w:left="0" w:right="115" w:firstLine="720"/>
        <w:jc w:val="both"/>
      </w:pPr>
    </w:p>
    <w:tbl>
      <w:tblPr>
        <w:tblStyle w:val="TableGrid"/>
        <w:tblW w:w="0" w:type="auto"/>
        <w:jc w:val="center"/>
        <w:shd w:val="clear" w:color="auto" w:fill="BDD6EE" w:themeFill="accent5" w:themeFillTint="66"/>
        <w:tblLayout w:type="fixed"/>
        <w:tblLook w:val="04A0" w:firstRow="1" w:lastRow="0" w:firstColumn="1" w:lastColumn="0" w:noHBand="0" w:noVBand="1"/>
      </w:tblPr>
      <w:tblGrid>
        <w:gridCol w:w="2695"/>
        <w:gridCol w:w="1080"/>
        <w:gridCol w:w="1080"/>
        <w:gridCol w:w="1170"/>
        <w:gridCol w:w="1080"/>
        <w:gridCol w:w="1080"/>
        <w:gridCol w:w="1080"/>
      </w:tblGrid>
      <w:tr w:rsidR="004D7D4D" w:rsidRPr="00DB7BE5" w14:paraId="4091B546" w14:textId="77777777" w:rsidTr="004D7D4D">
        <w:trPr>
          <w:jc w:val="center"/>
        </w:trPr>
        <w:tc>
          <w:tcPr>
            <w:tcW w:w="2695" w:type="dxa"/>
            <w:shd w:val="clear" w:color="auto" w:fill="9CC2E5" w:themeFill="accent5" w:themeFillTint="99"/>
          </w:tcPr>
          <w:p w14:paraId="090B056D" w14:textId="294D77FC" w:rsidR="004D7D4D" w:rsidRPr="00E56EDD" w:rsidRDefault="004D7D4D" w:rsidP="003C2F72">
            <w:pPr>
              <w:pStyle w:val="BodyText"/>
              <w:spacing w:beforeLines="30" w:before="72"/>
              <w:ind w:left="0" w:right="114"/>
              <w:jc w:val="both"/>
              <w:rPr>
                <w:rFonts w:ascii="Arial" w:hAnsi="Arial" w:cs="Arial"/>
                <w:sz w:val="22"/>
                <w:szCs w:val="22"/>
              </w:rPr>
            </w:pPr>
            <w:bookmarkStart w:id="15" w:name="_Hlk94797206"/>
            <w:r w:rsidRPr="00E56EDD">
              <w:rPr>
                <w:rFonts w:ascii="Arial" w:hAnsi="Arial" w:cs="Arial"/>
                <w:b/>
                <w:bCs/>
                <w:sz w:val="22"/>
                <w:szCs w:val="22"/>
              </w:rPr>
              <w:t>Tobacco Seizures</w:t>
            </w:r>
          </w:p>
        </w:tc>
        <w:tc>
          <w:tcPr>
            <w:tcW w:w="1080" w:type="dxa"/>
            <w:shd w:val="clear" w:color="auto" w:fill="9CC2E5" w:themeFill="accent5" w:themeFillTint="99"/>
          </w:tcPr>
          <w:p w14:paraId="06DBD2E2" w14:textId="39D6650A" w:rsidR="004D7D4D" w:rsidRPr="005C2AF0" w:rsidRDefault="004D7D4D" w:rsidP="00EC722E">
            <w:pPr>
              <w:pStyle w:val="BodyText"/>
              <w:spacing w:beforeLines="30" w:before="72"/>
              <w:ind w:left="0" w:right="114"/>
              <w:jc w:val="center"/>
              <w:rPr>
                <w:rFonts w:ascii="Arial" w:hAnsi="Arial" w:cs="Arial"/>
                <w:b/>
                <w:bCs/>
                <w:sz w:val="22"/>
                <w:szCs w:val="22"/>
              </w:rPr>
            </w:pPr>
            <w:r>
              <w:rPr>
                <w:rFonts w:ascii="Arial" w:hAnsi="Arial" w:cs="Arial"/>
                <w:b/>
                <w:bCs/>
                <w:sz w:val="22"/>
                <w:szCs w:val="22"/>
              </w:rPr>
              <w:t>FY23</w:t>
            </w:r>
          </w:p>
        </w:tc>
        <w:tc>
          <w:tcPr>
            <w:tcW w:w="1080" w:type="dxa"/>
            <w:shd w:val="clear" w:color="auto" w:fill="9CC2E5" w:themeFill="accent5" w:themeFillTint="99"/>
          </w:tcPr>
          <w:p w14:paraId="3A35E8FD" w14:textId="0042FDF1" w:rsidR="004D7D4D" w:rsidRPr="005C2AF0" w:rsidRDefault="004D7D4D" w:rsidP="003C2F72">
            <w:pPr>
              <w:pStyle w:val="BodyText"/>
              <w:spacing w:beforeLines="30" w:before="72"/>
              <w:ind w:left="0" w:right="114"/>
              <w:jc w:val="center"/>
              <w:rPr>
                <w:rFonts w:ascii="Arial" w:hAnsi="Arial" w:cs="Arial"/>
                <w:b/>
                <w:bCs/>
                <w:sz w:val="22"/>
                <w:szCs w:val="22"/>
              </w:rPr>
            </w:pPr>
            <w:r>
              <w:rPr>
                <w:rFonts w:ascii="Arial" w:hAnsi="Arial" w:cs="Arial"/>
                <w:b/>
                <w:bCs/>
                <w:sz w:val="22"/>
                <w:szCs w:val="22"/>
              </w:rPr>
              <w:t>FY23</w:t>
            </w:r>
          </w:p>
        </w:tc>
        <w:tc>
          <w:tcPr>
            <w:tcW w:w="1170" w:type="dxa"/>
            <w:shd w:val="clear" w:color="auto" w:fill="9CC2E5" w:themeFill="accent5" w:themeFillTint="99"/>
          </w:tcPr>
          <w:p w14:paraId="4138174A" w14:textId="370114A7" w:rsidR="004D7D4D" w:rsidRPr="00DE0266" w:rsidRDefault="004D7D4D" w:rsidP="003C2F72">
            <w:pPr>
              <w:pStyle w:val="BodyText"/>
              <w:spacing w:beforeLines="30" w:before="72"/>
              <w:ind w:left="0" w:right="114"/>
              <w:jc w:val="center"/>
              <w:rPr>
                <w:rFonts w:ascii="Arial" w:hAnsi="Arial" w:cs="Arial"/>
                <w:b/>
                <w:bCs/>
                <w:sz w:val="22"/>
                <w:szCs w:val="22"/>
              </w:rPr>
            </w:pPr>
            <w:r>
              <w:rPr>
                <w:rFonts w:ascii="Arial" w:hAnsi="Arial" w:cs="Arial"/>
                <w:b/>
                <w:bCs/>
                <w:sz w:val="22"/>
                <w:szCs w:val="22"/>
              </w:rPr>
              <w:t>FY2</w:t>
            </w:r>
            <w:r>
              <w:rPr>
                <w:rFonts w:ascii="Arial" w:hAnsi="Arial" w:cs="Arial"/>
                <w:b/>
                <w:bCs/>
                <w:sz w:val="22"/>
                <w:szCs w:val="22"/>
              </w:rPr>
              <w:t>4</w:t>
            </w:r>
          </w:p>
        </w:tc>
        <w:tc>
          <w:tcPr>
            <w:tcW w:w="1080" w:type="dxa"/>
            <w:shd w:val="clear" w:color="auto" w:fill="9CC2E5" w:themeFill="accent5" w:themeFillTint="99"/>
          </w:tcPr>
          <w:p w14:paraId="1FE24282" w14:textId="08E32D6F" w:rsidR="004D7D4D" w:rsidRPr="00DE0266" w:rsidRDefault="004D7D4D" w:rsidP="003C2F72">
            <w:pPr>
              <w:pStyle w:val="BodyText"/>
              <w:spacing w:beforeLines="30" w:before="72"/>
              <w:ind w:left="0" w:right="114"/>
              <w:jc w:val="center"/>
              <w:rPr>
                <w:rFonts w:ascii="Arial" w:hAnsi="Arial" w:cs="Arial"/>
                <w:b/>
                <w:bCs/>
                <w:sz w:val="22"/>
                <w:szCs w:val="22"/>
              </w:rPr>
            </w:pPr>
            <w:r>
              <w:rPr>
                <w:rFonts w:ascii="Arial" w:hAnsi="Arial" w:cs="Arial"/>
                <w:b/>
                <w:bCs/>
                <w:sz w:val="22"/>
                <w:szCs w:val="22"/>
              </w:rPr>
              <w:t>FY24</w:t>
            </w:r>
          </w:p>
        </w:tc>
        <w:tc>
          <w:tcPr>
            <w:tcW w:w="1080" w:type="dxa"/>
            <w:shd w:val="clear" w:color="auto" w:fill="9CC2E5" w:themeFill="accent5" w:themeFillTint="99"/>
          </w:tcPr>
          <w:p w14:paraId="461E39C9" w14:textId="19796B81" w:rsidR="004D7D4D" w:rsidRDefault="004D7D4D" w:rsidP="003C2F72">
            <w:pPr>
              <w:pStyle w:val="BodyText"/>
              <w:spacing w:beforeLines="30" w:before="72"/>
              <w:ind w:left="0" w:right="114"/>
              <w:jc w:val="center"/>
              <w:rPr>
                <w:rFonts w:ascii="Arial" w:hAnsi="Arial" w:cs="Arial"/>
                <w:b/>
                <w:bCs/>
                <w:sz w:val="22"/>
                <w:szCs w:val="22"/>
              </w:rPr>
            </w:pPr>
            <w:r>
              <w:rPr>
                <w:rFonts w:ascii="Arial" w:hAnsi="Arial" w:cs="Arial"/>
                <w:b/>
                <w:bCs/>
                <w:sz w:val="22"/>
                <w:szCs w:val="22"/>
              </w:rPr>
              <w:t>FY2</w:t>
            </w:r>
            <w:r>
              <w:rPr>
                <w:rFonts w:ascii="Arial" w:hAnsi="Arial" w:cs="Arial"/>
                <w:b/>
                <w:bCs/>
                <w:sz w:val="22"/>
                <w:szCs w:val="22"/>
              </w:rPr>
              <w:t>5</w:t>
            </w:r>
          </w:p>
        </w:tc>
        <w:tc>
          <w:tcPr>
            <w:tcW w:w="1080" w:type="dxa"/>
            <w:shd w:val="clear" w:color="auto" w:fill="9CC2E5" w:themeFill="accent5" w:themeFillTint="99"/>
          </w:tcPr>
          <w:p w14:paraId="109BB594" w14:textId="23764C8F" w:rsidR="004D7D4D" w:rsidRDefault="004D7D4D" w:rsidP="003C2F72">
            <w:pPr>
              <w:pStyle w:val="BodyText"/>
              <w:spacing w:beforeLines="30" w:before="72"/>
              <w:ind w:left="0" w:right="114"/>
              <w:jc w:val="center"/>
              <w:rPr>
                <w:rFonts w:ascii="Arial" w:hAnsi="Arial" w:cs="Arial"/>
                <w:b/>
                <w:bCs/>
                <w:sz w:val="22"/>
                <w:szCs w:val="22"/>
              </w:rPr>
            </w:pPr>
            <w:r>
              <w:rPr>
                <w:rFonts w:ascii="Arial" w:hAnsi="Arial" w:cs="Arial"/>
                <w:b/>
                <w:bCs/>
                <w:sz w:val="22"/>
                <w:szCs w:val="22"/>
              </w:rPr>
              <w:t>FY25</w:t>
            </w:r>
          </w:p>
        </w:tc>
      </w:tr>
      <w:tr w:rsidR="00EC722E" w:rsidRPr="00DB7BE5" w14:paraId="4A8651C0" w14:textId="7B8C8A0D" w:rsidTr="004D7D4D">
        <w:trPr>
          <w:jc w:val="center"/>
        </w:trPr>
        <w:tc>
          <w:tcPr>
            <w:tcW w:w="2695" w:type="dxa"/>
            <w:shd w:val="clear" w:color="auto" w:fill="9CC2E5" w:themeFill="accent5" w:themeFillTint="99"/>
          </w:tcPr>
          <w:p w14:paraId="5AB482D0" w14:textId="77777777" w:rsidR="00EC722E" w:rsidRPr="00E56EDD" w:rsidRDefault="00EC722E" w:rsidP="003C2F72">
            <w:pPr>
              <w:pStyle w:val="BodyText"/>
              <w:spacing w:beforeLines="30" w:before="72"/>
              <w:ind w:left="0" w:right="114"/>
              <w:jc w:val="both"/>
              <w:rPr>
                <w:rFonts w:ascii="Arial" w:hAnsi="Arial" w:cs="Arial"/>
                <w:sz w:val="22"/>
                <w:szCs w:val="22"/>
              </w:rPr>
            </w:pPr>
          </w:p>
        </w:tc>
        <w:tc>
          <w:tcPr>
            <w:tcW w:w="1080" w:type="dxa"/>
            <w:shd w:val="clear" w:color="auto" w:fill="9CC2E5" w:themeFill="accent5" w:themeFillTint="99"/>
          </w:tcPr>
          <w:p w14:paraId="5D161C68" w14:textId="471767AE" w:rsidR="00EC722E" w:rsidRPr="005C2AF0" w:rsidRDefault="00EC722E" w:rsidP="00EC722E">
            <w:pPr>
              <w:pStyle w:val="BodyText"/>
              <w:spacing w:beforeLines="30" w:before="72"/>
              <w:ind w:left="0" w:right="114"/>
              <w:jc w:val="center"/>
              <w:rPr>
                <w:rFonts w:ascii="Arial" w:hAnsi="Arial" w:cs="Arial"/>
                <w:b/>
                <w:bCs/>
                <w:sz w:val="22"/>
                <w:szCs w:val="22"/>
              </w:rPr>
            </w:pPr>
            <w:r w:rsidRPr="005C2AF0">
              <w:rPr>
                <w:rFonts w:ascii="Arial" w:hAnsi="Arial" w:cs="Arial"/>
                <w:b/>
                <w:bCs/>
                <w:sz w:val="22"/>
                <w:szCs w:val="22"/>
              </w:rPr>
              <w:t>CIB</w:t>
            </w:r>
          </w:p>
        </w:tc>
        <w:tc>
          <w:tcPr>
            <w:tcW w:w="1080" w:type="dxa"/>
            <w:shd w:val="clear" w:color="auto" w:fill="9CC2E5" w:themeFill="accent5" w:themeFillTint="99"/>
          </w:tcPr>
          <w:p w14:paraId="2CAF429B" w14:textId="561E436F" w:rsidR="00EC722E" w:rsidRPr="005C2AF0" w:rsidRDefault="00EC722E" w:rsidP="003C2F72">
            <w:pPr>
              <w:pStyle w:val="BodyText"/>
              <w:spacing w:beforeLines="30" w:before="72"/>
              <w:ind w:left="0" w:right="114"/>
              <w:jc w:val="center"/>
              <w:rPr>
                <w:rFonts w:ascii="Arial" w:hAnsi="Arial" w:cs="Arial"/>
                <w:b/>
                <w:bCs/>
                <w:sz w:val="22"/>
                <w:szCs w:val="22"/>
              </w:rPr>
            </w:pPr>
            <w:r w:rsidRPr="005C2AF0">
              <w:rPr>
                <w:rFonts w:ascii="Arial" w:hAnsi="Arial" w:cs="Arial"/>
                <w:b/>
                <w:bCs/>
                <w:sz w:val="22"/>
                <w:szCs w:val="22"/>
              </w:rPr>
              <w:t>MEB</w:t>
            </w:r>
          </w:p>
        </w:tc>
        <w:tc>
          <w:tcPr>
            <w:tcW w:w="1170" w:type="dxa"/>
            <w:shd w:val="clear" w:color="auto" w:fill="9CC2E5" w:themeFill="accent5" w:themeFillTint="99"/>
          </w:tcPr>
          <w:p w14:paraId="498A5BF7" w14:textId="31E266B0" w:rsidR="00EC722E" w:rsidRPr="00DE0266" w:rsidRDefault="00EC722E" w:rsidP="003C2F72">
            <w:pPr>
              <w:pStyle w:val="BodyText"/>
              <w:spacing w:beforeLines="30" w:before="72"/>
              <w:ind w:left="0" w:right="114"/>
              <w:jc w:val="center"/>
              <w:rPr>
                <w:rFonts w:ascii="Arial" w:hAnsi="Arial" w:cs="Arial"/>
                <w:b/>
                <w:bCs/>
                <w:sz w:val="22"/>
                <w:szCs w:val="22"/>
              </w:rPr>
            </w:pPr>
            <w:r w:rsidRPr="00DE0266">
              <w:rPr>
                <w:rFonts w:ascii="Arial" w:hAnsi="Arial" w:cs="Arial"/>
                <w:b/>
                <w:bCs/>
                <w:sz w:val="22"/>
                <w:szCs w:val="22"/>
              </w:rPr>
              <w:t>CIB</w:t>
            </w:r>
          </w:p>
        </w:tc>
        <w:tc>
          <w:tcPr>
            <w:tcW w:w="1080" w:type="dxa"/>
            <w:shd w:val="clear" w:color="auto" w:fill="9CC2E5" w:themeFill="accent5" w:themeFillTint="99"/>
          </w:tcPr>
          <w:p w14:paraId="5B8BB274" w14:textId="1ABC8782" w:rsidR="00EC722E" w:rsidRPr="00DE0266" w:rsidRDefault="00EC722E" w:rsidP="003C2F72">
            <w:pPr>
              <w:pStyle w:val="BodyText"/>
              <w:spacing w:beforeLines="30" w:before="72"/>
              <w:ind w:left="0" w:right="114"/>
              <w:jc w:val="center"/>
              <w:rPr>
                <w:rFonts w:ascii="Arial" w:hAnsi="Arial" w:cs="Arial"/>
                <w:b/>
                <w:bCs/>
                <w:sz w:val="22"/>
                <w:szCs w:val="22"/>
              </w:rPr>
            </w:pPr>
            <w:r w:rsidRPr="00DE0266">
              <w:rPr>
                <w:rFonts w:ascii="Arial" w:hAnsi="Arial" w:cs="Arial"/>
                <w:b/>
                <w:bCs/>
                <w:sz w:val="22"/>
                <w:szCs w:val="22"/>
              </w:rPr>
              <w:t>MEB</w:t>
            </w:r>
          </w:p>
        </w:tc>
        <w:tc>
          <w:tcPr>
            <w:tcW w:w="1080" w:type="dxa"/>
            <w:shd w:val="clear" w:color="auto" w:fill="9CC2E5" w:themeFill="accent5" w:themeFillTint="99"/>
          </w:tcPr>
          <w:p w14:paraId="16F778FF" w14:textId="45E6FAC9" w:rsidR="00EC722E" w:rsidRPr="00DE0266" w:rsidRDefault="00EC722E" w:rsidP="003C2F72">
            <w:pPr>
              <w:pStyle w:val="BodyText"/>
              <w:spacing w:beforeLines="30" w:before="72"/>
              <w:ind w:left="0" w:right="114"/>
              <w:jc w:val="center"/>
              <w:rPr>
                <w:rFonts w:ascii="Arial" w:hAnsi="Arial" w:cs="Arial"/>
                <w:b/>
                <w:bCs/>
                <w:sz w:val="22"/>
                <w:szCs w:val="22"/>
              </w:rPr>
            </w:pPr>
            <w:r>
              <w:rPr>
                <w:rFonts w:ascii="Arial" w:hAnsi="Arial" w:cs="Arial"/>
                <w:b/>
                <w:bCs/>
                <w:sz w:val="22"/>
                <w:szCs w:val="22"/>
              </w:rPr>
              <w:t>CIB</w:t>
            </w:r>
          </w:p>
        </w:tc>
        <w:tc>
          <w:tcPr>
            <w:tcW w:w="1080" w:type="dxa"/>
            <w:shd w:val="clear" w:color="auto" w:fill="9CC2E5" w:themeFill="accent5" w:themeFillTint="99"/>
          </w:tcPr>
          <w:p w14:paraId="599912AD" w14:textId="31C0CB4A" w:rsidR="00EC722E" w:rsidRPr="00DE0266" w:rsidRDefault="00EC722E" w:rsidP="003C2F72">
            <w:pPr>
              <w:pStyle w:val="BodyText"/>
              <w:spacing w:beforeLines="30" w:before="72"/>
              <w:ind w:left="0" w:right="114"/>
              <w:jc w:val="center"/>
              <w:rPr>
                <w:rFonts w:ascii="Arial" w:hAnsi="Arial" w:cs="Arial"/>
                <w:b/>
                <w:bCs/>
                <w:sz w:val="22"/>
                <w:szCs w:val="22"/>
              </w:rPr>
            </w:pPr>
            <w:r>
              <w:rPr>
                <w:rFonts w:ascii="Arial" w:hAnsi="Arial" w:cs="Arial"/>
                <w:b/>
                <w:bCs/>
                <w:sz w:val="22"/>
                <w:szCs w:val="22"/>
              </w:rPr>
              <w:t>MEB</w:t>
            </w:r>
          </w:p>
        </w:tc>
      </w:tr>
      <w:tr w:rsidR="00EC722E" w:rsidRPr="00DB7BE5" w14:paraId="03BE1E88" w14:textId="606E5DB9" w:rsidTr="002F64F1">
        <w:trPr>
          <w:jc w:val="center"/>
        </w:trPr>
        <w:tc>
          <w:tcPr>
            <w:tcW w:w="2695" w:type="dxa"/>
            <w:shd w:val="clear" w:color="auto" w:fill="BDD6EE" w:themeFill="accent5" w:themeFillTint="66"/>
          </w:tcPr>
          <w:p w14:paraId="545047B0" w14:textId="539DA2DD" w:rsidR="00EC722E" w:rsidRPr="00E56EDD" w:rsidRDefault="00EC722E" w:rsidP="00D465E5">
            <w:pPr>
              <w:pStyle w:val="BodyText"/>
              <w:spacing w:beforeLines="30" w:before="72"/>
              <w:ind w:left="0" w:right="114"/>
              <w:jc w:val="both"/>
              <w:rPr>
                <w:rFonts w:ascii="Arial" w:hAnsi="Arial" w:cs="Arial"/>
                <w:sz w:val="22"/>
                <w:szCs w:val="22"/>
              </w:rPr>
            </w:pPr>
            <w:r w:rsidRPr="00E56EDD">
              <w:rPr>
                <w:rFonts w:ascii="Arial" w:hAnsi="Arial" w:cs="Arial"/>
                <w:sz w:val="22"/>
                <w:szCs w:val="22"/>
              </w:rPr>
              <w:t>Cigarettes (packs)</w:t>
            </w:r>
          </w:p>
        </w:tc>
        <w:tc>
          <w:tcPr>
            <w:tcW w:w="1080" w:type="dxa"/>
            <w:shd w:val="clear" w:color="auto" w:fill="BDD6EE" w:themeFill="accent5" w:themeFillTint="66"/>
          </w:tcPr>
          <w:p w14:paraId="7E422328" w14:textId="75B3A10F" w:rsidR="00EC722E" w:rsidRDefault="00EC722E" w:rsidP="00EC722E">
            <w:pPr>
              <w:pStyle w:val="BodyText"/>
              <w:spacing w:beforeLines="30" w:before="72"/>
              <w:ind w:left="0" w:right="114"/>
              <w:jc w:val="center"/>
              <w:rPr>
                <w:rFonts w:ascii="Arial" w:hAnsi="Arial" w:cs="Arial"/>
                <w:sz w:val="22"/>
                <w:szCs w:val="22"/>
              </w:rPr>
            </w:pPr>
            <w:r>
              <w:rPr>
                <w:rFonts w:ascii="Arial" w:hAnsi="Arial" w:cs="Arial"/>
                <w:sz w:val="22"/>
                <w:szCs w:val="22"/>
              </w:rPr>
              <w:t>6,945</w:t>
            </w:r>
          </w:p>
        </w:tc>
        <w:tc>
          <w:tcPr>
            <w:tcW w:w="1080" w:type="dxa"/>
            <w:shd w:val="clear" w:color="auto" w:fill="BDD6EE" w:themeFill="accent5" w:themeFillTint="66"/>
          </w:tcPr>
          <w:p w14:paraId="06361F1D" w14:textId="3907034C" w:rsidR="00EC722E" w:rsidRDefault="00EC722E" w:rsidP="00D465E5">
            <w:pPr>
              <w:pStyle w:val="BodyText"/>
              <w:spacing w:beforeLines="30" w:before="72"/>
              <w:ind w:left="0" w:right="114"/>
              <w:jc w:val="center"/>
              <w:rPr>
                <w:rFonts w:ascii="Arial" w:hAnsi="Arial" w:cs="Arial"/>
                <w:sz w:val="22"/>
                <w:szCs w:val="22"/>
              </w:rPr>
            </w:pPr>
            <w:r>
              <w:rPr>
                <w:rFonts w:ascii="Arial" w:hAnsi="Arial" w:cs="Arial"/>
                <w:sz w:val="22"/>
                <w:szCs w:val="22"/>
              </w:rPr>
              <w:t>2,738</w:t>
            </w:r>
          </w:p>
        </w:tc>
        <w:tc>
          <w:tcPr>
            <w:tcW w:w="1170" w:type="dxa"/>
            <w:shd w:val="clear" w:color="auto" w:fill="BDD6EE" w:themeFill="accent5" w:themeFillTint="66"/>
          </w:tcPr>
          <w:p w14:paraId="670F00EF" w14:textId="728EBD38" w:rsidR="00EC722E" w:rsidRPr="00EC722E" w:rsidRDefault="00EC722E" w:rsidP="00D465E5">
            <w:pPr>
              <w:pStyle w:val="BodyText"/>
              <w:spacing w:beforeLines="30" w:before="72"/>
              <w:ind w:left="0" w:right="114"/>
              <w:jc w:val="center"/>
              <w:rPr>
                <w:rFonts w:ascii="Arial" w:hAnsi="Arial" w:cs="Arial"/>
                <w:sz w:val="22"/>
                <w:szCs w:val="22"/>
              </w:rPr>
            </w:pPr>
            <w:r w:rsidRPr="00EC722E">
              <w:rPr>
                <w:rFonts w:ascii="Arial" w:hAnsi="Arial" w:cs="Arial"/>
                <w:sz w:val="22"/>
                <w:szCs w:val="22"/>
              </w:rPr>
              <w:t>817</w:t>
            </w:r>
          </w:p>
        </w:tc>
        <w:tc>
          <w:tcPr>
            <w:tcW w:w="1080" w:type="dxa"/>
            <w:shd w:val="clear" w:color="auto" w:fill="BDD6EE" w:themeFill="accent5" w:themeFillTint="66"/>
          </w:tcPr>
          <w:p w14:paraId="42425FC8" w14:textId="08852817" w:rsidR="00EC722E" w:rsidRPr="00EC722E" w:rsidRDefault="00EC722E" w:rsidP="00D465E5">
            <w:pPr>
              <w:pStyle w:val="BodyText"/>
              <w:spacing w:beforeLines="30" w:before="72"/>
              <w:ind w:left="0" w:right="114"/>
              <w:jc w:val="center"/>
              <w:rPr>
                <w:rFonts w:ascii="Arial" w:hAnsi="Arial" w:cs="Arial"/>
                <w:sz w:val="22"/>
                <w:szCs w:val="22"/>
              </w:rPr>
            </w:pPr>
            <w:r w:rsidRPr="00EC722E">
              <w:rPr>
                <w:rFonts w:ascii="Arial" w:hAnsi="Arial" w:cs="Arial"/>
                <w:sz w:val="22"/>
                <w:szCs w:val="22"/>
              </w:rPr>
              <w:t>4,123</w:t>
            </w:r>
          </w:p>
        </w:tc>
        <w:tc>
          <w:tcPr>
            <w:tcW w:w="1080" w:type="dxa"/>
            <w:shd w:val="clear" w:color="auto" w:fill="BDD6EE" w:themeFill="accent5" w:themeFillTint="66"/>
          </w:tcPr>
          <w:p w14:paraId="4FD8B88B" w14:textId="53C73489" w:rsidR="00EC722E" w:rsidRPr="00DE0266" w:rsidRDefault="002F64F1" w:rsidP="00D465E5">
            <w:pPr>
              <w:pStyle w:val="BodyText"/>
              <w:spacing w:beforeLines="30" w:before="72"/>
              <w:ind w:left="0" w:right="114"/>
              <w:jc w:val="center"/>
              <w:rPr>
                <w:rFonts w:ascii="Arial" w:hAnsi="Arial" w:cs="Arial"/>
                <w:b/>
                <w:bCs/>
                <w:sz w:val="22"/>
                <w:szCs w:val="22"/>
              </w:rPr>
            </w:pPr>
            <w:r>
              <w:rPr>
                <w:rFonts w:ascii="Arial" w:hAnsi="Arial" w:cs="Arial"/>
                <w:b/>
                <w:bCs/>
                <w:sz w:val="22"/>
                <w:szCs w:val="22"/>
              </w:rPr>
              <w:t>1,578</w:t>
            </w:r>
          </w:p>
        </w:tc>
        <w:tc>
          <w:tcPr>
            <w:tcW w:w="1080" w:type="dxa"/>
            <w:shd w:val="clear" w:color="auto" w:fill="BDD6EE" w:themeFill="accent5" w:themeFillTint="66"/>
          </w:tcPr>
          <w:p w14:paraId="050E6B1C" w14:textId="2495FD07" w:rsidR="00EC722E" w:rsidRPr="00DE0266" w:rsidRDefault="00815DEA" w:rsidP="00D465E5">
            <w:pPr>
              <w:pStyle w:val="BodyText"/>
              <w:spacing w:beforeLines="30" w:before="72"/>
              <w:ind w:left="0" w:right="114"/>
              <w:jc w:val="center"/>
              <w:rPr>
                <w:rFonts w:ascii="Arial" w:hAnsi="Arial" w:cs="Arial"/>
                <w:b/>
                <w:bCs/>
                <w:sz w:val="22"/>
                <w:szCs w:val="22"/>
              </w:rPr>
            </w:pPr>
            <w:r>
              <w:rPr>
                <w:rFonts w:ascii="Arial" w:hAnsi="Arial" w:cs="Arial"/>
                <w:b/>
                <w:bCs/>
                <w:sz w:val="22"/>
                <w:szCs w:val="22"/>
              </w:rPr>
              <w:t>1,929</w:t>
            </w:r>
          </w:p>
        </w:tc>
      </w:tr>
      <w:tr w:rsidR="00EC722E" w:rsidRPr="00DB7BE5" w14:paraId="66B2AC47" w14:textId="152FD00A" w:rsidTr="002F64F1">
        <w:trPr>
          <w:jc w:val="center"/>
        </w:trPr>
        <w:tc>
          <w:tcPr>
            <w:tcW w:w="2695" w:type="dxa"/>
            <w:shd w:val="clear" w:color="auto" w:fill="BDD6EE" w:themeFill="accent5" w:themeFillTint="66"/>
          </w:tcPr>
          <w:p w14:paraId="2FA5E707" w14:textId="70DCA751" w:rsidR="00EC722E" w:rsidRPr="00E56EDD" w:rsidRDefault="00EC722E" w:rsidP="00D465E5">
            <w:pPr>
              <w:pStyle w:val="BodyText"/>
              <w:spacing w:beforeLines="30" w:before="72"/>
              <w:ind w:left="0" w:right="114"/>
              <w:rPr>
                <w:rFonts w:ascii="Arial" w:hAnsi="Arial" w:cs="Arial"/>
                <w:sz w:val="22"/>
                <w:szCs w:val="22"/>
              </w:rPr>
            </w:pPr>
            <w:r w:rsidRPr="00E56EDD">
              <w:rPr>
                <w:rFonts w:ascii="Arial" w:hAnsi="Arial" w:cs="Arial"/>
                <w:sz w:val="22"/>
                <w:szCs w:val="22"/>
              </w:rPr>
              <w:t>Smokeless</w:t>
            </w:r>
            <w:r>
              <w:rPr>
                <w:rFonts w:ascii="Arial" w:hAnsi="Arial" w:cs="Arial"/>
                <w:sz w:val="22"/>
                <w:szCs w:val="22"/>
              </w:rPr>
              <w:t xml:space="preserve"> </w:t>
            </w:r>
            <w:r w:rsidRPr="00E56EDD">
              <w:rPr>
                <w:rFonts w:ascii="Arial" w:hAnsi="Arial" w:cs="Arial"/>
                <w:sz w:val="22"/>
                <w:szCs w:val="22"/>
              </w:rPr>
              <w:t>Tobacco</w:t>
            </w:r>
            <w:r>
              <w:rPr>
                <w:rFonts w:ascii="Arial" w:hAnsi="Arial" w:cs="Arial"/>
                <w:sz w:val="22"/>
                <w:szCs w:val="22"/>
              </w:rPr>
              <w:t xml:space="preserve"> </w:t>
            </w:r>
            <w:r w:rsidRPr="00EC722E">
              <w:rPr>
                <w:rFonts w:ascii="Arial" w:hAnsi="Arial" w:cs="Arial"/>
                <w:sz w:val="22"/>
                <w:szCs w:val="22"/>
              </w:rPr>
              <w:t>(tins/cans/bags)</w:t>
            </w:r>
          </w:p>
        </w:tc>
        <w:tc>
          <w:tcPr>
            <w:tcW w:w="1080" w:type="dxa"/>
            <w:shd w:val="clear" w:color="auto" w:fill="BDD6EE" w:themeFill="accent5" w:themeFillTint="66"/>
          </w:tcPr>
          <w:p w14:paraId="55E0DB1C" w14:textId="2EB03212" w:rsidR="00EC722E" w:rsidRDefault="00EC722E" w:rsidP="00EC722E">
            <w:pPr>
              <w:pStyle w:val="BodyText"/>
              <w:spacing w:beforeLines="30" w:before="72"/>
              <w:ind w:left="0" w:right="114"/>
              <w:jc w:val="center"/>
              <w:rPr>
                <w:rFonts w:ascii="Arial" w:hAnsi="Arial" w:cs="Arial"/>
                <w:sz w:val="22"/>
                <w:szCs w:val="22"/>
              </w:rPr>
            </w:pPr>
            <w:r>
              <w:rPr>
                <w:rFonts w:ascii="Arial" w:hAnsi="Arial" w:cs="Arial"/>
                <w:sz w:val="22"/>
                <w:szCs w:val="22"/>
              </w:rPr>
              <w:t>20,360</w:t>
            </w:r>
          </w:p>
        </w:tc>
        <w:tc>
          <w:tcPr>
            <w:tcW w:w="1080" w:type="dxa"/>
            <w:shd w:val="clear" w:color="auto" w:fill="BDD6EE" w:themeFill="accent5" w:themeFillTint="66"/>
          </w:tcPr>
          <w:p w14:paraId="6FD50756" w14:textId="1C9115CE" w:rsidR="00EC722E" w:rsidRDefault="00EC722E" w:rsidP="00D465E5">
            <w:pPr>
              <w:pStyle w:val="BodyText"/>
              <w:spacing w:beforeLines="30" w:before="72"/>
              <w:ind w:left="0" w:right="114"/>
              <w:jc w:val="center"/>
              <w:rPr>
                <w:rFonts w:ascii="Arial" w:hAnsi="Arial" w:cs="Arial"/>
                <w:sz w:val="22"/>
                <w:szCs w:val="22"/>
              </w:rPr>
            </w:pPr>
            <w:r>
              <w:rPr>
                <w:rFonts w:ascii="Arial" w:hAnsi="Arial" w:cs="Arial"/>
                <w:sz w:val="22"/>
                <w:szCs w:val="22"/>
              </w:rPr>
              <w:t>4,977</w:t>
            </w:r>
          </w:p>
        </w:tc>
        <w:tc>
          <w:tcPr>
            <w:tcW w:w="1170" w:type="dxa"/>
            <w:shd w:val="clear" w:color="auto" w:fill="BDD6EE" w:themeFill="accent5" w:themeFillTint="66"/>
          </w:tcPr>
          <w:p w14:paraId="7514542E" w14:textId="349BACE2" w:rsidR="00EC722E" w:rsidRPr="00EC722E" w:rsidRDefault="00EC722E" w:rsidP="00D465E5">
            <w:pPr>
              <w:pStyle w:val="BodyText"/>
              <w:spacing w:beforeLines="30" w:before="72"/>
              <w:ind w:left="0" w:right="114"/>
              <w:jc w:val="center"/>
              <w:rPr>
                <w:rFonts w:ascii="Arial" w:hAnsi="Arial" w:cs="Arial"/>
                <w:sz w:val="22"/>
                <w:szCs w:val="22"/>
              </w:rPr>
            </w:pPr>
            <w:r w:rsidRPr="00EC722E">
              <w:rPr>
                <w:rFonts w:ascii="Arial" w:hAnsi="Arial" w:cs="Arial"/>
                <w:sz w:val="22"/>
                <w:szCs w:val="22"/>
              </w:rPr>
              <w:t>11,859</w:t>
            </w:r>
          </w:p>
        </w:tc>
        <w:tc>
          <w:tcPr>
            <w:tcW w:w="1080" w:type="dxa"/>
            <w:shd w:val="clear" w:color="auto" w:fill="BDD6EE" w:themeFill="accent5" w:themeFillTint="66"/>
          </w:tcPr>
          <w:p w14:paraId="3D0B2FF2" w14:textId="442F96E3" w:rsidR="00EC722E" w:rsidRPr="00EC722E" w:rsidRDefault="00EC722E" w:rsidP="00D465E5">
            <w:pPr>
              <w:pStyle w:val="BodyText"/>
              <w:spacing w:beforeLines="30" w:before="72"/>
              <w:ind w:left="0" w:right="114"/>
              <w:jc w:val="center"/>
              <w:rPr>
                <w:rFonts w:ascii="Arial" w:hAnsi="Arial" w:cs="Arial"/>
                <w:sz w:val="22"/>
                <w:szCs w:val="22"/>
              </w:rPr>
            </w:pPr>
            <w:r w:rsidRPr="00EC722E">
              <w:rPr>
                <w:rFonts w:ascii="Arial" w:hAnsi="Arial" w:cs="Arial"/>
                <w:sz w:val="22"/>
                <w:szCs w:val="22"/>
              </w:rPr>
              <w:t>2,576</w:t>
            </w:r>
          </w:p>
        </w:tc>
        <w:tc>
          <w:tcPr>
            <w:tcW w:w="1080" w:type="dxa"/>
            <w:shd w:val="clear" w:color="auto" w:fill="BDD6EE" w:themeFill="accent5" w:themeFillTint="66"/>
          </w:tcPr>
          <w:p w14:paraId="73768AEB" w14:textId="3B5ACDC3" w:rsidR="00EC722E" w:rsidRPr="00DE0266" w:rsidRDefault="002F64F1" w:rsidP="00D465E5">
            <w:pPr>
              <w:pStyle w:val="BodyText"/>
              <w:spacing w:beforeLines="30" w:before="72"/>
              <w:ind w:left="0" w:right="114"/>
              <w:jc w:val="center"/>
              <w:rPr>
                <w:rFonts w:ascii="Arial" w:hAnsi="Arial" w:cs="Arial"/>
                <w:b/>
                <w:bCs/>
                <w:sz w:val="22"/>
                <w:szCs w:val="22"/>
              </w:rPr>
            </w:pPr>
            <w:r>
              <w:rPr>
                <w:rFonts w:ascii="Arial" w:hAnsi="Arial" w:cs="Arial"/>
                <w:b/>
                <w:bCs/>
                <w:sz w:val="22"/>
                <w:szCs w:val="22"/>
              </w:rPr>
              <w:t>485</w:t>
            </w:r>
          </w:p>
        </w:tc>
        <w:tc>
          <w:tcPr>
            <w:tcW w:w="1080" w:type="dxa"/>
            <w:shd w:val="clear" w:color="auto" w:fill="BDD6EE" w:themeFill="accent5" w:themeFillTint="66"/>
          </w:tcPr>
          <w:p w14:paraId="664CD251" w14:textId="043E7F8C" w:rsidR="00EC722E" w:rsidRPr="00DE0266" w:rsidRDefault="00815DEA" w:rsidP="00D465E5">
            <w:pPr>
              <w:pStyle w:val="BodyText"/>
              <w:spacing w:beforeLines="30" w:before="72"/>
              <w:ind w:left="0" w:right="114"/>
              <w:jc w:val="center"/>
              <w:rPr>
                <w:rFonts w:ascii="Arial" w:hAnsi="Arial" w:cs="Arial"/>
                <w:b/>
                <w:bCs/>
                <w:sz w:val="22"/>
                <w:szCs w:val="22"/>
              </w:rPr>
            </w:pPr>
            <w:r>
              <w:rPr>
                <w:rFonts w:ascii="Arial" w:hAnsi="Arial" w:cs="Arial"/>
                <w:b/>
                <w:bCs/>
                <w:sz w:val="22"/>
                <w:szCs w:val="22"/>
              </w:rPr>
              <w:t>181</w:t>
            </w:r>
          </w:p>
        </w:tc>
      </w:tr>
      <w:tr w:rsidR="00EC722E" w:rsidRPr="00DB7BE5" w14:paraId="6AC25F31" w14:textId="2C2D6098" w:rsidTr="002F64F1">
        <w:trPr>
          <w:jc w:val="center"/>
        </w:trPr>
        <w:tc>
          <w:tcPr>
            <w:tcW w:w="2695" w:type="dxa"/>
            <w:shd w:val="clear" w:color="auto" w:fill="BDD6EE" w:themeFill="accent5" w:themeFillTint="66"/>
          </w:tcPr>
          <w:p w14:paraId="6F881E6B" w14:textId="30056DD2" w:rsidR="00EC722E" w:rsidRPr="00E56EDD" w:rsidRDefault="00EC722E" w:rsidP="00D465E5">
            <w:pPr>
              <w:pStyle w:val="BodyText"/>
              <w:spacing w:beforeLines="30" w:before="72"/>
              <w:ind w:left="0" w:right="114"/>
              <w:jc w:val="both"/>
              <w:rPr>
                <w:rFonts w:ascii="Arial" w:hAnsi="Arial" w:cs="Arial"/>
                <w:sz w:val="22"/>
                <w:szCs w:val="22"/>
              </w:rPr>
            </w:pPr>
            <w:r w:rsidRPr="00E56EDD">
              <w:rPr>
                <w:rFonts w:ascii="Arial" w:hAnsi="Arial" w:cs="Arial"/>
                <w:sz w:val="22"/>
                <w:szCs w:val="22"/>
              </w:rPr>
              <w:t>Cigars</w:t>
            </w:r>
          </w:p>
        </w:tc>
        <w:tc>
          <w:tcPr>
            <w:tcW w:w="1080" w:type="dxa"/>
            <w:shd w:val="clear" w:color="auto" w:fill="BDD6EE" w:themeFill="accent5" w:themeFillTint="66"/>
          </w:tcPr>
          <w:p w14:paraId="4C613257" w14:textId="68B1E93E" w:rsidR="00EC722E" w:rsidRDefault="00EC722E" w:rsidP="00EC722E">
            <w:pPr>
              <w:pStyle w:val="BodyText"/>
              <w:spacing w:beforeLines="30" w:before="72"/>
              <w:ind w:left="0" w:right="114"/>
              <w:jc w:val="center"/>
              <w:rPr>
                <w:rFonts w:ascii="Arial" w:hAnsi="Arial" w:cs="Arial"/>
                <w:sz w:val="22"/>
                <w:szCs w:val="22"/>
              </w:rPr>
            </w:pPr>
            <w:r>
              <w:rPr>
                <w:rFonts w:ascii="Arial" w:hAnsi="Arial" w:cs="Arial"/>
                <w:sz w:val="22"/>
                <w:szCs w:val="22"/>
              </w:rPr>
              <w:t>30,133</w:t>
            </w:r>
          </w:p>
        </w:tc>
        <w:tc>
          <w:tcPr>
            <w:tcW w:w="1080" w:type="dxa"/>
            <w:shd w:val="clear" w:color="auto" w:fill="BDD6EE" w:themeFill="accent5" w:themeFillTint="66"/>
          </w:tcPr>
          <w:p w14:paraId="14E1E86A" w14:textId="210E359A" w:rsidR="00EC722E" w:rsidRDefault="00EC722E" w:rsidP="00D465E5">
            <w:pPr>
              <w:pStyle w:val="BodyText"/>
              <w:spacing w:beforeLines="30" w:before="72"/>
              <w:ind w:left="0" w:right="114"/>
              <w:jc w:val="center"/>
              <w:rPr>
                <w:rFonts w:ascii="Arial" w:hAnsi="Arial" w:cs="Arial"/>
                <w:sz w:val="22"/>
                <w:szCs w:val="22"/>
              </w:rPr>
            </w:pPr>
            <w:r>
              <w:rPr>
                <w:rFonts w:ascii="Arial" w:hAnsi="Arial" w:cs="Arial"/>
                <w:sz w:val="22"/>
                <w:szCs w:val="22"/>
              </w:rPr>
              <w:t>64,642</w:t>
            </w:r>
          </w:p>
        </w:tc>
        <w:tc>
          <w:tcPr>
            <w:tcW w:w="1170" w:type="dxa"/>
            <w:shd w:val="clear" w:color="auto" w:fill="BDD6EE" w:themeFill="accent5" w:themeFillTint="66"/>
          </w:tcPr>
          <w:p w14:paraId="67EB338C" w14:textId="6AA8F13E" w:rsidR="00EC722E" w:rsidRPr="00EC722E" w:rsidRDefault="00EC722E" w:rsidP="00D465E5">
            <w:pPr>
              <w:pStyle w:val="BodyText"/>
              <w:spacing w:beforeLines="30" w:before="72"/>
              <w:ind w:left="0" w:right="114"/>
              <w:jc w:val="center"/>
              <w:rPr>
                <w:rFonts w:ascii="Arial" w:hAnsi="Arial" w:cs="Arial"/>
                <w:sz w:val="22"/>
                <w:szCs w:val="22"/>
              </w:rPr>
            </w:pPr>
            <w:r w:rsidRPr="00EC722E">
              <w:rPr>
                <w:rFonts w:ascii="Arial" w:hAnsi="Arial" w:cs="Arial"/>
                <w:sz w:val="22"/>
                <w:szCs w:val="22"/>
              </w:rPr>
              <w:t>115,321</w:t>
            </w:r>
          </w:p>
        </w:tc>
        <w:tc>
          <w:tcPr>
            <w:tcW w:w="1080" w:type="dxa"/>
            <w:shd w:val="clear" w:color="auto" w:fill="BDD6EE" w:themeFill="accent5" w:themeFillTint="66"/>
          </w:tcPr>
          <w:p w14:paraId="0696701E" w14:textId="00D525BA" w:rsidR="00EC722E" w:rsidRPr="00EC722E" w:rsidRDefault="00EC722E" w:rsidP="00D465E5">
            <w:pPr>
              <w:pStyle w:val="BodyText"/>
              <w:spacing w:beforeLines="30" w:before="72"/>
              <w:ind w:left="0" w:right="114"/>
              <w:jc w:val="center"/>
              <w:rPr>
                <w:rFonts w:ascii="Arial" w:hAnsi="Arial" w:cs="Arial"/>
                <w:sz w:val="22"/>
                <w:szCs w:val="22"/>
              </w:rPr>
            </w:pPr>
            <w:r w:rsidRPr="00EC722E">
              <w:rPr>
                <w:rFonts w:ascii="Arial" w:hAnsi="Arial" w:cs="Arial"/>
                <w:sz w:val="22"/>
                <w:szCs w:val="22"/>
              </w:rPr>
              <w:t>36,364</w:t>
            </w:r>
          </w:p>
        </w:tc>
        <w:tc>
          <w:tcPr>
            <w:tcW w:w="1080" w:type="dxa"/>
            <w:shd w:val="clear" w:color="auto" w:fill="BDD6EE" w:themeFill="accent5" w:themeFillTint="66"/>
          </w:tcPr>
          <w:p w14:paraId="74AF879C" w14:textId="4BAFEFD1" w:rsidR="00EC722E" w:rsidRPr="00DE0266" w:rsidRDefault="002F64F1" w:rsidP="00D465E5">
            <w:pPr>
              <w:pStyle w:val="BodyText"/>
              <w:spacing w:beforeLines="30" w:before="72"/>
              <w:ind w:left="0" w:right="114"/>
              <w:jc w:val="center"/>
              <w:rPr>
                <w:rFonts w:ascii="Arial" w:hAnsi="Arial" w:cs="Arial"/>
                <w:b/>
                <w:bCs/>
                <w:sz w:val="22"/>
                <w:szCs w:val="22"/>
              </w:rPr>
            </w:pPr>
            <w:r>
              <w:rPr>
                <w:rFonts w:ascii="Arial" w:hAnsi="Arial" w:cs="Arial"/>
                <w:b/>
                <w:bCs/>
                <w:sz w:val="22"/>
                <w:szCs w:val="22"/>
              </w:rPr>
              <w:t>6,625</w:t>
            </w:r>
          </w:p>
        </w:tc>
        <w:tc>
          <w:tcPr>
            <w:tcW w:w="1080" w:type="dxa"/>
            <w:shd w:val="clear" w:color="auto" w:fill="BDD6EE" w:themeFill="accent5" w:themeFillTint="66"/>
          </w:tcPr>
          <w:p w14:paraId="63DF61A9" w14:textId="75580403" w:rsidR="00EC722E" w:rsidRPr="00DE0266" w:rsidRDefault="00815DEA" w:rsidP="00D465E5">
            <w:pPr>
              <w:pStyle w:val="BodyText"/>
              <w:spacing w:beforeLines="30" w:before="72"/>
              <w:ind w:left="0" w:right="114"/>
              <w:jc w:val="center"/>
              <w:rPr>
                <w:rFonts w:ascii="Arial" w:hAnsi="Arial" w:cs="Arial"/>
                <w:b/>
                <w:bCs/>
                <w:sz w:val="22"/>
                <w:szCs w:val="22"/>
              </w:rPr>
            </w:pPr>
            <w:r>
              <w:rPr>
                <w:rFonts w:ascii="Arial" w:hAnsi="Arial" w:cs="Arial"/>
                <w:b/>
                <w:bCs/>
                <w:sz w:val="22"/>
                <w:szCs w:val="22"/>
              </w:rPr>
              <w:t>18,614</w:t>
            </w:r>
          </w:p>
        </w:tc>
      </w:tr>
      <w:tr w:rsidR="00EC722E" w:rsidRPr="00DB7BE5" w14:paraId="44061593" w14:textId="0BB28450" w:rsidTr="002F64F1">
        <w:trPr>
          <w:jc w:val="center"/>
        </w:trPr>
        <w:tc>
          <w:tcPr>
            <w:tcW w:w="2695" w:type="dxa"/>
            <w:shd w:val="clear" w:color="auto" w:fill="BDD6EE" w:themeFill="accent5" w:themeFillTint="66"/>
          </w:tcPr>
          <w:p w14:paraId="26B8943D" w14:textId="3DF213E0" w:rsidR="00EC722E" w:rsidRPr="00E56EDD" w:rsidRDefault="00EC722E" w:rsidP="002F64F1">
            <w:pPr>
              <w:pStyle w:val="BodyText"/>
              <w:spacing w:beforeLines="30" w:before="72"/>
              <w:ind w:left="0" w:right="114"/>
              <w:jc w:val="both"/>
              <w:rPr>
                <w:rFonts w:ascii="Arial" w:hAnsi="Arial" w:cs="Arial"/>
                <w:sz w:val="22"/>
                <w:szCs w:val="22"/>
              </w:rPr>
            </w:pPr>
            <w:r w:rsidRPr="00E56EDD">
              <w:rPr>
                <w:rFonts w:ascii="Arial" w:hAnsi="Arial" w:cs="Arial"/>
                <w:sz w:val="22"/>
                <w:szCs w:val="22"/>
              </w:rPr>
              <w:t xml:space="preserve">Smoking Tobacco </w:t>
            </w:r>
            <w:r w:rsidRPr="002F64F1">
              <w:rPr>
                <w:rFonts w:ascii="Arial" w:hAnsi="Arial" w:cs="Arial"/>
                <w:sz w:val="20"/>
                <w:szCs w:val="20"/>
              </w:rPr>
              <w:t>(bags)</w:t>
            </w:r>
          </w:p>
        </w:tc>
        <w:tc>
          <w:tcPr>
            <w:tcW w:w="1080" w:type="dxa"/>
            <w:shd w:val="clear" w:color="auto" w:fill="BDD6EE" w:themeFill="accent5" w:themeFillTint="66"/>
          </w:tcPr>
          <w:p w14:paraId="52550CE3" w14:textId="79D532C9" w:rsidR="00EC722E" w:rsidRDefault="00EC722E" w:rsidP="00EC722E">
            <w:pPr>
              <w:pStyle w:val="BodyText"/>
              <w:spacing w:beforeLines="30" w:before="72"/>
              <w:ind w:left="0" w:right="114"/>
              <w:jc w:val="center"/>
              <w:rPr>
                <w:rFonts w:ascii="Arial" w:hAnsi="Arial" w:cs="Arial"/>
                <w:sz w:val="22"/>
                <w:szCs w:val="22"/>
              </w:rPr>
            </w:pPr>
            <w:r>
              <w:rPr>
                <w:rFonts w:ascii="Arial" w:hAnsi="Arial" w:cs="Arial"/>
                <w:sz w:val="22"/>
                <w:szCs w:val="22"/>
              </w:rPr>
              <w:t>469</w:t>
            </w:r>
          </w:p>
        </w:tc>
        <w:tc>
          <w:tcPr>
            <w:tcW w:w="1080" w:type="dxa"/>
            <w:shd w:val="clear" w:color="auto" w:fill="BDD6EE" w:themeFill="accent5" w:themeFillTint="66"/>
          </w:tcPr>
          <w:p w14:paraId="78347FE6" w14:textId="4E6877BB" w:rsidR="00EC722E" w:rsidRDefault="00EC722E" w:rsidP="00D465E5">
            <w:pPr>
              <w:pStyle w:val="BodyText"/>
              <w:spacing w:beforeLines="30" w:before="72"/>
              <w:ind w:left="0" w:right="114"/>
              <w:jc w:val="center"/>
              <w:rPr>
                <w:rFonts w:ascii="Arial" w:hAnsi="Arial" w:cs="Arial"/>
                <w:sz w:val="22"/>
                <w:szCs w:val="22"/>
              </w:rPr>
            </w:pPr>
            <w:r>
              <w:rPr>
                <w:rFonts w:ascii="Arial" w:hAnsi="Arial" w:cs="Arial"/>
                <w:sz w:val="22"/>
                <w:szCs w:val="22"/>
              </w:rPr>
              <w:t>1,971</w:t>
            </w:r>
          </w:p>
        </w:tc>
        <w:tc>
          <w:tcPr>
            <w:tcW w:w="1170" w:type="dxa"/>
            <w:shd w:val="clear" w:color="auto" w:fill="BDD6EE" w:themeFill="accent5" w:themeFillTint="66"/>
          </w:tcPr>
          <w:p w14:paraId="1A35A0A0" w14:textId="41DF77FA" w:rsidR="00EC722E" w:rsidRPr="00EC722E" w:rsidRDefault="00EC722E" w:rsidP="00D465E5">
            <w:pPr>
              <w:pStyle w:val="BodyText"/>
              <w:spacing w:beforeLines="30" w:before="72"/>
              <w:ind w:left="0" w:right="114"/>
              <w:jc w:val="center"/>
              <w:rPr>
                <w:rFonts w:ascii="Arial" w:hAnsi="Arial" w:cs="Arial"/>
                <w:sz w:val="22"/>
                <w:szCs w:val="22"/>
              </w:rPr>
            </w:pPr>
            <w:r w:rsidRPr="00EC722E">
              <w:rPr>
                <w:rFonts w:ascii="Arial" w:hAnsi="Arial" w:cs="Arial"/>
                <w:sz w:val="22"/>
                <w:szCs w:val="22"/>
              </w:rPr>
              <w:t>1,549</w:t>
            </w:r>
          </w:p>
        </w:tc>
        <w:tc>
          <w:tcPr>
            <w:tcW w:w="1080" w:type="dxa"/>
            <w:shd w:val="clear" w:color="auto" w:fill="BDD6EE" w:themeFill="accent5" w:themeFillTint="66"/>
          </w:tcPr>
          <w:p w14:paraId="4A2153B8" w14:textId="2D77ABA8" w:rsidR="00EC722E" w:rsidRPr="00EC722E" w:rsidRDefault="00EC722E" w:rsidP="00D465E5">
            <w:pPr>
              <w:pStyle w:val="BodyText"/>
              <w:spacing w:beforeLines="30" w:before="72"/>
              <w:ind w:left="0" w:right="114"/>
              <w:jc w:val="center"/>
              <w:rPr>
                <w:rFonts w:ascii="Arial" w:hAnsi="Arial" w:cs="Arial"/>
                <w:sz w:val="22"/>
                <w:szCs w:val="22"/>
              </w:rPr>
            </w:pPr>
            <w:r w:rsidRPr="00EC722E">
              <w:rPr>
                <w:rFonts w:ascii="Arial" w:hAnsi="Arial" w:cs="Arial"/>
                <w:sz w:val="22"/>
                <w:szCs w:val="22"/>
              </w:rPr>
              <w:t>1,047</w:t>
            </w:r>
          </w:p>
        </w:tc>
        <w:tc>
          <w:tcPr>
            <w:tcW w:w="1080" w:type="dxa"/>
            <w:shd w:val="clear" w:color="auto" w:fill="BDD6EE" w:themeFill="accent5" w:themeFillTint="66"/>
          </w:tcPr>
          <w:p w14:paraId="38AD3CA1" w14:textId="704ED912" w:rsidR="00EC722E" w:rsidRPr="00DE0266" w:rsidRDefault="002F64F1" w:rsidP="00D465E5">
            <w:pPr>
              <w:pStyle w:val="BodyText"/>
              <w:spacing w:beforeLines="30" w:before="72"/>
              <w:ind w:left="0" w:right="114"/>
              <w:jc w:val="center"/>
              <w:rPr>
                <w:rFonts w:ascii="Arial" w:hAnsi="Arial" w:cs="Arial"/>
                <w:b/>
                <w:bCs/>
                <w:sz w:val="22"/>
                <w:szCs w:val="22"/>
              </w:rPr>
            </w:pPr>
            <w:r>
              <w:rPr>
                <w:rFonts w:ascii="Arial" w:hAnsi="Arial" w:cs="Arial"/>
                <w:b/>
                <w:bCs/>
                <w:sz w:val="22"/>
                <w:szCs w:val="22"/>
              </w:rPr>
              <w:t>749</w:t>
            </w:r>
          </w:p>
        </w:tc>
        <w:tc>
          <w:tcPr>
            <w:tcW w:w="1080" w:type="dxa"/>
            <w:shd w:val="clear" w:color="auto" w:fill="BDD6EE" w:themeFill="accent5" w:themeFillTint="66"/>
          </w:tcPr>
          <w:p w14:paraId="5A8AA476" w14:textId="0CDC7F49" w:rsidR="00EC722E" w:rsidRPr="00DE0266" w:rsidRDefault="00815DEA" w:rsidP="00D465E5">
            <w:pPr>
              <w:pStyle w:val="BodyText"/>
              <w:spacing w:beforeLines="30" w:before="72"/>
              <w:ind w:left="0" w:right="114"/>
              <w:jc w:val="center"/>
              <w:rPr>
                <w:rFonts w:ascii="Arial" w:hAnsi="Arial" w:cs="Arial"/>
                <w:b/>
                <w:bCs/>
                <w:sz w:val="22"/>
                <w:szCs w:val="22"/>
              </w:rPr>
            </w:pPr>
            <w:r>
              <w:rPr>
                <w:rFonts w:ascii="Arial" w:hAnsi="Arial" w:cs="Arial"/>
                <w:b/>
                <w:bCs/>
                <w:sz w:val="22"/>
                <w:szCs w:val="22"/>
              </w:rPr>
              <w:t>738</w:t>
            </w:r>
          </w:p>
        </w:tc>
      </w:tr>
      <w:tr w:rsidR="00EC722E" w:rsidRPr="00DB7BE5" w14:paraId="789791D8" w14:textId="13D433F0" w:rsidTr="002F64F1">
        <w:trPr>
          <w:jc w:val="center"/>
        </w:trPr>
        <w:tc>
          <w:tcPr>
            <w:tcW w:w="2695" w:type="dxa"/>
            <w:shd w:val="clear" w:color="auto" w:fill="BDD6EE" w:themeFill="accent5" w:themeFillTint="66"/>
          </w:tcPr>
          <w:p w14:paraId="3DCAC606" w14:textId="4216CEAE" w:rsidR="00EC722E" w:rsidRPr="00E56EDD" w:rsidRDefault="00EC722E" w:rsidP="00D465E5">
            <w:pPr>
              <w:pStyle w:val="BodyText"/>
              <w:spacing w:beforeLines="30" w:before="72"/>
              <w:ind w:left="0" w:right="114"/>
              <w:jc w:val="both"/>
              <w:rPr>
                <w:rFonts w:ascii="Arial" w:hAnsi="Arial" w:cs="Arial"/>
                <w:sz w:val="22"/>
                <w:szCs w:val="22"/>
              </w:rPr>
            </w:pPr>
            <w:r w:rsidRPr="00E56EDD">
              <w:rPr>
                <w:rFonts w:ascii="Arial" w:hAnsi="Arial" w:cs="Arial"/>
                <w:sz w:val="22"/>
                <w:szCs w:val="22"/>
              </w:rPr>
              <w:t>ENDS</w:t>
            </w:r>
          </w:p>
        </w:tc>
        <w:tc>
          <w:tcPr>
            <w:tcW w:w="1080" w:type="dxa"/>
            <w:shd w:val="clear" w:color="auto" w:fill="BDD6EE" w:themeFill="accent5" w:themeFillTint="66"/>
          </w:tcPr>
          <w:p w14:paraId="564A8AC0" w14:textId="05DA0CA7" w:rsidR="00EC722E" w:rsidRDefault="00EC722E" w:rsidP="00EC722E">
            <w:pPr>
              <w:pStyle w:val="BodyText"/>
              <w:spacing w:beforeLines="30" w:before="72"/>
              <w:ind w:left="0" w:right="114"/>
              <w:jc w:val="center"/>
              <w:rPr>
                <w:rFonts w:ascii="Arial" w:hAnsi="Arial" w:cs="Arial"/>
                <w:sz w:val="22"/>
                <w:szCs w:val="22"/>
              </w:rPr>
            </w:pPr>
            <w:r>
              <w:rPr>
                <w:rFonts w:ascii="Arial" w:hAnsi="Arial" w:cs="Arial"/>
                <w:sz w:val="22"/>
                <w:szCs w:val="22"/>
              </w:rPr>
              <w:t>14,917</w:t>
            </w:r>
          </w:p>
        </w:tc>
        <w:tc>
          <w:tcPr>
            <w:tcW w:w="1080" w:type="dxa"/>
            <w:shd w:val="clear" w:color="auto" w:fill="BDD6EE" w:themeFill="accent5" w:themeFillTint="66"/>
          </w:tcPr>
          <w:p w14:paraId="67835EE2" w14:textId="51AEBFE6" w:rsidR="00EC722E" w:rsidRDefault="00EC722E" w:rsidP="00D465E5">
            <w:pPr>
              <w:pStyle w:val="BodyText"/>
              <w:spacing w:beforeLines="30" w:before="72"/>
              <w:ind w:left="0" w:right="114"/>
              <w:jc w:val="center"/>
              <w:rPr>
                <w:rFonts w:ascii="Arial" w:hAnsi="Arial" w:cs="Arial"/>
                <w:sz w:val="22"/>
                <w:szCs w:val="22"/>
              </w:rPr>
            </w:pPr>
            <w:r>
              <w:rPr>
                <w:rFonts w:ascii="Arial" w:hAnsi="Arial" w:cs="Arial"/>
                <w:sz w:val="22"/>
                <w:szCs w:val="22"/>
              </w:rPr>
              <w:t>20,261</w:t>
            </w:r>
          </w:p>
        </w:tc>
        <w:tc>
          <w:tcPr>
            <w:tcW w:w="1170" w:type="dxa"/>
            <w:shd w:val="clear" w:color="auto" w:fill="BDD6EE" w:themeFill="accent5" w:themeFillTint="66"/>
          </w:tcPr>
          <w:p w14:paraId="6F80CF81" w14:textId="1BAF7DF1" w:rsidR="00EC722E" w:rsidRPr="00EC722E" w:rsidRDefault="00EC722E" w:rsidP="00D465E5">
            <w:pPr>
              <w:pStyle w:val="BodyText"/>
              <w:spacing w:beforeLines="30" w:before="72"/>
              <w:ind w:left="0" w:right="114"/>
              <w:jc w:val="center"/>
              <w:rPr>
                <w:rFonts w:ascii="Arial" w:hAnsi="Arial" w:cs="Arial"/>
                <w:sz w:val="22"/>
                <w:szCs w:val="22"/>
              </w:rPr>
            </w:pPr>
            <w:r w:rsidRPr="00EC722E">
              <w:rPr>
                <w:rFonts w:ascii="Arial" w:hAnsi="Arial" w:cs="Arial"/>
                <w:sz w:val="22"/>
                <w:szCs w:val="22"/>
              </w:rPr>
              <w:t>13,217</w:t>
            </w:r>
          </w:p>
        </w:tc>
        <w:tc>
          <w:tcPr>
            <w:tcW w:w="1080" w:type="dxa"/>
            <w:shd w:val="clear" w:color="auto" w:fill="BDD6EE" w:themeFill="accent5" w:themeFillTint="66"/>
          </w:tcPr>
          <w:p w14:paraId="35F31F5E" w14:textId="0268EBDB" w:rsidR="00EC722E" w:rsidRPr="00EC722E" w:rsidRDefault="00EC722E" w:rsidP="00D465E5">
            <w:pPr>
              <w:pStyle w:val="BodyText"/>
              <w:spacing w:beforeLines="30" w:before="72"/>
              <w:ind w:left="0" w:right="114"/>
              <w:jc w:val="center"/>
              <w:rPr>
                <w:rFonts w:ascii="Arial" w:hAnsi="Arial" w:cs="Arial"/>
                <w:sz w:val="22"/>
                <w:szCs w:val="22"/>
              </w:rPr>
            </w:pPr>
            <w:r w:rsidRPr="00EC722E">
              <w:rPr>
                <w:rFonts w:ascii="Arial" w:hAnsi="Arial" w:cs="Arial"/>
                <w:sz w:val="22"/>
                <w:szCs w:val="22"/>
              </w:rPr>
              <w:t>15,451</w:t>
            </w:r>
          </w:p>
        </w:tc>
        <w:tc>
          <w:tcPr>
            <w:tcW w:w="1080" w:type="dxa"/>
            <w:shd w:val="clear" w:color="auto" w:fill="BDD6EE" w:themeFill="accent5" w:themeFillTint="66"/>
          </w:tcPr>
          <w:p w14:paraId="45E316A4" w14:textId="712204EC" w:rsidR="00EC722E" w:rsidRPr="00DE0266" w:rsidRDefault="002F64F1" w:rsidP="00D465E5">
            <w:pPr>
              <w:pStyle w:val="BodyText"/>
              <w:spacing w:beforeLines="30" w:before="72"/>
              <w:ind w:left="0" w:right="114"/>
              <w:jc w:val="center"/>
              <w:rPr>
                <w:rFonts w:ascii="Arial" w:hAnsi="Arial" w:cs="Arial"/>
                <w:b/>
                <w:bCs/>
                <w:sz w:val="22"/>
                <w:szCs w:val="22"/>
              </w:rPr>
            </w:pPr>
            <w:r>
              <w:rPr>
                <w:rFonts w:ascii="Arial" w:hAnsi="Arial" w:cs="Arial"/>
                <w:b/>
                <w:bCs/>
                <w:sz w:val="22"/>
                <w:szCs w:val="22"/>
              </w:rPr>
              <w:t>13,224</w:t>
            </w:r>
          </w:p>
        </w:tc>
        <w:tc>
          <w:tcPr>
            <w:tcW w:w="1080" w:type="dxa"/>
            <w:shd w:val="clear" w:color="auto" w:fill="BDD6EE" w:themeFill="accent5" w:themeFillTint="66"/>
          </w:tcPr>
          <w:p w14:paraId="4ED93556" w14:textId="4540C53C" w:rsidR="00EC722E" w:rsidRPr="00DE0266" w:rsidRDefault="00815DEA" w:rsidP="00D465E5">
            <w:pPr>
              <w:pStyle w:val="BodyText"/>
              <w:spacing w:beforeLines="30" w:before="72"/>
              <w:ind w:left="0" w:right="114"/>
              <w:jc w:val="center"/>
              <w:rPr>
                <w:rFonts w:ascii="Arial" w:hAnsi="Arial" w:cs="Arial"/>
                <w:b/>
                <w:bCs/>
                <w:sz w:val="22"/>
                <w:szCs w:val="22"/>
              </w:rPr>
            </w:pPr>
            <w:r>
              <w:rPr>
                <w:rFonts w:ascii="Arial" w:hAnsi="Arial" w:cs="Arial"/>
                <w:b/>
                <w:bCs/>
                <w:sz w:val="22"/>
                <w:szCs w:val="22"/>
              </w:rPr>
              <w:t>9,614</w:t>
            </w:r>
          </w:p>
        </w:tc>
      </w:tr>
      <w:bookmarkEnd w:id="15"/>
    </w:tbl>
    <w:p w14:paraId="6A0DB456" w14:textId="5A6163BE" w:rsidR="00713ADE" w:rsidRDefault="00713ADE" w:rsidP="003A1D0D">
      <w:pPr>
        <w:pStyle w:val="BodyText"/>
        <w:ind w:left="0" w:right="115" w:firstLine="720"/>
        <w:jc w:val="both"/>
      </w:pPr>
    </w:p>
    <w:p w14:paraId="58AD69A2" w14:textId="43C10165" w:rsidR="00911E99" w:rsidRPr="00A77A0B" w:rsidRDefault="00911E99" w:rsidP="003A1D0D">
      <w:pPr>
        <w:pStyle w:val="BodyText"/>
        <w:ind w:right="114"/>
        <w:jc w:val="center"/>
        <w:rPr>
          <w:b/>
        </w:rPr>
      </w:pPr>
      <w:r w:rsidRPr="00A77A0B">
        <w:rPr>
          <w:b/>
        </w:rPr>
        <w:t xml:space="preserve">Figure </w:t>
      </w:r>
      <w:r>
        <w:rPr>
          <w:b/>
        </w:rPr>
        <w:t>4</w:t>
      </w:r>
      <w:r w:rsidRPr="00A77A0B">
        <w:rPr>
          <w:b/>
        </w:rPr>
        <w:t xml:space="preserve">: </w:t>
      </w:r>
      <w:r>
        <w:rPr>
          <w:b/>
        </w:rPr>
        <w:t xml:space="preserve">Task Force </w:t>
      </w:r>
      <w:r w:rsidR="00485447">
        <w:rPr>
          <w:b/>
        </w:rPr>
        <w:t xml:space="preserve">(State Police &amp; DOR) </w:t>
      </w:r>
      <w:r>
        <w:rPr>
          <w:b/>
        </w:rPr>
        <w:t>Seizures</w:t>
      </w:r>
    </w:p>
    <w:p w14:paraId="636B86F3" w14:textId="77777777" w:rsidR="00911E99" w:rsidRDefault="00911E99" w:rsidP="003A1D0D">
      <w:pPr>
        <w:pStyle w:val="BodyText"/>
        <w:ind w:left="0" w:right="115" w:firstLine="720"/>
        <w:jc w:val="both"/>
      </w:pPr>
    </w:p>
    <w:tbl>
      <w:tblPr>
        <w:tblStyle w:val="TableGrid"/>
        <w:tblW w:w="0" w:type="auto"/>
        <w:jc w:val="center"/>
        <w:shd w:val="clear" w:color="auto" w:fill="BDD6EE" w:themeFill="accent5" w:themeFillTint="66"/>
        <w:tblLook w:val="04A0" w:firstRow="1" w:lastRow="0" w:firstColumn="1" w:lastColumn="0" w:noHBand="0" w:noVBand="1"/>
      </w:tblPr>
      <w:tblGrid>
        <w:gridCol w:w="4055"/>
        <w:gridCol w:w="1126"/>
        <w:gridCol w:w="1126"/>
        <w:gridCol w:w="1126"/>
      </w:tblGrid>
      <w:tr w:rsidR="00EC722E" w:rsidRPr="00E56EDD" w14:paraId="24F5045A" w14:textId="1B79FC9D" w:rsidTr="00CC21AC">
        <w:trPr>
          <w:jc w:val="center"/>
        </w:trPr>
        <w:tc>
          <w:tcPr>
            <w:tcW w:w="4055" w:type="dxa"/>
            <w:shd w:val="clear" w:color="auto" w:fill="9CC2E5" w:themeFill="accent5" w:themeFillTint="99"/>
          </w:tcPr>
          <w:p w14:paraId="45FDAE7A" w14:textId="21FD5080" w:rsidR="00EC722E" w:rsidRPr="00E56EDD" w:rsidRDefault="00EC722E" w:rsidP="00A92C0B">
            <w:pPr>
              <w:pStyle w:val="BodyText"/>
              <w:spacing w:beforeLines="30" w:before="72"/>
              <w:ind w:left="0" w:right="114"/>
              <w:jc w:val="both"/>
              <w:rPr>
                <w:rFonts w:ascii="Arial" w:hAnsi="Arial" w:cs="Arial"/>
                <w:b/>
                <w:bCs/>
                <w:sz w:val="22"/>
                <w:szCs w:val="22"/>
              </w:rPr>
            </w:pPr>
            <w:r>
              <w:rPr>
                <w:rFonts w:ascii="Arial" w:hAnsi="Arial" w:cs="Arial"/>
                <w:b/>
                <w:bCs/>
                <w:sz w:val="22"/>
                <w:szCs w:val="22"/>
              </w:rPr>
              <w:t>Task Force Seizures</w:t>
            </w:r>
          </w:p>
        </w:tc>
        <w:tc>
          <w:tcPr>
            <w:tcW w:w="1126" w:type="dxa"/>
            <w:shd w:val="clear" w:color="auto" w:fill="9CC2E5" w:themeFill="accent5" w:themeFillTint="99"/>
          </w:tcPr>
          <w:p w14:paraId="7967C412" w14:textId="473A8C89" w:rsidR="00EC722E" w:rsidRDefault="00EC722E" w:rsidP="00A92C0B">
            <w:pPr>
              <w:pStyle w:val="BodyText"/>
              <w:spacing w:beforeLines="30" w:before="72"/>
              <w:ind w:left="0" w:right="114"/>
              <w:jc w:val="center"/>
              <w:rPr>
                <w:rFonts w:ascii="Arial" w:hAnsi="Arial" w:cs="Arial"/>
                <w:b/>
                <w:bCs/>
                <w:sz w:val="22"/>
                <w:szCs w:val="22"/>
              </w:rPr>
            </w:pPr>
            <w:r>
              <w:rPr>
                <w:rFonts w:ascii="Arial" w:hAnsi="Arial" w:cs="Arial"/>
                <w:b/>
                <w:bCs/>
                <w:sz w:val="22"/>
                <w:szCs w:val="22"/>
              </w:rPr>
              <w:t>FY23</w:t>
            </w:r>
          </w:p>
        </w:tc>
        <w:tc>
          <w:tcPr>
            <w:tcW w:w="1126" w:type="dxa"/>
            <w:shd w:val="clear" w:color="auto" w:fill="9CC2E5" w:themeFill="accent5" w:themeFillTint="99"/>
          </w:tcPr>
          <w:p w14:paraId="51253B69" w14:textId="10984F15" w:rsidR="00EC722E" w:rsidRDefault="00EC722E" w:rsidP="00A92C0B">
            <w:pPr>
              <w:pStyle w:val="BodyText"/>
              <w:spacing w:beforeLines="30" w:before="72"/>
              <w:ind w:left="0" w:right="114"/>
              <w:jc w:val="center"/>
              <w:rPr>
                <w:rFonts w:ascii="Arial" w:hAnsi="Arial" w:cs="Arial"/>
                <w:b/>
                <w:bCs/>
                <w:sz w:val="22"/>
                <w:szCs w:val="22"/>
              </w:rPr>
            </w:pPr>
            <w:r>
              <w:rPr>
                <w:rFonts w:ascii="Arial" w:hAnsi="Arial" w:cs="Arial"/>
                <w:b/>
                <w:bCs/>
                <w:sz w:val="22"/>
                <w:szCs w:val="22"/>
              </w:rPr>
              <w:t>FY24</w:t>
            </w:r>
          </w:p>
        </w:tc>
        <w:tc>
          <w:tcPr>
            <w:tcW w:w="1126" w:type="dxa"/>
            <w:shd w:val="clear" w:color="auto" w:fill="9CC2E5" w:themeFill="accent5" w:themeFillTint="99"/>
          </w:tcPr>
          <w:p w14:paraId="31DCCAC8" w14:textId="58B8B229" w:rsidR="00EC722E" w:rsidRDefault="00EC722E" w:rsidP="00A92C0B">
            <w:pPr>
              <w:pStyle w:val="BodyText"/>
              <w:spacing w:beforeLines="30" w:before="72"/>
              <w:ind w:left="0" w:right="114"/>
              <w:jc w:val="center"/>
              <w:rPr>
                <w:rFonts w:ascii="Arial" w:hAnsi="Arial" w:cs="Arial"/>
                <w:b/>
                <w:bCs/>
                <w:sz w:val="22"/>
                <w:szCs w:val="22"/>
              </w:rPr>
            </w:pPr>
            <w:r>
              <w:rPr>
                <w:rFonts w:ascii="Arial" w:hAnsi="Arial" w:cs="Arial"/>
                <w:b/>
                <w:bCs/>
                <w:sz w:val="22"/>
                <w:szCs w:val="22"/>
              </w:rPr>
              <w:t>FY25</w:t>
            </w:r>
          </w:p>
        </w:tc>
      </w:tr>
      <w:tr w:rsidR="00EC722E" w:rsidRPr="00E56EDD" w14:paraId="64623D52" w14:textId="7E5C39E3" w:rsidTr="00EC722E">
        <w:trPr>
          <w:jc w:val="center"/>
        </w:trPr>
        <w:tc>
          <w:tcPr>
            <w:tcW w:w="4055" w:type="dxa"/>
            <w:shd w:val="clear" w:color="auto" w:fill="BDD6EE" w:themeFill="accent5" w:themeFillTint="66"/>
          </w:tcPr>
          <w:p w14:paraId="66B4B76D" w14:textId="77777777" w:rsidR="00EC722E" w:rsidRPr="00E56EDD" w:rsidRDefault="00EC722E" w:rsidP="00A92C0B">
            <w:pPr>
              <w:pStyle w:val="BodyText"/>
              <w:spacing w:beforeLines="30" w:before="72"/>
              <w:ind w:left="0" w:right="114"/>
              <w:jc w:val="both"/>
              <w:rPr>
                <w:rFonts w:ascii="Arial" w:hAnsi="Arial" w:cs="Arial"/>
                <w:sz w:val="22"/>
                <w:szCs w:val="22"/>
              </w:rPr>
            </w:pPr>
            <w:r w:rsidRPr="00E56EDD">
              <w:rPr>
                <w:rFonts w:ascii="Arial" w:hAnsi="Arial" w:cs="Arial"/>
                <w:sz w:val="22"/>
                <w:szCs w:val="22"/>
              </w:rPr>
              <w:t>Cigarettes (packs)</w:t>
            </w:r>
          </w:p>
        </w:tc>
        <w:tc>
          <w:tcPr>
            <w:tcW w:w="1126" w:type="dxa"/>
            <w:shd w:val="clear" w:color="auto" w:fill="BDD6EE" w:themeFill="accent5" w:themeFillTint="66"/>
          </w:tcPr>
          <w:p w14:paraId="6F33903B" w14:textId="5833B5AF" w:rsidR="00EC722E" w:rsidRDefault="00EC722E" w:rsidP="00A92C0B">
            <w:pPr>
              <w:pStyle w:val="BodyText"/>
              <w:spacing w:beforeLines="30" w:before="72"/>
              <w:ind w:left="0" w:right="114"/>
              <w:jc w:val="center"/>
              <w:rPr>
                <w:rFonts w:ascii="Arial" w:hAnsi="Arial" w:cs="Arial"/>
                <w:sz w:val="22"/>
                <w:szCs w:val="22"/>
              </w:rPr>
            </w:pPr>
            <w:r>
              <w:rPr>
                <w:rFonts w:ascii="Arial" w:hAnsi="Arial" w:cs="Arial"/>
                <w:sz w:val="22"/>
                <w:szCs w:val="22"/>
              </w:rPr>
              <w:t>9,747</w:t>
            </w:r>
          </w:p>
        </w:tc>
        <w:tc>
          <w:tcPr>
            <w:tcW w:w="1126" w:type="dxa"/>
            <w:shd w:val="clear" w:color="auto" w:fill="BDD6EE" w:themeFill="accent5" w:themeFillTint="66"/>
          </w:tcPr>
          <w:p w14:paraId="69E4B012" w14:textId="3E7586E9" w:rsidR="00EC722E" w:rsidRPr="00EC722E" w:rsidRDefault="00EC722E" w:rsidP="00A92C0B">
            <w:pPr>
              <w:pStyle w:val="BodyText"/>
              <w:spacing w:beforeLines="30" w:before="72"/>
              <w:ind w:left="0" w:right="114"/>
              <w:jc w:val="center"/>
              <w:rPr>
                <w:rFonts w:ascii="Arial" w:hAnsi="Arial" w:cs="Arial"/>
                <w:sz w:val="22"/>
                <w:szCs w:val="22"/>
              </w:rPr>
            </w:pPr>
            <w:r w:rsidRPr="00EC722E">
              <w:rPr>
                <w:rFonts w:ascii="Arial" w:hAnsi="Arial" w:cs="Arial"/>
                <w:sz w:val="22"/>
                <w:szCs w:val="22"/>
              </w:rPr>
              <w:t>5,029</w:t>
            </w:r>
          </w:p>
        </w:tc>
        <w:tc>
          <w:tcPr>
            <w:tcW w:w="1126" w:type="dxa"/>
            <w:shd w:val="clear" w:color="auto" w:fill="BDD6EE" w:themeFill="accent5" w:themeFillTint="66"/>
          </w:tcPr>
          <w:p w14:paraId="3325B480" w14:textId="2B357044" w:rsidR="00EC722E" w:rsidRPr="00DE0266" w:rsidRDefault="00042E1C" w:rsidP="00A92C0B">
            <w:pPr>
              <w:pStyle w:val="BodyText"/>
              <w:spacing w:beforeLines="30" w:before="72"/>
              <w:ind w:left="0" w:right="114"/>
              <w:jc w:val="center"/>
              <w:rPr>
                <w:rFonts w:ascii="Arial" w:hAnsi="Arial" w:cs="Arial"/>
                <w:b/>
                <w:bCs/>
                <w:sz w:val="22"/>
                <w:szCs w:val="22"/>
              </w:rPr>
            </w:pPr>
            <w:r>
              <w:rPr>
                <w:rFonts w:ascii="Arial" w:hAnsi="Arial" w:cs="Arial"/>
                <w:b/>
                <w:bCs/>
                <w:sz w:val="22"/>
                <w:szCs w:val="22"/>
              </w:rPr>
              <w:t>3,517</w:t>
            </w:r>
          </w:p>
        </w:tc>
      </w:tr>
      <w:tr w:rsidR="00EC722E" w:rsidRPr="00E56EDD" w14:paraId="0BB96CB3" w14:textId="488A4FDE" w:rsidTr="00EC722E">
        <w:trPr>
          <w:jc w:val="center"/>
        </w:trPr>
        <w:tc>
          <w:tcPr>
            <w:tcW w:w="4055" w:type="dxa"/>
            <w:shd w:val="clear" w:color="auto" w:fill="BDD6EE" w:themeFill="accent5" w:themeFillTint="66"/>
          </w:tcPr>
          <w:p w14:paraId="27D75493" w14:textId="77777777" w:rsidR="00EC722E" w:rsidRPr="00E56EDD" w:rsidRDefault="00EC722E" w:rsidP="00A92C0B">
            <w:pPr>
              <w:pStyle w:val="BodyText"/>
              <w:spacing w:beforeLines="30" w:before="72"/>
              <w:ind w:left="0" w:right="114"/>
              <w:jc w:val="both"/>
              <w:rPr>
                <w:rFonts w:ascii="Arial" w:hAnsi="Arial" w:cs="Arial"/>
                <w:sz w:val="22"/>
                <w:szCs w:val="22"/>
              </w:rPr>
            </w:pPr>
            <w:r w:rsidRPr="00E56EDD">
              <w:rPr>
                <w:rFonts w:ascii="Arial" w:hAnsi="Arial" w:cs="Arial"/>
                <w:sz w:val="22"/>
                <w:szCs w:val="22"/>
              </w:rPr>
              <w:t>Smokeless Tobacco (tins/cans/bags)</w:t>
            </w:r>
          </w:p>
        </w:tc>
        <w:tc>
          <w:tcPr>
            <w:tcW w:w="1126" w:type="dxa"/>
            <w:shd w:val="clear" w:color="auto" w:fill="BDD6EE" w:themeFill="accent5" w:themeFillTint="66"/>
          </w:tcPr>
          <w:p w14:paraId="01404497" w14:textId="4F8218BF" w:rsidR="00EC722E" w:rsidRDefault="00EC722E" w:rsidP="00A92C0B">
            <w:pPr>
              <w:pStyle w:val="BodyText"/>
              <w:spacing w:beforeLines="30" w:before="72"/>
              <w:ind w:left="0" w:right="114"/>
              <w:jc w:val="center"/>
              <w:rPr>
                <w:rFonts w:ascii="Arial" w:hAnsi="Arial" w:cs="Arial"/>
                <w:sz w:val="22"/>
                <w:szCs w:val="22"/>
              </w:rPr>
            </w:pPr>
            <w:r>
              <w:rPr>
                <w:rFonts w:ascii="Arial" w:hAnsi="Arial" w:cs="Arial"/>
                <w:sz w:val="22"/>
                <w:szCs w:val="22"/>
              </w:rPr>
              <w:t>25,362</w:t>
            </w:r>
          </w:p>
        </w:tc>
        <w:tc>
          <w:tcPr>
            <w:tcW w:w="1126" w:type="dxa"/>
            <w:shd w:val="clear" w:color="auto" w:fill="BDD6EE" w:themeFill="accent5" w:themeFillTint="66"/>
          </w:tcPr>
          <w:p w14:paraId="0CF299C7" w14:textId="77D2C747" w:rsidR="00EC722E" w:rsidRPr="00EC722E" w:rsidRDefault="00EC722E" w:rsidP="00A92C0B">
            <w:pPr>
              <w:pStyle w:val="BodyText"/>
              <w:spacing w:beforeLines="30" w:before="72"/>
              <w:ind w:left="0" w:right="114"/>
              <w:jc w:val="center"/>
              <w:rPr>
                <w:rFonts w:ascii="Arial" w:hAnsi="Arial" w:cs="Arial"/>
                <w:sz w:val="22"/>
                <w:szCs w:val="22"/>
              </w:rPr>
            </w:pPr>
            <w:r w:rsidRPr="00EC722E">
              <w:rPr>
                <w:rFonts w:ascii="Arial" w:hAnsi="Arial" w:cs="Arial"/>
                <w:sz w:val="22"/>
                <w:szCs w:val="22"/>
              </w:rPr>
              <w:t>14,493</w:t>
            </w:r>
          </w:p>
        </w:tc>
        <w:tc>
          <w:tcPr>
            <w:tcW w:w="1126" w:type="dxa"/>
            <w:shd w:val="clear" w:color="auto" w:fill="BDD6EE" w:themeFill="accent5" w:themeFillTint="66"/>
          </w:tcPr>
          <w:p w14:paraId="7D26C86B" w14:textId="773C256E" w:rsidR="00EC722E" w:rsidRPr="00DE0266" w:rsidRDefault="00042E1C" w:rsidP="00A92C0B">
            <w:pPr>
              <w:pStyle w:val="BodyText"/>
              <w:spacing w:beforeLines="30" w:before="72"/>
              <w:ind w:left="0" w:right="114"/>
              <w:jc w:val="center"/>
              <w:rPr>
                <w:rFonts w:ascii="Arial" w:hAnsi="Arial" w:cs="Arial"/>
                <w:b/>
                <w:bCs/>
                <w:sz w:val="22"/>
                <w:szCs w:val="22"/>
              </w:rPr>
            </w:pPr>
            <w:r>
              <w:rPr>
                <w:rFonts w:ascii="Arial" w:hAnsi="Arial" w:cs="Arial"/>
                <w:b/>
                <w:bCs/>
                <w:sz w:val="22"/>
                <w:szCs w:val="22"/>
              </w:rPr>
              <w:t>666</w:t>
            </w:r>
          </w:p>
        </w:tc>
      </w:tr>
      <w:tr w:rsidR="00EC722E" w:rsidRPr="00E56EDD" w14:paraId="4CB9D623" w14:textId="53E3A9BB" w:rsidTr="00EC722E">
        <w:trPr>
          <w:jc w:val="center"/>
        </w:trPr>
        <w:tc>
          <w:tcPr>
            <w:tcW w:w="4055" w:type="dxa"/>
            <w:shd w:val="clear" w:color="auto" w:fill="BDD6EE" w:themeFill="accent5" w:themeFillTint="66"/>
          </w:tcPr>
          <w:p w14:paraId="638BB83C" w14:textId="77777777" w:rsidR="00EC722E" w:rsidRPr="00E56EDD" w:rsidRDefault="00EC722E" w:rsidP="00A92C0B">
            <w:pPr>
              <w:pStyle w:val="BodyText"/>
              <w:spacing w:beforeLines="30" w:before="72"/>
              <w:ind w:left="0" w:right="114"/>
              <w:jc w:val="both"/>
              <w:rPr>
                <w:rFonts w:ascii="Arial" w:hAnsi="Arial" w:cs="Arial"/>
                <w:sz w:val="22"/>
                <w:szCs w:val="22"/>
              </w:rPr>
            </w:pPr>
            <w:r w:rsidRPr="00E56EDD">
              <w:rPr>
                <w:rFonts w:ascii="Arial" w:hAnsi="Arial" w:cs="Arial"/>
                <w:sz w:val="22"/>
                <w:szCs w:val="22"/>
              </w:rPr>
              <w:t>Cigars</w:t>
            </w:r>
          </w:p>
        </w:tc>
        <w:tc>
          <w:tcPr>
            <w:tcW w:w="1126" w:type="dxa"/>
            <w:shd w:val="clear" w:color="auto" w:fill="BDD6EE" w:themeFill="accent5" w:themeFillTint="66"/>
          </w:tcPr>
          <w:p w14:paraId="5CAC3219" w14:textId="7A3E151B" w:rsidR="00EC722E" w:rsidRDefault="00EC722E" w:rsidP="00A92C0B">
            <w:pPr>
              <w:pStyle w:val="BodyText"/>
              <w:spacing w:beforeLines="30" w:before="72"/>
              <w:ind w:left="0" w:right="114"/>
              <w:jc w:val="center"/>
              <w:rPr>
                <w:rFonts w:ascii="Arial" w:hAnsi="Arial" w:cs="Arial"/>
                <w:sz w:val="22"/>
                <w:szCs w:val="22"/>
              </w:rPr>
            </w:pPr>
            <w:r>
              <w:rPr>
                <w:rFonts w:ascii="Arial" w:hAnsi="Arial" w:cs="Arial"/>
                <w:sz w:val="22"/>
                <w:szCs w:val="22"/>
              </w:rPr>
              <w:t>94,775</w:t>
            </w:r>
          </w:p>
        </w:tc>
        <w:tc>
          <w:tcPr>
            <w:tcW w:w="1126" w:type="dxa"/>
            <w:shd w:val="clear" w:color="auto" w:fill="BDD6EE" w:themeFill="accent5" w:themeFillTint="66"/>
          </w:tcPr>
          <w:p w14:paraId="38A6C843" w14:textId="11422AF1" w:rsidR="00EC722E" w:rsidRPr="00EC722E" w:rsidRDefault="00EC722E" w:rsidP="00A92C0B">
            <w:pPr>
              <w:pStyle w:val="BodyText"/>
              <w:spacing w:beforeLines="30" w:before="72"/>
              <w:ind w:left="0" w:right="114"/>
              <w:jc w:val="center"/>
              <w:rPr>
                <w:rFonts w:ascii="Arial" w:hAnsi="Arial" w:cs="Arial"/>
                <w:sz w:val="22"/>
                <w:szCs w:val="22"/>
              </w:rPr>
            </w:pPr>
            <w:r w:rsidRPr="00EC722E">
              <w:rPr>
                <w:rFonts w:ascii="Arial" w:hAnsi="Arial" w:cs="Arial"/>
                <w:sz w:val="22"/>
                <w:szCs w:val="22"/>
              </w:rPr>
              <w:t>152,075</w:t>
            </w:r>
          </w:p>
        </w:tc>
        <w:tc>
          <w:tcPr>
            <w:tcW w:w="1126" w:type="dxa"/>
            <w:shd w:val="clear" w:color="auto" w:fill="BDD6EE" w:themeFill="accent5" w:themeFillTint="66"/>
          </w:tcPr>
          <w:p w14:paraId="5FF34452" w14:textId="7B1BC7EF" w:rsidR="00EC722E" w:rsidRPr="00DE0266" w:rsidRDefault="00042E1C" w:rsidP="00A92C0B">
            <w:pPr>
              <w:pStyle w:val="BodyText"/>
              <w:spacing w:beforeLines="30" w:before="72"/>
              <w:ind w:left="0" w:right="114"/>
              <w:jc w:val="center"/>
              <w:rPr>
                <w:rFonts w:ascii="Arial" w:hAnsi="Arial" w:cs="Arial"/>
                <w:b/>
                <w:bCs/>
                <w:sz w:val="22"/>
                <w:szCs w:val="22"/>
              </w:rPr>
            </w:pPr>
            <w:r>
              <w:rPr>
                <w:rFonts w:ascii="Arial" w:hAnsi="Arial" w:cs="Arial"/>
                <w:b/>
                <w:bCs/>
                <w:sz w:val="22"/>
                <w:szCs w:val="22"/>
              </w:rPr>
              <w:t>25,239</w:t>
            </w:r>
          </w:p>
        </w:tc>
      </w:tr>
      <w:tr w:rsidR="00EC722E" w:rsidRPr="00E56EDD" w14:paraId="61FC6C8B" w14:textId="1290F261" w:rsidTr="00EC722E">
        <w:trPr>
          <w:jc w:val="center"/>
        </w:trPr>
        <w:tc>
          <w:tcPr>
            <w:tcW w:w="4055" w:type="dxa"/>
            <w:shd w:val="clear" w:color="auto" w:fill="BDD6EE" w:themeFill="accent5" w:themeFillTint="66"/>
          </w:tcPr>
          <w:p w14:paraId="1058E459" w14:textId="77777777" w:rsidR="00EC722E" w:rsidRPr="00E56EDD" w:rsidRDefault="00EC722E" w:rsidP="00A92C0B">
            <w:pPr>
              <w:pStyle w:val="BodyText"/>
              <w:spacing w:beforeLines="30" w:before="72"/>
              <w:ind w:left="0" w:right="114"/>
              <w:jc w:val="both"/>
              <w:rPr>
                <w:rFonts w:ascii="Arial" w:hAnsi="Arial" w:cs="Arial"/>
                <w:sz w:val="22"/>
                <w:szCs w:val="22"/>
              </w:rPr>
            </w:pPr>
            <w:r w:rsidRPr="00E56EDD">
              <w:rPr>
                <w:rFonts w:ascii="Arial" w:hAnsi="Arial" w:cs="Arial"/>
                <w:sz w:val="22"/>
                <w:szCs w:val="22"/>
              </w:rPr>
              <w:t>Smoking Tobacco (bags)</w:t>
            </w:r>
          </w:p>
        </w:tc>
        <w:tc>
          <w:tcPr>
            <w:tcW w:w="1126" w:type="dxa"/>
            <w:shd w:val="clear" w:color="auto" w:fill="BDD6EE" w:themeFill="accent5" w:themeFillTint="66"/>
          </w:tcPr>
          <w:p w14:paraId="19DD4E2F" w14:textId="235AE93A" w:rsidR="00EC722E" w:rsidRDefault="00EC722E" w:rsidP="00911E99">
            <w:pPr>
              <w:pStyle w:val="BodyText"/>
              <w:spacing w:beforeLines="30" w:before="72"/>
              <w:ind w:left="0" w:right="114"/>
              <w:jc w:val="center"/>
              <w:rPr>
                <w:rFonts w:ascii="Arial" w:hAnsi="Arial" w:cs="Arial"/>
                <w:sz w:val="22"/>
                <w:szCs w:val="22"/>
              </w:rPr>
            </w:pPr>
            <w:r>
              <w:rPr>
                <w:rFonts w:ascii="Arial" w:hAnsi="Arial" w:cs="Arial"/>
                <w:sz w:val="22"/>
                <w:szCs w:val="22"/>
              </w:rPr>
              <w:t>2,440</w:t>
            </w:r>
          </w:p>
        </w:tc>
        <w:tc>
          <w:tcPr>
            <w:tcW w:w="1126" w:type="dxa"/>
            <w:shd w:val="clear" w:color="auto" w:fill="BDD6EE" w:themeFill="accent5" w:themeFillTint="66"/>
          </w:tcPr>
          <w:p w14:paraId="2A848D28" w14:textId="0834F661" w:rsidR="00EC722E" w:rsidRPr="00EC722E" w:rsidRDefault="00EC722E" w:rsidP="00911E99">
            <w:pPr>
              <w:pStyle w:val="BodyText"/>
              <w:spacing w:beforeLines="30" w:before="72"/>
              <w:ind w:left="0" w:right="114"/>
              <w:jc w:val="center"/>
              <w:rPr>
                <w:rFonts w:ascii="Arial" w:hAnsi="Arial" w:cs="Arial"/>
                <w:sz w:val="22"/>
                <w:szCs w:val="22"/>
              </w:rPr>
            </w:pPr>
            <w:r w:rsidRPr="00EC722E">
              <w:rPr>
                <w:rFonts w:ascii="Arial" w:hAnsi="Arial" w:cs="Arial"/>
                <w:sz w:val="22"/>
                <w:szCs w:val="22"/>
              </w:rPr>
              <w:t>2,678</w:t>
            </w:r>
          </w:p>
        </w:tc>
        <w:tc>
          <w:tcPr>
            <w:tcW w:w="1126" w:type="dxa"/>
            <w:shd w:val="clear" w:color="auto" w:fill="BDD6EE" w:themeFill="accent5" w:themeFillTint="66"/>
          </w:tcPr>
          <w:p w14:paraId="5DAF3EFD" w14:textId="3200EBDF" w:rsidR="00EC722E" w:rsidRPr="00DE0266" w:rsidRDefault="00042E1C" w:rsidP="00911E99">
            <w:pPr>
              <w:pStyle w:val="BodyText"/>
              <w:spacing w:beforeLines="30" w:before="72"/>
              <w:ind w:left="0" w:right="114"/>
              <w:jc w:val="center"/>
              <w:rPr>
                <w:rFonts w:ascii="Arial" w:hAnsi="Arial" w:cs="Arial"/>
                <w:b/>
                <w:bCs/>
                <w:sz w:val="22"/>
                <w:szCs w:val="22"/>
              </w:rPr>
            </w:pPr>
            <w:r>
              <w:rPr>
                <w:rFonts w:ascii="Arial" w:hAnsi="Arial" w:cs="Arial"/>
                <w:b/>
                <w:bCs/>
                <w:sz w:val="22"/>
                <w:szCs w:val="22"/>
              </w:rPr>
              <w:t>1,487</w:t>
            </w:r>
          </w:p>
        </w:tc>
      </w:tr>
      <w:tr w:rsidR="00EC722E" w:rsidRPr="00E56EDD" w14:paraId="1C113B89" w14:textId="27106241" w:rsidTr="00EC722E">
        <w:trPr>
          <w:jc w:val="center"/>
        </w:trPr>
        <w:tc>
          <w:tcPr>
            <w:tcW w:w="4055" w:type="dxa"/>
            <w:shd w:val="clear" w:color="auto" w:fill="BDD6EE" w:themeFill="accent5" w:themeFillTint="66"/>
          </w:tcPr>
          <w:p w14:paraId="2BDCFE1E" w14:textId="77777777" w:rsidR="00EC722E" w:rsidRPr="00E56EDD" w:rsidRDefault="00EC722E" w:rsidP="00A92C0B">
            <w:pPr>
              <w:pStyle w:val="BodyText"/>
              <w:spacing w:beforeLines="30" w:before="72"/>
              <w:ind w:left="0" w:right="114"/>
              <w:jc w:val="both"/>
              <w:rPr>
                <w:rFonts w:ascii="Arial" w:hAnsi="Arial" w:cs="Arial"/>
                <w:sz w:val="22"/>
                <w:szCs w:val="22"/>
              </w:rPr>
            </w:pPr>
            <w:r w:rsidRPr="00E56EDD">
              <w:rPr>
                <w:rFonts w:ascii="Arial" w:hAnsi="Arial" w:cs="Arial"/>
                <w:sz w:val="22"/>
                <w:szCs w:val="22"/>
              </w:rPr>
              <w:t>ENDS</w:t>
            </w:r>
          </w:p>
        </w:tc>
        <w:tc>
          <w:tcPr>
            <w:tcW w:w="1126" w:type="dxa"/>
            <w:shd w:val="clear" w:color="auto" w:fill="BDD6EE" w:themeFill="accent5" w:themeFillTint="66"/>
          </w:tcPr>
          <w:p w14:paraId="46554ECE" w14:textId="317F6604" w:rsidR="00EC722E" w:rsidRDefault="00EC722E" w:rsidP="00A92C0B">
            <w:pPr>
              <w:pStyle w:val="BodyText"/>
              <w:spacing w:beforeLines="30" w:before="72"/>
              <w:ind w:left="0" w:right="114"/>
              <w:jc w:val="center"/>
              <w:rPr>
                <w:rFonts w:ascii="Arial" w:hAnsi="Arial" w:cs="Arial"/>
                <w:sz w:val="22"/>
                <w:szCs w:val="22"/>
              </w:rPr>
            </w:pPr>
            <w:r>
              <w:rPr>
                <w:rFonts w:ascii="Arial" w:hAnsi="Arial" w:cs="Arial"/>
                <w:sz w:val="22"/>
                <w:szCs w:val="22"/>
              </w:rPr>
              <w:t>36,504</w:t>
            </w:r>
          </w:p>
        </w:tc>
        <w:tc>
          <w:tcPr>
            <w:tcW w:w="1126" w:type="dxa"/>
            <w:shd w:val="clear" w:color="auto" w:fill="BDD6EE" w:themeFill="accent5" w:themeFillTint="66"/>
          </w:tcPr>
          <w:p w14:paraId="29BCEE66" w14:textId="41B838A0" w:rsidR="00EC722E" w:rsidRPr="00EC722E" w:rsidRDefault="00EC722E" w:rsidP="00A92C0B">
            <w:pPr>
              <w:pStyle w:val="BodyText"/>
              <w:spacing w:beforeLines="30" w:before="72"/>
              <w:ind w:left="0" w:right="114"/>
              <w:jc w:val="center"/>
              <w:rPr>
                <w:rFonts w:ascii="Arial" w:hAnsi="Arial" w:cs="Arial"/>
                <w:sz w:val="22"/>
                <w:szCs w:val="22"/>
              </w:rPr>
            </w:pPr>
            <w:r w:rsidRPr="00EC722E">
              <w:rPr>
                <w:rFonts w:ascii="Arial" w:hAnsi="Arial" w:cs="Arial"/>
                <w:sz w:val="22"/>
                <w:szCs w:val="22"/>
              </w:rPr>
              <w:t>308,100</w:t>
            </w:r>
          </w:p>
        </w:tc>
        <w:tc>
          <w:tcPr>
            <w:tcW w:w="1126" w:type="dxa"/>
            <w:shd w:val="clear" w:color="auto" w:fill="BDD6EE" w:themeFill="accent5" w:themeFillTint="66"/>
          </w:tcPr>
          <w:p w14:paraId="3A961222" w14:textId="5674A70A" w:rsidR="00EC722E" w:rsidRPr="00DE0266" w:rsidRDefault="00042E1C" w:rsidP="00A92C0B">
            <w:pPr>
              <w:pStyle w:val="BodyText"/>
              <w:spacing w:beforeLines="30" w:before="72"/>
              <w:ind w:left="0" w:right="114"/>
              <w:jc w:val="center"/>
              <w:rPr>
                <w:rFonts w:ascii="Arial" w:hAnsi="Arial" w:cs="Arial"/>
                <w:b/>
                <w:bCs/>
                <w:sz w:val="22"/>
                <w:szCs w:val="22"/>
              </w:rPr>
            </w:pPr>
            <w:r>
              <w:rPr>
                <w:rFonts w:ascii="Arial" w:hAnsi="Arial" w:cs="Arial"/>
                <w:b/>
                <w:bCs/>
                <w:sz w:val="22"/>
                <w:szCs w:val="22"/>
              </w:rPr>
              <w:t>24,455</w:t>
            </w:r>
          </w:p>
        </w:tc>
      </w:tr>
    </w:tbl>
    <w:p w14:paraId="3A8B4D7E" w14:textId="77777777" w:rsidR="00911E99" w:rsidRDefault="00911E99" w:rsidP="00485447">
      <w:pPr>
        <w:pStyle w:val="BodyText"/>
        <w:spacing w:before="6"/>
        <w:ind w:left="0" w:right="115" w:firstLine="720"/>
        <w:jc w:val="both"/>
      </w:pPr>
    </w:p>
    <w:p w14:paraId="4F46848B" w14:textId="7741FC10" w:rsidR="003A08E2" w:rsidRDefault="003D1EE9" w:rsidP="00B32253">
      <w:pPr>
        <w:pStyle w:val="BodyText"/>
        <w:ind w:left="0" w:right="114" w:firstLine="720"/>
        <w:jc w:val="both"/>
      </w:pPr>
      <w:r>
        <w:t xml:space="preserve">Aside from the increase in ENDS seizures during FY24 due to a single </w:t>
      </w:r>
      <w:r w:rsidR="007F474B">
        <w:t>State Police</w:t>
      </w:r>
      <w:r>
        <w:t xml:space="preserve"> search warrant, </w:t>
      </w:r>
      <w:r w:rsidRPr="00001F71">
        <w:t xml:space="preserve">Task Force </w:t>
      </w:r>
      <w:r>
        <w:t xml:space="preserve">seizures of untaxed tobacco and ENDS products have declined since the Task Force began tracking seizure data in November of 2021. Civil inspections and investigations have remained robust over the last several years so the improved enforcement and compliance (see Section III-A below) could account for the decline in seizures. </w:t>
      </w:r>
      <w:r w:rsidR="007F474B">
        <w:t xml:space="preserve">The prevalence of ENDS products in the </w:t>
      </w:r>
      <w:r w:rsidR="0085762B">
        <w:t xml:space="preserve">marketplace during the past couple years </w:t>
      </w:r>
      <w:r w:rsidR="007F474B">
        <w:t>that are labeled “clear</w:t>
      </w:r>
      <w:r w:rsidR="0085762B">
        <w:t>,</w:t>
      </w:r>
      <w:r w:rsidR="007F474B">
        <w:t xml:space="preserve">” but </w:t>
      </w:r>
      <w:r w:rsidR="0085762B">
        <w:t>which are</w:t>
      </w:r>
      <w:r w:rsidR="007F474B">
        <w:t xml:space="preserve"> </w:t>
      </w:r>
      <w:proofErr w:type="gramStart"/>
      <w:r w:rsidR="007F474B">
        <w:t>actually flavored</w:t>
      </w:r>
      <w:proofErr w:type="gramEnd"/>
      <w:r w:rsidR="007F474B">
        <w:t xml:space="preserve">, could also have contributed to the decline in ENDS seizures as distributors pay </w:t>
      </w:r>
      <w:r w:rsidR="00421A82">
        <w:t xml:space="preserve">the </w:t>
      </w:r>
      <w:r w:rsidR="007F474B">
        <w:t xml:space="preserve">excise taxes </w:t>
      </w:r>
      <w:r w:rsidR="0085762B">
        <w:t xml:space="preserve">for </w:t>
      </w:r>
      <w:r w:rsidR="00684A3C">
        <w:t>those</w:t>
      </w:r>
      <w:r w:rsidR="007F474B">
        <w:t xml:space="preserve"> products</w:t>
      </w:r>
      <w:r w:rsidR="0085762B">
        <w:t xml:space="preserve">. </w:t>
      </w:r>
      <w:r w:rsidR="00684A3C">
        <w:t xml:space="preserve">However, </w:t>
      </w:r>
      <w:r w:rsidR="0085762B">
        <w:t xml:space="preserve">Task Force member agencies will be coordinating efforts </w:t>
      </w:r>
      <w:r w:rsidR="00684A3C">
        <w:t xml:space="preserve">moving forward </w:t>
      </w:r>
      <w:r w:rsidR="0085762B">
        <w:t>to combat these fraudulent products</w:t>
      </w:r>
      <w:r w:rsidR="007F474B">
        <w:t xml:space="preserve"> </w:t>
      </w:r>
      <w:r w:rsidR="0085762B">
        <w:t>which are circumventing</w:t>
      </w:r>
      <w:r w:rsidR="007F474B">
        <w:t xml:space="preserve"> the </w:t>
      </w:r>
      <w:r w:rsidR="0085762B">
        <w:t>Commonwealth</w:t>
      </w:r>
      <w:r w:rsidR="007F474B">
        <w:t xml:space="preserve">’s flavored tobacco ban. </w:t>
      </w:r>
      <w:r w:rsidR="0085762B">
        <w:t>Additionally,</w:t>
      </w:r>
      <w:r w:rsidR="00D777E9">
        <w:t xml:space="preserve"> </w:t>
      </w:r>
      <w:r w:rsidR="00743B74">
        <w:t>the</w:t>
      </w:r>
      <w:r w:rsidR="00955BFF">
        <w:t xml:space="preserve"> </w:t>
      </w:r>
      <w:r w:rsidR="003B264C">
        <w:t xml:space="preserve">smuggling of untaxed </w:t>
      </w:r>
      <w:r w:rsidR="00955BFF">
        <w:t xml:space="preserve">tobacco </w:t>
      </w:r>
      <w:r w:rsidR="00FE4104">
        <w:t>and</w:t>
      </w:r>
      <w:r w:rsidR="00955BFF">
        <w:t xml:space="preserve"> ENDS products</w:t>
      </w:r>
      <w:r w:rsidR="00073D4E">
        <w:t>, while not overly prevalent,</w:t>
      </w:r>
      <w:r w:rsidR="00743B74">
        <w:t xml:space="preserve"> remains a challenge</w:t>
      </w:r>
      <w:r w:rsidR="00D777E9">
        <w:t xml:space="preserve">. </w:t>
      </w:r>
      <w:r w:rsidR="00743B74">
        <w:t xml:space="preserve">Without providing too much detail about the processes and methods of </w:t>
      </w:r>
      <w:r w:rsidR="006F1A94">
        <w:t xml:space="preserve">Task Force </w:t>
      </w:r>
      <w:r w:rsidR="00590CB0">
        <w:t>enforcement strategies</w:t>
      </w:r>
      <w:r w:rsidR="006F1A94">
        <w:t xml:space="preserve">, smugglers </w:t>
      </w:r>
      <w:r w:rsidR="00073D4E">
        <w:t>continue to develop</w:t>
      </w:r>
      <w:r w:rsidR="006F1A94">
        <w:t xml:space="preserve"> more sophisticated smuggling operations to counter the Task Force’s </w:t>
      </w:r>
      <w:r w:rsidR="00590CB0">
        <w:t xml:space="preserve">targeted </w:t>
      </w:r>
      <w:r w:rsidR="007A7F20">
        <w:t xml:space="preserve">enforcement and </w:t>
      </w:r>
      <w:r w:rsidR="00590CB0">
        <w:t>investigations</w:t>
      </w:r>
      <w:r w:rsidR="006F1A94">
        <w:t>.</w:t>
      </w:r>
      <w:r w:rsidR="009139FA">
        <w:t xml:space="preserve"> </w:t>
      </w:r>
      <w:r w:rsidR="00B2270F">
        <w:t xml:space="preserve">The Task Force will continue to monitor </w:t>
      </w:r>
      <w:r w:rsidR="000E6553">
        <w:t>the</w:t>
      </w:r>
      <w:r w:rsidR="00B2270F">
        <w:t xml:space="preserve"> tobacco excise revenues and seizures of untaxed tobacco products</w:t>
      </w:r>
      <w:r w:rsidR="003B264C">
        <w:t xml:space="preserve"> </w:t>
      </w:r>
      <w:r w:rsidR="000E6553">
        <w:t xml:space="preserve">to identify any </w:t>
      </w:r>
      <w:r w:rsidR="00F5617C">
        <w:t>new trends</w:t>
      </w:r>
      <w:r w:rsidR="003B264C">
        <w:t>.</w:t>
      </w:r>
    </w:p>
    <w:p w14:paraId="52F655CD" w14:textId="77777777" w:rsidR="003A08E2" w:rsidRDefault="003A08E2" w:rsidP="00B32253">
      <w:pPr>
        <w:pStyle w:val="BodyText"/>
        <w:ind w:left="0" w:right="114" w:firstLine="720"/>
        <w:jc w:val="both"/>
      </w:pPr>
    </w:p>
    <w:p w14:paraId="1586FEF1" w14:textId="77777777" w:rsidR="00E327D9" w:rsidRPr="00FA1FF7" w:rsidRDefault="00E327D9" w:rsidP="00B32253">
      <w:pPr>
        <w:pStyle w:val="Heading1"/>
        <w:numPr>
          <w:ilvl w:val="1"/>
          <w:numId w:val="1"/>
        </w:numPr>
        <w:tabs>
          <w:tab w:val="left" w:pos="720"/>
        </w:tabs>
        <w:spacing w:before="0"/>
        <w:ind w:left="720" w:firstLine="0"/>
        <w:jc w:val="left"/>
        <w:rPr>
          <w:bCs w:val="0"/>
        </w:rPr>
      </w:pPr>
      <w:bookmarkStart w:id="16" w:name="_Toc1574826"/>
      <w:r w:rsidRPr="00FA1FF7">
        <w:rPr>
          <w:bCs w:val="0"/>
        </w:rPr>
        <w:t>Summary of Task Force Activities</w:t>
      </w:r>
      <w:bookmarkEnd w:id="16"/>
    </w:p>
    <w:p w14:paraId="76EF21E3" w14:textId="77777777" w:rsidR="00E327D9" w:rsidRPr="00FA1FF7" w:rsidRDefault="00E327D9" w:rsidP="00B32253">
      <w:pPr>
        <w:pStyle w:val="BodyText"/>
        <w:ind w:left="0" w:right="113"/>
        <w:jc w:val="both"/>
      </w:pPr>
    </w:p>
    <w:p w14:paraId="4EF40676" w14:textId="681D5AC1" w:rsidR="00E327D9" w:rsidRDefault="00485447" w:rsidP="00B32253">
      <w:pPr>
        <w:pStyle w:val="BodyText"/>
        <w:ind w:left="0" w:right="113" w:firstLine="720"/>
        <w:jc w:val="both"/>
      </w:pPr>
      <w:r>
        <w:t>The</w:t>
      </w:r>
      <w:r w:rsidR="00E327D9" w:rsidRPr="00FA1FF7">
        <w:t xml:space="preserve"> Task Force has continued to meet </w:t>
      </w:r>
      <w:r w:rsidR="005743E9">
        <w:t>as needed</w:t>
      </w:r>
      <w:r w:rsidR="00E327D9" w:rsidRPr="00FA1FF7">
        <w:t xml:space="preserve"> to share information with member agencies, hear about recent developments in tobacco taxation and enforcement, and to discuss policy </w:t>
      </w:r>
      <w:r w:rsidR="005B77AD">
        <w:t>matters</w:t>
      </w:r>
      <w:r w:rsidR="00E327D9" w:rsidRPr="00FA1FF7">
        <w:t xml:space="preserve">.  </w:t>
      </w:r>
    </w:p>
    <w:p w14:paraId="02A8C698" w14:textId="77777777" w:rsidR="00E327D9" w:rsidRDefault="00E327D9" w:rsidP="00B32253">
      <w:pPr>
        <w:pStyle w:val="BodyText"/>
        <w:ind w:left="0" w:right="113" w:firstLine="720"/>
        <w:jc w:val="both"/>
      </w:pPr>
    </w:p>
    <w:p w14:paraId="1FD77403" w14:textId="145AA2A2" w:rsidR="00E327D9" w:rsidRPr="00FA1FF7" w:rsidRDefault="00E327D9" w:rsidP="00B32253">
      <w:pPr>
        <w:pStyle w:val="BodyText"/>
        <w:ind w:left="0" w:right="113" w:firstLine="720"/>
        <w:jc w:val="both"/>
      </w:pPr>
      <w:r w:rsidRPr="00FA1FF7">
        <w:t xml:space="preserve">The Task Force has convened </w:t>
      </w:r>
      <w:r w:rsidR="00C11BE8">
        <w:t>five</w:t>
      </w:r>
      <w:r w:rsidRPr="00FA1FF7">
        <w:t xml:space="preserve"> public meetings in the past year</w:t>
      </w:r>
      <w:r>
        <w:t xml:space="preserve">. Each of these meetings was held via videoconference </w:t>
      </w:r>
      <w:r w:rsidRPr="00BD372E">
        <w:t xml:space="preserve">in accordance with Sections 18-25 of Chapter 30A of the Massachusetts General Laws and the Governor’s Order suspending certain provisions of the Open Meeting Law, </w:t>
      </w:r>
      <w:r w:rsidRPr="00BD372E">
        <w:lastRenderedPageBreak/>
        <w:t>M.G.L</w:t>
      </w:r>
      <w:r w:rsidR="006C458E">
        <w:t>.</w:t>
      </w:r>
      <w:r w:rsidRPr="00BD372E">
        <w:t xml:space="preserve"> </w:t>
      </w:r>
      <w:r w:rsidR="006C458E">
        <w:t>c</w:t>
      </w:r>
      <w:r w:rsidRPr="00BD372E">
        <w:t>. 30A §</w:t>
      </w:r>
      <w:r w:rsidR="006C458E">
        <w:t xml:space="preserve"> </w:t>
      </w:r>
      <w:r w:rsidRPr="00BD372E">
        <w:t>20.</w:t>
      </w:r>
      <w:r>
        <w:t xml:space="preserve"> </w:t>
      </w:r>
      <w:r w:rsidRPr="00FA1FF7">
        <w:t>These meetings took place on the following dates:</w:t>
      </w:r>
    </w:p>
    <w:p w14:paraId="68B15CCC" w14:textId="77777777" w:rsidR="00836F4C" w:rsidRDefault="00836F4C" w:rsidP="00B32253">
      <w:pPr>
        <w:pStyle w:val="BodyText"/>
        <w:spacing w:before="6"/>
        <w:ind w:left="0" w:right="115"/>
        <w:jc w:val="center"/>
      </w:pPr>
    </w:p>
    <w:p w14:paraId="173E4B73" w14:textId="09A70D2E" w:rsidR="00E327D9" w:rsidRDefault="00FF1BB1" w:rsidP="00B32253">
      <w:pPr>
        <w:pStyle w:val="BodyText"/>
        <w:spacing w:before="6"/>
        <w:ind w:left="0" w:right="115"/>
        <w:jc w:val="center"/>
      </w:pPr>
      <w:r>
        <w:t>December 10</w:t>
      </w:r>
      <w:r w:rsidR="00044F6A">
        <w:t>, 202</w:t>
      </w:r>
      <w:r w:rsidR="000324FA">
        <w:t>5</w:t>
      </w:r>
    </w:p>
    <w:p w14:paraId="29BC4C35" w14:textId="348055FC" w:rsidR="00FF1BB1" w:rsidRDefault="00FF1BB1" w:rsidP="00B32253">
      <w:pPr>
        <w:pStyle w:val="BodyText"/>
        <w:spacing w:before="6"/>
        <w:ind w:left="0" w:right="115"/>
        <w:jc w:val="center"/>
      </w:pPr>
      <w:r>
        <w:t>January 14</w:t>
      </w:r>
      <w:r w:rsidR="006E7E4F">
        <w:t xml:space="preserve"> and 28</w:t>
      </w:r>
      <w:r>
        <w:t>, 2026</w:t>
      </w:r>
    </w:p>
    <w:p w14:paraId="4BE136F2" w14:textId="4F71EE3B" w:rsidR="00E327D9" w:rsidRDefault="00E327D9" w:rsidP="00B32253">
      <w:pPr>
        <w:pStyle w:val="BodyText"/>
        <w:spacing w:before="6"/>
        <w:ind w:left="0" w:right="115"/>
        <w:jc w:val="center"/>
      </w:pPr>
      <w:r w:rsidRPr="00F82D9D">
        <w:t xml:space="preserve">February </w:t>
      </w:r>
      <w:r w:rsidR="002B529C">
        <w:t>10</w:t>
      </w:r>
      <w:r w:rsidR="006E7E4F">
        <w:t xml:space="preserve"> and 25, 2</w:t>
      </w:r>
      <w:r w:rsidRPr="00F82D9D">
        <w:t>02</w:t>
      </w:r>
      <w:r w:rsidR="002B529C">
        <w:t>6</w:t>
      </w:r>
    </w:p>
    <w:p w14:paraId="75846120" w14:textId="77777777" w:rsidR="00592F61" w:rsidRDefault="00592F61" w:rsidP="003E20C0">
      <w:pPr>
        <w:pStyle w:val="BodyText"/>
        <w:ind w:left="0" w:right="115" w:firstLine="720"/>
        <w:jc w:val="both"/>
        <w:rPr>
          <w:highlight w:val="yellow"/>
        </w:rPr>
      </w:pPr>
    </w:p>
    <w:p w14:paraId="1306B56D" w14:textId="53D3302E" w:rsidR="00E327D9" w:rsidRPr="005C6C4E" w:rsidRDefault="006C458E" w:rsidP="003E20C0">
      <w:pPr>
        <w:pStyle w:val="BodyText"/>
        <w:ind w:left="0" w:right="115" w:firstLine="720"/>
        <w:jc w:val="both"/>
        <w:rPr>
          <w:i/>
          <w:iCs/>
          <w:color w:val="FF0000"/>
        </w:rPr>
      </w:pPr>
      <w:r>
        <w:t xml:space="preserve">During the </w:t>
      </w:r>
      <w:r w:rsidR="007A7F20">
        <w:t xml:space="preserve">meeting held on December 10, 2025, the </w:t>
      </w:r>
      <w:r w:rsidR="00EB3E4B" w:rsidRPr="009D349B">
        <w:t xml:space="preserve">DPH </w:t>
      </w:r>
      <w:r w:rsidR="002B529C" w:rsidRPr="009D349B">
        <w:t>arranged for</w:t>
      </w:r>
      <w:r w:rsidR="003E20C0" w:rsidRPr="009D349B">
        <w:t xml:space="preserve"> a presentation </w:t>
      </w:r>
      <w:r w:rsidR="002B529C" w:rsidRPr="009D349B">
        <w:t>by the</w:t>
      </w:r>
      <w:r w:rsidR="009D349B" w:rsidRPr="009D349B">
        <w:t xml:space="preserve"> Public Health Law Center</w:t>
      </w:r>
      <w:r w:rsidR="005B77AD">
        <w:t xml:space="preserve"> (PHLC)</w:t>
      </w:r>
      <w:r w:rsidR="009D349B" w:rsidRPr="009D349B">
        <w:t xml:space="preserve"> focusing on the problem</w:t>
      </w:r>
      <w:r w:rsidR="005B77AD">
        <w:t>s associated with</w:t>
      </w:r>
      <w:r w:rsidR="009D349B" w:rsidRPr="009D349B">
        <w:t xml:space="preserve"> tobacco product waste and </w:t>
      </w:r>
      <w:r w:rsidR="005B77AD">
        <w:t xml:space="preserve">discussing </w:t>
      </w:r>
      <w:r w:rsidR="009D349B" w:rsidRPr="009D349B">
        <w:t>possible solutions. The PHLC presentation was uploaded to the DOR Task Force webpage for public viewing.</w:t>
      </w:r>
    </w:p>
    <w:p w14:paraId="29840ADD" w14:textId="77777777" w:rsidR="00CD48F1" w:rsidRPr="001E3629" w:rsidRDefault="00CD48F1" w:rsidP="00B32253">
      <w:pPr>
        <w:pStyle w:val="BodyText"/>
        <w:ind w:left="0" w:right="113" w:firstLine="720"/>
        <w:jc w:val="both"/>
      </w:pPr>
    </w:p>
    <w:p w14:paraId="0BC76C54" w14:textId="2E730F75" w:rsidR="00E327D9" w:rsidRPr="00FA1FF7" w:rsidRDefault="00E327D9" w:rsidP="00B32253">
      <w:pPr>
        <w:pStyle w:val="BodyText"/>
        <w:ind w:left="0" w:right="113" w:firstLine="720"/>
        <w:jc w:val="both"/>
      </w:pPr>
      <w:r w:rsidRPr="00FA1FF7">
        <w:t>Pursuant to the Open Meeting Law, detailed minutes of Task Force meeting</w:t>
      </w:r>
      <w:r w:rsidR="000459D3">
        <w:t>s</w:t>
      </w:r>
      <w:r w:rsidRPr="00FA1FF7">
        <w:t xml:space="preserve"> were taken, including all votes, presentations</w:t>
      </w:r>
      <w:r w:rsidR="0049387D">
        <w:t>,</w:t>
      </w:r>
      <w:r w:rsidRPr="00FA1FF7">
        <w:t xml:space="preserve"> and discussions, and these minutes were published </w:t>
      </w:r>
      <w:r w:rsidR="007A7F20">
        <w:t>to the DOR Task Force webpage for public view</w:t>
      </w:r>
      <w:r w:rsidRPr="00FA1FF7">
        <w:t xml:space="preserve"> according to the requirements of G.L. c. 30A, §§ 18-25.</w:t>
      </w:r>
    </w:p>
    <w:p w14:paraId="01BF59FF" w14:textId="77777777" w:rsidR="002C1573" w:rsidRDefault="002C1573" w:rsidP="00B32253">
      <w:pPr>
        <w:pStyle w:val="BodyText"/>
        <w:ind w:left="0" w:right="113" w:firstLine="720"/>
        <w:jc w:val="both"/>
      </w:pPr>
    </w:p>
    <w:p w14:paraId="467747F7" w14:textId="15087D65" w:rsidR="00436DA5" w:rsidRPr="00A77A0B" w:rsidRDefault="00436DA5" w:rsidP="00B32253">
      <w:pPr>
        <w:pStyle w:val="BodyText"/>
        <w:ind w:left="0" w:right="113" w:firstLine="720"/>
        <w:jc w:val="both"/>
      </w:pPr>
      <w:r w:rsidRPr="00FA1FF7">
        <w:t xml:space="preserve">In addition to its regular public meetings, the Task Force </w:t>
      </w:r>
      <w:r>
        <w:t xml:space="preserve">continued to </w:t>
      </w:r>
      <w:r w:rsidRPr="00A77A0B">
        <w:t>successful</w:t>
      </w:r>
      <w:r>
        <w:t>ly</w:t>
      </w:r>
      <w:r w:rsidRPr="00A77A0B">
        <w:t xml:space="preserve"> collaborat</w:t>
      </w:r>
      <w:r>
        <w:t>e</w:t>
      </w:r>
      <w:r w:rsidRPr="00A77A0B">
        <w:t xml:space="preserve"> among Task Force agencies </w:t>
      </w:r>
      <w:r>
        <w:t>to conduct civil and criminal</w:t>
      </w:r>
      <w:r w:rsidRPr="00A77A0B">
        <w:t xml:space="preserve"> enforcement action</w:t>
      </w:r>
      <w:r>
        <w:t>s</w:t>
      </w:r>
      <w:r w:rsidRPr="00A77A0B">
        <w:t xml:space="preserve"> undertaken by the State Police</w:t>
      </w:r>
      <w:r>
        <w:t xml:space="preserve">, </w:t>
      </w:r>
      <w:r w:rsidR="00097C9C">
        <w:t>DOR</w:t>
      </w:r>
      <w:r>
        <w:t xml:space="preserve">, and </w:t>
      </w:r>
      <w:r w:rsidR="00097C9C">
        <w:t>DPH</w:t>
      </w:r>
      <w:r>
        <w:t xml:space="preserve"> – operating through the </w:t>
      </w:r>
      <w:r w:rsidR="004A4DA0">
        <w:t>L</w:t>
      </w:r>
      <w:r>
        <w:t xml:space="preserve">ocal </w:t>
      </w:r>
      <w:r w:rsidR="004B3603">
        <w:t>B</w:t>
      </w:r>
      <w:r>
        <w:t xml:space="preserve">oards of </w:t>
      </w:r>
      <w:r w:rsidR="004B3603">
        <w:t>H</w:t>
      </w:r>
      <w:r>
        <w:t>ealth</w:t>
      </w:r>
      <w:r w:rsidR="004A4DA0">
        <w:t xml:space="preserve"> (“LBOH”)</w:t>
      </w:r>
      <w:r w:rsidRPr="00A77A0B">
        <w:t>.</w:t>
      </w:r>
    </w:p>
    <w:p w14:paraId="36C88A88" w14:textId="77777777" w:rsidR="00436DA5" w:rsidRDefault="00436DA5" w:rsidP="00B32253">
      <w:pPr>
        <w:pStyle w:val="BodyText"/>
        <w:ind w:left="0" w:right="113"/>
        <w:jc w:val="both"/>
      </w:pPr>
    </w:p>
    <w:p w14:paraId="135AE5D2" w14:textId="103C79C7" w:rsidR="00436DA5" w:rsidRDefault="00436DA5" w:rsidP="00B32253">
      <w:pPr>
        <w:pStyle w:val="BodyText"/>
        <w:numPr>
          <w:ilvl w:val="0"/>
          <w:numId w:val="8"/>
        </w:numPr>
        <w:ind w:right="114"/>
        <w:jc w:val="both"/>
        <w:rPr>
          <w:b/>
        </w:rPr>
      </w:pPr>
      <w:r>
        <w:rPr>
          <w:b/>
        </w:rPr>
        <w:t xml:space="preserve">Civil </w:t>
      </w:r>
      <w:r w:rsidR="00D46728">
        <w:rPr>
          <w:b/>
        </w:rPr>
        <w:t>Investigations/</w:t>
      </w:r>
      <w:r w:rsidR="00F207CA">
        <w:rPr>
          <w:b/>
        </w:rPr>
        <w:t>Inspections</w:t>
      </w:r>
      <w:r w:rsidR="00EA0515">
        <w:rPr>
          <w:b/>
        </w:rPr>
        <w:t>/Litigation</w:t>
      </w:r>
    </w:p>
    <w:p w14:paraId="212F77AB" w14:textId="77777777" w:rsidR="00436DA5" w:rsidRPr="006134ED" w:rsidRDefault="00436DA5" w:rsidP="00B32253">
      <w:pPr>
        <w:pStyle w:val="BodyText"/>
        <w:ind w:left="1080" w:right="114"/>
        <w:jc w:val="both"/>
        <w:rPr>
          <w:b/>
        </w:rPr>
      </w:pPr>
    </w:p>
    <w:p w14:paraId="606EBD24" w14:textId="6B3D6D58" w:rsidR="00436DA5" w:rsidRDefault="00C34B21" w:rsidP="00B32253">
      <w:pPr>
        <w:pStyle w:val="BodyText"/>
        <w:ind w:left="0" w:right="113" w:firstLine="720"/>
        <w:jc w:val="both"/>
      </w:pPr>
      <w:bookmarkStart w:id="17" w:name="_Hlk188022473"/>
      <w:bookmarkStart w:id="18" w:name="_Hlk125375407"/>
      <w:r w:rsidRPr="00132F71">
        <w:t xml:space="preserve">According to DOR records, there are </w:t>
      </w:r>
      <w:r w:rsidR="00CD641B" w:rsidRPr="00132F71">
        <w:t>currently</w:t>
      </w:r>
      <w:r w:rsidR="00A722B5" w:rsidRPr="00132F71">
        <w:t xml:space="preserve"> </w:t>
      </w:r>
      <w:r w:rsidR="003D1F12" w:rsidRPr="00132F71">
        <w:t>6,</w:t>
      </w:r>
      <w:r w:rsidR="002C1573">
        <w:t>930</w:t>
      </w:r>
      <w:r w:rsidR="00CD641B" w:rsidRPr="00132F71">
        <w:t xml:space="preserve"> tobacco retailers</w:t>
      </w:r>
      <w:r w:rsidRPr="00132F71">
        <w:t xml:space="preserve"> and </w:t>
      </w:r>
      <w:r w:rsidR="002C1573">
        <w:t>121</w:t>
      </w:r>
      <w:r w:rsidRPr="00132F71">
        <w:t xml:space="preserve"> </w:t>
      </w:r>
      <w:r w:rsidR="00CD641B" w:rsidRPr="00132F71">
        <w:t>tobacco distributors</w:t>
      </w:r>
      <w:r w:rsidRPr="00132F71">
        <w:t xml:space="preserve"> </w:t>
      </w:r>
      <w:r w:rsidR="00CD641B" w:rsidRPr="00132F71">
        <w:t xml:space="preserve">located in </w:t>
      </w:r>
      <w:r w:rsidRPr="00132F71">
        <w:t>Massachusetts</w:t>
      </w:r>
      <w:r w:rsidR="00CD641B" w:rsidRPr="00132F71">
        <w:t>.</w:t>
      </w:r>
      <w:bookmarkEnd w:id="17"/>
      <w:r w:rsidR="00A722B5">
        <w:rPr>
          <w:rStyle w:val="FootnoteReference"/>
        </w:rPr>
        <w:footnoteReference w:id="22"/>
      </w:r>
      <w:r w:rsidR="00CD641B">
        <w:t xml:space="preserve"> </w:t>
      </w:r>
      <w:bookmarkEnd w:id="18"/>
      <w:r w:rsidR="00A856C8">
        <w:t xml:space="preserve">The number of tobacco retailers has increased </w:t>
      </w:r>
      <w:r w:rsidR="00815DEA">
        <w:t xml:space="preserve">by 8.7% since 2023. </w:t>
      </w:r>
      <w:r w:rsidR="00713ADE">
        <w:t>DOR</w:t>
      </w:r>
      <w:r w:rsidR="006C4F39">
        <w:t>’s</w:t>
      </w:r>
      <w:r w:rsidR="00713ADE">
        <w:t xml:space="preserve"> </w:t>
      </w:r>
      <w:r w:rsidR="003F7054">
        <w:t>MEB</w:t>
      </w:r>
      <w:r w:rsidR="00713ADE">
        <w:t xml:space="preserve"> and </w:t>
      </w:r>
      <w:r w:rsidR="003F7054">
        <w:t>CIB</w:t>
      </w:r>
      <w:r w:rsidR="00713ADE">
        <w:t xml:space="preserve"> </w:t>
      </w:r>
      <w:r w:rsidR="00D46728">
        <w:t>and</w:t>
      </w:r>
      <w:r w:rsidR="00713ADE">
        <w:t xml:space="preserve"> </w:t>
      </w:r>
      <w:r w:rsidR="004A4DA0">
        <w:t>LBOH</w:t>
      </w:r>
      <w:r w:rsidR="00713ADE">
        <w:t xml:space="preserve"> (</w:t>
      </w:r>
      <w:r w:rsidR="005E1793">
        <w:t xml:space="preserve">in </w:t>
      </w:r>
      <w:r w:rsidR="00A745FB">
        <w:t>collaboration</w:t>
      </w:r>
      <w:r w:rsidR="005E1793">
        <w:t xml:space="preserve"> with </w:t>
      </w:r>
      <w:r w:rsidR="00713ADE">
        <w:t xml:space="preserve">the DPH) </w:t>
      </w:r>
      <w:r w:rsidR="003726E7">
        <w:t xml:space="preserve">have worked hard </w:t>
      </w:r>
      <w:r w:rsidR="00F4797B">
        <w:t xml:space="preserve">to </w:t>
      </w:r>
      <w:r w:rsidR="00713ADE">
        <w:t>hel</w:t>
      </w:r>
      <w:r w:rsidR="003726E7">
        <w:t xml:space="preserve">p </w:t>
      </w:r>
      <w:r w:rsidR="00713ADE">
        <w:t xml:space="preserve">combat the </w:t>
      </w:r>
      <w:r w:rsidR="003726E7">
        <w:t xml:space="preserve">sale </w:t>
      </w:r>
      <w:r w:rsidR="00D46728">
        <w:t>of</w:t>
      </w:r>
      <w:r w:rsidR="00713ADE">
        <w:t xml:space="preserve"> </w:t>
      </w:r>
      <w:r w:rsidR="00D73FEE">
        <w:t xml:space="preserve">untaxed tobacco products and/or </w:t>
      </w:r>
      <w:r w:rsidR="00D46728">
        <w:t xml:space="preserve">unlawful </w:t>
      </w:r>
      <w:r w:rsidR="00713ADE">
        <w:t>tobacco products</w:t>
      </w:r>
      <w:r w:rsidR="00D73FEE">
        <w:t xml:space="preserve"> </w:t>
      </w:r>
      <w:r w:rsidR="003726E7">
        <w:t xml:space="preserve">associated with </w:t>
      </w:r>
      <w:r w:rsidR="00BE133D">
        <w:t>tobacco diversion</w:t>
      </w:r>
      <w:r w:rsidR="00713ADE">
        <w:t>.</w:t>
      </w:r>
      <w:r w:rsidR="00132F71">
        <w:t xml:space="preserve"> </w:t>
      </w:r>
      <w:r w:rsidR="00593559" w:rsidRPr="00132F71">
        <w:t>Significantly,</w:t>
      </w:r>
      <w:r w:rsidR="003A3E5B">
        <w:t xml:space="preserve"> </w:t>
      </w:r>
      <w:r w:rsidR="00593559" w:rsidRPr="00132F71">
        <w:t xml:space="preserve">DOR has increased the number of </w:t>
      </w:r>
      <w:r w:rsidR="001C4C7E">
        <w:t xml:space="preserve">annual </w:t>
      </w:r>
      <w:r w:rsidR="00593559" w:rsidRPr="00132F71">
        <w:t xml:space="preserve">inspections by </w:t>
      </w:r>
      <w:r w:rsidR="004B29A2" w:rsidRPr="00132F71">
        <w:t xml:space="preserve">approximately </w:t>
      </w:r>
      <w:r w:rsidR="00987D57">
        <w:rPr>
          <w:b/>
          <w:bCs/>
          <w:i/>
          <w:iCs/>
        </w:rPr>
        <w:t>24</w:t>
      </w:r>
      <w:r w:rsidR="00593559" w:rsidRPr="0005783C">
        <w:rPr>
          <w:b/>
          <w:bCs/>
          <w:i/>
          <w:iCs/>
        </w:rPr>
        <w:t>%</w:t>
      </w:r>
      <w:r w:rsidR="00593559" w:rsidRPr="0005783C">
        <w:t xml:space="preserve"> </w:t>
      </w:r>
      <w:r w:rsidR="00593559" w:rsidRPr="00132F71">
        <w:t>since FY20</w:t>
      </w:r>
      <w:r w:rsidR="00987D57">
        <w:t xml:space="preserve"> (2,978 inspections)</w:t>
      </w:r>
      <w:r w:rsidR="00593559" w:rsidRPr="00132F71">
        <w:t>.</w:t>
      </w:r>
      <w:r w:rsidR="003D0293">
        <w:t xml:space="preserve"> </w:t>
      </w:r>
      <w:r w:rsidR="0038713C">
        <w:t xml:space="preserve">The </w:t>
      </w:r>
      <w:r w:rsidR="002C125F">
        <w:t>charts below (</w:t>
      </w:r>
      <w:r w:rsidR="002C125F" w:rsidRPr="002C125F">
        <w:rPr>
          <w:b/>
          <w:bCs/>
        </w:rPr>
        <w:t>Figure 5 and 6</w:t>
      </w:r>
      <w:r w:rsidR="002C125F">
        <w:t>) provide inspection</w:t>
      </w:r>
      <w:r w:rsidR="001C4C7E">
        <w:t>, seizure, and civil action data</w:t>
      </w:r>
      <w:r w:rsidR="002C125F">
        <w:t xml:space="preserve"> for FY2</w:t>
      </w:r>
      <w:r w:rsidR="00EC722E">
        <w:t>1</w:t>
      </w:r>
      <w:r w:rsidR="002C125F">
        <w:t xml:space="preserve"> </w:t>
      </w:r>
      <w:r w:rsidR="00C50D84">
        <w:t>-</w:t>
      </w:r>
      <w:r w:rsidR="002C125F">
        <w:t xml:space="preserve"> FY2</w:t>
      </w:r>
      <w:r w:rsidR="00EC722E">
        <w:t>5</w:t>
      </w:r>
      <w:r w:rsidR="00B70213">
        <w:t>.</w:t>
      </w:r>
    </w:p>
    <w:p w14:paraId="1794C1CE" w14:textId="40DBC125" w:rsidR="00C34B21" w:rsidRDefault="00C34B21" w:rsidP="00B32253">
      <w:pPr>
        <w:pStyle w:val="BodyText"/>
        <w:ind w:left="0" w:right="113" w:firstLine="720"/>
        <w:jc w:val="both"/>
      </w:pPr>
    </w:p>
    <w:p w14:paraId="6BA2363E" w14:textId="0CAD3820" w:rsidR="00A722B5" w:rsidRPr="00A77A0B" w:rsidRDefault="00A722B5" w:rsidP="00B32253">
      <w:pPr>
        <w:pStyle w:val="BodyText"/>
        <w:ind w:right="114"/>
        <w:jc w:val="center"/>
        <w:rPr>
          <w:b/>
        </w:rPr>
      </w:pPr>
      <w:r w:rsidRPr="00A77A0B">
        <w:rPr>
          <w:b/>
        </w:rPr>
        <w:t xml:space="preserve">Figure </w:t>
      </w:r>
      <w:r w:rsidR="002C125F">
        <w:rPr>
          <w:b/>
        </w:rPr>
        <w:t>5</w:t>
      </w:r>
      <w:r w:rsidRPr="00A77A0B">
        <w:rPr>
          <w:b/>
        </w:rPr>
        <w:t xml:space="preserve">: </w:t>
      </w:r>
      <w:r>
        <w:rPr>
          <w:b/>
        </w:rPr>
        <w:t>DOR Tobacco Inspections</w:t>
      </w:r>
    </w:p>
    <w:p w14:paraId="3484318B" w14:textId="4E6D63CF" w:rsidR="00C34B21" w:rsidRDefault="00C34B21" w:rsidP="00B32253">
      <w:pPr>
        <w:pStyle w:val="BodyText"/>
        <w:ind w:left="0" w:right="113" w:firstLine="720"/>
        <w:jc w:val="both"/>
      </w:pPr>
    </w:p>
    <w:tbl>
      <w:tblPr>
        <w:tblStyle w:val="TableGrid"/>
        <w:tblW w:w="0" w:type="auto"/>
        <w:jc w:val="center"/>
        <w:shd w:val="clear" w:color="auto" w:fill="BDD6EE" w:themeFill="accent5" w:themeFillTint="66"/>
        <w:tblLook w:val="04A0" w:firstRow="1" w:lastRow="0" w:firstColumn="1" w:lastColumn="0" w:noHBand="0" w:noVBand="1"/>
      </w:tblPr>
      <w:tblGrid>
        <w:gridCol w:w="5121"/>
        <w:gridCol w:w="881"/>
        <w:gridCol w:w="881"/>
        <w:gridCol w:w="881"/>
        <w:gridCol w:w="881"/>
        <w:gridCol w:w="1037"/>
      </w:tblGrid>
      <w:tr w:rsidR="00EC722E" w:rsidRPr="00E56EDD" w14:paraId="726D9034" w14:textId="0CC441AA" w:rsidTr="00CC21AC">
        <w:trPr>
          <w:jc w:val="center"/>
        </w:trPr>
        <w:tc>
          <w:tcPr>
            <w:tcW w:w="5121" w:type="dxa"/>
            <w:shd w:val="clear" w:color="auto" w:fill="9CC2E5" w:themeFill="accent5" w:themeFillTint="99"/>
          </w:tcPr>
          <w:p w14:paraId="2EA4FFBB" w14:textId="7D4D7ECC" w:rsidR="00EC722E" w:rsidRPr="00E56EDD" w:rsidRDefault="00EC722E" w:rsidP="003C2F72">
            <w:pPr>
              <w:pStyle w:val="BodyText"/>
              <w:spacing w:beforeLines="30" w:before="72"/>
              <w:ind w:left="0" w:right="114"/>
              <w:jc w:val="both"/>
              <w:rPr>
                <w:rFonts w:ascii="Arial" w:hAnsi="Arial" w:cs="Arial"/>
                <w:b/>
                <w:bCs/>
                <w:sz w:val="22"/>
                <w:szCs w:val="22"/>
              </w:rPr>
            </w:pPr>
            <w:bookmarkStart w:id="20" w:name="_Hlk94796942"/>
            <w:r w:rsidRPr="00E56EDD">
              <w:rPr>
                <w:rFonts w:ascii="Arial" w:hAnsi="Arial" w:cs="Arial"/>
                <w:b/>
                <w:bCs/>
                <w:sz w:val="22"/>
                <w:szCs w:val="22"/>
              </w:rPr>
              <w:t>DOR Tobacco Inspections</w:t>
            </w:r>
          </w:p>
        </w:tc>
        <w:tc>
          <w:tcPr>
            <w:tcW w:w="881" w:type="dxa"/>
            <w:shd w:val="clear" w:color="auto" w:fill="9CC2E5" w:themeFill="accent5" w:themeFillTint="99"/>
          </w:tcPr>
          <w:p w14:paraId="09EA0925" w14:textId="77777777" w:rsidR="00EC722E" w:rsidRPr="00E56EDD" w:rsidRDefault="00EC722E" w:rsidP="003C2F72">
            <w:pPr>
              <w:pStyle w:val="BodyText"/>
              <w:spacing w:beforeLines="30" w:before="72"/>
              <w:ind w:left="0" w:right="114"/>
              <w:jc w:val="center"/>
              <w:rPr>
                <w:rFonts w:ascii="Arial" w:hAnsi="Arial" w:cs="Arial"/>
                <w:b/>
                <w:bCs/>
                <w:sz w:val="22"/>
                <w:szCs w:val="22"/>
              </w:rPr>
            </w:pPr>
            <w:r w:rsidRPr="00E56EDD">
              <w:rPr>
                <w:rFonts w:ascii="Arial" w:hAnsi="Arial" w:cs="Arial"/>
                <w:b/>
                <w:bCs/>
                <w:sz w:val="22"/>
                <w:szCs w:val="22"/>
              </w:rPr>
              <w:t>FY21</w:t>
            </w:r>
          </w:p>
        </w:tc>
        <w:tc>
          <w:tcPr>
            <w:tcW w:w="881" w:type="dxa"/>
            <w:shd w:val="clear" w:color="auto" w:fill="9CC2E5" w:themeFill="accent5" w:themeFillTint="99"/>
          </w:tcPr>
          <w:p w14:paraId="005DE1E3" w14:textId="4797F094" w:rsidR="00EC722E" w:rsidRPr="00E56EDD" w:rsidRDefault="00EC722E" w:rsidP="003C2F72">
            <w:pPr>
              <w:pStyle w:val="BodyText"/>
              <w:spacing w:beforeLines="30" w:before="72"/>
              <w:ind w:left="0" w:right="114"/>
              <w:jc w:val="center"/>
              <w:rPr>
                <w:rFonts w:ascii="Arial" w:hAnsi="Arial" w:cs="Arial"/>
                <w:b/>
                <w:bCs/>
                <w:sz w:val="22"/>
                <w:szCs w:val="22"/>
              </w:rPr>
            </w:pPr>
            <w:r>
              <w:rPr>
                <w:rFonts w:ascii="Arial" w:hAnsi="Arial" w:cs="Arial"/>
                <w:b/>
                <w:bCs/>
                <w:sz w:val="22"/>
                <w:szCs w:val="22"/>
              </w:rPr>
              <w:t>FY22</w:t>
            </w:r>
          </w:p>
        </w:tc>
        <w:tc>
          <w:tcPr>
            <w:tcW w:w="881" w:type="dxa"/>
            <w:shd w:val="clear" w:color="auto" w:fill="9CC2E5" w:themeFill="accent5" w:themeFillTint="99"/>
          </w:tcPr>
          <w:p w14:paraId="32F77373" w14:textId="016CE9A4" w:rsidR="00EC722E" w:rsidRDefault="00EC722E" w:rsidP="003C2F72">
            <w:pPr>
              <w:pStyle w:val="BodyText"/>
              <w:spacing w:beforeLines="30" w:before="72"/>
              <w:ind w:left="0" w:right="114"/>
              <w:jc w:val="center"/>
              <w:rPr>
                <w:rFonts w:ascii="Arial" w:hAnsi="Arial" w:cs="Arial"/>
                <w:b/>
                <w:bCs/>
                <w:sz w:val="22"/>
                <w:szCs w:val="22"/>
              </w:rPr>
            </w:pPr>
            <w:r>
              <w:rPr>
                <w:rFonts w:ascii="Arial" w:hAnsi="Arial" w:cs="Arial"/>
                <w:b/>
                <w:bCs/>
                <w:sz w:val="22"/>
                <w:szCs w:val="22"/>
              </w:rPr>
              <w:t>FY23</w:t>
            </w:r>
          </w:p>
        </w:tc>
        <w:tc>
          <w:tcPr>
            <w:tcW w:w="881" w:type="dxa"/>
            <w:shd w:val="clear" w:color="auto" w:fill="9CC2E5" w:themeFill="accent5" w:themeFillTint="99"/>
          </w:tcPr>
          <w:p w14:paraId="79E27745" w14:textId="19F4C9A0" w:rsidR="00EC722E" w:rsidRDefault="00EC722E" w:rsidP="003C2F72">
            <w:pPr>
              <w:pStyle w:val="BodyText"/>
              <w:spacing w:beforeLines="30" w:before="72"/>
              <w:ind w:left="0" w:right="114"/>
              <w:jc w:val="center"/>
              <w:rPr>
                <w:rFonts w:ascii="Arial" w:hAnsi="Arial" w:cs="Arial"/>
                <w:b/>
                <w:bCs/>
                <w:sz w:val="22"/>
                <w:szCs w:val="22"/>
              </w:rPr>
            </w:pPr>
            <w:r>
              <w:rPr>
                <w:rFonts w:ascii="Arial" w:hAnsi="Arial" w:cs="Arial"/>
                <w:b/>
                <w:bCs/>
                <w:sz w:val="22"/>
                <w:szCs w:val="22"/>
              </w:rPr>
              <w:t>FY24</w:t>
            </w:r>
          </w:p>
        </w:tc>
        <w:tc>
          <w:tcPr>
            <w:tcW w:w="881" w:type="dxa"/>
            <w:shd w:val="clear" w:color="auto" w:fill="9CC2E5" w:themeFill="accent5" w:themeFillTint="99"/>
          </w:tcPr>
          <w:p w14:paraId="6017CEF4" w14:textId="516FF1CE" w:rsidR="00EC722E" w:rsidRDefault="00EC722E" w:rsidP="003C2F72">
            <w:pPr>
              <w:pStyle w:val="BodyText"/>
              <w:spacing w:beforeLines="30" w:before="72"/>
              <w:ind w:left="0" w:right="114"/>
              <w:jc w:val="center"/>
              <w:rPr>
                <w:rFonts w:ascii="Arial" w:hAnsi="Arial" w:cs="Arial"/>
                <w:b/>
                <w:bCs/>
                <w:sz w:val="22"/>
                <w:szCs w:val="22"/>
              </w:rPr>
            </w:pPr>
            <w:r>
              <w:rPr>
                <w:rFonts w:ascii="Arial" w:hAnsi="Arial" w:cs="Arial"/>
                <w:b/>
                <w:bCs/>
                <w:sz w:val="22"/>
                <w:szCs w:val="22"/>
              </w:rPr>
              <w:t>FY25</w:t>
            </w:r>
          </w:p>
        </w:tc>
      </w:tr>
      <w:tr w:rsidR="00EC722E" w:rsidRPr="00E56EDD" w14:paraId="7E979DAE" w14:textId="0C6B4953" w:rsidTr="00EC722E">
        <w:trPr>
          <w:jc w:val="center"/>
        </w:trPr>
        <w:tc>
          <w:tcPr>
            <w:tcW w:w="5121" w:type="dxa"/>
            <w:shd w:val="clear" w:color="auto" w:fill="BDD6EE" w:themeFill="accent5" w:themeFillTint="66"/>
          </w:tcPr>
          <w:p w14:paraId="70420AD5" w14:textId="6B61A282" w:rsidR="00EC722E" w:rsidRPr="00E56EDD" w:rsidRDefault="00EC722E" w:rsidP="003C2F72">
            <w:pPr>
              <w:pStyle w:val="BodyText"/>
              <w:spacing w:beforeLines="30" w:before="72"/>
              <w:ind w:left="0" w:right="114"/>
              <w:jc w:val="both"/>
              <w:rPr>
                <w:rFonts w:ascii="Arial" w:hAnsi="Arial" w:cs="Arial"/>
                <w:sz w:val="22"/>
                <w:szCs w:val="22"/>
              </w:rPr>
            </w:pPr>
            <w:r w:rsidRPr="00E56EDD">
              <w:rPr>
                <w:rFonts w:ascii="Arial" w:hAnsi="Arial" w:cs="Arial"/>
                <w:sz w:val="22"/>
                <w:szCs w:val="22"/>
              </w:rPr>
              <w:t>MEB Inspections</w:t>
            </w:r>
          </w:p>
        </w:tc>
        <w:tc>
          <w:tcPr>
            <w:tcW w:w="881" w:type="dxa"/>
            <w:shd w:val="clear" w:color="auto" w:fill="BDD6EE" w:themeFill="accent5" w:themeFillTint="66"/>
          </w:tcPr>
          <w:p w14:paraId="2B267D09" w14:textId="7F45DE5D" w:rsidR="00EC722E" w:rsidRPr="00E56EDD" w:rsidRDefault="00EC722E" w:rsidP="003C2F72">
            <w:pPr>
              <w:pStyle w:val="BodyText"/>
              <w:spacing w:beforeLines="30" w:before="72"/>
              <w:ind w:left="0" w:right="114"/>
              <w:jc w:val="center"/>
              <w:rPr>
                <w:rFonts w:ascii="Arial" w:hAnsi="Arial" w:cs="Arial"/>
                <w:sz w:val="22"/>
                <w:szCs w:val="22"/>
              </w:rPr>
            </w:pPr>
            <w:r w:rsidRPr="00E56EDD">
              <w:rPr>
                <w:rFonts w:ascii="Arial" w:hAnsi="Arial" w:cs="Arial"/>
                <w:sz w:val="22"/>
                <w:szCs w:val="22"/>
              </w:rPr>
              <w:t>3,405</w:t>
            </w:r>
          </w:p>
        </w:tc>
        <w:tc>
          <w:tcPr>
            <w:tcW w:w="881" w:type="dxa"/>
            <w:shd w:val="clear" w:color="auto" w:fill="BDD6EE" w:themeFill="accent5" w:themeFillTint="66"/>
          </w:tcPr>
          <w:p w14:paraId="61851A77" w14:textId="1D43A312" w:rsidR="00EC722E" w:rsidRPr="00E56EDD" w:rsidRDefault="00EC722E" w:rsidP="003C2F72">
            <w:pPr>
              <w:pStyle w:val="BodyText"/>
              <w:spacing w:beforeLines="30" w:before="72"/>
              <w:ind w:left="0" w:right="114"/>
              <w:jc w:val="center"/>
              <w:rPr>
                <w:rFonts w:ascii="Arial" w:hAnsi="Arial" w:cs="Arial"/>
                <w:sz w:val="22"/>
                <w:szCs w:val="22"/>
              </w:rPr>
            </w:pPr>
            <w:r>
              <w:rPr>
                <w:rFonts w:ascii="Arial" w:hAnsi="Arial" w:cs="Arial"/>
                <w:sz w:val="22"/>
                <w:szCs w:val="22"/>
              </w:rPr>
              <w:t>4,236</w:t>
            </w:r>
          </w:p>
        </w:tc>
        <w:tc>
          <w:tcPr>
            <w:tcW w:w="881" w:type="dxa"/>
            <w:shd w:val="clear" w:color="auto" w:fill="BDD6EE" w:themeFill="accent5" w:themeFillTint="66"/>
          </w:tcPr>
          <w:p w14:paraId="6CB6D2B3" w14:textId="70546472" w:rsidR="00EC722E" w:rsidRDefault="00EC722E" w:rsidP="003C2F72">
            <w:pPr>
              <w:pStyle w:val="BodyText"/>
              <w:spacing w:beforeLines="30" w:before="72"/>
              <w:ind w:left="0" w:right="114"/>
              <w:jc w:val="center"/>
              <w:rPr>
                <w:rFonts w:ascii="Arial" w:hAnsi="Arial" w:cs="Arial"/>
                <w:sz w:val="22"/>
                <w:szCs w:val="22"/>
              </w:rPr>
            </w:pPr>
            <w:r>
              <w:rPr>
                <w:rFonts w:ascii="Arial" w:hAnsi="Arial" w:cs="Arial"/>
                <w:sz w:val="22"/>
                <w:szCs w:val="22"/>
              </w:rPr>
              <w:t>4,203</w:t>
            </w:r>
          </w:p>
        </w:tc>
        <w:tc>
          <w:tcPr>
            <w:tcW w:w="881" w:type="dxa"/>
            <w:shd w:val="clear" w:color="auto" w:fill="BDD6EE" w:themeFill="accent5" w:themeFillTint="66"/>
          </w:tcPr>
          <w:p w14:paraId="15714679" w14:textId="7249C3DB" w:rsidR="00EC722E" w:rsidRDefault="00EC722E" w:rsidP="003C2F72">
            <w:pPr>
              <w:pStyle w:val="BodyText"/>
              <w:spacing w:beforeLines="30" w:before="72"/>
              <w:ind w:left="0" w:right="114"/>
              <w:jc w:val="center"/>
              <w:rPr>
                <w:rFonts w:ascii="Arial" w:hAnsi="Arial" w:cs="Arial"/>
                <w:sz w:val="22"/>
                <w:szCs w:val="22"/>
              </w:rPr>
            </w:pPr>
            <w:r>
              <w:rPr>
                <w:rFonts w:ascii="Arial" w:hAnsi="Arial" w:cs="Arial"/>
                <w:sz w:val="22"/>
                <w:szCs w:val="22"/>
              </w:rPr>
              <w:t>4,319</w:t>
            </w:r>
          </w:p>
        </w:tc>
        <w:tc>
          <w:tcPr>
            <w:tcW w:w="881" w:type="dxa"/>
            <w:shd w:val="clear" w:color="auto" w:fill="BDD6EE" w:themeFill="accent5" w:themeFillTint="66"/>
          </w:tcPr>
          <w:p w14:paraId="0AE8B119" w14:textId="5D86D0E7" w:rsidR="00EC722E" w:rsidRPr="00EC722E" w:rsidRDefault="00815DEA" w:rsidP="003C2F72">
            <w:pPr>
              <w:pStyle w:val="BodyText"/>
              <w:spacing w:beforeLines="30" w:before="72"/>
              <w:ind w:left="0" w:right="114"/>
              <w:jc w:val="center"/>
              <w:rPr>
                <w:rFonts w:ascii="Arial" w:hAnsi="Arial" w:cs="Arial"/>
                <w:b/>
                <w:bCs/>
                <w:sz w:val="22"/>
                <w:szCs w:val="22"/>
              </w:rPr>
            </w:pPr>
            <w:r>
              <w:rPr>
                <w:rFonts w:ascii="Arial" w:hAnsi="Arial" w:cs="Arial"/>
                <w:b/>
                <w:bCs/>
                <w:sz w:val="22"/>
                <w:szCs w:val="22"/>
              </w:rPr>
              <w:t>3,663</w:t>
            </w:r>
            <w:r w:rsidR="00F266CF">
              <w:rPr>
                <w:rStyle w:val="FootnoteReference"/>
                <w:rFonts w:ascii="Arial" w:hAnsi="Arial" w:cs="Arial"/>
                <w:b/>
                <w:bCs/>
                <w:sz w:val="22"/>
                <w:szCs w:val="22"/>
              </w:rPr>
              <w:footnoteReference w:id="23"/>
            </w:r>
          </w:p>
        </w:tc>
      </w:tr>
      <w:tr w:rsidR="00EC722E" w:rsidRPr="00E56EDD" w14:paraId="578D1A7A" w14:textId="1BDECB8D" w:rsidTr="00EC722E">
        <w:trPr>
          <w:jc w:val="center"/>
        </w:trPr>
        <w:tc>
          <w:tcPr>
            <w:tcW w:w="5121" w:type="dxa"/>
            <w:shd w:val="clear" w:color="auto" w:fill="BDD6EE" w:themeFill="accent5" w:themeFillTint="66"/>
          </w:tcPr>
          <w:p w14:paraId="7F624871" w14:textId="4E9183D7" w:rsidR="00EC722E" w:rsidRPr="00E56EDD" w:rsidRDefault="00EC722E" w:rsidP="003C2F72">
            <w:pPr>
              <w:pStyle w:val="BodyText"/>
              <w:spacing w:beforeLines="30" w:before="72"/>
              <w:ind w:left="0" w:right="114"/>
              <w:jc w:val="both"/>
              <w:rPr>
                <w:rFonts w:ascii="Arial" w:hAnsi="Arial" w:cs="Arial"/>
                <w:sz w:val="22"/>
                <w:szCs w:val="22"/>
              </w:rPr>
            </w:pPr>
            <w:r w:rsidRPr="00E56EDD">
              <w:rPr>
                <w:rFonts w:ascii="Arial" w:hAnsi="Arial" w:cs="Arial"/>
                <w:sz w:val="22"/>
                <w:szCs w:val="22"/>
              </w:rPr>
              <w:t>MEB Seizures</w:t>
            </w:r>
          </w:p>
        </w:tc>
        <w:tc>
          <w:tcPr>
            <w:tcW w:w="881" w:type="dxa"/>
            <w:shd w:val="clear" w:color="auto" w:fill="BDD6EE" w:themeFill="accent5" w:themeFillTint="66"/>
          </w:tcPr>
          <w:p w14:paraId="76593682" w14:textId="509105E8" w:rsidR="00EC722E" w:rsidRPr="00E56EDD" w:rsidRDefault="00EC722E" w:rsidP="003C2F72">
            <w:pPr>
              <w:pStyle w:val="BodyText"/>
              <w:spacing w:beforeLines="30" w:before="72"/>
              <w:ind w:left="0" w:right="114"/>
              <w:jc w:val="center"/>
              <w:rPr>
                <w:rFonts w:ascii="Arial" w:hAnsi="Arial" w:cs="Arial"/>
                <w:sz w:val="22"/>
                <w:szCs w:val="22"/>
              </w:rPr>
            </w:pPr>
            <w:r w:rsidRPr="00E56EDD">
              <w:rPr>
                <w:rFonts w:ascii="Arial" w:hAnsi="Arial" w:cs="Arial"/>
                <w:sz w:val="22"/>
                <w:szCs w:val="22"/>
              </w:rPr>
              <w:t>157</w:t>
            </w:r>
          </w:p>
        </w:tc>
        <w:tc>
          <w:tcPr>
            <w:tcW w:w="881" w:type="dxa"/>
            <w:shd w:val="clear" w:color="auto" w:fill="BDD6EE" w:themeFill="accent5" w:themeFillTint="66"/>
          </w:tcPr>
          <w:p w14:paraId="4110281F" w14:textId="5E8C8A1E" w:rsidR="00EC722E" w:rsidRPr="00E56EDD" w:rsidRDefault="00EC722E" w:rsidP="003C2F72">
            <w:pPr>
              <w:pStyle w:val="BodyText"/>
              <w:spacing w:beforeLines="30" w:before="72"/>
              <w:ind w:left="0" w:right="114"/>
              <w:jc w:val="center"/>
              <w:rPr>
                <w:rFonts w:ascii="Arial" w:hAnsi="Arial" w:cs="Arial"/>
                <w:sz w:val="22"/>
                <w:szCs w:val="22"/>
              </w:rPr>
            </w:pPr>
            <w:r>
              <w:rPr>
                <w:rFonts w:ascii="Arial" w:hAnsi="Arial" w:cs="Arial"/>
                <w:sz w:val="22"/>
                <w:szCs w:val="22"/>
              </w:rPr>
              <w:t>298</w:t>
            </w:r>
          </w:p>
        </w:tc>
        <w:tc>
          <w:tcPr>
            <w:tcW w:w="881" w:type="dxa"/>
            <w:shd w:val="clear" w:color="auto" w:fill="BDD6EE" w:themeFill="accent5" w:themeFillTint="66"/>
          </w:tcPr>
          <w:p w14:paraId="60947EDF" w14:textId="52CC18D7" w:rsidR="00EC722E" w:rsidRDefault="00EC722E" w:rsidP="003C2F72">
            <w:pPr>
              <w:pStyle w:val="BodyText"/>
              <w:spacing w:beforeLines="30" w:before="72"/>
              <w:ind w:left="0" w:right="114"/>
              <w:jc w:val="center"/>
              <w:rPr>
                <w:rFonts w:ascii="Arial" w:hAnsi="Arial" w:cs="Arial"/>
                <w:sz w:val="22"/>
                <w:szCs w:val="22"/>
              </w:rPr>
            </w:pPr>
            <w:r>
              <w:rPr>
                <w:rFonts w:ascii="Arial" w:hAnsi="Arial" w:cs="Arial"/>
                <w:sz w:val="22"/>
                <w:szCs w:val="22"/>
              </w:rPr>
              <w:t>225</w:t>
            </w:r>
          </w:p>
        </w:tc>
        <w:tc>
          <w:tcPr>
            <w:tcW w:w="881" w:type="dxa"/>
            <w:shd w:val="clear" w:color="auto" w:fill="BDD6EE" w:themeFill="accent5" w:themeFillTint="66"/>
          </w:tcPr>
          <w:p w14:paraId="3C69D7AD" w14:textId="70FBAEA3" w:rsidR="00EC722E" w:rsidRDefault="00EC722E" w:rsidP="003C2F72">
            <w:pPr>
              <w:pStyle w:val="BodyText"/>
              <w:spacing w:beforeLines="30" w:before="72"/>
              <w:ind w:left="0" w:right="114"/>
              <w:jc w:val="center"/>
              <w:rPr>
                <w:rFonts w:ascii="Arial" w:hAnsi="Arial" w:cs="Arial"/>
                <w:sz w:val="22"/>
                <w:szCs w:val="22"/>
              </w:rPr>
            </w:pPr>
            <w:r>
              <w:rPr>
                <w:rFonts w:ascii="Arial" w:hAnsi="Arial" w:cs="Arial"/>
                <w:sz w:val="22"/>
                <w:szCs w:val="22"/>
              </w:rPr>
              <w:t>227</w:t>
            </w:r>
          </w:p>
        </w:tc>
        <w:tc>
          <w:tcPr>
            <w:tcW w:w="881" w:type="dxa"/>
            <w:shd w:val="clear" w:color="auto" w:fill="BDD6EE" w:themeFill="accent5" w:themeFillTint="66"/>
          </w:tcPr>
          <w:p w14:paraId="4D338DEE" w14:textId="79F65653" w:rsidR="00EC722E" w:rsidRPr="00EC722E" w:rsidRDefault="00815DEA" w:rsidP="003C2F72">
            <w:pPr>
              <w:pStyle w:val="BodyText"/>
              <w:spacing w:beforeLines="30" w:before="72"/>
              <w:ind w:left="0" w:right="114"/>
              <w:jc w:val="center"/>
              <w:rPr>
                <w:rFonts w:ascii="Arial" w:hAnsi="Arial" w:cs="Arial"/>
                <w:b/>
                <w:bCs/>
                <w:sz w:val="22"/>
                <w:szCs w:val="22"/>
              </w:rPr>
            </w:pPr>
            <w:r>
              <w:rPr>
                <w:rFonts w:ascii="Arial" w:hAnsi="Arial" w:cs="Arial"/>
                <w:b/>
                <w:bCs/>
                <w:sz w:val="22"/>
                <w:szCs w:val="22"/>
              </w:rPr>
              <w:t>181</w:t>
            </w:r>
          </w:p>
        </w:tc>
      </w:tr>
      <w:tr w:rsidR="00EC722E" w:rsidRPr="00E56EDD" w14:paraId="130FCD22" w14:textId="4DD8B5A8" w:rsidTr="00EC722E">
        <w:trPr>
          <w:jc w:val="center"/>
        </w:trPr>
        <w:tc>
          <w:tcPr>
            <w:tcW w:w="5121" w:type="dxa"/>
            <w:shd w:val="clear" w:color="auto" w:fill="BDD6EE" w:themeFill="accent5" w:themeFillTint="66"/>
          </w:tcPr>
          <w:p w14:paraId="5B3DA0E5" w14:textId="026BF2D5" w:rsidR="00EC722E" w:rsidRPr="00E56EDD" w:rsidRDefault="00EC722E" w:rsidP="00325490">
            <w:pPr>
              <w:pStyle w:val="BodyText"/>
              <w:spacing w:beforeLines="30" w:before="72"/>
              <w:ind w:left="0" w:right="114"/>
              <w:rPr>
                <w:rFonts w:ascii="Arial" w:hAnsi="Arial" w:cs="Arial"/>
                <w:sz w:val="22"/>
                <w:szCs w:val="22"/>
              </w:rPr>
            </w:pPr>
            <w:r w:rsidRPr="00E56EDD">
              <w:rPr>
                <w:rFonts w:ascii="Arial" w:hAnsi="Arial" w:cs="Arial"/>
                <w:sz w:val="22"/>
                <w:szCs w:val="22"/>
              </w:rPr>
              <w:t>MEB Actions</w:t>
            </w:r>
            <w:r w:rsidRPr="00325490">
              <w:rPr>
                <w:rFonts w:ascii="Arial" w:hAnsi="Arial" w:cs="Arial"/>
                <w:sz w:val="20"/>
                <w:szCs w:val="20"/>
              </w:rPr>
              <w:t xml:space="preserve"> </w:t>
            </w:r>
            <w:r w:rsidRPr="00325490">
              <w:rPr>
                <w:rFonts w:ascii="Arial" w:hAnsi="Arial" w:cs="Arial"/>
                <w:sz w:val="18"/>
                <w:szCs w:val="18"/>
              </w:rPr>
              <w:t>(warning letters, suspensions, revocations)</w:t>
            </w:r>
            <w:r>
              <w:rPr>
                <w:rStyle w:val="FootnoteReference"/>
                <w:rFonts w:ascii="Arial" w:hAnsi="Arial" w:cs="Arial"/>
                <w:sz w:val="18"/>
                <w:szCs w:val="18"/>
              </w:rPr>
              <w:footnoteReference w:id="24"/>
            </w:r>
          </w:p>
        </w:tc>
        <w:tc>
          <w:tcPr>
            <w:tcW w:w="881" w:type="dxa"/>
            <w:shd w:val="clear" w:color="auto" w:fill="BDD6EE" w:themeFill="accent5" w:themeFillTint="66"/>
          </w:tcPr>
          <w:p w14:paraId="01BEE2CF" w14:textId="06FB9EE1" w:rsidR="00EC722E" w:rsidRPr="00E56EDD" w:rsidRDefault="00EC722E" w:rsidP="003C2F72">
            <w:pPr>
              <w:pStyle w:val="BodyText"/>
              <w:spacing w:beforeLines="30" w:before="72"/>
              <w:ind w:left="0" w:right="114"/>
              <w:jc w:val="center"/>
              <w:rPr>
                <w:rFonts w:ascii="Arial" w:hAnsi="Arial" w:cs="Arial"/>
                <w:sz w:val="22"/>
                <w:szCs w:val="22"/>
              </w:rPr>
            </w:pPr>
            <w:r w:rsidRPr="00E56EDD">
              <w:rPr>
                <w:rFonts w:ascii="Arial" w:hAnsi="Arial" w:cs="Arial"/>
                <w:sz w:val="22"/>
                <w:szCs w:val="22"/>
              </w:rPr>
              <w:t>56</w:t>
            </w:r>
          </w:p>
        </w:tc>
        <w:tc>
          <w:tcPr>
            <w:tcW w:w="881" w:type="dxa"/>
            <w:shd w:val="clear" w:color="auto" w:fill="BDD6EE" w:themeFill="accent5" w:themeFillTint="66"/>
          </w:tcPr>
          <w:p w14:paraId="6557B849" w14:textId="258F8CB2" w:rsidR="00EC722E" w:rsidRPr="00E56EDD" w:rsidRDefault="00EC722E" w:rsidP="003C2F72">
            <w:pPr>
              <w:pStyle w:val="BodyText"/>
              <w:spacing w:beforeLines="30" w:before="72"/>
              <w:ind w:left="0" w:right="114"/>
              <w:jc w:val="center"/>
              <w:rPr>
                <w:rFonts w:ascii="Arial" w:hAnsi="Arial" w:cs="Arial"/>
                <w:sz w:val="22"/>
                <w:szCs w:val="22"/>
              </w:rPr>
            </w:pPr>
            <w:r>
              <w:rPr>
                <w:rFonts w:ascii="Arial" w:hAnsi="Arial" w:cs="Arial"/>
                <w:sz w:val="22"/>
                <w:szCs w:val="22"/>
              </w:rPr>
              <w:t>577</w:t>
            </w:r>
          </w:p>
        </w:tc>
        <w:tc>
          <w:tcPr>
            <w:tcW w:w="881" w:type="dxa"/>
            <w:shd w:val="clear" w:color="auto" w:fill="BDD6EE" w:themeFill="accent5" w:themeFillTint="66"/>
          </w:tcPr>
          <w:p w14:paraId="530FA394" w14:textId="254BDE54" w:rsidR="00EC722E" w:rsidRDefault="00EC722E" w:rsidP="003C2F72">
            <w:pPr>
              <w:pStyle w:val="BodyText"/>
              <w:spacing w:beforeLines="30" w:before="72"/>
              <w:ind w:left="0" w:right="114"/>
              <w:jc w:val="center"/>
              <w:rPr>
                <w:rFonts w:ascii="Arial" w:hAnsi="Arial" w:cs="Arial"/>
                <w:sz w:val="22"/>
                <w:szCs w:val="22"/>
              </w:rPr>
            </w:pPr>
            <w:r>
              <w:rPr>
                <w:rFonts w:ascii="Arial" w:hAnsi="Arial" w:cs="Arial"/>
                <w:sz w:val="22"/>
                <w:szCs w:val="22"/>
              </w:rPr>
              <w:t>394</w:t>
            </w:r>
          </w:p>
        </w:tc>
        <w:tc>
          <w:tcPr>
            <w:tcW w:w="881" w:type="dxa"/>
            <w:shd w:val="clear" w:color="auto" w:fill="BDD6EE" w:themeFill="accent5" w:themeFillTint="66"/>
          </w:tcPr>
          <w:p w14:paraId="324B5315" w14:textId="3F474B1F" w:rsidR="00EC722E" w:rsidRDefault="00EC722E" w:rsidP="003C2F72">
            <w:pPr>
              <w:pStyle w:val="BodyText"/>
              <w:spacing w:beforeLines="30" w:before="72"/>
              <w:ind w:left="0" w:right="114"/>
              <w:jc w:val="center"/>
              <w:rPr>
                <w:rFonts w:ascii="Arial" w:hAnsi="Arial" w:cs="Arial"/>
                <w:sz w:val="22"/>
                <w:szCs w:val="22"/>
              </w:rPr>
            </w:pPr>
            <w:r>
              <w:rPr>
                <w:rFonts w:ascii="Arial" w:hAnsi="Arial" w:cs="Arial"/>
                <w:sz w:val="22"/>
                <w:szCs w:val="22"/>
              </w:rPr>
              <w:t>353</w:t>
            </w:r>
          </w:p>
        </w:tc>
        <w:tc>
          <w:tcPr>
            <w:tcW w:w="881" w:type="dxa"/>
            <w:shd w:val="clear" w:color="auto" w:fill="BDD6EE" w:themeFill="accent5" w:themeFillTint="66"/>
          </w:tcPr>
          <w:p w14:paraId="0DBDD1D7" w14:textId="6271EC62" w:rsidR="00EC722E" w:rsidRPr="00EC722E" w:rsidRDefault="00815DEA" w:rsidP="003C2F72">
            <w:pPr>
              <w:pStyle w:val="BodyText"/>
              <w:spacing w:beforeLines="30" w:before="72"/>
              <w:ind w:left="0" w:right="114"/>
              <w:jc w:val="center"/>
              <w:rPr>
                <w:rFonts w:ascii="Arial" w:hAnsi="Arial" w:cs="Arial"/>
                <w:b/>
                <w:bCs/>
                <w:sz w:val="22"/>
                <w:szCs w:val="22"/>
              </w:rPr>
            </w:pPr>
            <w:r>
              <w:rPr>
                <w:rFonts w:ascii="Arial" w:hAnsi="Arial" w:cs="Arial"/>
                <w:b/>
                <w:bCs/>
                <w:sz w:val="22"/>
                <w:szCs w:val="22"/>
              </w:rPr>
              <w:t>247</w:t>
            </w:r>
          </w:p>
        </w:tc>
      </w:tr>
      <w:tr w:rsidR="00EC722E" w:rsidRPr="00E56EDD" w14:paraId="4AFE4B53" w14:textId="4627D67C" w:rsidTr="00EC722E">
        <w:trPr>
          <w:jc w:val="center"/>
        </w:trPr>
        <w:tc>
          <w:tcPr>
            <w:tcW w:w="5121" w:type="dxa"/>
            <w:shd w:val="clear" w:color="auto" w:fill="BDD6EE" w:themeFill="accent5" w:themeFillTint="66"/>
          </w:tcPr>
          <w:p w14:paraId="468ABBAF" w14:textId="4F80E413" w:rsidR="00EC722E" w:rsidRPr="00E56EDD" w:rsidRDefault="00EC722E" w:rsidP="003C2F72">
            <w:pPr>
              <w:pStyle w:val="BodyText"/>
              <w:spacing w:beforeLines="30" w:before="72"/>
              <w:ind w:left="0" w:right="114"/>
              <w:jc w:val="both"/>
              <w:rPr>
                <w:rFonts w:ascii="Arial" w:hAnsi="Arial" w:cs="Arial"/>
                <w:sz w:val="22"/>
                <w:szCs w:val="22"/>
              </w:rPr>
            </w:pPr>
            <w:r w:rsidRPr="00E56EDD">
              <w:rPr>
                <w:rFonts w:ascii="Arial" w:hAnsi="Arial" w:cs="Arial"/>
                <w:sz w:val="22"/>
                <w:szCs w:val="22"/>
              </w:rPr>
              <w:t>CIB Inspections</w:t>
            </w:r>
          </w:p>
        </w:tc>
        <w:tc>
          <w:tcPr>
            <w:tcW w:w="881" w:type="dxa"/>
            <w:shd w:val="clear" w:color="auto" w:fill="BDD6EE" w:themeFill="accent5" w:themeFillTint="66"/>
          </w:tcPr>
          <w:p w14:paraId="1B3E959C" w14:textId="733230A9" w:rsidR="00EC722E" w:rsidRPr="00E56EDD" w:rsidRDefault="00EC722E" w:rsidP="003C2F72">
            <w:pPr>
              <w:pStyle w:val="BodyText"/>
              <w:spacing w:beforeLines="30" w:before="72"/>
              <w:ind w:left="0" w:right="114"/>
              <w:jc w:val="center"/>
              <w:rPr>
                <w:rFonts w:ascii="Arial" w:hAnsi="Arial" w:cs="Arial"/>
                <w:sz w:val="22"/>
                <w:szCs w:val="22"/>
              </w:rPr>
            </w:pPr>
            <w:r w:rsidRPr="00E56EDD">
              <w:rPr>
                <w:rFonts w:ascii="Arial" w:hAnsi="Arial" w:cs="Arial"/>
                <w:sz w:val="22"/>
                <w:szCs w:val="22"/>
              </w:rPr>
              <w:t>13</w:t>
            </w:r>
          </w:p>
        </w:tc>
        <w:tc>
          <w:tcPr>
            <w:tcW w:w="881" w:type="dxa"/>
            <w:shd w:val="clear" w:color="auto" w:fill="BDD6EE" w:themeFill="accent5" w:themeFillTint="66"/>
          </w:tcPr>
          <w:p w14:paraId="1C2F7E85" w14:textId="692FF44C" w:rsidR="00EC722E" w:rsidRPr="00E56EDD" w:rsidRDefault="00EC722E" w:rsidP="003C2F72">
            <w:pPr>
              <w:pStyle w:val="BodyText"/>
              <w:spacing w:beforeLines="30" w:before="72"/>
              <w:ind w:left="0" w:right="114"/>
              <w:jc w:val="center"/>
              <w:rPr>
                <w:rFonts w:ascii="Arial" w:hAnsi="Arial" w:cs="Arial"/>
                <w:sz w:val="22"/>
                <w:szCs w:val="22"/>
              </w:rPr>
            </w:pPr>
            <w:r>
              <w:rPr>
                <w:rFonts w:ascii="Arial" w:hAnsi="Arial" w:cs="Arial"/>
                <w:sz w:val="22"/>
                <w:szCs w:val="22"/>
              </w:rPr>
              <w:t>28</w:t>
            </w:r>
          </w:p>
        </w:tc>
        <w:tc>
          <w:tcPr>
            <w:tcW w:w="881" w:type="dxa"/>
            <w:shd w:val="clear" w:color="auto" w:fill="BDD6EE" w:themeFill="accent5" w:themeFillTint="66"/>
          </w:tcPr>
          <w:p w14:paraId="0B5FDCA5" w14:textId="1FB4395E" w:rsidR="00EC722E" w:rsidRDefault="00EC722E" w:rsidP="003C2F72">
            <w:pPr>
              <w:pStyle w:val="BodyText"/>
              <w:spacing w:beforeLines="30" w:before="72"/>
              <w:ind w:left="0" w:right="114"/>
              <w:jc w:val="center"/>
              <w:rPr>
                <w:rFonts w:ascii="Arial" w:hAnsi="Arial" w:cs="Arial"/>
                <w:sz w:val="22"/>
                <w:szCs w:val="22"/>
              </w:rPr>
            </w:pPr>
            <w:r>
              <w:rPr>
                <w:rFonts w:ascii="Arial" w:hAnsi="Arial" w:cs="Arial"/>
                <w:sz w:val="22"/>
                <w:szCs w:val="22"/>
              </w:rPr>
              <w:t>32</w:t>
            </w:r>
          </w:p>
        </w:tc>
        <w:tc>
          <w:tcPr>
            <w:tcW w:w="881" w:type="dxa"/>
            <w:shd w:val="clear" w:color="auto" w:fill="BDD6EE" w:themeFill="accent5" w:themeFillTint="66"/>
          </w:tcPr>
          <w:p w14:paraId="5211CADB" w14:textId="0E24FBD2" w:rsidR="00EC722E" w:rsidRDefault="00EC722E" w:rsidP="003C2F72">
            <w:pPr>
              <w:pStyle w:val="BodyText"/>
              <w:spacing w:beforeLines="30" w:before="72"/>
              <w:ind w:left="0" w:right="114"/>
              <w:jc w:val="center"/>
              <w:rPr>
                <w:rFonts w:ascii="Arial" w:hAnsi="Arial" w:cs="Arial"/>
                <w:sz w:val="22"/>
                <w:szCs w:val="22"/>
              </w:rPr>
            </w:pPr>
            <w:r>
              <w:rPr>
                <w:rFonts w:ascii="Arial" w:hAnsi="Arial" w:cs="Arial"/>
                <w:sz w:val="22"/>
                <w:szCs w:val="22"/>
              </w:rPr>
              <w:t>46</w:t>
            </w:r>
          </w:p>
        </w:tc>
        <w:tc>
          <w:tcPr>
            <w:tcW w:w="881" w:type="dxa"/>
            <w:shd w:val="clear" w:color="auto" w:fill="BDD6EE" w:themeFill="accent5" w:themeFillTint="66"/>
          </w:tcPr>
          <w:p w14:paraId="015C216D" w14:textId="59AB1A14" w:rsidR="00EC722E" w:rsidRPr="00EC722E" w:rsidRDefault="00992986" w:rsidP="003C2F72">
            <w:pPr>
              <w:pStyle w:val="BodyText"/>
              <w:spacing w:beforeLines="30" w:before="72"/>
              <w:ind w:left="0" w:right="114"/>
              <w:jc w:val="center"/>
              <w:rPr>
                <w:rFonts w:ascii="Arial" w:hAnsi="Arial" w:cs="Arial"/>
                <w:b/>
                <w:bCs/>
                <w:sz w:val="22"/>
                <w:szCs w:val="22"/>
              </w:rPr>
            </w:pPr>
            <w:r>
              <w:rPr>
                <w:rFonts w:ascii="Arial" w:hAnsi="Arial" w:cs="Arial"/>
                <w:b/>
                <w:bCs/>
                <w:sz w:val="22"/>
                <w:szCs w:val="22"/>
              </w:rPr>
              <w:t>37</w:t>
            </w:r>
          </w:p>
        </w:tc>
      </w:tr>
      <w:tr w:rsidR="00EC722E" w:rsidRPr="00E56EDD" w14:paraId="589A6B5F" w14:textId="467B05EC" w:rsidTr="00EC722E">
        <w:trPr>
          <w:jc w:val="center"/>
        </w:trPr>
        <w:tc>
          <w:tcPr>
            <w:tcW w:w="5121" w:type="dxa"/>
            <w:shd w:val="clear" w:color="auto" w:fill="BDD6EE" w:themeFill="accent5" w:themeFillTint="66"/>
          </w:tcPr>
          <w:p w14:paraId="3538E254" w14:textId="2C8730E7" w:rsidR="00EC722E" w:rsidRPr="00E56EDD" w:rsidRDefault="00EC722E" w:rsidP="003C2F72">
            <w:pPr>
              <w:pStyle w:val="BodyText"/>
              <w:spacing w:beforeLines="30" w:before="72"/>
              <w:ind w:left="0" w:right="114"/>
              <w:jc w:val="both"/>
              <w:rPr>
                <w:rFonts w:ascii="Arial" w:hAnsi="Arial" w:cs="Arial"/>
                <w:sz w:val="22"/>
                <w:szCs w:val="22"/>
              </w:rPr>
            </w:pPr>
            <w:r w:rsidRPr="00E56EDD">
              <w:rPr>
                <w:rFonts w:ascii="Arial" w:hAnsi="Arial" w:cs="Arial"/>
                <w:sz w:val="22"/>
                <w:szCs w:val="22"/>
              </w:rPr>
              <w:t>CIB Seizures</w:t>
            </w:r>
          </w:p>
        </w:tc>
        <w:tc>
          <w:tcPr>
            <w:tcW w:w="881" w:type="dxa"/>
            <w:shd w:val="clear" w:color="auto" w:fill="BDD6EE" w:themeFill="accent5" w:themeFillTint="66"/>
          </w:tcPr>
          <w:p w14:paraId="1C9343BD" w14:textId="1558A425" w:rsidR="00EC722E" w:rsidRPr="00E56EDD" w:rsidRDefault="00EC722E" w:rsidP="003C2F72">
            <w:pPr>
              <w:pStyle w:val="BodyText"/>
              <w:spacing w:beforeLines="30" w:before="72"/>
              <w:ind w:left="0" w:right="114"/>
              <w:jc w:val="center"/>
              <w:rPr>
                <w:rFonts w:ascii="Arial" w:hAnsi="Arial" w:cs="Arial"/>
                <w:sz w:val="22"/>
                <w:szCs w:val="22"/>
              </w:rPr>
            </w:pPr>
            <w:r w:rsidRPr="00E56EDD">
              <w:rPr>
                <w:rFonts w:ascii="Arial" w:hAnsi="Arial" w:cs="Arial"/>
                <w:sz w:val="22"/>
                <w:szCs w:val="22"/>
              </w:rPr>
              <w:t>13</w:t>
            </w:r>
          </w:p>
        </w:tc>
        <w:tc>
          <w:tcPr>
            <w:tcW w:w="881" w:type="dxa"/>
            <w:shd w:val="clear" w:color="auto" w:fill="BDD6EE" w:themeFill="accent5" w:themeFillTint="66"/>
          </w:tcPr>
          <w:p w14:paraId="05017CF8" w14:textId="1B3CAB78" w:rsidR="00EC722E" w:rsidRPr="00E56EDD" w:rsidRDefault="00EC722E" w:rsidP="003C2F72">
            <w:pPr>
              <w:pStyle w:val="BodyText"/>
              <w:spacing w:beforeLines="30" w:before="72"/>
              <w:ind w:left="0" w:right="114"/>
              <w:jc w:val="center"/>
              <w:rPr>
                <w:rFonts w:ascii="Arial" w:hAnsi="Arial" w:cs="Arial"/>
                <w:sz w:val="22"/>
                <w:szCs w:val="22"/>
              </w:rPr>
            </w:pPr>
            <w:r>
              <w:rPr>
                <w:rFonts w:ascii="Arial" w:hAnsi="Arial" w:cs="Arial"/>
                <w:sz w:val="22"/>
                <w:szCs w:val="22"/>
              </w:rPr>
              <w:t>28</w:t>
            </w:r>
          </w:p>
        </w:tc>
        <w:tc>
          <w:tcPr>
            <w:tcW w:w="881" w:type="dxa"/>
            <w:shd w:val="clear" w:color="auto" w:fill="BDD6EE" w:themeFill="accent5" w:themeFillTint="66"/>
          </w:tcPr>
          <w:p w14:paraId="5F173E15" w14:textId="6B2E250C" w:rsidR="00EC722E" w:rsidRDefault="00EC722E" w:rsidP="003C2F72">
            <w:pPr>
              <w:pStyle w:val="BodyText"/>
              <w:spacing w:beforeLines="30" w:before="72"/>
              <w:ind w:left="0" w:right="114"/>
              <w:jc w:val="center"/>
              <w:rPr>
                <w:rFonts w:ascii="Arial" w:hAnsi="Arial" w:cs="Arial"/>
                <w:sz w:val="22"/>
                <w:szCs w:val="22"/>
              </w:rPr>
            </w:pPr>
            <w:r>
              <w:rPr>
                <w:rFonts w:ascii="Arial" w:hAnsi="Arial" w:cs="Arial"/>
                <w:sz w:val="22"/>
                <w:szCs w:val="22"/>
              </w:rPr>
              <w:t>19</w:t>
            </w:r>
          </w:p>
        </w:tc>
        <w:tc>
          <w:tcPr>
            <w:tcW w:w="881" w:type="dxa"/>
            <w:shd w:val="clear" w:color="auto" w:fill="BDD6EE" w:themeFill="accent5" w:themeFillTint="66"/>
          </w:tcPr>
          <w:p w14:paraId="0D2B7154" w14:textId="5E16A546" w:rsidR="00EC722E" w:rsidRDefault="00EC722E" w:rsidP="003C2F72">
            <w:pPr>
              <w:pStyle w:val="BodyText"/>
              <w:spacing w:beforeLines="30" w:before="72"/>
              <w:ind w:left="0" w:right="114"/>
              <w:jc w:val="center"/>
              <w:rPr>
                <w:rFonts w:ascii="Arial" w:hAnsi="Arial" w:cs="Arial"/>
                <w:sz w:val="22"/>
                <w:szCs w:val="22"/>
              </w:rPr>
            </w:pPr>
            <w:r>
              <w:rPr>
                <w:rFonts w:ascii="Arial" w:hAnsi="Arial" w:cs="Arial"/>
                <w:sz w:val="22"/>
                <w:szCs w:val="22"/>
              </w:rPr>
              <w:t>36</w:t>
            </w:r>
          </w:p>
        </w:tc>
        <w:tc>
          <w:tcPr>
            <w:tcW w:w="881" w:type="dxa"/>
            <w:shd w:val="clear" w:color="auto" w:fill="BDD6EE" w:themeFill="accent5" w:themeFillTint="66"/>
          </w:tcPr>
          <w:p w14:paraId="789F18D5" w14:textId="6B66A766" w:rsidR="00EC722E" w:rsidRPr="00EC722E" w:rsidRDefault="00992986" w:rsidP="003C2F72">
            <w:pPr>
              <w:pStyle w:val="BodyText"/>
              <w:spacing w:beforeLines="30" w:before="72"/>
              <w:ind w:left="0" w:right="114"/>
              <w:jc w:val="center"/>
              <w:rPr>
                <w:rFonts w:ascii="Arial" w:hAnsi="Arial" w:cs="Arial"/>
                <w:b/>
                <w:bCs/>
                <w:sz w:val="22"/>
                <w:szCs w:val="22"/>
              </w:rPr>
            </w:pPr>
            <w:r>
              <w:rPr>
                <w:rFonts w:ascii="Arial" w:hAnsi="Arial" w:cs="Arial"/>
                <w:b/>
                <w:bCs/>
                <w:sz w:val="22"/>
                <w:szCs w:val="22"/>
              </w:rPr>
              <w:t>28</w:t>
            </w:r>
          </w:p>
        </w:tc>
      </w:tr>
      <w:bookmarkEnd w:id="20"/>
    </w:tbl>
    <w:p w14:paraId="559ACC85" w14:textId="52157335" w:rsidR="00C34B21" w:rsidRDefault="00C34B21" w:rsidP="00A92C0B">
      <w:pPr>
        <w:pStyle w:val="BodyText"/>
        <w:spacing w:before="6"/>
        <w:ind w:left="0" w:right="115" w:firstLine="720"/>
        <w:jc w:val="both"/>
      </w:pPr>
    </w:p>
    <w:p w14:paraId="740C8326" w14:textId="78971D94" w:rsidR="00B70213" w:rsidRDefault="00B70213" w:rsidP="008B3269">
      <w:pPr>
        <w:pStyle w:val="BodyText"/>
        <w:ind w:left="0" w:right="115" w:firstLine="720"/>
        <w:jc w:val="both"/>
        <w:rPr>
          <w:color w:val="FF0000"/>
        </w:rPr>
      </w:pPr>
      <w:bookmarkStart w:id="21" w:name="_Hlk157591265"/>
      <w:r w:rsidRPr="00021A7C">
        <w:lastRenderedPageBreak/>
        <w:t xml:space="preserve">It is important to note </w:t>
      </w:r>
      <w:r w:rsidR="00FB6AAA">
        <w:rPr>
          <w:rFonts w:cs="Times New Roman"/>
        </w:rPr>
        <w:t>that</w:t>
      </w:r>
      <w:r w:rsidR="00FB6AAA" w:rsidRPr="00C1716E">
        <w:rPr>
          <w:rFonts w:cs="Times New Roman"/>
        </w:rPr>
        <w:t xml:space="preserve"> </w:t>
      </w:r>
      <w:r w:rsidR="00FB6AAA">
        <w:rPr>
          <w:rFonts w:cs="Times New Roman"/>
        </w:rPr>
        <w:t>during FY2</w:t>
      </w:r>
      <w:r w:rsidR="008A3111">
        <w:rPr>
          <w:rFonts w:cs="Times New Roman"/>
        </w:rPr>
        <w:t>5</w:t>
      </w:r>
      <w:r w:rsidR="00FB6AAA">
        <w:rPr>
          <w:rFonts w:cs="Times New Roman"/>
        </w:rPr>
        <w:t>,</w:t>
      </w:r>
      <w:r w:rsidR="00352AF3">
        <w:rPr>
          <w:rFonts w:cs="Times New Roman"/>
        </w:rPr>
        <w:t xml:space="preserve"> for the </w:t>
      </w:r>
      <w:r w:rsidR="008A3111">
        <w:rPr>
          <w:rFonts w:cs="Times New Roman"/>
        </w:rPr>
        <w:t>third</w:t>
      </w:r>
      <w:r w:rsidR="00352AF3">
        <w:rPr>
          <w:rFonts w:cs="Times New Roman"/>
        </w:rPr>
        <w:t xml:space="preserve"> year in a row, </w:t>
      </w:r>
      <w:r w:rsidR="00FB6AAA" w:rsidRPr="001C4C7E">
        <w:rPr>
          <w:rFonts w:cs="Times New Roman"/>
          <w:b/>
          <w:bCs/>
          <w:i/>
          <w:iCs/>
        </w:rPr>
        <w:t>94%</w:t>
      </w:r>
      <w:r w:rsidR="00FB6AAA" w:rsidRPr="00C1716E">
        <w:rPr>
          <w:rFonts w:cs="Times New Roman"/>
        </w:rPr>
        <w:t xml:space="preserve"> </w:t>
      </w:r>
      <w:r w:rsidR="00FB6AAA">
        <w:rPr>
          <w:rFonts w:cs="Times New Roman"/>
        </w:rPr>
        <w:t xml:space="preserve">of </w:t>
      </w:r>
      <w:proofErr w:type="gramStart"/>
      <w:r w:rsidR="00FB6AAA">
        <w:rPr>
          <w:rFonts w:cs="Times New Roman"/>
        </w:rPr>
        <w:t>licensees</w:t>
      </w:r>
      <w:proofErr w:type="gramEnd"/>
      <w:r w:rsidR="001C4C7E">
        <w:rPr>
          <w:rFonts w:cs="Times New Roman"/>
        </w:rPr>
        <w:t xml:space="preserve"> </w:t>
      </w:r>
      <w:r w:rsidR="00FB6AAA">
        <w:rPr>
          <w:rFonts w:cs="Times New Roman"/>
        </w:rPr>
        <w:t>inspected by the DOR fully complied</w:t>
      </w:r>
      <w:r w:rsidR="00FB6AAA" w:rsidRPr="00C1716E">
        <w:rPr>
          <w:rFonts w:cs="Times New Roman"/>
        </w:rPr>
        <w:t xml:space="preserve"> with </w:t>
      </w:r>
      <w:r w:rsidR="00FB6AAA">
        <w:rPr>
          <w:rFonts w:cs="Times New Roman"/>
        </w:rPr>
        <w:t>the Commonwealth’s tobacco</w:t>
      </w:r>
      <w:r w:rsidR="00FB6AAA" w:rsidRPr="00C1716E">
        <w:rPr>
          <w:rFonts w:cs="Times New Roman"/>
        </w:rPr>
        <w:t xml:space="preserve"> </w:t>
      </w:r>
      <w:r w:rsidR="00882790">
        <w:rPr>
          <w:rFonts w:cs="Times New Roman"/>
        </w:rPr>
        <w:t xml:space="preserve">tax </w:t>
      </w:r>
      <w:r w:rsidR="00FB6AAA" w:rsidRPr="00C1716E">
        <w:rPr>
          <w:rFonts w:cs="Times New Roman"/>
        </w:rPr>
        <w:t xml:space="preserve">laws </w:t>
      </w:r>
      <w:r w:rsidR="00FB6AAA">
        <w:rPr>
          <w:rFonts w:cs="Times New Roman"/>
        </w:rPr>
        <w:t>and regulations</w:t>
      </w:r>
      <w:r w:rsidR="00DE57AE">
        <w:rPr>
          <w:rFonts w:cs="Times New Roman"/>
        </w:rPr>
        <w:t>.</w:t>
      </w:r>
      <w:r w:rsidR="00FB6AAA">
        <w:rPr>
          <w:rFonts w:cs="Times New Roman"/>
        </w:rPr>
        <w:t xml:space="preserve"> </w:t>
      </w:r>
      <w:bookmarkEnd w:id="21"/>
      <w:r>
        <w:t>The summaries below provide examples of</w:t>
      </w:r>
      <w:r w:rsidR="00887C77">
        <w:t xml:space="preserve"> </w:t>
      </w:r>
      <w:r>
        <w:t>DOR inspections during the past year.</w:t>
      </w:r>
    </w:p>
    <w:p w14:paraId="34F33715" w14:textId="77777777" w:rsidR="00B70213" w:rsidRPr="0053164E" w:rsidRDefault="00B70213" w:rsidP="008B3269">
      <w:pPr>
        <w:pStyle w:val="BodyText"/>
        <w:ind w:left="0" w:right="115" w:firstLine="720"/>
        <w:jc w:val="both"/>
      </w:pPr>
    </w:p>
    <w:p w14:paraId="69EC5F21" w14:textId="2986EDF0" w:rsidR="001409F5" w:rsidRPr="00800CD1" w:rsidRDefault="001409F5" w:rsidP="001409F5">
      <w:pPr>
        <w:pStyle w:val="ListParagraph"/>
        <w:numPr>
          <w:ilvl w:val="0"/>
          <w:numId w:val="6"/>
        </w:numPr>
        <w:rPr>
          <w:rFonts w:ascii="Times New Roman" w:hAnsi="Times New Roman" w:cs="Times New Roman"/>
          <w:sz w:val="24"/>
          <w:szCs w:val="24"/>
        </w:rPr>
      </w:pPr>
      <w:bookmarkStart w:id="22" w:name="_Hlk189732058"/>
      <w:bookmarkStart w:id="23" w:name="_Hlk188022855"/>
      <w:bookmarkStart w:id="24" w:name="_Hlk155798008"/>
      <w:bookmarkStart w:id="25" w:name="_Hlk189667190"/>
      <w:r>
        <w:rPr>
          <w:rFonts w:ascii="Times New Roman" w:hAnsi="Times New Roman" w:cs="Times New Roman"/>
          <w:sz w:val="24"/>
          <w:szCs w:val="24"/>
        </w:rPr>
        <w:t>In March of 2025, CIB</w:t>
      </w:r>
      <w:r w:rsidRPr="00F0426C">
        <w:rPr>
          <w:rFonts w:ascii="Times New Roman" w:hAnsi="Times New Roman" w:cs="Times New Roman"/>
          <w:sz w:val="24"/>
          <w:szCs w:val="24"/>
        </w:rPr>
        <w:t xml:space="preserve"> conducted</w:t>
      </w:r>
      <w:r>
        <w:rPr>
          <w:rFonts w:ascii="Times New Roman" w:hAnsi="Times New Roman" w:cs="Times New Roman"/>
          <w:sz w:val="24"/>
          <w:szCs w:val="24"/>
        </w:rPr>
        <w:t xml:space="preserve"> three separate inspections</w:t>
      </w:r>
      <w:r w:rsidRPr="00F0426C">
        <w:rPr>
          <w:rFonts w:ascii="Times New Roman" w:hAnsi="Times New Roman" w:cs="Times New Roman"/>
          <w:sz w:val="24"/>
          <w:szCs w:val="24"/>
        </w:rPr>
        <w:t xml:space="preserve"> of a licensed </w:t>
      </w:r>
      <w:r>
        <w:rPr>
          <w:rFonts w:ascii="Times New Roman" w:hAnsi="Times New Roman" w:cs="Times New Roman"/>
          <w:sz w:val="24"/>
          <w:szCs w:val="24"/>
        </w:rPr>
        <w:t>distributor</w:t>
      </w:r>
      <w:r w:rsidRPr="00F0426C">
        <w:rPr>
          <w:rFonts w:ascii="Times New Roman" w:hAnsi="Times New Roman" w:cs="Times New Roman"/>
          <w:sz w:val="24"/>
          <w:szCs w:val="24"/>
        </w:rPr>
        <w:t xml:space="preserve"> in </w:t>
      </w:r>
      <w:r>
        <w:rPr>
          <w:rFonts w:ascii="Times New Roman" w:hAnsi="Times New Roman" w:cs="Times New Roman"/>
          <w:sz w:val="24"/>
          <w:szCs w:val="24"/>
        </w:rPr>
        <w:t>Hampden</w:t>
      </w:r>
      <w:r w:rsidRPr="00F0426C">
        <w:rPr>
          <w:rFonts w:ascii="Times New Roman" w:hAnsi="Times New Roman" w:cs="Times New Roman"/>
          <w:sz w:val="24"/>
          <w:szCs w:val="24"/>
        </w:rPr>
        <w:t xml:space="preserve"> County and seized</w:t>
      </w:r>
      <w:r>
        <w:rPr>
          <w:rFonts w:ascii="Times New Roman" w:hAnsi="Times New Roman" w:cs="Times New Roman"/>
          <w:sz w:val="24"/>
          <w:szCs w:val="24"/>
        </w:rPr>
        <w:t xml:space="preserve"> a quantity of</w:t>
      </w:r>
      <w:r w:rsidRPr="00F0426C">
        <w:rPr>
          <w:rFonts w:ascii="Times New Roman" w:hAnsi="Times New Roman" w:cs="Times New Roman"/>
          <w:sz w:val="24"/>
          <w:szCs w:val="24"/>
        </w:rPr>
        <w:t xml:space="preserve"> untaxed</w:t>
      </w:r>
      <w:r>
        <w:rPr>
          <w:rFonts w:ascii="Times New Roman" w:hAnsi="Times New Roman" w:cs="Times New Roman"/>
          <w:sz w:val="24"/>
          <w:szCs w:val="24"/>
        </w:rPr>
        <w:t xml:space="preserve"> smoking tobacco and </w:t>
      </w:r>
      <w:r w:rsidRPr="00F0426C">
        <w:rPr>
          <w:rFonts w:ascii="Times New Roman" w:hAnsi="Times New Roman" w:cs="Times New Roman"/>
          <w:sz w:val="24"/>
          <w:szCs w:val="24"/>
        </w:rPr>
        <w:t>ENDS</w:t>
      </w:r>
      <w:r>
        <w:rPr>
          <w:rFonts w:ascii="Times New Roman" w:hAnsi="Times New Roman" w:cs="Times New Roman"/>
          <w:sz w:val="24"/>
          <w:szCs w:val="24"/>
        </w:rPr>
        <w:t xml:space="preserve"> – representing the evasion of </w:t>
      </w:r>
      <w:r w:rsidRPr="00F0426C">
        <w:rPr>
          <w:rFonts w:ascii="Times New Roman" w:hAnsi="Times New Roman" w:cs="Times New Roman"/>
          <w:sz w:val="24"/>
          <w:szCs w:val="24"/>
        </w:rPr>
        <w:t>approximately $</w:t>
      </w:r>
      <w:r>
        <w:rPr>
          <w:rFonts w:ascii="Times New Roman" w:hAnsi="Times New Roman" w:cs="Times New Roman"/>
          <w:sz w:val="24"/>
          <w:szCs w:val="24"/>
        </w:rPr>
        <w:t>4,596</w:t>
      </w:r>
      <w:r w:rsidRPr="00F0426C">
        <w:rPr>
          <w:rFonts w:ascii="Times New Roman" w:hAnsi="Times New Roman" w:cs="Times New Roman"/>
          <w:sz w:val="24"/>
          <w:szCs w:val="24"/>
        </w:rPr>
        <w:t xml:space="preserve"> in excise taxes</w:t>
      </w:r>
      <w:r>
        <w:rPr>
          <w:rFonts w:ascii="Times New Roman" w:hAnsi="Times New Roman" w:cs="Times New Roman"/>
          <w:sz w:val="24"/>
          <w:szCs w:val="24"/>
        </w:rPr>
        <w:t xml:space="preserve">. As a result of the seizures, DOR issued a 90-day suspension of the distributor’s ENDS license and a 14-day suspension of the cigar license. </w:t>
      </w:r>
    </w:p>
    <w:p w14:paraId="2C2A32D2" w14:textId="77777777" w:rsidR="001409F5" w:rsidRPr="001409F5" w:rsidRDefault="001409F5" w:rsidP="001409F5">
      <w:pPr>
        <w:widowControl/>
        <w:jc w:val="both"/>
        <w:rPr>
          <w:rFonts w:ascii="Times New Roman" w:eastAsia="Times New Roman" w:hAnsi="Times New Roman" w:cs="Times New Roman"/>
          <w:sz w:val="24"/>
          <w:szCs w:val="24"/>
        </w:rPr>
      </w:pPr>
    </w:p>
    <w:p w14:paraId="78CE7EB0" w14:textId="154E8A53" w:rsidR="00DC41CE" w:rsidRDefault="00DC41CE" w:rsidP="008B3269">
      <w:pPr>
        <w:pStyle w:val="ListParagraph"/>
        <w:widowControl/>
        <w:numPr>
          <w:ilvl w:val="0"/>
          <w:numId w:val="6"/>
        </w:numPr>
        <w:jc w:val="both"/>
        <w:rPr>
          <w:rFonts w:ascii="Times New Roman" w:eastAsia="Times New Roman" w:hAnsi="Times New Roman" w:cs="Times New Roman"/>
          <w:sz w:val="24"/>
          <w:szCs w:val="24"/>
        </w:rPr>
      </w:pPr>
      <w:r w:rsidRPr="0098681E">
        <w:rPr>
          <w:rFonts w:ascii="Times New Roman" w:eastAsia="Times New Roman" w:hAnsi="Times New Roman" w:cs="Times New Roman"/>
          <w:sz w:val="24"/>
          <w:szCs w:val="24"/>
        </w:rPr>
        <w:t xml:space="preserve">In </w:t>
      </w:r>
      <w:r w:rsidR="001018F8">
        <w:rPr>
          <w:rFonts w:ascii="Times New Roman" w:eastAsia="Times New Roman" w:hAnsi="Times New Roman" w:cs="Times New Roman"/>
          <w:sz w:val="24"/>
          <w:szCs w:val="24"/>
        </w:rPr>
        <w:t>April</w:t>
      </w:r>
      <w:r w:rsidRPr="0098681E">
        <w:rPr>
          <w:rFonts w:ascii="Times New Roman" w:eastAsia="Times New Roman" w:hAnsi="Times New Roman" w:cs="Times New Roman"/>
          <w:sz w:val="24"/>
          <w:szCs w:val="24"/>
        </w:rPr>
        <w:t xml:space="preserve"> of 202</w:t>
      </w:r>
      <w:r w:rsidR="001018F8">
        <w:rPr>
          <w:rFonts w:ascii="Times New Roman" w:eastAsia="Times New Roman" w:hAnsi="Times New Roman" w:cs="Times New Roman"/>
          <w:sz w:val="24"/>
          <w:szCs w:val="24"/>
        </w:rPr>
        <w:t>5</w:t>
      </w:r>
      <w:r w:rsidRPr="0098681E">
        <w:rPr>
          <w:rFonts w:ascii="Times New Roman" w:eastAsia="Times New Roman" w:hAnsi="Times New Roman" w:cs="Times New Roman"/>
          <w:sz w:val="24"/>
          <w:szCs w:val="24"/>
        </w:rPr>
        <w:t xml:space="preserve">, MEB conducted an inspection of a licensed retailer in </w:t>
      </w:r>
      <w:r w:rsidR="0057716E">
        <w:rPr>
          <w:rFonts w:ascii="Times New Roman" w:eastAsia="Times New Roman" w:hAnsi="Times New Roman" w:cs="Times New Roman"/>
          <w:sz w:val="24"/>
          <w:szCs w:val="24"/>
        </w:rPr>
        <w:t>Middlesex County</w:t>
      </w:r>
      <w:r w:rsidRPr="0098681E">
        <w:rPr>
          <w:rFonts w:ascii="Times New Roman" w:eastAsia="Times New Roman" w:hAnsi="Times New Roman" w:cs="Times New Roman"/>
          <w:sz w:val="24"/>
          <w:szCs w:val="24"/>
        </w:rPr>
        <w:t xml:space="preserve"> and seized a large quantity of untaxed ENDS</w:t>
      </w:r>
      <w:r w:rsidR="001018F8">
        <w:rPr>
          <w:rFonts w:ascii="Times New Roman" w:eastAsia="Times New Roman" w:hAnsi="Times New Roman" w:cs="Times New Roman"/>
          <w:sz w:val="24"/>
          <w:szCs w:val="24"/>
        </w:rPr>
        <w:t xml:space="preserve"> as well as cigarettes, smokeless tobacco, cigars, and smoking tobacco</w:t>
      </w:r>
      <w:r w:rsidR="00BC7ABE" w:rsidRPr="0098681E">
        <w:rPr>
          <w:rFonts w:ascii="Times New Roman" w:eastAsia="Times New Roman" w:hAnsi="Times New Roman" w:cs="Times New Roman"/>
          <w:sz w:val="24"/>
          <w:szCs w:val="24"/>
        </w:rPr>
        <w:t xml:space="preserve"> – representing the evasion of approximately </w:t>
      </w:r>
      <w:r w:rsidRPr="0098681E">
        <w:rPr>
          <w:rFonts w:ascii="Times New Roman" w:eastAsia="Times New Roman" w:hAnsi="Times New Roman" w:cs="Times New Roman"/>
          <w:sz w:val="24"/>
          <w:szCs w:val="24"/>
        </w:rPr>
        <w:t>$1</w:t>
      </w:r>
      <w:r w:rsidR="001018F8">
        <w:rPr>
          <w:rFonts w:ascii="Times New Roman" w:eastAsia="Times New Roman" w:hAnsi="Times New Roman" w:cs="Times New Roman"/>
          <w:sz w:val="24"/>
          <w:szCs w:val="24"/>
        </w:rPr>
        <w:t>4</w:t>
      </w:r>
      <w:r w:rsidRPr="0098681E">
        <w:rPr>
          <w:rFonts w:ascii="Times New Roman" w:eastAsia="Times New Roman" w:hAnsi="Times New Roman" w:cs="Times New Roman"/>
          <w:sz w:val="24"/>
          <w:szCs w:val="24"/>
        </w:rPr>
        <w:t>,</w:t>
      </w:r>
      <w:r w:rsidR="001018F8">
        <w:rPr>
          <w:rFonts w:ascii="Times New Roman" w:eastAsia="Times New Roman" w:hAnsi="Times New Roman" w:cs="Times New Roman"/>
          <w:sz w:val="24"/>
          <w:szCs w:val="24"/>
        </w:rPr>
        <w:t>3</w:t>
      </w:r>
      <w:r w:rsidRPr="0098681E">
        <w:rPr>
          <w:rFonts w:ascii="Times New Roman" w:eastAsia="Times New Roman" w:hAnsi="Times New Roman" w:cs="Times New Roman"/>
          <w:sz w:val="24"/>
          <w:szCs w:val="24"/>
        </w:rPr>
        <w:t>00 in excise taxes</w:t>
      </w:r>
      <w:r w:rsidR="00BC7ABE" w:rsidRPr="0098681E">
        <w:rPr>
          <w:rFonts w:ascii="Times New Roman" w:eastAsia="Times New Roman" w:hAnsi="Times New Roman" w:cs="Times New Roman"/>
          <w:sz w:val="24"/>
          <w:szCs w:val="24"/>
        </w:rPr>
        <w:t xml:space="preserve">. As a result of the seizure, DOR issued a </w:t>
      </w:r>
      <w:r w:rsidRPr="0098681E">
        <w:rPr>
          <w:rFonts w:ascii="Times New Roman" w:eastAsia="Times New Roman" w:hAnsi="Times New Roman" w:cs="Times New Roman"/>
          <w:sz w:val="24"/>
          <w:szCs w:val="24"/>
        </w:rPr>
        <w:t>90-day suspension</w:t>
      </w:r>
      <w:r w:rsidR="00BC7ABE" w:rsidRPr="0098681E">
        <w:rPr>
          <w:rFonts w:ascii="Times New Roman" w:eastAsia="Times New Roman" w:hAnsi="Times New Roman" w:cs="Times New Roman"/>
          <w:sz w:val="24"/>
          <w:szCs w:val="24"/>
        </w:rPr>
        <w:t xml:space="preserve"> of the retailer’s ENDS license</w:t>
      </w:r>
      <w:r w:rsidR="001018F8">
        <w:rPr>
          <w:rFonts w:ascii="Times New Roman" w:eastAsia="Times New Roman" w:hAnsi="Times New Roman" w:cs="Times New Roman"/>
          <w:sz w:val="24"/>
          <w:szCs w:val="24"/>
        </w:rPr>
        <w:t xml:space="preserve">, a 60-day suspension of the retailer’s cigarette license, and a 30-day suspension of the </w:t>
      </w:r>
      <w:r w:rsidR="00DF72E7">
        <w:rPr>
          <w:rFonts w:ascii="Times New Roman" w:eastAsia="Times New Roman" w:hAnsi="Times New Roman" w:cs="Times New Roman"/>
          <w:sz w:val="24"/>
          <w:szCs w:val="24"/>
        </w:rPr>
        <w:t>retailer’s</w:t>
      </w:r>
      <w:r w:rsidR="001018F8">
        <w:rPr>
          <w:rFonts w:ascii="Times New Roman" w:eastAsia="Times New Roman" w:hAnsi="Times New Roman" w:cs="Times New Roman"/>
          <w:sz w:val="24"/>
          <w:szCs w:val="24"/>
        </w:rPr>
        <w:t xml:space="preserve"> cigar license</w:t>
      </w:r>
      <w:r w:rsidRPr="0098681E">
        <w:rPr>
          <w:rFonts w:ascii="Times New Roman" w:eastAsia="Times New Roman" w:hAnsi="Times New Roman" w:cs="Times New Roman"/>
          <w:sz w:val="24"/>
          <w:szCs w:val="24"/>
        </w:rPr>
        <w:t>.</w:t>
      </w:r>
    </w:p>
    <w:p w14:paraId="2E711F1B" w14:textId="77777777" w:rsidR="00DF72E7" w:rsidRPr="00DF72E7" w:rsidRDefault="00DF72E7" w:rsidP="00DF72E7">
      <w:pPr>
        <w:pStyle w:val="ListParagraph"/>
        <w:widowControl/>
        <w:ind w:left="720"/>
        <w:jc w:val="both"/>
        <w:rPr>
          <w:rFonts w:ascii="Times New Roman" w:eastAsia="Times New Roman" w:hAnsi="Times New Roman" w:cs="Times New Roman"/>
          <w:sz w:val="24"/>
          <w:szCs w:val="24"/>
        </w:rPr>
      </w:pPr>
    </w:p>
    <w:p w14:paraId="7E7E593E" w14:textId="5A07EFCB" w:rsidR="00DF72E7" w:rsidRDefault="00DF72E7" w:rsidP="00DF72E7">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In </w:t>
      </w:r>
      <w:r w:rsidRPr="00DF72E7">
        <w:rPr>
          <w:rFonts w:ascii="Times New Roman" w:hAnsi="Times New Roman" w:cs="Times New Roman"/>
          <w:sz w:val="24"/>
          <w:szCs w:val="24"/>
        </w:rPr>
        <w:t xml:space="preserve">May </w:t>
      </w:r>
      <w:r>
        <w:rPr>
          <w:rFonts w:ascii="Times New Roman" w:hAnsi="Times New Roman" w:cs="Times New Roman"/>
          <w:sz w:val="24"/>
          <w:szCs w:val="24"/>
        </w:rPr>
        <w:t xml:space="preserve">of </w:t>
      </w:r>
      <w:r w:rsidRPr="00DF72E7">
        <w:rPr>
          <w:rFonts w:ascii="Times New Roman" w:hAnsi="Times New Roman" w:cs="Times New Roman"/>
          <w:sz w:val="24"/>
          <w:szCs w:val="24"/>
        </w:rPr>
        <w:t>2025</w:t>
      </w:r>
      <w:r>
        <w:rPr>
          <w:rFonts w:ascii="Times New Roman" w:hAnsi="Times New Roman" w:cs="Times New Roman"/>
          <w:sz w:val="24"/>
          <w:szCs w:val="24"/>
        </w:rPr>
        <w:t xml:space="preserve">, </w:t>
      </w:r>
      <w:r w:rsidRPr="00DF72E7">
        <w:rPr>
          <w:rFonts w:ascii="Times New Roman" w:hAnsi="Times New Roman" w:cs="Times New Roman"/>
          <w:sz w:val="24"/>
          <w:szCs w:val="24"/>
        </w:rPr>
        <w:t>MEB conducted an inspection of a licensed retailer in Plymouth County and seized untaxed ENDS</w:t>
      </w:r>
      <w:r>
        <w:rPr>
          <w:rFonts w:ascii="Times New Roman" w:hAnsi="Times New Roman" w:cs="Times New Roman"/>
          <w:sz w:val="24"/>
          <w:szCs w:val="24"/>
        </w:rPr>
        <w:t xml:space="preserve"> representing the evasion of </w:t>
      </w:r>
      <w:r w:rsidRPr="00DF72E7">
        <w:rPr>
          <w:rFonts w:ascii="Times New Roman" w:hAnsi="Times New Roman" w:cs="Times New Roman"/>
          <w:sz w:val="24"/>
          <w:szCs w:val="24"/>
        </w:rPr>
        <w:t>approximately $2,200 in excise taxes</w:t>
      </w:r>
      <w:r>
        <w:rPr>
          <w:rFonts w:ascii="Times New Roman" w:hAnsi="Times New Roman" w:cs="Times New Roman"/>
          <w:sz w:val="24"/>
          <w:szCs w:val="24"/>
        </w:rPr>
        <w:t>. As a result of the seizure, DOR issued a</w:t>
      </w:r>
      <w:r w:rsidRPr="00DF72E7">
        <w:rPr>
          <w:rFonts w:ascii="Times New Roman" w:hAnsi="Times New Roman" w:cs="Times New Roman"/>
          <w:sz w:val="24"/>
          <w:szCs w:val="24"/>
        </w:rPr>
        <w:t xml:space="preserve"> 90-day suspension</w:t>
      </w:r>
      <w:r>
        <w:rPr>
          <w:rFonts w:ascii="Times New Roman" w:hAnsi="Times New Roman" w:cs="Times New Roman"/>
          <w:sz w:val="24"/>
          <w:szCs w:val="24"/>
        </w:rPr>
        <w:t xml:space="preserve"> of the retailer’s ENDS license</w:t>
      </w:r>
      <w:r w:rsidRPr="00DF72E7">
        <w:rPr>
          <w:rFonts w:ascii="Times New Roman" w:hAnsi="Times New Roman" w:cs="Times New Roman"/>
          <w:sz w:val="24"/>
          <w:szCs w:val="24"/>
        </w:rPr>
        <w:t xml:space="preserve">.  </w:t>
      </w:r>
    </w:p>
    <w:p w14:paraId="24B4497B" w14:textId="77777777" w:rsidR="00800CD1" w:rsidRPr="00800CD1" w:rsidRDefault="00800CD1" w:rsidP="00800CD1">
      <w:pPr>
        <w:pStyle w:val="ListParagraph"/>
        <w:rPr>
          <w:rFonts w:ascii="Times New Roman" w:hAnsi="Times New Roman" w:cs="Times New Roman"/>
          <w:sz w:val="24"/>
          <w:szCs w:val="24"/>
        </w:rPr>
      </w:pPr>
    </w:p>
    <w:p w14:paraId="39E86D42" w14:textId="16699726" w:rsidR="00800CD1" w:rsidRPr="00800CD1" w:rsidRDefault="00800CD1" w:rsidP="00800CD1">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Between February and July of 2025, CIB</w:t>
      </w:r>
      <w:r w:rsidRPr="00F0426C">
        <w:rPr>
          <w:rFonts w:ascii="Times New Roman" w:hAnsi="Times New Roman" w:cs="Times New Roman"/>
          <w:sz w:val="24"/>
          <w:szCs w:val="24"/>
        </w:rPr>
        <w:t xml:space="preserve"> conducted</w:t>
      </w:r>
      <w:r>
        <w:rPr>
          <w:rFonts w:ascii="Times New Roman" w:hAnsi="Times New Roman" w:cs="Times New Roman"/>
          <w:sz w:val="24"/>
          <w:szCs w:val="24"/>
        </w:rPr>
        <w:t xml:space="preserve"> three separate inspections</w:t>
      </w:r>
      <w:r w:rsidRPr="00F0426C">
        <w:rPr>
          <w:rFonts w:ascii="Times New Roman" w:hAnsi="Times New Roman" w:cs="Times New Roman"/>
          <w:sz w:val="24"/>
          <w:szCs w:val="24"/>
        </w:rPr>
        <w:t xml:space="preserve"> of a licensed </w:t>
      </w:r>
      <w:r>
        <w:rPr>
          <w:rFonts w:ascii="Times New Roman" w:hAnsi="Times New Roman" w:cs="Times New Roman"/>
          <w:sz w:val="24"/>
          <w:szCs w:val="24"/>
        </w:rPr>
        <w:t>distributor</w:t>
      </w:r>
      <w:r w:rsidRPr="00F0426C">
        <w:rPr>
          <w:rFonts w:ascii="Times New Roman" w:hAnsi="Times New Roman" w:cs="Times New Roman"/>
          <w:sz w:val="24"/>
          <w:szCs w:val="24"/>
        </w:rPr>
        <w:t xml:space="preserve"> in </w:t>
      </w:r>
      <w:r>
        <w:rPr>
          <w:rFonts w:ascii="Times New Roman" w:hAnsi="Times New Roman" w:cs="Times New Roman"/>
          <w:sz w:val="24"/>
          <w:szCs w:val="24"/>
        </w:rPr>
        <w:t>Hampden</w:t>
      </w:r>
      <w:r w:rsidRPr="00F0426C">
        <w:rPr>
          <w:rFonts w:ascii="Times New Roman" w:hAnsi="Times New Roman" w:cs="Times New Roman"/>
          <w:sz w:val="24"/>
          <w:szCs w:val="24"/>
        </w:rPr>
        <w:t xml:space="preserve"> County and seized</w:t>
      </w:r>
      <w:r>
        <w:rPr>
          <w:rFonts w:ascii="Times New Roman" w:hAnsi="Times New Roman" w:cs="Times New Roman"/>
          <w:sz w:val="24"/>
          <w:szCs w:val="24"/>
        </w:rPr>
        <w:t xml:space="preserve"> a quantity of</w:t>
      </w:r>
      <w:r w:rsidRPr="00F0426C">
        <w:rPr>
          <w:rFonts w:ascii="Times New Roman" w:hAnsi="Times New Roman" w:cs="Times New Roman"/>
          <w:sz w:val="24"/>
          <w:szCs w:val="24"/>
        </w:rPr>
        <w:t xml:space="preserve"> untaxed</w:t>
      </w:r>
      <w:r>
        <w:rPr>
          <w:rFonts w:ascii="Times New Roman" w:hAnsi="Times New Roman" w:cs="Times New Roman"/>
          <w:sz w:val="24"/>
          <w:szCs w:val="24"/>
        </w:rPr>
        <w:t xml:space="preserve"> smoking tobacco and </w:t>
      </w:r>
      <w:r w:rsidRPr="00F0426C">
        <w:rPr>
          <w:rFonts w:ascii="Times New Roman" w:hAnsi="Times New Roman" w:cs="Times New Roman"/>
          <w:sz w:val="24"/>
          <w:szCs w:val="24"/>
        </w:rPr>
        <w:t>ENDS</w:t>
      </w:r>
      <w:r>
        <w:rPr>
          <w:rFonts w:ascii="Times New Roman" w:hAnsi="Times New Roman" w:cs="Times New Roman"/>
          <w:sz w:val="24"/>
          <w:szCs w:val="24"/>
        </w:rPr>
        <w:t xml:space="preserve"> – representing the evasion of </w:t>
      </w:r>
      <w:r w:rsidRPr="00F0426C">
        <w:rPr>
          <w:rFonts w:ascii="Times New Roman" w:hAnsi="Times New Roman" w:cs="Times New Roman"/>
          <w:sz w:val="24"/>
          <w:szCs w:val="24"/>
        </w:rPr>
        <w:t>approximately $</w:t>
      </w:r>
      <w:r>
        <w:rPr>
          <w:rFonts w:ascii="Times New Roman" w:hAnsi="Times New Roman" w:cs="Times New Roman"/>
          <w:sz w:val="24"/>
          <w:szCs w:val="24"/>
        </w:rPr>
        <w:t>4,596</w:t>
      </w:r>
      <w:r w:rsidRPr="00F0426C">
        <w:rPr>
          <w:rFonts w:ascii="Times New Roman" w:hAnsi="Times New Roman" w:cs="Times New Roman"/>
          <w:sz w:val="24"/>
          <w:szCs w:val="24"/>
        </w:rPr>
        <w:t xml:space="preserve"> in excise taxes</w:t>
      </w:r>
      <w:r>
        <w:rPr>
          <w:rFonts w:ascii="Times New Roman" w:hAnsi="Times New Roman" w:cs="Times New Roman"/>
          <w:sz w:val="24"/>
          <w:szCs w:val="24"/>
        </w:rPr>
        <w:t xml:space="preserve">. As a result of the seizures, DOR issued a 90-day suspension of the distributor’s ENDS license and a 14-day suspension of the cigar license. </w:t>
      </w:r>
    </w:p>
    <w:p w14:paraId="67EFB3A2" w14:textId="77777777" w:rsidR="0053164E" w:rsidRPr="0053164E" w:rsidRDefault="0053164E" w:rsidP="0053164E">
      <w:pPr>
        <w:rPr>
          <w:rFonts w:ascii="Times New Roman" w:hAnsi="Times New Roman" w:cs="Times New Roman"/>
          <w:sz w:val="24"/>
          <w:szCs w:val="24"/>
        </w:rPr>
      </w:pPr>
    </w:p>
    <w:p w14:paraId="11CDDC3B" w14:textId="3A384B8A" w:rsidR="0053164E" w:rsidRDefault="0053164E" w:rsidP="0053164E">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In </w:t>
      </w:r>
      <w:r w:rsidRPr="0053164E">
        <w:rPr>
          <w:rFonts w:ascii="Times New Roman" w:hAnsi="Times New Roman" w:cs="Times New Roman"/>
          <w:sz w:val="24"/>
          <w:szCs w:val="24"/>
        </w:rPr>
        <w:t xml:space="preserve">August </w:t>
      </w:r>
      <w:r>
        <w:rPr>
          <w:rFonts w:ascii="Times New Roman" w:hAnsi="Times New Roman" w:cs="Times New Roman"/>
          <w:sz w:val="24"/>
          <w:szCs w:val="24"/>
        </w:rPr>
        <w:t xml:space="preserve">of </w:t>
      </w:r>
      <w:r w:rsidRPr="0053164E">
        <w:rPr>
          <w:rFonts w:ascii="Times New Roman" w:hAnsi="Times New Roman" w:cs="Times New Roman"/>
          <w:sz w:val="24"/>
          <w:szCs w:val="24"/>
        </w:rPr>
        <w:t>2025</w:t>
      </w:r>
      <w:r>
        <w:rPr>
          <w:rFonts w:ascii="Times New Roman" w:hAnsi="Times New Roman" w:cs="Times New Roman"/>
          <w:sz w:val="24"/>
          <w:szCs w:val="24"/>
        </w:rPr>
        <w:t xml:space="preserve">, </w:t>
      </w:r>
      <w:r w:rsidRPr="0053164E">
        <w:rPr>
          <w:rFonts w:ascii="Times New Roman" w:hAnsi="Times New Roman" w:cs="Times New Roman"/>
          <w:sz w:val="24"/>
          <w:szCs w:val="24"/>
        </w:rPr>
        <w:t>MEB conducted an inspection of a licensed retailer in Middlesex County and seized untaxed cigarette and smokeless tobacco</w:t>
      </w:r>
      <w:r>
        <w:rPr>
          <w:rFonts w:ascii="Times New Roman" w:hAnsi="Times New Roman" w:cs="Times New Roman"/>
          <w:sz w:val="24"/>
          <w:szCs w:val="24"/>
        </w:rPr>
        <w:t xml:space="preserve"> – representing </w:t>
      </w:r>
      <w:r w:rsidRPr="0053164E">
        <w:rPr>
          <w:rFonts w:ascii="Times New Roman" w:hAnsi="Times New Roman" w:cs="Times New Roman"/>
          <w:sz w:val="24"/>
          <w:szCs w:val="24"/>
        </w:rPr>
        <w:t>the evasion of approximately $800 in excise taxes</w:t>
      </w:r>
      <w:r>
        <w:rPr>
          <w:rFonts w:ascii="Times New Roman" w:hAnsi="Times New Roman" w:cs="Times New Roman"/>
          <w:sz w:val="24"/>
          <w:szCs w:val="24"/>
        </w:rPr>
        <w:t xml:space="preserve">. As a result of the seizure, DOR issued a </w:t>
      </w:r>
      <w:r w:rsidRPr="0053164E">
        <w:rPr>
          <w:rFonts w:ascii="Times New Roman" w:hAnsi="Times New Roman" w:cs="Times New Roman"/>
          <w:sz w:val="24"/>
          <w:szCs w:val="24"/>
        </w:rPr>
        <w:t>30-day suspension of the retailer’s Cigarette/Smokeless Tobacco license.</w:t>
      </w:r>
    </w:p>
    <w:p w14:paraId="092E0BF7" w14:textId="77777777" w:rsidR="00557C59" w:rsidRPr="00557C59" w:rsidRDefault="00557C59" w:rsidP="00557C59">
      <w:pPr>
        <w:pStyle w:val="ListParagraph"/>
        <w:rPr>
          <w:rFonts w:ascii="Times New Roman" w:hAnsi="Times New Roman" w:cs="Times New Roman"/>
          <w:sz w:val="24"/>
          <w:szCs w:val="24"/>
        </w:rPr>
      </w:pPr>
    </w:p>
    <w:p w14:paraId="41698C09" w14:textId="276C681E" w:rsidR="00557C59" w:rsidRPr="00557C59" w:rsidRDefault="00557C59" w:rsidP="00557C59">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In </w:t>
      </w:r>
      <w:r w:rsidRPr="0053164E">
        <w:rPr>
          <w:rFonts w:ascii="Times New Roman" w:hAnsi="Times New Roman" w:cs="Times New Roman"/>
          <w:sz w:val="24"/>
          <w:szCs w:val="24"/>
        </w:rPr>
        <w:t xml:space="preserve">August </w:t>
      </w:r>
      <w:r>
        <w:rPr>
          <w:rFonts w:ascii="Times New Roman" w:hAnsi="Times New Roman" w:cs="Times New Roman"/>
          <w:sz w:val="24"/>
          <w:szCs w:val="24"/>
        </w:rPr>
        <w:t xml:space="preserve">of </w:t>
      </w:r>
      <w:r w:rsidRPr="0053164E">
        <w:rPr>
          <w:rFonts w:ascii="Times New Roman" w:hAnsi="Times New Roman" w:cs="Times New Roman"/>
          <w:sz w:val="24"/>
          <w:szCs w:val="24"/>
        </w:rPr>
        <w:t>2025</w:t>
      </w:r>
      <w:r>
        <w:rPr>
          <w:rFonts w:ascii="Times New Roman" w:hAnsi="Times New Roman" w:cs="Times New Roman"/>
          <w:sz w:val="24"/>
          <w:szCs w:val="24"/>
        </w:rPr>
        <w:t xml:space="preserve">, </w:t>
      </w:r>
      <w:r w:rsidRPr="0053164E">
        <w:rPr>
          <w:rFonts w:ascii="Times New Roman" w:hAnsi="Times New Roman" w:cs="Times New Roman"/>
          <w:sz w:val="24"/>
          <w:szCs w:val="24"/>
        </w:rPr>
        <w:t xml:space="preserve">MEB conducted an inspection of a licensed retailer in </w:t>
      </w:r>
      <w:r>
        <w:rPr>
          <w:rFonts w:ascii="Times New Roman" w:hAnsi="Times New Roman" w:cs="Times New Roman"/>
          <w:sz w:val="24"/>
          <w:szCs w:val="24"/>
        </w:rPr>
        <w:t>Berkshire</w:t>
      </w:r>
      <w:r w:rsidRPr="0053164E">
        <w:rPr>
          <w:rFonts w:ascii="Times New Roman" w:hAnsi="Times New Roman" w:cs="Times New Roman"/>
          <w:sz w:val="24"/>
          <w:szCs w:val="24"/>
        </w:rPr>
        <w:t xml:space="preserve"> County and seized untaxed cigarette</w:t>
      </w:r>
      <w:r>
        <w:rPr>
          <w:rFonts w:ascii="Times New Roman" w:hAnsi="Times New Roman" w:cs="Times New Roman"/>
          <w:sz w:val="24"/>
          <w:szCs w:val="24"/>
        </w:rPr>
        <w:t xml:space="preserve">s, cigars, smoking tobacco, and ENDS – representing </w:t>
      </w:r>
      <w:r w:rsidRPr="0053164E">
        <w:rPr>
          <w:rFonts w:ascii="Times New Roman" w:hAnsi="Times New Roman" w:cs="Times New Roman"/>
          <w:sz w:val="24"/>
          <w:szCs w:val="24"/>
        </w:rPr>
        <w:t>the evasion of approximately $</w:t>
      </w:r>
      <w:r>
        <w:rPr>
          <w:rFonts w:ascii="Times New Roman" w:hAnsi="Times New Roman" w:cs="Times New Roman"/>
          <w:sz w:val="24"/>
          <w:szCs w:val="24"/>
        </w:rPr>
        <w:t>1,800</w:t>
      </w:r>
      <w:r w:rsidRPr="0053164E">
        <w:rPr>
          <w:rFonts w:ascii="Times New Roman" w:hAnsi="Times New Roman" w:cs="Times New Roman"/>
          <w:sz w:val="24"/>
          <w:szCs w:val="24"/>
        </w:rPr>
        <w:t xml:space="preserve"> in excise taxes</w:t>
      </w:r>
      <w:r>
        <w:rPr>
          <w:rFonts w:ascii="Times New Roman" w:hAnsi="Times New Roman" w:cs="Times New Roman"/>
          <w:sz w:val="24"/>
          <w:szCs w:val="24"/>
        </w:rPr>
        <w:t>. As a result of the seizure, DOR issued a 6</w:t>
      </w:r>
      <w:r w:rsidRPr="0053164E">
        <w:rPr>
          <w:rFonts w:ascii="Times New Roman" w:hAnsi="Times New Roman" w:cs="Times New Roman"/>
          <w:sz w:val="24"/>
          <w:szCs w:val="24"/>
        </w:rPr>
        <w:t xml:space="preserve">0-day suspension of the retailer’s </w:t>
      </w:r>
      <w:r>
        <w:rPr>
          <w:rFonts w:ascii="Times New Roman" w:hAnsi="Times New Roman" w:cs="Times New Roman"/>
          <w:sz w:val="24"/>
          <w:szCs w:val="24"/>
        </w:rPr>
        <w:t>ENDS</w:t>
      </w:r>
      <w:r w:rsidRPr="0053164E">
        <w:rPr>
          <w:rFonts w:ascii="Times New Roman" w:hAnsi="Times New Roman" w:cs="Times New Roman"/>
          <w:sz w:val="24"/>
          <w:szCs w:val="24"/>
        </w:rPr>
        <w:t xml:space="preserve"> license</w:t>
      </w:r>
      <w:r>
        <w:rPr>
          <w:rFonts w:ascii="Times New Roman" w:hAnsi="Times New Roman" w:cs="Times New Roman"/>
          <w:sz w:val="24"/>
          <w:szCs w:val="24"/>
        </w:rPr>
        <w:t xml:space="preserve"> and cigarette and cigar license</w:t>
      </w:r>
      <w:r w:rsidR="00DD16E3">
        <w:rPr>
          <w:rFonts w:ascii="Times New Roman" w:hAnsi="Times New Roman" w:cs="Times New Roman"/>
          <w:sz w:val="24"/>
          <w:szCs w:val="24"/>
        </w:rPr>
        <w:t xml:space="preserve"> warning letters</w:t>
      </w:r>
      <w:r w:rsidRPr="0053164E">
        <w:rPr>
          <w:rFonts w:ascii="Times New Roman" w:hAnsi="Times New Roman" w:cs="Times New Roman"/>
          <w:sz w:val="24"/>
          <w:szCs w:val="24"/>
        </w:rPr>
        <w:t>.</w:t>
      </w:r>
    </w:p>
    <w:p w14:paraId="6852DDE1" w14:textId="77777777" w:rsidR="00557C59" w:rsidRPr="00557C59" w:rsidRDefault="00557C59" w:rsidP="00557C59">
      <w:pPr>
        <w:pStyle w:val="ListParagraph"/>
        <w:rPr>
          <w:rFonts w:ascii="Times New Roman" w:hAnsi="Times New Roman" w:cs="Times New Roman"/>
          <w:sz w:val="24"/>
          <w:szCs w:val="24"/>
        </w:rPr>
      </w:pPr>
    </w:p>
    <w:p w14:paraId="7AB38F2F" w14:textId="069362C2" w:rsidR="00557C59" w:rsidRDefault="00557C59" w:rsidP="00557C59">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Between August of 2024 and October of 2025, CIB</w:t>
      </w:r>
      <w:r w:rsidRPr="00F0426C">
        <w:rPr>
          <w:rFonts w:ascii="Times New Roman" w:hAnsi="Times New Roman" w:cs="Times New Roman"/>
          <w:sz w:val="24"/>
          <w:szCs w:val="24"/>
        </w:rPr>
        <w:t xml:space="preserve"> conducted </w:t>
      </w:r>
      <w:r>
        <w:rPr>
          <w:rFonts w:ascii="Times New Roman" w:hAnsi="Times New Roman" w:cs="Times New Roman"/>
          <w:sz w:val="24"/>
          <w:szCs w:val="24"/>
        </w:rPr>
        <w:t>three separate inspections</w:t>
      </w:r>
      <w:r w:rsidRPr="00F0426C">
        <w:rPr>
          <w:rFonts w:ascii="Times New Roman" w:hAnsi="Times New Roman" w:cs="Times New Roman"/>
          <w:sz w:val="24"/>
          <w:szCs w:val="24"/>
        </w:rPr>
        <w:t xml:space="preserve"> of a licensed retailer in </w:t>
      </w:r>
      <w:r>
        <w:rPr>
          <w:rFonts w:ascii="Times New Roman" w:hAnsi="Times New Roman" w:cs="Times New Roman"/>
          <w:sz w:val="24"/>
          <w:szCs w:val="24"/>
        </w:rPr>
        <w:t>Hampden</w:t>
      </w:r>
      <w:r w:rsidRPr="00F0426C">
        <w:rPr>
          <w:rFonts w:ascii="Times New Roman" w:hAnsi="Times New Roman" w:cs="Times New Roman"/>
          <w:sz w:val="24"/>
          <w:szCs w:val="24"/>
        </w:rPr>
        <w:t xml:space="preserve"> County and seized</w:t>
      </w:r>
      <w:r>
        <w:rPr>
          <w:rFonts w:ascii="Times New Roman" w:hAnsi="Times New Roman" w:cs="Times New Roman"/>
          <w:sz w:val="24"/>
          <w:szCs w:val="24"/>
        </w:rPr>
        <w:t xml:space="preserve"> significant quantities of</w:t>
      </w:r>
      <w:r w:rsidRPr="00F0426C">
        <w:rPr>
          <w:rFonts w:ascii="Times New Roman" w:hAnsi="Times New Roman" w:cs="Times New Roman"/>
          <w:sz w:val="24"/>
          <w:szCs w:val="24"/>
        </w:rPr>
        <w:t xml:space="preserve"> untaxed cigarettes</w:t>
      </w:r>
      <w:r>
        <w:rPr>
          <w:rFonts w:ascii="Times New Roman" w:hAnsi="Times New Roman" w:cs="Times New Roman"/>
          <w:sz w:val="24"/>
          <w:szCs w:val="24"/>
        </w:rPr>
        <w:t>, cigars, smokeless tobacco,</w:t>
      </w:r>
      <w:r w:rsidRPr="00F0426C">
        <w:rPr>
          <w:rFonts w:ascii="Times New Roman" w:hAnsi="Times New Roman" w:cs="Times New Roman"/>
          <w:sz w:val="24"/>
          <w:szCs w:val="24"/>
        </w:rPr>
        <w:t xml:space="preserve"> and ENDS</w:t>
      </w:r>
      <w:r>
        <w:rPr>
          <w:rFonts w:ascii="Times New Roman" w:hAnsi="Times New Roman" w:cs="Times New Roman"/>
          <w:sz w:val="24"/>
          <w:szCs w:val="24"/>
        </w:rPr>
        <w:t xml:space="preserve"> – representing the evasion of </w:t>
      </w:r>
      <w:r w:rsidRPr="00F0426C">
        <w:rPr>
          <w:rFonts w:ascii="Times New Roman" w:hAnsi="Times New Roman" w:cs="Times New Roman"/>
          <w:sz w:val="24"/>
          <w:szCs w:val="24"/>
        </w:rPr>
        <w:t>approximately $</w:t>
      </w:r>
      <w:r>
        <w:rPr>
          <w:rFonts w:ascii="Times New Roman" w:hAnsi="Times New Roman" w:cs="Times New Roman"/>
          <w:sz w:val="24"/>
          <w:szCs w:val="24"/>
        </w:rPr>
        <w:t>47,000</w:t>
      </w:r>
      <w:r w:rsidRPr="00F0426C">
        <w:rPr>
          <w:rFonts w:ascii="Times New Roman" w:hAnsi="Times New Roman" w:cs="Times New Roman"/>
          <w:sz w:val="24"/>
          <w:szCs w:val="24"/>
        </w:rPr>
        <w:t xml:space="preserve"> in excise taxes</w:t>
      </w:r>
      <w:r>
        <w:rPr>
          <w:rFonts w:ascii="Times New Roman" w:hAnsi="Times New Roman" w:cs="Times New Roman"/>
          <w:sz w:val="24"/>
          <w:szCs w:val="24"/>
        </w:rPr>
        <w:t>. As a result of the seizures, DOR revoked the retailer’s cigarette, cigar, and ENDS licenses and issued civil penalties against the taxpayer</w:t>
      </w:r>
      <w:r w:rsidR="00DD16E3">
        <w:rPr>
          <w:rFonts w:ascii="Times New Roman" w:hAnsi="Times New Roman" w:cs="Times New Roman"/>
          <w:sz w:val="24"/>
          <w:szCs w:val="24"/>
        </w:rPr>
        <w:t>.</w:t>
      </w:r>
    </w:p>
    <w:p w14:paraId="3988B6D3" w14:textId="77777777" w:rsidR="003055B8" w:rsidRPr="003055B8" w:rsidRDefault="003055B8" w:rsidP="003055B8">
      <w:pPr>
        <w:pStyle w:val="ListParagraph"/>
        <w:rPr>
          <w:rFonts w:ascii="Times New Roman" w:hAnsi="Times New Roman" w:cs="Times New Roman"/>
          <w:sz w:val="24"/>
          <w:szCs w:val="24"/>
        </w:rPr>
      </w:pPr>
    </w:p>
    <w:p w14:paraId="5DAC6417" w14:textId="27B86114" w:rsidR="003055B8" w:rsidRDefault="003055B8" w:rsidP="00557C59">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In September of 2025, CIB conducted an inspection of a licensed retailer in Bristol County and seized untaxed ENDS products – representing the evasion of approximately $4,372.  One week later, CIB conducted a follow-up inspection of the same retailer and seized a small quantity of untaxed ENDS products. As a result of the seizures, CIB issued a 240-day suspension of the retailer’s ENDS license and </w:t>
      </w:r>
      <w:r w:rsidR="00430189">
        <w:rPr>
          <w:rFonts w:ascii="Times New Roman" w:hAnsi="Times New Roman" w:cs="Times New Roman"/>
          <w:sz w:val="24"/>
          <w:szCs w:val="24"/>
        </w:rPr>
        <w:t xml:space="preserve">issued </w:t>
      </w:r>
      <w:r>
        <w:rPr>
          <w:rFonts w:ascii="Times New Roman" w:hAnsi="Times New Roman" w:cs="Times New Roman"/>
          <w:sz w:val="24"/>
          <w:szCs w:val="24"/>
        </w:rPr>
        <w:t>civil penalties</w:t>
      </w:r>
      <w:r w:rsidR="00430189">
        <w:rPr>
          <w:rFonts w:ascii="Times New Roman" w:hAnsi="Times New Roman" w:cs="Times New Roman"/>
          <w:sz w:val="24"/>
          <w:szCs w:val="24"/>
        </w:rPr>
        <w:t xml:space="preserve"> against the taxpayer</w:t>
      </w:r>
      <w:r>
        <w:rPr>
          <w:rFonts w:ascii="Times New Roman" w:hAnsi="Times New Roman" w:cs="Times New Roman"/>
          <w:sz w:val="24"/>
          <w:szCs w:val="24"/>
        </w:rPr>
        <w:t>.</w:t>
      </w:r>
    </w:p>
    <w:p w14:paraId="787B1E7E" w14:textId="77777777" w:rsidR="00F0426C" w:rsidRDefault="0053164E" w:rsidP="0053164E">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lastRenderedPageBreak/>
        <w:t xml:space="preserve">In </w:t>
      </w:r>
      <w:r w:rsidRPr="0053164E">
        <w:rPr>
          <w:rFonts w:ascii="Times New Roman" w:hAnsi="Times New Roman" w:cs="Times New Roman"/>
          <w:sz w:val="24"/>
          <w:szCs w:val="24"/>
        </w:rPr>
        <w:t xml:space="preserve">October </w:t>
      </w:r>
      <w:r>
        <w:rPr>
          <w:rFonts w:ascii="Times New Roman" w:hAnsi="Times New Roman" w:cs="Times New Roman"/>
          <w:sz w:val="24"/>
          <w:szCs w:val="24"/>
        </w:rPr>
        <w:t xml:space="preserve">of </w:t>
      </w:r>
      <w:r w:rsidRPr="0053164E">
        <w:rPr>
          <w:rFonts w:ascii="Times New Roman" w:hAnsi="Times New Roman" w:cs="Times New Roman"/>
          <w:sz w:val="24"/>
          <w:szCs w:val="24"/>
        </w:rPr>
        <w:t>2025</w:t>
      </w:r>
      <w:r>
        <w:rPr>
          <w:rFonts w:ascii="Times New Roman" w:hAnsi="Times New Roman" w:cs="Times New Roman"/>
          <w:sz w:val="24"/>
          <w:szCs w:val="24"/>
        </w:rPr>
        <w:t xml:space="preserve">, </w:t>
      </w:r>
      <w:r w:rsidRPr="0053164E">
        <w:rPr>
          <w:rFonts w:ascii="Times New Roman" w:hAnsi="Times New Roman" w:cs="Times New Roman"/>
          <w:sz w:val="24"/>
          <w:szCs w:val="24"/>
        </w:rPr>
        <w:t>MEB conducted an inspection of a licensed retailer in Essex County and seized untaxed ENDS</w:t>
      </w:r>
      <w:r>
        <w:rPr>
          <w:rFonts w:ascii="Times New Roman" w:hAnsi="Times New Roman" w:cs="Times New Roman"/>
          <w:sz w:val="24"/>
          <w:szCs w:val="24"/>
        </w:rPr>
        <w:t xml:space="preserve"> – representing the </w:t>
      </w:r>
      <w:r w:rsidRPr="0053164E">
        <w:rPr>
          <w:rFonts w:ascii="Times New Roman" w:hAnsi="Times New Roman" w:cs="Times New Roman"/>
          <w:sz w:val="24"/>
          <w:szCs w:val="24"/>
        </w:rPr>
        <w:t>evasion of approximately $3,800 in excise taxes</w:t>
      </w:r>
      <w:r>
        <w:rPr>
          <w:rFonts w:ascii="Times New Roman" w:hAnsi="Times New Roman" w:cs="Times New Roman"/>
          <w:sz w:val="24"/>
          <w:szCs w:val="24"/>
        </w:rPr>
        <w:t xml:space="preserve">. As a result of the seizure, DOR issued a </w:t>
      </w:r>
      <w:r w:rsidRPr="0053164E">
        <w:rPr>
          <w:rFonts w:ascii="Times New Roman" w:hAnsi="Times New Roman" w:cs="Times New Roman"/>
          <w:sz w:val="24"/>
          <w:szCs w:val="24"/>
        </w:rPr>
        <w:t xml:space="preserve">90-day </w:t>
      </w:r>
      <w:r>
        <w:rPr>
          <w:rFonts w:ascii="Times New Roman" w:hAnsi="Times New Roman" w:cs="Times New Roman"/>
          <w:sz w:val="24"/>
          <w:szCs w:val="24"/>
        </w:rPr>
        <w:t xml:space="preserve">suspension of the retailer’s </w:t>
      </w:r>
      <w:r w:rsidRPr="0053164E">
        <w:rPr>
          <w:rFonts w:ascii="Times New Roman" w:hAnsi="Times New Roman" w:cs="Times New Roman"/>
          <w:sz w:val="24"/>
          <w:szCs w:val="24"/>
        </w:rPr>
        <w:t xml:space="preserve">ENDS </w:t>
      </w:r>
      <w:r>
        <w:rPr>
          <w:rFonts w:ascii="Times New Roman" w:hAnsi="Times New Roman" w:cs="Times New Roman"/>
          <w:sz w:val="24"/>
          <w:szCs w:val="24"/>
        </w:rPr>
        <w:t>license</w:t>
      </w:r>
      <w:r w:rsidRPr="0053164E">
        <w:rPr>
          <w:rFonts w:ascii="Times New Roman" w:hAnsi="Times New Roman" w:cs="Times New Roman"/>
          <w:sz w:val="24"/>
          <w:szCs w:val="24"/>
        </w:rPr>
        <w:t>.</w:t>
      </w:r>
    </w:p>
    <w:p w14:paraId="2ED5DE15" w14:textId="59038E68" w:rsidR="0053164E" w:rsidRPr="00F0426C" w:rsidRDefault="0053164E" w:rsidP="00F0426C">
      <w:pPr>
        <w:rPr>
          <w:rFonts w:ascii="Times New Roman" w:hAnsi="Times New Roman" w:cs="Times New Roman"/>
          <w:sz w:val="24"/>
          <w:szCs w:val="24"/>
        </w:rPr>
      </w:pPr>
      <w:r w:rsidRPr="00F0426C">
        <w:rPr>
          <w:rFonts w:ascii="Times New Roman" w:hAnsi="Times New Roman" w:cs="Times New Roman"/>
          <w:sz w:val="24"/>
          <w:szCs w:val="24"/>
        </w:rPr>
        <w:t xml:space="preserve">  </w:t>
      </w:r>
    </w:p>
    <w:p w14:paraId="7B084080" w14:textId="77777777" w:rsidR="00F0426C" w:rsidRDefault="00F0426C" w:rsidP="00F0426C">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In </w:t>
      </w:r>
      <w:r w:rsidRPr="00F0426C">
        <w:rPr>
          <w:rFonts w:ascii="Times New Roman" w:hAnsi="Times New Roman" w:cs="Times New Roman"/>
          <w:sz w:val="24"/>
          <w:szCs w:val="24"/>
        </w:rPr>
        <w:t xml:space="preserve">November </w:t>
      </w:r>
      <w:r>
        <w:rPr>
          <w:rFonts w:ascii="Times New Roman" w:hAnsi="Times New Roman" w:cs="Times New Roman"/>
          <w:sz w:val="24"/>
          <w:szCs w:val="24"/>
        </w:rPr>
        <w:t xml:space="preserve">of </w:t>
      </w:r>
      <w:r w:rsidRPr="00F0426C">
        <w:rPr>
          <w:rFonts w:ascii="Times New Roman" w:hAnsi="Times New Roman" w:cs="Times New Roman"/>
          <w:sz w:val="24"/>
          <w:szCs w:val="24"/>
        </w:rPr>
        <w:t>2025</w:t>
      </w:r>
      <w:r>
        <w:rPr>
          <w:rFonts w:ascii="Times New Roman" w:hAnsi="Times New Roman" w:cs="Times New Roman"/>
          <w:sz w:val="24"/>
          <w:szCs w:val="24"/>
        </w:rPr>
        <w:t xml:space="preserve">, </w:t>
      </w:r>
      <w:r w:rsidRPr="00F0426C">
        <w:rPr>
          <w:rFonts w:ascii="Times New Roman" w:hAnsi="Times New Roman" w:cs="Times New Roman"/>
          <w:sz w:val="24"/>
          <w:szCs w:val="24"/>
        </w:rPr>
        <w:t>MEB conducted an inspection of a licensed retailer in Worcester County and seized untaxed cigarettes and ENDS</w:t>
      </w:r>
      <w:r>
        <w:rPr>
          <w:rFonts w:ascii="Times New Roman" w:hAnsi="Times New Roman" w:cs="Times New Roman"/>
          <w:sz w:val="24"/>
          <w:szCs w:val="24"/>
        </w:rPr>
        <w:t xml:space="preserve"> – representing the evasion of </w:t>
      </w:r>
      <w:r w:rsidRPr="00F0426C">
        <w:rPr>
          <w:rFonts w:ascii="Times New Roman" w:hAnsi="Times New Roman" w:cs="Times New Roman"/>
          <w:sz w:val="24"/>
          <w:szCs w:val="24"/>
        </w:rPr>
        <w:t>approximately $1,800 in excise taxes</w:t>
      </w:r>
      <w:r>
        <w:rPr>
          <w:rFonts w:ascii="Times New Roman" w:hAnsi="Times New Roman" w:cs="Times New Roman"/>
          <w:sz w:val="24"/>
          <w:szCs w:val="24"/>
        </w:rPr>
        <w:t>. As a result of the seizure, DOR issued a 60-day suspension of the retailer’s ENDS license and a warning letter for the cigarette license.</w:t>
      </w:r>
    </w:p>
    <w:p w14:paraId="5EA2B325" w14:textId="77777777" w:rsidR="003055B8" w:rsidRPr="003055B8" w:rsidRDefault="003055B8" w:rsidP="003055B8">
      <w:pPr>
        <w:pStyle w:val="ListParagraph"/>
        <w:rPr>
          <w:rFonts w:ascii="Times New Roman" w:hAnsi="Times New Roman" w:cs="Times New Roman"/>
          <w:sz w:val="24"/>
          <w:szCs w:val="24"/>
        </w:rPr>
      </w:pPr>
    </w:p>
    <w:p w14:paraId="6E376821" w14:textId="5F405DB4" w:rsidR="003055B8" w:rsidRPr="00255C20" w:rsidRDefault="003055B8" w:rsidP="00255C2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In </w:t>
      </w:r>
      <w:r w:rsidRPr="00F0426C">
        <w:rPr>
          <w:rFonts w:ascii="Times New Roman" w:hAnsi="Times New Roman" w:cs="Times New Roman"/>
          <w:sz w:val="24"/>
          <w:szCs w:val="24"/>
        </w:rPr>
        <w:t xml:space="preserve">November </w:t>
      </w:r>
      <w:r>
        <w:rPr>
          <w:rFonts w:ascii="Times New Roman" w:hAnsi="Times New Roman" w:cs="Times New Roman"/>
          <w:sz w:val="24"/>
          <w:szCs w:val="24"/>
        </w:rPr>
        <w:t xml:space="preserve">of </w:t>
      </w:r>
      <w:r w:rsidRPr="00F0426C">
        <w:rPr>
          <w:rFonts w:ascii="Times New Roman" w:hAnsi="Times New Roman" w:cs="Times New Roman"/>
          <w:sz w:val="24"/>
          <w:szCs w:val="24"/>
        </w:rPr>
        <w:t>2025</w:t>
      </w:r>
      <w:r>
        <w:rPr>
          <w:rFonts w:ascii="Times New Roman" w:hAnsi="Times New Roman" w:cs="Times New Roman"/>
          <w:sz w:val="24"/>
          <w:szCs w:val="24"/>
        </w:rPr>
        <w:t>, CIB</w:t>
      </w:r>
      <w:r w:rsidRPr="00F0426C">
        <w:rPr>
          <w:rFonts w:ascii="Times New Roman" w:hAnsi="Times New Roman" w:cs="Times New Roman"/>
          <w:sz w:val="24"/>
          <w:szCs w:val="24"/>
        </w:rPr>
        <w:t xml:space="preserve"> conducted an inspection of a licensed retailer in </w:t>
      </w:r>
      <w:r>
        <w:rPr>
          <w:rFonts w:ascii="Times New Roman" w:hAnsi="Times New Roman" w:cs="Times New Roman"/>
          <w:sz w:val="24"/>
          <w:szCs w:val="24"/>
        </w:rPr>
        <w:t>Hampden</w:t>
      </w:r>
      <w:r w:rsidRPr="00F0426C">
        <w:rPr>
          <w:rFonts w:ascii="Times New Roman" w:hAnsi="Times New Roman" w:cs="Times New Roman"/>
          <w:sz w:val="24"/>
          <w:szCs w:val="24"/>
        </w:rPr>
        <w:t xml:space="preserve"> County and seized untaxed </w:t>
      </w:r>
      <w:r>
        <w:rPr>
          <w:rFonts w:ascii="Times New Roman" w:hAnsi="Times New Roman" w:cs="Times New Roman"/>
          <w:sz w:val="24"/>
          <w:szCs w:val="24"/>
        </w:rPr>
        <w:t xml:space="preserve">cigarettes and </w:t>
      </w:r>
      <w:r w:rsidRPr="00F0426C">
        <w:rPr>
          <w:rFonts w:ascii="Times New Roman" w:hAnsi="Times New Roman" w:cs="Times New Roman"/>
          <w:sz w:val="24"/>
          <w:szCs w:val="24"/>
        </w:rPr>
        <w:t>ENDS</w:t>
      </w:r>
      <w:r>
        <w:rPr>
          <w:rFonts w:ascii="Times New Roman" w:hAnsi="Times New Roman" w:cs="Times New Roman"/>
          <w:sz w:val="24"/>
          <w:szCs w:val="24"/>
        </w:rPr>
        <w:t xml:space="preserve"> – representing the evasion of </w:t>
      </w:r>
      <w:r w:rsidRPr="00F0426C">
        <w:rPr>
          <w:rFonts w:ascii="Times New Roman" w:hAnsi="Times New Roman" w:cs="Times New Roman"/>
          <w:sz w:val="24"/>
          <w:szCs w:val="24"/>
        </w:rPr>
        <w:t>approximately $</w:t>
      </w:r>
      <w:r>
        <w:rPr>
          <w:rFonts w:ascii="Times New Roman" w:hAnsi="Times New Roman" w:cs="Times New Roman"/>
          <w:sz w:val="24"/>
          <w:szCs w:val="24"/>
        </w:rPr>
        <w:t>3,596</w:t>
      </w:r>
      <w:r w:rsidRPr="00F0426C">
        <w:rPr>
          <w:rFonts w:ascii="Times New Roman" w:hAnsi="Times New Roman" w:cs="Times New Roman"/>
          <w:sz w:val="24"/>
          <w:szCs w:val="24"/>
        </w:rPr>
        <w:t xml:space="preserve"> in excise taxes</w:t>
      </w:r>
      <w:r>
        <w:rPr>
          <w:rFonts w:ascii="Times New Roman" w:hAnsi="Times New Roman" w:cs="Times New Roman"/>
          <w:sz w:val="24"/>
          <w:szCs w:val="24"/>
        </w:rPr>
        <w:t xml:space="preserve">. As a result of the seizure and based upon a second offense, DOR issued a 270-day suspension of the retailer’s ENDS license, a 90-day suspension of the cigarette license, and </w:t>
      </w:r>
      <w:r w:rsidR="00255C20">
        <w:rPr>
          <w:rFonts w:ascii="Times New Roman" w:hAnsi="Times New Roman" w:cs="Times New Roman"/>
          <w:sz w:val="24"/>
          <w:szCs w:val="24"/>
        </w:rPr>
        <w:t>issued civil penalties against the taxpayer.</w:t>
      </w:r>
    </w:p>
    <w:p w14:paraId="069F6976" w14:textId="77777777" w:rsidR="00F0426C" w:rsidRPr="00F0426C" w:rsidRDefault="00F0426C" w:rsidP="00F0426C">
      <w:pPr>
        <w:pStyle w:val="ListParagraph"/>
        <w:rPr>
          <w:rFonts w:ascii="Times New Roman" w:hAnsi="Times New Roman" w:cs="Times New Roman"/>
          <w:sz w:val="24"/>
          <w:szCs w:val="24"/>
        </w:rPr>
      </w:pPr>
    </w:p>
    <w:p w14:paraId="2B69827E" w14:textId="3B915B2B" w:rsidR="00F0426C" w:rsidRDefault="00F0426C" w:rsidP="004277E1">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In December of 2025, MEB conducted an inspection of </w:t>
      </w:r>
      <w:r w:rsidR="006D6A97">
        <w:rPr>
          <w:rFonts w:ascii="Times New Roman" w:hAnsi="Times New Roman" w:cs="Times New Roman"/>
          <w:sz w:val="24"/>
          <w:szCs w:val="24"/>
        </w:rPr>
        <w:t xml:space="preserve">a </w:t>
      </w:r>
      <w:r>
        <w:rPr>
          <w:rFonts w:ascii="Times New Roman" w:hAnsi="Times New Roman" w:cs="Times New Roman"/>
          <w:sz w:val="24"/>
          <w:szCs w:val="24"/>
        </w:rPr>
        <w:t>licensed retailer in Worcester County</w:t>
      </w:r>
      <w:r w:rsidR="006D6A97">
        <w:rPr>
          <w:rFonts w:ascii="Times New Roman" w:hAnsi="Times New Roman" w:cs="Times New Roman"/>
          <w:sz w:val="24"/>
          <w:szCs w:val="24"/>
        </w:rPr>
        <w:t xml:space="preserve"> (same retailer inspected in November of 2025 and noted above)</w:t>
      </w:r>
      <w:r>
        <w:rPr>
          <w:rFonts w:ascii="Times New Roman" w:hAnsi="Times New Roman" w:cs="Times New Roman"/>
          <w:sz w:val="24"/>
          <w:szCs w:val="24"/>
        </w:rPr>
        <w:t xml:space="preserve"> and seized</w:t>
      </w:r>
      <w:r w:rsidRPr="00F0426C">
        <w:rPr>
          <w:rFonts w:ascii="Times New Roman" w:hAnsi="Times New Roman" w:cs="Times New Roman"/>
          <w:sz w:val="24"/>
          <w:szCs w:val="24"/>
        </w:rPr>
        <w:t xml:space="preserve"> untaxed cigarettes </w:t>
      </w:r>
      <w:r>
        <w:rPr>
          <w:rFonts w:ascii="Times New Roman" w:hAnsi="Times New Roman" w:cs="Times New Roman"/>
          <w:sz w:val="24"/>
          <w:szCs w:val="24"/>
        </w:rPr>
        <w:t xml:space="preserve">and </w:t>
      </w:r>
      <w:r w:rsidRPr="00F0426C">
        <w:rPr>
          <w:rFonts w:ascii="Times New Roman" w:hAnsi="Times New Roman" w:cs="Times New Roman"/>
          <w:sz w:val="24"/>
          <w:szCs w:val="24"/>
        </w:rPr>
        <w:t>cigars</w:t>
      </w:r>
      <w:r>
        <w:rPr>
          <w:rFonts w:ascii="Times New Roman" w:hAnsi="Times New Roman" w:cs="Times New Roman"/>
          <w:sz w:val="24"/>
          <w:szCs w:val="24"/>
        </w:rPr>
        <w:t xml:space="preserve"> – representing the evasion of </w:t>
      </w:r>
      <w:r w:rsidRPr="00F0426C">
        <w:rPr>
          <w:rFonts w:ascii="Times New Roman" w:hAnsi="Times New Roman" w:cs="Times New Roman"/>
          <w:sz w:val="24"/>
          <w:szCs w:val="24"/>
        </w:rPr>
        <w:t>$1,100 in excise taxes</w:t>
      </w:r>
      <w:r>
        <w:rPr>
          <w:rFonts w:ascii="Times New Roman" w:hAnsi="Times New Roman" w:cs="Times New Roman"/>
          <w:sz w:val="24"/>
          <w:szCs w:val="24"/>
        </w:rPr>
        <w:t>. As a result of the seizure, DOR issued a 1</w:t>
      </w:r>
      <w:r w:rsidRPr="00F0426C">
        <w:rPr>
          <w:rFonts w:ascii="Times New Roman" w:hAnsi="Times New Roman" w:cs="Times New Roman"/>
          <w:sz w:val="24"/>
          <w:szCs w:val="24"/>
        </w:rPr>
        <w:t xml:space="preserve">80-day </w:t>
      </w:r>
      <w:r>
        <w:rPr>
          <w:rFonts w:ascii="Times New Roman" w:hAnsi="Times New Roman" w:cs="Times New Roman"/>
          <w:sz w:val="24"/>
          <w:szCs w:val="24"/>
        </w:rPr>
        <w:t xml:space="preserve">suspension of the retailer’s cigarette license and </w:t>
      </w:r>
      <w:r w:rsidR="004277E1">
        <w:rPr>
          <w:rFonts w:ascii="Times New Roman" w:hAnsi="Times New Roman" w:cs="Times New Roman"/>
          <w:sz w:val="24"/>
          <w:szCs w:val="24"/>
        </w:rPr>
        <w:t xml:space="preserve">a </w:t>
      </w:r>
      <w:r>
        <w:rPr>
          <w:rFonts w:ascii="Times New Roman" w:hAnsi="Times New Roman" w:cs="Times New Roman"/>
          <w:sz w:val="24"/>
          <w:szCs w:val="24"/>
        </w:rPr>
        <w:t>warning letter for the cigar license</w:t>
      </w:r>
      <w:r w:rsidRPr="00F0426C">
        <w:rPr>
          <w:rFonts w:ascii="Times New Roman" w:hAnsi="Times New Roman" w:cs="Times New Roman"/>
          <w:sz w:val="24"/>
          <w:szCs w:val="24"/>
        </w:rPr>
        <w:t xml:space="preserve">.   </w:t>
      </w:r>
    </w:p>
    <w:p w14:paraId="3AF87867" w14:textId="77777777" w:rsidR="007F474B" w:rsidRPr="007F474B" w:rsidRDefault="007F474B" w:rsidP="007F474B">
      <w:pPr>
        <w:pStyle w:val="ListParagraph"/>
        <w:rPr>
          <w:rFonts w:ascii="Times New Roman" w:hAnsi="Times New Roman" w:cs="Times New Roman"/>
          <w:sz w:val="24"/>
          <w:szCs w:val="24"/>
        </w:rPr>
      </w:pPr>
    </w:p>
    <w:p w14:paraId="2B4A3136" w14:textId="0A29FF9A" w:rsidR="007F474B" w:rsidRPr="007F474B" w:rsidRDefault="007F474B" w:rsidP="007F474B">
      <w:pPr>
        <w:pStyle w:val="NormalWeb"/>
        <w:numPr>
          <w:ilvl w:val="0"/>
          <w:numId w:val="6"/>
        </w:numPr>
        <w:spacing w:before="0" w:beforeAutospacing="0" w:after="0" w:afterAutospacing="0"/>
        <w:jc w:val="both"/>
        <w:rPr>
          <w:color w:val="000000"/>
        </w:rPr>
      </w:pPr>
      <w:r>
        <w:rPr>
          <w:color w:val="000000"/>
        </w:rPr>
        <w:t>In January of 2026, CIB, with assistance from the Fall River Police Department, served</w:t>
      </w:r>
      <w:r w:rsidRPr="00F0426C">
        <w:rPr>
          <w:color w:val="000000"/>
        </w:rPr>
        <w:t xml:space="preserve"> an administrative search warrant </w:t>
      </w:r>
      <w:r>
        <w:rPr>
          <w:color w:val="000000"/>
        </w:rPr>
        <w:t>at</w:t>
      </w:r>
      <w:r w:rsidRPr="00F0426C">
        <w:rPr>
          <w:color w:val="000000"/>
        </w:rPr>
        <w:t xml:space="preserve"> an unlicensed </w:t>
      </w:r>
      <w:r>
        <w:rPr>
          <w:color w:val="000000"/>
        </w:rPr>
        <w:t xml:space="preserve">retailer in Bristol County. The retailer previously refused to allow CIB to conduct an inspection of the premises without a </w:t>
      </w:r>
      <w:proofErr w:type="gramStart"/>
      <w:r>
        <w:rPr>
          <w:color w:val="000000"/>
        </w:rPr>
        <w:t>warrant</w:t>
      </w:r>
      <w:proofErr w:type="gramEnd"/>
      <w:r>
        <w:rPr>
          <w:color w:val="000000"/>
        </w:rPr>
        <w:t xml:space="preserve">. </w:t>
      </w:r>
      <w:r w:rsidRPr="00F0426C">
        <w:rPr>
          <w:color w:val="000000"/>
        </w:rPr>
        <w:t xml:space="preserve">As a result of the search warrant, CIB seized a quantity of untaxed ENDS </w:t>
      </w:r>
      <w:r>
        <w:rPr>
          <w:color w:val="000000"/>
        </w:rPr>
        <w:t xml:space="preserve">and smoking tobacco </w:t>
      </w:r>
      <w:r w:rsidRPr="00F0426C">
        <w:rPr>
          <w:color w:val="000000"/>
        </w:rPr>
        <w:t>products</w:t>
      </w:r>
      <w:r>
        <w:rPr>
          <w:color w:val="000000"/>
        </w:rPr>
        <w:t xml:space="preserve"> – representing the evasion of approximately $4,490 in excise taxes</w:t>
      </w:r>
      <w:r w:rsidRPr="00F0426C">
        <w:rPr>
          <w:color w:val="000000"/>
        </w:rPr>
        <w:t>. </w:t>
      </w:r>
      <w:r>
        <w:rPr>
          <w:color w:val="000000"/>
        </w:rPr>
        <w:t>DOR issued civil penalties against the taxpayer for operating as a tobacco and ENDS retailer without a license.</w:t>
      </w:r>
    </w:p>
    <w:bookmarkEnd w:id="22"/>
    <w:bookmarkEnd w:id="23"/>
    <w:bookmarkEnd w:id="24"/>
    <w:bookmarkEnd w:id="25"/>
    <w:p w14:paraId="238DEC81" w14:textId="77777777" w:rsidR="00882790" w:rsidRPr="0098681E" w:rsidRDefault="00882790" w:rsidP="00882790">
      <w:pPr>
        <w:pStyle w:val="ListParagraph"/>
        <w:widowControl/>
        <w:ind w:left="720"/>
        <w:jc w:val="both"/>
        <w:rPr>
          <w:rFonts w:ascii="Times New Roman" w:hAnsi="Times New Roman" w:cs="Times New Roman"/>
          <w:sz w:val="24"/>
          <w:szCs w:val="24"/>
        </w:rPr>
      </w:pPr>
    </w:p>
    <w:p w14:paraId="4DCD5568" w14:textId="653C4858" w:rsidR="00DF35CF" w:rsidRDefault="00DF35CF" w:rsidP="00DA5802">
      <w:pPr>
        <w:pStyle w:val="BodyText"/>
        <w:ind w:left="0" w:right="115" w:firstLine="720"/>
        <w:jc w:val="both"/>
      </w:pPr>
      <w:bookmarkStart w:id="26" w:name="_Hlk157434033"/>
      <w:r w:rsidRPr="00B35727">
        <w:t xml:space="preserve">The Litigation Bureau within the General Counsel’s office is another important part of DOR’s civil tobacco enforcement team. The tobacco seizures, license suspensions, </w:t>
      </w:r>
      <w:r w:rsidR="00711FE2">
        <w:t xml:space="preserve">civil penalties, </w:t>
      </w:r>
      <w:r w:rsidRPr="00B35727">
        <w:t xml:space="preserve">and audit assessments generated by CIB and MEB are sometimes appealed to the Appellate Tax Board (“ATB”). The Litigation Bureau, comprised of dedicated civil attorneys, defends the DOR Commissioner before the ATB. </w:t>
      </w:r>
      <w:r w:rsidR="000A77B7" w:rsidRPr="00B35727">
        <w:t xml:space="preserve">Since </w:t>
      </w:r>
      <w:r w:rsidR="00B35727" w:rsidRPr="00B35727">
        <w:t>last year’s report</w:t>
      </w:r>
      <w:r w:rsidR="000A77B7" w:rsidRPr="00B35727">
        <w:t xml:space="preserve">, DOR </w:t>
      </w:r>
      <w:r w:rsidR="00B35727" w:rsidRPr="00B35727">
        <w:t>successfully managed</w:t>
      </w:r>
      <w:r w:rsidR="000A77B7" w:rsidRPr="00B35727">
        <w:t xml:space="preserve"> </w:t>
      </w:r>
      <w:r w:rsidR="003A3E5B">
        <w:t>thirty-four</w:t>
      </w:r>
      <w:r w:rsidR="000A77B7" w:rsidRPr="00B35727">
        <w:t xml:space="preserve"> ATB appeals, having secured significant license suspensions without the need for a trial. </w:t>
      </w:r>
      <w:r w:rsidR="00B35727" w:rsidRPr="00B35727">
        <w:t>To date</w:t>
      </w:r>
      <w:r w:rsidR="000A77B7" w:rsidRPr="00B35727">
        <w:t>, the Litigation Bureau</w:t>
      </w:r>
      <w:r w:rsidR="00914D49">
        <w:t xml:space="preserve"> has conducted </w:t>
      </w:r>
      <w:r w:rsidR="00295BAC">
        <w:t>eighteen</w:t>
      </w:r>
      <w:r w:rsidR="00914D49">
        <w:t xml:space="preserve"> license </w:t>
      </w:r>
      <w:r w:rsidR="00914D49" w:rsidRPr="003A3E5B">
        <w:t>suspension trial</w:t>
      </w:r>
      <w:r w:rsidR="003A3E5B" w:rsidRPr="003A3E5B">
        <w:t>s</w:t>
      </w:r>
      <w:r w:rsidR="00914D49" w:rsidRPr="003A3E5B">
        <w:t xml:space="preserve"> before the ATB </w:t>
      </w:r>
      <w:r w:rsidR="003A3E5B">
        <w:t>which resulted in</w:t>
      </w:r>
      <w:r w:rsidR="00914D49" w:rsidRPr="003A3E5B">
        <w:t xml:space="preserve"> seventeen rulings in favor of the Commissioner</w:t>
      </w:r>
      <w:r w:rsidRPr="003A3E5B">
        <w:t>.</w:t>
      </w:r>
    </w:p>
    <w:p w14:paraId="718DAA50" w14:textId="77777777" w:rsidR="00725AE5" w:rsidRDefault="00725AE5" w:rsidP="00B32253">
      <w:pPr>
        <w:pStyle w:val="BodyText"/>
        <w:ind w:right="114"/>
        <w:jc w:val="center"/>
        <w:rPr>
          <w:b/>
        </w:rPr>
      </w:pPr>
      <w:bookmarkStart w:id="27" w:name="_Hlk94873226"/>
      <w:bookmarkStart w:id="28" w:name="_Hlk188023111"/>
      <w:bookmarkEnd w:id="26"/>
    </w:p>
    <w:p w14:paraId="34C161F0" w14:textId="7635305F" w:rsidR="00A722B5" w:rsidRPr="00A77A0B" w:rsidRDefault="00A722B5" w:rsidP="00B32253">
      <w:pPr>
        <w:pStyle w:val="BodyText"/>
        <w:ind w:right="114"/>
        <w:jc w:val="center"/>
        <w:rPr>
          <w:b/>
        </w:rPr>
      </w:pPr>
      <w:bookmarkStart w:id="29" w:name="_Hlk218700663"/>
      <w:r w:rsidRPr="00A77A0B">
        <w:rPr>
          <w:b/>
        </w:rPr>
        <w:t xml:space="preserve">Figure </w:t>
      </w:r>
      <w:r w:rsidR="002C125F">
        <w:rPr>
          <w:b/>
        </w:rPr>
        <w:t>6</w:t>
      </w:r>
      <w:r w:rsidRPr="00A77A0B">
        <w:rPr>
          <w:b/>
        </w:rPr>
        <w:t xml:space="preserve">: </w:t>
      </w:r>
      <w:r w:rsidR="00264164">
        <w:rPr>
          <w:b/>
        </w:rPr>
        <w:t xml:space="preserve">Local </w:t>
      </w:r>
      <w:r w:rsidR="00836EB9">
        <w:rPr>
          <w:b/>
        </w:rPr>
        <w:t>Board</w:t>
      </w:r>
      <w:r w:rsidR="00264164">
        <w:rPr>
          <w:b/>
        </w:rPr>
        <w:t>s</w:t>
      </w:r>
      <w:r w:rsidR="00836EB9">
        <w:rPr>
          <w:b/>
        </w:rPr>
        <w:t xml:space="preserve"> of Health</w:t>
      </w:r>
      <w:r>
        <w:rPr>
          <w:b/>
        </w:rPr>
        <w:t xml:space="preserve"> Tobacco Inspections</w:t>
      </w:r>
      <w:r w:rsidR="00836EB9">
        <w:rPr>
          <w:b/>
        </w:rPr>
        <w:t xml:space="preserve"> (</w:t>
      </w:r>
      <w:r w:rsidR="00A92C0B">
        <w:rPr>
          <w:b/>
        </w:rPr>
        <w:t xml:space="preserve">POST </w:t>
      </w:r>
      <w:r w:rsidR="00836EB9">
        <w:rPr>
          <w:b/>
        </w:rPr>
        <w:t>Data)</w:t>
      </w:r>
    </w:p>
    <w:p w14:paraId="2ED7CA77" w14:textId="277F0C47" w:rsidR="00713ADE" w:rsidRDefault="00713ADE" w:rsidP="003C2F72">
      <w:pPr>
        <w:pStyle w:val="BodyText"/>
        <w:spacing w:beforeLines="30" w:before="72"/>
        <w:ind w:left="0" w:right="113" w:firstLine="720"/>
        <w:jc w:val="both"/>
      </w:pPr>
    </w:p>
    <w:tbl>
      <w:tblPr>
        <w:tblStyle w:val="TableGrid"/>
        <w:tblW w:w="0" w:type="auto"/>
        <w:jc w:val="center"/>
        <w:shd w:val="clear" w:color="auto" w:fill="BDD6EE" w:themeFill="accent5" w:themeFillTint="66"/>
        <w:tblLook w:val="04A0" w:firstRow="1" w:lastRow="0" w:firstColumn="1" w:lastColumn="0" w:noHBand="0" w:noVBand="1"/>
      </w:tblPr>
      <w:tblGrid>
        <w:gridCol w:w="4150"/>
        <w:gridCol w:w="881"/>
        <w:gridCol w:w="881"/>
        <w:gridCol w:w="881"/>
        <w:gridCol w:w="881"/>
        <w:gridCol w:w="881"/>
      </w:tblGrid>
      <w:tr w:rsidR="00EC722E" w:rsidRPr="00E56EDD" w14:paraId="7D6A0031" w14:textId="6C9D2A7C" w:rsidTr="00335770">
        <w:trPr>
          <w:jc w:val="center"/>
        </w:trPr>
        <w:tc>
          <w:tcPr>
            <w:tcW w:w="4150" w:type="dxa"/>
            <w:shd w:val="clear" w:color="auto" w:fill="BDD6EE" w:themeFill="accent5" w:themeFillTint="66"/>
          </w:tcPr>
          <w:p w14:paraId="2CF2A010" w14:textId="505FEED8" w:rsidR="00EC722E" w:rsidRPr="00E56EDD" w:rsidRDefault="00EC722E" w:rsidP="003C2F72">
            <w:pPr>
              <w:pStyle w:val="BodyText"/>
              <w:spacing w:beforeLines="30" w:before="72"/>
              <w:ind w:left="0" w:right="114"/>
              <w:jc w:val="both"/>
              <w:rPr>
                <w:rFonts w:ascii="Arial" w:hAnsi="Arial" w:cs="Arial"/>
                <w:b/>
                <w:bCs/>
                <w:sz w:val="22"/>
                <w:szCs w:val="22"/>
              </w:rPr>
            </w:pPr>
            <w:r w:rsidRPr="00E56EDD">
              <w:rPr>
                <w:rFonts w:ascii="Arial" w:hAnsi="Arial" w:cs="Arial"/>
                <w:b/>
                <w:bCs/>
                <w:sz w:val="22"/>
                <w:szCs w:val="22"/>
              </w:rPr>
              <w:t>LBOH Tobacco Inspections</w:t>
            </w:r>
          </w:p>
        </w:tc>
        <w:tc>
          <w:tcPr>
            <w:tcW w:w="881" w:type="dxa"/>
            <w:shd w:val="clear" w:color="auto" w:fill="BDD6EE" w:themeFill="accent5" w:themeFillTint="66"/>
          </w:tcPr>
          <w:p w14:paraId="79C10858" w14:textId="77777777" w:rsidR="00EC722E" w:rsidRPr="00E56EDD" w:rsidRDefault="00EC722E" w:rsidP="003C2F72">
            <w:pPr>
              <w:pStyle w:val="BodyText"/>
              <w:spacing w:beforeLines="30" w:before="72"/>
              <w:ind w:left="0" w:right="114"/>
              <w:jc w:val="center"/>
              <w:rPr>
                <w:rFonts w:ascii="Arial" w:hAnsi="Arial" w:cs="Arial"/>
                <w:b/>
                <w:bCs/>
                <w:sz w:val="22"/>
                <w:szCs w:val="22"/>
              </w:rPr>
            </w:pPr>
            <w:r w:rsidRPr="00E56EDD">
              <w:rPr>
                <w:rFonts w:ascii="Arial" w:hAnsi="Arial" w:cs="Arial"/>
                <w:b/>
                <w:bCs/>
                <w:sz w:val="22"/>
                <w:szCs w:val="22"/>
              </w:rPr>
              <w:t>FY21</w:t>
            </w:r>
          </w:p>
        </w:tc>
        <w:tc>
          <w:tcPr>
            <w:tcW w:w="881" w:type="dxa"/>
            <w:shd w:val="clear" w:color="auto" w:fill="BDD6EE" w:themeFill="accent5" w:themeFillTint="66"/>
          </w:tcPr>
          <w:p w14:paraId="09C3321C" w14:textId="164DD143" w:rsidR="00EC722E" w:rsidRPr="00E56EDD" w:rsidRDefault="00EC722E" w:rsidP="003C2F72">
            <w:pPr>
              <w:pStyle w:val="BodyText"/>
              <w:spacing w:beforeLines="30" w:before="72"/>
              <w:ind w:left="0" w:right="114"/>
              <w:jc w:val="center"/>
              <w:rPr>
                <w:rFonts w:ascii="Arial" w:hAnsi="Arial" w:cs="Arial"/>
                <w:b/>
                <w:bCs/>
                <w:sz w:val="22"/>
                <w:szCs w:val="22"/>
              </w:rPr>
            </w:pPr>
            <w:r>
              <w:rPr>
                <w:rFonts w:ascii="Arial" w:hAnsi="Arial" w:cs="Arial"/>
                <w:b/>
                <w:bCs/>
                <w:sz w:val="22"/>
                <w:szCs w:val="22"/>
              </w:rPr>
              <w:t>FY22</w:t>
            </w:r>
          </w:p>
        </w:tc>
        <w:tc>
          <w:tcPr>
            <w:tcW w:w="881" w:type="dxa"/>
            <w:shd w:val="clear" w:color="auto" w:fill="BDD6EE" w:themeFill="accent5" w:themeFillTint="66"/>
          </w:tcPr>
          <w:p w14:paraId="0B816F92" w14:textId="3A203BFE" w:rsidR="00EC722E" w:rsidRDefault="00EC722E" w:rsidP="003C2F72">
            <w:pPr>
              <w:pStyle w:val="BodyText"/>
              <w:spacing w:beforeLines="30" w:before="72"/>
              <w:ind w:left="0" w:right="114"/>
              <w:jc w:val="center"/>
              <w:rPr>
                <w:rFonts w:ascii="Arial" w:hAnsi="Arial" w:cs="Arial"/>
                <w:b/>
                <w:bCs/>
                <w:sz w:val="22"/>
                <w:szCs w:val="22"/>
              </w:rPr>
            </w:pPr>
            <w:r>
              <w:rPr>
                <w:rFonts w:ascii="Arial" w:hAnsi="Arial" w:cs="Arial"/>
                <w:b/>
                <w:bCs/>
                <w:sz w:val="22"/>
                <w:szCs w:val="22"/>
              </w:rPr>
              <w:t>FY23</w:t>
            </w:r>
          </w:p>
        </w:tc>
        <w:tc>
          <w:tcPr>
            <w:tcW w:w="881" w:type="dxa"/>
            <w:shd w:val="clear" w:color="auto" w:fill="BDD6EE" w:themeFill="accent5" w:themeFillTint="66"/>
          </w:tcPr>
          <w:p w14:paraId="594E9A1E" w14:textId="111AF011" w:rsidR="00EC722E" w:rsidRDefault="00EC722E" w:rsidP="003C2F72">
            <w:pPr>
              <w:pStyle w:val="BodyText"/>
              <w:spacing w:beforeLines="30" w:before="72"/>
              <w:ind w:left="0" w:right="114"/>
              <w:jc w:val="center"/>
              <w:rPr>
                <w:rFonts w:ascii="Arial" w:hAnsi="Arial" w:cs="Arial"/>
                <w:b/>
                <w:bCs/>
                <w:sz w:val="22"/>
                <w:szCs w:val="22"/>
              </w:rPr>
            </w:pPr>
            <w:r>
              <w:rPr>
                <w:rFonts w:ascii="Arial" w:hAnsi="Arial" w:cs="Arial"/>
                <w:b/>
                <w:bCs/>
                <w:sz w:val="22"/>
                <w:szCs w:val="22"/>
              </w:rPr>
              <w:t>FY24</w:t>
            </w:r>
          </w:p>
        </w:tc>
        <w:tc>
          <w:tcPr>
            <w:tcW w:w="881" w:type="dxa"/>
            <w:shd w:val="clear" w:color="auto" w:fill="BDD6EE" w:themeFill="accent5" w:themeFillTint="66"/>
          </w:tcPr>
          <w:p w14:paraId="6473B741" w14:textId="4ACFD800" w:rsidR="00EC722E" w:rsidRDefault="00EC722E" w:rsidP="003C2F72">
            <w:pPr>
              <w:pStyle w:val="BodyText"/>
              <w:spacing w:beforeLines="30" w:before="72"/>
              <w:ind w:left="0" w:right="114"/>
              <w:jc w:val="center"/>
              <w:rPr>
                <w:rFonts w:ascii="Arial" w:hAnsi="Arial" w:cs="Arial"/>
                <w:b/>
                <w:bCs/>
                <w:sz w:val="22"/>
                <w:szCs w:val="22"/>
              </w:rPr>
            </w:pPr>
            <w:r>
              <w:rPr>
                <w:rFonts w:ascii="Arial" w:hAnsi="Arial" w:cs="Arial"/>
                <w:b/>
                <w:bCs/>
                <w:sz w:val="22"/>
                <w:szCs w:val="22"/>
              </w:rPr>
              <w:t>FY25</w:t>
            </w:r>
          </w:p>
        </w:tc>
      </w:tr>
      <w:tr w:rsidR="00EC722E" w:rsidRPr="00E56EDD" w14:paraId="17B142A3" w14:textId="464A1B25" w:rsidTr="00335770">
        <w:trPr>
          <w:jc w:val="center"/>
        </w:trPr>
        <w:tc>
          <w:tcPr>
            <w:tcW w:w="4150" w:type="dxa"/>
            <w:shd w:val="clear" w:color="auto" w:fill="BDD6EE" w:themeFill="accent5" w:themeFillTint="66"/>
          </w:tcPr>
          <w:p w14:paraId="66964B1D" w14:textId="1AD56F45" w:rsidR="00EC722E" w:rsidRPr="00E56EDD" w:rsidRDefault="00EC722E" w:rsidP="003C2F72">
            <w:pPr>
              <w:pStyle w:val="BodyText"/>
              <w:spacing w:beforeLines="30" w:before="72"/>
              <w:ind w:left="0" w:right="114"/>
              <w:jc w:val="both"/>
              <w:rPr>
                <w:rFonts w:ascii="Arial" w:hAnsi="Arial" w:cs="Arial"/>
                <w:sz w:val="22"/>
                <w:szCs w:val="22"/>
              </w:rPr>
            </w:pPr>
            <w:r w:rsidRPr="00E56EDD">
              <w:rPr>
                <w:rFonts w:ascii="Arial" w:hAnsi="Arial" w:cs="Arial"/>
                <w:sz w:val="22"/>
                <w:szCs w:val="22"/>
              </w:rPr>
              <w:t>Inspections</w:t>
            </w:r>
          </w:p>
        </w:tc>
        <w:tc>
          <w:tcPr>
            <w:tcW w:w="881" w:type="dxa"/>
            <w:shd w:val="clear" w:color="auto" w:fill="BDD6EE" w:themeFill="accent5" w:themeFillTint="66"/>
          </w:tcPr>
          <w:p w14:paraId="774B1D55" w14:textId="64FAAEB3" w:rsidR="00EC722E" w:rsidRPr="00E56EDD" w:rsidRDefault="00EC722E" w:rsidP="003C2F72">
            <w:pPr>
              <w:pStyle w:val="BodyText"/>
              <w:spacing w:beforeLines="30" w:before="72"/>
              <w:ind w:left="0" w:right="114"/>
              <w:jc w:val="center"/>
              <w:rPr>
                <w:rFonts w:ascii="Arial" w:hAnsi="Arial" w:cs="Arial"/>
                <w:sz w:val="22"/>
                <w:szCs w:val="22"/>
              </w:rPr>
            </w:pPr>
            <w:r w:rsidRPr="00E56EDD">
              <w:rPr>
                <w:rFonts w:ascii="Arial" w:hAnsi="Arial" w:cs="Arial"/>
                <w:sz w:val="22"/>
                <w:szCs w:val="22"/>
              </w:rPr>
              <w:t>4</w:t>
            </w:r>
            <w:r w:rsidR="00C60364">
              <w:rPr>
                <w:rFonts w:ascii="Arial" w:hAnsi="Arial" w:cs="Arial"/>
                <w:sz w:val="22"/>
                <w:szCs w:val="22"/>
              </w:rPr>
              <w:t>,</w:t>
            </w:r>
            <w:r w:rsidRPr="00E56EDD">
              <w:rPr>
                <w:rFonts w:ascii="Arial" w:hAnsi="Arial" w:cs="Arial"/>
                <w:sz w:val="22"/>
                <w:szCs w:val="22"/>
              </w:rPr>
              <w:t>935</w:t>
            </w:r>
          </w:p>
        </w:tc>
        <w:tc>
          <w:tcPr>
            <w:tcW w:w="881" w:type="dxa"/>
            <w:shd w:val="clear" w:color="auto" w:fill="BDD6EE" w:themeFill="accent5" w:themeFillTint="66"/>
          </w:tcPr>
          <w:p w14:paraId="08504F83" w14:textId="0C7BCCE3" w:rsidR="00EC722E" w:rsidRPr="00E56EDD" w:rsidRDefault="00EC722E" w:rsidP="003C2F72">
            <w:pPr>
              <w:pStyle w:val="BodyText"/>
              <w:spacing w:beforeLines="30" w:before="72"/>
              <w:ind w:left="0" w:right="114"/>
              <w:jc w:val="center"/>
              <w:rPr>
                <w:rFonts w:ascii="Arial" w:hAnsi="Arial" w:cs="Arial"/>
                <w:sz w:val="22"/>
                <w:szCs w:val="22"/>
              </w:rPr>
            </w:pPr>
            <w:r>
              <w:rPr>
                <w:rFonts w:ascii="Arial" w:hAnsi="Arial" w:cs="Arial"/>
                <w:sz w:val="22"/>
                <w:szCs w:val="22"/>
              </w:rPr>
              <w:t>6</w:t>
            </w:r>
            <w:r w:rsidR="00C60364">
              <w:rPr>
                <w:rFonts w:ascii="Arial" w:hAnsi="Arial" w:cs="Arial"/>
                <w:sz w:val="22"/>
                <w:szCs w:val="22"/>
              </w:rPr>
              <w:t>,</w:t>
            </w:r>
            <w:r>
              <w:rPr>
                <w:rFonts w:ascii="Arial" w:hAnsi="Arial" w:cs="Arial"/>
                <w:sz w:val="22"/>
                <w:szCs w:val="22"/>
              </w:rPr>
              <w:t>290</w:t>
            </w:r>
          </w:p>
        </w:tc>
        <w:tc>
          <w:tcPr>
            <w:tcW w:w="881" w:type="dxa"/>
            <w:shd w:val="clear" w:color="auto" w:fill="BDD6EE" w:themeFill="accent5" w:themeFillTint="66"/>
          </w:tcPr>
          <w:p w14:paraId="0371CB27" w14:textId="5452FF26" w:rsidR="00EC722E" w:rsidRDefault="00EC722E" w:rsidP="003C2F72">
            <w:pPr>
              <w:pStyle w:val="BodyText"/>
              <w:spacing w:beforeLines="30" w:before="72"/>
              <w:ind w:left="0" w:right="114"/>
              <w:jc w:val="center"/>
              <w:rPr>
                <w:rFonts w:ascii="Arial" w:hAnsi="Arial" w:cs="Arial"/>
                <w:sz w:val="22"/>
                <w:szCs w:val="22"/>
              </w:rPr>
            </w:pPr>
            <w:r>
              <w:rPr>
                <w:rFonts w:ascii="Arial" w:hAnsi="Arial" w:cs="Arial"/>
                <w:sz w:val="22"/>
                <w:szCs w:val="22"/>
              </w:rPr>
              <w:t>6</w:t>
            </w:r>
            <w:r w:rsidR="00C60364">
              <w:rPr>
                <w:rFonts w:ascii="Arial" w:hAnsi="Arial" w:cs="Arial"/>
                <w:sz w:val="22"/>
                <w:szCs w:val="22"/>
              </w:rPr>
              <w:t>,</w:t>
            </w:r>
            <w:r>
              <w:rPr>
                <w:rFonts w:ascii="Arial" w:hAnsi="Arial" w:cs="Arial"/>
                <w:sz w:val="22"/>
                <w:szCs w:val="22"/>
              </w:rPr>
              <w:t>342</w:t>
            </w:r>
          </w:p>
        </w:tc>
        <w:tc>
          <w:tcPr>
            <w:tcW w:w="881" w:type="dxa"/>
            <w:shd w:val="clear" w:color="auto" w:fill="BDD6EE" w:themeFill="accent5" w:themeFillTint="66"/>
          </w:tcPr>
          <w:p w14:paraId="0F792BA3" w14:textId="6FDD8372" w:rsidR="00EC722E" w:rsidRDefault="00EC722E" w:rsidP="003C2F72">
            <w:pPr>
              <w:pStyle w:val="BodyText"/>
              <w:spacing w:beforeLines="30" w:before="72"/>
              <w:ind w:left="0" w:right="114"/>
              <w:jc w:val="center"/>
              <w:rPr>
                <w:rFonts w:ascii="Arial" w:hAnsi="Arial" w:cs="Arial"/>
                <w:sz w:val="22"/>
                <w:szCs w:val="22"/>
              </w:rPr>
            </w:pPr>
            <w:r>
              <w:rPr>
                <w:rFonts w:ascii="Arial" w:hAnsi="Arial" w:cs="Arial"/>
                <w:sz w:val="22"/>
                <w:szCs w:val="22"/>
              </w:rPr>
              <w:t>6</w:t>
            </w:r>
            <w:r w:rsidR="00C60364">
              <w:rPr>
                <w:rFonts w:ascii="Arial" w:hAnsi="Arial" w:cs="Arial"/>
                <w:sz w:val="22"/>
                <w:szCs w:val="22"/>
              </w:rPr>
              <w:t>,</w:t>
            </w:r>
            <w:r>
              <w:rPr>
                <w:rFonts w:ascii="Arial" w:hAnsi="Arial" w:cs="Arial"/>
                <w:sz w:val="22"/>
                <w:szCs w:val="22"/>
              </w:rPr>
              <w:t>610</w:t>
            </w:r>
          </w:p>
        </w:tc>
        <w:tc>
          <w:tcPr>
            <w:tcW w:w="881" w:type="dxa"/>
            <w:shd w:val="clear" w:color="auto" w:fill="BDD6EE" w:themeFill="accent5" w:themeFillTint="66"/>
          </w:tcPr>
          <w:p w14:paraId="24002ED0" w14:textId="05381927" w:rsidR="00EC722E" w:rsidRPr="00C60364" w:rsidRDefault="00C60364" w:rsidP="003C2F72">
            <w:pPr>
              <w:pStyle w:val="BodyText"/>
              <w:spacing w:beforeLines="30" w:before="72"/>
              <w:ind w:left="0" w:right="114"/>
              <w:jc w:val="center"/>
              <w:rPr>
                <w:rFonts w:ascii="Arial" w:hAnsi="Arial" w:cs="Arial"/>
                <w:b/>
                <w:bCs/>
                <w:sz w:val="22"/>
                <w:szCs w:val="22"/>
              </w:rPr>
            </w:pPr>
            <w:r w:rsidRPr="00C60364">
              <w:rPr>
                <w:rFonts w:ascii="Arial" w:hAnsi="Arial" w:cs="Arial"/>
                <w:b/>
                <w:bCs/>
                <w:sz w:val="22"/>
                <w:szCs w:val="22"/>
              </w:rPr>
              <w:t>6</w:t>
            </w:r>
            <w:r>
              <w:rPr>
                <w:rFonts w:ascii="Arial" w:hAnsi="Arial" w:cs="Arial"/>
                <w:b/>
                <w:bCs/>
                <w:sz w:val="22"/>
                <w:szCs w:val="22"/>
              </w:rPr>
              <w:t>,</w:t>
            </w:r>
            <w:r w:rsidRPr="00C60364">
              <w:rPr>
                <w:rFonts w:ascii="Arial" w:hAnsi="Arial" w:cs="Arial"/>
                <w:b/>
                <w:bCs/>
                <w:sz w:val="22"/>
                <w:szCs w:val="22"/>
              </w:rPr>
              <w:t>847</w:t>
            </w:r>
          </w:p>
        </w:tc>
      </w:tr>
      <w:tr w:rsidR="00EC722E" w:rsidRPr="00E56EDD" w14:paraId="62C69612" w14:textId="3610A945" w:rsidTr="00335770">
        <w:trPr>
          <w:jc w:val="center"/>
        </w:trPr>
        <w:tc>
          <w:tcPr>
            <w:tcW w:w="4150" w:type="dxa"/>
            <w:shd w:val="clear" w:color="auto" w:fill="BDD6EE" w:themeFill="accent5" w:themeFillTint="66"/>
          </w:tcPr>
          <w:p w14:paraId="06562B54" w14:textId="77436581" w:rsidR="00EC722E" w:rsidRPr="00E56EDD" w:rsidRDefault="00EC722E" w:rsidP="003C2F72">
            <w:pPr>
              <w:pStyle w:val="BodyText"/>
              <w:spacing w:beforeLines="30" w:before="72"/>
              <w:ind w:left="0" w:right="114"/>
              <w:jc w:val="both"/>
              <w:rPr>
                <w:rFonts w:ascii="Arial" w:hAnsi="Arial" w:cs="Arial"/>
                <w:sz w:val="22"/>
                <w:szCs w:val="22"/>
              </w:rPr>
            </w:pPr>
            <w:r w:rsidRPr="00E56EDD">
              <w:rPr>
                <w:rFonts w:ascii="Arial" w:hAnsi="Arial" w:cs="Arial"/>
                <w:sz w:val="22"/>
                <w:szCs w:val="22"/>
              </w:rPr>
              <w:t>Violations Cited</w:t>
            </w:r>
            <w:r w:rsidRPr="00E56EDD">
              <w:rPr>
                <w:rStyle w:val="FootnoteReference"/>
                <w:rFonts w:ascii="Arial" w:hAnsi="Arial" w:cs="Arial"/>
                <w:sz w:val="22"/>
                <w:szCs w:val="22"/>
              </w:rPr>
              <w:footnoteReference w:id="25"/>
            </w:r>
          </w:p>
        </w:tc>
        <w:tc>
          <w:tcPr>
            <w:tcW w:w="881" w:type="dxa"/>
            <w:shd w:val="clear" w:color="auto" w:fill="BDD6EE" w:themeFill="accent5" w:themeFillTint="66"/>
          </w:tcPr>
          <w:p w14:paraId="61430292" w14:textId="000CF767" w:rsidR="00EC722E" w:rsidRPr="00E56EDD" w:rsidRDefault="00EC722E" w:rsidP="003C2F72">
            <w:pPr>
              <w:pStyle w:val="BodyText"/>
              <w:spacing w:beforeLines="30" w:before="72"/>
              <w:ind w:left="0" w:right="114"/>
              <w:jc w:val="center"/>
              <w:rPr>
                <w:rFonts w:ascii="Arial" w:hAnsi="Arial" w:cs="Arial"/>
                <w:sz w:val="22"/>
                <w:szCs w:val="22"/>
              </w:rPr>
            </w:pPr>
            <w:r w:rsidRPr="00E56EDD">
              <w:rPr>
                <w:rFonts w:ascii="Arial" w:hAnsi="Arial" w:cs="Arial"/>
                <w:sz w:val="22"/>
                <w:szCs w:val="22"/>
              </w:rPr>
              <w:t>2</w:t>
            </w:r>
            <w:r w:rsidR="00C60364">
              <w:rPr>
                <w:rFonts w:ascii="Arial" w:hAnsi="Arial" w:cs="Arial"/>
                <w:sz w:val="22"/>
                <w:szCs w:val="22"/>
              </w:rPr>
              <w:t>,</w:t>
            </w:r>
            <w:r w:rsidRPr="00E56EDD">
              <w:rPr>
                <w:rFonts w:ascii="Arial" w:hAnsi="Arial" w:cs="Arial"/>
                <w:sz w:val="22"/>
                <w:szCs w:val="22"/>
              </w:rPr>
              <w:t>178</w:t>
            </w:r>
          </w:p>
        </w:tc>
        <w:tc>
          <w:tcPr>
            <w:tcW w:w="881" w:type="dxa"/>
            <w:shd w:val="clear" w:color="auto" w:fill="BDD6EE" w:themeFill="accent5" w:themeFillTint="66"/>
          </w:tcPr>
          <w:p w14:paraId="05B33B81" w14:textId="046FE93A" w:rsidR="00EC722E" w:rsidRPr="00E56EDD" w:rsidRDefault="00EC722E" w:rsidP="003C2F72">
            <w:pPr>
              <w:pStyle w:val="BodyText"/>
              <w:spacing w:beforeLines="30" w:before="72"/>
              <w:ind w:left="0" w:right="114"/>
              <w:jc w:val="center"/>
              <w:rPr>
                <w:rFonts w:ascii="Arial" w:hAnsi="Arial" w:cs="Arial"/>
                <w:sz w:val="22"/>
                <w:szCs w:val="22"/>
              </w:rPr>
            </w:pPr>
            <w:r>
              <w:rPr>
                <w:rFonts w:ascii="Arial" w:hAnsi="Arial" w:cs="Arial"/>
                <w:sz w:val="22"/>
                <w:szCs w:val="22"/>
              </w:rPr>
              <w:t>2</w:t>
            </w:r>
            <w:r w:rsidR="00C60364">
              <w:rPr>
                <w:rFonts w:ascii="Arial" w:hAnsi="Arial" w:cs="Arial"/>
                <w:sz w:val="22"/>
                <w:szCs w:val="22"/>
              </w:rPr>
              <w:t>,</w:t>
            </w:r>
            <w:r>
              <w:rPr>
                <w:rFonts w:ascii="Arial" w:hAnsi="Arial" w:cs="Arial"/>
                <w:sz w:val="22"/>
                <w:szCs w:val="22"/>
              </w:rPr>
              <w:t>080</w:t>
            </w:r>
          </w:p>
        </w:tc>
        <w:tc>
          <w:tcPr>
            <w:tcW w:w="881" w:type="dxa"/>
            <w:shd w:val="clear" w:color="auto" w:fill="BDD6EE" w:themeFill="accent5" w:themeFillTint="66"/>
          </w:tcPr>
          <w:p w14:paraId="5CBE78FE" w14:textId="0F133B7A" w:rsidR="00EC722E" w:rsidRDefault="00EC722E" w:rsidP="003C2F72">
            <w:pPr>
              <w:pStyle w:val="BodyText"/>
              <w:spacing w:beforeLines="30" w:before="72"/>
              <w:ind w:left="0" w:right="114"/>
              <w:jc w:val="center"/>
              <w:rPr>
                <w:rFonts w:ascii="Arial" w:hAnsi="Arial" w:cs="Arial"/>
                <w:sz w:val="22"/>
                <w:szCs w:val="22"/>
              </w:rPr>
            </w:pPr>
            <w:r>
              <w:rPr>
                <w:rFonts w:ascii="Arial" w:hAnsi="Arial" w:cs="Arial"/>
                <w:sz w:val="22"/>
                <w:szCs w:val="22"/>
              </w:rPr>
              <w:t>1</w:t>
            </w:r>
            <w:r w:rsidR="00C60364">
              <w:rPr>
                <w:rFonts w:ascii="Arial" w:hAnsi="Arial" w:cs="Arial"/>
                <w:sz w:val="22"/>
                <w:szCs w:val="22"/>
              </w:rPr>
              <w:t>,</w:t>
            </w:r>
            <w:r>
              <w:rPr>
                <w:rFonts w:ascii="Arial" w:hAnsi="Arial" w:cs="Arial"/>
                <w:sz w:val="22"/>
                <w:szCs w:val="22"/>
              </w:rPr>
              <w:t>514</w:t>
            </w:r>
          </w:p>
        </w:tc>
        <w:tc>
          <w:tcPr>
            <w:tcW w:w="881" w:type="dxa"/>
            <w:shd w:val="clear" w:color="auto" w:fill="BDD6EE" w:themeFill="accent5" w:themeFillTint="66"/>
          </w:tcPr>
          <w:p w14:paraId="2C8780FB" w14:textId="20089B3C" w:rsidR="00EC722E" w:rsidRDefault="00EC722E" w:rsidP="003C2F72">
            <w:pPr>
              <w:pStyle w:val="BodyText"/>
              <w:spacing w:beforeLines="30" w:before="72"/>
              <w:ind w:left="0" w:right="114"/>
              <w:jc w:val="center"/>
              <w:rPr>
                <w:rFonts w:ascii="Arial" w:hAnsi="Arial" w:cs="Arial"/>
                <w:sz w:val="22"/>
                <w:szCs w:val="22"/>
              </w:rPr>
            </w:pPr>
            <w:r>
              <w:rPr>
                <w:rFonts w:ascii="Arial" w:hAnsi="Arial" w:cs="Arial"/>
                <w:sz w:val="22"/>
                <w:szCs w:val="22"/>
              </w:rPr>
              <w:t>1</w:t>
            </w:r>
            <w:r w:rsidR="00C60364">
              <w:rPr>
                <w:rFonts w:ascii="Arial" w:hAnsi="Arial" w:cs="Arial"/>
                <w:sz w:val="22"/>
                <w:szCs w:val="22"/>
              </w:rPr>
              <w:t>,</w:t>
            </w:r>
            <w:r>
              <w:rPr>
                <w:rFonts w:ascii="Arial" w:hAnsi="Arial" w:cs="Arial"/>
                <w:sz w:val="22"/>
                <w:szCs w:val="22"/>
              </w:rPr>
              <w:t>480</w:t>
            </w:r>
          </w:p>
        </w:tc>
        <w:tc>
          <w:tcPr>
            <w:tcW w:w="881" w:type="dxa"/>
            <w:shd w:val="clear" w:color="auto" w:fill="BDD6EE" w:themeFill="accent5" w:themeFillTint="66"/>
          </w:tcPr>
          <w:p w14:paraId="383A8F63" w14:textId="5429A42A" w:rsidR="00EC722E" w:rsidRPr="00C60364" w:rsidRDefault="00C60364" w:rsidP="003C2F72">
            <w:pPr>
              <w:pStyle w:val="BodyText"/>
              <w:spacing w:beforeLines="30" w:before="72"/>
              <w:ind w:left="0" w:right="114"/>
              <w:jc w:val="center"/>
              <w:rPr>
                <w:rFonts w:ascii="Arial" w:hAnsi="Arial" w:cs="Arial"/>
                <w:b/>
                <w:bCs/>
                <w:sz w:val="22"/>
                <w:szCs w:val="22"/>
              </w:rPr>
            </w:pPr>
            <w:r w:rsidRPr="00C60364">
              <w:rPr>
                <w:rFonts w:ascii="Arial" w:hAnsi="Arial" w:cs="Arial"/>
                <w:b/>
                <w:bCs/>
                <w:sz w:val="22"/>
                <w:szCs w:val="22"/>
              </w:rPr>
              <w:t>1</w:t>
            </w:r>
            <w:r>
              <w:rPr>
                <w:rFonts w:ascii="Arial" w:hAnsi="Arial" w:cs="Arial"/>
                <w:b/>
                <w:bCs/>
                <w:sz w:val="22"/>
                <w:szCs w:val="22"/>
              </w:rPr>
              <w:t>,</w:t>
            </w:r>
            <w:r w:rsidRPr="00C60364">
              <w:rPr>
                <w:rFonts w:ascii="Arial" w:hAnsi="Arial" w:cs="Arial"/>
                <w:b/>
                <w:bCs/>
                <w:sz w:val="22"/>
                <w:szCs w:val="22"/>
              </w:rPr>
              <w:t>450</w:t>
            </w:r>
          </w:p>
        </w:tc>
      </w:tr>
      <w:bookmarkEnd w:id="27"/>
    </w:tbl>
    <w:p w14:paraId="5006B97D" w14:textId="0ECF5593" w:rsidR="00713ADE" w:rsidRDefault="00713ADE" w:rsidP="00B32253">
      <w:pPr>
        <w:pStyle w:val="BodyText"/>
        <w:ind w:left="0" w:right="113" w:firstLine="720"/>
        <w:jc w:val="both"/>
      </w:pPr>
    </w:p>
    <w:p w14:paraId="61DBBF2E" w14:textId="295D6676" w:rsidR="00B70213" w:rsidRPr="00B70213" w:rsidRDefault="00B70213" w:rsidP="00FB6AAA">
      <w:pPr>
        <w:pStyle w:val="BodyText"/>
        <w:ind w:left="0" w:right="115" w:firstLine="720"/>
        <w:jc w:val="both"/>
        <w:rPr>
          <w:color w:val="FF0000"/>
        </w:rPr>
      </w:pPr>
      <w:bookmarkStart w:id="30" w:name="_Hlk189572193"/>
      <w:r>
        <w:rPr>
          <w:rFonts w:cs="Times New Roman"/>
        </w:rPr>
        <w:t>LBOH inspectors</w:t>
      </w:r>
      <w:r w:rsidRPr="00C1716E">
        <w:rPr>
          <w:rFonts w:cs="Times New Roman"/>
        </w:rPr>
        <w:t xml:space="preserve"> completed </w:t>
      </w:r>
      <w:r w:rsidR="000720E7">
        <w:rPr>
          <w:rFonts w:cs="Times New Roman"/>
        </w:rPr>
        <w:t>6</w:t>
      </w:r>
      <w:r w:rsidR="005B49BF">
        <w:rPr>
          <w:rFonts w:cs="Times New Roman"/>
        </w:rPr>
        <w:t>,</w:t>
      </w:r>
      <w:r w:rsidR="00C60364">
        <w:rPr>
          <w:rFonts w:cs="Times New Roman"/>
        </w:rPr>
        <w:t>847</w:t>
      </w:r>
      <w:r w:rsidRPr="00C1716E">
        <w:rPr>
          <w:rFonts w:cs="Times New Roman"/>
        </w:rPr>
        <w:t xml:space="preserve"> tobacco retail inspections in FY2</w:t>
      </w:r>
      <w:r w:rsidR="00C60364">
        <w:rPr>
          <w:rFonts w:cs="Times New Roman"/>
        </w:rPr>
        <w:t>5</w:t>
      </w:r>
      <w:r w:rsidR="006922CC">
        <w:rPr>
          <w:rFonts w:cs="Times New Roman"/>
        </w:rPr>
        <w:t xml:space="preserve">, which represents a </w:t>
      </w:r>
      <w:r w:rsidR="005463C2">
        <w:t>38.74</w:t>
      </w:r>
      <w:r w:rsidR="006922CC" w:rsidRPr="005B49BF">
        <w:t>%</w:t>
      </w:r>
      <w:r w:rsidR="006922CC">
        <w:t xml:space="preserve"> increase since FY2</w:t>
      </w:r>
      <w:r w:rsidR="005463C2">
        <w:t>1</w:t>
      </w:r>
      <w:r w:rsidR="006922CC">
        <w:t xml:space="preserve">. </w:t>
      </w:r>
      <w:r w:rsidRPr="00C1716E">
        <w:rPr>
          <w:rFonts w:cs="Times New Roman"/>
        </w:rPr>
        <w:t xml:space="preserve">The </w:t>
      </w:r>
      <w:r>
        <w:rPr>
          <w:rFonts w:cs="Times New Roman"/>
        </w:rPr>
        <w:t xml:space="preserve">great </w:t>
      </w:r>
      <w:r w:rsidRPr="00C1716E">
        <w:rPr>
          <w:rFonts w:cs="Times New Roman"/>
        </w:rPr>
        <w:t xml:space="preserve">majority of inspections </w:t>
      </w:r>
      <w:r w:rsidR="006922CC">
        <w:rPr>
          <w:rFonts w:cs="Times New Roman"/>
        </w:rPr>
        <w:t>during FY2</w:t>
      </w:r>
      <w:r w:rsidR="00C60364">
        <w:rPr>
          <w:rFonts w:cs="Times New Roman"/>
        </w:rPr>
        <w:t>5</w:t>
      </w:r>
      <w:r w:rsidR="006922CC">
        <w:rPr>
          <w:rFonts w:cs="Times New Roman"/>
        </w:rPr>
        <w:t xml:space="preserve"> </w:t>
      </w:r>
      <w:r w:rsidRPr="00C1716E">
        <w:rPr>
          <w:rFonts w:cs="Times New Roman"/>
        </w:rPr>
        <w:t>indicate retailer</w:t>
      </w:r>
      <w:r w:rsidR="0084309F">
        <w:rPr>
          <w:rFonts w:cs="Times New Roman"/>
        </w:rPr>
        <w:t>s</w:t>
      </w:r>
      <w:r w:rsidRPr="00C1716E">
        <w:rPr>
          <w:rFonts w:cs="Times New Roman"/>
        </w:rPr>
        <w:t xml:space="preserve"> </w:t>
      </w:r>
      <w:r w:rsidR="0084309F">
        <w:rPr>
          <w:rFonts w:cs="Times New Roman"/>
        </w:rPr>
        <w:lastRenderedPageBreak/>
        <w:t>complied</w:t>
      </w:r>
      <w:r w:rsidRPr="00C1716E">
        <w:rPr>
          <w:rFonts w:cs="Times New Roman"/>
        </w:rPr>
        <w:t xml:space="preserve"> with local and state laws with a compliance rate of </w:t>
      </w:r>
      <w:r w:rsidR="00604B7D">
        <w:rPr>
          <w:rFonts w:cs="Times New Roman"/>
        </w:rPr>
        <w:t>approximately</w:t>
      </w:r>
      <w:r w:rsidR="00910B5B">
        <w:rPr>
          <w:rFonts w:cs="Times New Roman"/>
        </w:rPr>
        <w:t xml:space="preserve"> </w:t>
      </w:r>
      <w:r w:rsidR="00C60364">
        <w:rPr>
          <w:rFonts w:cs="Times New Roman"/>
          <w:b/>
          <w:bCs/>
          <w:i/>
          <w:iCs/>
        </w:rPr>
        <w:t>78.8</w:t>
      </w:r>
      <w:r w:rsidR="00910B5B" w:rsidRPr="00A35881">
        <w:rPr>
          <w:rFonts w:cs="Times New Roman"/>
          <w:b/>
          <w:bCs/>
          <w:i/>
          <w:iCs/>
        </w:rPr>
        <w:t>%</w:t>
      </w:r>
      <w:r w:rsidRPr="00A35881">
        <w:rPr>
          <w:rFonts w:cs="Times New Roman"/>
        </w:rPr>
        <w:t>.</w:t>
      </w:r>
      <w:r w:rsidRPr="00C1716E">
        <w:rPr>
          <w:rFonts w:cs="Times New Roman"/>
        </w:rPr>
        <w:t xml:space="preserve"> </w:t>
      </w:r>
      <w:bookmarkEnd w:id="30"/>
      <w:r w:rsidRPr="00C1716E">
        <w:rPr>
          <w:rFonts w:cs="Times New Roman"/>
        </w:rPr>
        <w:t>The violations indicated are reflective of both state and local policy violations and are the total number of violations found, not violations per unique retail establishment.</w:t>
      </w:r>
      <w:r w:rsidR="00C60364">
        <w:rPr>
          <w:rFonts w:cs="Times New Roman"/>
        </w:rPr>
        <w:t xml:space="preserve"> </w:t>
      </w:r>
      <w:r>
        <w:t>The summaries below provide examples of significant LBOH inspections during the past year.</w:t>
      </w:r>
    </w:p>
    <w:bookmarkEnd w:id="28"/>
    <w:bookmarkEnd w:id="29"/>
    <w:p w14:paraId="7F6E320E" w14:textId="77777777" w:rsidR="00B70213" w:rsidRDefault="00B70213" w:rsidP="00FB6AAA">
      <w:pPr>
        <w:pStyle w:val="BodyText"/>
        <w:ind w:left="0" w:right="113" w:firstLine="720"/>
        <w:jc w:val="both"/>
      </w:pPr>
    </w:p>
    <w:p w14:paraId="1475F84D" w14:textId="392B57D6" w:rsidR="00EF3B95" w:rsidRDefault="00EF3B95" w:rsidP="00015902">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 xml:space="preserve">In April of 2025, the LBOH conducted an inspection of a licensed retailer in Bristol County and observed large quantities of untaxed menthol cigarettes and ENDS products. The LBOH referred the information to CIB. In June of 2025, CIB conducted an inspection of the retailer and seized untaxed cigarettes and ENDS – representing the evasion of approximately $3,300. </w:t>
      </w:r>
      <w:r w:rsidR="00F33FEE">
        <w:rPr>
          <w:rFonts w:ascii="Times New Roman" w:hAnsi="Times New Roman" w:cs="Times New Roman"/>
          <w:sz w:val="24"/>
          <w:szCs w:val="24"/>
        </w:rPr>
        <w:t>This case will be referred for criminal prosecution (more details in the “B. Criminal Investigations” section below) so no civil action has been taken yet.</w:t>
      </w:r>
      <w:r>
        <w:rPr>
          <w:rFonts w:ascii="Times New Roman" w:hAnsi="Times New Roman" w:cs="Times New Roman"/>
          <w:sz w:val="24"/>
          <w:szCs w:val="24"/>
        </w:rPr>
        <w:t xml:space="preserve"> </w:t>
      </w:r>
    </w:p>
    <w:p w14:paraId="3B8CBBA4" w14:textId="77777777" w:rsidR="00EF3B95" w:rsidRDefault="00EF3B95" w:rsidP="00EF3B95">
      <w:pPr>
        <w:pStyle w:val="ListParagraph"/>
        <w:ind w:left="720"/>
        <w:rPr>
          <w:rFonts w:ascii="Times New Roman" w:hAnsi="Times New Roman" w:cs="Times New Roman"/>
          <w:sz w:val="24"/>
          <w:szCs w:val="24"/>
        </w:rPr>
      </w:pPr>
    </w:p>
    <w:p w14:paraId="42F62879" w14:textId="4D9662C7" w:rsidR="005C4DB6" w:rsidRDefault="00015902" w:rsidP="00015902">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 xml:space="preserve">In </w:t>
      </w:r>
      <w:r w:rsidR="005C4DB6">
        <w:rPr>
          <w:rFonts w:ascii="Times New Roman" w:hAnsi="Times New Roman" w:cs="Times New Roman"/>
          <w:sz w:val="24"/>
          <w:szCs w:val="24"/>
        </w:rPr>
        <w:t>May of 2025, CIB assisted the LBOH with an inspection of a licensed retailer in Norfolk County. LBOH served a cease-and-desist letter upon the retailer for previously selling flavored ENDS products. CIB</w:t>
      </w:r>
      <w:r w:rsidR="005C4DB6" w:rsidRPr="00F0426C">
        <w:rPr>
          <w:rFonts w:ascii="Times New Roman" w:hAnsi="Times New Roman" w:cs="Times New Roman"/>
          <w:sz w:val="24"/>
          <w:szCs w:val="24"/>
        </w:rPr>
        <w:t xml:space="preserve"> conducted an inspection and seized untaxed ENDS</w:t>
      </w:r>
      <w:r w:rsidR="005C4DB6">
        <w:rPr>
          <w:rFonts w:ascii="Times New Roman" w:hAnsi="Times New Roman" w:cs="Times New Roman"/>
          <w:sz w:val="24"/>
          <w:szCs w:val="24"/>
        </w:rPr>
        <w:t xml:space="preserve"> – representing the evasion of </w:t>
      </w:r>
      <w:r w:rsidR="005C4DB6" w:rsidRPr="00F0426C">
        <w:rPr>
          <w:rFonts w:ascii="Times New Roman" w:hAnsi="Times New Roman" w:cs="Times New Roman"/>
          <w:sz w:val="24"/>
          <w:szCs w:val="24"/>
        </w:rPr>
        <w:t>approximately $</w:t>
      </w:r>
      <w:r w:rsidR="005C4DB6">
        <w:rPr>
          <w:rFonts w:ascii="Times New Roman" w:hAnsi="Times New Roman" w:cs="Times New Roman"/>
          <w:sz w:val="24"/>
          <w:szCs w:val="24"/>
        </w:rPr>
        <w:t>700</w:t>
      </w:r>
      <w:r w:rsidR="005C4DB6" w:rsidRPr="00F0426C">
        <w:rPr>
          <w:rFonts w:ascii="Times New Roman" w:hAnsi="Times New Roman" w:cs="Times New Roman"/>
          <w:sz w:val="24"/>
          <w:szCs w:val="24"/>
        </w:rPr>
        <w:t xml:space="preserve"> in excise taxes</w:t>
      </w:r>
      <w:r w:rsidR="005C4DB6">
        <w:rPr>
          <w:rFonts w:ascii="Times New Roman" w:hAnsi="Times New Roman" w:cs="Times New Roman"/>
          <w:sz w:val="24"/>
          <w:szCs w:val="24"/>
        </w:rPr>
        <w:t>.</w:t>
      </w:r>
      <w:r w:rsidR="00244853">
        <w:rPr>
          <w:rFonts w:ascii="Times New Roman" w:hAnsi="Times New Roman" w:cs="Times New Roman"/>
          <w:sz w:val="24"/>
          <w:szCs w:val="24"/>
        </w:rPr>
        <w:t xml:space="preserve"> As a result of the seizure, the LBOH issued a civil </w:t>
      </w:r>
      <w:r w:rsidR="00EF3B95">
        <w:rPr>
          <w:rFonts w:ascii="Times New Roman" w:hAnsi="Times New Roman" w:cs="Times New Roman"/>
          <w:sz w:val="24"/>
          <w:szCs w:val="24"/>
        </w:rPr>
        <w:t>penalty,</w:t>
      </w:r>
      <w:r w:rsidR="00244853">
        <w:rPr>
          <w:rFonts w:ascii="Times New Roman" w:hAnsi="Times New Roman" w:cs="Times New Roman"/>
          <w:sz w:val="24"/>
          <w:szCs w:val="24"/>
        </w:rPr>
        <w:t xml:space="preserve"> and DOR issued a 3</w:t>
      </w:r>
      <w:r w:rsidR="00244853" w:rsidRPr="00F0426C">
        <w:rPr>
          <w:rFonts w:ascii="Times New Roman" w:hAnsi="Times New Roman" w:cs="Times New Roman"/>
          <w:sz w:val="24"/>
          <w:szCs w:val="24"/>
        </w:rPr>
        <w:t xml:space="preserve">0-day </w:t>
      </w:r>
      <w:r w:rsidR="00244853">
        <w:rPr>
          <w:rFonts w:ascii="Times New Roman" w:hAnsi="Times New Roman" w:cs="Times New Roman"/>
          <w:sz w:val="24"/>
          <w:szCs w:val="24"/>
        </w:rPr>
        <w:t>suspension of the retailer’s ENDS license</w:t>
      </w:r>
      <w:r w:rsidR="00244853" w:rsidRPr="00F0426C">
        <w:rPr>
          <w:rFonts w:ascii="Times New Roman" w:hAnsi="Times New Roman" w:cs="Times New Roman"/>
          <w:sz w:val="24"/>
          <w:szCs w:val="24"/>
        </w:rPr>
        <w:t>.</w:t>
      </w:r>
    </w:p>
    <w:p w14:paraId="35596D8A" w14:textId="77777777" w:rsidR="00074690" w:rsidRPr="00074690" w:rsidRDefault="00074690" w:rsidP="00074690">
      <w:pPr>
        <w:pStyle w:val="ListParagraph"/>
        <w:rPr>
          <w:rFonts w:ascii="Times New Roman" w:hAnsi="Times New Roman" w:cs="Times New Roman"/>
          <w:sz w:val="24"/>
          <w:szCs w:val="24"/>
        </w:rPr>
      </w:pPr>
    </w:p>
    <w:p w14:paraId="5B6B1033" w14:textId="2270A7C5" w:rsidR="00074690" w:rsidRDefault="00074690" w:rsidP="00015902">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 xml:space="preserve">In August of 2025, the LBOH conducted a compliance check of a licensed retailer in Essex County which resulted in the retailer selling a flavored ENDS product to a youth. The LBOH contacted the DOR/MEB and a joint inspection was conducted the following day. The MEB seized a quantity of untaxed cigarettes, smoking tobacco, and ENDS products – representing the evasion of approximately $2,240. As a result of the seizure, the LBOH issued a civil penalty, and DOR issued a 30-day suspension of the retailer’s cigarette and ENDS licenses and a warning letter for the cigar/smoking tobacco license. </w:t>
      </w:r>
    </w:p>
    <w:p w14:paraId="411D4658" w14:textId="7C8CDC8E" w:rsidR="005C4DB6" w:rsidRDefault="005C4DB6" w:rsidP="005C4DB6">
      <w:pPr>
        <w:pStyle w:val="ListParagraph"/>
        <w:ind w:left="720"/>
        <w:rPr>
          <w:rFonts w:ascii="Times New Roman" w:hAnsi="Times New Roman" w:cs="Times New Roman"/>
          <w:sz w:val="24"/>
          <w:szCs w:val="24"/>
        </w:rPr>
      </w:pPr>
      <w:r>
        <w:rPr>
          <w:rFonts w:ascii="Times New Roman" w:hAnsi="Times New Roman" w:cs="Times New Roman"/>
          <w:sz w:val="24"/>
          <w:szCs w:val="24"/>
        </w:rPr>
        <w:t xml:space="preserve"> </w:t>
      </w:r>
    </w:p>
    <w:p w14:paraId="2BD5233B" w14:textId="2667083E" w:rsidR="002069F1" w:rsidRPr="00D93971" w:rsidRDefault="002069F1" w:rsidP="004655EB">
      <w:pPr>
        <w:ind w:firstLine="720"/>
        <w:jc w:val="both"/>
        <w:rPr>
          <w:rFonts w:ascii="Times New Roman" w:hAnsi="Times New Roman" w:cs="Times New Roman"/>
          <w:color w:val="000000"/>
          <w:sz w:val="24"/>
          <w:szCs w:val="24"/>
        </w:rPr>
      </w:pPr>
      <w:r w:rsidRPr="00D93971">
        <w:rPr>
          <w:rFonts w:ascii="Times New Roman" w:hAnsi="Times New Roman" w:cs="Times New Roman"/>
          <w:color w:val="000000"/>
          <w:sz w:val="24"/>
          <w:szCs w:val="24"/>
        </w:rPr>
        <w:t xml:space="preserve">During the </w:t>
      </w:r>
      <w:r w:rsidR="00D93971" w:rsidRPr="00D93971">
        <w:rPr>
          <w:rFonts w:ascii="Times New Roman" w:hAnsi="Times New Roman" w:cs="Times New Roman"/>
          <w:color w:val="000000"/>
          <w:sz w:val="24"/>
          <w:szCs w:val="24"/>
        </w:rPr>
        <w:t xml:space="preserve">past </w:t>
      </w:r>
      <w:r w:rsidR="004F2256" w:rsidRPr="00D93971">
        <w:rPr>
          <w:rFonts w:ascii="Times New Roman" w:hAnsi="Times New Roman" w:cs="Times New Roman"/>
          <w:color w:val="000000"/>
          <w:sz w:val="24"/>
          <w:szCs w:val="24"/>
        </w:rPr>
        <w:t>several years</w:t>
      </w:r>
      <w:r w:rsidRPr="00D93971">
        <w:rPr>
          <w:rFonts w:ascii="Times New Roman" w:hAnsi="Times New Roman" w:cs="Times New Roman"/>
          <w:color w:val="000000"/>
          <w:sz w:val="24"/>
          <w:szCs w:val="24"/>
        </w:rPr>
        <w:t xml:space="preserve">, </w:t>
      </w:r>
      <w:r w:rsidR="00D93971" w:rsidRPr="00D93971">
        <w:rPr>
          <w:rFonts w:ascii="Times New Roman" w:hAnsi="Times New Roman" w:cs="Times New Roman"/>
          <w:color w:val="000000" w:themeColor="text1"/>
          <w:sz w:val="24"/>
          <w:szCs w:val="24"/>
        </w:rPr>
        <w:t xml:space="preserve">the DPH updated the Point-of-Sale Toolkit (POST) database that tracks enforcement and inspection visits of tobacco retailers throughout Massachusetts. POST enables DPH and LBOH to record violations of all state and local policies. </w:t>
      </w:r>
      <w:r w:rsidR="001E76C3">
        <w:rPr>
          <w:rFonts w:ascii="Times New Roman" w:hAnsi="Times New Roman" w:cs="Times New Roman"/>
          <w:color w:val="000000" w:themeColor="text1"/>
          <w:sz w:val="24"/>
          <w:szCs w:val="24"/>
        </w:rPr>
        <w:t xml:space="preserve">The </w:t>
      </w:r>
      <w:r w:rsidR="00D93971" w:rsidRPr="00D93971">
        <w:rPr>
          <w:rFonts w:ascii="Times New Roman" w:hAnsi="Times New Roman" w:cs="Times New Roman"/>
          <w:color w:val="000000" w:themeColor="text1"/>
          <w:sz w:val="24"/>
          <w:szCs w:val="24"/>
        </w:rPr>
        <w:t>LBOH monitor</w:t>
      </w:r>
      <w:r w:rsidR="001E76C3">
        <w:rPr>
          <w:rFonts w:ascii="Times New Roman" w:hAnsi="Times New Roman" w:cs="Times New Roman"/>
          <w:color w:val="000000" w:themeColor="text1"/>
          <w:sz w:val="24"/>
          <w:szCs w:val="24"/>
        </w:rPr>
        <w:t>s</w:t>
      </w:r>
      <w:r w:rsidR="00D93971" w:rsidRPr="00D93971">
        <w:rPr>
          <w:rFonts w:ascii="Times New Roman" w:hAnsi="Times New Roman" w:cs="Times New Roman"/>
          <w:color w:val="000000" w:themeColor="text1"/>
          <w:sz w:val="24"/>
          <w:szCs w:val="24"/>
        </w:rPr>
        <w:t xml:space="preserve"> and collect</w:t>
      </w:r>
      <w:r w:rsidR="001E76C3">
        <w:rPr>
          <w:rFonts w:ascii="Times New Roman" w:hAnsi="Times New Roman" w:cs="Times New Roman"/>
          <w:color w:val="000000" w:themeColor="text1"/>
          <w:sz w:val="24"/>
          <w:szCs w:val="24"/>
        </w:rPr>
        <w:t>s</w:t>
      </w:r>
      <w:r w:rsidR="00D93971" w:rsidRPr="00D93971">
        <w:rPr>
          <w:rFonts w:ascii="Times New Roman" w:hAnsi="Times New Roman" w:cs="Times New Roman"/>
          <w:color w:val="000000" w:themeColor="text1"/>
          <w:sz w:val="24"/>
          <w:szCs w:val="24"/>
        </w:rPr>
        <w:t xml:space="preserve"> information on compliance and violations, from signage, product types, and product placement.</w:t>
      </w:r>
    </w:p>
    <w:p w14:paraId="2AB54F53" w14:textId="77777777" w:rsidR="002069F1" w:rsidRPr="00D93971" w:rsidRDefault="002069F1" w:rsidP="00A92C0B">
      <w:pPr>
        <w:jc w:val="both"/>
        <w:rPr>
          <w:rFonts w:ascii="Times New Roman" w:hAnsi="Times New Roman" w:cs="Times New Roman"/>
          <w:color w:val="000000"/>
          <w:sz w:val="24"/>
          <w:szCs w:val="24"/>
        </w:rPr>
      </w:pPr>
    </w:p>
    <w:p w14:paraId="08B0E22C" w14:textId="09F06ADF" w:rsidR="002069F1" w:rsidRPr="00B70213" w:rsidRDefault="002069F1" w:rsidP="004655EB">
      <w:pPr>
        <w:ind w:firstLine="720"/>
        <w:jc w:val="both"/>
        <w:rPr>
          <w:rFonts w:ascii="Times New Roman" w:hAnsi="Times New Roman" w:cs="Times New Roman"/>
          <w:color w:val="000000"/>
          <w:sz w:val="24"/>
          <w:szCs w:val="24"/>
        </w:rPr>
      </w:pPr>
      <w:bookmarkStart w:id="31" w:name="_Hlk188955333"/>
      <w:bookmarkStart w:id="32" w:name="_Hlk189486084"/>
      <w:r w:rsidRPr="00D93971">
        <w:rPr>
          <w:rFonts w:ascii="Times New Roman" w:hAnsi="Times New Roman" w:cs="Times New Roman"/>
          <w:color w:val="000000"/>
          <w:sz w:val="24"/>
          <w:szCs w:val="24"/>
        </w:rPr>
        <w:t>The updates to POST allowed DPH to monitor the type of violations cited by LBOH during</w:t>
      </w:r>
      <w:r w:rsidRPr="003121C4">
        <w:rPr>
          <w:rFonts w:ascii="Times New Roman" w:hAnsi="Times New Roman" w:cs="Times New Roman"/>
          <w:color w:val="000000"/>
          <w:sz w:val="24"/>
          <w:szCs w:val="24"/>
        </w:rPr>
        <w:t xml:space="preserve"> inspections. Most violations were cited for technical or administrative matters, but there were</w:t>
      </w:r>
      <w:r w:rsidR="000720E7">
        <w:rPr>
          <w:rFonts w:ascii="Times New Roman" w:hAnsi="Times New Roman" w:cs="Times New Roman"/>
          <w:color w:val="000000"/>
          <w:sz w:val="24"/>
          <w:szCs w:val="24"/>
        </w:rPr>
        <w:t xml:space="preserve"> </w:t>
      </w:r>
      <w:r w:rsidR="005463C2">
        <w:rPr>
          <w:rFonts w:ascii="Times New Roman" w:hAnsi="Times New Roman" w:cs="Times New Roman"/>
          <w:color w:val="000000"/>
          <w:sz w:val="24"/>
          <w:szCs w:val="24"/>
        </w:rPr>
        <w:t>290</w:t>
      </w:r>
      <w:r w:rsidRPr="003121C4">
        <w:rPr>
          <w:rFonts w:ascii="Times New Roman" w:hAnsi="Times New Roman" w:cs="Times New Roman"/>
          <w:color w:val="000000"/>
          <w:sz w:val="24"/>
          <w:szCs w:val="24"/>
        </w:rPr>
        <w:t xml:space="preserve"> </w:t>
      </w:r>
      <w:r w:rsidRPr="00B70213">
        <w:rPr>
          <w:rFonts w:ascii="Times New Roman" w:hAnsi="Times New Roman" w:cs="Times New Roman"/>
          <w:color w:val="000000"/>
          <w:sz w:val="24"/>
          <w:szCs w:val="24"/>
        </w:rPr>
        <w:t>violations issued for selling flavored tobacco products</w:t>
      </w:r>
      <w:r w:rsidR="00A745FB" w:rsidRPr="00B70213">
        <w:rPr>
          <w:rFonts w:ascii="Times New Roman" w:hAnsi="Times New Roman" w:cs="Times New Roman"/>
          <w:color w:val="000000"/>
          <w:sz w:val="24"/>
          <w:szCs w:val="24"/>
        </w:rPr>
        <w:t xml:space="preserve"> during </w:t>
      </w:r>
      <w:r w:rsidR="00A745FB" w:rsidRPr="000720E7">
        <w:rPr>
          <w:rFonts w:ascii="Times New Roman" w:hAnsi="Times New Roman" w:cs="Times New Roman"/>
          <w:color w:val="000000"/>
          <w:sz w:val="24"/>
          <w:szCs w:val="24"/>
        </w:rPr>
        <w:t>FY2</w:t>
      </w:r>
      <w:r w:rsidR="000626BA">
        <w:rPr>
          <w:rFonts w:ascii="Times New Roman" w:hAnsi="Times New Roman" w:cs="Times New Roman"/>
          <w:color w:val="000000"/>
          <w:sz w:val="24"/>
          <w:szCs w:val="24"/>
        </w:rPr>
        <w:t>5</w:t>
      </w:r>
      <w:r w:rsidR="002E7D08" w:rsidRPr="00B70213">
        <w:rPr>
          <w:rFonts w:ascii="Times New Roman" w:hAnsi="Times New Roman" w:cs="Times New Roman"/>
          <w:color w:val="000000"/>
          <w:sz w:val="24"/>
          <w:szCs w:val="24"/>
        </w:rPr>
        <w:t xml:space="preserve"> – which is </w:t>
      </w:r>
      <w:r w:rsidR="00B70213" w:rsidRPr="00B70213">
        <w:rPr>
          <w:rFonts w:ascii="Times New Roman" w:hAnsi="Times New Roman" w:cs="Times New Roman"/>
          <w:color w:val="000000"/>
          <w:sz w:val="24"/>
          <w:szCs w:val="24"/>
        </w:rPr>
        <w:t>a</w:t>
      </w:r>
      <w:r w:rsidR="000720E7">
        <w:rPr>
          <w:rFonts w:ascii="Times New Roman" w:hAnsi="Times New Roman" w:cs="Times New Roman"/>
          <w:color w:val="000000"/>
          <w:sz w:val="24"/>
          <w:szCs w:val="24"/>
        </w:rPr>
        <w:t xml:space="preserve"> </w:t>
      </w:r>
      <w:r w:rsidR="000720E7" w:rsidRPr="005463C2">
        <w:rPr>
          <w:rFonts w:ascii="Times New Roman" w:hAnsi="Times New Roman" w:cs="Times New Roman"/>
          <w:color w:val="000000"/>
          <w:sz w:val="24"/>
          <w:szCs w:val="24"/>
        </w:rPr>
        <w:t>decrease</w:t>
      </w:r>
      <w:r w:rsidR="000720E7">
        <w:rPr>
          <w:rFonts w:ascii="Times New Roman" w:hAnsi="Times New Roman" w:cs="Times New Roman"/>
          <w:color w:val="000000"/>
          <w:sz w:val="24"/>
          <w:szCs w:val="24"/>
        </w:rPr>
        <w:t xml:space="preserve"> </w:t>
      </w:r>
      <w:r w:rsidR="002E7D08" w:rsidRPr="00B70213">
        <w:rPr>
          <w:rFonts w:ascii="Times New Roman" w:hAnsi="Times New Roman" w:cs="Times New Roman"/>
          <w:color w:val="000000"/>
          <w:sz w:val="24"/>
          <w:szCs w:val="24"/>
        </w:rPr>
        <w:t xml:space="preserve">from last </w:t>
      </w:r>
      <w:r w:rsidR="00A14AF9" w:rsidRPr="00B70213">
        <w:rPr>
          <w:rFonts w:ascii="Times New Roman" w:hAnsi="Times New Roman" w:cs="Times New Roman"/>
          <w:color w:val="000000"/>
          <w:sz w:val="24"/>
          <w:szCs w:val="24"/>
        </w:rPr>
        <w:t xml:space="preserve">fiscal </w:t>
      </w:r>
      <w:r w:rsidR="002E7D08" w:rsidRPr="00B70213">
        <w:rPr>
          <w:rFonts w:ascii="Times New Roman" w:hAnsi="Times New Roman" w:cs="Times New Roman"/>
          <w:color w:val="000000"/>
          <w:sz w:val="24"/>
          <w:szCs w:val="24"/>
        </w:rPr>
        <w:t>year (</w:t>
      </w:r>
      <w:r w:rsidR="000626BA">
        <w:rPr>
          <w:rFonts w:ascii="Times New Roman" w:hAnsi="Times New Roman" w:cs="Times New Roman"/>
          <w:color w:val="000000"/>
          <w:sz w:val="24"/>
          <w:szCs w:val="24"/>
        </w:rPr>
        <w:t>29</w:t>
      </w:r>
      <w:r w:rsidR="000720E7">
        <w:rPr>
          <w:rFonts w:ascii="Times New Roman" w:hAnsi="Times New Roman" w:cs="Times New Roman"/>
          <w:color w:val="000000"/>
          <w:sz w:val="24"/>
          <w:szCs w:val="24"/>
        </w:rPr>
        <w:t>8</w:t>
      </w:r>
      <w:r w:rsidR="002E7D08" w:rsidRPr="00B70213">
        <w:rPr>
          <w:rFonts w:ascii="Times New Roman" w:hAnsi="Times New Roman" w:cs="Times New Roman"/>
          <w:color w:val="000000"/>
          <w:sz w:val="24"/>
          <w:szCs w:val="24"/>
        </w:rPr>
        <w:t>)</w:t>
      </w:r>
      <w:r w:rsidRPr="00B70213">
        <w:rPr>
          <w:rFonts w:ascii="Times New Roman" w:hAnsi="Times New Roman" w:cs="Times New Roman"/>
          <w:color w:val="000000"/>
          <w:sz w:val="24"/>
          <w:szCs w:val="24"/>
        </w:rPr>
        <w:t>.</w:t>
      </w:r>
      <w:r w:rsidR="008D3EC5" w:rsidRPr="00B70213">
        <w:rPr>
          <w:rFonts w:ascii="Times New Roman" w:hAnsi="Times New Roman" w:cs="Times New Roman"/>
          <w:color w:val="000000"/>
          <w:sz w:val="24"/>
          <w:szCs w:val="24"/>
        </w:rPr>
        <w:t xml:space="preserve"> </w:t>
      </w:r>
      <w:bookmarkStart w:id="33" w:name="_Hlk189572456"/>
      <w:r w:rsidR="00B70213" w:rsidRPr="00B70213">
        <w:rPr>
          <w:rFonts w:ascii="Times New Roman" w:hAnsi="Times New Roman" w:cs="Times New Roman"/>
          <w:color w:val="000000" w:themeColor="text1"/>
          <w:sz w:val="24"/>
          <w:szCs w:val="24"/>
        </w:rPr>
        <w:t xml:space="preserve">That said, </w:t>
      </w:r>
      <w:r w:rsidR="000459D3">
        <w:rPr>
          <w:rFonts w:ascii="Times New Roman" w:hAnsi="Times New Roman" w:cs="Times New Roman"/>
          <w:color w:val="000000" w:themeColor="text1"/>
          <w:sz w:val="24"/>
          <w:szCs w:val="24"/>
        </w:rPr>
        <w:t>most</w:t>
      </w:r>
      <w:r w:rsidR="00B70213" w:rsidRPr="00B70213">
        <w:rPr>
          <w:rFonts w:ascii="Times New Roman" w:hAnsi="Times New Roman" w:cs="Times New Roman"/>
          <w:color w:val="000000" w:themeColor="text1"/>
          <w:sz w:val="24"/>
          <w:szCs w:val="24"/>
        </w:rPr>
        <w:t xml:space="preserve"> retailers </w:t>
      </w:r>
      <w:r w:rsidR="000459D3">
        <w:rPr>
          <w:rFonts w:ascii="Times New Roman" w:hAnsi="Times New Roman" w:cs="Times New Roman"/>
          <w:color w:val="000000" w:themeColor="text1"/>
          <w:sz w:val="24"/>
          <w:szCs w:val="24"/>
        </w:rPr>
        <w:t xml:space="preserve">complied </w:t>
      </w:r>
      <w:r w:rsidR="00B70213" w:rsidRPr="00B70213">
        <w:rPr>
          <w:rFonts w:ascii="Times New Roman" w:hAnsi="Times New Roman" w:cs="Times New Roman"/>
          <w:color w:val="000000" w:themeColor="text1"/>
          <w:sz w:val="24"/>
          <w:szCs w:val="24"/>
        </w:rPr>
        <w:t>with flavor</w:t>
      </w:r>
      <w:r w:rsidR="00C176B8">
        <w:rPr>
          <w:rFonts w:ascii="Times New Roman" w:hAnsi="Times New Roman" w:cs="Times New Roman"/>
          <w:color w:val="000000" w:themeColor="text1"/>
          <w:sz w:val="24"/>
          <w:szCs w:val="24"/>
        </w:rPr>
        <w:t xml:space="preserve"> regulations</w:t>
      </w:r>
      <w:r w:rsidR="00B70213" w:rsidRPr="00B70213">
        <w:rPr>
          <w:rFonts w:ascii="Times New Roman" w:hAnsi="Times New Roman" w:cs="Times New Roman"/>
          <w:color w:val="000000" w:themeColor="text1"/>
          <w:sz w:val="24"/>
          <w:szCs w:val="24"/>
        </w:rPr>
        <w:t xml:space="preserve"> during both years, with a </w:t>
      </w:r>
      <w:r w:rsidR="000B4B17">
        <w:rPr>
          <w:rFonts w:ascii="Times New Roman" w:hAnsi="Times New Roman" w:cs="Times New Roman"/>
          <w:b/>
          <w:bCs/>
          <w:i/>
          <w:iCs/>
          <w:color w:val="000000" w:themeColor="text1"/>
          <w:sz w:val="24"/>
          <w:szCs w:val="24"/>
        </w:rPr>
        <w:t>9</w:t>
      </w:r>
      <w:r w:rsidR="00A35881">
        <w:rPr>
          <w:rFonts w:ascii="Times New Roman" w:hAnsi="Times New Roman" w:cs="Times New Roman"/>
          <w:b/>
          <w:bCs/>
          <w:i/>
          <w:iCs/>
          <w:color w:val="000000" w:themeColor="text1"/>
          <w:sz w:val="24"/>
          <w:szCs w:val="24"/>
        </w:rPr>
        <w:t>5</w:t>
      </w:r>
      <w:r w:rsidR="000626BA">
        <w:rPr>
          <w:rFonts w:ascii="Times New Roman" w:hAnsi="Times New Roman" w:cs="Times New Roman"/>
          <w:b/>
          <w:bCs/>
          <w:i/>
          <w:iCs/>
          <w:color w:val="000000" w:themeColor="text1"/>
          <w:sz w:val="24"/>
          <w:szCs w:val="24"/>
        </w:rPr>
        <w:t>.8</w:t>
      </w:r>
      <w:r w:rsidR="00A35881">
        <w:rPr>
          <w:rFonts w:ascii="Times New Roman" w:hAnsi="Times New Roman" w:cs="Times New Roman"/>
          <w:b/>
          <w:bCs/>
          <w:i/>
          <w:iCs/>
          <w:color w:val="000000" w:themeColor="text1"/>
          <w:sz w:val="24"/>
          <w:szCs w:val="24"/>
        </w:rPr>
        <w:t>%</w:t>
      </w:r>
      <w:r w:rsidR="00A853D3">
        <w:rPr>
          <w:rFonts w:ascii="Times New Roman" w:hAnsi="Times New Roman" w:cs="Times New Roman"/>
          <w:color w:val="000000" w:themeColor="text1"/>
          <w:sz w:val="24"/>
          <w:szCs w:val="24"/>
        </w:rPr>
        <w:t xml:space="preserve"> compliance </w:t>
      </w:r>
      <w:r w:rsidR="00B70213" w:rsidRPr="00B70213">
        <w:rPr>
          <w:rFonts w:ascii="Times New Roman" w:hAnsi="Times New Roman" w:cs="Times New Roman"/>
          <w:color w:val="000000" w:themeColor="text1"/>
          <w:sz w:val="24"/>
          <w:szCs w:val="24"/>
        </w:rPr>
        <w:t xml:space="preserve">rate in </w:t>
      </w:r>
      <w:r w:rsidR="00B70213" w:rsidRPr="00A35881">
        <w:rPr>
          <w:rFonts w:ascii="Times New Roman" w:hAnsi="Times New Roman" w:cs="Times New Roman"/>
          <w:color w:val="000000" w:themeColor="text1"/>
          <w:sz w:val="24"/>
          <w:szCs w:val="24"/>
        </w:rPr>
        <w:t>FY2</w:t>
      </w:r>
      <w:r w:rsidR="000626BA">
        <w:rPr>
          <w:rFonts w:ascii="Times New Roman" w:hAnsi="Times New Roman" w:cs="Times New Roman"/>
          <w:color w:val="000000" w:themeColor="text1"/>
          <w:sz w:val="24"/>
          <w:szCs w:val="24"/>
        </w:rPr>
        <w:t>5</w:t>
      </w:r>
      <w:r w:rsidR="00B70213" w:rsidRPr="00B70213">
        <w:rPr>
          <w:rFonts w:ascii="Times New Roman" w:hAnsi="Times New Roman" w:cs="Times New Roman"/>
          <w:color w:val="000000" w:themeColor="text1"/>
          <w:sz w:val="24"/>
          <w:szCs w:val="24"/>
        </w:rPr>
        <w:t xml:space="preserve">. </w:t>
      </w:r>
      <w:bookmarkEnd w:id="33"/>
      <w:r w:rsidR="00B70213" w:rsidRPr="00B70213">
        <w:rPr>
          <w:rFonts w:ascii="Times New Roman" w:hAnsi="Times New Roman" w:cs="Times New Roman"/>
          <w:color w:val="000000" w:themeColor="text1"/>
          <w:sz w:val="24"/>
          <w:szCs w:val="24"/>
        </w:rPr>
        <w:t xml:space="preserve">The </w:t>
      </w:r>
      <w:r w:rsidR="005463C2">
        <w:rPr>
          <w:rFonts w:ascii="Times New Roman" w:hAnsi="Times New Roman" w:cs="Times New Roman"/>
          <w:color w:val="000000" w:themeColor="text1"/>
          <w:sz w:val="24"/>
          <w:szCs w:val="24"/>
        </w:rPr>
        <w:t>290</w:t>
      </w:r>
      <w:r w:rsidR="00B70213" w:rsidRPr="00B70213">
        <w:rPr>
          <w:rFonts w:ascii="Times New Roman" w:hAnsi="Times New Roman" w:cs="Times New Roman"/>
          <w:color w:val="000000" w:themeColor="text1"/>
          <w:sz w:val="24"/>
          <w:szCs w:val="24"/>
        </w:rPr>
        <w:t xml:space="preserve"> </w:t>
      </w:r>
      <w:r w:rsidR="00A35881">
        <w:rPr>
          <w:rFonts w:ascii="Times New Roman" w:hAnsi="Times New Roman" w:cs="Times New Roman"/>
          <w:color w:val="000000" w:themeColor="text1"/>
          <w:sz w:val="24"/>
          <w:szCs w:val="24"/>
        </w:rPr>
        <w:t xml:space="preserve">flavor </w:t>
      </w:r>
      <w:r w:rsidR="00B70213" w:rsidRPr="00B70213">
        <w:rPr>
          <w:rFonts w:ascii="Times New Roman" w:hAnsi="Times New Roman" w:cs="Times New Roman"/>
          <w:color w:val="000000" w:themeColor="text1"/>
          <w:sz w:val="24"/>
          <w:szCs w:val="24"/>
        </w:rPr>
        <w:t xml:space="preserve">violations </w:t>
      </w:r>
      <w:r w:rsidR="00A853D3">
        <w:rPr>
          <w:rFonts w:ascii="Times New Roman" w:hAnsi="Times New Roman" w:cs="Times New Roman"/>
          <w:color w:val="000000" w:themeColor="text1"/>
          <w:sz w:val="24"/>
          <w:szCs w:val="24"/>
        </w:rPr>
        <w:t>identified</w:t>
      </w:r>
      <w:r w:rsidR="00B70213" w:rsidRPr="00B70213">
        <w:rPr>
          <w:rFonts w:ascii="Times New Roman" w:hAnsi="Times New Roman" w:cs="Times New Roman"/>
          <w:color w:val="000000" w:themeColor="text1"/>
          <w:sz w:val="24"/>
          <w:szCs w:val="24"/>
        </w:rPr>
        <w:t xml:space="preserve"> represent the </w:t>
      </w:r>
      <w:r w:rsidR="00A35881">
        <w:rPr>
          <w:rFonts w:ascii="Times New Roman" w:hAnsi="Times New Roman" w:cs="Times New Roman"/>
          <w:color w:val="000000" w:themeColor="text1"/>
          <w:sz w:val="24"/>
          <w:szCs w:val="24"/>
        </w:rPr>
        <w:t xml:space="preserve">number of inspections where a flavor violation was identified. </w:t>
      </w:r>
      <w:bookmarkEnd w:id="31"/>
      <w:bookmarkEnd w:id="32"/>
      <w:r w:rsidR="00B70213" w:rsidRPr="00A636CB">
        <w:rPr>
          <w:rFonts w:ascii="Times New Roman" w:hAnsi="Times New Roman" w:cs="Times New Roman"/>
          <w:color w:val="000000" w:themeColor="text1"/>
          <w:sz w:val="24"/>
          <w:szCs w:val="24"/>
        </w:rPr>
        <w:t xml:space="preserve">The </w:t>
      </w:r>
      <w:r w:rsidR="000720E7" w:rsidRPr="00A636CB">
        <w:rPr>
          <w:rFonts w:ascii="Times New Roman" w:hAnsi="Times New Roman" w:cs="Times New Roman"/>
          <w:color w:val="000000" w:themeColor="text1"/>
          <w:sz w:val="24"/>
          <w:szCs w:val="24"/>
        </w:rPr>
        <w:t>decrease</w:t>
      </w:r>
      <w:r w:rsidR="00B70213" w:rsidRPr="00A636CB">
        <w:rPr>
          <w:rFonts w:ascii="Times New Roman" w:hAnsi="Times New Roman" w:cs="Times New Roman"/>
          <w:color w:val="000000" w:themeColor="text1"/>
          <w:sz w:val="24"/>
          <w:szCs w:val="24"/>
        </w:rPr>
        <w:t xml:space="preserve"> </w:t>
      </w:r>
      <w:r w:rsidR="0005783C" w:rsidRPr="00A636CB">
        <w:rPr>
          <w:rFonts w:ascii="Times New Roman" w:hAnsi="Times New Roman" w:cs="Times New Roman"/>
          <w:color w:val="000000" w:themeColor="text1"/>
          <w:sz w:val="24"/>
          <w:szCs w:val="24"/>
        </w:rPr>
        <w:t xml:space="preserve">in flavor law violations </w:t>
      </w:r>
      <w:r w:rsidR="00B70213" w:rsidRPr="00A636CB">
        <w:rPr>
          <w:rFonts w:ascii="Times New Roman" w:hAnsi="Times New Roman" w:cs="Times New Roman"/>
          <w:color w:val="000000" w:themeColor="text1"/>
          <w:sz w:val="24"/>
          <w:szCs w:val="24"/>
        </w:rPr>
        <w:t xml:space="preserve">could have various contributing factors such as </w:t>
      </w:r>
      <w:r w:rsidR="000720E7" w:rsidRPr="00A636CB">
        <w:rPr>
          <w:rFonts w:ascii="Times New Roman" w:hAnsi="Times New Roman" w:cs="Times New Roman"/>
          <w:color w:val="000000" w:themeColor="text1"/>
          <w:sz w:val="24"/>
          <w:szCs w:val="24"/>
        </w:rPr>
        <w:t xml:space="preserve">continued </w:t>
      </w:r>
      <w:r w:rsidR="00544D14" w:rsidRPr="00A636CB">
        <w:rPr>
          <w:rFonts w:ascii="Times New Roman" w:hAnsi="Times New Roman" w:cs="Times New Roman"/>
          <w:color w:val="000000" w:themeColor="text1"/>
          <w:sz w:val="24"/>
          <w:szCs w:val="24"/>
        </w:rPr>
        <w:t xml:space="preserve">enhanced </w:t>
      </w:r>
      <w:r w:rsidR="00C15EE7" w:rsidRPr="00A636CB">
        <w:rPr>
          <w:rFonts w:ascii="Times New Roman" w:hAnsi="Times New Roman" w:cs="Times New Roman"/>
          <w:color w:val="000000" w:themeColor="text1"/>
          <w:sz w:val="24"/>
          <w:szCs w:val="24"/>
        </w:rPr>
        <w:t>enforcement</w:t>
      </w:r>
      <w:r w:rsidR="00544D14" w:rsidRPr="00A636CB">
        <w:rPr>
          <w:rFonts w:ascii="Times New Roman" w:hAnsi="Times New Roman" w:cs="Times New Roman"/>
          <w:color w:val="000000" w:themeColor="text1"/>
          <w:sz w:val="24"/>
          <w:szCs w:val="24"/>
        </w:rPr>
        <w:t xml:space="preserve"> efforts </w:t>
      </w:r>
      <w:r w:rsidR="0005783C" w:rsidRPr="00A636CB">
        <w:rPr>
          <w:rFonts w:ascii="Times New Roman" w:hAnsi="Times New Roman" w:cs="Times New Roman"/>
          <w:color w:val="000000" w:themeColor="text1"/>
          <w:sz w:val="24"/>
          <w:szCs w:val="24"/>
        </w:rPr>
        <w:t>by</w:t>
      </w:r>
      <w:r w:rsidR="00544D14" w:rsidRPr="00A636CB">
        <w:rPr>
          <w:rFonts w:ascii="Times New Roman" w:hAnsi="Times New Roman" w:cs="Times New Roman"/>
          <w:color w:val="000000" w:themeColor="text1"/>
          <w:sz w:val="24"/>
          <w:szCs w:val="24"/>
        </w:rPr>
        <w:t xml:space="preserve"> DPH, LBOH, and DOR or a decrease in the use of flavored ENDS products by youth</w:t>
      </w:r>
      <w:r w:rsidR="00B70213" w:rsidRPr="00A636CB">
        <w:rPr>
          <w:rFonts w:ascii="Times New Roman" w:hAnsi="Times New Roman" w:cs="Times New Roman"/>
          <w:color w:val="000000" w:themeColor="text1"/>
          <w:sz w:val="24"/>
          <w:szCs w:val="24"/>
        </w:rPr>
        <w:t>.</w:t>
      </w:r>
      <w:r w:rsidR="00A35881" w:rsidRPr="00A636CB">
        <w:rPr>
          <w:rStyle w:val="FootnoteReference"/>
          <w:rFonts w:ascii="Times New Roman" w:hAnsi="Times New Roman" w:cs="Times New Roman"/>
          <w:color w:val="000000" w:themeColor="text1"/>
          <w:sz w:val="24"/>
          <w:szCs w:val="24"/>
        </w:rPr>
        <w:footnoteReference w:id="26"/>
      </w:r>
      <w:r w:rsidR="00B70213" w:rsidRPr="00B70213">
        <w:rPr>
          <w:rFonts w:ascii="Times New Roman" w:hAnsi="Times New Roman" w:cs="Times New Roman"/>
          <w:color w:val="000000" w:themeColor="text1"/>
          <w:sz w:val="24"/>
          <w:szCs w:val="24"/>
        </w:rPr>
        <w:t xml:space="preserve"> These findings indicate the need for continued data collection, compliance resources, and enforcement coordination to uphold state </w:t>
      </w:r>
      <w:r w:rsidR="00156623">
        <w:rPr>
          <w:rFonts w:ascii="Times New Roman" w:hAnsi="Times New Roman" w:cs="Times New Roman"/>
          <w:color w:val="000000" w:themeColor="text1"/>
          <w:sz w:val="24"/>
          <w:szCs w:val="24"/>
        </w:rPr>
        <w:t>public health tobacco policies and laws</w:t>
      </w:r>
      <w:r w:rsidR="00B70213" w:rsidRPr="00B70213">
        <w:rPr>
          <w:rFonts w:ascii="Times New Roman" w:hAnsi="Times New Roman" w:cs="Times New Roman"/>
          <w:color w:val="000000" w:themeColor="text1"/>
          <w:sz w:val="24"/>
          <w:szCs w:val="24"/>
        </w:rPr>
        <w:t xml:space="preserve">. DPH and LBOH </w:t>
      </w:r>
      <w:r w:rsidR="00156623">
        <w:rPr>
          <w:rFonts w:ascii="Times New Roman" w:hAnsi="Times New Roman" w:cs="Times New Roman"/>
          <w:color w:val="000000" w:themeColor="text1"/>
          <w:sz w:val="24"/>
          <w:szCs w:val="24"/>
        </w:rPr>
        <w:t xml:space="preserve">will </w:t>
      </w:r>
      <w:r w:rsidR="00B70213" w:rsidRPr="00B70213">
        <w:rPr>
          <w:rFonts w:ascii="Times New Roman" w:hAnsi="Times New Roman" w:cs="Times New Roman"/>
          <w:color w:val="000000" w:themeColor="text1"/>
          <w:sz w:val="24"/>
          <w:szCs w:val="24"/>
        </w:rPr>
        <w:t>continue to provide retailer education, resources, and signage to support compliance with tobacco policies.</w:t>
      </w:r>
    </w:p>
    <w:p w14:paraId="04E15C3F" w14:textId="77777777" w:rsidR="002069F1" w:rsidRPr="00B70213" w:rsidRDefault="002069F1" w:rsidP="00B32253">
      <w:pPr>
        <w:rPr>
          <w:rFonts w:ascii="Times New Roman" w:hAnsi="Times New Roman" w:cs="Times New Roman"/>
          <w:color w:val="000000"/>
          <w:sz w:val="24"/>
          <w:szCs w:val="24"/>
        </w:rPr>
      </w:pPr>
    </w:p>
    <w:p w14:paraId="549CA172" w14:textId="008EE949" w:rsidR="002069F1" w:rsidRPr="003121C4" w:rsidRDefault="002069F1" w:rsidP="004F2256">
      <w:pPr>
        <w:ind w:firstLine="720"/>
        <w:jc w:val="both"/>
        <w:rPr>
          <w:rFonts w:ascii="Times New Roman" w:hAnsi="Times New Roman" w:cs="Times New Roman"/>
          <w:color w:val="000000"/>
          <w:sz w:val="24"/>
          <w:szCs w:val="24"/>
        </w:rPr>
      </w:pPr>
      <w:r w:rsidRPr="00B70213">
        <w:rPr>
          <w:rFonts w:ascii="Times New Roman" w:hAnsi="Times New Roman" w:cs="Times New Roman"/>
          <w:color w:val="000000"/>
          <w:sz w:val="24"/>
          <w:szCs w:val="24"/>
        </w:rPr>
        <w:t xml:space="preserve">DPH </w:t>
      </w:r>
      <w:r w:rsidR="00817055">
        <w:rPr>
          <w:rFonts w:ascii="Times New Roman" w:hAnsi="Times New Roman" w:cs="Times New Roman"/>
          <w:color w:val="000000"/>
          <w:sz w:val="24"/>
          <w:szCs w:val="24"/>
        </w:rPr>
        <w:t>t</w:t>
      </w:r>
      <w:r w:rsidRPr="00B70213">
        <w:rPr>
          <w:rFonts w:ascii="Times New Roman" w:hAnsi="Times New Roman" w:cs="Times New Roman"/>
          <w:color w:val="000000"/>
          <w:sz w:val="24"/>
          <w:szCs w:val="24"/>
        </w:rPr>
        <w:t xml:space="preserve">obacco enforcement staff </w:t>
      </w:r>
      <w:r w:rsidR="00C15EE7">
        <w:rPr>
          <w:rFonts w:ascii="Times New Roman" w:hAnsi="Times New Roman" w:cs="Times New Roman"/>
          <w:color w:val="000000"/>
          <w:sz w:val="24"/>
          <w:szCs w:val="24"/>
        </w:rPr>
        <w:t>and LBOH inspectors continue to work</w:t>
      </w:r>
      <w:r w:rsidRPr="00B70213">
        <w:rPr>
          <w:rFonts w:ascii="Times New Roman" w:hAnsi="Times New Roman" w:cs="Times New Roman"/>
          <w:color w:val="000000"/>
          <w:sz w:val="24"/>
          <w:szCs w:val="24"/>
        </w:rPr>
        <w:t xml:space="preserve"> with the </w:t>
      </w:r>
      <w:r w:rsidR="003F7054" w:rsidRPr="00B70213">
        <w:rPr>
          <w:rFonts w:ascii="Times New Roman" w:hAnsi="Times New Roman" w:cs="Times New Roman"/>
          <w:color w:val="000000"/>
          <w:sz w:val="24"/>
          <w:szCs w:val="24"/>
        </w:rPr>
        <w:t>CIB</w:t>
      </w:r>
      <w:r w:rsidRPr="00B70213">
        <w:rPr>
          <w:rFonts w:ascii="Times New Roman" w:hAnsi="Times New Roman" w:cs="Times New Roman"/>
          <w:color w:val="000000"/>
          <w:sz w:val="24"/>
          <w:szCs w:val="24"/>
        </w:rPr>
        <w:t xml:space="preserve"> to </w:t>
      </w:r>
      <w:r w:rsidRPr="00B70213">
        <w:rPr>
          <w:rFonts w:ascii="Times New Roman" w:hAnsi="Times New Roman" w:cs="Times New Roman"/>
          <w:color w:val="000000"/>
          <w:sz w:val="24"/>
          <w:szCs w:val="24"/>
        </w:rPr>
        <w:lastRenderedPageBreak/>
        <w:t xml:space="preserve">coordinate the sharing of intelligence regarding retail inspection and compliance results. </w:t>
      </w:r>
      <w:r w:rsidR="00C15EE7">
        <w:rPr>
          <w:rFonts w:ascii="Times New Roman" w:hAnsi="Times New Roman" w:cs="Times New Roman"/>
          <w:color w:val="000000"/>
          <w:sz w:val="24"/>
          <w:szCs w:val="24"/>
        </w:rPr>
        <w:t>CIB and DPH established a</w:t>
      </w:r>
      <w:r w:rsidRPr="00B70213">
        <w:rPr>
          <w:rFonts w:ascii="Times New Roman" w:hAnsi="Times New Roman" w:cs="Times New Roman"/>
          <w:color w:val="000000"/>
          <w:sz w:val="24"/>
          <w:szCs w:val="24"/>
        </w:rPr>
        <w:t xml:space="preserve"> system so LBOH can share</w:t>
      </w:r>
      <w:r w:rsidR="004F2256">
        <w:rPr>
          <w:rFonts w:ascii="Times New Roman" w:hAnsi="Times New Roman" w:cs="Times New Roman"/>
          <w:color w:val="000000"/>
          <w:sz w:val="24"/>
          <w:szCs w:val="24"/>
        </w:rPr>
        <w:t xml:space="preserve"> </w:t>
      </w:r>
      <w:r w:rsidRPr="003121C4">
        <w:rPr>
          <w:rFonts w:ascii="Times New Roman" w:hAnsi="Times New Roman" w:cs="Times New Roman"/>
          <w:color w:val="000000"/>
          <w:sz w:val="24"/>
          <w:szCs w:val="24"/>
        </w:rPr>
        <w:t>information related to the discovery of potential untaxed flavored tobacco products.</w:t>
      </w:r>
      <w:r w:rsidR="00210571">
        <w:rPr>
          <w:rStyle w:val="FootnoteReference"/>
          <w:rFonts w:ascii="Times New Roman" w:hAnsi="Times New Roman" w:cs="Times New Roman"/>
          <w:color w:val="000000"/>
          <w:sz w:val="24"/>
          <w:szCs w:val="24"/>
        </w:rPr>
        <w:footnoteReference w:id="27"/>
      </w:r>
      <w:r w:rsidR="00C15EE7">
        <w:rPr>
          <w:rFonts w:ascii="Times New Roman" w:hAnsi="Times New Roman" w:cs="Times New Roman"/>
          <w:color w:val="000000"/>
          <w:sz w:val="24"/>
          <w:szCs w:val="24"/>
        </w:rPr>
        <w:t xml:space="preserve"> </w:t>
      </w:r>
      <w:r w:rsidRPr="003121C4">
        <w:rPr>
          <w:rFonts w:ascii="Times New Roman" w:hAnsi="Times New Roman" w:cs="Times New Roman"/>
          <w:color w:val="000000"/>
          <w:sz w:val="24"/>
          <w:szCs w:val="24"/>
        </w:rPr>
        <w:t xml:space="preserve">This collaborative effort has strengthened enforcement efforts. </w:t>
      </w:r>
    </w:p>
    <w:p w14:paraId="7E84FEC6" w14:textId="77777777" w:rsidR="00E56EDD" w:rsidRDefault="00E56EDD" w:rsidP="00EB145D">
      <w:pPr>
        <w:pStyle w:val="BodyText"/>
        <w:ind w:left="0" w:right="113"/>
        <w:jc w:val="both"/>
      </w:pPr>
    </w:p>
    <w:p w14:paraId="1C8D08C1" w14:textId="0FA0C191" w:rsidR="00436DA5" w:rsidRDefault="00436DA5" w:rsidP="00B32253">
      <w:pPr>
        <w:pStyle w:val="BodyText"/>
        <w:numPr>
          <w:ilvl w:val="0"/>
          <w:numId w:val="8"/>
        </w:numPr>
        <w:ind w:right="114"/>
        <w:jc w:val="both"/>
        <w:rPr>
          <w:b/>
        </w:rPr>
      </w:pPr>
      <w:r>
        <w:rPr>
          <w:b/>
        </w:rPr>
        <w:t xml:space="preserve">Criminal </w:t>
      </w:r>
      <w:r w:rsidR="00F207CA">
        <w:rPr>
          <w:b/>
        </w:rPr>
        <w:t>Investigations</w:t>
      </w:r>
    </w:p>
    <w:p w14:paraId="6995856A" w14:textId="77777777" w:rsidR="00436DA5" w:rsidRPr="006134ED" w:rsidRDefault="00436DA5" w:rsidP="00B32253">
      <w:pPr>
        <w:pStyle w:val="BodyText"/>
        <w:ind w:left="1080" w:right="114"/>
        <w:jc w:val="both"/>
        <w:rPr>
          <w:b/>
        </w:rPr>
      </w:pPr>
    </w:p>
    <w:p w14:paraId="282C2148" w14:textId="4942D061" w:rsidR="00436DA5" w:rsidRDefault="00D01EEC" w:rsidP="004655EB">
      <w:pPr>
        <w:pStyle w:val="BodyText"/>
        <w:ind w:left="0" w:right="113" w:firstLine="720"/>
        <w:jc w:val="both"/>
      </w:pPr>
      <w:r>
        <w:t>The</w:t>
      </w:r>
      <w:r w:rsidR="003371AC">
        <w:t xml:space="preserve"> </w:t>
      </w:r>
      <w:r w:rsidR="00C34B21">
        <w:t>State Police</w:t>
      </w:r>
      <w:r w:rsidR="003371AC">
        <w:t xml:space="preserve"> Detectives assigned to the Attorney General’s Office</w:t>
      </w:r>
      <w:r w:rsidR="00C34B21">
        <w:t xml:space="preserve"> </w:t>
      </w:r>
      <w:r w:rsidR="003371AC">
        <w:t xml:space="preserve">and </w:t>
      </w:r>
      <w:r w:rsidR="003F7054">
        <w:t>CIB</w:t>
      </w:r>
      <w:r w:rsidR="003633AF">
        <w:t xml:space="preserve"> c</w:t>
      </w:r>
      <w:r w:rsidR="003726E7">
        <w:t xml:space="preserve">ontinued their criminal investigation efforts </w:t>
      </w:r>
      <w:r w:rsidR="00C34B21">
        <w:t>in conjunction with other law enforcement partners</w:t>
      </w:r>
      <w:r w:rsidR="003726E7">
        <w:t xml:space="preserve">. </w:t>
      </w:r>
      <w:r w:rsidR="00AF4572">
        <w:t>B</w:t>
      </w:r>
      <w:r w:rsidR="00AF4572" w:rsidRPr="00A77A0B">
        <w:t>elow are some highlights from the past year:</w:t>
      </w:r>
      <w:r w:rsidR="00AF4572">
        <w:t xml:space="preserve"> </w:t>
      </w:r>
    </w:p>
    <w:p w14:paraId="4626EDAA" w14:textId="77777777" w:rsidR="001409F5" w:rsidRDefault="001409F5" w:rsidP="001409F5">
      <w:pPr>
        <w:pStyle w:val="NormalWeb"/>
        <w:spacing w:before="0" w:beforeAutospacing="0" w:after="0" w:afterAutospacing="0"/>
        <w:jc w:val="both"/>
        <w:rPr>
          <w:color w:val="000000"/>
        </w:rPr>
      </w:pPr>
      <w:bookmarkStart w:id="35" w:name="_Hlk218866362"/>
    </w:p>
    <w:p w14:paraId="080303D1" w14:textId="7F40A409" w:rsidR="001409F5" w:rsidRDefault="00D21193" w:rsidP="00D21193">
      <w:pPr>
        <w:pStyle w:val="NormalWeb"/>
        <w:numPr>
          <w:ilvl w:val="0"/>
          <w:numId w:val="33"/>
        </w:numPr>
        <w:spacing w:before="0" w:beforeAutospacing="0" w:after="0" w:afterAutospacing="0"/>
        <w:jc w:val="both"/>
        <w:rPr>
          <w:color w:val="000000"/>
        </w:rPr>
      </w:pPr>
      <w:r>
        <w:rPr>
          <w:color w:val="000000"/>
        </w:rPr>
        <w:t>I</w:t>
      </w:r>
      <w:r w:rsidR="00745866">
        <w:rPr>
          <w:color w:val="000000"/>
        </w:rPr>
        <w:t xml:space="preserve">n </w:t>
      </w:r>
      <w:r w:rsidR="001409F5">
        <w:rPr>
          <w:color w:val="000000"/>
        </w:rPr>
        <w:t>June of 2025, CIB conducted an inspection of a tobacco retailer in Bristol County and seized 14,000 unstamped cigarettes</w:t>
      </w:r>
      <w:r w:rsidR="00EF3B95">
        <w:rPr>
          <w:color w:val="000000"/>
        </w:rPr>
        <w:t xml:space="preserve"> in addition to untaxed ENDS products</w:t>
      </w:r>
      <w:r w:rsidR="001409F5">
        <w:rPr>
          <w:color w:val="000000"/>
        </w:rPr>
        <w:t xml:space="preserve"> – representing the evasion of approximately $</w:t>
      </w:r>
      <w:r w:rsidR="00EF3B95">
        <w:rPr>
          <w:color w:val="000000"/>
        </w:rPr>
        <w:t>3,300</w:t>
      </w:r>
      <w:r w:rsidR="001409F5">
        <w:rPr>
          <w:color w:val="000000"/>
        </w:rPr>
        <w:t xml:space="preserve">. The cigarettes originated from New Hampshire, Connecticut, and Georgia. The investigation is ongoing and the criminal case will be referred to the Bristol County District Attorney’s Office.  </w:t>
      </w:r>
    </w:p>
    <w:p w14:paraId="4C4442C1" w14:textId="77777777" w:rsidR="001409F5" w:rsidRDefault="001409F5" w:rsidP="001409F5">
      <w:pPr>
        <w:pStyle w:val="NormalWeb"/>
        <w:spacing w:before="0" w:beforeAutospacing="0" w:after="0" w:afterAutospacing="0"/>
        <w:ind w:left="720"/>
        <w:jc w:val="both"/>
        <w:rPr>
          <w:color w:val="000000"/>
        </w:rPr>
      </w:pPr>
    </w:p>
    <w:p w14:paraId="35475FAE" w14:textId="3702563D" w:rsidR="00F0426C" w:rsidRDefault="001409F5" w:rsidP="00D21193">
      <w:pPr>
        <w:pStyle w:val="NormalWeb"/>
        <w:numPr>
          <w:ilvl w:val="0"/>
          <w:numId w:val="33"/>
        </w:numPr>
        <w:spacing w:before="0" w:beforeAutospacing="0" w:after="0" w:afterAutospacing="0"/>
        <w:jc w:val="both"/>
        <w:rPr>
          <w:color w:val="000000"/>
        </w:rPr>
      </w:pPr>
      <w:r>
        <w:rPr>
          <w:color w:val="000000"/>
        </w:rPr>
        <w:t xml:space="preserve">In </w:t>
      </w:r>
      <w:r w:rsidR="00F0426C">
        <w:rPr>
          <w:color w:val="000000"/>
        </w:rPr>
        <w:t>July</w:t>
      </w:r>
      <w:r w:rsidR="00745866">
        <w:rPr>
          <w:color w:val="000000"/>
        </w:rPr>
        <w:t xml:space="preserve"> of 202</w:t>
      </w:r>
      <w:r w:rsidR="00F0426C">
        <w:rPr>
          <w:color w:val="000000"/>
        </w:rPr>
        <w:t>5</w:t>
      </w:r>
      <w:r w:rsidR="00745866">
        <w:rPr>
          <w:color w:val="000000"/>
        </w:rPr>
        <w:t xml:space="preserve">, CIB, with assistance from the State Police, </w:t>
      </w:r>
      <w:r w:rsidR="00F03189">
        <w:rPr>
          <w:color w:val="000000"/>
        </w:rPr>
        <w:t>served</w:t>
      </w:r>
      <w:r w:rsidR="00F0426C" w:rsidRPr="00F0426C">
        <w:rPr>
          <w:color w:val="000000"/>
        </w:rPr>
        <w:t xml:space="preserve"> an administrative search warrant at a warehouse used by an unlicensed tobacco and ENDS </w:t>
      </w:r>
      <w:r w:rsidR="00F0426C">
        <w:rPr>
          <w:color w:val="000000"/>
        </w:rPr>
        <w:t>distributor</w:t>
      </w:r>
      <w:r w:rsidR="00F0426C" w:rsidRPr="00F0426C">
        <w:rPr>
          <w:color w:val="000000"/>
        </w:rPr>
        <w:t xml:space="preserve"> in </w:t>
      </w:r>
      <w:r w:rsidR="00F0426C">
        <w:rPr>
          <w:color w:val="000000"/>
        </w:rPr>
        <w:t>Middlesex County</w:t>
      </w:r>
      <w:r w:rsidR="00F0426C" w:rsidRPr="00F0426C">
        <w:rPr>
          <w:color w:val="000000"/>
        </w:rPr>
        <w:t>.</w:t>
      </w:r>
      <w:r w:rsidR="00F0426C">
        <w:rPr>
          <w:color w:val="000000"/>
        </w:rPr>
        <w:t xml:space="preserve"> </w:t>
      </w:r>
      <w:r w:rsidR="00F0426C" w:rsidRPr="00F0426C">
        <w:rPr>
          <w:color w:val="000000"/>
        </w:rPr>
        <w:t xml:space="preserve">As a result of the search warrant, CIB seized a large quantity of untaxed ENDS products. </w:t>
      </w:r>
      <w:r w:rsidR="00F0426C">
        <w:rPr>
          <w:color w:val="000000"/>
        </w:rPr>
        <w:t>The CIB investigation d</w:t>
      </w:r>
      <w:r w:rsidR="00F0426C" w:rsidRPr="00F0426C">
        <w:rPr>
          <w:color w:val="000000"/>
        </w:rPr>
        <w:t xml:space="preserve">etermined that the </w:t>
      </w:r>
      <w:r w:rsidR="00F0426C">
        <w:rPr>
          <w:color w:val="000000"/>
        </w:rPr>
        <w:t>distributor</w:t>
      </w:r>
      <w:r w:rsidR="00F0426C" w:rsidRPr="00F0426C">
        <w:rPr>
          <w:color w:val="000000"/>
        </w:rPr>
        <w:t xml:space="preserve"> purchased untaxed ENDS products from unlicensed out-of-state sellers over several years</w:t>
      </w:r>
      <w:r w:rsidR="00F0426C">
        <w:rPr>
          <w:color w:val="000000"/>
        </w:rPr>
        <w:t xml:space="preserve"> and sold the ENDS products, as well as smoking tobacco products</w:t>
      </w:r>
      <w:r w:rsidR="00D21193">
        <w:rPr>
          <w:color w:val="000000"/>
        </w:rPr>
        <w:t>, to customers in Massachusetts without collecting the applicable sales tax.</w:t>
      </w:r>
      <w:r w:rsidR="00F0426C" w:rsidRPr="00F0426C">
        <w:rPr>
          <w:color w:val="000000"/>
        </w:rPr>
        <w:t xml:space="preserve"> The smuggling involved the evasion of approximately $272,000 in ENDS excise and sales taxes from 2020 to 2025. The </w:t>
      </w:r>
      <w:r w:rsidR="00065152">
        <w:rPr>
          <w:color w:val="000000"/>
        </w:rPr>
        <w:t>criminal case</w:t>
      </w:r>
      <w:r w:rsidR="00F0426C" w:rsidRPr="00F0426C">
        <w:rPr>
          <w:color w:val="000000"/>
        </w:rPr>
        <w:t xml:space="preserve"> has been referred to the Middlesex </w:t>
      </w:r>
      <w:r w:rsidR="00911DD6">
        <w:rPr>
          <w:color w:val="000000"/>
        </w:rPr>
        <w:t xml:space="preserve">County </w:t>
      </w:r>
      <w:r w:rsidR="00F0426C" w:rsidRPr="00F0426C">
        <w:rPr>
          <w:color w:val="000000"/>
        </w:rPr>
        <w:t>District Attorney’s Office for prosecution.</w:t>
      </w:r>
    </w:p>
    <w:p w14:paraId="4619B392" w14:textId="77777777" w:rsidR="00911DD6" w:rsidRDefault="00911DD6" w:rsidP="00911DD6">
      <w:pPr>
        <w:pStyle w:val="NormalWeb"/>
        <w:spacing w:before="0" w:beforeAutospacing="0" w:after="0" w:afterAutospacing="0"/>
        <w:ind w:left="720"/>
        <w:jc w:val="both"/>
        <w:rPr>
          <w:color w:val="000000"/>
        </w:rPr>
      </w:pPr>
    </w:p>
    <w:p w14:paraId="40701BA5" w14:textId="4911C92E" w:rsidR="00911DD6" w:rsidRPr="00911DD6" w:rsidRDefault="00911DD6" w:rsidP="00911DD6">
      <w:pPr>
        <w:pStyle w:val="NormalWeb"/>
        <w:numPr>
          <w:ilvl w:val="0"/>
          <w:numId w:val="33"/>
        </w:numPr>
        <w:spacing w:before="0" w:beforeAutospacing="0" w:after="0" w:afterAutospacing="0"/>
        <w:jc w:val="both"/>
        <w:rPr>
          <w:color w:val="000000"/>
        </w:rPr>
      </w:pPr>
      <w:r>
        <w:rPr>
          <w:color w:val="000000"/>
        </w:rPr>
        <w:t xml:space="preserve">In August of 2025, CIB, with assistance from the Springfield Police Department and State Police, </w:t>
      </w:r>
      <w:r w:rsidR="00F03189">
        <w:rPr>
          <w:color w:val="000000"/>
        </w:rPr>
        <w:t>served</w:t>
      </w:r>
      <w:r w:rsidRPr="00F0426C">
        <w:rPr>
          <w:color w:val="000000"/>
        </w:rPr>
        <w:t xml:space="preserve"> administrative search warrant</w:t>
      </w:r>
      <w:r>
        <w:rPr>
          <w:color w:val="000000"/>
        </w:rPr>
        <w:t>s</w:t>
      </w:r>
      <w:r w:rsidRPr="00F0426C">
        <w:rPr>
          <w:color w:val="000000"/>
        </w:rPr>
        <w:t xml:space="preserve"> at </w:t>
      </w:r>
      <w:r>
        <w:rPr>
          <w:color w:val="000000"/>
        </w:rPr>
        <w:t>two unlicensed retailers</w:t>
      </w:r>
      <w:r w:rsidRPr="00F0426C">
        <w:rPr>
          <w:color w:val="000000"/>
        </w:rPr>
        <w:t xml:space="preserve"> in </w:t>
      </w:r>
      <w:r>
        <w:rPr>
          <w:color w:val="000000"/>
        </w:rPr>
        <w:t>Hampden County</w:t>
      </w:r>
      <w:r w:rsidRPr="00F0426C">
        <w:rPr>
          <w:color w:val="000000"/>
        </w:rPr>
        <w:t>.</w:t>
      </w:r>
      <w:r>
        <w:rPr>
          <w:color w:val="000000"/>
        </w:rPr>
        <w:t xml:space="preserve"> </w:t>
      </w:r>
      <w:r w:rsidRPr="00F0426C">
        <w:rPr>
          <w:color w:val="000000"/>
        </w:rPr>
        <w:t>As a result of the search warrant</w:t>
      </w:r>
      <w:r>
        <w:rPr>
          <w:color w:val="000000"/>
        </w:rPr>
        <w:t>s</w:t>
      </w:r>
      <w:r w:rsidRPr="00F0426C">
        <w:rPr>
          <w:color w:val="000000"/>
        </w:rPr>
        <w:t xml:space="preserve">, CIB seized a large quantity of untaxed </w:t>
      </w:r>
      <w:r>
        <w:rPr>
          <w:color w:val="000000"/>
        </w:rPr>
        <w:t>cigarettes – representing the evasion of approximately $16,791 in excise taxes</w:t>
      </w:r>
      <w:r w:rsidRPr="00F0426C">
        <w:rPr>
          <w:color w:val="000000"/>
        </w:rPr>
        <w:t xml:space="preserve">. The </w:t>
      </w:r>
      <w:r>
        <w:rPr>
          <w:color w:val="000000"/>
        </w:rPr>
        <w:t>criminal case</w:t>
      </w:r>
      <w:r w:rsidRPr="00F0426C">
        <w:rPr>
          <w:color w:val="000000"/>
        </w:rPr>
        <w:t xml:space="preserve"> has been referred to the </w:t>
      </w:r>
      <w:r>
        <w:rPr>
          <w:color w:val="000000"/>
        </w:rPr>
        <w:t>Hampden County</w:t>
      </w:r>
      <w:r w:rsidRPr="00F0426C">
        <w:rPr>
          <w:color w:val="000000"/>
        </w:rPr>
        <w:t xml:space="preserve"> District Attorney’s Office for prosecution.</w:t>
      </w:r>
    </w:p>
    <w:p w14:paraId="1864E34D" w14:textId="77777777" w:rsidR="00333798" w:rsidRDefault="00333798" w:rsidP="00333798">
      <w:pPr>
        <w:pStyle w:val="NormalWeb"/>
        <w:spacing w:before="0" w:beforeAutospacing="0" w:after="0" w:afterAutospacing="0"/>
        <w:ind w:left="720"/>
        <w:jc w:val="both"/>
        <w:rPr>
          <w:color w:val="000000"/>
        </w:rPr>
      </w:pPr>
    </w:p>
    <w:p w14:paraId="0425F968" w14:textId="270A3814" w:rsidR="00333798" w:rsidRPr="00333798" w:rsidRDefault="00333798" w:rsidP="00333798">
      <w:pPr>
        <w:pStyle w:val="NormalWeb"/>
        <w:numPr>
          <w:ilvl w:val="0"/>
          <w:numId w:val="33"/>
        </w:numPr>
        <w:spacing w:before="0" w:beforeAutospacing="0" w:after="0" w:afterAutospacing="0"/>
        <w:jc w:val="both"/>
        <w:rPr>
          <w:color w:val="000000"/>
        </w:rPr>
      </w:pPr>
      <w:r>
        <w:rPr>
          <w:color w:val="000000"/>
        </w:rPr>
        <w:t xml:space="preserve">In November of 2025, </w:t>
      </w:r>
      <w:r w:rsidRPr="00D63296">
        <w:rPr>
          <w:rFonts w:eastAsia="Times New Roman"/>
        </w:rPr>
        <w:t>the State Police</w:t>
      </w:r>
      <w:r>
        <w:rPr>
          <w:rFonts w:eastAsia="Times New Roman"/>
        </w:rPr>
        <w:t>, with assistance from CIB,</w:t>
      </w:r>
      <w:r w:rsidRPr="00EA453F">
        <w:rPr>
          <w:color w:val="000000"/>
        </w:rPr>
        <w:t xml:space="preserve"> </w:t>
      </w:r>
      <w:r w:rsidR="00F03189">
        <w:rPr>
          <w:color w:val="000000"/>
        </w:rPr>
        <w:t>served</w:t>
      </w:r>
      <w:r w:rsidRPr="00EA453F">
        <w:rPr>
          <w:color w:val="000000"/>
        </w:rPr>
        <w:t xml:space="preserve"> search war</w:t>
      </w:r>
      <w:r>
        <w:rPr>
          <w:color w:val="000000"/>
        </w:rPr>
        <w:t xml:space="preserve">rants at unlicensed retailers in Middlesex County and Bristol County and seized a large quantity of </w:t>
      </w:r>
      <w:r w:rsidR="00065152">
        <w:rPr>
          <w:color w:val="000000"/>
        </w:rPr>
        <w:t xml:space="preserve">untaxed, </w:t>
      </w:r>
      <w:r>
        <w:rPr>
          <w:color w:val="000000"/>
        </w:rPr>
        <w:t xml:space="preserve">flavored tobacco and ENDS products between both locations. </w:t>
      </w:r>
      <w:r w:rsidR="00065152">
        <w:rPr>
          <w:color w:val="000000"/>
        </w:rPr>
        <w:t>As a result of the seizures, DOR issued civil penalties against the taxpayers for operating as a tobacco and ENDS retailer without a license.</w:t>
      </w:r>
      <w:r>
        <w:rPr>
          <w:color w:val="000000"/>
        </w:rPr>
        <w:t xml:space="preserve"> </w:t>
      </w:r>
      <w:r w:rsidR="00065152">
        <w:rPr>
          <w:color w:val="000000"/>
        </w:rPr>
        <w:t>The criminal</w:t>
      </w:r>
      <w:r w:rsidRPr="00EA453F">
        <w:rPr>
          <w:color w:val="000000"/>
        </w:rPr>
        <w:t xml:space="preserve"> case </w:t>
      </w:r>
      <w:r w:rsidR="00560635">
        <w:rPr>
          <w:color w:val="000000"/>
        </w:rPr>
        <w:t>will be</w:t>
      </w:r>
      <w:r w:rsidR="00065152">
        <w:rPr>
          <w:color w:val="000000"/>
        </w:rPr>
        <w:t xml:space="preserve"> referred to</w:t>
      </w:r>
      <w:r w:rsidRPr="00EA453F">
        <w:rPr>
          <w:color w:val="000000"/>
        </w:rPr>
        <w:t xml:space="preserve"> the </w:t>
      </w:r>
      <w:r>
        <w:rPr>
          <w:color w:val="000000"/>
        </w:rPr>
        <w:t>Middlesex</w:t>
      </w:r>
      <w:r w:rsidRPr="00EA453F">
        <w:rPr>
          <w:color w:val="000000"/>
        </w:rPr>
        <w:t xml:space="preserve"> County District Attorney’s Office</w:t>
      </w:r>
      <w:r w:rsidR="00065152">
        <w:rPr>
          <w:color w:val="000000"/>
        </w:rPr>
        <w:t xml:space="preserve"> for prosecution</w:t>
      </w:r>
      <w:r w:rsidRPr="00EA453F">
        <w:rPr>
          <w:color w:val="000000"/>
        </w:rPr>
        <w:t>.</w:t>
      </w:r>
    </w:p>
    <w:p w14:paraId="00CB3ADA" w14:textId="77777777" w:rsidR="00333798" w:rsidRDefault="00333798" w:rsidP="00333798">
      <w:pPr>
        <w:pStyle w:val="ListParagraph"/>
        <w:rPr>
          <w:color w:val="000000"/>
        </w:rPr>
      </w:pPr>
    </w:p>
    <w:p w14:paraId="77B36239" w14:textId="29DD5D0D" w:rsidR="00333798" w:rsidRDefault="00333798" w:rsidP="00333798">
      <w:pPr>
        <w:pStyle w:val="NormalWeb"/>
        <w:numPr>
          <w:ilvl w:val="0"/>
          <w:numId w:val="33"/>
        </w:numPr>
        <w:spacing w:before="0" w:beforeAutospacing="0" w:after="0" w:afterAutospacing="0"/>
        <w:jc w:val="both"/>
        <w:rPr>
          <w:color w:val="000000"/>
        </w:rPr>
      </w:pPr>
      <w:r>
        <w:rPr>
          <w:color w:val="000000"/>
        </w:rPr>
        <w:t xml:space="preserve">In December of 2025, </w:t>
      </w:r>
      <w:r w:rsidRPr="00D63296">
        <w:rPr>
          <w:rFonts w:eastAsia="Times New Roman"/>
        </w:rPr>
        <w:t>the State Police</w:t>
      </w:r>
      <w:r>
        <w:rPr>
          <w:rFonts w:eastAsia="Times New Roman"/>
        </w:rPr>
        <w:t>, with assistance from CIB,</w:t>
      </w:r>
      <w:r w:rsidRPr="00EA453F">
        <w:rPr>
          <w:color w:val="000000"/>
        </w:rPr>
        <w:t xml:space="preserve"> executed</w:t>
      </w:r>
      <w:r>
        <w:rPr>
          <w:color w:val="000000"/>
        </w:rPr>
        <w:t xml:space="preserve"> </w:t>
      </w:r>
      <w:r w:rsidRPr="00EA453F">
        <w:rPr>
          <w:color w:val="000000"/>
        </w:rPr>
        <w:t>search war</w:t>
      </w:r>
      <w:r>
        <w:rPr>
          <w:color w:val="000000"/>
        </w:rPr>
        <w:t xml:space="preserve">rants at a licensed retailer in Norfolk County and seized a large quantity of untaxed, flavored tobacco and ENDS products. </w:t>
      </w:r>
      <w:r w:rsidR="00065152">
        <w:rPr>
          <w:color w:val="000000"/>
        </w:rPr>
        <w:t>The criminal case has been referred to</w:t>
      </w:r>
      <w:r w:rsidRPr="00EA453F">
        <w:rPr>
          <w:color w:val="000000"/>
        </w:rPr>
        <w:t xml:space="preserve"> the </w:t>
      </w:r>
      <w:r>
        <w:rPr>
          <w:color w:val="000000"/>
        </w:rPr>
        <w:t>Norfolk</w:t>
      </w:r>
      <w:r w:rsidRPr="00EA453F">
        <w:rPr>
          <w:color w:val="000000"/>
        </w:rPr>
        <w:t xml:space="preserve"> County District Attorney’s Office</w:t>
      </w:r>
      <w:r w:rsidR="00065152">
        <w:rPr>
          <w:color w:val="000000"/>
        </w:rPr>
        <w:t xml:space="preserve"> for prosecution</w:t>
      </w:r>
      <w:r w:rsidRPr="00EA453F">
        <w:rPr>
          <w:color w:val="000000"/>
        </w:rPr>
        <w:t>.</w:t>
      </w:r>
    </w:p>
    <w:p w14:paraId="23DA5933" w14:textId="77777777" w:rsidR="00560635" w:rsidRDefault="00560635" w:rsidP="00560635">
      <w:pPr>
        <w:pStyle w:val="NormalWeb"/>
        <w:spacing w:before="0" w:beforeAutospacing="0" w:after="0" w:afterAutospacing="0"/>
        <w:ind w:left="720"/>
        <w:jc w:val="both"/>
        <w:rPr>
          <w:color w:val="000000"/>
        </w:rPr>
      </w:pPr>
    </w:p>
    <w:bookmarkEnd w:id="35"/>
    <w:p w14:paraId="60E80340" w14:textId="0CA84DAF" w:rsidR="00E327D9" w:rsidRDefault="00EB145D" w:rsidP="00FB6AAA">
      <w:pPr>
        <w:pStyle w:val="NormalWeb"/>
        <w:spacing w:before="0" w:beforeAutospacing="0" w:after="0" w:afterAutospacing="0"/>
        <w:ind w:firstLine="720"/>
        <w:jc w:val="both"/>
        <w:rPr>
          <w:color w:val="000000"/>
        </w:rPr>
      </w:pPr>
      <w:r>
        <w:rPr>
          <w:color w:val="000000"/>
        </w:rPr>
        <w:lastRenderedPageBreak/>
        <w:t>The</w:t>
      </w:r>
      <w:r w:rsidR="00E327D9">
        <w:rPr>
          <w:color w:val="000000"/>
        </w:rPr>
        <w:t xml:space="preserve"> Task Force has </w:t>
      </w:r>
      <w:r w:rsidR="00494878">
        <w:rPr>
          <w:color w:val="000000"/>
        </w:rPr>
        <w:t xml:space="preserve">continued to streamline </w:t>
      </w:r>
      <w:r w:rsidR="00E327D9">
        <w:rPr>
          <w:color w:val="000000"/>
        </w:rPr>
        <w:t xml:space="preserve">communication with the public and between its member agencies. The Task Force </w:t>
      </w:r>
      <w:r w:rsidR="002E61E9">
        <w:rPr>
          <w:color w:val="000000"/>
        </w:rPr>
        <w:t xml:space="preserve">began </w:t>
      </w:r>
      <w:r w:rsidR="00FA5B7C">
        <w:rPr>
          <w:color w:val="000000"/>
        </w:rPr>
        <w:t xml:space="preserve">utilizing social media to announce meeting dates and </w:t>
      </w:r>
      <w:r w:rsidR="004D296B">
        <w:rPr>
          <w:color w:val="000000"/>
        </w:rPr>
        <w:t>topics,</w:t>
      </w:r>
      <w:r w:rsidR="00FA5B7C">
        <w:rPr>
          <w:color w:val="000000"/>
        </w:rPr>
        <w:t xml:space="preserve"> which has increased attendance.</w:t>
      </w:r>
    </w:p>
    <w:p w14:paraId="4FCCA13E" w14:textId="78529DEA" w:rsidR="000D02A8" w:rsidRPr="00703480" w:rsidRDefault="000D02A8" w:rsidP="00FB6AAA">
      <w:pPr>
        <w:pStyle w:val="NormalWeb"/>
        <w:spacing w:before="0" w:beforeAutospacing="0" w:after="0" w:afterAutospacing="0"/>
        <w:ind w:firstLine="720"/>
        <w:jc w:val="both"/>
      </w:pPr>
    </w:p>
    <w:p w14:paraId="65868831" w14:textId="77777777" w:rsidR="00A95486" w:rsidRDefault="00703480" w:rsidP="00FB6AAA">
      <w:pPr>
        <w:pStyle w:val="NormalWeb"/>
        <w:spacing w:before="0" w:beforeAutospacing="0" w:after="0" w:afterAutospacing="0"/>
        <w:ind w:firstLine="720"/>
        <w:jc w:val="both"/>
      </w:pPr>
      <w:r w:rsidRPr="00703480">
        <w:t>As noted above, the Task Force has utilized a</w:t>
      </w:r>
      <w:r w:rsidR="000D02A8" w:rsidRPr="00703480">
        <w:t xml:space="preserve"> robust</w:t>
      </w:r>
      <w:r w:rsidRPr="00703480">
        <w:t>, multi-faceted</w:t>
      </w:r>
      <w:r w:rsidR="000D02A8" w:rsidRPr="00703480">
        <w:t xml:space="preserve"> enforcement model</w:t>
      </w:r>
      <w:r w:rsidRPr="00703480">
        <w:t xml:space="preserve"> whereby</w:t>
      </w:r>
      <w:r w:rsidR="000D02A8" w:rsidRPr="00703480">
        <w:t xml:space="preserve"> the Task Force has suspended tobacco licenses of retailers</w:t>
      </w:r>
      <w:r w:rsidR="00646BC1">
        <w:t xml:space="preserve"> or distributors</w:t>
      </w:r>
      <w:r w:rsidR="000D02A8" w:rsidRPr="00703480">
        <w:t xml:space="preserve"> selling illegal (untaxed) tobacco products; seized and confiscated illegal tobacco products; issued civil assessments</w:t>
      </w:r>
      <w:r w:rsidR="00646BC1">
        <w:t xml:space="preserve"> and penalties</w:t>
      </w:r>
      <w:r w:rsidR="000D02A8" w:rsidRPr="00703480">
        <w:t xml:space="preserve"> for unpaid tobacco excise taxes; and prosecuted large-scale smugglers for violations of the </w:t>
      </w:r>
    </w:p>
    <w:p w14:paraId="74BB185D" w14:textId="77777777" w:rsidR="00A95486" w:rsidRDefault="00A95486" w:rsidP="00FB6AAA">
      <w:pPr>
        <w:pStyle w:val="NormalWeb"/>
        <w:spacing w:before="0" w:beforeAutospacing="0" w:after="0" w:afterAutospacing="0"/>
        <w:ind w:firstLine="720"/>
        <w:jc w:val="both"/>
      </w:pPr>
    </w:p>
    <w:p w14:paraId="14810469" w14:textId="7523AD45" w:rsidR="000D02A8" w:rsidRDefault="000D02A8" w:rsidP="00A95486">
      <w:pPr>
        <w:pStyle w:val="NormalWeb"/>
        <w:spacing w:before="0" w:beforeAutospacing="0" w:after="0" w:afterAutospacing="0"/>
        <w:jc w:val="both"/>
      </w:pPr>
      <w:r w:rsidRPr="00703480">
        <w:t>Commonwealth’s tobacco tax laws. Despite these notable successes, the</w:t>
      </w:r>
      <w:r w:rsidR="00F54C8A">
        <w:t>re is still more work to be done to combat the</w:t>
      </w:r>
      <w:r w:rsidRPr="00703480">
        <w:t xml:space="preserve"> illegal tobacco </w:t>
      </w:r>
      <w:r w:rsidR="00F54C8A">
        <w:t>trade</w:t>
      </w:r>
      <w:r w:rsidRPr="00703480">
        <w:t>.</w:t>
      </w:r>
    </w:p>
    <w:p w14:paraId="7D3795AF" w14:textId="3B37B2E7" w:rsidR="00DA6910" w:rsidRDefault="00DA6910" w:rsidP="003633AF">
      <w:pPr>
        <w:pStyle w:val="NormalWeb"/>
        <w:spacing w:before="0" w:beforeAutospacing="0" w:after="0" w:afterAutospacing="0"/>
        <w:ind w:firstLine="720"/>
        <w:jc w:val="both"/>
      </w:pPr>
    </w:p>
    <w:p w14:paraId="3FD1A29D" w14:textId="0976D251" w:rsidR="00E327D9" w:rsidRPr="00A77A0B" w:rsidRDefault="00E327D9" w:rsidP="003633AF">
      <w:pPr>
        <w:pStyle w:val="Heading1"/>
        <w:numPr>
          <w:ilvl w:val="1"/>
          <w:numId w:val="1"/>
        </w:numPr>
        <w:tabs>
          <w:tab w:val="left" w:pos="720"/>
        </w:tabs>
        <w:spacing w:before="0"/>
        <w:ind w:left="720" w:firstLine="0"/>
        <w:jc w:val="left"/>
        <w:rPr>
          <w:bCs w:val="0"/>
        </w:rPr>
      </w:pPr>
      <w:bookmarkStart w:id="36" w:name="_Toc1574827"/>
      <w:r w:rsidRPr="00A77A0B">
        <w:rPr>
          <w:bCs w:val="0"/>
        </w:rPr>
        <w:t xml:space="preserve">Legislative </w:t>
      </w:r>
      <w:bookmarkEnd w:id="36"/>
      <w:r w:rsidR="007E5269">
        <w:rPr>
          <w:bCs w:val="0"/>
        </w:rPr>
        <w:t>Proposals</w:t>
      </w:r>
    </w:p>
    <w:p w14:paraId="68583E3E" w14:textId="77777777" w:rsidR="00E327D9" w:rsidRDefault="00E327D9" w:rsidP="003633AF">
      <w:pPr>
        <w:pStyle w:val="BodyText"/>
        <w:ind w:left="0" w:right="113"/>
        <w:jc w:val="both"/>
      </w:pPr>
    </w:p>
    <w:p w14:paraId="1C58CF3B" w14:textId="24D41CD1" w:rsidR="00E327D9" w:rsidRDefault="00EB145D" w:rsidP="003633AF">
      <w:pPr>
        <w:pStyle w:val="BodyText"/>
        <w:ind w:left="0" w:right="113" w:firstLine="720"/>
        <w:jc w:val="both"/>
      </w:pPr>
      <w:r>
        <w:t>No</w:t>
      </w:r>
      <w:r w:rsidR="00C16CEA">
        <w:t xml:space="preserve"> substantive legislative changes </w:t>
      </w:r>
      <w:r>
        <w:t xml:space="preserve">have been made </w:t>
      </w:r>
      <w:r w:rsidR="00646BC1">
        <w:t xml:space="preserve">to the tobacco revenue or compliance laws </w:t>
      </w:r>
      <w:r w:rsidR="00C16CEA">
        <w:t xml:space="preserve">since </w:t>
      </w:r>
      <w:r w:rsidR="00CB3D92">
        <w:t>2019</w:t>
      </w:r>
      <w:r w:rsidR="00E327D9" w:rsidRPr="00A8406F">
        <w:t>.</w:t>
      </w:r>
      <w:r w:rsidR="00880907">
        <w:t xml:space="preserve"> The FY25 budget, approved on</w:t>
      </w:r>
      <w:r w:rsidR="0065762E">
        <w:t xml:space="preserve"> July 29, 2024</w:t>
      </w:r>
      <w:r w:rsidR="00880907">
        <w:t xml:space="preserve">, provided </w:t>
      </w:r>
      <w:r w:rsidR="0065762E">
        <w:t>slightly more</w:t>
      </w:r>
      <w:r w:rsidR="00880907">
        <w:t xml:space="preserve"> funding for the Task Force</w:t>
      </w:r>
      <w:r w:rsidR="0065762E">
        <w:t xml:space="preserve"> than FY24</w:t>
      </w:r>
      <w:r w:rsidR="00880907">
        <w:t>.</w:t>
      </w:r>
    </w:p>
    <w:p w14:paraId="1612C3D5" w14:textId="77777777" w:rsidR="00E327D9" w:rsidRDefault="00E327D9" w:rsidP="003633AF">
      <w:pPr>
        <w:pStyle w:val="BodyText"/>
        <w:ind w:left="0" w:right="113" w:firstLine="720"/>
        <w:jc w:val="both"/>
      </w:pPr>
    </w:p>
    <w:p w14:paraId="017635DA" w14:textId="24E23E9E" w:rsidR="00BD36C7" w:rsidRDefault="008D7A13" w:rsidP="008E43BA">
      <w:pPr>
        <w:pStyle w:val="BodyText"/>
        <w:ind w:left="0" w:right="113" w:firstLine="720"/>
        <w:jc w:val="both"/>
      </w:pPr>
      <w:r>
        <w:t>Pursuant to its statutory mandate, the Task Force is charged with making recommendations to the legislature</w:t>
      </w:r>
      <w:r w:rsidR="00587E8A">
        <w:t>,</w:t>
      </w:r>
      <w:r>
        <w:t xml:space="preserve"> </w:t>
      </w:r>
      <w:r w:rsidR="00BD36C7" w:rsidRPr="00BD36C7">
        <w:rPr>
          <w:rFonts w:cs="Times New Roman"/>
        </w:rPr>
        <w:t>“</w:t>
      </w:r>
      <w:r w:rsidR="00BD36C7" w:rsidRPr="00BD36C7">
        <w:rPr>
          <w:rFonts w:cs="Times New Roman"/>
          <w:color w:val="333333"/>
          <w:shd w:val="clear" w:color="auto" w:fill="FFFFFF"/>
        </w:rPr>
        <w:t>to strengthen operations and enforcement efforts and reduce or eliminate any impediments to those efforts.</w:t>
      </w:r>
      <w:r w:rsidR="00BD36C7" w:rsidRPr="00BD36C7">
        <w:rPr>
          <w:rFonts w:cs="Times New Roman"/>
        </w:rPr>
        <w:t>”</w:t>
      </w:r>
      <w:r>
        <w:rPr>
          <w:rStyle w:val="FootnoteReference"/>
        </w:rPr>
        <w:footnoteReference w:id="28"/>
      </w:r>
      <w:r w:rsidR="00BD36C7">
        <w:t xml:space="preserve"> </w:t>
      </w:r>
      <w:r w:rsidR="00880907">
        <w:t>For the past several years</w:t>
      </w:r>
      <w:r w:rsidR="00646BC1">
        <w:t>, t</w:t>
      </w:r>
      <w:r w:rsidR="00BD36C7">
        <w:t xml:space="preserve">he Task Force </w:t>
      </w:r>
      <w:r w:rsidR="00880907">
        <w:t xml:space="preserve">has </w:t>
      </w:r>
      <w:r w:rsidR="00604B7D">
        <w:t>held public meetings to discuss</w:t>
      </w:r>
      <w:r w:rsidR="00BD36C7">
        <w:t xml:space="preserve"> statutory and regulatory changes </w:t>
      </w:r>
      <w:r w:rsidR="00AA3276">
        <w:t xml:space="preserve">that </w:t>
      </w:r>
      <w:r w:rsidR="00D056C7">
        <w:t>could</w:t>
      </w:r>
      <w:r w:rsidR="00AA3276">
        <w:t xml:space="preserve"> improve </w:t>
      </w:r>
      <w:r w:rsidR="007563AB">
        <w:t>enforcement efforts</w:t>
      </w:r>
      <w:r w:rsidR="00AA3276">
        <w:t xml:space="preserve"> by</w:t>
      </w:r>
      <w:r w:rsidR="007563AB">
        <w:t xml:space="preserve"> </w:t>
      </w:r>
      <w:r w:rsidR="00AA3276">
        <w:t xml:space="preserve">enhancing certain civil and criminal provisions and </w:t>
      </w:r>
      <w:r w:rsidR="00D056C7">
        <w:t>updating</w:t>
      </w:r>
      <w:r w:rsidR="00AA3276">
        <w:t xml:space="preserve"> regulatory and administrative procedures. </w:t>
      </w:r>
      <w:r w:rsidR="00646BC1">
        <w:t xml:space="preserve">The </w:t>
      </w:r>
      <w:r w:rsidR="00880907">
        <w:t xml:space="preserve">current </w:t>
      </w:r>
      <w:r w:rsidR="00646BC1">
        <w:t>Task Force</w:t>
      </w:r>
      <w:r w:rsidR="00880907">
        <w:t xml:space="preserve">’s recommendations remain </w:t>
      </w:r>
      <w:r w:rsidR="00FF629F">
        <w:t>mostly</w:t>
      </w:r>
      <w:r w:rsidR="00880907">
        <w:t xml:space="preserve"> unchanged as the Legislature has not yet </w:t>
      </w:r>
      <w:r w:rsidR="00417DBB">
        <w:t>taken up any</w:t>
      </w:r>
      <w:r w:rsidR="00880907">
        <w:t xml:space="preserve"> of</w:t>
      </w:r>
      <w:r w:rsidR="00646BC1">
        <w:t xml:space="preserve"> the previously approved recommendations. B</w:t>
      </w:r>
      <w:r w:rsidR="00BD36C7">
        <w:t xml:space="preserve">elow is </w:t>
      </w:r>
      <w:r w:rsidR="00AA3276">
        <w:t>a summary</w:t>
      </w:r>
      <w:r w:rsidR="00BD36C7">
        <w:t xml:space="preserve"> of the </w:t>
      </w:r>
      <w:r w:rsidR="001E76C3">
        <w:t xml:space="preserve">Task Force’s </w:t>
      </w:r>
      <w:r w:rsidR="00C650A6">
        <w:t>recommended</w:t>
      </w:r>
      <w:r w:rsidR="00BD36C7">
        <w:t xml:space="preserve"> changes to </w:t>
      </w:r>
      <w:r w:rsidR="00AA3276">
        <w:t>existing tobacco enforcement laws and regulations.</w:t>
      </w:r>
      <w:r w:rsidR="00AA3276">
        <w:rPr>
          <w:rStyle w:val="FootnoteReference"/>
        </w:rPr>
        <w:footnoteReference w:id="29"/>
      </w:r>
      <w:r w:rsidR="00BD36C7">
        <w:t xml:space="preserve"> </w:t>
      </w:r>
    </w:p>
    <w:p w14:paraId="1F1FE17A" w14:textId="77777777" w:rsidR="00576082" w:rsidRPr="00576082" w:rsidRDefault="00576082" w:rsidP="00D056C7">
      <w:pPr>
        <w:rPr>
          <w:rFonts w:ascii="Times New Roman" w:hAnsi="Times New Roman" w:cs="Times New Roman"/>
          <w:sz w:val="24"/>
          <w:szCs w:val="24"/>
        </w:rPr>
      </w:pPr>
    </w:p>
    <w:p w14:paraId="12A6ABCF" w14:textId="175125B2" w:rsidR="00D056C7" w:rsidRPr="00D056C7" w:rsidRDefault="00D056C7" w:rsidP="00D056C7">
      <w:pPr>
        <w:rPr>
          <w:rFonts w:ascii="Times New Roman" w:hAnsi="Times New Roman" w:cs="Times New Roman"/>
          <w:sz w:val="24"/>
          <w:szCs w:val="24"/>
        </w:rPr>
      </w:pPr>
      <w:r w:rsidRPr="0064580D">
        <w:rPr>
          <w:rFonts w:ascii="Times New Roman" w:hAnsi="Times New Roman" w:cs="Times New Roman"/>
          <w:sz w:val="24"/>
          <w:szCs w:val="24"/>
          <w:u w:val="single"/>
        </w:rPr>
        <w:t>M.G.L. c. 62C § 16 (Filing of Returns)</w:t>
      </w:r>
      <w:r w:rsidRPr="00D056C7">
        <w:rPr>
          <w:rFonts w:ascii="Times New Roman" w:hAnsi="Times New Roman" w:cs="Times New Roman"/>
          <w:sz w:val="24"/>
          <w:szCs w:val="24"/>
        </w:rPr>
        <w:t>:</w:t>
      </w:r>
    </w:p>
    <w:p w14:paraId="1F19CE46" w14:textId="29E17918" w:rsidR="00D056C7" w:rsidRPr="00D056C7" w:rsidRDefault="00D056C7" w:rsidP="00BE2E69">
      <w:pPr>
        <w:pStyle w:val="ListParagraph"/>
        <w:widowControl/>
        <w:numPr>
          <w:ilvl w:val="0"/>
          <w:numId w:val="18"/>
        </w:numPr>
        <w:jc w:val="both"/>
        <w:rPr>
          <w:rFonts w:ascii="Times New Roman" w:eastAsia="Times New Roman" w:hAnsi="Times New Roman" w:cs="Times New Roman"/>
          <w:sz w:val="24"/>
          <w:szCs w:val="24"/>
        </w:rPr>
      </w:pPr>
      <w:r w:rsidRPr="00D056C7">
        <w:rPr>
          <w:rFonts w:ascii="Times New Roman" w:eastAsia="Times New Roman" w:hAnsi="Times New Roman" w:cs="Times New Roman"/>
          <w:sz w:val="24"/>
          <w:szCs w:val="24"/>
        </w:rPr>
        <w:t>Change timing of payment of excise tax for unlicensed wholesalers/distributors (</w:t>
      </w:r>
      <w:r w:rsidR="0064580D">
        <w:rPr>
          <w:rFonts w:ascii="Times New Roman" w:eastAsia="Times New Roman" w:hAnsi="Times New Roman" w:cs="Times New Roman"/>
          <w:sz w:val="24"/>
          <w:szCs w:val="24"/>
        </w:rPr>
        <w:t>i.e.</w:t>
      </w:r>
      <w:r w:rsidRPr="00D056C7">
        <w:rPr>
          <w:rFonts w:ascii="Times New Roman" w:eastAsia="Times New Roman" w:hAnsi="Times New Roman" w:cs="Times New Roman"/>
          <w:sz w:val="24"/>
          <w:szCs w:val="24"/>
        </w:rPr>
        <w:t xml:space="preserve">, retailers purchasing from unlicensed distributors) </w:t>
      </w:r>
      <w:r w:rsidR="0064580D">
        <w:rPr>
          <w:rFonts w:ascii="Times New Roman" w:eastAsia="Times New Roman" w:hAnsi="Times New Roman" w:cs="Times New Roman"/>
          <w:sz w:val="24"/>
          <w:szCs w:val="24"/>
        </w:rPr>
        <w:t>of</w:t>
      </w:r>
      <w:r w:rsidRPr="00D056C7">
        <w:rPr>
          <w:rFonts w:ascii="Times New Roman" w:eastAsia="Times New Roman" w:hAnsi="Times New Roman" w:cs="Times New Roman"/>
          <w:sz w:val="24"/>
          <w:szCs w:val="24"/>
        </w:rPr>
        <w:t xml:space="preserve"> smokeless tobacco, cigars</w:t>
      </w:r>
      <w:r w:rsidR="003B2537">
        <w:rPr>
          <w:rFonts w:ascii="Times New Roman" w:eastAsia="Times New Roman" w:hAnsi="Times New Roman" w:cs="Times New Roman"/>
          <w:sz w:val="24"/>
          <w:szCs w:val="24"/>
        </w:rPr>
        <w:t xml:space="preserve">, </w:t>
      </w:r>
      <w:r w:rsidRPr="00D056C7">
        <w:rPr>
          <w:rFonts w:ascii="Times New Roman" w:eastAsia="Times New Roman" w:hAnsi="Times New Roman" w:cs="Times New Roman"/>
          <w:sz w:val="24"/>
          <w:szCs w:val="24"/>
        </w:rPr>
        <w:t>smoking tobacco, and ENDS</w:t>
      </w:r>
      <w:r w:rsidR="0064580D">
        <w:rPr>
          <w:rFonts w:ascii="Times New Roman" w:eastAsia="Times New Roman" w:hAnsi="Times New Roman" w:cs="Times New Roman"/>
          <w:sz w:val="24"/>
          <w:szCs w:val="24"/>
        </w:rPr>
        <w:t xml:space="preserve"> so that returns are filed upon purchase or importation of untaxed products. This </w:t>
      </w:r>
      <w:r w:rsidR="003B2537">
        <w:rPr>
          <w:rFonts w:ascii="Times New Roman" w:eastAsia="Times New Roman" w:hAnsi="Times New Roman" w:cs="Times New Roman"/>
          <w:sz w:val="24"/>
          <w:szCs w:val="24"/>
        </w:rPr>
        <w:t>could</w:t>
      </w:r>
      <w:r w:rsidR="0064580D">
        <w:rPr>
          <w:rFonts w:ascii="Times New Roman" w:eastAsia="Times New Roman" w:hAnsi="Times New Roman" w:cs="Times New Roman"/>
          <w:sz w:val="24"/>
          <w:szCs w:val="24"/>
        </w:rPr>
        <w:t xml:space="preserve"> correct </w:t>
      </w:r>
      <w:r w:rsidR="00C3255D">
        <w:rPr>
          <w:rFonts w:ascii="Times New Roman" w:eastAsia="Times New Roman" w:hAnsi="Times New Roman" w:cs="Times New Roman"/>
          <w:sz w:val="24"/>
          <w:szCs w:val="24"/>
        </w:rPr>
        <w:t xml:space="preserve">existing </w:t>
      </w:r>
      <w:r w:rsidR="00587E8A">
        <w:rPr>
          <w:rFonts w:ascii="Times New Roman" w:eastAsia="Times New Roman" w:hAnsi="Times New Roman" w:cs="Times New Roman"/>
          <w:sz w:val="24"/>
          <w:szCs w:val="24"/>
        </w:rPr>
        <w:t>inconsistenc</w:t>
      </w:r>
      <w:r w:rsidR="00A14E5F">
        <w:rPr>
          <w:rFonts w:ascii="Times New Roman" w:eastAsia="Times New Roman" w:hAnsi="Times New Roman" w:cs="Times New Roman"/>
          <w:sz w:val="24"/>
          <w:szCs w:val="24"/>
        </w:rPr>
        <w:t>ies</w:t>
      </w:r>
      <w:r w:rsidR="0064580D">
        <w:rPr>
          <w:rFonts w:ascii="Times New Roman" w:eastAsia="Times New Roman" w:hAnsi="Times New Roman" w:cs="Times New Roman"/>
          <w:sz w:val="24"/>
          <w:szCs w:val="24"/>
        </w:rPr>
        <w:t xml:space="preserve"> between </w:t>
      </w:r>
      <w:r w:rsidR="003B2537">
        <w:rPr>
          <w:rFonts w:ascii="Times New Roman" w:eastAsia="Times New Roman" w:hAnsi="Times New Roman" w:cs="Times New Roman"/>
          <w:sz w:val="24"/>
          <w:szCs w:val="24"/>
        </w:rPr>
        <w:t xml:space="preserve">the </w:t>
      </w:r>
      <w:r w:rsidR="0064580D">
        <w:rPr>
          <w:rFonts w:ascii="Times New Roman" w:eastAsia="Times New Roman" w:hAnsi="Times New Roman" w:cs="Times New Roman"/>
          <w:sz w:val="24"/>
          <w:szCs w:val="24"/>
        </w:rPr>
        <w:t>timing of filing returns</w:t>
      </w:r>
      <w:r w:rsidR="003B2537">
        <w:rPr>
          <w:rFonts w:ascii="Times New Roman" w:eastAsia="Times New Roman" w:hAnsi="Times New Roman" w:cs="Times New Roman"/>
          <w:sz w:val="24"/>
          <w:szCs w:val="24"/>
        </w:rPr>
        <w:t xml:space="preserve"> </w:t>
      </w:r>
      <w:r w:rsidR="0064580D">
        <w:rPr>
          <w:rFonts w:ascii="Times New Roman" w:eastAsia="Times New Roman" w:hAnsi="Times New Roman" w:cs="Times New Roman"/>
          <w:sz w:val="24"/>
          <w:szCs w:val="24"/>
        </w:rPr>
        <w:t>for different tobacco licen</w:t>
      </w:r>
      <w:r w:rsidR="001745BF">
        <w:rPr>
          <w:rFonts w:ascii="Times New Roman" w:eastAsia="Times New Roman" w:hAnsi="Times New Roman" w:cs="Times New Roman"/>
          <w:sz w:val="24"/>
          <w:szCs w:val="24"/>
        </w:rPr>
        <w:t xml:space="preserve">se </w:t>
      </w:r>
      <w:r w:rsidR="0064580D">
        <w:rPr>
          <w:rFonts w:ascii="Times New Roman" w:eastAsia="Times New Roman" w:hAnsi="Times New Roman" w:cs="Times New Roman"/>
          <w:sz w:val="24"/>
          <w:szCs w:val="24"/>
        </w:rPr>
        <w:t>types</w:t>
      </w:r>
      <w:r w:rsidR="003B2537">
        <w:rPr>
          <w:rFonts w:ascii="Times New Roman" w:eastAsia="Times New Roman" w:hAnsi="Times New Roman" w:cs="Times New Roman"/>
          <w:sz w:val="24"/>
          <w:szCs w:val="24"/>
        </w:rPr>
        <w:t xml:space="preserve"> (e.g., monthly </w:t>
      </w:r>
      <w:r w:rsidR="00417DBB">
        <w:rPr>
          <w:rFonts w:ascii="Times New Roman" w:eastAsia="Times New Roman" w:hAnsi="Times New Roman" w:cs="Times New Roman"/>
          <w:sz w:val="24"/>
          <w:szCs w:val="24"/>
        </w:rPr>
        <w:t xml:space="preserve">filing </w:t>
      </w:r>
      <w:r w:rsidR="003B2537">
        <w:rPr>
          <w:rFonts w:ascii="Times New Roman" w:eastAsia="Times New Roman" w:hAnsi="Times New Roman" w:cs="Times New Roman"/>
          <w:sz w:val="24"/>
          <w:szCs w:val="24"/>
        </w:rPr>
        <w:t xml:space="preserve">for ENDS and smokeless tobacco and quarterly </w:t>
      </w:r>
      <w:r w:rsidR="00417DBB">
        <w:rPr>
          <w:rFonts w:ascii="Times New Roman" w:eastAsia="Times New Roman" w:hAnsi="Times New Roman" w:cs="Times New Roman"/>
          <w:sz w:val="24"/>
          <w:szCs w:val="24"/>
        </w:rPr>
        <w:t xml:space="preserve">filing </w:t>
      </w:r>
      <w:r w:rsidR="003B2537">
        <w:rPr>
          <w:rFonts w:ascii="Times New Roman" w:eastAsia="Times New Roman" w:hAnsi="Times New Roman" w:cs="Times New Roman"/>
          <w:sz w:val="24"/>
          <w:szCs w:val="24"/>
        </w:rPr>
        <w:t>for cigars and smoking tobacco)</w:t>
      </w:r>
      <w:r w:rsidR="0064580D">
        <w:rPr>
          <w:rFonts w:ascii="Times New Roman" w:eastAsia="Times New Roman" w:hAnsi="Times New Roman" w:cs="Times New Roman"/>
          <w:sz w:val="24"/>
          <w:szCs w:val="24"/>
        </w:rPr>
        <w:t>.</w:t>
      </w:r>
    </w:p>
    <w:p w14:paraId="3C0B19C0" w14:textId="77777777" w:rsidR="00D056C7" w:rsidRPr="00D056C7" w:rsidRDefault="00D056C7" w:rsidP="00D056C7">
      <w:pPr>
        <w:rPr>
          <w:rFonts w:ascii="Times New Roman" w:hAnsi="Times New Roman" w:cs="Times New Roman"/>
          <w:sz w:val="24"/>
          <w:szCs w:val="24"/>
        </w:rPr>
      </w:pPr>
    </w:p>
    <w:p w14:paraId="10E7B36E" w14:textId="2C16D9BA" w:rsidR="00D056C7" w:rsidRPr="00D056C7" w:rsidRDefault="0064580D" w:rsidP="00D056C7">
      <w:pPr>
        <w:rPr>
          <w:rFonts w:ascii="Times New Roman" w:hAnsi="Times New Roman" w:cs="Times New Roman"/>
          <w:sz w:val="24"/>
          <w:szCs w:val="24"/>
        </w:rPr>
      </w:pPr>
      <w:r w:rsidRPr="0064580D">
        <w:rPr>
          <w:rFonts w:ascii="Times New Roman" w:hAnsi="Times New Roman" w:cs="Times New Roman"/>
          <w:sz w:val="24"/>
          <w:szCs w:val="24"/>
          <w:u w:val="single"/>
        </w:rPr>
        <w:t xml:space="preserve">M.G.L. c. 62C § </w:t>
      </w:r>
      <w:r w:rsidR="003872CC">
        <w:rPr>
          <w:rFonts w:ascii="Times New Roman" w:hAnsi="Times New Roman" w:cs="Times New Roman"/>
          <w:sz w:val="24"/>
          <w:szCs w:val="24"/>
          <w:u w:val="single"/>
        </w:rPr>
        <w:t>68</w:t>
      </w:r>
      <w:r w:rsidRPr="0064580D">
        <w:rPr>
          <w:rFonts w:ascii="Times New Roman" w:hAnsi="Times New Roman" w:cs="Times New Roman"/>
          <w:sz w:val="24"/>
          <w:szCs w:val="24"/>
          <w:u w:val="single"/>
        </w:rPr>
        <w:t xml:space="preserve"> </w:t>
      </w:r>
      <w:r w:rsidR="00D056C7" w:rsidRPr="00D056C7">
        <w:rPr>
          <w:rFonts w:ascii="Times New Roman" w:hAnsi="Times New Roman" w:cs="Times New Roman"/>
          <w:sz w:val="24"/>
          <w:szCs w:val="24"/>
          <w:u w:val="single"/>
        </w:rPr>
        <w:t>(Suspension/Revocation of Licenses)</w:t>
      </w:r>
      <w:r w:rsidR="00D056C7" w:rsidRPr="00D056C7">
        <w:rPr>
          <w:rFonts w:ascii="Times New Roman" w:hAnsi="Times New Roman" w:cs="Times New Roman"/>
          <w:sz w:val="24"/>
          <w:szCs w:val="24"/>
        </w:rPr>
        <w:t>:</w:t>
      </w:r>
    </w:p>
    <w:p w14:paraId="7D599A2E" w14:textId="4CDC45A4" w:rsidR="001745BF" w:rsidRDefault="001745BF" w:rsidP="00BE2E69">
      <w:pPr>
        <w:pStyle w:val="ListParagraph"/>
        <w:widowControl/>
        <w:numPr>
          <w:ilvl w:val="0"/>
          <w:numId w:val="1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Add language that </w:t>
      </w:r>
      <w:r w:rsidR="003B6E44">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conviction for violation of chapter 64C </w:t>
      </w:r>
      <w:r w:rsidR="00CB5635">
        <w:rPr>
          <w:rFonts w:ascii="Times New Roman" w:eastAsia="Times New Roman" w:hAnsi="Times New Roman" w:cs="Times New Roman"/>
          <w:sz w:val="24"/>
          <w:szCs w:val="24"/>
        </w:rPr>
        <w:t xml:space="preserve">or </w:t>
      </w:r>
      <w:r>
        <w:rPr>
          <w:rFonts w:ascii="Times New Roman" w:eastAsia="Times New Roman" w:hAnsi="Times New Roman" w:cs="Times New Roman"/>
          <w:sz w:val="24"/>
          <w:szCs w:val="24"/>
        </w:rPr>
        <w:t xml:space="preserve">federal tobacco trafficking statutes could serve as basis for suspension/revocation of </w:t>
      </w:r>
      <w:r w:rsidR="00E313AA">
        <w:rPr>
          <w:rFonts w:ascii="Times New Roman" w:eastAsia="Times New Roman" w:hAnsi="Times New Roman" w:cs="Times New Roman"/>
          <w:sz w:val="24"/>
          <w:szCs w:val="24"/>
        </w:rPr>
        <w:t xml:space="preserve">tobacco </w:t>
      </w:r>
      <w:r>
        <w:rPr>
          <w:rFonts w:ascii="Times New Roman" w:eastAsia="Times New Roman" w:hAnsi="Times New Roman" w:cs="Times New Roman"/>
          <w:sz w:val="24"/>
          <w:szCs w:val="24"/>
        </w:rPr>
        <w:t>license.</w:t>
      </w:r>
    </w:p>
    <w:p w14:paraId="23DB487F" w14:textId="1661A9C9" w:rsidR="00D056C7" w:rsidRPr="00D056C7" w:rsidRDefault="00D056C7" w:rsidP="00BE2E69">
      <w:pPr>
        <w:pStyle w:val="ListParagraph"/>
        <w:widowControl/>
        <w:numPr>
          <w:ilvl w:val="0"/>
          <w:numId w:val="18"/>
        </w:numPr>
        <w:jc w:val="both"/>
        <w:rPr>
          <w:rFonts w:ascii="Times New Roman" w:eastAsia="Times New Roman" w:hAnsi="Times New Roman" w:cs="Times New Roman"/>
          <w:sz w:val="24"/>
          <w:szCs w:val="24"/>
        </w:rPr>
      </w:pPr>
      <w:r w:rsidRPr="00D056C7">
        <w:rPr>
          <w:rFonts w:ascii="Times New Roman" w:eastAsia="Times New Roman" w:hAnsi="Times New Roman" w:cs="Times New Roman"/>
          <w:sz w:val="24"/>
          <w:szCs w:val="24"/>
        </w:rPr>
        <w:t xml:space="preserve">Add </w:t>
      </w:r>
      <w:r w:rsidR="00F23E14">
        <w:rPr>
          <w:rFonts w:ascii="Times New Roman" w:eastAsia="Times New Roman" w:hAnsi="Times New Roman" w:cs="Times New Roman"/>
          <w:sz w:val="24"/>
          <w:szCs w:val="24"/>
        </w:rPr>
        <w:t xml:space="preserve">language that </w:t>
      </w:r>
      <w:r w:rsidR="00E313AA">
        <w:rPr>
          <w:rFonts w:ascii="Times New Roman" w:eastAsia="Times New Roman" w:hAnsi="Times New Roman" w:cs="Times New Roman"/>
          <w:sz w:val="24"/>
          <w:szCs w:val="24"/>
        </w:rPr>
        <w:t xml:space="preserve">a </w:t>
      </w:r>
      <w:r w:rsidR="0064580D">
        <w:rPr>
          <w:rFonts w:ascii="Times New Roman" w:eastAsia="Times New Roman" w:hAnsi="Times New Roman" w:cs="Times New Roman"/>
          <w:sz w:val="24"/>
          <w:szCs w:val="24"/>
        </w:rPr>
        <w:t>licensee</w:t>
      </w:r>
      <w:r w:rsidR="00E313AA">
        <w:rPr>
          <w:rFonts w:ascii="Times New Roman" w:eastAsia="Times New Roman" w:hAnsi="Times New Roman" w:cs="Times New Roman"/>
          <w:sz w:val="24"/>
          <w:szCs w:val="24"/>
        </w:rPr>
        <w:t>’s</w:t>
      </w:r>
      <w:r w:rsidR="0064580D">
        <w:rPr>
          <w:rFonts w:ascii="Times New Roman" w:eastAsia="Times New Roman" w:hAnsi="Times New Roman" w:cs="Times New Roman"/>
          <w:sz w:val="24"/>
          <w:szCs w:val="24"/>
        </w:rPr>
        <w:t xml:space="preserve"> refusal to allow </w:t>
      </w:r>
      <w:r w:rsidRPr="00D056C7">
        <w:rPr>
          <w:rFonts w:ascii="Times New Roman" w:eastAsia="Times New Roman" w:hAnsi="Times New Roman" w:cs="Times New Roman"/>
          <w:sz w:val="24"/>
          <w:szCs w:val="24"/>
        </w:rPr>
        <w:t xml:space="preserve">DOR </w:t>
      </w:r>
      <w:r w:rsidR="0064580D">
        <w:rPr>
          <w:rFonts w:ascii="Times New Roman" w:eastAsia="Times New Roman" w:hAnsi="Times New Roman" w:cs="Times New Roman"/>
          <w:sz w:val="24"/>
          <w:szCs w:val="24"/>
        </w:rPr>
        <w:t xml:space="preserve">access to conduct </w:t>
      </w:r>
      <w:r w:rsidR="003B6E44">
        <w:rPr>
          <w:rFonts w:ascii="Times New Roman" w:eastAsia="Times New Roman" w:hAnsi="Times New Roman" w:cs="Times New Roman"/>
          <w:sz w:val="24"/>
          <w:szCs w:val="24"/>
        </w:rPr>
        <w:t xml:space="preserve">an </w:t>
      </w:r>
      <w:r w:rsidRPr="00D056C7">
        <w:rPr>
          <w:rFonts w:ascii="Times New Roman" w:eastAsia="Times New Roman" w:hAnsi="Times New Roman" w:cs="Times New Roman"/>
          <w:sz w:val="24"/>
          <w:szCs w:val="24"/>
        </w:rPr>
        <w:t xml:space="preserve">inspection </w:t>
      </w:r>
      <w:r w:rsidR="00682BFF">
        <w:rPr>
          <w:rFonts w:ascii="Times New Roman" w:eastAsia="Times New Roman" w:hAnsi="Times New Roman" w:cs="Times New Roman"/>
          <w:sz w:val="24"/>
          <w:szCs w:val="24"/>
        </w:rPr>
        <w:t>is grounds</w:t>
      </w:r>
      <w:r w:rsidRPr="00D056C7">
        <w:rPr>
          <w:rFonts w:ascii="Times New Roman" w:eastAsia="Times New Roman" w:hAnsi="Times New Roman" w:cs="Times New Roman"/>
          <w:sz w:val="24"/>
          <w:szCs w:val="24"/>
        </w:rPr>
        <w:t xml:space="preserve"> for </w:t>
      </w:r>
      <w:r w:rsidR="003B6E44">
        <w:rPr>
          <w:rFonts w:ascii="Times New Roman" w:eastAsia="Times New Roman" w:hAnsi="Times New Roman" w:cs="Times New Roman"/>
          <w:sz w:val="24"/>
          <w:szCs w:val="24"/>
        </w:rPr>
        <w:t xml:space="preserve">a license </w:t>
      </w:r>
      <w:r w:rsidRPr="00D056C7">
        <w:rPr>
          <w:rFonts w:ascii="Times New Roman" w:eastAsia="Times New Roman" w:hAnsi="Times New Roman" w:cs="Times New Roman"/>
          <w:sz w:val="24"/>
          <w:szCs w:val="24"/>
        </w:rPr>
        <w:t>suspension</w:t>
      </w:r>
      <w:r w:rsidR="003B6E44">
        <w:rPr>
          <w:rFonts w:ascii="Times New Roman" w:eastAsia="Times New Roman" w:hAnsi="Times New Roman" w:cs="Times New Roman"/>
          <w:sz w:val="24"/>
          <w:szCs w:val="24"/>
        </w:rPr>
        <w:t xml:space="preserve"> or </w:t>
      </w:r>
      <w:r w:rsidRPr="00D056C7">
        <w:rPr>
          <w:rFonts w:ascii="Times New Roman" w:eastAsia="Times New Roman" w:hAnsi="Times New Roman" w:cs="Times New Roman"/>
          <w:sz w:val="24"/>
          <w:szCs w:val="24"/>
        </w:rPr>
        <w:t>revocation.</w:t>
      </w:r>
    </w:p>
    <w:p w14:paraId="2E78F931" w14:textId="4F7EB1FB" w:rsidR="00D056C7" w:rsidRPr="00D056C7" w:rsidRDefault="001745BF" w:rsidP="00BE2E69">
      <w:pPr>
        <w:pStyle w:val="ListParagraph"/>
        <w:widowControl/>
        <w:numPr>
          <w:ilvl w:val="0"/>
          <w:numId w:val="1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Amend appeals language so licensee </w:t>
      </w:r>
      <w:r w:rsidR="005076F0">
        <w:rPr>
          <w:rFonts w:ascii="Times New Roman" w:eastAsia="Times New Roman" w:hAnsi="Times New Roman" w:cs="Times New Roman"/>
          <w:sz w:val="24"/>
          <w:szCs w:val="24"/>
        </w:rPr>
        <w:t xml:space="preserve">is </w:t>
      </w:r>
      <w:r>
        <w:rPr>
          <w:rFonts w:ascii="Times New Roman" w:eastAsia="Times New Roman" w:hAnsi="Times New Roman" w:cs="Times New Roman"/>
          <w:sz w:val="24"/>
          <w:szCs w:val="24"/>
        </w:rPr>
        <w:t>required to notify DOR commissioner</w:t>
      </w:r>
      <w:r w:rsidR="00D056C7" w:rsidRPr="00D056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of appeal and file bond before appeal hearing</w:t>
      </w:r>
      <w:r w:rsidR="004E5359">
        <w:rPr>
          <w:rFonts w:ascii="Times New Roman" w:eastAsia="Times New Roman" w:hAnsi="Times New Roman" w:cs="Times New Roman"/>
          <w:sz w:val="24"/>
          <w:szCs w:val="24"/>
        </w:rPr>
        <w:t xml:space="preserve"> can take place</w:t>
      </w:r>
      <w:r>
        <w:rPr>
          <w:rFonts w:ascii="Times New Roman" w:eastAsia="Times New Roman" w:hAnsi="Times New Roman" w:cs="Times New Roman"/>
          <w:sz w:val="24"/>
          <w:szCs w:val="24"/>
        </w:rPr>
        <w:t xml:space="preserve"> – consistent with current DOR Administrative Policies and M.G.L. c. </w:t>
      </w:r>
      <w:r w:rsidR="00F23E14">
        <w:rPr>
          <w:rFonts w:ascii="Times New Roman" w:eastAsia="Times New Roman" w:hAnsi="Times New Roman" w:cs="Times New Roman"/>
          <w:sz w:val="24"/>
          <w:szCs w:val="24"/>
        </w:rPr>
        <w:t>58A</w:t>
      </w:r>
      <w:r w:rsidR="00F23E14" w:rsidRPr="00F23E14">
        <w:rPr>
          <w:rFonts w:ascii="Times New Roman" w:eastAsia="Times New Roman" w:hAnsi="Times New Roman" w:cs="Times New Roman"/>
          <w:sz w:val="24"/>
          <w:szCs w:val="24"/>
        </w:rPr>
        <w:t xml:space="preserve"> </w:t>
      </w:r>
      <w:r w:rsidR="00F23E14" w:rsidRPr="00F23E14">
        <w:rPr>
          <w:rFonts w:ascii="Times New Roman" w:hAnsi="Times New Roman" w:cs="Times New Roman"/>
          <w:sz w:val="24"/>
          <w:szCs w:val="24"/>
        </w:rPr>
        <w:t xml:space="preserve">§ </w:t>
      </w:r>
      <w:r w:rsidR="00F23E14">
        <w:rPr>
          <w:rFonts w:ascii="Times New Roman" w:eastAsia="Times New Roman" w:hAnsi="Times New Roman" w:cs="Times New Roman"/>
          <w:sz w:val="24"/>
          <w:szCs w:val="24"/>
        </w:rPr>
        <w:t>9</w:t>
      </w:r>
      <w:r>
        <w:rPr>
          <w:rFonts w:ascii="Times New Roman" w:eastAsia="Times New Roman" w:hAnsi="Times New Roman" w:cs="Times New Roman"/>
          <w:sz w:val="24"/>
          <w:szCs w:val="24"/>
        </w:rPr>
        <w:t>.</w:t>
      </w:r>
    </w:p>
    <w:p w14:paraId="71FCAA75" w14:textId="77777777" w:rsidR="00D056C7" w:rsidRDefault="00D056C7" w:rsidP="00D056C7">
      <w:pPr>
        <w:rPr>
          <w:rFonts w:ascii="Times New Roman" w:hAnsi="Times New Roman" w:cs="Times New Roman"/>
          <w:sz w:val="24"/>
          <w:szCs w:val="24"/>
        </w:rPr>
      </w:pPr>
    </w:p>
    <w:p w14:paraId="0B2C538A" w14:textId="0B7F0D3D" w:rsidR="00A14E5F" w:rsidRPr="00D056C7" w:rsidRDefault="00A14E5F" w:rsidP="00A14E5F">
      <w:pPr>
        <w:rPr>
          <w:rFonts w:ascii="Times New Roman" w:hAnsi="Times New Roman" w:cs="Times New Roman"/>
          <w:sz w:val="24"/>
          <w:szCs w:val="24"/>
        </w:rPr>
      </w:pPr>
      <w:r w:rsidRPr="0064580D">
        <w:rPr>
          <w:rFonts w:ascii="Times New Roman" w:hAnsi="Times New Roman" w:cs="Times New Roman"/>
          <w:sz w:val="24"/>
          <w:szCs w:val="24"/>
          <w:u w:val="single"/>
        </w:rPr>
        <w:lastRenderedPageBreak/>
        <w:t xml:space="preserve">M.G.L. c. 62C § </w:t>
      </w:r>
      <w:r>
        <w:rPr>
          <w:rFonts w:ascii="Times New Roman" w:hAnsi="Times New Roman" w:cs="Times New Roman"/>
          <w:sz w:val="24"/>
          <w:szCs w:val="24"/>
          <w:u w:val="single"/>
        </w:rPr>
        <w:t>67(2)</w:t>
      </w:r>
      <w:r w:rsidRPr="00D056C7">
        <w:rPr>
          <w:rFonts w:ascii="Times New Roman" w:hAnsi="Times New Roman" w:cs="Times New Roman"/>
          <w:sz w:val="24"/>
          <w:szCs w:val="24"/>
          <w:u w:val="single"/>
        </w:rPr>
        <w:t xml:space="preserve"> (</w:t>
      </w:r>
      <w:r>
        <w:rPr>
          <w:rFonts w:ascii="Times New Roman" w:hAnsi="Times New Roman" w:cs="Times New Roman"/>
          <w:sz w:val="24"/>
          <w:szCs w:val="24"/>
          <w:u w:val="single"/>
        </w:rPr>
        <w:t>Licensing</w:t>
      </w:r>
      <w:r w:rsidRPr="00D056C7">
        <w:rPr>
          <w:rFonts w:ascii="Times New Roman" w:hAnsi="Times New Roman" w:cs="Times New Roman"/>
          <w:sz w:val="24"/>
          <w:szCs w:val="24"/>
          <w:u w:val="single"/>
        </w:rPr>
        <w:t>)</w:t>
      </w:r>
      <w:r w:rsidRPr="00D056C7">
        <w:rPr>
          <w:rFonts w:ascii="Times New Roman" w:hAnsi="Times New Roman" w:cs="Times New Roman"/>
          <w:sz w:val="24"/>
          <w:szCs w:val="24"/>
        </w:rPr>
        <w:t>:</w:t>
      </w:r>
    </w:p>
    <w:p w14:paraId="37E299A0" w14:textId="696415A7" w:rsidR="00A14E5F" w:rsidRPr="00A14E5F" w:rsidRDefault="00A14E5F" w:rsidP="00A14E5F">
      <w:pPr>
        <w:pStyle w:val="ListParagraph"/>
        <w:numPr>
          <w:ilvl w:val="0"/>
          <w:numId w:val="35"/>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Add the words “suspension or” prior to </w:t>
      </w:r>
      <w:r w:rsidR="005B37AA">
        <w:rPr>
          <w:rFonts w:ascii="Times New Roman" w:eastAsia="Times New Roman" w:hAnsi="Times New Roman" w:cs="Times New Roman"/>
          <w:sz w:val="24"/>
          <w:szCs w:val="24"/>
        </w:rPr>
        <w:t>“</w:t>
      </w:r>
      <w:r>
        <w:rPr>
          <w:rFonts w:ascii="Times New Roman" w:eastAsia="Times New Roman" w:hAnsi="Times New Roman" w:cs="Times New Roman"/>
          <w:sz w:val="24"/>
          <w:szCs w:val="24"/>
        </w:rPr>
        <w:t>cancellation</w:t>
      </w:r>
      <w:r w:rsidR="005B37A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so that the DOR Commissioner has the authority to </w:t>
      </w:r>
      <w:r w:rsidR="005B37AA">
        <w:rPr>
          <w:rFonts w:ascii="Times New Roman" w:eastAsia="Times New Roman" w:hAnsi="Times New Roman" w:cs="Times New Roman"/>
          <w:sz w:val="24"/>
          <w:szCs w:val="24"/>
        </w:rPr>
        <w:t xml:space="preserve">revoke </w:t>
      </w:r>
      <w:r w:rsidR="003B1373">
        <w:rPr>
          <w:rFonts w:ascii="Times New Roman" w:eastAsia="Times New Roman" w:hAnsi="Times New Roman" w:cs="Times New Roman"/>
          <w:sz w:val="24"/>
          <w:szCs w:val="24"/>
        </w:rPr>
        <w:t xml:space="preserve">a </w:t>
      </w:r>
      <w:r w:rsidR="005B37AA">
        <w:rPr>
          <w:rFonts w:ascii="Times New Roman" w:eastAsia="Times New Roman" w:hAnsi="Times New Roman" w:cs="Times New Roman"/>
          <w:sz w:val="24"/>
          <w:szCs w:val="24"/>
        </w:rPr>
        <w:t>tobacco license in those circumstances when a “new” owner files for a tobacco license as a subterfuge to avoid a tobacco suspension or revocation. The current law only allows the Commissioner to revoke a license if</w:t>
      </w:r>
      <w:r w:rsidR="003B1373">
        <w:rPr>
          <w:rFonts w:ascii="Times New Roman" w:eastAsia="Times New Roman" w:hAnsi="Times New Roman" w:cs="Times New Roman"/>
          <w:sz w:val="24"/>
          <w:szCs w:val="24"/>
        </w:rPr>
        <w:t xml:space="preserve"> the</w:t>
      </w:r>
      <w:r w:rsidR="005B37AA">
        <w:rPr>
          <w:rFonts w:ascii="Times New Roman" w:eastAsia="Times New Roman" w:hAnsi="Times New Roman" w:cs="Times New Roman"/>
          <w:sz w:val="24"/>
          <w:szCs w:val="24"/>
        </w:rPr>
        <w:t xml:space="preserve"> “new” licensee is seeking to avoid a revocation, but not a suspension.</w:t>
      </w:r>
    </w:p>
    <w:p w14:paraId="097BCD68" w14:textId="77777777" w:rsidR="004A46EC" w:rsidRDefault="004A46EC" w:rsidP="00D056C7">
      <w:pPr>
        <w:rPr>
          <w:rFonts w:ascii="Times New Roman" w:hAnsi="Times New Roman" w:cs="Times New Roman"/>
          <w:sz w:val="24"/>
          <w:szCs w:val="24"/>
          <w:u w:val="single"/>
        </w:rPr>
      </w:pPr>
    </w:p>
    <w:p w14:paraId="05244CA9" w14:textId="588F389D" w:rsidR="00D056C7" w:rsidRPr="00D056C7" w:rsidRDefault="00682BFF" w:rsidP="00D056C7">
      <w:pPr>
        <w:rPr>
          <w:rFonts w:ascii="Times New Roman" w:hAnsi="Times New Roman" w:cs="Times New Roman"/>
          <w:sz w:val="24"/>
          <w:szCs w:val="24"/>
        </w:rPr>
      </w:pPr>
      <w:r w:rsidRPr="0064580D">
        <w:rPr>
          <w:rFonts w:ascii="Times New Roman" w:hAnsi="Times New Roman" w:cs="Times New Roman"/>
          <w:sz w:val="24"/>
          <w:szCs w:val="24"/>
          <w:u w:val="single"/>
        </w:rPr>
        <w:t xml:space="preserve">M.G.L. c. 62C § </w:t>
      </w:r>
      <w:r w:rsidR="00D056C7" w:rsidRPr="00D056C7">
        <w:rPr>
          <w:rFonts w:ascii="Times New Roman" w:hAnsi="Times New Roman" w:cs="Times New Roman"/>
          <w:sz w:val="24"/>
          <w:szCs w:val="24"/>
          <w:u w:val="single"/>
        </w:rPr>
        <w:t>73 (Tax Evasion)</w:t>
      </w:r>
      <w:r w:rsidR="00D056C7" w:rsidRPr="00D056C7">
        <w:rPr>
          <w:rFonts w:ascii="Times New Roman" w:hAnsi="Times New Roman" w:cs="Times New Roman"/>
          <w:sz w:val="24"/>
          <w:szCs w:val="24"/>
        </w:rPr>
        <w:t>:</w:t>
      </w:r>
    </w:p>
    <w:p w14:paraId="5C9D9023" w14:textId="5A90AD3E" w:rsidR="00D056C7" w:rsidRPr="00D056C7" w:rsidRDefault="00682BFF" w:rsidP="00BE2E69">
      <w:pPr>
        <w:pStyle w:val="ListParagraph"/>
        <w:widowControl/>
        <w:numPr>
          <w:ilvl w:val="0"/>
          <w:numId w:val="1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Amend</w:t>
      </w:r>
      <w:r w:rsidR="00D056C7" w:rsidRPr="00D056C7">
        <w:rPr>
          <w:rFonts w:ascii="Times New Roman" w:eastAsia="Times New Roman" w:hAnsi="Times New Roman" w:cs="Times New Roman"/>
          <w:sz w:val="24"/>
          <w:szCs w:val="24"/>
        </w:rPr>
        <w:t xml:space="preserve"> tax evasion criminal </w:t>
      </w:r>
      <w:r w:rsidR="003D524C">
        <w:rPr>
          <w:rFonts w:ascii="Times New Roman" w:eastAsia="Times New Roman" w:hAnsi="Times New Roman" w:cs="Times New Roman"/>
          <w:sz w:val="24"/>
          <w:szCs w:val="24"/>
        </w:rPr>
        <w:t xml:space="preserve">sentencing provision to change </w:t>
      </w:r>
      <w:r>
        <w:rPr>
          <w:rFonts w:ascii="Times New Roman" w:eastAsia="Times New Roman" w:hAnsi="Times New Roman" w:cs="Times New Roman"/>
          <w:sz w:val="24"/>
          <w:szCs w:val="24"/>
        </w:rPr>
        <w:t>“imprisonment for not more than five years” to “</w:t>
      </w:r>
      <w:r w:rsidR="003D524C">
        <w:rPr>
          <w:rFonts w:ascii="Times New Roman" w:eastAsia="Times New Roman" w:hAnsi="Times New Roman" w:cs="Times New Roman"/>
          <w:sz w:val="24"/>
          <w:szCs w:val="24"/>
        </w:rPr>
        <w:t xml:space="preserve">imprisonment in the house of </w:t>
      </w:r>
      <w:r w:rsidR="00C22C1D">
        <w:rPr>
          <w:rFonts w:ascii="Times New Roman" w:eastAsia="Times New Roman" w:hAnsi="Times New Roman" w:cs="Times New Roman"/>
          <w:sz w:val="24"/>
          <w:szCs w:val="24"/>
        </w:rPr>
        <w:t>correction</w:t>
      </w:r>
      <w:r w:rsidR="003D524C">
        <w:rPr>
          <w:rFonts w:ascii="Times New Roman" w:eastAsia="Times New Roman" w:hAnsi="Times New Roman" w:cs="Times New Roman"/>
          <w:sz w:val="24"/>
          <w:szCs w:val="24"/>
        </w:rPr>
        <w:t xml:space="preserve"> for not more than </w:t>
      </w:r>
      <w:r w:rsidR="00D056C7" w:rsidRPr="00D056C7">
        <w:rPr>
          <w:rFonts w:ascii="Times New Roman" w:eastAsia="Times New Roman" w:hAnsi="Times New Roman" w:cs="Times New Roman"/>
          <w:sz w:val="24"/>
          <w:szCs w:val="24"/>
        </w:rPr>
        <w:t>2 ½ years or state prison for not more than 5 years</w:t>
      </w:r>
      <w:r w:rsidR="003D524C">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3D524C">
        <w:rPr>
          <w:rFonts w:ascii="Times New Roman" w:eastAsia="Times New Roman" w:hAnsi="Times New Roman" w:cs="Times New Roman"/>
          <w:sz w:val="24"/>
          <w:szCs w:val="24"/>
        </w:rPr>
        <w:t xml:space="preserve"> None of the tobacco-related criminal statutes include this jail/prison distinction, which is common in other criminal statutes.</w:t>
      </w:r>
      <w:r w:rsidR="00417DBB">
        <w:rPr>
          <w:rFonts w:ascii="Times New Roman" w:eastAsia="Times New Roman" w:hAnsi="Times New Roman" w:cs="Times New Roman"/>
          <w:sz w:val="24"/>
          <w:szCs w:val="24"/>
        </w:rPr>
        <w:t xml:space="preserve"> This inconsistency has created jurisdictional and sentencing confusion among prosecutors and judges.</w:t>
      </w:r>
    </w:p>
    <w:p w14:paraId="23AF7704" w14:textId="6E74EFE8" w:rsidR="00D056C7" w:rsidRPr="00D056C7" w:rsidRDefault="00D056C7" w:rsidP="00BE2E69">
      <w:pPr>
        <w:pStyle w:val="ListParagraph"/>
        <w:widowControl/>
        <w:numPr>
          <w:ilvl w:val="0"/>
          <w:numId w:val="19"/>
        </w:numPr>
        <w:ind w:right="-100"/>
        <w:jc w:val="both"/>
        <w:rPr>
          <w:rFonts w:ascii="Times New Roman" w:eastAsia="Times New Roman" w:hAnsi="Times New Roman" w:cs="Times New Roman"/>
          <w:sz w:val="24"/>
          <w:szCs w:val="24"/>
        </w:rPr>
      </w:pPr>
      <w:r w:rsidRPr="00D056C7">
        <w:rPr>
          <w:rFonts w:ascii="Times New Roman" w:eastAsia="Times New Roman" w:hAnsi="Times New Roman" w:cs="Times New Roman"/>
          <w:sz w:val="24"/>
          <w:szCs w:val="24"/>
        </w:rPr>
        <w:t xml:space="preserve">Authorize DOR/CIB </w:t>
      </w:r>
      <w:r w:rsidR="00587E8A">
        <w:rPr>
          <w:rFonts w:ascii="Times New Roman" w:eastAsia="Times New Roman" w:hAnsi="Times New Roman" w:cs="Times New Roman"/>
          <w:sz w:val="24"/>
          <w:szCs w:val="24"/>
        </w:rPr>
        <w:t xml:space="preserve">investigators </w:t>
      </w:r>
      <w:r w:rsidRPr="00D056C7">
        <w:rPr>
          <w:rFonts w:ascii="Times New Roman" w:eastAsia="Times New Roman" w:hAnsi="Times New Roman" w:cs="Times New Roman"/>
          <w:sz w:val="24"/>
          <w:szCs w:val="24"/>
        </w:rPr>
        <w:t xml:space="preserve">to file criminal complaints pursuant to Chapter 218 </w:t>
      </w:r>
      <w:r w:rsidR="00587E8A" w:rsidRPr="00587E8A">
        <w:rPr>
          <w:rFonts w:ascii="Times New Roman" w:hAnsi="Times New Roman" w:cs="Times New Roman"/>
          <w:sz w:val="24"/>
          <w:szCs w:val="24"/>
        </w:rPr>
        <w:t xml:space="preserve">§ </w:t>
      </w:r>
      <w:r w:rsidRPr="00D056C7">
        <w:rPr>
          <w:rFonts w:ascii="Times New Roman" w:eastAsia="Times New Roman" w:hAnsi="Times New Roman" w:cs="Times New Roman"/>
          <w:sz w:val="24"/>
          <w:szCs w:val="24"/>
        </w:rPr>
        <w:t>35A</w:t>
      </w:r>
      <w:r w:rsidR="00587E8A">
        <w:rPr>
          <w:rFonts w:ascii="Times New Roman" w:eastAsia="Times New Roman" w:hAnsi="Times New Roman" w:cs="Times New Roman"/>
          <w:sz w:val="24"/>
          <w:szCs w:val="24"/>
        </w:rPr>
        <w:t>.</w:t>
      </w:r>
    </w:p>
    <w:p w14:paraId="0C1333DC" w14:textId="2816CE99" w:rsidR="003D524C" w:rsidRDefault="003D524C" w:rsidP="00D056C7">
      <w:pPr>
        <w:rPr>
          <w:rFonts w:ascii="Times New Roman" w:hAnsi="Times New Roman" w:cs="Times New Roman"/>
          <w:sz w:val="24"/>
          <w:szCs w:val="24"/>
        </w:rPr>
      </w:pPr>
    </w:p>
    <w:p w14:paraId="45C64F44" w14:textId="56E2C203" w:rsidR="00D056C7" w:rsidRPr="00D056C7" w:rsidRDefault="003D524C" w:rsidP="00D056C7">
      <w:pPr>
        <w:rPr>
          <w:rFonts w:ascii="Times New Roman" w:hAnsi="Times New Roman" w:cs="Times New Roman"/>
          <w:sz w:val="24"/>
          <w:szCs w:val="24"/>
        </w:rPr>
      </w:pPr>
      <w:r w:rsidRPr="0064580D">
        <w:rPr>
          <w:rFonts w:ascii="Times New Roman" w:hAnsi="Times New Roman" w:cs="Times New Roman"/>
          <w:sz w:val="24"/>
          <w:szCs w:val="24"/>
          <w:u w:val="single"/>
        </w:rPr>
        <w:t>M.G.L. c. 6</w:t>
      </w:r>
      <w:r>
        <w:rPr>
          <w:rFonts w:ascii="Times New Roman" w:hAnsi="Times New Roman" w:cs="Times New Roman"/>
          <w:sz w:val="24"/>
          <w:szCs w:val="24"/>
          <w:u w:val="single"/>
        </w:rPr>
        <w:t>4</w:t>
      </w:r>
      <w:r w:rsidRPr="0064580D">
        <w:rPr>
          <w:rFonts w:ascii="Times New Roman" w:hAnsi="Times New Roman" w:cs="Times New Roman"/>
          <w:sz w:val="24"/>
          <w:szCs w:val="24"/>
          <w:u w:val="single"/>
        </w:rPr>
        <w:t>C §</w:t>
      </w:r>
      <w:r w:rsidR="00D056C7" w:rsidRPr="00D056C7">
        <w:rPr>
          <w:rFonts w:ascii="Times New Roman" w:hAnsi="Times New Roman" w:cs="Times New Roman"/>
          <w:sz w:val="24"/>
          <w:szCs w:val="24"/>
          <w:u w:val="single"/>
        </w:rPr>
        <w:t xml:space="preserve"> 1 (Definitions)</w:t>
      </w:r>
      <w:r w:rsidR="00D056C7" w:rsidRPr="00D056C7">
        <w:rPr>
          <w:rFonts w:ascii="Times New Roman" w:hAnsi="Times New Roman" w:cs="Times New Roman"/>
          <w:sz w:val="24"/>
          <w:szCs w:val="24"/>
        </w:rPr>
        <w:t>:</w:t>
      </w:r>
    </w:p>
    <w:p w14:paraId="7D9C2AD7" w14:textId="6CE54433" w:rsidR="00D056C7" w:rsidRPr="003D524C" w:rsidRDefault="00D056C7" w:rsidP="00BE2E69">
      <w:pPr>
        <w:pStyle w:val="ListParagraph"/>
        <w:widowControl/>
        <w:numPr>
          <w:ilvl w:val="0"/>
          <w:numId w:val="20"/>
        </w:numPr>
        <w:jc w:val="both"/>
        <w:rPr>
          <w:rFonts w:ascii="Times New Roman" w:eastAsia="Times New Roman" w:hAnsi="Times New Roman" w:cs="Times New Roman"/>
          <w:sz w:val="24"/>
          <w:szCs w:val="24"/>
        </w:rPr>
      </w:pPr>
      <w:r w:rsidRPr="003D524C">
        <w:rPr>
          <w:rFonts w:ascii="Times New Roman" w:eastAsia="Times New Roman" w:hAnsi="Times New Roman" w:cs="Times New Roman"/>
          <w:sz w:val="24"/>
          <w:szCs w:val="24"/>
        </w:rPr>
        <w:t xml:space="preserve">Modify </w:t>
      </w:r>
      <w:r w:rsidR="003D524C" w:rsidRPr="003D524C">
        <w:rPr>
          <w:rFonts w:ascii="Times New Roman" w:eastAsia="Times New Roman" w:hAnsi="Times New Roman" w:cs="Times New Roman"/>
          <w:sz w:val="24"/>
          <w:szCs w:val="24"/>
        </w:rPr>
        <w:t xml:space="preserve">definitions </w:t>
      </w:r>
      <w:r w:rsidRPr="003D524C">
        <w:rPr>
          <w:rFonts w:ascii="Times New Roman" w:eastAsia="Times New Roman" w:hAnsi="Times New Roman" w:cs="Times New Roman"/>
          <w:sz w:val="24"/>
          <w:szCs w:val="24"/>
        </w:rPr>
        <w:t>to update language and resolve conflicts/confusion.</w:t>
      </w:r>
      <w:r w:rsidR="003D524C" w:rsidRPr="003D524C">
        <w:rPr>
          <w:rFonts w:ascii="Times New Roman" w:eastAsia="Times New Roman" w:hAnsi="Times New Roman" w:cs="Times New Roman"/>
          <w:sz w:val="24"/>
          <w:szCs w:val="24"/>
        </w:rPr>
        <w:t xml:space="preserve"> </w:t>
      </w:r>
      <w:r w:rsidRPr="003D524C">
        <w:rPr>
          <w:rFonts w:ascii="Times New Roman" w:eastAsia="Times New Roman" w:hAnsi="Times New Roman" w:cs="Times New Roman"/>
          <w:sz w:val="24"/>
          <w:szCs w:val="24"/>
        </w:rPr>
        <w:t>For example, “tobacco products” does not include cigars and smoking tobacco under current definition.</w:t>
      </w:r>
    </w:p>
    <w:p w14:paraId="1F212BC4" w14:textId="77777777" w:rsidR="00F14E68" w:rsidRDefault="00F14E68" w:rsidP="00D056C7">
      <w:pPr>
        <w:rPr>
          <w:rFonts w:ascii="Times New Roman" w:hAnsi="Times New Roman" w:cs="Times New Roman"/>
          <w:sz w:val="24"/>
          <w:szCs w:val="24"/>
        </w:rPr>
      </w:pPr>
    </w:p>
    <w:p w14:paraId="71527BFF" w14:textId="32A6AC51" w:rsidR="00D056C7" w:rsidRPr="00D056C7" w:rsidRDefault="003D524C" w:rsidP="00D056C7">
      <w:pPr>
        <w:rPr>
          <w:rFonts w:ascii="Times New Roman" w:hAnsi="Times New Roman" w:cs="Times New Roman"/>
          <w:sz w:val="24"/>
          <w:szCs w:val="24"/>
        </w:rPr>
      </w:pPr>
      <w:r w:rsidRPr="0064580D">
        <w:rPr>
          <w:rFonts w:ascii="Times New Roman" w:hAnsi="Times New Roman" w:cs="Times New Roman"/>
          <w:sz w:val="24"/>
          <w:szCs w:val="24"/>
          <w:u w:val="single"/>
        </w:rPr>
        <w:t>M.G.L. c. 6</w:t>
      </w:r>
      <w:r>
        <w:rPr>
          <w:rFonts w:ascii="Times New Roman" w:hAnsi="Times New Roman" w:cs="Times New Roman"/>
          <w:sz w:val="24"/>
          <w:szCs w:val="24"/>
          <w:u w:val="single"/>
        </w:rPr>
        <w:t>4</w:t>
      </w:r>
      <w:r w:rsidRPr="0064580D">
        <w:rPr>
          <w:rFonts w:ascii="Times New Roman" w:hAnsi="Times New Roman" w:cs="Times New Roman"/>
          <w:sz w:val="24"/>
          <w:szCs w:val="24"/>
          <w:u w:val="single"/>
        </w:rPr>
        <w:t>C §</w:t>
      </w:r>
      <w:r w:rsidRPr="00D056C7">
        <w:rPr>
          <w:rFonts w:ascii="Times New Roman" w:hAnsi="Times New Roman" w:cs="Times New Roman"/>
          <w:sz w:val="24"/>
          <w:szCs w:val="24"/>
          <w:u w:val="single"/>
        </w:rPr>
        <w:t xml:space="preserve"> </w:t>
      </w:r>
      <w:r w:rsidR="00D056C7" w:rsidRPr="00D056C7">
        <w:rPr>
          <w:rFonts w:ascii="Times New Roman" w:hAnsi="Times New Roman" w:cs="Times New Roman"/>
          <w:sz w:val="24"/>
          <w:szCs w:val="24"/>
          <w:u w:val="single"/>
        </w:rPr>
        <w:t>5 (Record Keeping)</w:t>
      </w:r>
      <w:r w:rsidR="00D056C7" w:rsidRPr="00D056C7">
        <w:rPr>
          <w:rFonts w:ascii="Times New Roman" w:hAnsi="Times New Roman" w:cs="Times New Roman"/>
          <w:sz w:val="24"/>
          <w:szCs w:val="24"/>
        </w:rPr>
        <w:t>:</w:t>
      </w:r>
    </w:p>
    <w:p w14:paraId="539480DE" w14:textId="46D5A8FC" w:rsidR="00725ABA" w:rsidRPr="00725ABA" w:rsidRDefault="00725ABA" w:rsidP="00725ABA">
      <w:pPr>
        <w:pStyle w:val="ListParagraph"/>
        <w:widowControl/>
        <w:numPr>
          <w:ilvl w:val="0"/>
          <w:numId w:val="20"/>
        </w:numPr>
        <w:jc w:val="both"/>
        <w:rPr>
          <w:rFonts w:ascii="Times New Roman" w:eastAsia="Times New Roman" w:hAnsi="Times New Roman" w:cs="Times New Roman"/>
          <w:sz w:val="24"/>
          <w:szCs w:val="24"/>
        </w:rPr>
      </w:pPr>
      <w:r w:rsidRPr="00D056C7">
        <w:rPr>
          <w:rFonts w:ascii="Times New Roman" w:eastAsia="Times New Roman" w:hAnsi="Times New Roman" w:cs="Times New Roman"/>
          <w:sz w:val="24"/>
          <w:szCs w:val="24"/>
        </w:rPr>
        <w:t xml:space="preserve">Clarify </w:t>
      </w:r>
      <w:r>
        <w:rPr>
          <w:rFonts w:ascii="Times New Roman" w:eastAsia="Times New Roman" w:hAnsi="Times New Roman" w:cs="Times New Roman"/>
          <w:sz w:val="24"/>
          <w:szCs w:val="24"/>
        </w:rPr>
        <w:t>DOR</w:t>
      </w:r>
      <w:r w:rsidR="00373014">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Pr="00D056C7">
        <w:rPr>
          <w:rFonts w:ascii="Times New Roman" w:eastAsia="Times New Roman" w:hAnsi="Times New Roman" w:cs="Times New Roman"/>
          <w:sz w:val="24"/>
          <w:szCs w:val="24"/>
        </w:rPr>
        <w:t xml:space="preserve">authority </w:t>
      </w:r>
      <w:r w:rsidR="00373014">
        <w:rPr>
          <w:rFonts w:ascii="Times New Roman" w:eastAsia="Times New Roman" w:hAnsi="Times New Roman" w:cs="Times New Roman"/>
          <w:sz w:val="24"/>
          <w:szCs w:val="24"/>
        </w:rPr>
        <w:t xml:space="preserve">to </w:t>
      </w:r>
      <w:r>
        <w:rPr>
          <w:rFonts w:ascii="Times New Roman" w:eastAsia="Times New Roman" w:hAnsi="Times New Roman" w:cs="Times New Roman"/>
          <w:sz w:val="24"/>
          <w:szCs w:val="24"/>
        </w:rPr>
        <w:t>examine the books, papers, and records of wholesaler</w:t>
      </w:r>
      <w:r w:rsidR="00212B34">
        <w:rPr>
          <w:rFonts w:ascii="Times New Roman" w:eastAsia="Times New Roman" w:hAnsi="Times New Roman" w:cs="Times New Roman"/>
          <w:sz w:val="24"/>
          <w:szCs w:val="24"/>
        </w:rPr>
        <w:t>s</w:t>
      </w:r>
      <w:r>
        <w:rPr>
          <w:rFonts w:ascii="Times New Roman" w:eastAsia="Times New Roman" w:hAnsi="Times New Roman" w:cs="Times New Roman"/>
          <w:sz w:val="24"/>
          <w:szCs w:val="24"/>
        </w:rPr>
        <w:t>, vending machine operator</w:t>
      </w:r>
      <w:r w:rsidR="00212B34">
        <w:rPr>
          <w:rFonts w:ascii="Times New Roman" w:eastAsia="Times New Roman" w:hAnsi="Times New Roman" w:cs="Times New Roman"/>
          <w:sz w:val="24"/>
          <w:szCs w:val="24"/>
        </w:rPr>
        <w:t>s</w:t>
      </w:r>
      <w:r>
        <w:rPr>
          <w:rFonts w:ascii="Times New Roman" w:eastAsia="Times New Roman" w:hAnsi="Times New Roman" w:cs="Times New Roman"/>
          <w:sz w:val="24"/>
          <w:szCs w:val="24"/>
        </w:rPr>
        <w:t>, unclassified acquirer</w:t>
      </w:r>
      <w:r w:rsidR="00212B34">
        <w:rPr>
          <w:rFonts w:ascii="Times New Roman" w:eastAsia="Times New Roman" w:hAnsi="Times New Roman" w:cs="Times New Roman"/>
          <w:sz w:val="24"/>
          <w:szCs w:val="24"/>
        </w:rPr>
        <w:t>s</w:t>
      </w:r>
      <w:r>
        <w:rPr>
          <w:rFonts w:ascii="Times New Roman" w:eastAsia="Times New Roman" w:hAnsi="Times New Roman" w:cs="Times New Roman"/>
          <w:sz w:val="24"/>
          <w:szCs w:val="24"/>
        </w:rPr>
        <w:t>, or retailer</w:t>
      </w:r>
      <w:r w:rsidR="00212B34">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of cigarettes or smokeless tobacco</w:t>
      </w:r>
      <w:r w:rsidRPr="00D056C7">
        <w:rPr>
          <w:rFonts w:ascii="Times New Roman" w:eastAsia="Times New Roman" w:hAnsi="Times New Roman" w:cs="Times New Roman"/>
          <w:sz w:val="24"/>
          <w:szCs w:val="24"/>
        </w:rPr>
        <w:t xml:space="preserve"> </w:t>
      </w:r>
      <w:r w:rsidRPr="00EC24CE">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investigate, examine, and search any premises where cigarettes or smokeless tobacco products are possessed, stored, or sold.</w:t>
      </w:r>
    </w:p>
    <w:p w14:paraId="7F9BD558" w14:textId="16B82AB5" w:rsidR="00725ABA" w:rsidRDefault="00117161" w:rsidP="00725ABA">
      <w:pPr>
        <w:pStyle w:val="ListParagraph"/>
        <w:widowControl/>
        <w:numPr>
          <w:ilvl w:val="0"/>
          <w:numId w:val="20"/>
        </w:numPr>
        <w:jc w:val="both"/>
        <w:rPr>
          <w:rFonts w:ascii="Times New Roman" w:eastAsia="Times New Roman" w:hAnsi="Times New Roman" w:cs="Times New Roman"/>
          <w:sz w:val="24"/>
          <w:szCs w:val="24"/>
        </w:rPr>
      </w:pPr>
      <w:r w:rsidRPr="00125391">
        <w:rPr>
          <w:rFonts w:ascii="Times New Roman" w:eastAsia="Times New Roman" w:hAnsi="Times New Roman" w:cs="Times New Roman"/>
          <w:sz w:val="24"/>
          <w:szCs w:val="24"/>
        </w:rPr>
        <w:t>Require</w:t>
      </w:r>
      <w:r w:rsidR="00725ABA" w:rsidRPr="00125391">
        <w:rPr>
          <w:rFonts w:ascii="Times New Roman" w:eastAsia="Times New Roman" w:hAnsi="Times New Roman" w:cs="Times New Roman"/>
          <w:sz w:val="24"/>
          <w:szCs w:val="24"/>
        </w:rPr>
        <w:t xml:space="preserve"> cigarette</w:t>
      </w:r>
      <w:r w:rsidR="00125391" w:rsidRPr="00125391">
        <w:rPr>
          <w:rFonts w:ascii="Times New Roman" w:eastAsia="Times New Roman" w:hAnsi="Times New Roman" w:cs="Times New Roman"/>
          <w:sz w:val="24"/>
          <w:szCs w:val="24"/>
        </w:rPr>
        <w:t>, cigar, and ENDS</w:t>
      </w:r>
      <w:r w:rsidR="00725ABA">
        <w:rPr>
          <w:rFonts w:ascii="Times New Roman" w:eastAsia="Times New Roman" w:hAnsi="Times New Roman" w:cs="Times New Roman"/>
          <w:sz w:val="24"/>
          <w:szCs w:val="24"/>
        </w:rPr>
        <w:t xml:space="preserve"> wholesalers, vending machine operators, unclassified acquirers, or retailers to maintain </w:t>
      </w:r>
      <w:r w:rsidR="00725ABA" w:rsidRPr="00D056C7">
        <w:rPr>
          <w:rFonts w:ascii="Times New Roman" w:eastAsia="Times New Roman" w:hAnsi="Times New Roman" w:cs="Times New Roman"/>
          <w:sz w:val="24"/>
          <w:szCs w:val="24"/>
        </w:rPr>
        <w:t xml:space="preserve">records </w:t>
      </w:r>
      <w:r w:rsidR="00725ABA">
        <w:rPr>
          <w:rFonts w:ascii="Times New Roman" w:eastAsia="Times New Roman" w:hAnsi="Times New Roman" w:cs="Times New Roman"/>
          <w:sz w:val="24"/>
          <w:szCs w:val="24"/>
        </w:rPr>
        <w:t xml:space="preserve">on-site </w:t>
      </w:r>
      <w:r w:rsidR="00725ABA" w:rsidRPr="00D056C7">
        <w:rPr>
          <w:rFonts w:ascii="Times New Roman" w:eastAsia="Times New Roman" w:hAnsi="Times New Roman" w:cs="Times New Roman"/>
          <w:sz w:val="24"/>
          <w:szCs w:val="24"/>
        </w:rPr>
        <w:t>for cigarette</w:t>
      </w:r>
      <w:r w:rsidR="00725ABA">
        <w:rPr>
          <w:rFonts w:ascii="Times New Roman" w:eastAsia="Times New Roman" w:hAnsi="Times New Roman" w:cs="Times New Roman"/>
          <w:sz w:val="24"/>
          <w:szCs w:val="24"/>
        </w:rPr>
        <w:t xml:space="preserve"> </w:t>
      </w:r>
      <w:r w:rsidR="00725ABA" w:rsidRPr="00D056C7">
        <w:rPr>
          <w:rFonts w:ascii="Times New Roman" w:eastAsia="Times New Roman" w:hAnsi="Times New Roman" w:cs="Times New Roman"/>
          <w:sz w:val="24"/>
          <w:szCs w:val="24"/>
        </w:rPr>
        <w:t xml:space="preserve">and smokeless </w:t>
      </w:r>
      <w:r w:rsidR="00725ABA">
        <w:rPr>
          <w:rFonts w:ascii="Times New Roman" w:eastAsia="Times New Roman" w:hAnsi="Times New Roman" w:cs="Times New Roman"/>
          <w:sz w:val="24"/>
          <w:szCs w:val="24"/>
        </w:rPr>
        <w:t>tobacco products.</w:t>
      </w:r>
    </w:p>
    <w:p w14:paraId="0384EBB0" w14:textId="46C78C10" w:rsidR="003B1373" w:rsidRDefault="003B1373" w:rsidP="003B1373">
      <w:pPr>
        <w:pStyle w:val="ListParagraph"/>
        <w:widowControl/>
        <w:numPr>
          <w:ilvl w:val="0"/>
          <w:numId w:val="20"/>
        </w:numPr>
        <w:jc w:val="both"/>
        <w:rPr>
          <w:rFonts w:ascii="Times New Roman" w:eastAsia="Times New Roman" w:hAnsi="Times New Roman" w:cs="Times New Roman"/>
          <w:sz w:val="24"/>
          <w:szCs w:val="24"/>
        </w:rPr>
      </w:pPr>
      <w:r w:rsidRPr="0016419D">
        <w:rPr>
          <w:rFonts w:ascii="Times New Roman" w:eastAsia="Times New Roman" w:hAnsi="Times New Roman" w:cs="Times New Roman"/>
          <w:sz w:val="24"/>
          <w:szCs w:val="24"/>
        </w:rPr>
        <w:t xml:space="preserve">Add civil penalty </w:t>
      </w:r>
      <w:r w:rsidRPr="0016419D">
        <w:rPr>
          <w:rFonts w:ascii="Times New Roman" w:hAnsi="Times New Roman" w:cs="Times New Roman"/>
          <w:sz w:val="24"/>
          <w:szCs w:val="24"/>
        </w:rPr>
        <w:t>of not more than $5,000 for the first offense and not more than $25,000 for a second or subsequent offense</w:t>
      </w:r>
      <w:r>
        <w:rPr>
          <w:rFonts w:ascii="Times New Roman" w:hAnsi="Times New Roman" w:cs="Times New Roman"/>
          <w:sz w:val="24"/>
          <w:szCs w:val="24"/>
        </w:rPr>
        <w:t xml:space="preserve">, </w:t>
      </w:r>
      <w:r w:rsidRPr="00D056C7">
        <w:rPr>
          <w:rFonts w:ascii="Times New Roman" w:eastAsia="Times New Roman" w:hAnsi="Times New Roman" w:cs="Times New Roman"/>
          <w:sz w:val="24"/>
          <w:szCs w:val="24"/>
        </w:rPr>
        <w:t>for hindering</w:t>
      </w:r>
      <w:r>
        <w:rPr>
          <w:rFonts w:ascii="Times New Roman" w:eastAsia="Times New Roman" w:hAnsi="Times New Roman" w:cs="Times New Roman"/>
          <w:sz w:val="24"/>
          <w:szCs w:val="24"/>
        </w:rPr>
        <w:t>, obstructing, or preventing</w:t>
      </w:r>
      <w:r w:rsidRPr="00D056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authorized </w:t>
      </w:r>
      <w:r w:rsidRPr="00D056C7">
        <w:rPr>
          <w:rFonts w:ascii="Times New Roman" w:eastAsia="Times New Roman" w:hAnsi="Times New Roman" w:cs="Times New Roman"/>
          <w:sz w:val="24"/>
          <w:szCs w:val="24"/>
        </w:rPr>
        <w:t>DOR inspection</w:t>
      </w:r>
      <w:r w:rsidR="00117161">
        <w:rPr>
          <w:rFonts w:ascii="Times New Roman" w:eastAsia="Times New Roman" w:hAnsi="Times New Roman" w:cs="Times New Roman"/>
          <w:sz w:val="24"/>
          <w:szCs w:val="24"/>
        </w:rPr>
        <w:t xml:space="preserve"> of records or cigarette/smokeless tobacco products</w:t>
      </w:r>
      <w:r>
        <w:rPr>
          <w:rFonts w:ascii="Times New Roman" w:eastAsia="Times New Roman" w:hAnsi="Times New Roman" w:cs="Times New Roman"/>
          <w:sz w:val="24"/>
          <w:szCs w:val="24"/>
        </w:rPr>
        <w:t>.</w:t>
      </w:r>
    </w:p>
    <w:p w14:paraId="1FD6D34B" w14:textId="77777777" w:rsidR="00890DA9" w:rsidRDefault="00890DA9" w:rsidP="00D056C7">
      <w:pPr>
        <w:rPr>
          <w:rFonts w:ascii="Times New Roman" w:hAnsi="Times New Roman" w:cs="Times New Roman"/>
          <w:sz w:val="24"/>
          <w:szCs w:val="24"/>
          <w:u w:val="single"/>
        </w:rPr>
      </w:pPr>
    </w:p>
    <w:p w14:paraId="1C0DA2BB" w14:textId="63326844" w:rsidR="00D056C7" w:rsidRPr="00D056C7" w:rsidRDefault="008E48FB" w:rsidP="00D056C7">
      <w:pPr>
        <w:rPr>
          <w:rFonts w:ascii="Times New Roman" w:hAnsi="Times New Roman" w:cs="Times New Roman"/>
          <w:sz w:val="24"/>
          <w:szCs w:val="24"/>
        </w:rPr>
      </w:pPr>
      <w:r w:rsidRPr="0064580D">
        <w:rPr>
          <w:rFonts w:ascii="Times New Roman" w:hAnsi="Times New Roman" w:cs="Times New Roman"/>
          <w:sz w:val="24"/>
          <w:szCs w:val="24"/>
          <w:u w:val="single"/>
        </w:rPr>
        <w:t>M.G.L. c. 6</w:t>
      </w:r>
      <w:r>
        <w:rPr>
          <w:rFonts w:ascii="Times New Roman" w:hAnsi="Times New Roman" w:cs="Times New Roman"/>
          <w:sz w:val="24"/>
          <w:szCs w:val="24"/>
          <w:u w:val="single"/>
        </w:rPr>
        <w:t>4</w:t>
      </w:r>
      <w:r w:rsidRPr="0064580D">
        <w:rPr>
          <w:rFonts w:ascii="Times New Roman" w:hAnsi="Times New Roman" w:cs="Times New Roman"/>
          <w:sz w:val="24"/>
          <w:szCs w:val="24"/>
          <w:u w:val="single"/>
        </w:rPr>
        <w:t>C §</w:t>
      </w:r>
      <w:r w:rsidRPr="00D056C7">
        <w:rPr>
          <w:rFonts w:ascii="Times New Roman" w:hAnsi="Times New Roman" w:cs="Times New Roman"/>
          <w:sz w:val="24"/>
          <w:szCs w:val="24"/>
          <w:u w:val="single"/>
        </w:rPr>
        <w:t xml:space="preserve"> </w:t>
      </w:r>
      <w:r w:rsidR="00D056C7" w:rsidRPr="00D056C7">
        <w:rPr>
          <w:rFonts w:ascii="Times New Roman" w:hAnsi="Times New Roman" w:cs="Times New Roman"/>
          <w:sz w:val="24"/>
          <w:szCs w:val="24"/>
          <w:u w:val="single"/>
        </w:rPr>
        <w:t>7B (Cigars)</w:t>
      </w:r>
      <w:r w:rsidR="00D056C7" w:rsidRPr="00D056C7">
        <w:rPr>
          <w:rFonts w:ascii="Times New Roman" w:hAnsi="Times New Roman" w:cs="Times New Roman"/>
          <w:sz w:val="24"/>
          <w:szCs w:val="24"/>
        </w:rPr>
        <w:t>:</w:t>
      </w:r>
    </w:p>
    <w:p w14:paraId="0542C1A4" w14:textId="3569F80C" w:rsidR="00725ABA" w:rsidRPr="003A4ADD" w:rsidRDefault="00725ABA" w:rsidP="00725ABA">
      <w:pPr>
        <w:pStyle w:val="ListParagraph"/>
        <w:widowControl/>
        <w:numPr>
          <w:ilvl w:val="0"/>
          <w:numId w:val="21"/>
        </w:numPr>
        <w:jc w:val="both"/>
        <w:rPr>
          <w:rFonts w:ascii="Times New Roman" w:eastAsia="Times New Roman" w:hAnsi="Times New Roman" w:cs="Times New Roman"/>
          <w:sz w:val="24"/>
          <w:szCs w:val="24"/>
        </w:rPr>
      </w:pPr>
      <w:r w:rsidRPr="00D056C7">
        <w:rPr>
          <w:rFonts w:ascii="Times New Roman" w:eastAsia="Times New Roman" w:hAnsi="Times New Roman" w:cs="Times New Roman"/>
          <w:sz w:val="24"/>
          <w:szCs w:val="24"/>
        </w:rPr>
        <w:t xml:space="preserve">Clarify </w:t>
      </w:r>
      <w:r>
        <w:rPr>
          <w:rFonts w:ascii="Times New Roman" w:eastAsia="Times New Roman" w:hAnsi="Times New Roman" w:cs="Times New Roman"/>
          <w:sz w:val="24"/>
          <w:szCs w:val="24"/>
        </w:rPr>
        <w:t>DOR</w:t>
      </w:r>
      <w:r w:rsidR="00FB7155">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Pr="00D056C7">
        <w:rPr>
          <w:rFonts w:ascii="Times New Roman" w:eastAsia="Times New Roman" w:hAnsi="Times New Roman" w:cs="Times New Roman"/>
          <w:sz w:val="24"/>
          <w:szCs w:val="24"/>
        </w:rPr>
        <w:t>authorit</w:t>
      </w:r>
      <w:r w:rsidR="00764539">
        <w:rPr>
          <w:rFonts w:ascii="Times New Roman" w:eastAsia="Times New Roman" w:hAnsi="Times New Roman" w:cs="Times New Roman"/>
          <w:sz w:val="24"/>
          <w:szCs w:val="24"/>
        </w:rPr>
        <w:t xml:space="preserve">y to </w:t>
      </w:r>
      <w:r>
        <w:rPr>
          <w:rFonts w:ascii="Times New Roman" w:eastAsia="Times New Roman" w:hAnsi="Times New Roman" w:cs="Times New Roman"/>
          <w:sz w:val="24"/>
          <w:szCs w:val="24"/>
        </w:rPr>
        <w:t>examine the books, papers, and records of any retailer or distributor</w:t>
      </w:r>
      <w:r w:rsidRPr="00D056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of cigar or smoking tobacco products</w:t>
      </w:r>
      <w:r w:rsidRPr="00D056C7">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 xml:space="preserve"> investigate, examine, and search any premises where cigars or smoking tobacco products are possessed, stored, or sold. </w:t>
      </w:r>
    </w:p>
    <w:p w14:paraId="798C563C" w14:textId="60ABBD05" w:rsidR="00D056C7" w:rsidRDefault="00D056C7" w:rsidP="00BE2E69">
      <w:pPr>
        <w:pStyle w:val="ListParagraph"/>
        <w:widowControl/>
        <w:numPr>
          <w:ilvl w:val="0"/>
          <w:numId w:val="21"/>
        </w:numPr>
        <w:jc w:val="both"/>
        <w:rPr>
          <w:rFonts w:ascii="Times New Roman" w:eastAsia="Times New Roman" w:hAnsi="Times New Roman" w:cs="Times New Roman"/>
          <w:sz w:val="24"/>
          <w:szCs w:val="24"/>
        </w:rPr>
      </w:pPr>
      <w:r w:rsidRPr="00D056C7">
        <w:rPr>
          <w:rFonts w:ascii="Times New Roman" w:eastAsia="Times New Roman" w:hAnsi="Times New Roman" w:cs="Times New Roman"/>
          <w:sz w:val="24"/>
          <w:szCs w:val="24"/>
        </w:rPr>
        <w:t xml:space="preserve">Add records </w:t>
      </w:r>
      <w:r w:rsidR="005E1CD2">
        <w:rPr>
          <w:rFonts w:ascii="Times New Roman" w:eastAsia="Times New Roman" w:hAnsi="Times New Roman" w:cs="Times New Roman"/>
          <w:sz w:val="24"/>
          <w:szCs w:val="24"/>
        </w:rPr>
        <w:t xml:space="preserve">as an item </w:t>
      </w:r>
      <w:r w:rsidRPr="00D056C7">
        <w:rPr>
          <w:rFonts w:ascii="Times New Roman" w:eastAsia="Times New Roman" w:hAnsi="Times New Roman" w:cs="Times New Roman"/>
          <w:sz w:val="24"/>
          <w:szCs w:val="24"/>
        </w:rPr>
        <w:t>to be seized in addition to untaxed cigars/smoking tobacco</w:t>
      </w:r>
      <w:r w:rsidR="005E1CD2">
        <w:rPr>
          <w:rFonts w:ascii="Times New Roman" w:eastAsia="Times New Roman" w:hAnsi="Times New Roman" w:cs="Times New Roman"/>
          <w:sz w:val="24"/>
          <w:szCs w:val="24"/>
        </w:rPr>
        <w:t>.</w:t>
      </w:r>
    </w:p>
    <w:p w14:paraId="3F0785A8" w14:textId="133E5A9C" w:rsidR="003B1373" w:rsidRPr="003B1373" w:rsidRDefault="003B1373" w:rsidP="003B1373">
      <w:pPr>
        <w:pStyle w:val="ListParagraph"/>
        <w:widowControl/>
        <w:numPr>
          <w:ilvl w:val="0"/>
          <w:numId w:val="21"/>
        </w:numPr>
        <w:jc w:val="both"/>
        <w:rPr>
          <w:rFonts w:ascii="Times New Roman" w:eastAsia="Times New Roman" w:hAnsi="Times New Roman" w:cs="Times New Roman"/>
          <w:sz w:val="24"/>
          <w:szCs w:val="24"/>
        </w:rPr>
      </w:pPr>
      <w:r w:rsidRPr="0016419D">
        <w:rPr>
          <w:rFonts w:ascii="Times New Roman" w:eastAsia="Times New Roman" w:hAnsi="Times New Roman" w:cs="Times New Roman"/>
          <w:sz w:val="24"/>
          <w:szCs w:val="24"/>
        </w:rPr>
        <w:t xml:space="preserve">Add civil penalty </w:t>
      </w:r>
      <w:r w:rsidRPr="0016419D">
        <w:rPr>
          <w:rFonts w:ascii="Times New Roman" w:hAnsi="Times New Roman" w:cs="Times New Roman"/>
          <w:sz w:val="24"/>
          <w:szCs w:val="24"/>
        </w:rPr>
        <w:t>of not more than $5,000 for the first offense and not more than $25,000 for a second or subsequent offense</w:t>
      </w:r>
      <w:r>
        <w:rPr>
          <w:rFonts w:ascii="Times New Roman" w:hAnsi="Times New Roman" w:cs="Times New Roman"/>
          <w:sz w:val="24"/>
          <w:szCs w:val="24"/>
        </w:rPr>
        <w:t xml:space="preserve">, </w:t>
      </w:r>
      <w:r w:rsidRPr="00D056C7">
        <w:rPr>
          <w:rFonts w:ascii="Times New Roman" w:eastAsia="Times New Roman" w:hAnsi="Times New Roman" w:cs="Times New Roman"/>
          <w:sz w:val="24"/>
          <w:szCs w:val="24"/>
        </w:rPr>
        <w:t>for hindering</w:t>
      </w:r>
      <w:r>
        <w:rPr>
          <w:rFonts w:ascii="Times New Roman" w:eastAsia="Times New Roman" w:hAnsi="Times New Roman" w:cs="Times New Roman"/>
          <w:sz w:val="24"/>
          <w:szCs w:val="24"/>
        </w:rPr>
        <w:t>, obstructing, or preventing</w:t>
      </w:r>
      <w:r w:rsidRPr="00D056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authorized </w:t>
      </w:r>
      <w:r w:rsidRPr="00D056C7">
        <w:rPr>
          <w:rFonts w:ascii="Times New Roman" w:eastAsia="Times New Roman" w:hAnsi="Times New Roman" w:cs="Times New Roman"/>
          <w:sz w:val="24"/>
          <w:szCs w:val="24"/>
        </w:rPr>
        <w:t xml:space="preserve">DOR </w:t>
      </w:r>
      <w:r w:rsidR="00117161" w:rsidRPr="00D056C7">
        <w:rPr>
          <w:rFonts w:ascii="Times New Roman" w:eastAsia="Times New Roman" w:hAnsi="Times New Roman" w:cs="Times New Roman"/>
          <w:sz w:val="24"/>
          <w:szCs w:val="24"/>
        </w:rPr>
        <w:t>inspection</w:t>
      </w:r>
      <w:r w:rsidR="00117161">
        <w:rPr>
          <w:rFonts w:ascii="Times New Roman" w:eastAsia="Times New Roman" w:hAnsi="Times New Roman" w:cs="Times New Roman"/>
          <w:sz w:val="24"/>
          <w:szCs w:val="24"/>
        </w:rPr>
        <w:t xml:space="preserve"> of records or cigar/smoking tobacco products</w:t>
      </w:r>
      <w:r>
        <w:rPr>
          <w:rFonts w:ascii="Times New Roman" w:eastAsia="Times New Roman" w:hAnsi="Times New Roman" w:cs="Times New Roman"/>
          <w:sz w:val="24"/>
          <w:szCs w:val="24"/>
        </w:rPr>
        <w:t>.</w:t>
      </w:r>
    </w:p>
    <w:p w14:paraId="17D54285" w14:textId="77777777" w:rsidR="00D056C7" w:rsidRPr="00D056C7" w:rsidRDefault="00D056C7" w:rsidP="00D056C7">
      <w:pPr>
        <w:rPr>
          <w:rFonts w:ascii="Times New Roman" w:hAnsi="Times New Roman" w:cs="Times New Roman"/>
          <w:sz w:val="24"/>
          <w:szCs w:val="24"/>
        </w:rPr>
      </w:pPr>
    </w:p>
    <w:p w14:paraId="6B65B291" w14:textId="5389DAC3" w:rsidR="00D056C7" w:rsidRPr="00D056C7" w:rsidRDefault="005E1CD2" w:rsidP="00D056C7">
      <w:pPr>
        <w:rPr>
          <w:rFonts w:ascii="Times New Roman" w:hAnsi="Times New Roman" w:cs="Times New Roman"/>
          <w:sz w:val="24"/>
          <w:szCs w:val="24"/>
        </w:rPr>
      </w:pPr>
      <w:r w:rsidRPr="0064580D">
        <w:rPr>
          <w:rFonts w:ascii="Times New Roman" w:hAnsi="Times New Roman" w:cs="Times New Roman"/>
          <w:sz w:val="24"/>
          <w:szCs w:val="24"/>
          <w:u w:val="single"/>
        </w:rPr>
        <w:t>M.G.L. c. 6</w:t>
      </w:r>
      <w:r>
        <w:rPr>
          <w:rFonts w:ascii="Times New Roman" w:hAnsi="Times New Roman" w:cs="Times New Roman"/>
          <w:sz w:val="24"/>
          <w:szCs w:val="24"/>
          <w:u w:val="single"/>
        </w:rPr>
        <w:t>4</w:t>
      </w:r>
      <w:r w:rsidRPr="0064580D">
        <w:rPr>
          <w:rFonts w:ascii="Times New Roman" w:hAnsi="Times New Roman" w:cs="Times New Roman"/>
          <w:sz w:val="24"/>
          <w:szCs w:val="24"/>
          <w:u w:val="single"/>
        </w:rPr>
        <w:t>C §</w:t>
      </w:r>
      <w:r w:rsidRPr="00D056C7">
        <w:rPr>
          <w:rFonts w:ascii="Times New Roman" w:hAnsi="Times New Roman" w:cs="Times New Roman"/>
          <w:sz w:val="24"/>
          <w:szCs w:val="24"/>
          <w:u w:val="single"/>
        </w:rPr>
        <w:t xml:space="preserve"> </w:t>
      </w:r>
      <w:r w:rsidR="00D056C7" w:rsidRPr="00D056C7">
        <w:rPr>
          <w:rFonts w:ascii="Times New Roman" w:hAnsi="Times New Roman" w:cs="Times New Roman"/>
          <w:sz w:val="24"/>
          <w:szCs w:val="24"/>
          <w:u w:val="single"/>
        </w:rPr>
        <w:t>7E (ENDS)</w:t>
      </w:r>
      <w:r w:rsidR="00D056C7" w:rsidRPr="00D056C7">
        <w:rPr>
          <w:rFonts w:ascii="Times New Roman" w:hAnsi="Times New Roman" w:cs="Times New Roman"/>
          <w:sz w:val="24"/>
          <w:szCs w:val="24"/>
        </w:rPr>
        <w:t>:</w:t>
      </w:r>
    </w:p>
    <w:p w14:paraId="51D6386D" w14:textId="57A4EC0B" w:rsidR="00A636CB" w:rsidRPr="00AE7252" w:rsidRDefault="00AE7252" w:rsidP="00AE7252">
      <w:pPr>
        <w:pStyle w:val="ListParagraph"/>
        <w:numPr>
          <w:ilvl w:val="0"/>
          <w:numId w:val="39"/>
        </w:numPr>
        <w:rPr>
          <w:rFonts w:ascii="Times New Roman" w:eastAsia="Times New Roman" w:hAnsi="Times New Roman" w:cs="Times New Roman"/>
          <w:sz w:val="24"/>
          <w:szCs w:val="24"/>
        </w:rPr>
      </w:pPr>
      <w:r w:rsidRPr="00AE7252">
        <w:rPr>
          <w:rFonts w:ascii="Times New Roman" w:eastAsia="Times New Roman" w:hAnsi="Times New Roman" w:cs="Times New Roman"/>
          <w:sz w:val="24"/>
          <w:szCs w:val="24"/>
        </w:rPr>
        <w:t xml:space="preserve">Clarify </w:t>
      </w:r>
      <w:r w:rsidR="00A636CB" w:rsidRPr="00AE7252">
        <w:rPr>
          <w:rFonts w:ascii="Times New Roman" w:eastAsia="Times New Roman" w:hAnsi="Times New Roman" w:cs="Times New Roman"/>
          <w:sz w:val="24"/>
          <w:szCs w:val="24"/>
        </w:rPr>
        <w:t>DOR</w:t>
      </w:r>
      <w:r w:rsidR="00FB7155" w:rsidRPr="00AE7252">
        <w:rPr>
          <w:rFonts w:ascii="Times New Roman" w:eastAsia="Times New Roman" w:hAnsi="Times New Roman" w:cs="Times New Roman"/>
          <w:sz w:val="24"/>
          <w:szCs w:val="24"/>
        </w:rPr>
        <w:t>’s</w:t>
      </w:r>
      <w:r w:rsidR="00A636CB" w:rsidRPr="00AE7252">
        <w:rPr>
          <w:rFonts w:ascii="Times New Roman" w:eastAsia="Times New Roman" w:hAnsi="Times New Roman" w:cs="Times New Roman"/>
          <w:sz w:val="24"/>
          <w:szCs w:val="24"/>
        </w:rPr>
        <w:t xml:space="preserve"> authorit</w:t>
      </w:r>
      <w:r w:rsidRPr="00AE7252">
        <w:rPr>
          <w:rFonts w:ascii="Times New Roman" w:eastAsia="Times New Roman" w:hAnsi="Times New Roman" w:cs="Times New Roman"/>
          <w:sz w:val="24"/>
          <w:szCs w:val="24"/>
        </w:rPr>
        <w:t>y to</w:t>
      </w:r>
      <w:r w:rsidRPr="00AE7252">
        <w:rPr>
          <w:rStyle w:val="CommentReference"/>
          <w:rFonts w:ascii="Times New Roman" w:hAnsi="Times New Roman" w:cs="Times New Roman"/>
          <w:sz w:val="24"/>
          <w:szCs w:val="24"/>
        </w:rPr>
        <w:t xml:space="preserve"> </w:t>
      </w:r>
      <w:r w:rsidRPr="00AE7252">
        <w:rPr>
          <w:rFonts w:ascii="Times New Roman" w:eastAsia="Times New Roman" w:hAnsi="Times New Roman" w:cs="Times New Roman"/>
          <w:sz w:val="24"/>
          <w:szCs w:val="24"/>
        </w:rPr>
        <w:t>exam</w:t>
      </w:r>
      <w:r w:rsidR="00A636CB" w:rsidRPr="00AE7252">
        <w:rPr>
          <w:rFonts w:ascii="Times New Roman" w:eastAsia="Times New Roman" w:hAnsi="Times New Roman" w:cs="Times New Roman"/>
          <w:sz w:val="24"/>
          <w:szCs w:val="24"/>
        </w:rPr>
        <w:t>ine the books, papers, and records of any retailer</w:t>
      </w:r>
      <w:r w:rsidR="00827E52" w:rsidRPr="00AE7252">
        <w:rPr>
          <w:rFonts w:ascii="Times New Roman" w:eastAsia="Times New Roman" w:hAnsi="Times New Roman" w:cs="Times New Roman"/>
          <w:sz w:val="24"/>
          <w:szCs w:val="24"/>
        </w:rPr>
        <w:t xml:space="preserve"> </w:t>
      </w:r>
      <w:r w:rsidR="00A636CB" w:rsidRPr="00AE7252">
        <w:rPr>
          <w:rFonts w:ascii="Times New Roman" w:eastAsia="Times New Roman" w:hAnsi="Times New Roman" w:cs="Times New Roman"/>
          <w:sz w:val="24"/>
          <w:szCs w:val="24"/>
        </w:rPr>
        <w:t>or distributor</w:t>
      </w:r>
      <w:r w:rsidRPr="00AE7252">
        <w:rPr>
          <w:rFonts w:ascii="Times New Roman" w:eastAsia="Times New Roman" w:hAnsi="Times New Roman" w:cs="Times New Roman"/>
          <w:sz w:val="24"/>
          <w:szCs w:val="24"/>
        </w:rPr>
        <w:t xml:space="preserve"> </w:t>
      </w:r>
      <w:r w:rsidR="00A636CB" w:rsidRPr="00AE7252">
        <w:rPr>
          <w:rFonts w:ascii="Times New Roman" w:eastAsia="Times New Roman" w:hAnsi="Times New Roman" w:cs="Times New Roman"/>
          <w:sz w:val="24"/>
          <w:szCs w:val="24"/>
        </w:rPr>
        <w:t xml:space="preserve">of </w:t>
      </w:r>
      <w:r w:rsidR="00827E52" w:rsidRPr="00AE7252">
        <w:rPr>
          <w:rFonts w:ascii="Times New Roman" w:eastAsia="Times New Roman" w:hAnsi="Times New Roman" w:cs="Times New Roman"/>
          <w:sz w:val="24"/>
          <w:szCs w:val="24"/>
        </w:rPr>
        <w:t>ENDS</w:t>
      </w:r>
      <w:r w:rsidR="00A636CB" w:rsidRPr="00AE7252">
        <w:rPr>
          <w:rFonts w:ascii="Times New Roman" w:eastAsia="Times New Roman" w:hAnsi="Times New Roman" w:cs="Times New Roman"/>
          <w:sz w:val="24"/>
          <w:szCs w:val="24"/>
        </w:rPr>
        <w:t xml:space="preserve"> products </w:t>
      </w:r>
      <w:r w:rsidR="00A636CB" w:rsidRPr="00EC24CE">
        <w:rPr>
          <w:rFonts w:ascii="Times New Roman" w:eastAsia="Times New Roman" w:hAnsi="Times New Roman" w:cs="Times New Roman"/>
          <w:sz w:val="24"/>
          <w:szCs w:val="24"/>
        </w:rPr>
        <w:t>and</w:t>
      </w:r>
      <w:r w:rsidR="00A636CB" w:rsidRPr="00AE7252">
        <w:rPr>
          <w:rFonts w:ascii="Times New Roman" w:eastAsia="Times New Roman" w:hAnsi="Times New Roman" w:cs="Times New Roman"/>
          <w:sz w:val="24"/>
          <w:szCs w:val="24"/>
        </w:rPr>
        <w:t xml:space="preserve"> investigate, examine, and search any premises where </w:t>
      </w:r>
      <w:r w:rsidR="00827E52" w:rsidRPr="00AE7252">
        <w:rPr>
          <w:rFonts w:ascii="Times New Roman" w:eastAsia="Times New Roman" w:hAnsi="Times New Roman" w:cs="Times New Roman"/>
          <w:sz w:val="24"/>
          <w:szCs w:val="24"/>
        </w:rPr>
        <w:t>ENDS</w:t>
      </w:r>
      <w:r w:rsidR="00A636CB" w:rsidRPr="00AE7252">
        <w:rPr>
          <w:rFonts w:ascii="Times New Roman" w:eastAsia="Times New Roman" w:hAnsi="Times New Roman" w:cs="Times New Roman"/>
          <w:sz w:val="24"/>
          <w:szCs w:val="24"/>
        </w:rPr>
        <w:t xml:space="preserve"> </w:t>
      </w:r>
      <w:r w:rsidR="00827E52" w:rsidRPr="00AE7252">
        <w:rPr>
          <w:rFonts w:ascii="Times New Roman" w:eastAsia="Times New Roman" w:hAnsi="Times New Roman" w:cs="Times New Roman"/>
          <w:sz w:val="24"/>
          <w:szCs w:val="24"/>
        </w:rPr>
        <w:t xml:space="preserve">products </w:t>
      </w:r>
      <w:r w:rsidR="00A636CB" w:rsidRPr="00AE7252">
        <w:rPr>
          <w:rFonts w:ascii="Times New Roman" w:eastAsia="Times New Roman" w:hAnsi="Times New Roman" w:cs="Times New Roman"/>
          <w:sz w:val="24"/>
          <w:szCs w:val="24"/>
        </w:rPr>
        <w:t xml:space="preserve">are possessed, stored, or sold. </w:t>
      </w:r>
    </w:p>
    <w:p w14:paraId="53B37D2C" w14:textId="714693C8" w:rsidR="00D056C7" w:rsidRPr="00AE7252" w:rsidRDefault="00D056C7" w:rsidP="00BD0975">
      <w:pPr>
        <w:pStyle w:val="ListParagraph"/>
        <w:numPr>
          <w:ilvl w:val="0"/>
          <w:numId w:val="39"/>
        </w:numPr>
        <w:rPr>
          <w:rFonts w:ascii="Times New Roman" w:hAnsi="Times New Roman" w:cs="Times New Roman"/>
          <w:sz w:val="24"/>
          <w:szCs w:val="24"/>
        </w:rPr>
      </w:pPr>
      <w:r w:rsidRPr="00AE7252">
        <w:rPr>
          <w:rFonts w:ascii="Times New Roman" w:hAnsi="Times New Roman" w:cs="Times New Roman"/>
          <w:sz w:val="24"/>
          <w:szCs w:val="24"/>
        </w:rPr>
        <w:t xml:space="preserve">Add records </w:t>
      </w:r>
      <w:r w:rsidR="005E1CD2" w:rsidRPr="00AE7252">
        <w:rPr>
          <w:rFonts w:ascii="Times New Roman" w:hAnsi="Times New Roman" w:cs="Times New Roman"/>
          <w:sz w:val="24"/>
          <w:szCs w:val="24"/>
        </w:rPr>
        <w:t xml:space="preserve">as an item </w:t>
      </w:r>
      <w:r w:rsidRPr="00AE7252">
        <w:rPr>
          <w:rFonts w:ascii="Times New Roman" w:hAnsi="Times New Roman" w:cs="Times New Roman"/>
          <w:sz w:val="24"/>
          <w:szCs w:val="24"/>
        </w:rPr>
        <w:t xml:space="preserve">to be seized in addition to untaxed </w:t>
      </w:r>
      <w:r w:rsidR="005E1CD2" w:rsidRPr="00AE7252">
        <w:rPr>
          <w:rFonts w:ascii="Times New Roman" w:hAnsi="Times New Roman" w:cs="Times New Roman"/>
          <w:sz w:val="24"/>
          <w:szCs w:val="24"/>
        </w:rPr>
        <w:t>ENDS products.</w:t>
      </w:r>
    </w:p>
    <w:p w14:paraId="2C2BF524" w14:textId="3D62351D" w:rsidR="003B1373" w:rsidRDefault="003B1373" w:rsidP="00AE7252">
      <w:pPr>
        <w:pStyle w:val="ListParagraph"/>
        <w:widowControl/>
        <w:numPr>
          <w:ilvl w:val="0"/>
          <w:numId w:val="39"/>
        </w:numPr>
        <w:jc w:val="both"/>
        <w:rPr>
          <w:rFonts w:ascii="Times New Roman" w:eastAsia="Times New Roman" w:hAnsi="Times New Roman" w:cs="Times New Roman"/>
          <w:sz w:val="24"/>
          <w:szCs w:val="24"/>
        </w:rPr>
      </w:pPr>
      <w:r w:rsidRPr="00AE7252">
        <w:rPr>
          <w:rFonts w:ascii="Times New Roman" w:eastAsia="Times New Roman" w:hAnsi="Times New Roman" w:cs="Times New Roman"/>
          <w:sz w:val="24"/>
          <w:szCs w:val="24"/>
        </w:rPr>
        <w:t xml:space="preserve">Add civil penalty </w:t>
      </w:r>
      <w:r w:rsidRPr="00AE7252">
        <w:rPr>
          <w:rFonts w:ascii="Times New Roman" w:hAnsi="Times New Roman" w:cs="Times New Roman"/>
          <w:sz w:val="24"/>
          <w:szCs w:val="24"/>
        </w:rPr>
        <w:t xml:space="preserve">of not more than $5,000 for the first offense and not more than $25,000 for a second or subsequent offense, </w:t>
      </w:r>
      <w:r w:rsidRPr="00AE7252">
        <w:rPr>
          <w:rFonts w:ascii="Times New Roman" w:eastAsia="Times New Roman" w:hAnsi="Times New Roman" w:cs="Times New Roman"/>
          <w:sz w:val="24"/>
          <w:szCs w:val="24"/>
        </w:rPr>
        <w:t>for hindering, obstructing, or preventing authorized DOR</w:t>
      </w:r>
      <w:r w:rsidRPr="00D056C7">
        <w:rPr>
          <w:rFonts w:ascii="Times New Roman" w:eastAsia="Times New Roman" w:hAnsi="Times New Roman" w:cs="Times New Roman"/>
          <w:sz w:val="24"/>
          <w:szCs w:val="24"/>
        </w:rPr>
        <w:t xml:space="preserve"> inspection</w:t>
      </w:r>
      <w:r w:rsidR="00117161">
        <w:rPr>
          <w:rFonts w:ascii="Times New Roman" w:eastAsia="Times New Roman" w:hAnsi="Times New Roman" w:cs="Times New Roman"/>
          <w:sz w:val="24"/>
          <w:szCs w:val="24"/>
        </w:rPr>
        <w:t xml:space="preserve"> of records or ENDS products</w:t>
      </w:r>
      <w:r>
        <w:rPr>
          <w:rFonts w:ascii="Times New Roman" w:eastAsia="Times New Roman" w:hAnsi="Times New Roman" w:cs="Times New Roman"/>
          <w:sz w:val="24"/>
          <w:szCs w:val="24"/>
        </w:rPr>
        <w:t>.</w:t>
      </w:r>
    </w:p>
    <w:p w14:paraId="30B56DD2" w14:textId="6F47CECD" w:rsidR="003B1373" w:rsidRPr="003B1373" w:rsidRDefault="003B1373" w:rsidP="003B1373">
      <w:pPr>
        <w:pStyle w:val="ListParagraph"/>
        <w:widowControl/>
        <w:numPr>
          <w:ilvl w:val="0"/>
          <w:numId w:val="22"/>
        </w:numPr>
        <w:jc w:val="both"/>
        <w:rPr>
          <w:rFonts w:ascii="Times New Roman" w:eastAsia="Times New Roman" w:hAnsi="Times New Roman" w:cs="Times New Roman"/>
          <w:sz w:val="24"/>
          <w:szCs w:val="24"/>
        </w:rPr>
      </w:pPr>
      <w:r w:rsidRPr="0016419D">
        <w:rPr>
          <w:rFonts w:ascii="Times New Roman" w:eastAsia="Times New Roman" w:hAnsi="Times New Roman" w:cs="Times New Roman"/>
          <w:sz w:val="24"/>
          <w:szCs w:val="24"/>
        </w:rPr>
        <w:lastRenderedPageBreak/>
        <w:t xml:space="preserve">Add civil penalty </w:t>
      </w:r>
      <w:r w:rsidRPr="0016419D">
        <w:rPr>
          <w:rFonts w:ascii="Times New Roman" w:hAnsi="Times New Roman" w:cs="Times New Roman"/>
          <w:sz w:val="24"/>
          <w:szCs w:val="24"/>
        </w:rPr>
        <w:t>of not more than $5,000 for the first offense and not more than $25,000 for a second or subsequent offense</w:t>
      </w:r>
      <w:r>
        <w:rPr>
          <w:rFonts w:ascii="Times New Roman" w:hAnsi="Times New Roman" w:cs="Times New Roman"/>
          <w:sz w:val="24"/>
          <w:szCs w:val="24"/>
        </w:rPr>
        <w:t xml:space="preserve">, </w:t>
      </w:r>
      <w:r w:rsidRPr="0016419D">
        <w:rPr>
          <w:rFonts w:ascii="Times New Roman" w:hAnsi="Times New Roman" w:cs="Times New Roman"/>
          <w:sz w:val="24"/>
          <w:szCs w:val="24"/>
        </w:rPr>
        <w:t>for any retailer who knowingly violates Section 7E(c) (possession of untaxed ENDS products)</w:t>
      </w:r>
      <w:r>
        <w:rPr>
          <w:rFonts w:ascii="Times New Roman" w:hAnsi="Times New Roman" w:cs="Times New Roman"/>
          <w:sz w:val="24"/>
          <w:szCs w:val="24"/>
        </w:rPr>
        <w:t xml:space="preserve"> </w:t>
      </w:r>
      <w:r w:rsidR="00CA0809">
        <w:rPr>
          <w:rFonts w:ascii="Times New Roman" w:hAnsi="Times New Roman" w:cs="Times New Roman"/>
          <w:sz w:val="24"/>
          <w:szCs w:val="24"/>
        </w:rPr>
        <w:t xml:space="preserve">which results in the seizure of untaxed ENDS products </w:t>
      </w:r>
      <w:r>
        <w:rPr>
          <w:rFonts w:ascii="Times New Roman" w:hAnsi="Times New Roman" w:cs="Times New Roman"/>
          <w:sz w:val="24"/>
          <w:szCs w:val="24"/>
        </w:rPr>
        <w:t xml:space="preserve">so long as the conduct underlying the offense is upheld following any appeal. </w:t>
      </w:r>
      <w:r w:rsidR="00CA0809">
        <w:rPr>
          <w:rFonts w:ascii="Times New Roman" w:hAnsi="Times New Roman" w:cs="Times New Roman"/>
          <w:sz w:val="24"/>
          <w:szCs w:val="24"/>
        </w:rPr>
        <w:t>The</w:t>
      </w:r>
      <w:r>
        <w:rPr>
          <w:rFonts w:ascii="Times New Roman" w:hAnsi="Times New Roman" w:cs="Times New Roman"/>
          <w:sz w:val="24"/>
          <w:szCs w:val="24"/>
        </w:rPr>
        <w:t xml:space="preserve"> </w:t>
      </w:r>
      <w:r w:rsidR="00847182">
        <w:rPr>
          <w:rFonts w:ascii="Times New Roman" w:hAnsi="Times New Roman" w:cs="Times New Roman"/>
          <w:sz w:val="24"/>
          <w:szCs w:val="24"/>
        </w:rPr>
        <w:t xml:space="preserve">new </w:t>
      </w:r>
      <w:r>
        <w:rPr>
          <w:rFonts w:ascii="Times New Roman" w:hAnsi="Times New Roman" w:cs="Times New Roman"/>
          <w:sz w:val="24"/>
          <w:szCs w:val="24"/>
        </w:rPr>
        <w:t>civil penalt</w:t>
      </w:r>
      <w:r w:rsidR="00CA0809">
        <w:rPr>
          <w:rFonts w:ascii="Times New Roman" w:hAnsi="Times New Roman" w:cs="Times New Roman"/>
          <w:sz w:val="24"/>
          <w:szCs w:val="24"/>
        </w:rPr>
        <w:t>y</w:t>
      </w:r>
      <w:r>
        <w:rPr>
          <w:rFonts w:ascii="Times New Roman" w:hAnsi="Times New Roman" w:cs="Times New Roman"/>
          <w:sz w:val="24"/>
          <w:szCs w:val="24"/>
        </w:rPr>
        <w:t xml:space="preserve"> will assist with offsetting the </w:t>
      </w:r>
      <w:r w:rsidR="00FF629F">
        <w:rPr>
          <w:rFonts w:ascii="Times New Roman" w:hAnsi="Times New Roman" w:cs="Times New Roman"/>
          <w:sz w:val="24"/>
          <w:szCs w:val="24"/>
        </w:rPr>
        <w:t xml:space="preserve">significant </w:t>
      </w:r>
      <w:r>
        <w:rPr>
          <w:rFonts w:ascii="Times New Roman" w:hAnsi="Times New Roman" w:cs="Times New Roman"/>
          <w:sz w:val="24"/>
          <w:szCs w:val="24"/>
        </w:rPr>
        <w:t>cost of ENDS disposal</w:t>
      </w:r>
      <w:r w:rsidR="00FF629F">
        <w:rPr>
          <w:rFonts w:ascii="Times New Roman" w:hAnsi="Times New Roman" w:cs="Times New Roman"/>
          <w:sz w:val="24"/>
          <w:szCs w:val="24"/>
        </w:rPr>
        <w:t xml:space="preserve"> to comply</w:t>
      </w:r>
      <w:r>
        <w:rPr>
          <w:rFonts w:ascii="Times New Roman" w:hAnsi="Times New Roman" w:cs="Times New Roman"/>
          <w:sz w:val="24"/>
          <w:szCs w:val="24"/>
        </w:rPr>
        <w:t xml:space="preserve"> with state and federal </w:t>
      </w:r>
      <w:r w:rsidR="00FB35BE">
        <w:rPr>
          <w:rFonts w:ascii="Times New Roman" w:hAnsi="Times New Roman" w:cs="Times New Roman"/>
          <w:sz w:val="24"/>
          <w:szCs w:val="24"/>
        </w:rPr>
        <w:t xml:space="preserve">environmental </w:t>
      </w:r>
      <w:r>
        <w:rPr>
          <w:rFonts w:ascii="Times New Roman" w:hAnsi="Times New Roman" w:cs="Times New Roman"/>
          <w:sz w:val="24"/>
          <w:szCs w:val="24"/>
        </w:rPr>
        <w:t>laws</w:t>
      </w:r>
      <w:r w:rsidRPr="0016419D">
        <w:rPr>
          <w:rFonts w:ascii="Times New Roman" w:hAnsi="Times New Roman" w:cs="Times New Roman"/>
          <w:sz w:val="24"/>
          <w:szCs w:val="24"/>
        </w:rPr>
        <w:t>.</w:t>
      </w:r>
    </w:p>
    <w:p w14:paraId="66046216" w14:textId="77777777" w:rsidR="00A70EDC" w:rsidRDefault="00A70EDC" w:rsidP="00D056C7">
      <w:pPr>
        <w:rPr>
          <w:rFonts w:ascii="Times New Roman" w:hAnsi="Times New Roman" w:cs="Times New Roman"/>
          <w:sz w:val="24"/>
          <w:szCs w:val="24"/>
          <w:u w:val="single"/>
        </w:rPr>
      </w:pPr>
    </w:p>
    <w:p w14:paraId="5263C062" w14:textId="53BF1E90" w:rsidR="00D056C7" w:rsidRPr="00D056C7" w:rsidRDefault="00832486" w:rsidP="00D056C7">
      <w:pPr>
        <w:rPr>
          <w:rFonts w:ascii="Times New Roman" w:hAnsi="Times New Roman" w:cs="Times New Roman"/>
          <w:sz w:val="24"/>
          <w:szCs w:val="24"/>
        </w:rPr>
      </w:pPr>
      <w:r w:rsidRPr="0064580D">
        <w:rPr>
          <w:rFonts w:ascii="Times New Roman" w:hAnsi="Times New Roman" w:cs="Times New Roman"/>
          <w:sz w:val="24"/>
          <w:szCs w:val="24"/>
          <w:u w:val="single"/>
        </w:rPr>
        <w:t>M.G.L. c. 6</w:t>
      </w:r>
      <w:r>
        <w:rPr>
          <w:rFonts w:ascii="Times New Roman" w:hAnsi="Times New Roman" w:cs="Times New Roman"/>
          <w:sz w:val="24"/>
          <w:szCs w:val="24"/>
          <w:u w:val="single"/>
        </w:rPr>
        <w:t>4</w:t>
      </w:r>
      <w:r w:rsidRPr="0064580D">
        <w:rPr>
          <w:rFonts w:ascii="Times New Roman" w:hAnsi="Times New Roman" w:cs="Times New Roman"/>
          <w:sz w:val="24"/>
          <w:szCs w:val="24"/>
          <w:u w:val="single"/>
        </w:rPr>
        <w:t>C §</w:t>
      </w:r>
      <w:r w:rsidRPr="00D056C7">
        <w:rPr>
          <w:rFonts w:ascii="Times New Roman" w:hAnsi="Times New Roman" w:cs="Times New Roman"/>
          <w:sz w:val="24"/>
          <w:szCs w:val="24"/>
          <w:u w:val="single"/>
        </w:rPr>
        <w:t xml:space="preserve"> </w:t>
      </w:r>
      <w:r w:rsidR="00D056C7" w:rsidRPr="00D056C7">
        <w:rPr>
          <w:rFonts w:ascii="Times New Roman" w:hAnsi="Times New Roman" w:cs="Times New Roman"/>
          <w:sz w:val="24"/>
          <w:szCs w:val="24"/>
          <w:u w:val="single"/>
        </w:rPr>
        <w:t>8 (Prosecution for Illegal Possession)</w:t>
      </w:r>
      <w:r w:rsidR="00D056C7" w:rsidRPr="00D056C7">
        <w:rPr>
          <w:rFonts w:ascii="Times New Roman" w:hAnsi="Times New Roman" w:cs="Times New Roman"/>
          <w:sz w:val="24"/>
          <w:szCs w:val="24"/>
        </w:rPr>
        <w:t>:</w:t>
      </w:r>
    </w:p>
    <w:p w14:paraId="57D857E7" w14:textId="3BA04F73" w:rsidR="00D056C7" w:rsidRPr="00D056C7" w:rsidRDefault="00D056C7" w:rsidP="00D056C7">
      <w:pPr>
        <w:pStyle w:val="ListParagraph"/>
        <w:widowControl/>
        <w:numPr>
          <w:ilvl w:val="0"/>
          <w:numId w:val="23"/>
        </w:numPr>
        <w:rPr>
          <w:rFonts w:ascii="Times New Roman" w:eastAsia="Times New Roman" w:hAnsi="Times New Roman" w:cs="Times New Roman"/>
          <w:sz w:val="24"/>
          <w:szCs w:val="24"/>
        </w:rPr>
      </w:pPr>
      <w:r w:rsidRPr="00D056C7">
        <w:rPr>
          <w:rFonts w:ascii="Times New Roman" w:eastAsia="Times New Roman" w:hAnsi="Times New Roman" w:cs="Times New Roman"/>
          <w:sz w:val="24"/>
          <w:szCs w:val="24"/>
        </w:rPr>
        <w:t>Modernize language (apply to all tobacco products) and remove outdated sections</w:t>
      </w:r>
      <w:r w:rsidR="005E1CD2">
        <w:rPr>
          <w:rFonts w:ascii="Times New Roman" w:eastAsia="Times New Roman" w:hAnsi="Times New Roman" w:cs="Times New Roman"/>
          <w:sz w:val="24"/>
          <w:szCs w:val="24"/>
        </w:rPr>
        <w:t>.</w:t>
      </w:r>
    </w:p>
    <w:p w14:paraId="21B10CC4" w14:textId="34CA004C" w:rsidR="00D056C7" w:rsidRPr="00D056C7" w:rsidRDefault="00D056C7" w:rsidP="00D056C7">
      <w:pPr>
        <w:pStyle w:val="ListParagraph"/>
        <w:widowControl/>
        <w:numPr>
          <w:ilvl w:val="0"/>
          <w:numId w:val="23"/>
        </w:numPr>
        <w:rPr>
          <w:rFonts w:ascii="Times New Roman" w:eastAsia="Times New Roman" w:hAnsi="Times New Roman" w:cs="Times New Roman"/>
          <w:sz w:val="24"/>
          <w:szCs w:val="24"/>
        </w:rPr>
      </w:pPr>
      <w:r w:rsidRPr="00D056C7">
        <w:rPr>
          <w:rFonts w:ascii="Times New Roman" w:eastAsia="Times New Roman" w:hAnsi="Times New Roman" w:cs="Times New Roman"/>
          <w:sz w:val="24"/>
          <w:szCs w:val="24"/>
        </w:rPr>
        <w:t xml:space="preserve">Add </w:t>
      </w:r>
      <w:r w:rsidR="005E1CD2">
        <w:rPr>
          <w:rFonts w:ascii="Times New Roman" w:eastAsia="Times New Roman" w:hAnsi="Times New Roman" w:cs="Times New Roman"/>
          <w:sz w:val="24"/>
          <w:szCs w:val="24"/>
        </w:rPr>
        <w:t xml:space="preserve">reference to </w:t>
      </w:r>
      <w:r w:rsidR="004D296B">
        <w:rPr>
          <w:rFonts w:ascii="Times New Roman" w:eastAsia="Times New Roman" w:hAnsi="Times New Roman" w:cs="Times New Roman"/>
          <w:sz w:val="24"/>
          <w:szCs w:val="24"/>
        </w:rPr>
        <w:t>the new</w:t>
      </w:r>
      <w:r w:rsidRPr="00D056C7">
        <w:rPr>
          <w:rFonts w:ascii="Times New Roman" w:eastAsia="Times New Roman" w:hAnsi="Times New Roman" w:cs="Times New Roman"/>
          <w:sz w:val="24"/>
          <w:szCs w:val="24"/>
        </w:rPr>
        <w:t xml:space="preserve"> Section 10 </w:t>
      </w:r>
      <w:r w:rsidR="00587E8A">
        <w:rPr>
          <w:rFonts w:ascii="Times New Roman" w:eastAsia="Times New Roman" w:hAnsi="Times New Roman" w:cs="Times New Roman"/>
          <w:sz w:val="24"/>
          <w:szCs w:val="24"/>
        </w:rPr>
        <w:t>criminal provision (see below)</w:t>
      </w:r>
      <w:r w:rsidR="005E1CD2">
        <w:rPr>
          <w:rFonts w:ascii="Times New Roman" w:eastAsia="Times New Roman" w:hAnsi="Times New Roman" w:cs="Times New Roman"/>
          <w:sz w:val="24"/>
          <w:szCs w:val="24"/>
        </w:rPr>
        <w:t>.</w:t>
      </w:r>
    </w:p>
    <w:p w14:paraId="18858260" w14:textId="77777777" w:rsidR="00024FB3" w:rsidRPr="00576082" w:rsidRDefault="00024FB3" w:rsidP="00D056C7">
      <w:pPr>
        <w:rPr>
          <w:rFonts w:ascii="Times New Roman" w:hAnsi="Times New Roman" w:cs="Times New Roman"/>
          <w:sz w:val="24"/>
          <w:szCs w:val="24"/>
        </w:rPr>
      </w:pPr>
    </w:p>
    <w:p w14:paraId="577269F1" w14:textId="2519C78F" w:rsidR="00D056C7" w:rsidRPr="00D056C7" w:rsidRDefault="00832486" w:rsidP="00D056C7">
      <w:pPr>
        <w:rPr>
          <w:rFonts w:ascii="Times New Roman" w:hAnsi="Times New Roman" w:cs="Times New Roman"/>
          <w:sz w:val="24"/>
          <w:szCs w:val="24"/>
        </w:rPr>
      </w:pPr>
      <w:r w:rsidRPr="0064580D">
        <w:rPr>
          <w:rFonts w:ascii="Times New Roman" w:hAnsi="Times New Roman" w:cs="Times New Roman"/>
          <w:sz w:val="24"/>
          <w:szCs w:val="24"/>
          <w:u w:val="single"/>
        </w:rPr>
        <w:t>M.G.L. c. 6</w:t>
      </w:r>
      <w:r>
        <w:rPr>
          <w:rFonts w:ascii="Times New Roman" w:hAnsi="Times New Roman" w:cs="Times New Roman"/>
          <w:sz w:val="24"/>
          <w:szCs w:val="24"/>
          <w:u w:val="single"/>
        </w:rPr>
        <w:t>4</w:t>
      </w:r>
      <w:r w:rsidRPr="0064580D">
        <w:rPr>
          <w:rFonts w:ascii="Times New Roman" w:hAnsi="Times New Roman" w:cs="Times New Roman"/>
          <w:sz w:val="24"/>
          <w:szCs w:val="24"/>
          <w:u w:val="single"/>
        </w:rPr>
        <w:t>C §</w:t>
      </w:r>
      <w:r w:rsidRPr="00D056C7">
        <w:rPr>
          <w:rFonts w:ascii="Times New Roman" w:hAnsi="Times New Roman" w:cs="Times New Roman"/>
          <w:sz w:val="24"/>
          <w:szCs w:val="24"/>
          <w:u w:val="single"/>
        </w:rPr>
        <w:t xml:space="preserve"> </w:t>
      </w:r>
      <w:r w:rsidR="00D056C7" w:rsidRPr="00D056C7">
        <w:rPr>
          <w:rFonts w:ascii="Times New Roman" w:hAnsi="Times New Roman" w:cs="Times New Roman"/>
          <w:sz w:val="24"/>
          <w:szCs w:val="24"/>
          <w:u w:val="single"/>
        </w:rPr>
        <w:t>10 (Tobacco Trafficking &amp; Penalties)</w:t>
      </w:r>
      <w:r w:rsidR="00D056C7" w:rsidRPr="00D056C7">
        <w:rPr>
          <w:rFonts w:ascii="Times New Roman" w:hAnsi="Times New Roman" w:cs="Times New Roman"/>
          <w:sz w:val="24"/>
          <w:szCs w:val="24"/>
        </w:rPr>
        <w:t>:</w:t>
      </w:r>
    </w:p>
    <w:p w14:paraId="6AE10889" w14:textId="77777777" w:rsidR="00AC7FBF" w:rsidRDefault="00D056C7" w:rsidP="00BE2E69">
      <w:pPr>
        <w:pStyle w:val="ListParagraph"/>
        <w:widowControl/>
        <w:numPr>
          <w:ilvl w:val="0"/>
          <w:numId w:val="24"/>
        </w:numPr>
        <w:jc w:val="both"/>
        <w:rPr>
          <w:rFonts w:ascii="Times New Roman" w:eastAsia="Times New Roman" w:hAnsi="Times New Roman" w:cs="Times New Roman"/>
          <w:sz w:val="24"/>
          <w:szCs w:val="24"/>
        </w:rPr>
      </w:pPr>
      <w:r w:rsidRPr="00D056C7">
        <w:rPr>
          <w:rFonts w:ascii="Times New Roman" w:eastAsia="Times New Roman" w:hAnsi="Times New Roman" w:cs="Times New Roman"/>
          <w:sz w:val="24"/>
          <w:szCs w:val="24"/>
        </w:rPr>
        <w:t xml:space="preserve">Create </w:t>
      </w:r>
      <w:r w:rsidR="000459D3" w:rsidRPr="00D056C7">
        <w:rPr>
          <w:rFonts w:ascii="Times New Roman" w:eastAsia="Times New Roman" w:hAnsi="Times New Roman" w:cs="Times New Roman"/>
          <w:sz w:val="24"/>
          <w:szCs w:val="24"/>
        </w:rPr>
        <w:t>a new</w:t>
      </w:r>
      <w:r w:rsidR="005E1CD2">
        <w:rPr>
          <w:rFonts w:ascii="Times New Roman" w:eastAsia="Times New Roman" w:hAnsi="Times New Roman" w:cs="Times New Roman"/>
          <w:sz w:val="24"/>
          <w:szCs w:val="24"/>
        </w:rPr>
        <w:t xml:space="preserve"> criminal provision for</w:t>
      </w:r>
      <w:r w:rsidRPr="00D056C7">
        <w:rPr>
          <w:rFonts w:ascii="Times New Roman" w:eastAsia="Times New Roman" w:hAnsi="Times New Roman" w:cs="Times New Roman"/>
          <w:sz w:val="24"/>
          <w:szCs w:val="24"/>
        </w:rPr>
        <w:t xml:space="preserve"> Dealing in Tobacco Products </w:t>
      </w:r>
      <w:r w:rsidR="005E1CD2">
        <w:rPr>
          <w:rFonts w:ascii="Times New Roman" w:eastAsia="Times New Roman" w:hAnsi="Times New Roman" w:cs="Times New Roman"/>
          <w:sz w:val="24"/>
          <w:szCs w:val="24"/>
        </w:rPr>
        <w:t>without a</w:t>
      </w:r>
      <w:r w:rsidRPr="00D056C7">
        <w:rPr>
          <w:rFonts w:ascii="Times New Roman" w:eastAsia="Times New Roman" w:hAnsi="Times New Roman" w:cs="Times New Roman"/>
          <w:sz w:val="24"/>
          <w:szCs w:val="24"/>
        </w:rPr>
        <w:t xml:space="preserve"> License</w:t>
      </w:r>
      <w:r w:rsidR="00FB35BE">
        <w:rPr>
          <w:rFonts w:ascii="Times New Roman" w:eastAsia="Times New Roman" w:hAnsi="Times New Roman" w:cs="Times New Roman"/>
          <w:sz w:val="24"/>
          <w:szCs w:val="24"/>
        </w:rPr>
        <w:t xml:space="preserve"> that would apply</w:t>
      </w:r>
      <w:r w:rsidR="005E1CD2">
        <w:rPr>
          <w:rFonts w:ascii="Times New Roman" w:eastAsia="Times New Roman" w:hAnsi="Times New Roman" w:cs="Times New Roman"/>
          <w:sz w:val="24"/>
          <w:szCs w:val="24"/>
        </w:rPr>
        <w:t xml:space="preserve"> to </w:t>
      </w:r>
      <w:r w:rsidR="00FB35BE">
        <w:rPr>
          <w:rFonts w:ascii="Times New Roman" w:eastAsia="Times New Roman" w:hAnsi="Times New Roman" w:cs="Times New Roman"/>
          <w:sz w:val="24"/>
          <w:szCs w:val="24"/>
        </w:rPr>
        <w:t xml:space="preserve">the </w:t>
      </w:r>
      <w:r w:rsidR="005B37AA">
        <w:rPr>
          <w:rFonts w:ascii="Times New Roman" w:eastAsia="Times New Roman" w:hAnsi="Times New Roman" w:cs="Times New Roman"/>
          <w:sz w:val="24"/>
          <w:szCs w:val="24"/>
        </w:rPr>
        <w:t>trafficking</w:t>
      </w:r>
      <w:r w:rsidR="007D2703">
        <w:rPr>
          <w:rFonts w:ascii="Times New Roman" w:eastAsia="Times New Roman" w:hAnsi="Times New Roman" w:cs="Times New Roman"/>
          <w:sz w:val="24"/>
          <w:szCs w:val="24"/>
        </w:rPr>
        <w:t xml:space="preserve"> and associated tax evasion for </w:t>
      </w:r>
      <w:r w:rsidR="005E1CD2">
        <w:rPr>
          <w:rFonts w:ascii="Times New Roman" w:eastAsia="Times New Roman" w:hAnsi="Times New Roman" w:cs="Times New Roman"/>
          <w:sz w:val="24"/>
          <w:szCs w:val="24"/>
        </w:rPr>
        <w:t>all tobacco products</w:t>
      </w:r>
      <w:r w:rsidR="007D2703">
        <w:rPr>
          <w:rFonts w:ascii="Times New Roman" w:eastAsia="Times New Roman" w:hAnsi="Times New Roman" w:cs="Times New Roman"/>
          <w:sz w:val="24"/>
          <w:szCs w:val="24"/>
        </w:rPr>
        <w:t>,</w:t>
      </w:r>
      <w:r w:rsidR="005E1CD2">
        <w:rPr>
          <w:rFonts w:ascii="Times New Roman" w:eastAsia="Times New Roman" w:hAnsi="Times New Roman" w:cs="Times New Roman"/>
          <w:sz w:val="24"/>
          <w:szCs w:val="24"/>
        </w:rPr>
        <w:t xml:space="preserve"> </w:t>
      </w:r>
      <w:r w:rsidR="007D2703">
        <w:rPr>
          <w:rFonts w:ascii="Times New Roman" w:eastAsia="Times New Roman" w:hAnsi="Times New Roman" w:cs="Times New Roman"/>
          <w:sz w:val="24"/>
          <w:szCs w:val="24"/>
        </w:rPr>
        <w:t>with the amount of tobacco sold or possessed with intent to sell serving as the basis for a misdemeanor or felony charge</w:t>
      </w:r>
      <w:r w:rsidR="00FB35BE">
        <w:rPr>
          <w:rFonts w:ascii="Times New Roman" w:eastAsia="Times New Roman" w:hAnsi="Times New Roman" w:cs="Times New Roman"/>
          <w:sz w:val="24"/>
          <w:szCs w:val="24"/>
        </w:rPr>
        <w:t xml:space="preserve"> (similar to existing criminal charge for possession of unstamped cigarettes in </w:t>
      </w:r>
      <w:r w:rsidR="00FB35BE" w:rsidRPr="00FB35BE">
        <w:rPr>
          <w:rFonts w:ascii="Times New Roman" w:hAnsi="Times New Roman" w:cs="Times New Roman"/>
          <w:sz w:val="24"/>
          <w:szCs w:val="24"/>
        </w:rPr>
        <w:t>M.G.L. c. 64C § 34)</w:t>
      </w:r>
      <w:r w:rsidR="007D2703" w:rsidRPr="00FB35BE">
        <w:rPr>
          <w:rFonts w:ascii="Times New Roman" w:eastAsia="Times New Roman" w:hAnsi="Times New Roman" w:cs="Times New Roman"/>
          <w:sz w:val="24"/>
          <w:szCs w:val="24"/>
        </w:rPr>
        <w:t>. This provision</w:t>
      </w:r>
      <w:r w:rsidR="007D2703">
        <w:rPr>
          <w:rFonts w:ascii="Times New Roman" w:eastAsia="Times New Roman" w:hAnsi="Times New Roman" w:cs="Times New Roman"/>
          <w:sz w:val="24"/>
          <w:szCs w:val="24"/>
        </w:rPr>
        <w:t xml:space="preserve"> would apply </w:t>
      </w:r>
      <w:r w:rsidR="00FA00C0">
        <w:rPr>
          <w:rFonts w:ascii="Times New Roman" w:eastAsia="Times New Roman" w:hAnsi="Times New Roman" w:cs="Times New Roman"/>
          <w:sz w:val="24"/>
          <w:szCs w:val="24"/>
        </w:rPr>
        <w:t>to</w:t>
      </w:r>
      <w:r w:rsidR="007D2703">
        <w:rPr>
          <w:rFonts w:ascii="Times New Roman" w:eastAsia="Times New Roman" w:hAnsi="Times New Roman" w:cs="Times New Roman"/>
          <w:sz w:val="24"/>
          <w:szCs w:val="24"/>
        </w:rPr>
        <w:t xml:space="preserve"> individuals </w:t>
      </w:r>
      <w:r w:rsidR="00FA00C0">
        <w:rPr>
          <w:rFonts w:ascii="Times New Roman" w:eastAsia="Times New Roman" w:hAnsi="Times New Roman" w:cs="Times New Roman"/>
          <w:sz w:val="24"/>
          <w:szCs w:val="24"/>
        </w:rPr>
        <w:t>as well as</w:t>
      </w:r>
      <w:r w:rsidR="007D2703">
        <w:rPr>
          <w:rFonts w:ascii="Times New Roman" w:eastAsia="Times New Roman" w:hAnsi="Times New Roman" w:cs="Times New Roman"/>
          <w:sz w:val="24"/>
          <w:szCs w:val="24"/>
        </w:rPr>
        <w:t xml:space="preserve"> licensees who are acting outside the scope of their license (e.g., a retailer acting as an unlicensed distributor).</w:t>
      </w:r>
      <w:r w:rsidR="00AC7FBF">
        <w:rPr>
          <w:rFonts w:ascii="Times New Roman" w:eastAsia="Times New Roman" w:hAnsi="Times New Roman" w:cs="Times New Roman"/>
          <w:sz w:val="24"/>
          <w:szCs w:val="24"/>
        </w:rPr>
        <w:t xml:space="preserve"> </w:t>
      </w:r>
    </w:p>
    <w:p w14:paraId="75F36ACA" w14:textId="77777777" w:rsidR="004A46EC" w:rsidRPr="004A46EC" w:rsidRDefault="004A46EC" w:rsidP="004A46EC">
      <w:pPr>
        <w:pStyle w:val="ListParagraph"/>
        <w:widowControl/>
        <w:ind w:left="1440"/>
        <w:jc w:val="both"/>
        <w:rPr>
          <w:rFonts w:ascii="Times New Roman" w:eastAsia="Times New Roman" w:hAnsi="Times New Roman" w:cs="Times New Roman"/>
          <w:sz w:val="20"/>
          <w:szCs w:val="20"/>
        </w:rPr>
      </w:pPr>
    </w:p>
    <w:p w14:paraId="5B57192B" w14:textId="6D83D79C" w:rsidR="00D056C7" w:rsidRDefault="00AC7FBF" w:rsidP="00AC7FBF">
      <w:pPr>
        <w:pStyle w:val="ListParagraph"/>
        <w:widowControl/>
        <w:numPr>
          <w:ilvl w:val="1"/>
          <w:numId w:val="2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Currently, only the possession of unstamped (</w:t>
      </w:r>
      <w:r w:rsidR="00F15161">
        <w:rPr>
          <w:rFonts w:ascii="Times New Roman" w:eastAsia="Times New Roman" w:hAnsi="Times New Roman" w:cs="Times New Roman"/>
          <w:sz w:val="24"/>
          <w:szCs w:val="24"/>
        </w:rPr>
        <w:t xml:space="preserve">i.e., </w:t>
      </w:r>
      <w:r>
        <w:rPr>
          <w:rFonts w:ascii="Times New Roman" w:eastAsia="Times New Roman" w:hAnsi="Times New Roman" w:cs="Times New Roman"/>
          <w:sz w:val="24"/>
          <w:szCs w:val="24"/>
        </w:rPr>
        <w:t>untaxed) cigarettes is a separate criminal offense (</w:t>
      </w:r>
      <w:r w:rsidRPr="00FB35BE">
        <w:rPr>
          <w:rFonts w:ascii="Times New Roman" w:hAnsi="Times New Roman" w:cs="Times New Roman"/>
          <w:sz w:val="24"/>
          <w:szCs w:val="24"/>
        </w:rPr>
        <w:t>M.G.L. c. 64C § 34</w:t>
      </w:r>
      <w:r>
        <w:rPr>
          <w:rFonts w:ascii="Times New Roman" w:hAnsi="Times New Roman" w:cs="Times New Roman"/>
          <w:sz w:val="24"/>
          <w:szCs w:val="24"/>
        </w:rPr>
        <w:t>)</w:t>
      </w:r>
      <w:r w:rsidR="00F15161">
        <w:rPr>
          <w:rFonts w:ascii="Times New Roman" w:hAnsi="Times New Roman" w:cs="Times New Roman"/>
          <w:sz w:val="24"/>
          <w:szCs w:val="24"/>
        </w:rPr>
        <w:t>. There are no separate criminal statutes related to the</w:t>
      </w:r>
      <w:r>
        <w:rPr>
          <w:rFonts w:ascii="Times New Roman" w:hAnsi="Times New Roman" w:cs="Times New Roman"/>
          <w:sz w:val="24"/>
          <w:szCs w:val="24"/>
        </w:rPr>
        <w:t xml:space="preserve"> possession</w:t>
      </w:r>
      <w:r w:rsidR="00F15161">
        <w:rPr>
          <w:rFonts w:ascii="Times New Roman" w:hAnsi="Times New Roman" w:cs="Times New Roman"/>
          <w:sz w:val="24"/>
          <w:szCs w:val="24"/>
        </w:rPr>
        <w:t>, possession with intent to sell, or smuggling of</w:t>
      </w:r>
      <w:r>
        <w:rPr>
          <w:rFonts w:ascii="Times New Roman" w:hAnsi="Times New Roman" w:cs="Times New Roman"/>
          <w:sz w:val="24"/>
          <w:szCs w:val="24"/>
        </w:rPr>
        <w:t xml:space="preserve"> untaxed smokeless tobacco, </w:t>
      </w:r>
      <w:r>
        <w:rPr>
          <w:rFonts w:ascii="Times New Roman" w:eastAsia="Times New Roman" w:hAnsi="Times New Roman" w:cs="Times New Roman"/>
          <w:sz w:val="24"/>
          <w:szCs w:val="24"/>
        </w:rPr>
        <w:t>cigars, smoking tobacco, or ENDS</w:t>
      </w:r>
      <w:r w:rsidR="00F15161">
        <w:rPr>
          <w:rFonts w:ascii="Times New Roman" w:eastAsia="Times New Roman" w:hAnsi="Times New Roman" w:cs="Times New Roman"/>
          <w:sz w:val="24"/>
          <w:szCs w:val="24"/>
        </w:rPr>
        <w:t xml:space="preserve">, </w:t>
      </w:r>
      <w:r w:rsidR="000B60AE">
        <w:rPr>
          <w:rFonts w:ascii="Times New Roman" w:eastAsia="Times New Roman" w:hAnsi="Times New Roman" w:cs="Times New Roman"/>
          <w:sz w:val="24"/>
          <w:szCs w:val="24"/>
        </w:rPr>
        <w:t>although</w:t>
      </w:r>
      <w:r w:rsidR="00F15161">
        <w:rPr>
          <w:rFonts w:ascii="Times New Roman" w:eastAsia="Times New Roman" w:hAnsi="Times New Roman" w:cs="Times New Roman"/>
          <w:sz w:val="24"/>
          <w:szCs w:val="24"/>
        </w:rPr>
        <w:t xml:space="preserve"> such conduct could be</w:t>
      </w:r>
      <w:r>
        <w:rPr>
          <w:rFonts w:ascii="Times New Roman" w:eastAsia="Times New Roman" w:hAnsi="Times New Roman" w:cs="Times New Roman"/>
          <w:sz w:val="24"/>
          <w:szCs w:val="24"/>
        </w:rPr>
        <w:t xml:space="preserve"> prosecuted </w:t>
      </w:r>
      <w:r w:rsidR="00F15161">
        <w:rPr>
          <w:rFonts w:ascii="Times New Roman" w:eastAsia="Times New Roman" w:hAnsi="Times New Roman" w:cs="Times New Roman"/>
          <w:sz w:val="24"/>
          <w:szCs w:val="24"/>
        </w:rPr>
        <w:t>as</w:t>
      </w:r>
      <w:r>
        <w:rPr>
          <w:rFonts w:ascii="Times New Roman" w:eastAsia="Times New Roman" w:hAnsi="Times New Roman" w:cs="Times New Roman"/>
          <w:sz w:val="24"/>
          <w:szCs w:val="24"/>
        </w:rPr>
        <w:t xml:space="preserve"> tax evasion, failure to file a </w:t>
      </w:r>
      <w:r w:rsidR="00F15161">
        <w:rPr>
          <w:rFonts w:ascii="Times New Roman" w:eastAsia="Times New Roman" w:hAnsi="Times New Roman" w:cs="Times New Roman"/>
          <w:sz w:val="24"/>
          <w:szCs w:val="24"/>
        </w:rPr>
        <w:t xml:space="preserve">tax </w:t>
      </w:r>
      <w:r>
        <w:rPr>
          <w:rFonts w:ascii="Times New Roman" w:eastAsia="Times New Roman" w:hAnsi="Times New Roman" w:cs="Times New Roman"/>
          <w:sz w:val="24"/>
          <w:szCs w:val="24"/>
        </w:rPr>
        <w:t xml:space="preserve">return, or </w:t>
      </w:r>
      <w:r w:rsidR="005609B5">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filing </w:t>
      </w:r>
      <w:r w:rsidR="005609B5">
        <w:rPr>
          <w:rFonts w:ascii="Times New Roman" w:eastAsia="Times New Roman" w:hAnsi="Times New Roman" w:cs="Times New Roman"/>
          <w:sz w:val="24"/>
          <w:szCs w:val="24"/>
        </w:rPr>
        <w:t xml:space="preserve">of </w:t>
      </w:r>
      <w:r>
        <w:rPr>
          <w:rFonts w:ascii="Times New Roman" w:eastAsia="Times New Roman" w:hAnsi="Times New Roman" w:cs="Times New Roman"/>
          <w:sz w:val="24"/>
          <w:szCs w:val="24"/>
        </w:rPr>
        <w:t xml:space="preserve">a false </w:t>
      </w:r>
      <w:r w:rsidR="00F15161">
        <w:rPr>
          <w:rFonts w:ascii="Times New Roman" w:eastAsia="Times New Roman" w:hAnsi="Times New Roman" w:cs="Times New Roman"/>
          <w:sz w:val="24"/>
          <w:szCs w:val="24"/>
        </w:rPr>
        <w:t xml:space="preserve">tax </w:t>
      </w:r>
      <w:r>
        <w:rPr>
          <w:rFonts w:ascii="Times New Roman" w:eastAsia="Times New Roman" w:hAnsi="Times New Roman" w:cs="Times New Roman"/>
          <w:sz w:val="24"/>
          <w:szCs w:val="24"/>
        </w:rPr>
        <w:t>return</w:t>
      </w:r>
      <w:r w:rsidR="00D90502">
        <w:rPr>
          <w:rFonts w:ascii="Times New Roman" w:eastAsia="Times New Roman" w:hAnsi="Times New Roman" w:cs="Times New Roman"/>
          <w:sz w:val="24"/>
          <w:szCs w:val="24"/>
        </w:rPr>
        <w:t xml:space="preserve"> pursuant to M.G.L c. 62C </w:t>
      </w:r>
      <w:r w:rsidR="00D90502" w:rsidRPr="00FB35BE">
        <w:rPr>
          <w:rFonts w:ascii="Times New Roman" w:hAnsi="Times New Roman" w:cs="Times New Roman"/>
          <w:sz w:val="24"/>
          <w:szCs w:val="24"/>
        </w:rPr>
        <w:t xml:space="preserve">§ </w:t>
      </w:r>
      <w:r w:rsidR="00D90502">
        <w:rPr>
          <w:rFonts w:ascii="Times New Roman" w:hAnsi="Times New Roman" w:cs="Times New Roman"/>
          <w:sz w:val="24"/>
          <w:szCs w:val="24"/>
        </w:rPr>
        <w:t>73.</w:t>
      </w:r>
      <w:r>
        <w:rPr>
          <w:rFonts w:ascii="Times New Roman" w:eastAsia="Times New Roman" w:hAnsi="Times New Roman" w:cs="Times New Roman"/>
          <w:sz w:val="24"/>
          <w:szCs w:val="24"/>
        </w:rPr>
        <w:t xml:space="preserve"> </w:t>
      </w:r>
    </w:p>
    <w:p w14:paraId="49E1C09F" w14:textId="77777777" w:rsidR="004A46EC" w:rsidRPr="004A46EC" w:rsidRDefault="004A46EC" w:rsidP="004A46EC">
      <w:pPr>
        <w:pStyle w:val="ListParagraph"/>
        <w:widowControl/>
        <w:ind w:left="1440"/>
        <w:jc w:val="both"/>
        <w:rPr>
          <w:rFonts w:ascii="Times New Roman" w:eastAsia="Times New Roman" w:hAnsi="Times New Roman" w:cs="Times New Roman"/>
          <w:sz w:val="20"/>
          <w:szCs w:val="20"/>
        </w:rPr>
      </w:pPr>
    </w:p>
    <w:p w14:paraId="376D5F90" w14:textId="70DC66AA" w:rsidR="00D056C7" w:rsidRPr="00D056C7" w:rsidRDefault="00D90502" w:rsidP="00BE2E69">
      <w:pPr>
        <w:pStyle w:val="ListParagraph"/>
        <w:widowControl/>
        <w:numPr>
          <w:ilvl w:val="0"/>
          <w:numId w:val="2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Require</w:t>
      </w:r>
      <w:r w:rsidR="007D2703">
        <w:rPr>
          <w:rFonts w:ascii="Times New Roman" w:eastAsia="Times New Roman" w:hAnsi="Times New Roman" w:cs="Times New Roman"/>
          <w:sz w:val="24"/>
          <w:szCs w:val="24"/>
        </w:rPr>
        <w:t xml:space="preserve"> p</w:t>
      </w:r>
      <w:r w:rsidR="00D056C7" w:rsidRPr="00D056C7">
        <w:rPr>
          <w:rFonts w:ascii="Times New Roman" w:eastAsia="Times New Roman" w:hAnsi="Times New Roman" w:cs="Times New Roman"/>
          <w:sz w:val="24"/>
          <w:szCs w:val="24"/>
        </w:rPr>
        <w:t>ayment</w:t>
      </w:r>
      <w:r>
        <w:rPr>
          <w:rFonts w:ascii="Times New Roman" w:eastAsia="Times New Roman" w:hAnsi="Times New Roman" w:cs="Times New Roman"/>
          <w:sz w:val="24"/>
          <w:szCs w:val="24"/>
        </w:rPr>
        <w:t>s</w:t>
      </w:r>
      <w:r w:rsidR="00D056C7" w:rsidRPr="00D056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to purchase tobacco products </w:t>
      </w:r>
      <w:r w:rsidR="007D2703">
        <w:rPr>
          <w:rFonts w:ascii="Times New Roman" w:eastAsia="Times New Roman" w:hAnsi="Times New Roman" w:cs="Times New Roman"/>
          <w:sz w:val="24"/>
          <w:szCs w:val="24"/>
        </w:rPr>
        <w:t xml:space="preserve">by </w:t>
      </w:r>
      <w:r>
        <w:rPr>
          <w:rFonts w:ascii="Times New Roman" w:eastAsia="Times New Roman" w:hAnsi="Times New Roman" w:cs="Times New Roman"/>
          <w:sz w:val="24"/>
          <w:szCs w:val="24"/>
        </w:rPr>
        <w:t xml:space="preserve">wholesalers, vending machine operators, distributors, unclassified acquirers, or retailers </w:t>
      </w:r>
      <w:r w:rsidR="007D2703">
        <w:rPr>
          <w:rFonts w:ascii="Times New Roman" w:eastAsia="Times New Roman" w:hAnsi="Times New Roman" w:cs="Times New Roman"/>
          <w:sz w:val="24"/>
          <w:szCs w:val="24"/>
        </w:rPr>
        <w:t xml:space="preserve">be in the form of a </w:t>
      </w:r>
      <w:r w:rsidR="00D056C7" w:rsidRPr="00D056C7">
        <w:rPr>
          <w:rFonts w:ascii="Times New Roman" w:eastAsia="Times New Roman" w:hAnsi="Times New Roman" w:cs="Times New Roman"/>
          <w:sz w:val="24"/>
          <w:szCs w:val="24"/>
        </w:rPr>
        <w:t xml:space="preserve">check, EFT, </w:t>
      </w:r>
      <w:r w:rsidR="007D2703">
        <w:rPr>
          <w:rFonts w:ascii="Times New Roman" w:eastAsia="Times New Roman" w:hAnsi="Times New Roman" w:cs="Times New Roman"/>
          <w:sz w:val="24"/>
          <w:szCs w:val="24"/>
        </w:rPr>
        <w:t xml:space="preserve">or </w:t>
      </w:r>
      <w:r w:rsidR="00D056C7" w:rsidRPr="00D056C7">
        <w:rPr>
          <w:rFonts w:ascii="Times New Roman" w:eastAsia="Times New Roman" w:hAnsi="Times New Roman" w:cs="Times New Roman"/>
          <w:sz w:val="24"/>
          <w:szCs w:val="24"/>
        </w:rPr>
        <w:t>credit/debit card (cash payment prohibited)</w:t>
      </w:r>
      <w:r w:rsidR="007D2703">
        <w:rPr>
          <w:rFonts w:ascii="Times New Roman" w:eastAsia="Times New Roman" w:hAnsi="Times New Roman" w:cs="Times New Roman"/>
          <w:sz w:val="24"/>
          <w:szCs w:val="24"/>
        </w:rPr>
        <w:t xml:space="preserve"> and impose civil and criminal penalties for violations. This will create transparency and allow more efficient and effective civil and criminal enforcement of the tobacco </w:t>
      </w:r>
      <w:r>
        <w:rPr>
          <w:rFonts w:ascii="Times New Roman" w:eastAsia="Times New Roman" w:hAnsi="Times New Roman" w:cs="Times New Roman"/>
          <w:sz w:val="24"/>
          <w:szCs w:val="24"/>
        </w:rPr>
        <w:t xml:space="preserve">tax </w:t>
      </w:r>
      <w:r w:rsidR="007D2703">
        <w:rPr>
          <w:rFonts w:ascii="Times New Roman" w:eastAsia="Times New Roman" w:hAnsi="Times New Roman" w:cs="Times New Roman"/>
          <w:sz w:val="24"/>
          <w:szCs w:val="24"/>
        </w:rPr>
        <w:t>laws.</w:t>
      </w:r>
    </w:p>
    <w:p w14:paraId="37E1D1E3" w14:textId="64FC2CC6" w:rsidR="00FB35BE" w:rsidRPr="00FB35BE" w:rsidRDefault="00FB35BE" w:rsidP="00BE2E69">
      <w:pPr>
        <w:pStyle w:val="ListParagraph"/>
        <w:widowControl/>
        <w:numPr>
          <w:ilvl w:val="0"/>
          <w:numId w:val="24"/>
        </w:numPr>
        <w:jc w:val="both"/>
        <w:rPr>
          <w:rFonts w:ascii="Times New Roman" w:eastAsia="Times New Roman" w:hAnsi="Times New Roman" w:cs="Times New Roman"/>
          <w:sz w:val="24"/>
          <w:szCs w:val="24"/>
        </w:rPr>
      </w:pPr>
      <w:r w:rsidRPr="0016419D">
        <w:rPr>
          <w:rFonts w:ascii="Times New Roman" w:eastAsia="Times New Roman" w:hAnsi="Times New Roman" w:cs="Times New Roman"/>
          <w:sz w:val="24"/>
          <w:szCs w:val="24"/>
        </w:rPr>
        <w:t xml:space="preserve">Add civil penalty </w:t>
      </w:r>
      <w:r w:rsidRPr="0016419D">
        <w:rPr>
          <w:rFonts w:ascii="Times New Roman" w:hAnsi="Times New Roman" w:cs="Times New Roman"/>
          <w:sz w:val="24"/>
          <w:szCs w:val="24"/>
        </w:rPr>
        <w:t>of not more than $5,000 for the first offense and not more than $25,000 for a second or subsequent offense</w:t>
      </w:r>
      <w:r>
        <w:rPr>
          <w:rFonts w:ascii="Times New Roman" w:hAnsi="Times New Roman" w:cs="Times New Roman"/>
          <w:sz w:val="24"/>
          <w:szCs w:val="24"/>
        </w:rPr>
        <w:t xml:space="preserve">, </w:t>
      </w:r>
      <w:r w:rsidRPr="0016419D">
        <w:rPr>
          <w:rFonts w:ascii="Times New Roman" w:hAnsi="Times New Roman" w:cs="Times New Roman"/>
          <w:sz w:val="24"/>
          <w:szCs w:val="24"/>
        </w:rPr>
        <w:t>for any</w:t>
      </w:r>
      <w:r>
        <w:rPr>
          <w:rFonts w:ascii="Times New Roman" w:hAnsi="Times New Roman" w:cs="Times New Roman"/>
          <w:sz w:val="24"/>
          <w:szCs w:val="24"/>
        </w:rPr>
        <w:t>one</w:t>
      </w:r>
      <w:r w:rsidRPr="0016419D">
        <w:rPr>
          <w:rFonts w:ascii="Times New Roman" w:hAnsi="Times New Roman" w:cs="Times New Roman"/>
          <w:sz w:val="24"/>
          <w:szCs w:val="24"/>
        </w:rPr>
        <w:t xml:space="preserve"> who knowingly violates</w:t>
      </w:r>
      <w:r>
        <w:rPr>
          <w:rFonts w:ascii="Times New Roman" w:hAnsi="Times New Roman" w:cs="Times New Roman"/>
          <w:sz w:val="24"/>
          <w:szCs w:val="24"/>
        </w:rPr>
        <w:t xml:space="preserve"> the </w:t>
      </w:r>
      <w:r>
        <w:rPr>
          <w:rFonts w:ascii="Times New Roman" w:eastAsia="Times New Roman" w:hAnsi="Times New Roman" w:cs="Times New Roman"/>
          <w:sz w:val="24"/>
          <w:szCs w:val="24"/>
        </w:rPr>
        <w:t>new criminal provision of Dealing in Tobacco Products without a License.</w:t>
      </w:r>
      <w:r w:rsidRPr="0016419D">
        <w:rPr>
          <w:rFonts w:ascii="Times New Roman" w:hAnsi="Times New Roman" w:cs="Times New Roman"/>
          <w:sz w:val="24"/>
          <w:szCs w:val="24"/>
        </w:rPr>
        <w:t xml:space="preserve"> </w:t>
      </w:r>
    </w:p>
    <w:p w14:paraId="405A8B8C" w14:textId="7D1C0B13" w:rsidR="00D056C7" w:rsidRPr="00D056C7" w:rsidRDefault="00D056C7" w:rsidP="00BE2E69">
      <w:pPr>
        <w:pStyle w:val="ListParagraph"/>
        <w:widowControl/>
        <w:numPr>
          <w:ilvl w:val="0"/>
          <w:numId w:val="24"/>
        </w:numPr>
        <w:jc w:val="both"/>
        <w:rPr>
          <w:rFonts w:ascii="Times New Roman" w:eastAsia="Times New Roman" w:hAnsi="Times New Roman" w:cs="Times New Roman"/>
          <w:sz w:val="24"/>
          <w:szCs w:val="24"/>
        </w:rPr>
      </w:pPr>
      <w:r w:rsidRPr="00D056C7">
        <w:rPr>
          <w:rFonts w:ascii="Times New Roman" w:eastAsia="Times New Roman" w:hAnsi="Times New Roman" w:cs="Times New Roman"/>
          <w:sz w:val="24"/>
          <w:szCs w:val="24"/>
        </w:rPr>
        <w:t xml:space="preserve">Add authority for DOR/CIB </w:t>
      </w:r>
      <w:r w:rsidR="00FA00C0">
        <w:rPr>
          <w:rFonts w:ascii="Times New Roman" w:eastAsia="Times New Roman" w:hAnsi="Times New Roman" w:cs="Times New Roman"/>
          <w:sz w:val="24"/>
          <w:szCs w:val="24"/>
        </w:rPr>
        <w:t xml:space="preserve">investigators </w:t>
      </w:r>
      <w:r w:rsidRPr="00D056C7">
        <w:rPr>
          <w:rFonts w:ascii="Times New Roman" w:eastAsia="Times New Roman" w:hAnsi="Times New Roman" w:cs="Times New Roman"/>
          <w:sz w:val="24"/>
          <w:szCs w:val="24"/>
        </w:rPr>
        <w:t xml:space="preserve">to file criminal complaints pursuant to Chapter 218 </w:t>
      </w:r>
      <w:r w:rsidR="00E55BE0" w:rsidRPr="00E55BE0">
        <w:rPr>
          <w:rFonts w:ascii="Times New Roman" w:hAnsi="Times New Roman" w:cs="Times New Roman"/>
          <w:sz w:val="24"/>
          <w:szCs w:val="24"/>
        </w:rPr>
        <w:t xml:space="preserve">§ </w:t>
      </w:r>
      <w:r w:rsidRPr="00D056C7">
        <w:rPr>
          <w:rFonts w:ascii="Times New Roman" w:eastAsia="Times New Roman" w:hAnsi="Times New Roman" w:cs="Times New Roman"/>
          <w:sz w:val="24"/>
          <w:szCs w:val="24"/>
        </w:rPr>
        <w:t>35A</w:t>
      </w:r>
      <w:r w:rsidR="004E5359">
        <w:rPr>
          <w:rFonts w:ascii="Times New Roman" w:eastAsia="Times New Roman" w:hAnsi="Times New Roman" w:cs="Times New Roman"/>
          <w:sz w:val="24"/>
          <w:szCs w:val="24"/>
        </w:rPr>
        <w:t>.</w:t>
      </w:r>
    </w:p>
    <w:p w14:paraId="6CA85079" w14:textId="77777777" w:rsidR="00D056C7" w:rsidRPr="00D056C7" w:rsidRDefault="00D056C7" w:rsidP="00D056C7">
      <w:pPr>
        <w:rPr>
          <w:rFonts w:ascii="Times New Roman" w:hAnsi="Times New Roman" w:cs="Times New Roman"/>
          <w:sz w:val="24"/>
          <w:szCs w:val="24"/>
        </w:rPr>
      </w:pPr>
    </w:p>
    <w:p w14:paraId="10243143" w14:textId="050E0988" w:rsidR="00D056C7" w:rsidRPr="00D056C7" w:rsidRDefault="00832486" w:rsidP="00D056C7">
      <w:pPr>
        <w:rPr>
          <w:rFonts w:ascii="Times New Roman" w:hAnsi="Times New Roman" w:cs="Times New Roman"/>
          <w:sz w:val="24"/>
          <w:szCs w:val="24"/>
        </w:rPr>
      </w:pPr>
      <w:r w:rsidRPr="0064580D">
        <w:rPr>
          <w:rFonts w:ascii="Times New Roman" w:hAnsi="Times New Roman" w:cs="Times New Roman"/>
          <w:sz w:val="24"/>
          <w:szCs w:val="24"/>
          <w:u w:val="single"/>
        </w:rPr>
        <w:t>M.G.L. c. 6</w:t>
      </w:r>
      <w:r>
        <w:rPr>
          <w:rFonts w:ascii="Times New Roman" w:hAnsi="Times New Roman" w:cs="Times New Roman"/>
          <w:sz w:val="24"/>
          <w:szCs w:val="24"/>
          <w:u w:val="single"/>
        </w:rPr>
        <w:t>4</w:t>
      </w:r>
      <w:r w:rsidRPr="0064580D">
        <w:rPr>
          <w:rFonts w:ascii="Times New Roman" w:hAnsi="Times New Roman" w:cs="Times New Roman"/>
          <w:sz w:val="24"/>
          <w:szCs w:val="24"/>
          <w:u w:val="single"/>
        </w:rPr>
        <w:t>C §</w:t>
      </w:r>
      <w:r w:rsidRPr="00D056C7">
        <w:rPr>
          <w:rFonts w:ascii="Times New Roman" w:hAnsi="Times New Roman" w:cs="Times New Roman"/>
          <w:sz w:val="24"/>
          <w:szCs w:val="24"/>
          <w:u w:val="single"/>
        </w:rPr>
        <w:t xml:space="preserve"> </w:t>
      </w:r>
      <w:r w:rsidR="00D056C7" w:rsidRPr="00D056C7">
        <w:rPr>
          <w:rFonts w:ascii="Times New Roman" w:hAnsi="Times New Roman" w:cs="Times New Roman"/>
          <w:sz w:val="24"/>
          <w:szCs w:val="24"/>
          <w:u w:val="single"/>
        </w:rPr>
        <w:t xml:space="preserve">11 </w:t>
      </w:r>
      <w:proofErr w:type="gramStart"/>
      <w:r w:rsidR="00D056C7" w:rsidRPr="00D056C7">
        <w:rPr>
          <w:rFonts w:ascii="Times New Roman" w:hAnsi="Times New Roman" w:cs="Times New Roman"/>
          <w:sz w:val="24"/>
          <w:szCs w:val="24"/>
          <w:u w:val="single"/>
        </w:rPr>
        <w:t>(Records/</w:t>
      </w:r>
      <w:proofErr w:type="gramEnd"/>
      <w:r w:rsidR="00D056C7" w:rsidRPr="00D056C7">
        <w:rPr>
          <w:rFonts w:ascii="Times New Roman" w:hAnsi="Times New Roman" w:cs="Times New Roman"/>
          <w:sz w:val="24"/>
          <w:szCs w:val="24"/>
          <w:u w:val="single"/>
        </w:rPr>
        <w:t>Reporting)</w:t>
      </w:r>
      <w:r w:rsidR="00D056C7" w:rsidRPr="00D056C7">
        <w:rPr>
          <w:rFonts w:ascii="Times New Roman" w:hAnsi="Times New Roman" w:cs="Times New Roman"/>
          <w:sz w:val="24"/>
          <w:szCs w:val="24"/>
        </w:rPr>
        <w:t>:</w:t>
      </w:r>
    </w:p>
    <w:p w14:paraId="5782A231" w14:textId="548E0036" w:rsidR="00D056C7" w:rsidRDefault="00AE7252" w:rsidP="00AE7252">
      <w:pPr>
        <w:pStyle w:val="ListParagraph"/>
        <w:widowControl/>
        <w:numPr>
          <w:ilvl w:val="0"/>
          <w:numId w:val="40"/>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Clarify </w:t>
      </w:r>
      <w:r w:rsidR="00832486" w:rsidRPr="00AE7252">
        <w:rPr>
          <w:rFonts w:ascii="Times New Roman" w:eastAsia="Times New Roman" w:hAnsi="Times New Roman" w:cs="Times New Roman"/>
          <w:sz w:val="24"/>
          <w:szCs w:val="24"/>
        </w:rPr>
        <w:t>DOR</w:t>
      </w:r>
      <w:r w:rsidR="00FB7155" w:rsidRPr="00AE7252">
        <w:rPr>
          <w:rFonts w:ascii="Times New Roman" w:eastAsia="Times New Roman" w:hAnsi="Times New Roman" w:cs="Times New Roman"/>
          <w:sz w:val="24"/>
          <w:szCs w:val="24"/>
        </w:rPr>
        <w:t>’s</w:t>
      </w:r>
      <w:r w:rsidR="00832486" w:rsidRPr="00AE7252">
        <w:rPr>
          <w:rFonts w:ascii="Times New Roman" w:eastAsia="Times New Roman" w:hAnsi="Times New Roman" w:cs="Times New Roman"/>
          <w:sz w:val="24"/>
          <w:szCs w:val="24"/>
        </w:rPr>
        <w:t xml:space="preserve"> </w:t>
      </w:r>
      <w:r w:rsidR="00D056C7" w:rsidRPr="00AE7252">
        <w:rPr>
          <w:rFonts w:ascii="Times New Roman" w:eastAsia="Times New Roman" w:hAnsi="Times New Roman" w:cs="Times New Roman"/>
          <w:sz w:val="24"/>
          <w:szCs w:val="24"/>
        </w:rPr>
        <w:t xml:space="preserve">authority </w:t>
      </w:r>
      <w:r w:rsidR="00FB7155" w:rsidRPr="00AE7252">
        <w:rPr>
          <w:rFonts w:ascii="Times New Roman" w:eastAsia="Times New Roman" w:hAnsi="Times New Roman" w:cs="Times New Roman"/>
          <w:sz w:val="24"/>
          <w:szCs w:val="24"/>
        </w:rPr>
        <w:t>to</w:t>
      </w:r>
      <w:r w:rsidR="00D056C7" w:rsidRPr="00AE7252">
        <w:rPr>
          <w:rFonts w:ascii="Times New Roman" w:eastAsia="Times New Roman" w:hAnsi="Times New Roman" w:cs="Times New Roman"/>
          <w:sz w:val="24"/>
          <w:szCs w:val="24"/>
        </w:rPr>
        <w:t xml:space="preserve"> </w:t>
      </w:r>
      <w:r w:rsidR="003A4ADD" w:rsidRPr="00AE7252">
        <w:rPr>
          <w:rFonts w:ascii="Times New Roman" w:eastAsia="Times New Roman" w:hAnsi="Times New Roman" w:cs="Times New Roman"/>
          <w:sz w:val="24"/>
          <w:szCs w:val="24"/>
        </w:rPr>
        <w:t>examine the books, papers, and records of any retailer, wholesaler, or distributor</w:t>
      </w:r>
      <w:r w:rsidR="00D056C7" w:rsidRPr="00AE7252">
        <w:rPr>
          <w:rFonts w:ascii="Times New Roman" w:eastAsia="Times New Roman" w:hAnsi="Times New Roman" w:cs="Times New Roman"/>
          <w:sz w:val="24"/>
          <w:szCs w:val="24"/>
        </w:rPr>
        <w:t xml:space="preserve"> </w:t>
      </w:r>
      <w:r w:rsidR="003A4ADD" w:rsidRPr="00AE7252">
        <w:rPr>
          <w:rFonts w:ascii="Times New Roman" w:eastAsia="Times New Roman" w:hAnsi="Times New Roman" w:cs="Times New Roman"/>
          <w:sz w:val="24"/>
          <w:szCs w:val="24"/>
        </w:rPr>
        <w:t xml:space="preserve">of </w:t>
      </w:r>
      <w:r w:rsidR="003A4ADD" w:rsidRPr="00EC24CE">
        <w:rPr>
          <w:rFonts w:ascii="Times New Roman" w:eastAsia="Times New Roman" w:hAnsi="Times New Roman" w:cs="Times New Roman"/>
          <w:sz w:val="24"/>
          <w:szCs w:val="24"/>
        </w:rPr>
        <w:t>tobacco products</w:t>
      </w:r>
      <w:r w:rsidR="00D056C7" w:rsidRPr="00AE7252">
        <w:rPr>
          <w:rFonts w:ascii="Times New Roman" w:eastAsia="Times New Roman" w:hAnsi="Times New Roman" w:cs="Times New Roman"/>
          <w:sz w:val="24"/>
          <w:szCs w:val="24"/>
        </w:rPr>
        <w:t xml:space="preserve"> and</w:t>
      </w:r>
      <w:r w:rsidR="003A4ADD" w:rsidRPr="00AE7252">
        <w:rPr>
          <w:rFonts w:ascii="Times New Roman" w:eastAsia="Times New Roman" w:hAnsi="Times New Roman" w:cs="Times New Roman"/>
          <w:sz w:val="24"/>
          <w:szCs w:val="24"/>
        </w:rPr>
        <w:t xml:space="preserve"> investigate, examine, and search any premises where </w:t>
      </w:r>
      <w:r w:rsidR="003A4ADD" w:rsidRPr="00EC24CE">
        <w:rPr>
          <w:rFonts w:ascii="Times New Roman" w:eastAsia="Times New Roman" w:hAnsi="Times New Roman" w:cs="Times New Roman"/>
          <w:sz w:val="24"/>
          <w:szCs w:val="24"/>
        </w:rPr>
        <w:t>tobacco products</w:t>
      </w:r>
      <w:r w:rsidR="003A4ADD" w:rsidRPr="00AE7252">
        <w:rPr>
          <w:rFonts w:ascii="Times New Roman" w:eastAsia="Times New Roman" w:hAnsi="Times New Roman" w:cs="Times New Roman"/>
          <w:sz w:val="24"/>
          <w:szCs w:val="24"/>
        </w:rPr>
        <w:t xml:space="preserve"> are possessed, stored, or sold. </w:t>
      </w:r>
    </w:p>
    <w:p w14:paraId="0629A238" w14:textId="7247EC6E" w:rsidR="00125391" w:rsidRDefault="00125391" w:rsidP="00125391">
      <w:pPr>
        <w:pStyle w:val="ListParagraph"/>
        <w:widowControl/>
        <w:numPr>
          <w:ilvl w:val="0"/>
          <w:numId w:val="40"/>
        </w:numPr>
        <w:jc w:val="both"/>
        <w:rPr>
          <w:rFonts w:ascii="Times New Roman" w:eastAsia="Times New Roman" w:hAnsi="Times New Roman" w:cs="Times New Roman"/>
          <w:sz w:val="24"/>
          <w:szCs w:val="24"/>
        </w:rPr>
      </w:pPr>
      <w:r w:rsidRPr="00125391">
        <w:rPr>
          <w:rFonts w:ascii="Times New Roman" w:eastAsia="Times New Roman" w:hAnsi="Times New Roman" w:cs="Times New Roman"/>
          <w:sz w:val="24"/>
          <w:szCs w:val="24"/>
        </w:rPr>
        <w:t>Require cigarette</w:t>
      </w:r>
      <w:r>
        <w:rPr>
          <w:rFonts w:ascii="Times New Roman" w:eastAsia="Times New Roman" w:hAnsi="Times New Roman" w:cs="Times New Roman"/>
          <w:sz w:val="24"/>
          <w:szCs w:val="24"/>
        </w:rPr>
        <w:t xml:space="preserve"> retailers and vending machine operators to maintain </w:t>
      </w:r>
      <w:r w:rsidRPr="00D056C7">
        <w:rPr>
          <w:rFonts w:ascii="Times New Roman" w:eastAsia="Times New Roman" w:hAnsi="Times New Roman" w:cs="Times New Roman"/>
          <w:sz w:val="24"/>
          <w:szCs w:val="24"/>
        </w:rPr>
        <w:t xml:space="preserve">records </w:t>
      </w:r>
      <w:r>
        <w:rPr>
          <w:rFonts w:ascii="Times New Roman" w:eastAsia="Times New Roman" w:hAnsi="Times New Roman" w:cs="Times New Roman"/>
          <w:sz w:val="24"/>
          <w:szCs w:val="24"/>
        </w:rPr>
        <w:t xml:space="preserve">on-site </w:t>
      </w:r>
      <w:r w:rsidRPr="00D056C7">
        <w:rPr>
          <w:rFonts w:ascii="Times New Roman" w:eastAsia="Times New Roman" w:hAnsi="Times New Roman" w:cs="Times New Roman"/>
          <w:sz w:val="24"/>
          <w:szCs w:val="24"/>
        </w:rPr>
        <w:t>for cigarette</w:t>
      </w:r>
      <w:r>
        <w:rPr>
          <w:rFonts w:ascii="Times New Roman" w:eastAsia="Times New Roman" w:hAnsi="Times New Roman" w:cs="Times New Roman"/>
          <w:sz w:val="24"/>
          <w:szCs w:val="24"/>
        </w:rPr>
        <w:t xml:space="preserve"> </w:t>
      </w:r>
      <w:r w:rsidRPr="00D056C7">
        <w:rPr>
          <w:rFonts w:ascii="Times New Roman" w:eastAsia="Times New Roman" w:hAnsi="Times New Roman" w:cs="Times New Roman"/>
          <w:sz w:val="24"/>
          <w:szCs w:val="24"/>
        </w:rPr>
        <w:t xml:space="preserve">and smokeless </w:t>
      </w:r>
      <w:r>
        <w:rPr>
          <w:rFonts w:ascii="Times New Roman" w:eastAsia="Times New Roman" w:hAnsi="Times New Roman" w:cs="Times New Roman"/>
          <w:sz w:val="24"/>
          <w:szCs w:val="24"/>
        </w:rPr>
        <w:t>tobacco products.</w:t>
      </w:r>
    </w:p>
    <w:p w14:paraId="4C9D5A28" w14:textId="77777777" w:rsidR="00A70EDC" w:rsidRDefault="00A70EDC" w:rsidP="00BD0975">
      <w:pPr>
        <w:pStyle w:val="ListParagraph"/>
        <w:widowControl/>
        <w:ind w:left="720"/>
        <w:jc w:val="both"/>
        <w:rPr>
          <w:rFonts w:ascii="Times New Roman" w:eastAsia="Times New Roman" w:hAnsi="Times New Roman" w:cs="Times New Roman"/>
          <w:sz w:val="24"/>
          <w:szCs w:val="24"/>
        </w:rPr>
      </w:pPr>
    </w:p>
    <w:p w14:paraId="788FE5DB" w14:textId="1774AD68" w:rsidR="00D056C7" w:rsidRPr="00D056C7" w:rsidRDefault="00832486" w:rsidP="00D056C7">
      <w:pPr>
        <w:rPr>
          <w:rFonts w:ascii="Times New Roman" w:hAnsi="Times New Roman" w:cs="Times New Roman"/>
          <w:sz w:val="24"/>
          <w:szCs w:val="24"/>
        </w:rPr>
      </w:pPr>
      <w:r w:rsidRPr="0064580D">
        <w:rPr>
          <w:rFonts w:ascii="Times New Roman" w:hAnsi="Times New Roman" w:cs="Times New Roman"/>
          <w:sz w:val="24"/>
          <w:szCs w:val="24"/>
          <w:u w:val="single"/>
        </w:rPr>
        <w:t>M.G.L. c. 6</w:t>
      </w:r>
      <w:r>
        <w:rPr>
          <w:rFonts w:ascii="Times New Roman" w:hAnsi="Times New Roman" w:cs="Times New Roman"/>
          <w:sz w:val="24"/>
          <w:szCs w:val="24"/>
          <w:u w:val="single"/>
        </w:rPr>
        <w:t>4</w:t>
      </w:r>
      <w:r w:rsidRPr="0064580D">
        <w:rPr>
          <w:rFonts w:ascii="Times New Roman" w:hAnsi="Times New Roman" w:cs="Times New Roman"/>
          <w:sz w:val="24"/>
          <w:szCs w:val="24"/>
          <w:u w:val="single"/>
        </w:rPr>
        <w:t>C §</w:t>
      </w:r>
      <w:r w:rsidRPr="00D056C7">
        <w:rPr>
          <w:rFonts w:ascii="Times New Roman" w:hAnsi="Times New Roman" w:cs="Times New Roman"/>
          <w:sz w:val="24"/>
          <w:szCs w:val="24"/>
          <w:u w:val="single"/>
        </w:rPr>
        <w:t xml:space="preserve"> </w:t>
      </w:r>
      <w:r w:rsidR="00D056C7" w:rsidRPr="00D056C7">
        <w:rPr>
          <w:rFonts w:ascii="Times New Roman" w:hAnsi="Times New Roman" w:cs="Times New Roman"/>
          <w:sz w:val="24"/>
          <w:szCs w:val="24"/>
          <w:u w:val="single"/>
        </w:rPr>
        <w:t>34 (Possession Unstamped Cigarettes)</w:t>
      </w:r>
      <w:r w:rsidR="00D056C7" w:rsidRPr="00D056C7">
        <w:rPr>
          <w:rFonts w:ascii="Times New Roman" w:hAnsi="Times New Roman" w:cs="Times New Roman"/>
          <w:sz w:val="24"/>
          <w:szCs w:val="24"/>
        </w:rPr>
        <w:t>:</w:t>
      </w:r>
    </w:p>
    <w:p w14:paraId="4371F8F2" w14:textId="3F5B1F0B" w:rsidR="00D056C7" w:rsidRPr="00D056C7" w:rsidRDefault="00832486" w:rsidP="00BE2E69">
      <w:pPr>
        <w:pStyle w:val="ListParagraph"/>
        <w:widowControl/>
        <w:numPr>
          <w:ilvl w:val="0"/>
          <w:numId w:val="2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Add</w:t>
      </w:r>
      <w:r w:rsidR="00D056C7" w:rsidRPr="00D056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house of correction</w:t>
      </w:r>
      <w:r w:rsidR="00D056C7" w:rsidRPr="00D056C7">
        <w:rPr>
          <w:rFonts w:ascii="Times New Roman" w:eastAsia="Times New Roman" w:hAnsi="Times New Roman" w:cs="Times New Roman"/>
          <w:sz w:val="24"/>
          <w:szCs w:val="24"/>
        </w:rPr>
        <w:t xml:space="preserve"> and prison </w:t>
      </w:r>
      <w:r>
        <w:rPr>
          <w:rFonts w:ascii="Times New Roman" w:eastAsia="Times New Roman" w:hAnsi="Times New Roman" w:cs="Times New Roman"/>
          <w:sz w:val="24"/>
          <w:szCs w:val="24"/>
        </w:rPr>
        <w:t>sentence</w:t>
      </w:r>
      <w:r w:rsidR="00FA00C0">
        <w:rPr>
          <w:rFonts w:ascii="Times New Roman" w:eastAsia="Times New Roman" w:hAnsi="Times New Roman" w:cs="Times New Roman"/>
          <w:sz w:val="24"/>
          <w:szCs w:val="24"/>
        </w:rPr>
        <w:t xml:space="preserve"> language</w:t>
      </w:r>
      <w:r>
        <w:rPr>
          <w:rFonts w:ascii="Times New Roman" w:eastAsia="Times New Roman" w:hAnsi="Times New Roman" w:cs="Times New Roman"/>
          <w:sz w:val="24"/>
          <w:szCs w:val="24"/>
        </w:rPr>
        <w:t xml:space="preserve"> (</w:t>
      </w:r>
      <w:r w:rsidR="00FA00C0">
        <w:rPr>
          <w:rFonts w:ascii="Times New Roman" w:eastAsia="Times New Roman" w:hAnsi="Times New Roman" w:cs="Times New Roman"/>
          <w:sz w:val="24"/>
          <w:szCs w:val="24"/>
        </w:rPr>
        <w:t>see</w:t>
      </w:r>
      <w:r>
        <w:rPr>
          <w:rFonts w:ascii="Times New Roman" w:eastAsia="Times New Roman" w:hAnsi="Times New Roman" w:cs="Times New Roman"/>
          <w:sz w:val="24"/>
          <w:szCs w:val="24"/>
        </w:rPr>
        <w:t xml:space="preserve"> </w:t>
      </w:r>
      <w:r w:rsidRPr="00832486">
        <w:rPr>
          <w:rFonts w:ascii="Times New Roman" w:hAnsi="Times New Roman" w:cs="Times New Roman"/>
          <w:sz w:val="24"/>
          <w:szCs w:val="24"/>
        </w:rPr>
        <w:t>M.G.L. c. 62C § 73 above).</w:t>
      </w:r>
    </w:p>
    <w:p w14:paraId="06683575" w14:textId="725E13DD" w:rsidR="00D056C7" w:rsidRDefault="00D056C7" w:rsidP="00D056C7">
      <w:pPr>
        <w:rPr>
          <w:rFonts w:ascii="Times New Roman" w:hAnsi="Times New Roman" w:cs="Times New Roman"/>
          <w:sz w:val="24"/>
          <w:szCs w:val="24"/>
        </w:rPr>
      </w:pPr>
    </w:p>
    <w:p w14:paraId="5A46D571" w14:textId="77777777" w:rsidR="00560635" w:rsidRDefault="00560635" w:rsidP="00D056C7">
      <w:pPr>
        <w:rPr>
          <w:rFonts w:ascii="Times New Roman" w:hAnsi="Times New Roman" w:cs="Times New Roman"/>
          <w:sz w:val="24"/>
          <w:szCs w:val="24"/>
        </w:rPr>
      </w:pPr>
    </w:p>
    <w:p w14:paraId="66D77F4D" w14:textId="4959E635" w:rsidR="00D056C7" w:rsidRPr="00D056C7" w:rsidRDefault="00832486" w:rsidP="00D056C7">
      <w:pPr>
        <w:rPr>
          <w:rFonts w:ascii="Times New Roman" w:hAnsi="Times New Roman" w:cs="Times New Roman"/>
          <w:sz w:val="24"/>
          <w:szCs w:val="24"/>
        </w:rPr>
      </w:pPr>
      <w:r w:rsidRPr="0064580D">
        <w:rPr>
          <w:rFonts w:ascii="Times New Roman" w:hAnsi="Times New Roman" w:cs="Times New Roman"/>
          <w:sz w:val="24"/>
          <w:szCs w:val="24"/>
          <w:u w:val="single"/>
        </w:rPr>
        <w:lastRenderedPageBreak/>
        <w:t>M.G.L. c. 6</w:t>
      </w:r>
      <w:r>
        <w:rPr>
          <w:rFonts w:ascii="Times New Roman" w:hAnsi="Times New Roman" w:cs="Times New Roman"/>
          <w:sz w:val="24"/>
          <w:szCs w:val="24"/>
          <w:u w:val="single"/>
        </w:rPr>
        <w:t>4</w:t>
      </w:r>
      <w:r w:rsidRPr="0064580D">
        <w:rPr>
          <w:rFonts w:ascii="Times New Roman" w:hAnsi="Times New Roman" w:cs="Times New Roman"/>
          <w:sz w:val="24"/>
          <w:szCs w:val="24"/>
          <w:u w:val="single"/>
        </w:rPr>
        <w:t>C §</w:t>
      </w:r>
      <w:r w:rsidRPr="00D056C7">
        <w:rPr>
          <w:rFonts w:ascii="Times New Roman" w:hAnsi="Times New Roman" w:cs="Times New Roman"/>
          <w:sz w:val="24"/>
          <w:szCs w:val="24"/>
          <w:u w:val="single"/>
        </w:rPr>
        <w:t xml:space="preserve"> </w:t>
      </w:r>
      <w:r w:rsidR="00D056C7" w:rsidRPr="00D056C7">
        <w:rPr>
          <w:rFonts w:ascii="Times New Roman" w:hAnsi="Times New Roman" w:cs="Times New Roman"/>
          <w:sz w:val="24"/>
          <w:szCs w:val="24"/>
          <w:u w:val="single"/>
        </w:rPr>
        <w:t>35 (Possession/Transportation of Unstamped Cigarettes)</w:t>
      </w:r>
      <w:r w:rsidR="00D056C7" w:rsidRPr="00D056C7">
        <w:rPr>
          <w:rFonts w:ascii="Times New Roman" w:hAnsi="Times New Roman" w:cs="Times New Roman"/>
          <w:sz w:val="24"/>
          <w:szCs w:val="24"/>
        </w:rPr>
        <w:t>:</w:t>
      </w:r>
    </w:p>
    <w:p w14:paraId="55C80E85" w14:textId="185E9D6D" w:rsidR="00832486" w:rsidRPr="00D056C7" w:rsidRDefault="00832486" w:rsidP="00832486">
      <w:pPr>
        <w:pStyle w:val="ListParagraph"/>
        <w:widowControl/>
        <w:numPr>
          <w:ilvl w:val="0"/>
          <w:numId w:val="25"/>
        </w:numPr>
        <w:rPr>
          <w:rFonts w:ascii="Times New Roman" w:eastAsia="Times New Roman" w:hAnsi="Times New Roman" w:cs="Times New Roman"/>
          <w:sz w:val="24"/>
          <w:szCs w:val="24"/>
        </w:rPr>
      </w:pPr>
      <w:r>
        <w:rPr>
          <w:rFonts w:ascii="Times New Roman" w:eastAsia="Times New Roman" w:hAnsi="Times New Roman" w:cs="Times New Roman"/>
          <w:sz w:val="24"/>
          <w:szCs w:val="24"/>
        </w:rPr>
        <w:t>Add</w:t>
      </w:r>
      <w:r w:rsidRPr="00D056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house of correction</w:t>
      </w:r>
      <w:r w:rsidRPr="00D056C7">
        <w:rPr>
          <w:rFonts w:ascii="Times New Roman" w:eastAsia="Times New Roman" w:hAnsi="Times New Roman" w:cs="Times New Roman"/>
          <w:sz w:val="24"/>
          <w:szCs w:val="24"/>
        </w:rPr>
        <w:t xml:space="preserve"> and prison </w:t>
      </w:r>
      <w:r>
        <w:rPr>
          <w:rFonts w:ascii="Times New Roman" w:eastAsia="Times New Roman" w:hAnsi="Times New Roman" w:cs="Times New Roman"/>
          <w:sz w:val="24"/>
          <w:szCs w:val="24"/>
        </w:rPr>
        <w:t>sentence</w:t>
      </w:r>
      <w:r w:rsidR="00FA00C0">
        <w:rPr>
          <w:rFonts w:ascii="Times New Roman" w:eastAsia="Times New Roman" w:hAnsi="Times New Roman" w:cs="Times New Roman"/>
          <w:sz w:val="24"/>
          <w:szCs w:val="24"/>
        </w:rPr>
        <w:t xml:space="preserve"> language</w:t>
      </w:r>
      <w:r>
        <w:rPr>
          <w:rFonts w:ascii="Times New Roman" w:eastAsia="Times New Roman" w:hAnsi="Times New Roman" w:cs="Times New Roman"/>
          <w:sz w:val="24"/>
          <w:szCs w:val="24"/>
        </w:rPr>
        <w:t xml:space="preserve"> (</w:t>
      </w:r>
      <w:r w:rsidR="00FA00C0">
        <w:rPr>
          <w:rFonts w:ascii="Times New Roman" w:eastAsia="Times New Roman" w:hAnsi="Times New Roman" w:cs="Times New Roman"/>
          <w:sz w:val="24"/>
          <w:szCs w:val="24"/>
        </w:rPr>
        <w:t>see</w:t>
      </w:r>
      <w:r>
        <w:rPr>
          <w:rFonts w:ascii="Times New Roman" w:eastAsia="Times New Roman" w:hAnsi="Times New Roman" w:cs="Times New Roman"/>
          <w:sz w:val="24"/>
          <w:szCs w:val="24"/>
        </w:rPr>
        <w:t xml:space="preserve"> </w:t>
      </w:r>
      <w:r w:rsidRPr="00832486">
        <w:rPr>
          <w:rFonts w:ascii="Times New Roman" w:hAnsi="Times New Roman" w:cs="Times New Roman"/>
          <w:sz w:val="24"/>
          <w:szCs w:val="24"/>
        </w:rPr>
        <w:t>M.G.L. c. 62C § 73 above).</w:t>
      </w:r>
    </w:p>
    <w:p w14:paraId="2D16CF8F" w14:textId="4FA60D02" w:rsidR="00D056C7" w:rsidRDefault="00D056C7" w:rsidP="00D056C7">
      <w:pPr>
        <w:rPr>
          <w:rFonts w:ascii="Times New Roman" w:hAnsi="Times New Roman" w:cs="Times New Roman"/>
          <w:sz w:val="24"/>
          <w:szCs w:val="24"/>
        </w:rPr>
      </w:pPr>
    </w:p>
    <w:p w14:paraId="5F257AC9" w14:textId="0ABCC2B4" w:rsidR="00D056C7" w:rsidRPr="00D056C7" w:rsidRDefault="00832486" w:rsidP="00D056C7">
      <w:pPr>
        <w:rPr>
          <w:rFonts w:ascii="Times New Roman" w:hAnsi="Times New Roman" w:cs="Times New Roman"/>
          <w:sz w:val="24"/>
          <w:szCs w:val="24"/>
        </w:rPr>
      </w:pPr>
      <w:r w:rsidRPr="0064580D">
        <w:rPr>
          <w:rFonts w:ascii="Times New Roman" w:hAnsi="Times New Roman" w:cs="Times New Roman"/>
          <w:sz w:val="24"/>
          <w:szCs w:val="24"/>
          <w:u w:val="single"/>
        </w:rPr>
        <w:t>M.G.L. c. 6</w:t>
      </w:r>
      <w:r>
        <w:rPr>
          <w:rFonts w:ascii="Times New Roman" w:hAnsi="Times New Roman" w:cs="Times New Roman"/>
          <w:sz w:val="24"/>
          <w:szCs w:val="24"/>
          <w:u w:val="single"/>
        </w:rPr>
        <w:t>4</w:t>
      </w:r>
      <w:r w:rsidRPr="0064580D">
        <w:rPr>
          <w:rFonts w:ascii="Times New Roman" w:hAnsi="Times New Roman" w:cs="Times New Roman"/>
          <w:sz w:val="24"/>
          <w:szCs w:val="24"/>
          <w:u w:val="single"/>
        </w:rPr>
        <w:t>C §</w:t>
      </w:r>
      <w:r w:rsidRPr="00D056C7">
        <w:rPr>
          <w:rFonts w:ascii="Times New Roman" w:hAnsi="Times New Roman" w:cs="Times New Roman"/>
          <w:sz w:val="24"/>
          <w:szCs w:val="24"/>
          <w:u w:val="single"/>
        </w:rPr>
        <w:t xml:space="preserve"> </w:t>
      </w:r>
      <w:r w:rsidR="00D056C7" w:rsidRPr="00D056C7">
        <w:rPr>
          <w:rFonts w:ascii="Times New Roman" w:hAnsi="Times New Roman" w:cs="Times New Roman"/>
          <w:sz w:val="24"/>
          <w:szCs w:val="24"/>
          <w:u w:val="single"/>
        </w:rPr>
        <w:t>38</w:t>
      </w:r>
      <w:r w:rsidR="00FB40BA">
        <w:rPr>
          <w:rFonts w:ascii="Times New Roman" w:hAnsi="Times New Roman" w:cs="Times New Roman"/>
          <w:sz w:val="24"/>
          <w:szCs w:val="24"/>
          <w:u w:val="single"/>
        </w:rPr>
        <w:t>A</w:t>
      </w:r>
      <w:r w:rsidR="00D056C7" w:rsidRPr="00D056C7">
        <w:rPr>
          <w:rFonts w:ascii="Times New Roman" w:hAnsi="Times New Roman" w:cs="Times New Roman"/>
          <w:sz w:val="24"/>
          <w:szCs w:val="24"/>
          <w:u w:val="single"/>
        </w:rPr>
        <w:t xml:space="preserve"> (Seizure/Forfeiture of Unstamped Cigarettes &amp; Smokeless Tobacco)</w:t>
      </w:r>
      <w:r w:rsidR="00D056C7" w:rsidRPr="00D056C7">
        <w:rPr>
          <w:rFonts w:ascii="Times New Roman" w:hAnsi="Times New Roman" w:cs="Times New Roman"/>
          <w:sz w:val="24"/>
          <w:szCs w:val="24"/>
        </w:rPr>
        <w:t>:</w:t>
      </w:r>
    </w:p>
    <w:p w14:paraId="3BE4690E" w14:textId="3D42717C" w:rsidR="00D056C7" w:rsidRPr="00D056C7" w:rsidRDefault="00D056C7" w:rsidP="00D056C7">
      <w:pPr>
        <w:pStyle w:val="ListParagraph"/>
        <w:widowControl/>
        <w:numPr>
          <w:ilvl w:val="0"/>
          <w:numId w:val="25"/>
        </w:numPr>
        <w:rPr>
          <w:rFonts w:ascii="Times New Roman" w:eastAsia="Times New Roman" w:hAnsi="Times New Roman" w:cs="Times New Roman"/>
          <w:sz w:val="24"/>
          <w:szCs w:val="24"/>
        </w:rPr>
      </w:pPr>
      <w:r w:rsidRPr="00D056C7">
        <w:rPr>
          <w:rFonts w:ascii="Times New Roman" w:eastAsia="Times New Roman" w:hAnsi="Times New Roman" w:cs="Times New Roman"/>
          <w:sz w:val="24"/>
          <w:szCs w:val="24"/>
        </w:rPr>
        <w:t xml:space="preserve">Add records </w:t>
      </w:r>
      <w:r w:rsidR="00832486">
        <w:rPr>
          <w:rFonts w:ascii="Times New Roman" w:eastAsia="Times New Roman" w:hAnsi="Times New Roman" w:cs="Times New Roman"/>
          <w:sz w:val="24"/>
          <w:szCs w:val="24"/>
        </w:rPr>
        <w:t>as an item</w:t>
      </w:r>
      <w:r w:rsidRPr="00D056C7">
        <w:rPr>
          <w:rFonts w:ascii="Times New Roman" w:eastAsia="Times New Roman" w:hAnsi="Times New Roman" w:cs="Times New Roman"/>
          <w:sz w:val="24"/>
          <w:szCs w:val="24"/>
        </w:rPr>
        <w:t xml:space="preserve"> to be seized in addition to untaxed cigarettes &amp; smokeless tobacco</w:t>
      </w:r>
      <w:r w:rsidR="00832486">
        <w:rPr>
          <w:rFonts w:ascii="Times New Roman" w:eastAsia="Times New Roman" w:hAnsi="Times New Roman" w:cs="Times New Roman"/>
          <w:sz w:val="24"/>
          <w:szCs w:val="24"/>
        </w:rPr>
        <w:t>.</w:t>
      </w:r>
    </w:p>
    <w:p w14:paraId="09FD560F" w14:textId="56DB3C03" w:rsidR="00D056C7" w:rsidRPr="00D056C7" w:rsidRDefault="00D056C7" w:rsidP="00D056C7">
      <w:pPr>
        <w:pStyle w:val="BodyText"/>
        <w:ind w:left="0" w:right="113" w:firstLine="720"/>
        <w:jc w:val="both"/>
        <w:rPr>
          <w:rFonts w:cs="Times New Roman"/>
        </w:rPr>
      </w:pPr>
    </w:p>
    <w:p w14:paraId="6080B92B" w14:textId="520A1DC6" w:rsidR="00E327D9" w:rsidRDefault="00E327D9" w:rsidP="008E43BA">
      <w:pPr>
        <w:pStyle w:val="BodyText"/>
        <w:ind w:left="0" w:right="113" w:firstLine="720"/>
        <w:jc w:val="both"/>
      </w:pPr>
      <w:r>
        <w:t xml:space="preserve">The </w:t>
      </w:r>
      <w:r w:rsidR="00774ACC">
        <w:t xml:space="preserve">Task Force </w:t>
      </w:r>
      <w:r w:rsidR="00855623">
        <w:t>finds</w:t>
      </w:r>
      <w:r w:rsidR="00774ACC">
        <w:t xml:space="preserve"> that the above legislative recommendations </w:t>
      </w:r>
      <w:r w:rsidR="00855623">
        <w:t>are necessary so the</w:t>
      </w:r>
      <w:r w:rsidR="00774ACC">
        <w:t xml:space="preserve"> Task Force</w:t>
      </w:r>
      <w:r w:rsidR="00855623">
        <w:t xml:space="preserve"> can effectively </w:t>
      </w:r>
      <w:r>
        <w:t>disrupt</w:t>
      </w:r>
      <w:r w:rsidR="00774ACC">
        <w:t xml:space="preserve"> </w:t>
      </w:r>
      <w:r>
        <w:t xml:space="preserve">illegal </w:t>
      </w:r>
      <w:r w:rsidR="00774ACC">
        <w:t xml:space="preserve">tobacco trafficking and </w:t>
      </w:r>
      <w:r w:rsidR="00333E9B">
        <w:t>reduce</w:t>
      </w:r>
      <w:r w:rsidR="00C650A6">
        <w:t>,</w:t>
      </w:r>
      <w:r w:rsidR="004919B3">
        <w:t xml:space="preserve"> as well as recover</w:t>
      </w:r>
      <w:r w:rsidR="00C650A6">
        <w:t>,</w:t>
      </w:r>
      <w:r w:rsidR="004919B3">
        <w:t xml:space="preserve"> </w:t>
      </w:r>
      <w:r w:rsidR="00333E9B">
        <w:t>lost revenue</w:t>
      </w:r>
      <w:r>
        <w:t>.</w:t>
      </w:r>
    </w:p>
    <w:p w14:paraId="23C17EFA" w14:textId="77777777" w:rsidR="00A70EDC" w:rsidRDefault="00A70EDC" w:rsidP="008E43BA">
      <w:pPr>
        <w:pStyle w:val="BodyText"/>
        <w:ind w:left="0" w:right="113" w:firstLine="720"/>
        <w:jc w:val="both"/>
      </w:pPr>
    </w:p>
    <w:p w14:paraId="454C8F12" w14:textId="77777777" w:rsidR="00E327D9" w:rsidRPr="00A77A0B" w:rsidRDefault="00E327D9" w:rsidP="00FB6AAA">
      <w:pPr>
        <w:pStyle w:val="Heading1"/>
        <w:tabs>
          <w:tab w:val="left" w:pos="860"/>
        </w:tabs>
        <w:spacing w:before="0"/>
        <w:ind w:left="720" w:firstLine="0"/>
        <w:rPr>
          <w:b w:val="0"/>
          <w:bCs w:val="0"/>
        </w:rPr>
      </w:pPr>
      <w:bookmarkStart w:id="37" w:name="_Toc1574828"/>
      <w:r>
        <w:t>V.</w:t>
      </w:r>
      <w:r>
        <w:tab/>
        <w:t>Anticipated Barriers</w:t>
      </w:r>
      <w:bookmarkEnd w:id="37"/>
    </w:p>
    <w:p w14:paraId="25198753" w14:textId="77777777" w:rsidR="00E327D9" w:rsidRPr="00A85FE0" w:rsidRDefault="00E327D9" w:rsidP="00FB6AAA">
      <w:pPr>
        <w:pStyle w:val="BodyText"/>
        <w:ind w:left="0" w:right="113"/>
        <w:jc w:val="both"/>
      </w:pPr>
    </w:p>
    <w:p w14:paraId="248C077A" w14:textId="37AA38E4" w:rsidR="00FB5931" w:rsidRPr="00FB5931" w:rsidRDefault="005760C6" w:rsidP="00FB5931">
      <w:pPr>
        <w:pStyle w:val="BodyText"/>
        <w:ind w:left="0" w:right="114" w:firstLine="720"/>
        <w:jc w:val="both"/>
        <w:rPr>
          <w:rFonts w:cs="Times New Roman"/>
          <w:color w:val="333333"/>
          <w:shd w:val="clear" w:color="auto" w:fill="FFFFFF"/>
        </w:rPr>
      </w:pPr>
      <w:r>
        <w:t xml:space="preserve">The Task Force </w:t>
      </w:r>
      <w:r w:rsidR="006A6980">
        <w:t>is</w:t>
      </w:r>
      <w:r>
        <w:t xml:space="preserve"> committed to a whole-of-government approach to </w:t>
      </w:r>
      <w:r w:rsidR="003878E6">
        <w:t>carry out its mandate to</w:t>
      </w:r>
      <w:r w:rsidR="00AC725D">
        <w:t xml:space="preserve"> enforce the tobacco tax laws, collect revenue, and help protect the health and safety of </w:t>
      </w:r>
      <w:r>
        <w:t>the citizens of the Commonwealth.</w:t>
      </w:r>
      <w:r w:rsidR="003878E6">
        <w:t xml:space="preserve"> However, there </w:t>
      </w:r>
      <w:r w:rsidR="00007B30">
        <w:t>remain</w:t>
      </w:r>
      <w:r w:rsidR="003878E6">
        <w:t xml:space="preserve"> several administrative and legal barriers </w:t>
      </w:r>
      <w:r w:rsidR="006A6980">
        <w:t>which continue to hinder the Task Forc</w:t>
      </w:r>
      <w:r w:rsidR="003878E6">
        <w:t>e</w:t>
      </w:r>
      <w:r w:rsidR="006A6980">
        <w:t xml:space="preserve">’s ability to carry out its mandate. The administrative barriers </w:t>
      </w:r>
      <w:r w:rsidR="00007B30">
        <w:t>with</w:t>
      </w:r>
      <w:r w:rsidR="006A6980">
        <w:t xml:space="preserve"> civil </w:t>
      </w:r>
      <w:r w:rsidR="00007B30">
        <w:t xml:space="preserve">enforcement </w:t>
      </w:r>
      <w:r w:rsidR="006A6980">
        <w:t>relate to challenges with inspection authority, licensing, and penalties</w:t>
      </w:r>
      <w:r w:rsidR="00212B34">
        <w:t xml:space="preserve"> </w:t>
      </w:r>
      <w:r w:rsidR="006A6980">
        <w:t xml:space="preserve">while the challenges </w:t>
      </w:r>
      <w:r w:rsidR="00007B30">
        <w:t>with criminal enforcement</w:t>
      </w:r>
      <w:r w:rsidR="006A6980">
        <w:t xml:space="preserve"> relate to jurisdiction, legal authority, an</w:t>
      </w:r>
      <w:r w:rsidR="00007B30">
        <w:t>d</w:t>
      </w:r>
      <w:r w:rsidR="006A6980">
        <w:t xml:space="preserve"> prosecution. </w:t>
      </w:r>
      <w:r w:rsidR="00007B30">
        <w:t>The Task Force, through discussion of feedback from the member agencies and the public, has identified s</w:t>
      </w:r>
      <w:r w:rsidR="006A6980">
        <w:t>olution</w:t>
      </w:r>
      <w:r w:rsidR="00007B30">
        <w:t>s</w:t>
      </w:r>
      <w:r w:rsidR="004E4522">
        <w:t>, noted above in Section IV Legislative Proposals,</w:t>
      </w:r>
      <w:r w:rsidR="006A6980">
        <w:t xml:space="preserve"> to help </w:t>
      </w:r>
      <w:r w:rsidR="004E4522" w:rsidRPr="00BD36C7">
        <w:rPr>
          <w:rFonts w:cs="Times New Roman"/>
        </w:rPr>
        <w:t>“</w:t>
      </w:r>
      <w:r w:rsidR="004E4522" w:rsidRPr="00BD36C7">
        <w:rPr>
          <w:rFonts w:cs="Times New Roman"/>
          <w:color w:val="333333"/>
          <w:shd w:val="clear" w:color="auto" w:fill="FFFFFF"/>
        </w:rPr>
        <w:t>strengthen operations and enforcement efforts and reduce or eliminate any impediments to those efforts</w:t>
      </w:r>
      <w:r w:rsidR="004E4522">
        <w:rPr>
          <w:rFonts w:cs="Times New Roman"/>
          <w:color w:val="333333"/>
          <w:shd w:val="clear" w:color="auto" w:fill="FFFFFF"/>
        </w:rPr>
        <w:t>.”</w:t>
      </w:r>
      <w:r w:rsidR="00FB5931">
        <w:rPr>
          <w:rStyle w:val="FootnoteReference"/>
          <w:rFonts w:cs="Times New Roman"/>
          <w:color w:val="333333"/>
          <w:shd w:val="clear" w:color="auto" w:fill="FFFFFF"/>
        </w:rPr>
        <w:footnoteReference w:id="30"/>
      </w:r>
      <w:r w:rsidR="004E4522">
        <w:rPr>
          <w:rFonts w:cs="Times New Roman"/>
          <w:color w:val="333333"/>
          <w:shd w:val="clear" w:color="auto" w:fill="FFFFFF"/>
        </w:rPr>
        <w:t xml:space="preserve"> </w:t>
      </w:r>
      <w:r w:rsidR="00FB5931" w:rsidRPr="00FB5931">
        <w:rPr>
          <w:rFonts w:cs="Times New Roman"/>
          <w:color w:val="333333"/>
          <w:shd w:val="clear" w:color="auto" w:fill="FFFFFF"/>
        </w:rPr>
        <w:t>The Task Force asks that the legislature consider the above proposals to help remove some of the barriers to effective tobacco regulation and enforcement.</w:t>
      </w:r>
    </w:p>
    <w:p w14:paraId="196AE3DF" w14:textId="77777777" w:rsidR="00576082" w:rsidRDefault="00576082" w:rsidP="00FB6AAA">
      <w:pPr>
        <w:pStyle w:val="BodyText"/>
        <w:ind w:left="0" w:right="115" w:firstLine="720"/>
        <w:jc w:val="both"/>
      </w:pPr>
    </w:p>
    <w:p w14:paraId="1EC7D1E4" w14:textId="77777777" w:rsidR="00E327D9" w:rsidRPr="00A77A0B" w:rsidRDefault="00E327D9" w:rsidP="00FB6AAA">
      <w:pPr>
        <w:pStyle w:val="Heading1"/>
        <w:tabs>
          <w:tab w:val="left" w:pos="860"/>
        </w:tabs>
        <w:spacing w:before="0"/>
        <w:ind w:left="720" w:firstLine="0"/>
        <w:rPr>
          <w:b w:val="0"/>
          <w:bCs w:val="0"/>
        </w:rPr>
      </w:pPr>
      <w:bookmarkStart w:id="38" w:name="_Toc1574829"/>
      <w:r>
        <w:t>VI.</w:t>
      </w:r>
      <w:r>
        <w:tab/>
      </w:r>
      <w:r w:rsidRPr="00A77A0B">
        <w:t>Conclusion and Next Steps</w:t>
      </w:r>
      <w:bookmarkEnd w:id="38"/>
    </w:p>
    <w:p w14:paraId="72CBD917" w14:textId="77777777" w:rsidR="00E327D9" w:rsidRPr="00A77A0B" w:rsidRDefault="00E327D9" w:rsidP="00FB6AAA">
      <w:pPr>
        <w:pStyle w:val="BodyText"/>
        <w:ind w:right="115" w:firstLine="360"/>
        <w:jc w:val="both"/>
      </w:pPr>
    </w:p>
    <w:p w14:paraId="11F01386" w14:textId="6A7731C1" w:rsidR="00ED4659" w:rsidRDefault="00E327D9" w:rsidP="00FB6AAA">
      <w:pPr>
        <w:pStyle w:val="BodyText"/>
        <w:ind w:left="0" w:right="115" w:firstLine="720"/>
        <w:jc w:val="both"/>
      </w:pPr>
      <w:r>
        <w:t xml:space="preserve">Over the past year, the Task Force has successfully built upon the foundation it established with federal, </w:t>
      </w:r>
      <w:r w:rsidR="00464AA7">
        <w:t>state,</w:t>
      </w:r>
      <w:r>
        <w:t xml:space="preserve"> and local law enforcement partners </w:t>
      </w:r>
      <w:r w:rsidR="00CB3D92">
        <w:t>since</w:t>
      </w:r>
      <w:r>
        <w:t xml:space="preserve"> its creation in 2015. While </w:t>
      </w:r>
      <w:r w:rsidR="004715C3">
        <w:t xml:space="preserve">there are still challenges </w:t>
      </w:r>
      <w:r w:rsidR="00037CE0">
        <w:t>related to</w:t>
      </w:r>
      <w:r>
        <w:t xml:space="preserve"> </w:t>
      </w:r>
      <w:r w:rsidR="00037CE0">
        <w:t xml:space="preserve">changes needed to the tobacco regulations and laws, the </w:t>
      </w:r>
      <w:r w:rsidR="004715C3">
        <w:t>disposal of ENDS</w:t>
      </w:r>
      <w:r w:rsidR="00037CE0">
        <w:t>, and the ongoing coordination of limited resources, the</w:t>
      </w:r>
      <w:r>
        <w:t xml:space="preserve"> Task Force remains </w:t>
      </w:r>
      <w:r w:rsidR="003633AF">
        <w:t>committed to effectively combatting the problems associated with tobacco smuggling.</w:t>
      </w:r>
    </w:p>
    <w:sectPr w:rsidR="00ED4659" w:rsidSect="00733D84">
      <w:footerReference w:type="default" r:id="rId9"/>
      <w:pgSz w:w="12240" w:h="15840"/>
      <w:pgMar w:top="1080" w:right="1224" w:bottom="1224" w:left="1224" w:header="0" w:footer="1022" w:gutter="0"/>
      <w:pgNumType w:start="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75446" w14:textId="77777777" w:rsidR="006F7594" w:rsidRDefault="006F7594" w:rsidP="00E327D9">
      <w:r>
        <w:separator/>
      </w:r>
    </w:p>
  </w:endnote>
  <w:endnote w:type="continuationSeparator" w:id="0">
    <w:p w14:paraId="5D445EB4" w14:textId="77777777" w:rsidR="006F7594" w:rsidRDefault="006F7594" w:rsidP="00E32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A65BE" w14:textId="0F409EA9" w:rsidR="00C9632A" w:rsidRPr="0060383E" w:rsidRDefault="00C9632A" w:rsidP="00B874BA">
    <w:pPr>
      <w:pStyle w:val="Footer"/>
      <w:rPr>
        <w:rFonts w:ascii="Times New Roman" w:hAnsi="Times New Roman" w:cs="Times New Roman"/>
        <w:b/>
        <w:bCs/>
        <w:sz w:val="20"/>
        <w:szCs w:val="20"/>
      </w:rPr>
    </w:pPr>
    <w:r w:rsidRPr="0060383E">
      <w:rPr>
        <w:rFonts w:ascii="Times New Roman" w:hAnsi="Times New Roman" w:cs="Times New Roman"/>
        <w:b/>
        <w:bCs/>
        <w:spacing w:val="60"/>
        <w:sz w:val="20"/>
        <w:szCs w:val="20"/>
      </w:rPr>
      <w:t>Page</w:t>
    </w:r>
    <w:r w:rsidRPr="0060383E">
      <w:rPr>
        <w:rFonts w:ascii="Times New Roman" w:hAnsi="Times New Roman" w:cs="Times New Roman"/>
        <w:b/>
        <w:bCs/>
        <w:sz w:val="20"/>
        <w:szCs w:val="20"/>
      </w:rPr>
      <w:t xml:space="preserve"> | </w:t>
    </w:r>
    <w:r w:rsidRPr="0060383E">
      <w:rPr>
        <w:rFonts w:ascii="Times New Roman" w:hAnsi="Times New Roman" w:cs="Times New Roman"/>
        <w:b/>
        <w:bCs/>
        <w:sz w:val="20"/>
        <w:szCs w:val="20"/>
      </w:rPr>
      <w:fldChar w:fldCharType="begin"/>
    </w:r>
    <w:r w:rsidRPr="0060383E">
      <w:rPr>
        <w:rFonts w:ascii="Times New Roman" w:hAnsi="Times New Roman" w:cs="Times New Roman"/>
        <w:b/>
        <w:bCs/>
        <w:sz w:val="20"/>
        <w:szCs w:val="20"/>
      </w:rPr>
      <w:instrText xml:space="preserve"> PAGE   \* MERGEFORMAT </w:instrText>
    </w:r>
    <w:r w:rsidRPr="0060383E">
      <w:rPr>
        <w:rFonts w:ascii="Times New Roman" w:hAnsi="Times New Roman" w:cs="Times New Roman"/>
        <w:b/>
        <w:bCs/>
        <w:sz w:val="20"/>
        <w:szCs w:val="20"/>
      </w:rPr>
      <w:fldChar w:fldCharType="separate"/>
    </w:r>
    <w:r w:rsidRPr="0060383E">
      <w:rPr>
        <w:rFonts w:ascii="Times New Roman" w:hAnsi="Times New Roman" w:cs="Times New Roman"/>
        <w:b/>
        <w:bCs/>
        <w:noProof/>
        <w:sz w:val="20"/>
        <w:szCs w:val="20"/>
      </w:rPr>
      <w:t>1</w:t>
    </w:r>
    <w:r w:rsidRPr="0060383E">
      <w:rPr>
        <w:rFonts w:ascii="Times New Roman" w:hAnsi="Times New Roman" w:cs="Times New Roman"/>
        <w:b/>
        <w:bCs/>
        <w:noProof/>
        <w:sz w:val="20"/>
        <w:szCs w:val="20"/>
      </w:rPr>
      <w:fldChar w:fldCharType="end"/>
    </w:r>
  </w:p>
  <w:p w14:paraId="38B2A1F4" w14:textId="00E4D367" w:rsidR="00C9632A" w:rsidRDefault="00C9632A">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862087538"/>
      <w:docPartObj>
        <w:docPartGallery w:val="Page Numbers (Bottom of Page)"/>
        <w:docPartUnique/>
      </w:docPartObj>
    </w:sdtPr>
    <w:sdtEndPr>
      <w:rPr>
        <w:noProof/>
      </w:rPr>
    </w:sdtEndPr>
    <w:sdtContent>
      <w:p w14:paraId="06A797C0" w14:textId="3B86A543" w:rsidR="00C9632A" w:rsidRPr="00CB5635" w:rsidRDefault="00C9632A">
        <w:pPr>
          <w:pStyle w:val="Footer"/>
          <w:rPr>
            <w:rFonts w:ascii="Times New Roman" w:hAnsi="Times New Roman" w:cs="Times New Roman"/>
          </w:rPr>
        </w:pPr>
        <w:r w:rsidRPr="00CB5635">
          <w:rPr>
            <w:rFonts w:ascii="Times New Roman" w:hAnsi="Times New Roman" w:cs="Times New Roman"/>
          </w:rPr>
          <w:t xml:space="preserve">Page | </w:t>
        </w:r>
        <w:r w:rsidRPr="00CB5635">
          <w:rPr>
            <w:rFonts w:ascii="Times New Roman" w:hAnsi="Times New Roman" w:cs="Times New Roman"/>
          </w:rPr>
          <w:fldChar w:fldCharType="begin"/>
        </w:r>
        <w:r w:rsidRPr="00CB5635">
          <w:rPr>
            <w:rFonts w:ascii="Times New Roman" w:hAnsi="Times New Roman" w:cs="Times New Roman"/>
          </w:rPr>
          <w:instrText xml:space="preserve"> PAGE   \* MERGEFORMAT </w:instrText>
        </w:r>
        <w:r w:rsidRPr="00CB5635">
          <w:rPr>
            <w:rFonts w:ascii="Times New Roman" w:hAnsi="Times New Roman" w:cs="Times New Roman"/>
          </w:rPr>
          <w:fldChar w:fldCharType="separate"/>
        </w:r>
        <w:r w:rsidRPr="00CB5635">
          <w:rPr>
            <w:rFonts w:ascii="Times New Roman" w:hAnsi="Times New Roman" w:cs="Times New Roman"/>
            <w:noProof/>
          </w:rPr>
          <w:t>2</w:t>
        </w:r>
        <w:r w:rsidRPr="00CB5635">
          <w:rPr>
            <w:rFonts w:ascii="Times New Roman" w:hAnsi="Times New Roman" w:cs="Times New Roman"/>
            <w:noProof/>
          </w:rPr>
          <w:fldChar w:fldCharType="end"/>
        </w:r>
      </w:p>
    </w:sdtContent>
  </w:sdt>
  <w:p w14:paraId="4F3AAA34" w14:textId="77777777" w:rsidR="00C9632A" w:rsidRDefault="00C9632A">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3B178" w14:textId="77777777" w:rsidR="006F7594" w:rsidRDefault="006F7594" w:rsidP="00E327D9">
      <w:r>
        <w:separator/>
      </w:r>
    </w:p>
  </w:footnote>
  <w:footnote w:type="continuationSeparator" w:id="0">
    <w:p w14:paraId="3B039E7B" w14:textId="77777777" w:rsidR="006F7594" w:rsidRDefault="006F7594" w:rsidP="00E327D9">
      <w:r>
        <w:continuationSeparator/>
      </w:r>
    </w:p>
  </w:footnote>
  <w:footnote w:id="1">
    <w:p w14:paraId="3A267C8E" w14:textId="1CB5CB2A" w:rsidR="00C9632A" w:rsidRPr="00733D84" w:rsidRDefault="00C9632A" w:rsidP="00E327D9">
      <w:pPr>
        <w:pStyle w:val="FootnoteText"/>
        <w:ind w:right="170"/>
        <w:rPr>
          <w:rFonts w:ascii="Times New Roman" w:hAnsi="Times New Roman" w:cs="Times New Roman"/>
          <w:sz w:val="18"/>
          <w:szCs w:val="18"/>
        </w:rPr>
      </w:pPr>
      <w:r w:rsidRPr="00733D84">
        <w:rPr>
          <w:rStyle w:val="FootnoteReference"/>
          <w:rFonts w:ascii="Times New Roman" w:hAnsi="Times New Roman" w:cs="Times New Roman"/>
          <w:sz w:val="18"/>
          <w:szCs w:val="18"/>
        </w:rPr>
        <w:footnoteRef/>
      </w:r>
      <w:r w:rsidRPr="00733D84">
        <w:rPr>
          <w:rFonts w:ascii="Times New Roman" w:hAnsi="Times New Roman" w:cs="Times New Roman"/>
          <w:sz w:val="18"/>
          <w:szCs w:val="18"/>
        </w:rPr>
        <w:t xml:space="preserve">  St. 2015, c. 46, § 71; M.G.L. c. 64C § 40.</w:t>
      </w:r>
    </w:p>
    <w:p w14:paraId="71852AF3" w14:textId="77777777" w:rsidR="00C9632A" w:rsidRPr="00733D84" w:rsidRDefault="00C9632A" w:rsidP="00E327D9">
      <w:pPr>
        <w:pStyle w:val="FootnoteText"/>
        <w:rPr>
          <w:rFonts w:ascii="Times New Roman" w:hAnsi="Times New Roman" w:cs="Times New Roman"/>
          <w:sz w:val="18"/>
          <w:szCs w:val="18"/>
        </w:rPr>
      </w:pPr>
    </w:p>
  </w:footnote>
  <w:footnote w:id="2">
    <w:p w14:paraId="1CCDA48A" w14:textId="053FC262" w:rsidR="00C9632A" w:rsidRPr="00733D84" w:rsidRDefault="00C9632A" w:rsidP="00E327D9">
      <w:pPr>
        <w:pStyle w:val="FootnoteText"/>
        <w:rPr>
          <w:rFonts w:ascii="Times New Roman" w:hAnsi="Times New Roman" w:cs="Times New Roman"/>
          <w:sz w:val="18"/>
          <w:szCs w:val="18"/>
        </w:rPr>
      </w:pPr>
      <w:r w:rsidRPr="00733D84">
        <w:rPr>
          <w:rStyle w:val="FootnoteReference"/>
          <w:rFonts w:ascii="Times New Roman" w:hAnsi="Times New Roman" w:cs="Times New Roman"/>
          <w:sz w:val="18"/>
          <w:szCs w:val="18"/>
        </w:rPr>
        <w:footnoteRef/>
      </w:r>
      <w:r w:rsidRPr="00733D84">
        <w:rPr>
          <w:rFonts w:ascii="Times New Roman" w:hAnsi="Times New Roman" w:cs="Times New Roman"/>
          <w:sz w:val="18"/>
          <w:szCs w:val="18"/>
        </w:rPr>
        <w:t xml:space="preserve"> M.G.L. c. 64C § 40(a).</w:t>
      </w:r>
    </w:p>
    <w:p w14:paraId="70FCB1E0" w14:textId="77777777" w:rsidR="00733D84" w:rsidRPr="00733D84" w:rsidRDefault="00733D84" w:rsidP="00E327D9">
      <w:pPr>
        <w:pStyle w:val="FootnoteText"/>
        <w:rPr>
          <w:rFonts w:ascii="Times New Roman" w:hAnsi="Times New Roman" w:cs="Times New Roman"/>
          <w:sz w:val="18"/>
          <w:szCs w:val="18"/>
        </w:rPr>
      </w:pPr>
    </w:p>
  </w:footnote>
  <w:footnote w:id="3">
    <w:p w14:paraId="182E0A24" w14:textId="77777777" w:rsidR="00C9632A" w:rsidRPr="00733D84" w:rsidRDefault="00C9632A" w:rsidP="00183537">
      <w:pPr>
        <w:pStyle w:val="FootnoteText"/>
        <w:rPr>
          <w:rFonts w:ascii="Times New Roman" w:hAnsi="Times New Roman" w:cs="Times New Roman"/>
          <w:sz w:val="18"/>
          <w:szCs w:val="18"/>
        </w:rPr>
      </w:pPr>
      <w:r w:rsidRPr="00733D84">
        <w:rPr>
          <w:rStyle w:val="FootnoteReference"/>
          <w:rFonts w:ascii="Times New Roman" w:hAnsi="Times New Roman" w:cs="Times New Roman"/>
          <w:sz w:val="18"/>
          <w:szCs w:val="18"/>
        </w:rPr>
        <w:footnoteRef/>
      </w:r>
      <w:r w:rsidRPr="00733D84">
        <w:rPr>
          <w:rFonts w:ascii="Times New Roman" w:hAnsi="Times New Roman" w:cs="Times New Roman"/>
          <w:sz w:val="18"/>
          <w:szCs w:val="18"/>
        </w:rPr>
        <w:t xml:space="preserve"> M.G.L. c. 64C, § 40(b).</w:t>
      </w:r>
    </w:p>
    <w:p w14:paraId="3947CFE9" w14:textId="77777777" w:rsidR="00C9632A" w:rsidRPr="00C07DB4" w:rsidRDefault="00C9632A" w:rsidP="00183537">
      <w:pPr>
        <w:pStyle w:val="FootnoteText"/>
        <w:rPr>
          <w:rFonts w:ascii="Times New Roman" w:hAnsi="Times New Roman" w:cs="Times New Roman"/>
          <w:sz w:val="18"/>
          <w:szCs w:val="18"/>
        </w:rPr>
      </w:pPr>
    </w:p>
  </w:footnote>
  <w:footnote w:id="4">
    <w:p w14:paraId="12FFE667" w14:textId="77777777" w:rsidR="00C9632A" w:rsidRPr="004262E0" w:rsidRDefault="00C9632A" w:rsidP="00183537">
      <w:pPr>
        <w:pStyle w:val="FootnoteText"/>
        <w:ind w:right="80"/>
        <w:rPr>
          <w:rFonts w:ascii="Times New Roman" w:hAnsi="Times New Roman" w:cs="Times New Roman"/>
          <w:sz w:val="18"/>
          <w:szCs w:val="18"/>
        </w:rPr>
      </w:pPr>
      <w:r w:rsidRPr="004262E0">
        <w:rPr>
          <w:rStyle w:val="FootnoteReference"/>
          <w:rFonts w:ascii="Times New Roman" w:hAnsi="Times New Roman" w:cs="Times New Roman"/>
          <w:i/>
          <w:sz w:val="18"/>
          <w:szCs w:val="18"/>
        </w:rPr>
        <w:footnoteRef/>
      </w:r>
      <w:r w:rsidRPr="004262E0">
        <w:rPr>
          <w:rFonts w:ascii="Times New Roman" w:hAnsi="Times New Roman" w:cs="Times New Roman"/>
          <w:i/>
          <w:sz w:val="18"/>
          <w:szCs w:val="18"/>
        </w:rPr>
        <w:t xml:space="preserve">  </w:t>
      </w:r>
      <w:r w:rsidRPr="004262E0">
        <w:rPr>
          <w:rFonts w:ascii="Times New Roman" w:hAnsi="Times New Roman" w:cs="Times New Roman"/>
          <w:sz w:val="18"/>
          <w:szCs w:val="18"/>
        </w:rPr>
        <w:t>St. 2015, c. 46, § 71; M.G.L. c. 64C, § 40.</w:t>
      </w:r>
    </w:p>
    <w:p w14:paraId="7E36BF34" w14:textId="77777777" w:rsidR="00C9632A" w:rsidRPr="004262E0" w:rsidRDefault="00C9632A" w:rsidP="00183537">
      <w:pPr>
        <w:pStyle w:val="FootnoteText"/>
        <w:ind w:right="80"/>
        <w:rPr>
          <w:rFonts w:ascii="Times New Roman" w:hAnsi="Times New Roman" w:cs="Times New Roman"/>
          <w:iCs/>
          <w:sz w:val="18"/>
          <w:szCs w:val="18"/>
        </w:rPr>
      </w:pPr>
    </w:p>
  </w:footnote>
  <w:footnote w:id="5">
    <w:p w14:paraId="15521A2A" w14:textId="77777777" w:rsidR="00C9632A" w:rsidRPr="004262E0" w:rsidRDefault="00C9632A" w:rsidP="00183537">
      <w:pPr>
        <w:pStyle w:val="FootnoteText"/>
        <w:ind w:right="80"/>
        <w:rPr>
          <w:rFonts w:ascii="Times New Roman" w:hAnsi="Times New Roman" w:cs="Times New Roman"/>
          <w:i/>
          <w:sz w:val="18"/>
          <w:szCs w:val="18"/>
        </w:rPr>
      </w:pPr>
      <w:r w:rsidRPr="004262E0">
        <w:rPr>
          <w:rStyle w:val="FootnoteReference"/>
          <w:rFonts w:ascii="Times New Roman" w:hAnsi="Times New Roman" w:cs="Times New Roman"/>
          <w:sz w:val="18"/>
          <w:szCs w:val="18"/>
        </w:rPr>
        <w:footnoteRef/>
      </w:r>
      <w:r w:rsidRPr="004262E0">
        <w:rPr>
          <w:rFonts w:ascii="Times New Roman" w:hAnsi="Times New Roman" w:cs="Times New Roman"/>
          <w:sz w:val="18"/>
          <w:szCs w:val="18"/>
        </w:rPr>
        <w:t xml:space="preserve">  </w:t>
      </w:r>
      <w:r w:rsidRPr="004262E0">
        <w:rPr>
          <w:rFonts w:ascii="Times New Roman" w:hAnsi="Times New Roman" w:cs="Times New Roman"/>
          <w:i/>
          <w:sz w:val="18"/>
          <w:szCs w:val="18"/>
        </w:rPr>
        <w:t>Id.</w:t>
      </w:r>
    </w:p>
    <w:p w14:paraId="09C282DF" w14:textId="77777777" w:rsidR="00C9632A" w:rsidRPr="004262E0" w:rsidRDefault="00C9632A" w:rsidP="00183537">
      <w:pPr>
        <w:pStyle w:val="FootnoteText"/>
        <w:ind w:right="80"/>
        <w:rPr>
          <w:rFonts w:ascii="Times New Roman" w:hAnsi="Times New Roman" w:cs="Times New Roman"/>
          <w:sz w:val="18"/>
          <w:szCs w:val="18"/>
        </w:rPr>
      </w:pPr>
    </w:p>
  </w:footnote>
  <w:footnote w:id="6">
    <w:p w14:paraId="138DF607" w14:textId="5CCC7894" w:rsidR="00C9632A" w:rsidRPr="004262E0" w:rsidRDefault="00C9632A" w:rsidP="00F46C6E">
      <w:pPr>
        <w:pStyle w:val="FootnoteText"/>
        <w:ind w:right="80"/>
        <w:rPr>
          <w:rFonts w:ascii="Times New Roman" w:hAnsi="Times New Roman" w:cs="Times New Roman"/>
          <w:sz w:val="18"/>
          <w:szCs w:val="18"/>
        </w:rPr>
      </w:pPr>
      <w:r w:rsidRPr="004262E0">
        <w:rPr>
          <w:rStyle w:val="FootnoteReference"/>
          <w:rFonts w:ascii="Times New Roman" w:hAnsi="Times New Roman" w:cs="Times New Roman"/>
          <w:sz w:val="18"/>
          <w:szCs w:val="18"/>
        </w:rPr>
        <w:footnoteRef/>
      </w:r>
      <w:r w:rsidRPr="004262E0">
        <w:rPr>
          <w:rFonts w:ascii="Times New Roman" w:hAnsi="Times New Roman" w:cs="Times New Roman"/>
          <w:sz w:val="18"/>
          <w:szCs w:val="18"/>
        </w:rPr>
        <w:t xml:space="preserve"> </w:t>
      </w:r>
      <w:r w:rsidRPr="004262E0">
        <w:rPr>
          <w:rFonts w:ascii="Times New Roman" w:hAnsi="Times New Roman" w:cs="Times New Roman"/>
          <w:i/>
          <w:sz w:val="18"/>
          <w:szCs w:val="18"/>
        </w:rPr>
        <w:t>Id</w:t>
      </w:r>
      <w:r w:rsidRPr="004262E0">
        <w:rPr>
          <w:rFonts w:ascii="Times New Roman" w:hAnsi="Times New Roman" w:cs="Times New Roman"/>
          <w:sz w:val="18"/>
          <w:szCs w:val="18"/>
        </w:rPr>
        <w:t xml:space="preserve">.  For the Task Force’s prior reports, </w:t>
      </w:r>
      <w:r w:rsidRPr="004262E0">
        <w:rPr>
          <w:rFonts w:ascii="Times New Roman" w:hAnsi="Times New Roman" w:cs="Times New Roman"/>
          <w:i/>
          <w:sz w:val="18"/>
          <w:szCs w:val="18"/>
        </w:rPr>
        <w:t>see</w:t>
      </w:r>
      <w:r w:rsidRPr="004262E0">
        <w:rPr>
          <w:rFonts w:ascii="Times New Roman" w:hAnsi="Times New Roman" w:cs="Times New Roman"/>
          <w:sz w:val="18"/>
          <w:szCs w:val="18"/>
        </w:rPr>
        <w:t xml:space="preserve"> </w:t>
      </w:r>
      <w:hyperlink r:id="rId1" w:anchor="current-reports" w:history="1">
        <w:r w:rsidR="002A0CAE" w:rsidRPr="004262E0">
          <w:rPr>
            <w:rStyle w:val="Hyperlink"/>
            <w:rFonts w:ascii="Times New Roman" w:hAnsi="Times New Roman" w:cs="Times New Roman"/>
            <w:sz w:val="18"/>
            <w:szCs w:val="18"/>
          </w:rPr>
          <w:t>https://www.mass.gov/info-details/dor-illegal-tobacco-task-force#current-reports</w:t>
        </w:r>
      </w:hyperlink>
      <w:r w:rsidRPr="004262E0">
        <w:rPr>
          <w:rFonts w:ascii="Times New Roman" w:hAnsi="Times New Roman" w:cs="Times New Roman"/>
          <w:sz w:val="18"/>
          <w:szCs w:val="18"/>
        </w:rPr>
        <w:t xml:space="preserve"> (</w:t>
      </w:r>
      <w:r w:rsidR="002A0CAE" w:rsidRPr="004262E0">
        <w:rPr>
          <w:rFonts w:ascii="Times New Roman" w:hAnsi="Times New Roman" w:cs="Times New Roman"/>
          <w:sz w:val="18"/>
          <w:szCs w:val="18"/>
        </w:rPr>
        <w:t xml:space="preserve">see </w:t>
      </w:r>
      <w:r w:rsidRPr="004262E0">
        <w:rPr>
          <w:rFonts w:ascii="Times New Roman" w:hAnsi="Times New Roman" w:cs="Times New Roman"/>
          <w:sz w:val="18"/>
          <w:szCs w:val="18"/>
        </w:rPr>
        <w:t>tab entitled “</w:t>
      </w:r>
      <w:r w:rsidR="002A0CAE" w:rsidRPr="004262E0">
        <w:rPr>
          <w:rFonts w:ascii="Times New Roman" w:hAnsi="Times New Roman" w:cs="Times New Roman"/>
          <w:sz w:val="18"/>
          <w:szCs w:val="18"/>
        </w:rPr>
        <w:t>DOR Illegal Tobacco Task Force Past Cases &amp; Reports</w:t>
      </w:r>
      <w:r w:rsidRPr="004262E0">
        <w:rPr>
          <w:rFonts w:ascii="Times New Roman" w:hAnsi="Times New Roman" w:cs="Times New Roman"/>
          <w:sz w:val="18"/>
          <w:szCs w:val="18"/>
        </w:rPr>
        <w:t>”</w:t>
      </w:r>
      <w:r w:rsidR="002A0CAE" w:rsidRPr="004262E0">
        <w:rPr>
          <w:rFonts w:ascii="Times New Roman" w:hAnsi="Times New Roman" w:cs="Times New Roman"/>
          <w:sz w:val="18"/>
          <w:szCs w:val="18"/>
        </w:rPr>
        <w:t xml:space="preserve"> for prior years</w:t>
      </w:r>
      <w:r w:rsidRPr="004262E0">
        <w:rPr>
          <w:rFonts w:ascii="Times New Roman" w:hAnsi="Times New Roman" w:cs="Times New Roman"/>
          <w:sz w:val="18"/>
          <w:szCs w:val="18"/>
        </w:rPr>
        <w:t xml:space="preserve">) (accessed on </w:t>
      </w:r>
      <w:r w:rsidR="00A4796F">
        <w:rPr>
          <w:rFonts w:ascii="Times New Roman" w:hAnsi="Times New Roman" w:cs="Times New Roman"/>
          <w:sz w:val="18"/>
          <w:szCs w:val="18"/>
        </w:rPr>
        <w:t>January 7</w:t>
      </w:r>
      <w:r w:rsidRPr="004262E0">
        <w:rPr>
          <w:rFonts w:ascii="Times New Roman" w:hAnsi="Times New Roman" w:cs="Times New Roman"/>
          <w:sz w:val="18"/>
          <w:szCs w:val="18"/>
        </w:rPr>
        <w:t>, 202</w:t>
      </w:r>
      <w:r w:rsidR="00A4796F">
        <w:rPr>
          <w:rFonts w:ascii="Times New Roman" w:hAnsi="Times New Roman" w:cs="Times New Roman"/>
          <w:sz w:val="18"/>
          <w:szCs w:val="18"/>
        </w:rPr>
        <w:t>6</w:t>
      </w:r>
      <w:r w:rsidRPr="004262E0">
        <w:rPr>
          <w:rFonts w:ascii="Times New Roman" w:hAnsi="Times New Roman" w:cs="Times New Roman"/>
          <w:sz w:val="18"/>
          <w:szCs w:val="18"/>
        </w:rPr>
        <w:t xml:space="preserve">).  </w:t>
      </w:r>
    </w:p>
    <w:p w14:paraId="4A78F2F1" w14:textId="77777777" w:rsidR="00C9632A" w:rsidRPr="00AF0267" w:rsidRDefault="00C9632A" w:rsidP="00183537">
      <w:pPr>
        <w:pStyle w:val="FootnoteText"/>
        <w:ind w:right="80"/>
        <w:jc w:val="both"/>
        <w:rPr>
          <w:rFonts w:ascii="Times New Roman" w:hAnsi="Times New Roman" w:cs="Times New Roman"/>
          <w:sz w:val="16"/>
          <w:szCs w:val="16"/>
        </w:rPr>
      </w:pPr>
    </w:p>
  </w:footnote>
  <w:footnote w:id="7">
    <w:p w14:paraId="5070AEB9" w14:textId="77777777" w:rsidR="00C9632A" w:rsidRPr="004262E0" w:rsidRDefault="00C9632A" w:rsidP="00183537">
      <w:pPr>
        <w:pStyle w:val="FootnoteText"/>
        <w:tabs>
          <w:tab w:val="left" w:pos="2028"/>
        </w:tabs>
        <w:rPr>
          <w:rFonts w:ascii="Times New Roman" w:hAnsi="Times New Roman" w:cs="Times New Roman"/>
          <w:sz w:val="18"/>
          <w:szCs w:val="18"/>
        </w:rPr>
      </w:pPr>
      <w:r w:rsidRPr="004262E0">
        <w:rPr>
          <w:rStyle w:val="FootnoteReference"/>
          <w:rFonts w:ascii="Times New Roman" w:hAnsi="Times New Roman" w:cs="Times New Roman"/>
          <w:sz w:val="18"/>
          <w:szCs w:val="18"/>
        </w:rPr>
        <w:footnoteRef/>
      </w:r>
      <w:r w:rsidRPr="004262E0">
        <w:rPr>
          <w:rFonts w:ascii="Times New Roman" w:hAnsi="Times New Roman" w:cs="Times New Roman"/>
          <w:sz w:val="18"/>
          <w:szCs w:val="18"/>
        </w:rPr>
        <w:t xml:space="preserve"> St. 2019, c. 133.</w:t>
      </w:r>
    </w:p>
    <w:p w14:paraId="35138026" w14:textId="77777777" w:rsidR="00733D84" w:rsidRPr="004262E0" w:rsidRDefault="00733D84" w:rsidP="00183537">
      <w:pPr>
        <w:pStyle w:val="FootnoteText"/>
        <w:tabs>
          <w:tab w:val="left" w:pos="2028"/>
        </w:tabs>
        <w:rPr>
          <w:rFonts w:ascii="Times New Roman" w:hAnsi="Times New Roman" w:cs="Times New Roman"/>
          <w:sz w:val="18"/>
          <w:szCs w:val="18"/>
        </w:rPr>
      </w:pPr>
    </w:p>
  </w:footnote>
  <w:footnote w:id="8">
    <w:p w14:paraId="42371421" w14:textId="77777777" w:rsidR="00C9632A" w:rsidRPr="004262E0" w:rsidRDefault="00C9632A" w:rsidP="00F46C6E">
      <w:pPr>
        <w:pStyle w:val="FootnoteText"/>
        <w:ind w:right="80"/>
        <w:rPr>
          <w:rFonts w:ascii="Times New Roman" w:hAnsi="Times New Roman" w:cs="Times New Roman"/>
          <w:sz w:val="18"/>
          <w:szCs w:val="18"/>
        </w:rPr>
      </w:pPr>
      <w:r w:rsidRPr="004262E0">
        <w:rPr>
          <w:rStyle w:val="FootnoteReference"/>
          <w:rFonts w:ascii="Times New Roman" w:hAnsi="Times New Roman" w:cs="Times New Roman"/>
          <w:sz w:val="18"/>
          <w:szCs w:val="18"/>
        </w:rPr>
        <w:footnoteRef/>
      </w:r>
      <w:r w:rsidRPr="004262E0">
        <w:rPr>
          <w:rFonts w:ascii="Times New Roman" w:hAnsi="Times New Roman" w:cs="Times New Roman"/>
          <w:sz w:val="18"/>
          <w:szCs w:val="18"/>
        </w:rPr>
        <w:t xml:space="preserve">  It is important to note that all collections figures cited in this Annual Report </w:t>
      </w:r>
      <w:r w:rsidRPr="004262E0">
        <w:rPr>
          <w:rFonts w:ascii="Times New Roman" w:hAnsi="Times New Roman" w:cs="Times New Roman"/>
          <w:sz w:val="18"/>
          <w:szCs w:val="18"/>
          <w:u w:val="single"/>
        </w:rPr>
        <w:t>exclude</w:t>
      </w:r>
      <w:r w:rsidRPr="004262E0">
        <w:rPr>
          <w:rFonts w:ascii="Times New Roman" w:hAnsi="Times New Roman" w:cs="Times New Roman"/>
          <w:sz w:val="18"/>
          <w:szCs w:val="18"/>
        </w:rPr>
        <w:t xml:space="preserve"> sales taxes collected on sales of tobacco products. The Department of Revenue does not separately track sales taxes collected on sales of tobacco products.</w:t>
      </w:r>
    </w:p>
    <w:p w14:paraId="560C1CCA" w14:textId="77777777" w:rsidR="00C9632A" w:rsidRPr="009635BB" w:rsidRDefault="00C9632A" w:rsidP="00F46C6E">
      <w:pPr>
        <w:pStyle w:val="FootnoteText"/>
        <w:rPr>
          <w:rFonts w:ascii="Times New Roman" w:hAnsi="Times New Roman" w:cs="Times New Roman"/>
          <w:sz w:val="16"/>
          <w:szCs w:val="16"/>
        </w:rPr>
      </w:pPr>
    </w:p>
  </w:footnote>
  <w:footnote w:id="9">
    <w:p w14:paraId="691AD13F" w14:textId="21241D8D" w:rsidR="00C9632A" w:rsidRPr="002A29F9" w:rsidRDefault="00C9632A" w:rsidP="00F46C6E">
      <w:pPr>
        <w:pStyle w:val="FootnoteText"/>
        <w:rPr>
          <w:rFonts w:ascii="Times New Roman" w:hAnsi="Times New Roman" w:cs="Times New Roman"/>
          <w:sz w:val="18"/>
          <w:szCs w:val="18"/>
        </w:rPr>
      </w:pPr>
      <w:r w:rsidRPr="00F46C6E">
        <w:rPr>
          <w:rStyle w:val="FootnoteReference"/>
          <w:rFonts w:ascii="Times New Roman" w:hAnsi="Times New Roman" w:cs="Times New Roman"/>
          <w:sz w:val="18"/>
          <w:szCs w:val="18"/>
        </w:rPr>
        <w:footnoteRef/>
      </w:r>
      <w:r w:rsidRPr="00F46C6E">
        <w:rPr>
          <w:rFonts w:ascii="Times New Roman" w:hAnsi="Times New Roman" w:cs="Times New Roman"/>
          <w:sz w:val="18"/>
          <w:szCs w:val="18"/>
        </w:rPr>
        <w:t xml:space="preserve"> </w:t>
      </w:r>
      <w:r w:rsidRPr="002A29F9">
        <w:rPr>
          <w:rFonts w:ascii="Times New Roman" w:hAnsi="Times New Roman" w:cs="Times New Roman"/>
          <w:sz w:val="18"/>
          <w:szCs w:val="18"/>
        </w:rPr>
        <w:t>The FY2</w:t>
      </w:r>
      <w:r w:rsidR="008311D1">
        <w:rPr>
          <w:rFonts w:ascii="Times New Roman" w:hAnsi="Times New Roman" w:cs="Times New Roman"/>
          <w:sz w:val="18"/>
          <w:szCs w:val="18"/>
        </w:rPr>
        <w:t>5</w:t>
      </w:r>
      <w:r w:rsidRPr="002A29F9">
        <w:rPr>
          <w:rFonts w:ascii="Times New Roman" w:hAnsi="Times New Roman" w:cs="Times New Roman"/>
          <w:sz w:val="18"/>
          <w:szCs w:val="18"/>
        </w:rPr>
        <w:t xml:space="preserve"> Tobacco Excise Tax Collections on Cigarettes and ENDS can be found in </w:t>
      </w:r>
      <w:bookmarkStart w:id="5" w:name="_Hlk155798412"/>
      <w:r w:rsidRPr="002A29F9">
        <w:rPr>
          <w:rFonts w:ascii="Times New Roman" w:hAnsi="Times New Roman" w:cs="Times New Roman"/>
          <w:sz w:val="18"/>
          <w:szCs w:val="18"/>
        </w:rPr>
        <w:t>Commonwealth of Massachusetts Department of Revenue Monthly Report of Collections and Refunds of June 202</w:t>
      </w:r>
      <w:bookmarkEnd w:id="5"/>
      <w:r w:rsidR="008311D1">
        <w:rPr>
          <w:rFonts w:ascii="Times New Roman" w:hAnsi="Times New Roman" w:cs="Times New Roman"/>
          <w:sz w:val="18"/>
          <w:szCs w:val="18"/>
        </w:rPr>
        <w:t>5</w:t>
      </w:r>
      <w:r w:rsidRPr="002A29F9">
        <w:rPr>
          <w:rFonts w:ascii="Times New Roman" w:hAnsi="Times New Roman" w:cs="Times New Roman"/>
          <w:sz w:val="18"/>
          <w:szCs w:val="18"/>
        </w:rPr>
        <w:t xml:space="preserve">. Breakdowns by category provided by DOR Miscellaneous Excise Bureau. See </w:t>
      </w:r>
      <w:hyperlink r:id="rId2" w:anchor="fy2024" w:history="1">
        <w:r w:rsidR="002A29F9" w:rsidRPr="003A1A1F">
          <w:rPr>
            <w:rStyle w:val="Hyperlink"/>
            <w:rFonts w:ascii="Times New Roman" w:hAnsi="Times New Roman" w:cs="Times New Roman"/>
            <w:sz w:val="18"/>
            <w:szCs w:val="18"/>
          </w:rPr>
          <w:t>https://www.mass.gov/lists/massachusetts-dor-blue-book-reports#fy2024</w:t>
        </w:r>
      </w:hyperlink>
      <w:r w:rsidR="002A29F9">
        <w:rPr>
          <w:rFonts w:ascii="Times New Roman" w:hAnsi="Times New Roman" w:cs="Times New Roman"/>
          <w:sz w:val="18"/>
          <w:szCs w:val="18"/>
        </w:rPr>
        <w:t xml:space="preserve"> </w:t>
      </w:r>
      <w:r w:rsidR="002A29F9" w:rsidRPr="002A29F9">
        <w:rPr>
          <w:rFonts w:ascii="Times New Roman" w:hAnsi="Times New Roman" w:cs="Times New Roman"/>
          <w:sz w:val="18"/>
          <w:szCs w:val="18"/>
        </w:rPr>
        <w:t>-</w:t>
      </w:r>
      <w:r w:rsidRPr="002A29F9">
        <w:rPr>
          <w:rFonts w:ascii="Times New Roman" w:hAnsi="Times New Roman" w:cs="Times New Roman"/>
          <w:sz w:val="18"/>
          <w:szCs w:val="18"/>
        </w:rPr>
        <w:t xml:space="preserve"> (accessed on January </w:t>
      </w:r>
      <w:r w:rsidR="002A29F9">
        <w:rPr>
          <w:rFonts w:ascii="Times New Roman" w:hAnsi="Times New Roman" w:cs="Times New Roman"/>
          <w:sz w:val="18"/>
          <w:szCs w:val="18"/>
        </w:rPr>
        <w:t>7</w:t>
      </w:r>
      <w:r w:rsidRPr="002A29F9">
        <w:rPr>
          <w:rFonts w:ascii="Times New Roman" w:hAnsi="Times New Roman" w:cs="Times New Roman"/>
          <w:sz w:val="18"/>
          <w:szCs w:val="18"/>
        </w:rPr>
        <w:t>, 202</w:t>
      </w:r>
      <w:r w:rsidR="008311D1">
        <w:rPr>
          <w:rFonts w:ascii="Times New Roman" w:hAnsi="Times New Roman" w:cs="Times New Roman"/>
          <w:sz w:val="18"/>
          <w:szCs w:val="18"/>
        </w:rPr>
        <w:t>6</w:t>
      </w:r>
      <w:r w:rsidRPr="002A29F9">
        <w:rPr>
          <w:rFonts w:ascii="Times New Roman" w:hAnsi="Times New Roman" w:cs="Times New Roman"/>
          <w:sz w:val="18"/>
          <w:szCs w:val="18"/>
        </w:rPr>
        <w:t>).</w:t>
      </w:r>
    </w:p>
    <w:p w14:paraId="44DA3CBF" w14:textId="77777777" w:rsidR="00C9632A" w:rsidRPr="009635BB" w:rsidRDefault="00C9632A" w:rsidP="00F46C6E">
      <w:pPr>
        <w:pStyle w:val="FootnoteText"/>
        <w:rPr>
          <w:rFonts w:ascii="Times New Roman" w:hAnsi="Times New Roman" w:cs="Times New Roman"/>
          <w:sz w:val="16"/>
          <w:szCs w:val="16"/>
        </w:rPr>
      </w:pPr>
      <w:r w:rsidRPr="009635BB">
        <w:rPr>
          <w:rFonts w:ascii="Times New Roman" w:hAnsi="Times New Roman" w:cs="Times New Roman"/>
          <w:sz w:val="16"/>
          <w:szCs w:val="16"/>
        </w:rPr>
        <w:t xml:space="preserve"> </w:t>
      </w:r>
    </w:p>
  </w:footnote>
  <w:footnote w:id="10">
    <w:p w14:paraId="14F1CC01" w14:textId="3966D082" w:rsidR="001348E3" w:rsidRPr="00F46C6E" w:rsidRDefault="001348E3" w:rsidP="00F46C6E">
      <w:pPr>
        <w:pStyle w:val="FootnoteText"/>
        <w:rPr>
          <w:rFonts w:ascii="Times New Roman" w:hAnsi="Times New Roman" w:cs="Times New Roman"/>
          <w:sz w:val="18"/>
          <w:szCs w:val="18"/>
        </w:rPr>
      </w:pPr>
      <w:r w:rsidRPr="00F46C6E">
        <w:rPr>
          <w:rStyle w:val="FootnoteReference"/>
          <w:rFonts w:ascii="Times New Roman" w:hAnsi="Times New Roman" w:cs="Times New Roman"/>
          <w:sz w:val="18"/>
          <w:szCs w:val="18"/>
        </w:rPr>
        <w:footnoteRef/>
      </w:r>
      <w:r w:rsidRPr="00F46C6E">
        <w:rPr>
          <w:rFonts w:ascii="Times New Roman" w:hAnsi="Times New Roman" w:cs="Times New Roman"/>
          <w:sz w:val="18"/>
          <w:szCs w:val="18"/>
        </w:rPr>
        <w:t xml:space="preserve"> The “Act Modernizing Tobacco Control” imposing a 75% excise tax on the wholesale price of ENDS became effective on June 1, 2020, so there is only one month of data available for ENDS excise tax revenue during FY 2020. </w:t>
      </w:r>
      <w:r w:rsidRPr="00F46C6E">
        <w:rPr>
          <w:rFonts w:ascii="Times New Roman" w:hAnsi="Times New Roman" w:cs="Times New Roman"/>
          <w:i/>
          <w:iCs/>
          <w:sz w:val="18"/>
          <w:szCs w:val="18"/>
        </w:rPr>
        <w:t>See</w:t>
      </w:r>
      <w:r w:rsidRPr="00F46C6E">
        <w:rPr>
          <w:rFonts w:ascii="Times New Roman" w:hAnsi="Times New Roman" w:cs="Times New Roman"/>
          <w:sz w:val="18"/>
          <w:szCs w:val="18"/>
        </w:rPr>
        <w:t xml:space="preserve"> The Commonwealth of Massachusetts Department of Revenue Monthly Report of Collections and Refunds of July 2020. </w:t>
      </w:r>
      <w:hyperlink r:id="rId3" w:history="1">
        <w:r w:rsidRPr="00F46C6E">
          <w:rPr>
            <w:rStyle w:val="Hyperlink"/>
            <w:rFonts w:ascii="Times New Roman" w:hAnsi="Times New Roman" w:cs="Times New Roman"/>
            <w:sz w:val="18"/>
            <w:szCs w:val="18"/>
          </w:rPr>
          <w:t>https://www.mass.gov/lists/blue-book-reports-department-of-revenue</w:t>
        </w:r>
      </w:hyperlink>
      <w:r w:rsidRPr="00F46C6E">
        <w:rPr>
          <w:rFonts w:ascii="Times New Roman" w:hAnsi="Times New Roman" w:cs="Times New Roman"/>
          <w:sz w:val="18"/>
          <w:szCs w:val="18"/>
        </w:rPr>
        <w:t xml:space="preserve"> (accessed on </w:t>
      </w:r>
      <w:r w:rsidR="009635BB">
        <w:rPr>
          <w:rFonts w:ascii="Times New Roman" w:hAnsi="Times New Roman" w:cs="Times New Roman"/>
          <w:sz w:val="18"/>
          <w:szCs w:val="18"/>
        </w:rPr>
        <w:t>January 21</w:t>
      </w:r>
      <w:r w:rsidRPr="00F46C6E">
        <w:rPr>
          <w:rFonts w:ascii="Times New Roman" w:hAnsi="Times New Roman" w:cs="Times New Roman"/>
          <w:sz w:val="18"/>
          <w:szCs w:val="18"/>
        </w:rPr>
        <w:t>, 202</w:t>
      </w:r>
      <w:r w:rsidR="009635BB">
        <w:rPr>
          <w:rFonts w:ascii="Times New Roman" w:hAnsi="Times New Roman" w:cs="Times New Roman"/>
          <w:sz w:val="18"/>
          <w:szCs w:val="18"/>
        </w:rPr>
        <w:t>6</w:t>
      </w:r>
      <w:r w:rsidRPr="00F46C6E">
        <w:rPr>
          <w:rFonts w:ascii="Times New Roman" w:hAnsi="Times New Roman" w:cs="Times New Roman"/>
          <w:sz w:val="18"/>
          <w:szCs w:val="18"/>
        </w:rPr>
        <w:t>).</w:t>
      </w:r>
    </w:p>
    <w:p w14:paraId="1B2BF937" w14:textId="77777777" w:rsidR="001348E3" w:rsidRPr="009635BB" w:rsidRDefault="001348E3" w:rsidP="00F46C6E">
      <w:pPr>
        <w:pStyle w:val="FootnoteText"/>
        <w:rPr>
          <w:rFonts w:ascii="Times New Roman" w:hAnsi="Times New Roman" w:cs="Times New Roman"/>
          <w:sz w:val="16"/>
          <w:szCs w:val="16"/>
        </w:rPr>
      </w:pPr>
    </w:p>
  </w:footnote>
  <w:footnote w:id="11">
    <w:p w14:paraId="7AF1115E" w14:textId="67BF749E" w:rsidR="00C9632A" w:rsidRPr="00796395" w:rsidRDefault="00C9632A" w:rsidP="00F46C6E">
      <w:pPr>
        <w:pStyle w:val="FootnoteText"/>
        <w:ind w:right="80"/>
        <w:rPr>
          <w:rFonts w:ascii="Times New Roman" w:hAnsi="Times New Roman" w:cs="Times New Roman"/>
          <w:sz w:val="18"/>
          <w:szCs w:val="18"/>
        </w:rPr>
      </w:pPr>
      <w:r w:rsidRPr="00AA2F27">
        <w:rPr>
          <w:rStyle w:val="FootnoteReference"/>
          <w:rFonts w:ascii="Times New Roman" w:hAnsi="Times New Roman" w:cs="Times New Roman"/>
          <w:sz w:val="18"/>
          <w:szCs w:val="18"/>
        </w:rPr>
        <w:footnoteRef/>
      </w:r>
      <w:r w:rsidRPr="00AA2F27">
        <w:rPr>
          <w:rFonts w:ascii="Times New Roman" w:hAnsi="Times New Roman" w:cs="Times New Roman"/>
          <w:sz w:val="18"/>
          <w:szCs w:val="18"/>
        </w:rPr>
        <w:t xml:space="preserve"> </w:t>
      </w:r>
      <w:bookmarkStart w:id="10" w:name="_Hlk157415464"/>
      <w:r w:rsidRPr="00796395">
        <w:rPr>
          <w:rFonts w:ascii="Times New Roman" w:hAnsi="Times New Roman" w:cs="Times New Roman"/>
          <w:sz w:val="18"/>
          <w:szCs w:val="18"/>
        </w:rPr>
        <w:t>See</w:t>
      </w:r>
      <w:r w:rsidR="009635BB">
        <w:rPr>
          <w:rFonts w:ascii="Times New Roman" w:hAnsi="Times New Roman" w:cs="Times New Roman"/>
          <w:sz w:val="18"/>
          <w:szCs w:val="18"/>
        </w:rPr>
        <w:t xml:space="preserve"> </w:t>
      </w:r>
      <w:hyperlink r:id="rId4" w:history="1">
        <w:r w:rsidR="009635BB" w:rsidRPr="00796395">
          <w:rPr>
            <w:rStyle w:val="Hyperlink"/>
            <w:rFonts w:ascii="Times New Roman" w:hAnsi="Times New Roman" w:cs="Times New Roman"/>
            <w:sz w:val="18"/>
            <w:szCs w:val="18"/>
          </w:rPr>
          <w:t>https://www.ttb.gov/tobacco/tobacco-statistics</w:t>
        </w:r>
      </w:hyperlink>
      <w:r w:rsidR="009635BB" w:rsidRPr="00796395">
        <w:rPr>
          <w:rFonts w:ascii="Times New Roman" w:hAnsi="Times New Roman" w:cs="Times New Roman"/>
          <w:sz w:val="18"/>
          <w:szCs w:val="18"/>
        </w:rPr>
        <w:t xml:space="preserve"> (confirming a 10-year decline in the number of cigarettes manufactured in the United States) (accessed </w:t>
      </w:r>
      <w:r w:rsidR="009635BB">
        <w:rPr>
          <w:rFonts w:ascii="Times New Roman" w:hAnsi="Times New Roman" w:cs="Times New Roman"/>
          <w:sz w:val="18"/>
          <w:szCs w:val="18"/>
        </w:rPr>
        <w:t>January 21</w:t>
      </w:r>
      <w:r w:rsidR="009635BB" w:rsidRPr="00796395">
        <w:rPr>
          <w:rFonts w:ascii="Times New Roman" w:hAnsi="Times New Roman" w:cs="Times New Roman"/>
          <w:sz w:val="18"/>
          <w:szCs w:val="18"/>
        </w:rPr>
        <w:t>, 202</w:t>
      </w:r>
      <w:r w:rsidR="009635BB">
        <w:rPr>
          <w:rFonts w:ascii="Times New Roman" w:hAnsi="Times New Roman" w:cs="Times New Roman"/>
          <w:sz w:val="18"/>
          <w:szCs w:val="18"/>
        </w:rPr>
        <w:t>6</w:t>
      </w:r>
      <w:r w:rsidR="009635BB" w:rsidRPr="00796395">
        <w:rPr>
          <w:rFonts w:ascii="Times New Roman" w:hAnsi="Times New Roman" w:cs="Times New Roman"/>
          <w:sz w:val="18"/>
          <w:szCs w:val="18"/>
        </w:rPr>
        <w:t>).</w:t>
      </w:r>
      <w:r w:rsidRPr="00796395">
        <w:rPr>
          <w:rFonts w:ascii="Times New Roman" w:hAnsi="Times New Roman" w:cs="Times New Roman"/>
          <w:sz w:val="18"/>
          <w:szCs w:val="18"/>
        </w:rPr>
        <w:t xml:space="preserve"> </w:t>
      </w:r>
      <w:bookmarkEnd w:id="10"/>
    </w:p>
    <w:p w14:paraId="0D342B4D" w14:textId="77777777" w:rsidR="00C9632A" w:rsidRPr="00B37103" w:rsidRDefault="00C9632A" w:rsidP="00F46C6E">
      <w:pPr>
        <w:pStyle w:val="FootnoteText"/>
        <w:ind w:right="80"/>
        <w:rPr>
          <w:rFonts w:ascii="Times New Roman" w:hAnsi="Times New Roman" w:cs="Times New Roman"/>
          <w:sz w:val="12"/>
          <w:szCs w:val="12"/>
        </w:rPr>
      </w:pPr>
    </w:p>
  </w:footnote>
  <w:footnote w:id="12">
    <w:p w14:paraId="256DEF08" w14:textId="242FCF8C" w:rsidR="00C9632A" w:rsidRPr="00F46C6E" w:rsidRDefault="00C9632A" w:rsidP="00F46C6E">
      <w:pPr>
        <w:pStyle w:val="FootnoteText"/>
        <w:ind w:right="80"/>
        <w:rPr>
          <w:rFonts w:ascii="Times New Roman" w:hAnsi="Times New Roman" w:cs="Times New Roman"/>
          <w:sz w:val="18"/>
          <w:szCs w:val="18"/>
        </w:rPr>
      </w:pPr>
      <w:r w:rsidRPr="00F46C6E">
        <w:rPr>
          <w:rStyle w:val="FootnoteReference"/>
          <w:rFonts w:ascii="Times New Roman" w:hAnsi="Times New Roman" w:cs="Times New Roman"/>
          <w:sz w:val="18"/>
          <w:szCs w:val="18"/>
        </w:rPr>
        <w:footnoteRef/>
      </w:r>
      <w:r w:rsidRPr="00F46C6E">
        <w:rPr>
          <w:rFonts w:ascii="Times New Roman" w:hAnsi="Times New Roman" w:cs="Times New Roman"/>
          <w:sz w:val="18"/>
          <w:szCs w:val="18"/>
        </w:rPr>
        <w:t xml:space="preserve"> </w:t>
      </w:r>
      <w:bookmarkStart w:id="11" w:name="_Hlk157415908"/>
      <w:r w:rsidRPr="00421335">
        <w:rPr>
          <w:rFonts w:ascii="Times New Roman" w:hAnsi="Times New Roman" w:cs="Times New Roman"/>
          <w:sz w:val="18"/>
          <w:szCs w:val="18"/>
        </w:rPr>
        <w:t>See</w:t>
      </w:r>
      <w:r w:rsidR="00522C58">
        <w:rPr>
          <w:rFonts w:ascii="Times New Roman" w:hAnsi="Times New Roman" w:cs="Times New Roman"/>
          <w:sz w:val="18"/>
          <w:szCs w:val="18"/>
        </w:rPr>
        <w:t xml:space="preserve"> </w:t>
      </w:r>
      <w:hyperlink r:id="rId5" w:history="1">
        <w:r w:rsidR="00522C58" w:rsidRPr="00522C58">
          <w:rPr>
            <w:rStyle w:val="Hyperlink"/>
            <w:rFonts w:ascii="Times New Roman" w:hAnsi="Times New Roman" w:cs="Times New Roman"/>
            <w:sz w:val="18"/>
            <w:szCs w:val="18"/>
          </w:rPr>
          <w:t>https://www.cdc.gov/tobacco/php/data-statistics/adult-data-cigarettes/</w:t>
        </w:r>
      </w:hyperlink>
      <w:r w:rsidRPr="00421335">
        <w:rPr>
          <w:rFonts w:ascii="Times New Roman" w:hAnsi="Times New Roman" w:cs="Times New Roman"/>
          <w:sz w:val="18"/>
          <w:szCs w:val="18"/>
        </w:rPr>
        <w:t xml:space="preserve"> (Centers for Disease Control and Prevention, </w:t>
      </w:r>
      <w:r w:rsidRPr="00421335">
        <w:rPr>
          <w:rFonts w:ascii="Times New Roman" w:hAnsi="Times New Roman" w:cs="Times New Roman"/>
          <w:i/>
          <w:sz w:val="18"/>
          <w:szCs w:val="18"/>
        </w:rPr>
        <w:t>Cigarette Smoking Among Adults in the United States</w:t>
      </w:r>
      <w:r w:rsidRPr="00421335">
        <w:rPr>
          <w:rFonts w:ascii="Times New Roman" w:hAnsi="Times New Roman" w:cs="Times New Roman"/>
          <w:sz w:val="18"/>
          <w:szCs w:val="18"/>
        </w:rPr>
        <w:t>, 202</w:t>
      </w:r>
      <w:r w:rsidR="00421335" w:rsidRPr="00421335">
        <w:rPr>
          <w:rFonts w:ascii="Times New Roman" w:hAnsi="Times New Roman" w:cs="Times New Roman"/>
          <w:sz w:val="18"/>
          <w:szCs w:val="18"/>
        </w:rPr>
        <w:t>2</w:t>
      </w:r>
      <w:r w:rsidRPr="00421335">
        <w:rPr>
          <w:rFonts w:ascii="Times New Roman" w:hAnsi="Times New Roman" w:cs="Times New Roman"/>
          <w:sz w:val="18"/>
          <w:szCs w:val="18"/>
        </w:rPr>
        <w:t xml:space="preserve"> - Current </w:t>
      </w:r>
      <w:r w:rsidR="00522C58">
        <w:rPr>
          <w:rFonts w:ascii="Times New Roman" w:hAnsi="Times New Roman" w:cs="Times New Roman"/>
          <w:sz w:val="18"/>
          <w:szCs w:val="18"/>
        </w:rPr>
        <w:t xml:space="preserve">cigarette </w:t>
      </w:r>
      <w:r w:rsidRPr="00421335">
        <w:rPr>
          <w:rFonts w:ascii="Times New Roman" w:hAnsi="Times New Roman" w:cs="Times New Roman"/>
          <w:sz w:val="18"/>
          <w:szCs w:val="18"/>
        </w:rPr>
        <w:t xml:space="preserve">smoking among adults has declined from 20.9% in 2005 to </w:t>
      </w:r>
      <w:r w:rsidRPr="00F46C6E">
        <w:rPr>
          <w:rFonts w:ascii="Times New Roman" w:hAnsi="Times New Roman" w:cs="Times New Roman"/>
          <w:sz w:val="18"/>
          <w:szCs w:val="18"/>
        </w:rPr>
        <w:t>1</w:t>
      </w:r>
      <w:r w:rsidR="006719C3">
        <w:rPr>
          <w:rFonts w:ascii="Times New Roman" w:hAnsi="Times New Roman" w:cs="Times New Roman"/>
          <w:sz w:val="18"/>
          <w:szCs w:val="18"/>
        </w:rPr>
        <w:t>1</w:t>
      </w:r>
      <w:r w:rsidRPr="00F46C6E">
        <w:rPr>
          <w:rFonts w:ascii="Times New Roman" w:hAnsi="Times New Roman" w:cs="Times New Roman"/>
          <w:sz w:val="18"/>
          <w:szCs w:val="18"/>
        </w:rPr>
        <w:t>.</w:t>
      </w:r>
      <w:r w:rsidR="00522C58">
        <w:rPr>
          <w:rFonts w:ascii="Times New Roman" w:hAnsi="Times New Roman" w:cs="Times New Roman"/>
          <w:sz w:val="18"/>
          <w:szCs w:val="18"/>
        </w:rPr>
        <w:t>6</w:t>
      </w:r>
      <w:r w:rsidRPr="00F46C6E">
        <w:rPr>
          <w:rFonts w:ascii="Times New Roman" w:hAnsi="Times New Roman" w:cs="Times New Roman"/>
          <w:sz w:val="18"/>
          <w:szCs w:val="18"/>
        </w:rPr>
        <w:t>% in 202</w:t>
      </w:r>
      <w:r w:rsidR="00522C58">
        <w:rPr>
          <w:rFonts w:ascii="Times New Roman" w:hAnsi="Times New Roman" w:cs="Times New Roman"/>
          <w:sz w:val="18"/>
          <w:szCs w:val="18"/>
        </w:rPr>
        <w:t>2</w:t>
      </w:r>
      <w:r w:rsidR="0029501D">
        <w:rPr>
          <w:rFonts w:ascii="Times New Roman" w:hAnsi="Times New Roman" w:cs="Times New Roman"/>
          <w:sz w:val="18"/>
          <w:szCs w:val="18"/>
        </w:rPr>
        <w:t>, although that represents a 0.1% increase from 2021</w:t>
      </w:r>
      <w:r w:rsidRPr="00F46C6E">
        <w:rPr>
          <w:rFonts w:ascii="Times New Roman" w:hAnsi="Times New Roman" w:cs="Times New Roman"/>
          <w:sz w:val="18"/>
          <w:szCs w:val="18"/>
        </w:rPr>
        <w:t xml:space="preserve">) (accessed on January </w:t>
      </w:r>
      <w:r w:rsidR="002A5605">
        <w:rPr>
          <w:rFonts w:ascii="Times New Roman" w:hAnsi="Times New Roman" w:cs="Times New Roman"/>
          <w:sz w:val="18"/>
          <w:szCs w:val="18"/>
        </w:rPr>
        <w:t>23</w:t>
      </w:r>
      <w:r w:rsidRPr="00F46C6E">
        <w:rPr>
          <w:rFonts w:ascii="Times New Roman" w:hAnsi="Times New Roman" w:cs="Times New Roman"/>
          <w:sz w:val="18"/>
          <w:szCs w:val="18"/>
        </w:rPr>
        <w:t>, 202</w:t>
      </w:r>
      <w:r w:rsidR="002A5605">
        <w:rPr>
          <w:rFonts w:ascii="Times New Roman" w:hAnsi="Times New Roman" w:cs="Times New Roman"/>
          <w:sz w:val="18"/>
          <w:szCs w:val="18"/>
        </w:rPr>
        <w:t>6</w:t>
      </w:r>
      <w:r w:rsidRPr="00F46C6E">
        <w:rPr>
          <w:rFonts w:ascii="Times New Roman" w:hAnsi="Times New Roman" w:cs="Times New Roman"/>
          <w:sz w:val="18"/>
          <w:szCs w:val="18"/>
        </w:rPr>
        <w:t>).</w:t>
      </w:r>
      <w:r w:rsidR="00D24342">
        <w:rPr>
          <w:rFonts w:ascii="Times New Roman" w:hAnsi="Times New Roman" w:cs="Times New Roman"/>
          <w:sz w:val="18"/>
          <w:szCs w:val="18"/>
        </w:rPr>
        <w:t xml:space="preserve"> </w:t>
      </w:r>
      <w:r w:rsidR="00B37103">
        <w:rPr>
          <w:rFonts w:ascii="Times New Roman" w:hAnsi="Times New Roman" w:cs="Times New Roman"/>
          <w:sz w:val="18"/>
          <w:szCs w:val="18"/>
        </w:rPr>
        <w:t>The 2022 data</w:t>
      </w:r>
      <w:r w:rsidR="00D24342">
        <w:rPr>
          <w:rFonts w:ascii="Times New Roman" w:hAnsi="Times New Roman" w:cs="Times New Roman"/>
          <w:sz w:val="18"/>
          <w:szCs w:val="18"/>
        </w:rPr>
        <w:t xml:space="preserve"> is the most recent </w:t>
      </w:r>
      <w:r w:rsidR="00B37103">
        <w:rPr>
          <w:rFonts w:ascii="Times New Roman" w:hAnsi="Times New Roman" w:cs="Times New Roman"/>
          <w:sz w:val="18"/>
          <w:szCs w:val="18"/>
        </w:rPr>
        <w:t>reported</w:t>
      </w:r>
      <w:r w:rsidR="00D24342">
        <w:rPr>
          <w:rFonts w:ascii="Times New Roman" w:hAnsi="Times New Roman" w:cs="Times New Roman"/>
          <w:sz w:val="18"/>
          <w:szCs w:val="18"/>
        </w:rPr>
        <w:t xml:space="preserve"> by the CDC.</w:t>
      </w:r>
    </w:p>
    <w:bookmarkEnd w:id="11"/>
    <w:p w14:paraId="0577D961" w14:textId="77777777" w:rsidR="00C9632A" w:rsidRPr="00F46C6E" w:rsidRDefault="00C9632A" w:rsidP="00F46C6E">
      <w:pPr>
        <w:pStyle w:val="FootnoteText"/>
        <w:ind w:right="80"/>
        <w:rPr>
          <w:rFonts w:ascii="Times New Roman" w:hAnsi="Times New Roman" w:cs="Times New Roman"/>
          <w:sz w:val="18"/>
          <w:szCs w:val="18"/>
        </w:rPr>
      </w:pPr>
    </w:p>
  </w:footnote>
  <w:footnote w:id="13">
    <w:p w14:paraId="2E952447" w14:textId="492A11EC" w:rsidR="005E4253" w:rsidRDefault="00C9632A" w:rsidP="00D337C1">
      <w:pPr>
        <w:pStyle w:val="FootnoteText"/>
        <w:ind w:right="80"/>
        <w:rPr>
          <w:rFonts w:ascii="Times New Roman" w:hAnsi="Times New Roman" w:cs="Times New Roman"/>
          <w:sz w:val="18"/>
          <w:szCs w:val="18"/>
        </w:rPr>
      </w:pPr>
      <w:r w:rsidRPr="00F46C6E">
        <w:rPr>
          <w:rStyle w:val="FootnoteReference"/>
          <w:rFonts w:ascii="Times New Roman" w:hAnsi="Times New Roman" w:cs="Times New Roman"/>
          <w:sz w:val="18"/>
          <w:szCs w:val="18"/>
        </w:rPr>
        <w:footnoteRef/>
      </w:r>
      <w:r w:rsidRPr="00F46C6E">
        <w:rPr>
          <w:rFonts w:ascii="Times New Roman" w:hAnsi="Times New Roman" w:cs="Times New Roman"/>
          <w:sz w:val="18"/>
          <w:szCs w:val="18"/>
        </w:rPr>
        <w:t xml:space="preserve"> See </w:t>
      </w:r>
      <w:hyperlink r:id="rId6" w:history="1">
        <w:r w:rsidRPr="00F46C6E">
          <w:rPr>
            <w:rStyle w:val="Hyperlink"/>
            <w:rFonts w:ascii="Times New Roman" w:eastAsia="Times New Roman" w:hAnsi="Times New Roman" w:cs="Times New Roman"/>
            <w:sz w:val="18"/>
            <w:szCs w:val="18"/>
          </w:rPr>
          <w:t>https://www.mass.gov/lists/brfss-statewide-reports-and-publications</w:t>
        </w:r>
      </w:hyperlink>
      <w:r w:rsidRPr="00F46C6E">
        <w:rPr>
          <w:rFonts w:ascii="Times New Roman" w:hAnsi="Times New Roman" w:cs="Times New Roman"/>
          <w:sz w:val="18"/>
          <w:szCs w:val="18"/>
        </w:rPr>
        <w:t xml:space="preserve"> (Massachusetts Behavioral Risk Factor Surveillance System (BRFSS) data for 2014, 2018, 2020, 2021</w:t>
      </w:r>
      <w:r w:rsidR="00AA2F27">
        <w:rPr>
          <w:rFonts w:ascii="Times New Roman" w:hAnsi="Times New Roman" w:cs="Times New Roman"/>
          <w:sz w:val="18"/>
          <w:szCs w:val="18"/>
        </w:rPr>
        <w:t>, 202</w:t>
      </w:r>
      <w:r w:rsidR="00D24342">
        <w:rPr>
          <w:rFonts w:ascii="Times New Roman" w:hAnsi="Times New Roman" w:cs="Times New Roman"/>
          <w:sz w:val="18"/>
          <w:szCs w:val="18"/>
        </w:rPr>
        <w:t>2, and 2023</w:t>
      </w:r>
      <w:r w:rsidRPr="00F46C6E">
        <w:rPr>
          <w:rFonts w:ascii="Times New Roman" w:hAnsi="Times New Roman" w:cs="Times New Roman"/>
          <w:sz w:val="18"/>
          <w:szCs w:val="18"/>
        </w:rPr>
        <w:t xml:space="preserve">) (accessed on </w:t>
      </w:r>
      <w:r w:rsidR="0046425A">
        <w:rPr>
          <w:rFonts w:ascii="Times New Roman" w:hAnsi="Times New Roman" w:cs="Times New Roman"/>
          <w:sz w:val="18"/>
          <w:szCs w:val="18"/>
        </w:rPr>
        <w:t>February</w:t>
      </w:r>
      <w:r w:rsidR="006719C3">
        <w:rPr>
          <w:rFonts w:ascii="Times New Roman" w:hAnsi="Times New Roman" w:cs="Times New Roman"/>
          <w:sz w:val="18"/>
          <w:szCs w:val="18"/>
        </w:rPr>
        <w:t xml:space="preserve"> </w:t>
      </w:r>
      <w:r w:rsidR="00E255BF">
        <w:rPr>
          <w:rFonts w:ascii="Times New Roman" w:hAnsi="Times New Roman" w:cs="Times New Roman"/>
          <w:sz w:val="18"/>
          <w:szCs w:val="18"/>
        </w:rPr>
        <w:t>10</w:t>
      </w:r>
      <w:r w:rsidRPr="00F46C6E">
        <w:rPr>
          <w:rFonts w:ascii="Times New Roman" w:hAnsi="Times New Roman" w:cs="Times New Roman"/>
          <w:sz w:val="18"/>
          <w:szCs w:val="18"/>
        </w:rPr>
        <w:t>, 202</w:t>
      </w:r>
      <w:r w:rsidR="00E255BF">
        <w:rPr>
          <w:rFonts w:ascii="Times New Roman" w:hAnsi="Times New Roman" w:cs="Times New Roman"/>
          <w:sz w:val="18"/>
          <w:szCs w:val="18"/>
        </w:rPr>
        <w:t>6</w:t>
      </w:r>
      <w:r w:rsidRPr="00F46C6E">
        <w:rPr>
          <w:rFonts w:ascii="Times New Roman" w:hAnsi="Times New Roman" w:cs="Times New Roman"/>
          <w:sz w:val="18"/>
          <w:szCs w:val="18"/>
        </w:rPr>
        <w:t>).</w:t>
      </w:r>
      <w:r w:rsidR="00B37103">
        <w:rPr>
          <w:rFonts w:ascii="Times New Roman" w:hAnsi="Times New Roman" w:cs="Times New Roman"/>
          <w:sz w:val="18"/>
          <w:szCs w:val="18"/>
        </w:rPr>
        <w:t xml:space="preserve"> The 2024 </w:t>
      </w:r>
      <w:r w:rsidR="00E255BF">
        <w:rPr>
          <w:rFonts w:ascii="Times New Roman" w:hAnsi="Times New Roman" w:cs="Times New Roman"/>
          <w:sz w:val="18"/>
          <w:szCs w:val="18"/>
        </w:rPr>
        <w:t xml:space="preserve">preliminary data was received from the </w:t>
      </w:r>
      <w:r w:rsidR="00836F4C">
        <w:rPr>
          <w:rFonts w:ascii="Times New Roman" w:hAnsi="Times New Roman" w:cs="Times New Roman"/>
          <w:sz w:val="18"/>
          <w:szCs w:val="18"/>
        </w:rPr>
        <w:t>DPH,</w:t>
      </w:r>
      <w:r w:rsidR="00E255BF">
        <w:rPr>
          <w:rFonts w:ascii="Times New Roman" w:hAnsi="Times New Roman" w:cs="Times New Roman"/>
          <w:sz w:val="18"/>
          <w:szCs w:val="18"/>
        </w:rPr>
        <w:t xml:space="preserve"> but </w:t>
      </w:r>
      <w:r w:rsidR="00836F4C">
        <w:rPr>
          <w:rFonts w:ascii="Times New Roman" w:hAnsi="Times New Roman" w:cs="Times New Roman"/>
          <w:sz w:val="18"/>
          <w:szCs w:val="18"/>
        </w:rPr>
        <w:t xml:space="preserve">the </w:t>
      </w:r>
      <w:r w:rsidR="00E255BF">
        <w:rPr>
          <w:rFonts w:ascii="Times New Roman" w:hAnsi="Times New Roman" w:cs="Times New Roman"/>
          <w:sz w:val="18"/>
          <w:szCs w:val="18"/>
        </w:rPr>
        <w:t>percentage of adult smokers could still be subject to revision until the final report is published.</w:t>
      </w:r>
    </w:p>
    <w:p w14:paraId="2E431422" w14:textId="053A7487" w:rsidR="00C9632A" w:rsidRPr="009B3E2A" w:rsidRDefault="00C9632A" w:rsidP="00D337C1">
      <w:pPr>
        <w:pStyle w:val="FootnoteText"/>
        <w:ind w:right="80"/>
        <w:rPr>
          <w:rFonts w:ascii="Times New Roman" w:hAnsi="Times New Roman" w:cs="Times New Roman"/>
          <w:sz w:val="16"/>
          <w:szCs w:val="16"/>
        </w:rPr>
      </w:pPr>
      <w:r w:rsidRPr="00F46C6E">
        <w:rPr>
          <w:rFonts w:ascii="Times New Roman" w:hAnsi="Times New Roman" w:cs="Times New Roman"/>
          <w:sz w:val="18"/>
          <w:szCs w:val="18"/>
        </w:rPr>
        <w:t xml:space="preserve"> </w:t>
      </w:r>
    </w:p>
  </w:footnote>
  <w:footnote w:id="14">
    <w:p w14:paraId="1670D51B" w14:textId="4B693790" w:rsidR="000C529F" w:rsidRPr="000C529F" w:rsidRDefault="000C529F">
      <w:pPr>
        <w:pStyle w:val="FootnoteText"/>
        <w:rPr>
          <w:rFonts w:ascii="Times New Roman" w:hAnsi="Times New Roman" w:cs="Times New Roman"/>
          <w:sz w:val="18"/>
          <w:szCs w:val="18"/>
        </w:rPr>
      </w:pPr>
      <w:r w:rsidRPr="000C529F">
        <w:rPr>
          <w:rStyle w:val="FootnoteReference"/>
          <w:rFonts w:ascii="Times New Roman" w:hAnsi="Times New Roman" w:cs="Times New Roman"/>
          <w:sz w:val="18"/>
          <w:szCs w:val="18"/>
        </w:rPr>
        <w:footnoteRef/>
      </w:r>
      <w:r w:rsidRPr="000C529F">
        <w:rPr>
          <w:rFonts w:ascii="Times New Roman" w:hAnsi="Times New Roman" w:cs="Times New Roman"/>
          <w:sz w:val="18"/>
          <w:szCs w:val="18"/>
        </w:rPr>
        <w:t xml:space="preserve"> See </w:t>
      </w:r>
      <w:hyperlink r:id="rId7" w:history="1">
        <w:r w:rsidRPr="000C529F">
          <w:rPr>
            <w:rStyle w:val="Hyperlink"/>
            <w:rFonts w:ascii="Times New Roman" w:eastAsia="Times New Roman" w:hAnsi="Times New Roman" w:cs="Times New Roman"/>
            <w:sz w:val="18"/>
            <w:szCs w:val="18"/>
          </w:rPr>
          <w:t>https://www.mass.gov/lists/brfss-statewide-reports-and-publications</w:t>
        </w:r>
      </w:hyperlink>
      <w:r w:rsidRPr="000C529F">
        <w:rPr>
          <w:rFonts w:ascii="Times New Roman" w:hAnsi="Times New Roman" w:cs="Times New Roman"/>
          <w:sz w:val="18"/>
          <w:szCs w:val="18"/>
        </w:rPr>
        <w:t xml:space="preserve"> (</w:t>
      </w:r>
      <w:bookmarkStart w:id="13" w:name="_Hlk188431497"/>
      <w:r w:rsidRPr="000C529F">
        <w:rPr>
          <w:rFonts w:ascii="Times New Roman" w:hAnsi="Times New Roman" w:cs="Times New Roman"/>
          <w:sz w:val="18"/>
          <w:szCs w:val="18"/>
        </w:rPr>
        <w:t xml:space="preserve">Massachusetts Behavioral Risk Factor Surveillance System </w:t>
      </w:r>
      <w:bookmarkEnd w:id="13"/>
      <w:r w:rsidRPr="000C529F">
        <w:rPr>
          <w:rFonts w:ascii="Times New Roman" w:hAnsi="Times New Roman" w:cs="Times New Roman"/>
          <w:sz w:val="18"/>
          <w:szCs w:val="18"/>
        </w:rPr>
        <w:t>(BRFSS) data</w:t>
      </w:r>
      <w:r>
        <w:rPr>
          <w:rFonts w:ascii="Times New Roman" w:hAnsi="Times New Roman" w:cs="Times New Roman"/>
          <w:sz w:val="18"/>
          <w:szCs w:val="18"/>
        </w:rPr>
        <w:t xml:space="preserve"> – smokeless tobacco use among adults </w:t>
      </w:r>
      <w:r w:rsidR="004C5CAC">
        <w:rPr>
          <w:rFonts w:ascii="Times New Roman" w:hAnsi="Times New Roman" w:cs="Times New Roman"/>
          <w:sz w:val="18"/>
          <w:szCs w:val="18"/>
        </w:rPr>
        <w:t>has declined since 20</w:t>
      </w:r>
      <w:r w:rsidR="00D77C63">
        <w:rPr>
          <w:rFonts w:ascii="Times New Roman" w:hAnsi="Times New Roman" w:cs="Times New Roman"/>
          <w:sz w:val="18"/>
          <w:szCs w:val="18"/>
        </w:rPr>
        <w:t xml:space="preserve">18 when 2.8% of adults reported using smokeless tobacco and </w:t>
      </w:r>
      <w:r w:rsidR="005D0F4E">
        <w:rPr>
          <w:rFonts w:ascii="Times New Roman" w:hAnsi="Times New Roman" w:cs="Times New Roman"/>
          <w:sz w:val="18"/>
          <w:szCs w:val="18"/>
        </w:rPr>
        <w:t xml:space="preserve">has </w:t>
      </w:r>
      <w:r w:rsidR="003F2138">
        <w:rPr>
          <w:rFonts w:ascii="Times New Roman" w:hAnsi="Times New Roman" w:cs="Times New Roman"/>
          <w:sz w:val="18"/>
          <w:szCs w:val="18"/>
        </w:rPr>
        <w:t xml:space="preserve">continued to decrease to </w:t>
      </w:r>
      <w:r w:rsidR="00D77C63">
        <w:rPr>
          <w:rFonts w:ascii="Times New Roman" w:hAnsi="Times New Roman" w:cs="Times New Roman"/>
          <w:sz w:val="18"/>
          <w:szCs w:val="18"/>
        </w:rPr>
        <w:t xml:space="preserve">2.3% in 2019, </w:t>
      </w:r>
      <w:r>
        <w:rPr>
          <w:rFonts w:ascii="Times New Roman" w:hAnsi="Times New Roman" w:cs="Times New Roman"/>
          <w:sz w:val="18"/>
          <w:szCs w:val="18"/>
        </w:rPr>
        <w:t>1.7% in 2021,</w:t>
      </w:r>
      <w:r w:rsidR="00D77C63">
        <w:rPr>
          <w:rFonts w:ascii="Times New Roman" w:hAnsi="Times New Roman" w:cs="Times New Roman"/>
          <w:sz w:val="18"/>
          <w:szCs w:val="18"/>
        </w:rPr>
        <w:t xml:space="preserve"> </w:t>
      </w:r>
      <w:r w:rsidR="003F2138">
        <w:rPr>
          <w:rFonts w:ascii="Times New Roman" w:hAnsi="Times New Roman" w:cs="Times New Roman"/>
          <w:sz w:val="18"/>
          <w:szCs w:val="18"/>
        </w:rPr>
        <w:t xml:space="preserve">and </w:t>
      </w:r>
      <w:r w:rsidR="009F3553">
        <w:rPr>
          <w:rFonts w:ascii="Times New Roman" w:hAnsi="Times New Roman" w:cs="Times New Roman"/>
          <w:sz w:val="18"/>
          <w:szCs w:val="18"/>
        </w:rPr>
        <w:t>1.4% in 2023</w:t>
      </w:r>
      <w:r w:rsidRPr="000C529F">
        <w:rPr>
          <w:rFonts w:ascii="Times New Roman" w:hAnsi="Times New Roman" w:cs="Times New Roman"/>
          <w:sz w:val="18"/>
          <w:szCs w:val="18"/>
        </w:rPr>
        <w:t xml:space="preserve">) (accessed on </w:t>
      </w:r>
      <w:r>
        <w:rPr>
          <w:rFonts w:ascii="Times New Roman" w:hAnsi="Times New Roman" w:cs="Times New Roman"/>
          <w:sz w:val="18"/>
          <w:szCs w:val="18"/>
        </w:rPr>
        <w:t xml:space="preserve">February </w:t>
      </w:r>
      <w:r w:rsidR="009F3553">
        <w:rPr>
          <w:rFonts w:ascii="Times New Roman" w:hAnsi="Times New Roman" w:cs="Times New Roman"/>
          <w:sz w:val="18"/>
          <w:szCs w:val="18"/>
        </w:rPr>
        <w:t>3</w:t>
      </w:r>
      <w:r w:rsidRPr="000C529F">
        <w:rPr>
          <w:rFonts w:ascii="Times New Roman" w:hAnsi="Times New Roman" w:cs="Times New Roman"/>
          <w:sz w:val="18"/>
          <w:szCs w:val="18"/>
        </w:rPr>
        <w:t>, 202</w:t>
      </w:r>
      <w:r w:rsidR="009F3553">
        <w:rPr>
          <w:rFonts w:ascii="Times New Roman" w:hAnsi="Times New Roman" w:cs="Times New Roman"/>
          <w:sz w:val="18"/>
          <w:szCs w:val="18"/>
        </w:rPr>
        <w:t>5</w:t>
      </w:r>
      <w:r w:rsidRPr="000C529F">
        <w:rPr>
          <w:rFonts w:ascii="Times New Roman" w:hAnsi="Times New Roman" w:cs="Times New Roman"/>
          <w:sz w:val="18"/>
          <w:szCs w:val="18"/>
        </w:rPr>
        <w:t>).</w:t>
      </w:r>
      <w:r w:rsidR="00B37103">
        <w:rPr>
          <w:rFonts w:ascii="Times New Roman" w:hAnsi="Times New Roman" w:cs="Times New Roman"/>
          <w:sz w:val="18"/>
          <w:szCs w:val="18"/>
        </w:rPr>
        <w:t xml:space="preserve"> The 2024 data has not yet been released by DPH.</w:t>
      </w:r>
    </w:p>
    <w:p w14:paraId="37DB2D15" w14:textId="77777777" w:rsidR="000C529F" w:rsidRPr="000C529F" w:rsidRDefault="000C529F">
      <w:pPr>
        <w:pStyle w:val="FootnoteText"/>
        <w:rPr>
          <w:rFonts w:ascii="Times New Roman" w:hAnsi="Times New Roman" w:cs="Times New Roman"/>
          <w:sz w:val="18"/>
          <w:szCs w:val="18"/>
        </w:rPr>
      </w:pPr>
    </w:p>
  </w:footnote>
  <w:footnote w:id="15">
    <w:p w14:paraId="54F1D2B0" w14:textId="0E03E656" w:rsidR="003F2138" w:rsidRPr="00864244" w:rsidRDefault="003F2138" w:rsidP="003F2138">
      <w:pPr>
        <w:pStyle w:val="FootnoteText"/>
        <w:rPr>
          <w:rFonts w:ascii="Times New Roman" w:hAnsi="Times New Roman" w:cs="Times New Roman"/>
          <w:sz w:val="18"/>
          <w:szCs w:val="18"/>
        </w:rPr>
      </w:pPr>
      <w:r w:rsidRPr="00864244">
        <w:rPr>
          <w:rStyle w:val="FootnoteReference"/>
          <w:rFonts w:ascii="Times New Roman" w:hAnsi="Times New Roman" w:cs="Times New Roman"/>
          <w:sz w:val="18"/>
          <w:szCs w:val="18"/>
        </w:rPr>
        <w:footnoteRef/>
      </w:r>
      <w:r w:rsidRPr="00864244">
        <w:rPr>
          <w:rFonts w:ascii="Times New Roman" w:hAnsi="Times New Roman" w:cs="Times New Roman"/>
          <w:sz w:val="18"/>
          <w:szCs w:val="18"/>
        </w:rPr>
        <w:t xml:space="preserve"> See </w:t>
      </w:r>
      <w:hyperlink r:id="rId8" w:history="1">
        <w:r w:rsidRPr="00872B93">
          <w:rPr>
            <w:rStyle w:val="Hyperlink"/>
            <w:rFonts w:ascii="Times New Roman" w:hAnsi="Times New Roman" w:cs="Times New Roman"/>
            <w:sz w:val="18"/>
            <w:szCs w:val="18"/>
          </w:rPr>
          <w:t>https://www.ftc.gov/news-events/news/press-releases/2023/10/ftc-releases-reports-cigarette-smokeless-tobacco-sales-marketing-expenditures-2022</w:t>
        </w:r>
      </w:hyperlink>
      <w:r>
        <w:rPr>
          <w:rFonts w:ascii="Times New Roman" w:hAnsi="Times New Roman" w:cs="Times New Roman"/>
          <w:sz w:val="18"/>
          <w:szCs w:val="18"/>
        </w:rPr>
        <w:t xml:space="preserve"> </w:t>
      </w:r>
      <w:r w:rsidRPr="00B92C1E">
        <w:rPr>
          <w:rFonts w:ascii="Times New Roman" w:hAnsi="Times New Roman" w:cs="Times New Roman"/>
          <w:sz w:val="18"/>
          <w:szCs w:val="18"/>
        </w:rPr>
        <w:t xml:space="preserve"> </w:t>
      </w:r>
      <w:r w:rsidRPr="00864244">
        <w:rPr>
          <w:rFonts w:ascii="Times New Roman" w:hAnsi="Times New Roman" w:cs="Times New Roman"/>
          <w:sz w:val="18"/>
          <w:szCs w:val="18"/>
        </w:rPr>
        <w:t xml:space="preserve">(the amount of smokeless tobacco sold in the </w:t>
      </w:r>
      <w:r>
        <w:rPr>
          <w:rFonts w:ascii="Times New Roman" w:hAnsi="Times New Roman" w:cs="Times New Roman"/>
          <w:sz w:val="18"/>
          <w:szCs w:val="18"/>
        </w:rPr>
        <w:t>United States</w:t>
      </w:r>
      <w:r w:rsidRPr="00864244">
        <w:rPr>
          <w:rFonts w:ascii="Times New Roman" w:hAnsi="Times New Roman" w:cs="Times New Roman"/>
          <w:sz w:val="18"/>
          <w:szCs w:val="18"/>
        </w:rPr>
        <w:t xml:space="preserve"> </w:t>
      </w:r>
      <w:r>
        <w:rPr>
          <w:rFonts w:ascii="Times New Roman" w:hAnsi="Times New Roman" w:cs="Times New Roman"/>
          <w:sz w:val="18"/>
          <w:szCs w:val="18"/>
        </w:rPr>
        <w:t xml:space="preserve">(in pounds) has </w:t>
      </w:r>
      <w:r w:rsidRPr="00864244">
        <w:rPr>
          <w:rFonts w:ascii="Times New Roman" w:hAnsi="Times New Roman" w:cs="Times New Roman"/>
          <w:sz w:val="18"/>
          <w:szCs w:val="18"/>
        </w:rPr>
        <w:t>declin</w:t>
      </w:r>
      <w:r>
        <w:rPr>
          <w:rFonts w:ascii="Times New Roman" w:hAnsi="Times New Roman" w:cs="Times New Roman"/>
          <w:sz w:val="18"/>
          <w:szCs w:val="18"/>
        </w:rPr>
        <w:t>ed approximately 13.5</w:t>
      </w:r>
      <w:r w:rsidRPr="00864244">
        <w:rPr>
          <w:rFonts w:ascii="Times New Roman" w:hAnsi="Times New Roman" w:cs="Times New Roman"/>
          <w:sz w:val="18"/>
          <w:szCs w:val="18"/>
        </w:rPr>
        <w:t>% since 201</w:t>
      </w:r>
      <w:r>
        <w:rPr>
          <w:rFonts w:ascii="Times New Roman" w:hAnsi="Times New Roman" w:cs="Times New Roman"/>
          <w:sz w:val="18"/>
          <w:szCs w:val="18"/>
        </w:rPr>
        <w:t>7</w:t>
      </w:r>
      <w:r w:rsidRPr="00864244">
        <w:rPr>
          <w:rFonts w:ascii="Times New Roman" w:hAnsi="Times New Roman" w:cs="Times New Roman"/>
          <w:sz w:val="18"/>
          <w:szCs w:val="18"/>
        </w:rPr>
        <w:t xml:space="preserve">) (accessed </w:t>
      </w:r>
      <w:r>
        <w:rPr>
          <w:rFonts w:ascii="Times New Roman" w:hAnsi="Times New Roman" w:cs="Times New Roman"/>
          <w:sz w:val="18"/>
          <w:szCs w:val="18"/>
        </w:rPr>
        <w:t>January 29, 202</w:t>
      </w:r>
      <w:r w:rsidR="00C747C2">
        <w:rPr>
          <w:rFonts w:ascii="Times New Roman" w:hAnsi="Times New Roman" w:cs="Times New Roman"/>
          <w:sz w:val="18"/>
          <w:szCs w:val="18"/>
        </w:rPr>
        <w:t>5</w:t>
      </w:r>
      <w:r>
        <w:rPr>
          <w:rFonts w:ascii="Times New Roman" w:hAnsi="Times New Roman" w:cs="Times New Roman"/>
          <w:sz w:val="18"/>
          <w:szCs w:val="18"/>
        </w:rPr>
        <w:t>)</w:t>
      </w:r>
      <w:r w:rsidRPr="00864244">
        <w:rPr>
          <w:rFonts w:ascii="Times New Roman" w:hAnsi="Times New Roman" w:cs="Times New Roman"/>
          <w:sz w:val="18"/>
          <w:szCs w:val="18"/>
        </w:rPr>
        <w:t>.</w:t>
      </w:r>
      <w:r w:rsidR="00B37103">
        <w:rPr>
          <w:rFonts w:ascii="Times New Roman" w:hAnsi="Times New Roman" w:cs="Times New Roman"/>
          <w:sz w:val="18"/>
          <w:szCs w:val="18"/>
        </w:rPr>
        <w:t xml:space="preserve"> The 2022 data is the most recent reported by the FTC.</w:t>
      </w:r>
    </w:p>
    <w:p w14:paraId="5C2C9B4D" w14:textId="77777777" w:rsidR="003F2138" w:rsidRPr="00BB1F57" w:rsidRDefault="003F2138" w:rsidP="003F2138">
      <w:pPr>
        <w:pStyle w:val="FootnoteText"/>
        <w:rPr>
          <w:rFonts w:ascii="Times New Roman" w:hAnsi="Times New Roman" w:cs="Times New Roman"/>
          <w:sz w:val="18"/>
          <w:szCs w:val="18"/>
        </w:rPr>
      </w:pPr>
    </w:p>
  </w:footnote>
  <w:footnote w:id="16">
    <w:p w14:paraId="7FFCB81F" w14:textId="12A286F1" w:rsidR="0038287B" w:rsidRPr="00536659" w:rsidRDefault="0038287B" w:rsidP="0038287B">
      <w:pPr>
        <w:pStyle w:val="FootnoteText"/>
        <w:rPr>
          <w:rFonts w:ascii="Times New Roman" w:hAnsi="Times New Roman" w:cs="Times New Roman"/>
          <w:sz w:val="18"/>
          <w:szCs w:val="18"/>
        </w:rPr>
      </w:pPr>
      <w:r w:rsidRPr="00536659">
        <w:rPr>
          <w:rStyle w:val="FootnoteReference"/>
          <w:rFonts w:ascii="Times New Roman" w:hAnsi="Times New Roman" w:cs="Times New Roman"/>
          <w:sz w:val="18"/>
          <w:szCs w:val="18"/>
        </w:rPr>
        <w:footnoteRef/>
      </w:r>
      <w:r w:rsidRPr="00536659">
        <w:rPr>
          <w:rFonts w:ascii="Times New Roman" w:hAnsi="Times New Roman" w:cs="Times New Roman"/>
          <w:sz w:val="18"/>
          <w:szCs w:val="18"/>
        </w:rPr>
        <w:t xml:space="preserve"> See </w:t>
      </w:r>
      <w:hyperlink r:id="rId9" w:history="1">
        <w:r w:rsidRPr="00536659">
          <w:rPr>
            <w:rStyle w:val="Hyperlink"/>
            <w:rFonts w:ascii="Times New Roman" w:hAnsi="Times New Roman" w:cs="Times New Roman"/>
            <w:sz w:val="18"/>
            <w:szCs w:val="18"/>
          </w:rPr>
          <w:t>https://www.mass.gov/lists/brfss-statewide-reports-and-publications</w:t>
        </w:r>
      </w:hyperlink>
      <w:r w:rsidRPr="00536659">
        <w:rPr>
          <w:rFonts w:ascii="Times New Roman" w:hAnsi="Times New Roman" w:cs="Times New Roman"/>
          <w:sz w:val="18"/>
          <w:szCs w:val="18"/>
        </w:rPr>
        <w:t xml:space="preserve"> (comparing ENDS use by adults in the 2021 </w:t>
      </w:r>
      <w:r w:rsidR="005058AB">
        <w:rPr>
          <w:rFonts w:ascii="Times New Roman" w:hAnsi="Times New Roman" w:cs="Times New Roman"/>
          <w:sz w:val="18"/>
          <w:szCs w:val="18"/>
        </w:rPr>
        <w:t xml:space="preserve">- </w:t>
      </w:r>
      <w:r w:rsidRPr="00536659">
        <w:rPr>
          <w:rFonts w:ascii="Times New Roman" w:hAnsi="Times New Roman" w:cs="Times New Roman"/>
          <w:sz w:val="18"/>
          <w:szCs w:val="18"/>
        </w:rPr>
        <w:t>202</w:t>
      </w:r>
      <w:r w:rsidR="005058AB">
        <w:rPr>
          <w:rFonts w:ascii="Times New Roman" w:hAnsi="Times New Roman" w:cs="Times New Roman"/>
          <w:sz w:val="18"/>
          <w:szCs w:val="18"/>
        </w:rPr>
        <w:t>3</w:t>
      </w:r>
      <w:r w:rsidRPr="00536659">
        <w:rPr>
          <w:rFonts w:ascii="Times New Roman" w:hAnsi="Times New Roman" w:cs="Times New Roman"/>
          <w:sz w:val="18"/>
          <w:szCs w:val="18"/>
        </w:rPr>
        <w:t xml:space="preserve"> reports) (accessed on </w:t>
      </w:r>
      <w:r w:rsidR="005058AB">
        <w:rPr>
          <w:rFonts w:ascii="Times New Roman" w:hAnsi="Times New Roman" w:cs="Times New Roman"/>
          <w:sz w:val="18"/>
          <w:szCs w:val="18"/>
        </w:rPr>
        <w:t xml:space="preserve">February </w:t>
      </w:r>
      <w:r w:rsidR="00E255BF">
        <w:rPr>
          <w:rFonts w:ascii="Times New Roman" w:hAnsi="Times New Roman" w:cs="Times New Roman"/>
          <w:sz w:val="18"/>
          <w:szCs w:val="18"/>
        </w:rPr>
        <w:t>10</w:t>
      </w:r>
      <w:r w:rsidRPr="00536659">
        <w:rPr>
          <w:rFonts w:ascii="Times New Roman" w:hAnsi="Times New Roman" w:cs="Times New Roman"/>
          <w:sz w:val="18"/>
          <w:szCs w:val="18"/>
        </w:rPr>
        <w:t>, 202</w:t>
      </w:r>
      <w:r w:rsidR="00E255BF">
        <w:rPr>
          <w:rFonts w:ascii="Times New Roman" w:hAnsi="Times New Roman" w:cs="Times New Roman"/>
          <w:sz w:val="18"/>
          <w:szCs w:val="18"/>
        </w:rPr>
        <w:t>6</w:t>
      </w:r>
      <w:r w:rsidRPr="00536659">
        <w:rPr>
          <w:rFonts w:ascii="Times New Roman" w:hAnsi="Times New Roman" w:cs="Times New Roman"/>
          <w:sz w:val="18"/>
          <w:szCs w:val="18"/>
        </w:rPr>
        <w:t>).</w:t>
      </w:r>
      <w:r w:rsidR="00B37103">
        <w:rPr>
          <w:rFonts w:ascii="Times New Roman" w:hAnsi="Times New Roman" w:cs="Times New Roman"/>
          <w:sz w:val="18"/>
          <w:szCs w:val="18"/>
        </w:rPr>
        <w:t xml:space="preserve"> </w:t>
      </w:r>
      <w:r w:rsidR="00836F4C">
        <w:rPr>
          <w:rFonts w:ascii="Times New Roman" w:hAnsi="Times New Roman" w:cs="Times New Roman"/>
          <w:sz w:val="18"/>
          <w:szCs w:val="18"/>
        </w:rPr>
        <w:t>The 2024 preliminary data was received from the DPH, but the percentage of adults who use ENDS could still be subject to revision until the final report is published.</w:t>
      </w:r>
    </w:p>
    <w:p w14:paraId="1D30748D" w14:textId="77777777" w:rsidR="0038287B" w:rsidRPr="00536659" w:rsidRDefault="0038287B" w:rsidP="0038287B">
      <w:pPr>
        <w:pStyle w:val="FootnoteText"/>
        <w:rPr>
          <w:rFonts w:ascii="Times New Roman" w:hAnsi="Times New Roman" w:cs="Times New Roman"/>
          <w:sz w:val="18"/>
          <w:szCs w:val="18"/>
        </w:rPr>
      </w:pPr>
    </w:p>
  </w:footnote>
  <w:footnote w:id="17">
    <w:p w14:paraId="180656CF" w14:textId="6470CB8A" w:rsidR="00536659" w:rsidRPr="003116F6" w:rsidRDefault="00536659">
      <w:pPr>
        <w:pStyle w:val="FootnoteText"/>
        <w:rPr>
          <w:rFonts w:ascii="Times New Roman" w:hAnsi="Times New Roman" w:cs="Times New Roman"/>
          <w:sz w:val="18"/>
          <w:szCs w:val="18"/>
        </w:rPr>
      </w:pPr>
      <w:r w:rsidRPr="00536659">
        <w:rPr>
          <w:rStyle w:val="FootnoteReference"/>
          <w:rFonts w:ascii="Times New Roman" w:hAnsi="Times New Roman" w:cs="Times New Roman"/>
          <w:sz w:val="18"/>
          <w:szCs w:val="18"/>
        </w:rPr>
        <w:footnoteRef/>
      </w:r>
      <w:r w:rsidRPr="00536659">
        <w:rPr>
          <w:rFonts w:ascii="Times New Roman" w:hAnsi="Times New Roman" w:cs="Times New Roman"/>
          <w:sz w:val="18"/>
          <w:szCs w:val="18"/>
        </w:rPr>
        <w:t xml:space="preserve"> </w:t>
      </w:r>
      <w:r w:rsidRPr="003116F6">
        <w:rPr>
          <w:rFonts w:ascii="Times New Roman" w:hAnsi="Times New Roman" w:cs="Times New Roman"/>
          <w:sz w:val="18"/>
          <w:szCs w:val="18"/>
        </w:rPr>
        <w:t xml:space="preserve">See </w:t>
      </w:r>
      <w:hyperlink r:id="rId10" w:history="1">
        <w:r w:rsidR="003116F6" w:rsidRPr="003116F6">
          <w:rPr>
            <w:rStyle w:val="Hyperlink"/>
            <w:rFonts w:ascii="Times New Roman" w:hAnsi="Times New Roman" w:cs="Times New Roman"/>
            <w:sz w:val="18"/>
            <w:szCs w:val="18"/>
          </w:rPr>
          <w:t>https://www.cdc.gov/media/releases/2023/p0622-ecigarettes-sales.html</w:t>
        </w:r>
      </w:hyperlink>
      <w:r w:rsidR="003116F6" w:rsidRPr="003116F6">
        <w:rPr>
          <w:rFonts w:ascii="Times New Roman" w:hAnsi="Times New Roman" w:cs="Times New Roman"/>
          <w:sz w:val="18"/>
          <w:szCs w:val="18"/>
        </w:rPr>
        <w:t xml:space="preserve"> for </w:t>
      </w:r>
      <w:r w:rsidR="003116F6">
        <w:rPr>
          <w:rFonts w:ascii="Times New Roman" w:hAnsi="Times New Roman" w:cs="Times New Roman"/>
          <w:sz w:val="18"/>
          <w:szCs w:val="18"/>
        </w:rPr>
        <w:t xml:space="preserve">sales </w:t>
      </w:r>
      <w:r w:rsidR="003116F6" w:rsidRPr="003116F6">
        <w:rPr>
          <w:rFonts w:ascii="Times New Roman" w:hAnsi="Times New Roman" w:cs="Times New Roman"/>
          <w:sz w:val="18"/>
          <w:szCs w:val="18"/>
        </w:rPr>
        <w:t>data related to 2020 - 2022</w:t>
      </w:r>
      <w:r w:rsidRPr="003116F6">
        <w:rPr>
          <w:rFonts w:ascii="Times New Roman" w:hAnsi="Times New Roman" w:cs="Times New Roman"/>
          <w:sz w:val="18"/>
          <w:szCs w:val="18"/>
        </w:rPr>
        <w:t xml:space="preserve"> </w:t>
      </w:r>
      <w:r w:rsidR="003116F6" w:rsidRPr="003116F6">
        <w:rPr>
          <w:rFonts w:ascii="Times New Roman" w:hAnsi="Times New Roman" w:cs="Times New Roman"/>
          <w:sz w:val="18"/>
          <w:szCs w:val="18"/>
        </w:rPr>
        <w:t xml:space="preserve">and see </w:t>
      </w:r>
      <w:hyperlink r:id="rId11" w:history="1">
        <w:r w:rsidR="003116F6" w:rsidRPr="003116F6">
          <w:rPr>
            <w:rStyle w:val="Hyperlink"/>
            <w:rFonts w:ascii="Times New Roman" w:hAnsi="Times New Roman" w:cs="Times New Roman"/>
            <w:sz w:val="18"/>
            <w:szCs w:val="18"/>
          </w:rPr>
          <w:t>https://www.cdcfoundation.org/programs/monitoring-e-cigarette-use-among-youth</w:t>
        </w:r>
      </w:hyperlink>
      <w:r w:rsidR="003116F6" w:rsidRPr="003116F6">
        <w:rPr>
          <w:rFonts w:ascii="Times New Roman" w:hAnsi="Times New Roman" w:cs="Times New Roman"/>
          <w:sz w:val="18"/>
          <w:szCs w:val="18"/>
        </w:rPr>
        <w:t xml:space="preserve"> for ENDS sales </w:t>
      </w:r>
      <w:r w:rsidR="003116F6">
        <w:rPr>
          <w:rFonts w:ascii="Times New Roman" w:hAnsi="Times New Roman" w:cs="Times New Roman"/>
          <w:sz w:val="18"/>
          <w:szCs w:val="18"/>
        </w:rPr>
        <w:t xml:space="preserve">data </w:t>
      </w:r>
      <w:r w:rsidR="003116F6" w:rsidRPr="003116F6">
        <w:rPr>
          <w:rFonts w:ascii="Times New Roman" w:hAnsi="Times New Roman" w:cs="Times New Roman"/>
          <w:sz w:val="18"/>
          <w:szCs w:val="18"/>
        </w:rPr>
        <w:t xml:space="preserve">for 2020 – 2024 (accessed </w:t>
      </w:r>
      <w:r w:rsidR="00111C11">
        <w:rPr>
          <w:rFonts w:ascii="Times New Roman" w:hAnsi="Times New Roman" w:cs="Times New Roman"/>
          <w:sz w:val="18"/>
          <w:szCs w:val="18"/>
        </w:rPr>
        <w:t>January 22</w:t>
      </w:r>
      <w:r w:rsidR="003116F6" w:rsidRPr="003116F6">
        <w:rPr>
          <w:rFonts w:ascii="Times New Roman" w:hAnsi="Times New Roman" w:cs="Times New Roman"/>
          <w:sz w:val="18"/>
          <w:szCs w:val="18"/>
        </w:rPr>
        <w:t>, 202</w:t>
      </w:r>
      <w:r w:rsidR="00111C11">
        <w:rPr>
          <w:rFonts w:ascii="Times New Roman" w:hAnsi="Times New Roman" w:cs="Times New Roman"/>
          <w:sz w:val="18"/>
          <w:szCs w:val="18"/>
        </w:rPr>
        <w:t>6</w:t>
      </w:r>
      <w:r w:rsidR="003116F6" w:rsidRPr="003116F6">
        <w:rPr>
          <w:rFonts w:ascii="Times New Roman" w:hAnsi="Times New Roman" w:cs="Times New Roman"/>
          <w:sz w:val="18"/>
          <w:szCs w:val="18"/>
        </w:rPr>
        <w:t>).</w:t>
      </w:r>
    </w:p>
    <w:p w14:paraId="02ABA5F2" w14:textId="77777777" w:rsidR="00536659" w:rsidRPr="0038287B" w:rsidRDefault="00536659">
      <w:pPr>
        <w:pStyle w:val="FootnoteText"/>
        <w:rPr>
          <w:rFonts w:ascii="Times New Roman" w:hAnsi="Times New Roman" w:cs="Times New Roman"/>
          <w:sz w:val="18"/>
          <w:szCs w:val="18"/>
        </w:rPr>
      </w:pPr>
    </w:p>
  </w:footnote>
  <w:footnote w:id="18">
    <w:p w14:paraId="27E2C19E" w14:textId="1510F4A3" w:rsidR="0038287B" w:rsidRPr="0038287B" w:rsidRDefault="0038287B">
      <w:pPr>
        <w:pStyle w:val="FootnoteText"/>
        <w:rPr>
          <w:rFonts w:ascii="Times New Roman" w:hAnsi="Times New Roman" w:cs="Times New Roman"/>
          <w:sz w:val="18"/>
          <w:szCs w:val="18"/>
        </w:rPr>
      </w:pPr>
      <w:r w:rsidRPr="0038287B">
        <w:rPr>
          <w:rStyle w:val="FootnoteReference"/>
          <w:rFonts w:ascii="Times New Roman" w:hAnsi="Times New Roman" w:cs="Times New Roman"/>
          <w:sz w:val="18"/>
          <w:szCs w:val="18"/>
        </w:rPr>
        <w:footnoteRef/>
      </w:r>
      <w:r w:rsidRPr="0038287B">
        <w:rPr>
          <w:rFonts w:ascii="Times New Roman" w:hAnsi="Times New Roman" w:cs="Times New Roman"/>
          <w:sz w:val="18"/>
          <w:szCs w:val="18"/>
        </w:rPr>
        <w:t xml:space="preserve"> See </w:t>
      </w:r>
      <w:hyperlink r:id="rId12" w:history="1">
        <w:r w:rsidRPr="0038287B">
          <w:rPr>
            <w:rStyle w:val="Hyperlink"/>
            <w:rFonts w:ascii="Times New Roman" w:hAnsi="Times New Roman" w:cs="Times New Roman"/>
            <w:sz w:val="18"/>
            <w:szCs w:val="18"/>
          </w:rPr>
          <w:t>https://www.fda.gov/tobacco-products/youth-and-tobacco/results-annual-national-youth-tobacco-survey</w:t>
        </w:r>
      </w:hyperlink>
      <w:r>
        <w:rPr>
          <w:rFonts w:ascii="Times New Roman" w:hAnsi="Times New Roman" w:cs="Times New Roman"/>
          <w:sz w:val="18"/>
          <w:szCs w:val="18"/>
        </w:rPr>
        <w:t xml:space="preserve"> (comparing 202</w:t>
      </w:r>
      <w:r w:rsidR="00FC7499">
        <w:rPr>
          <w:rFonts w:ascii="Times New Roman" w:hAnsi="Times New Roman" w:cs="Times New Roman"/>
          <w:sz w:val="18"/>
          <w:szCs w:val="18"/>
        </w:rPr>
        <w:t>3</w:t>
      </w:r>
      <w:r>
        <w:rPr>
          <w:rFonts w:ascii="Times New Roman" w:hAnsi="Times New Roman" w:cs="Times New Roman"/>
          <w:sz w:val="18"/>
          <w:szCs w:val="18"/>
        </w:rPr>
        <w:t xml:space="preserve"> and 202</w:t>
      </w:r>
      <w:r w:rsidR="00FC7499">
        <w:rPr>
          <w:rFonts w:ascii="Times New Roman" w:hAnsi="Times New Roman" w:cs="Times New Roman"/>
          <w:sz w:val="18"/>
          <w:szCs w:val="18"/>
        </w:rPr>
        <w:t>4</w:t>
      </w:r>
      <w:r>
        <w:rPr>
          <w:rFonts w:ascii="Times New Roman" w:hAnsi="Times New Roman" w:cs="Times New Roman"/>
          <w:sz w:val="18"/>
          <w:szCs w:val="18"/>
        </w:rPr>
        <w:t xml:space="preserve"> Annual National Youth Tobacco Survey) (accessed on </w:t>
      </w:r>
      <w:r w:rsidR="00FC7499">
        <w:rPr>
          <w:rFonts w:ascii="Times New Roman" w:hAnsi="Times New Roman" w:cs="Times New Roman"/>
          <w:sz w:val="18"/>
          <w:szCs w:val="18"/>
        </w:rPr>
        <w:t>February 6</w:t>
      </w:r>
      <w:r>
        <w:rPr>
          <w:rFonts w:ascii="Times New Roman" w:hAnsi="Times New Roman" w:cs="Times New Roman"/>
          <w:sz w:val="18"/>
          <w:szCs w:val="18"/>
        </w:rPr>
        <w:t>, 202</w:t>
      </w:r>
      <w:r w:rsidR="00FC7499">
        <w:rPr>
          <w:rFonts w:ascii="Times New Roman" w:hAnsi="Times New Roman" w:cs="Times New Roman"/>
          <w:sz w:val="18"/>
          <w:szCs w:val="18"/>
        </w:rPr>
        <w:t>5</w:t>
      </w:r>
      <w:r>
        <w:rPr>
          <w:rFonts w:ascii="Times New Roman" w:hAnsi="Times New Roman" w:cs="Times New Roman"/>
          <w:sz w:val="18"/>
          <w:szCs w:val="18"/>
        </w:rPr>
        <w:t>).</w:t>
      </w:r>
      <w:r w:rsidR="00B37103">
        <w:rPr>
          <w:rFonts w:ascii="Times New Roman" w:hAnsi="Times New Roman" w:cs="Times New Roman"/>
          <w:sz w:val="18"/>
          <w:szCs w:val="18"/>
        </w:rPr>
        <w:t xml:space="preserve"> </w:t>
      </w:r>
      <w:r w:rsidR="005B77AD">
        <w:rPr>
          <w:rFonts w:ascii="Times New Roman" w:hAnsi="Times New Roman" w:cs="Times New Roman"/>
          <w:sz w:val="18"/>
          <w:szCs w:val="18"/>
        </w:rPr>
        <w:t>T</w:t>
      </w:r>
      <w:r w:rsidR="00B37103">
        <w:rPr>
          <w:rFonts w:ascii="Times New Roman" w:hAnsi="Times New Roman" w:cs="Times New Roman"/>
          <w:sz w:val="18"/>
          <w:szCs w:val="18"/>
        </w:rPr>
        <w:t>his is the most current FDA report. See also</w:t>
      </w:r>
      <w:r w:rsidR="00FC7499">
        <w:rPr>
          <w:rFonts w:ascii="Times New Roman" w:hAnsi="Times New Roman" w:cs="Times New Roman"/>
          <w:sz w:val="18"/>
          <w:szCs w:val="18"/>
        </w:rPr>
        <w:t xml:space="preserve"> </w:t>
      </w:r>
      <w:hyperlink r:id="rId13" w:history="1">
        <w:r w:rsidR="00FC7499" w:rsidRPr="005B01B4">
          <w:rPr>
            <w:rStyle w:val="Hyperlink"/>
            <w:rFonts w:ascii="Times New Roman" w:hAnsi="Times New Roman" w:cs="Times New Roman"/>
            <w:sz w:val="18"/>
            <w:szCs w:val="18"/>
          </w:rPr>
          <w:t>https://www.mass.gov/lists/massachusetts-youth-health-survey-myhs</w:t>
        </w:r>
      </w:hyperlink>
      <w:r w:rsidR="00FC7499">
        <w:rPr>
          <w:rFonts w:ascii="Times New Roman" w:hAnsi="Times New Roman" w:cs="Times New Roman"/>
          <w:sz w:val="18"/>
          <w:szCs w:val="18"/>
        </w:rPr>
        <w:t xml:space="preserve"> for Massachusetts data (accessed February 6, 2025)</w:t>
      </w:r>
      <w:r w:rsidR="00B37103">
        <w:rPr>
          <w:rFonts w:ascii="Times New Roman" w:hAnsi="Times New Roman" w:cs="Times New Roman"/>
          <w:sz w:val="18"/>
          <w:szCs w:val="18"/>
        </w:rPr>
        <w:t>.</w:t>
      </w:r>
      <w:r w:rsidR="005B77AD">
        <w:rPr>
          <w:rFonts w:ascii="Times New Roman" w:hAnsi="Times New Roman" w:cs="Times New Roman"/>
          <w:sz w:val="18"/>
          <w:szCs w:val="18"/>
        </w:rPr>
        <w:t xml:space="preserve"> The 2024 data has not yet been released by DPH.</w:t>
      </w:r>
    </w:p>
    <w:p w14:paraId="75B5077F" w14:textId="77777777" w:rsidR="0038287B" w:rsidRPr="0038287B" w:rsidRDefault="0038287B">
      <w:pPr>
        <w:pStyle w:val="FootnoteText"/>
        <w:rPr>
          <w:rFonts w:ascii="Times New Roman" w:hAnsi="Times New Roman" w:cs="Times New Roman"/>
          <w:sz w:val="18"/>
          <w:szCs w:val="18"/>
        </w:rPr>
      </w:pPr>
    </w:p>
  </w:footnote>
  <w:footnote w:id="19">
    <w:p w14:paraId="65B38DF6" w14:textId="276C8AE8" w:rsidR="003D1EE9" w:rsidRPr="00B04118" w:rsidRDefault="003D1EE9" w:rsidP="003D1EE9">
      <w:pPr>
        <w:pStyle w:val="FootnoteText"/>
        <w:ind w:right="80"/>
        <w:rPr>
          <w:rFonts w:ascii="Times New Roman" w:hAnsi="Times New Roman" w:cs="Times New Roman"/>
          <w:sz w:val="18"/>
          <w:szCs w:val="18"/>
        </w:rPr>
      </w:pPr>
      <w:r w:rsidRPr="00B04118">
        <w:rPr>
          <w:rStyle w:val="FootnoteReference"/>
          <w:rFonts w:ascii="Times New Roman" w:hAnsi="Times New Roman" w:cs="Times New Roman"/>
          <w:sz w:val="18"/>
          <w:szCs w:val="18"/>
        </w:rPr>
        <w:footnoteRef/>
      </w:r>
      <w:r w:rsidRPr="00B04118">
        <w:rPr>
          <w:rFonts w:ascii="Times New Roman" w:hAnsi="Times New Roman" w:cs="Times New Roman"/>
          <w:sz w:val="18"/>
          <w:szCs w:val="18"/>
        </w:rPr>
        <w:t xml:space="preserve"> </w:t>
      </w:r>
      <w:r w:rsidRPr="00B04118">
        <w:rPr>
          <w:rFonts w:ascii="Times New Roman" w:hAnsi="Times New Roman" w:cs="Times New Roman"/>
          <w:iCs/>
          <w:sz w:val="18"/>
          <w:szCs w:val="18"/>
        </w:rPr>
        <w:t>See</w:t>
      </w:r>
      <w:r w:rsidRPr="00B04118">
        <w:rPr>
          <w:rFonts w:ascii="Times New Roman" w:hAnsi="Times New Roman" w:cs="Times New Roman"/>
          <w:sz w:val="18"/>
          <w:szCs w:val="18"/>
        </w:rPr>
        <w:t xml:space="preserve"> </w:t>
      </w:r>
      <w:hyperlink r:id="rId14" w:history="1">
        <w:r w:rsidRPr="00B04118">
          <w:rPr>
            <w:rStyle w:val="Hyperlink"/>
            <w:rFonts w:ascii="Times New Roman" w:hAnsi="Times New Roman" w:cs="Times New Roman"/>
            <w:sz w:val="18"/>
            <w:szCs w:val="18"/>
          </w:rPr>
          <w:t>https://www.mass.gov/info-details/dor-cigarette-tobacco-and-vaping-excise-tax#</w:t>
        </w:r>
      </w:hyperlink>
      <w:r w:rsidRPr="00B04118">
        <w:rPr>
          <w:rFonts w:ascii="Times New Roman" w:hAnsi="Times New Roman" w:cs="Times New Roman"/>
          <w:sz w:val="18"/>
          <w:szCs w:val="18"/>
        </w:rPr>
        <w:t xml:space="preserve"> (related to the Massachusetts excise tax rate on smokeless tobacco products as 210% of wholesale price (highest in the nation) and the rate on cigars and smoking tobacco as 40% of wholesale price). See also </w:t>
      </w:r>
      <w:hyperlink r:id="rId15" w:history="1">
        <w:r w:rsidRPr="00B04118">
          <w:rPr>
            <w:rStyle w:val="Hyperlink"/>
            <w:rFonts w:ascii="Times New Roman" w:hAnsi="Times New Roman" w:cs="Times New Roman"/>
            <w:sz w:val="18"/>
            <w:szCs w:val="18"/>
          </w:rPr>
          <w:t>https://www.atf.gov/resource-center/fact-sheet/fact-sheet-tobacco-enforcement#</w:t>
        </w:r>
      </w:hyperlink>
      <w:r w:rsidRPr="00B04118">
        <w:rPr>
          <w:rFonts w:ascii="Times New Roman" w:hAnsi="Times New Roman" w:cs="Times New Roman"/>
          <w:sz w:val="18"/>
          <w:szCs w:val="18"/>
        </w:rPr>
        <w:t xml:space="preserve"> (related to the   trafficking </w:t>
      </w:r>
      <w:r w:rsidR="00B37103">
        <w:rPr>
          <w:rFonts w:ascii="Times New Roman" w:hAnsi="Times New Roman" w:cs="Times New Roman"/>
          <w:sz w:val="18"/>
          <w:szCs w:val="18"/>
        </w:rPr>
        <w:t>o</w:t>
      </w:r>
      <w:r w:rsidRPr="00B04118">
        <w:rPr>
          <w:rFonts w:ascii="Times New Roman" w:hAnsi="Times New Roman" w:cs="Times New Roman"/>
          <w:sz w:val="18"/>
          <w:szCs w:val="18"/>
        </w:rPr>
        <w:t>f tobacco products from states with low tax rates to states with higher tax rates</w:t>
      </w:r>
      <w:r>
        <w:rPr>
          <w:rFonts w:ascii="Times New Roman" w:hAnsi="Times New Roman" w:cs="Times New Roman"/>
          <w:sz w:val="18"/>
          <w:szCs w:val="18"/>
        </w:rPr>
        <w:t>)</w:t>
      </w:r>
      <w:r w:rsidRPr="00B04118">
        <w:rPr>
          <w:rFonts w:ascii="Times New Roman" w:hAnsi="Times New Roman" w:cs="Times New Roman"/>
          <w:sz w:val="18"/>
          <w:szCs w:val="18"/>
        </w:rPr>
        <w:t xml:space="preserve"> (accessed on </w:t>
      </w:r>
      <w:r>
        <w:rPr>
          <w:rFonts w:ascii="Times New Roman" w:hAnsi="Times New Roman" w:cs="Times New Roman"/>
          <w:sz w:val="18"/>
          <w:szCs w:val="18"/>
        </w:rPr>
        <w:t>January 21, 2026)</w:t>
      </w:r>
      <w:r w:rsidRPr="00B04118">
        <w:rPr>
          <w:rFonts w:ascii="Times New Roman" w:hAnsi="Times New Roman" w:cs="Times New Roman"/>
          <w:sz w:val="18"/>
          <w:szCs w:val="18"/>
        </w:rPr>
        <w:t>.</w:t>
      </w:r>
    </w:p>
    <w:p w14:paraId="345A160C" w14:textId="77777777" w:rsidR="003D1EE9" w:rsidRPr="00B04118" w:rsidRDefault="003D1EE9" w:rsidP="003D1EE9">
      <w:pPr>
        <w:pStyle w:val="FootnoteText"/>
        <w:ind w:right="80"/>
        <w:rPr>
          <w:rFonts w:ascii="Times New Roman" w:hAnsi="Times New Roman" w:cs="Times New Roman"/>
          <w:sz w:val="18"/>
          <w:szCs w:val="18"/>
        </w:rPr>
      </w:pPr>
    </w:p>
  </w:footnote>
  <w:footnote w:id="20">
    <w:p w14:paraId="6C58A207" w14:textId="77777777" w:rsidR="005B77AD" w:rsidRPr="00864244" w:rsidRDefault="005B77AD" w:rsidP="005B77AD">
      <w:pPr>
        <w:pStyle w:val="FootnoteText"/>
        <w:rPr>
          <w:rFonts w:ascii="Times New Roman" w:hAnsi="Times New Roman" w:cs="Times New Roman"/>
          <w:sz w:val="18"/>
          <w:szCs w:val="18"/>
        </w:rPr>
      </w:pPr>
      <w:r w:rsidRPr="00864244">
        <w:rPr>
          <w:rStyle w:val="FootnoteReference"/>
          <w:rFonts w:ascii="Times New Roman" w:hAnsi="Times New Roman" w:cs="Times New Roman"/>
          <w:sz w:val="18"/>
          <w:szCs w:val="18"/>
        </w:rPr>
        <w:footnoteRef/>
      </w:r>
      <w:r w:rsidRPr="00864244">
        <w:rPr>
          <w:rFonts w:ascii="Times New Roman" w:hAnsi="Times New Roman" w:cs="Times New Roman"/>
          <w:sz w:val="18"/>
          <w:szCs w:val="18"/>
        </w:rPr>
        <w:t xml:space="preserve"> See </w:t>
      </w:r>
      <w:hyperlink r:id="rId16" w:history="1">
        <w:r w:rsidRPr="00864244">
          <w:rPr>
            <w:rStyle w:val="Hyperlink"/>
            <w:rFonts w:ascii="Times New Roman" w:hAnsi="Times New Roman" w:cs="Times New Roman"/>
            <w:sz w:val="18"/>
            <w:szCs w:val="18"/>
          </w:rPr>
          <w:t>https://www.mass.gov/lists/brfss-statewide-reports-and-publications</w:t>
        </w:r>
      </w:hyperlink>
      <w:r w:rsidRPr="00864244">
        <w:rPr>
          <w:rFonts w:ascii="Times New Roman" w:hAnsi="Times New Roman" w:cs="Times New Roman"/>
          <w:sz w:val="18"/>
          <w:szCs w:val="18"/>
        </w:rPr>
        <w:t xml:space="preserve"> </w:t>
      </w:r>
      <w:r>
        <w:rPr>
          <w:rFonts w:ascii="Times New Roman" w:hAnsi="Times New Roman" w:cs="Times New Roman"/>
          <w:sz w:val="18"/>
          <w:szCs w:val="18"/>
        </w:rPr>
        <w:t xml:space="preserve">and </w:t>
      </w:r>
      <w:hyperlink r:id="rId17" w:history="1">
        <w:r w:rsidRPr="000B1279">
          <w:rPr>
            <w:rStyle w:val="Hyperlink"/>
            <w:rFonts w:ascii="Times New Roman" w:hAnsi="Times New Roman" w:cs="Times New Roman"/>
            <w:sz w:val="18"/>
            <w:szCs w:val="18"/>
          </w:rPr>
          <w:t>https://www.cdc.gov/media/releases/2024/p0905-youth-ecigarette.html</w:t>
        </w:r>
      </w:hyperlink>
      <w:r>
        <w:rPr>
          <w:rFonts w:ascii="Times New Roman" w:hAnsi="Times New Roman" w:cs="Times New Roman"/>
          <w:sz w:val="18"/>
          <w:szCs w:val="18"/>
        </w:rPr>
        <w:t xml:space="preserve"> for nationwide data (accessed on February 3, 2025). The 2024 data has not yet been released by DPH.</w:t>
      </w:r>
    </w:p>
    <w:p w14:paraId="1F4CE88C" w14:textId="77777777" w:rsidR="005B77AD" w:rsidRPr="00864244" w:rsidRDefault="005B77AD" w:rsidP="005B77AD">
      <w:pPr>
        <w:pStyle w:val="FootnoteText"/>
        <w:rPr>
          <w:rFonts w:ascii="Times New Roman" w:hAnsi="Times New Roman" w:cs="Times New Roman"/>
          <w:b/>
          <w:bCs/>
          <w:sz w:val="18"/>
          <w:szCs w:val="18"/>
        </w:rPr>
      </w:pPr>
    </w:p>
  </w:footnote>
  <w:footnote w:id="21">
    <w:p w14:paraId="07EDA833" w14:textId="150D1D2E" w:rsidR="008311D1" w:rsidRPr="00730502" w:rsidRDefault="008311D1">
      <w:pPr>
        <w:pStyle w:val="FootnoteText"/>
        <w:rPr>
          <w:rFonts w:ascii="Times New Roman" w:hAnsi="Times New Roman" w:cs="Times New Roman"/>
          <w:sz w:val="18"/>
          <w:szCs w:val="18"/>
        </w:rPr>
      </w:pPr>
      <w:r w:rsidRPr="00730502">
        <w:rPr>
          <w:rStyle w:val="FootnoteReference"/>
          <w:rFonts w:ascii="Times New Roman" w:hAnsi="Times New Roman" w:cs="Times New Roman"/>
          <w:sz w:val="18"/>
          <w:szCs w:val="18"/>
        </w:rPr>
        <w:footnoteRef/>
      </w:r>
      <w:r w:rsidRPr="00730502">
        <w:rPr>
          <w:rFonts w:ascii="Times New Roman" w:hAnsi="Times New Roman" w:cs="Times New Roman"/>
          <w:sz w:val="18"/>
          <w:szCs w:val="18"/>
        </w:rPr>
        <w:t xml:space="preserve"> The significant increase in ENDS seizures by the State Police during FY24 was due to a single </w:t>
      </w:r>
      <w:r>
        <w:rPr>
          <w:rFonts w:ascii="Times New Roman" w:hAnsi="Times New Roman" w:cs="Times New Roman"/>
          <w:sz w:val="18"/>
          <w:szCs w:val="18"/>
        </w:rPr>
        <w:t xml:space="preserve">large </w:t>
      </w:r>
      <w:r w:rsidRPr="00730502">
        <w:rPr>
          <w:rFonts w:ascii="Times New Roman" w:hAnsi="Times New Roman" w:cs="Times New Roman"/>
          <w:sz w:val="18"/>
          <w:szCs w:val="18"/>
        </w:rPr>
        <w:t>seizure</w:t>
      </w:r>
      <w:r>
        <w:rPr>
          <w:rFonts w:ascii="Times New Roman" w:hAnsi="Times New Roman" w:cs="Times New Roman"/>
          <w:sz w:val="18"/>
          <w:szCs w:val="18"/>
        </w:rPr>
        <w:t xml:space="preserve"> and </w:t>
      </w:r>
      <w:r w:rsidR="003D1EE9">
        <w:rPr>
          <w:rFonts w:ascii="Times New Roman" w:hAnsi="Times New Roman" w:cs="Times New Roman"/>
          <w:sz w:val="18"/>
          <w:szCs w:val="18"/>
        </w:rPr>
        <w:t>was</w:t>
      </w:r>
      <w:r>
        <w:rPr>
          <w:rFonts w:ascii="Times New Roman" w:hAnsi="Times New Roman" w:cs="Times New Roman"/>
          <w:sz w:val="18"/>
          <w:szCs w:val="18"/>
        </w:rPr>
        <w:t xml:space="preserve"> not indicative of an increase in seizures across the Commonwealth</w:t>
      </w:r>
      <w:r w:rsidRPr="00730502">
        <w:rPr>
          <w:rFonts w:ascii="Times New Roman" w:hAnsi="Times New Roman" w:cs="Times New Roman"/>
          <w:sz w:val="18"/>
          <w:szCs w:val="18"/>
        </w:rPr>
        <w:t>.</w:t>
      </w:r>
    </w:p>
    <w:p w14:paraId="1C5C9111" w14:textId="77777777" w:rsidR="008311D1" w:rsidRPr="00730502" w:rsidRDefault="008311D1">
      <w:pPr>
        <w:pStyle w:val="FootnoteText"/>
        <w:rPr>
          <w:sz w:val="18"/>
          <w:szCs w:val="18"/>
        </w:rPr>
      </w:pPr>
    </w:p>
  </w:footnote>
  <w:footnote w:id="22">
    <w:p w14:paraId="60E354C5" w14:textId="032DDC1E" w:rsidR="00C9632A" w:rsidRDefault="00C9632A">
      <w:pPr>
        <w:pStyle w:val="FootnoteText"/>
        <w:rPr>
          <w:rFonts w:ascii="Times New Roman" w:hAnsi="Times New Roman" w:cs="Times New Roman"/>
          <w:sz w:val="18"/>
          <w:szCs w:val="18"/>
        </w:rPr>
      </w:pPr>
      <w:r w:rsidRPr="00B04118">
        <w:rPr>
          <w:rStyle w:val="FootnoteReference"/>
          <w:rFonts w:ascii="Times New Roman" w:hAnsi="Times New Roman" w:cs="Times New Roman"/>
          <w:sz w:val="18"/>
          <w:szCs w:val="18"/>
        </w:rPr>
        <w:footnoteRef/>
      </w:r>
      <w:r w:rsidRPr="00B04118">
        <w:rPr>
          <w:rFonts w:ascii="Times New Roman" w:hAnsi="Times New Roman" w:cs="Times New Roman"/>
          <w:sz w:val="18"/>
          <w:szCs w:val="18"/>
        </w:rPr>
        <w:t xml:space="preserve"> </w:t>
      </w:r>
      <w:r w:rsidR="00E6295B">
        <w:rPr>
          <w:rFonts w:ascii="Times New Roman" w:hAnsi="Times New Roman" w:cs="Times New Roman"/>
          <w:sz w:val="18"/>
          <w:szCs w:val="18"/>
        </w:rPr>
        <w:t xml:space="preserve">Licensee information obtained from DOR MEB, but see also </w:t>
      </w:r>
      <w:bookmarkStart w:id="19" w:name="_Hlk156825545"/>
      <w:r w:rsidR="003F2023">
        <w:fldChar w:fldCharType="begin"/>
      </w:r>
      <w:r w:rsidR="003F2023">
        <w:instrText>HYPERLINK "https://www.mass.gov/info-details/dor-cigarette-tobacco-and-vaping-excise-tax" \l "licensed-tobacco-retailers-and-distributors-"</w:instrText>
      </w:r>
      <w:r w:rsidR="003F2023">
        <w:fldChar w:fldCharType="separate"/>
      </w:r>
      <w:r w:rsidRPr="00B04118">
        <w:rPr>
          <w:rStyle w:val="Hyperlink"/>
          <w:rFonts w:ascii="Times New Roman" w:hAnsi="Times New Roman" w:cs="Times New Roman"/>
          <w:i/>
          <w:iCs/>
          <w:sz w:val="18"/>
          <w:szCs w:val="18"/>
        </w:rPr>
        <w:t>https://www.mass.gov/info-details/dor-cigarette-tobacco-and-vaping-excise-tax#licensed-tobacco-retailers-and-distributors-</w:t>
      </w:r>
      <w:r w:rsidR="003F2023">
        <w:rPr>
          <w:rStyle w:val="Hyperlink"/>
          <w:rFonts w:ascii="Times New Roman" w:hAnsi="Times New Roman" w:cs="Times New Roman"/>
          <w:i/>
          <w:iCs/>
          <w:sz w:val="18"/>
          <w:szCs w:val="18"/>
        </w:rPr>
        <w:fldChar w:fldCharType="end"/>
      </w:r>
      <w:bookmarkEnd w:id="19"/>
      <w:r w:rsidRPr="00B04118">
        <w:rPr>
          <w:rFonts w:ascii="Times New Roman" w:hAnsi="Times New Roman" w:cs="Times New Roman"/>
          <w:sz w:val="18"/>
          <w:szCs w:val="18"/>
        </w:rPr>
        <w:t xml:space="preserve"> (accessed on January </w:t>
      </w:r>
      <w:r w:rsidR="002C1573">
        <w:rPr>
          <w:rFonts w:ascii="Times New Roman" w:hAnsi="Times New Roman" w:cs="Times New Roman"/>
          <w:sz w:val="18"/>
          <w:szCs w:val="18"/>
        </w:rPr>
        <w:t>9</w:t>
      </w:r>
      <w:r w:rsidRPr="00B04118">
        <w:rPr>
          <w:rFonts w:ascii="Times New Roman" w:hAnsi="Times New Roman" w:cs="Times New Roman"/>
          <w:sz w:val="18"/>
          <w:szCs w:val="18"/>
        </w:rPr>
        <w:t>, 202</w:t>
      </w:r>
      <w:r w:rsidR="002C1573">
        <w:rPr>
          <w:rFonts w:ascii="Times New Roman" w:hAnsi="Times New Roman" w:cs="Times New Roman"/>
          <w:sz w:val="18"/>
          <w:szCs w:val="18"/>
        </w:rPr>
        <w:t>6</w:t>
      </w:r>
      <w:r w:rsidRPr="00B04118">
        <w:rPr>
          <w:rFonts w:ascii="Times New Roman" w:hAnsi="Times New Roman" w:cs="Times New Roman"/>
          <w:sz w:val="18"/>
          <w:szCs w:val="18"/>
        </w:rPr>
        <w:t>).</w:t>
      </w:r>
    </w:p>
    <w:p w14:paraId="26D42C81" w14:textId="77777777" w:rsidR="004E3F1D" w:rsidRPr="00B04118" w:rsidRDefault="004E3F1D">
      <w:pPr>
        <w:pStyle w:val="FootnoteText"/>
        <w:rPr>
          <w:rFonts w:ascii="Times New Roman" w:hAnsi="Times New Roman" w:cs="Times New Roman"/>
          <w:sz w:val="18"/>
          <w:szCs w:val="18"/>
        </w:rPr>
      </w:pPr>
    </w:p>
  </w:footnote>
  <w:footnote w:id="23">
    <w:p w14:paraId="5784AA5E" w14:textId="732730FE" w:rsidR="00F266CF" w:rsidRDefault="00F266CF">
      <w:pPr>
        <w:pStyle w:val="FootnoteText"/>
      </w:pPr>
      <w:r w:rsidRPr="00F266CF">
        <w:rPr>
          <w:rStyle w:val="FootnoteReference"/>
          <w:rFonts w:ascii="Times New Roman" w:hAnsi="Times New Roman" w:cs="Times New Roman"/>
          <w:sz w:val="18"/>
          <w:szCs w:val="18"/>
        </w:rPr>
        <w:footnoteRef/>
      </w:r>
      <w:r>
        <w:t xml:space="preserve"> </w:t>
      </w:r>
      <w:r w:rsidRPr="00F266CF">
        <w:rPr>
          <w:rFonts w:ascii="Times New Roman" w:hAnsi="Times New Roman" w:cs="Times New Roman"/>
          <w:sz w:val="18"/>
          <w:szCs w:val="18"/>
        </w:rPr>
        <w:t xml:space="preserve">It should be noted that DOR MEB had </w:t>
      </w:r>
      <w:r>
        <w:rPr>
          <w:rFonts w:ascii="Times New Roman" w:hAnsi="Times New Roman" w:cs="Times New Roman"/>
          <w:sz w:val="18"/>
          <w:szCs w:val="18"/>
        </w:rPr>
        <w:t>33% fewer</w:t>
      </w:r>
      <w:r w:rsidRPr="00F266CF">
        <w:rPr>
          <w:rFonts w:ascii="Times New Roman" w:hAnsi="Times New Roman" w:cs="Times New Roman"/>
          <w:sz w:val="18"/>
          <w:szCs w:val="18"/>
        </w:rPr>
        <w:t xml:space="preserve"> tobacco inspectors employed during </w:t>
      </w:r>
      <w:r>
        <w:rPr>
          <w:rFonts w:ascii="Times New Roman" w:hAnsi="Times New Roman" w:cs="Times New Roman"/>
          <w:sz w:val="18"/>
          <w:szCs w:val="18"/>
        </w:rPr>
        <w:t>FY25 than during the prior fiscal years (</w:t>
      </w:r>
      <w:r w:rsidRPr="00F266CF">
        <w:rPr>
          <w:rFonts w:ascii="Times New Roman" w:hAnsi="Times New Roman" w:cs="Times New Roman"/>
          <w:sz w:val="18"/>
          <w:szCs w:val="18"/>
        </w:rPr>
        <w:t>FY21 – FY24</w:t>
      </w:r>
      <w:r>
        <w:rPr>
          <w:rFonts w:ascii="Times New Roman" w:hAnsi="Times New Roman" w:cs="Times New Roman"/>
          <w:sz w:val="18"/>
          <w:szCs w:val="18"/>
        </w:rPr>
        <w:t xml:space="preserve">) which </w:t>
      </w:r>
      <w:r w:rsidR="009653A7">
        <w:rPr>
          <w:rFonts w:ascii="Times New Roman" w:hAnsi="Times New Roman" w:cs="Times New Roman"/>
          <w:sz w:val="18"/>
          <w:szCs w:val="18"/>
        </w:rPr>
        <w:t>c</w:t>
      </w:r>
      <w:r>
        <w:rPr>
          <w:rFonts w:ascii="Times New Roman" w:hAnsi="Times New Roman" w:cs="Times New Roman"/>
          <w:sz w:val="18"/>
          <w:szCs w:val="18"/>
        </w:rPr>
        <w:t>ould account for the decline in inspections.</w:t>
      </w:r>
    </w:p>
    <w:p w14:paraId="18090FA1" w14:textId="20A7917A" w:rsidR="00F266CF" w:rsidRPr="00F266CF" w:rsidRDefault="00F266CF">
      <w:pPr>
        <w:pStyle w:val="FootnoteText"/>
        <w:rPr>
          <w:rFonts w:ascii="Times New Roman" w:hAnsi="Times New Roman" w:cs="Times New Roman"/>
          <w:sz w:val="18"/>
          <w:szCs w:val="18"/>
        </w:rPr>
      </w:pPr>
      <w:r w:rsidRPr="00F266CF">
        <w:rPr>
          <w:rFonts w:ascii="Times New Roman" w:hAnsi="Times New Roman" w:cs="Times New Roman"/>
          <w:sz w:val="18"/>
          <w:szCs w:val="18"/>
        </w:rPr>
        <w:t xml:space="preserve"> </w:t>
      </w:r>
    </w:p>
  </w:footnote>
  <w:footnote w:id="24">
    <w:p w14:paraId="024F7634" w14:textId="5CBED5C2" w:rsidR="00EC722E" w:rsidRPr="004E3F1D" w:rsidRDefault="00EC722E">
      <w:pPr>
        <w:pStyle w:val="FootnoteText"/>
        <w:rPr>
          <w:rFonts w:ascii="Times New Roman" w:hAnsi="Times New Roman" w:cs="Times New Roman"/>
          <w:sz w:val="18"/>
          <w:szCs w:val="18"/>
        </w:rPr>
      </w:pPr>
      <w:r w:rsidRPr="004E3F1D">
        <w:rPr>
          <w:rStyle w:val="FootnoteReference"/>
          <w:rFonts w:ascii="Times New Roman" w:hAnsi="Times New Roman" w:cs="Times New Roman"/>
          <w:sz w:val="18"/>
          <w:szCs w:val="18"/>
        </w:rPr>
        <w:footnoteRef/>
      </w:r>
      <w:r w:rsidRPr="004E3F1D">
        <w:rPr>
          <w:rFonts w:ascii="Times New Roman" w:hAnsi="Times New Roman" w:cs="Times New Roman"/>
          <w:sz w:val="18"/>
          <w:szCs w:val="18"/>
        </w:rPr>
        <w:t xml:space="preserve"> I</w:t>
      </w:r>
      <w:r>
        <w:rPr>
          <w:rFonts w:ascii="Times New Roman" w:hAnsi="Times New Roman" w:cs="Times New Roman"/>
          <w:sz w:val="18"/>
          <w:szCs w:val="18"/>
        </w:rPr>
        <w:t xml:space="preserve">n addition to license suspensions or revocations imposed by DOR related to a tobacco licensee’s violations of the tobacco tax regulations or laws, it </w:t>
      </w:r>
      <w:r w:rsidRPr="004E3F1D">
        <w:rPr>
          <w:rFonts w:ascii="Times New Roman" w:hAnsi="Times New Roman" w:cs="Times New Roman"/>
          <w:sz w:val="18"/>
          <w:szCs w:val="18"/>
        </w:rPr>
        <w:t xml:space="preserve">should be noted that the Massachusetts Lottery Commission, </w:t>
      </w:r>
      <w:r>
        <w:rPr>
          <w:rFonts w:ascii="Times New Roman" w:hAnsi="Times New Roman" w:cs="Times New Roman"/>
          <w:sz w:val="18"/>
          <w:szCs w:val="18"/>
        </w:rPr>
        <w:t>in accordance</w:t>
      </w:r>
      <w:r w:rsidRPr="004E3F1D">
        <w:rPr>
          <w:rFonts w:ascii="Times New Roman" w:hAnsi="Times New Roman" w:cs="Times New Roman"/>
          <w:sz w:val="18"/>
          <w:szCs w:val="18"/>
        </w:rPr>
        <w:t xml:space="preserve"> </w:t>
      </w:r>
      <w:r>
        <w:rPr>
          <w:rFonts w:ascii="Times New Roman" w:hAnsi="Times New Roman" w:cs="Times New Roman"/>
          <w:sz w:val="18"/>
          <w:szCs w:val="18"/>
        </w:rPr>
        <w:t>with</w:t>
      </w:r>
      <w:r w:rsidRPr="004E3F1D">
        <w:rPr>
          <w:rFonts w:ascii="Times New Roman" w:hAnsi="Times New Roman" w:cs="Times New Roman"/>
          <w:sz w:val="18"/>
          <w:szCs w:val="18"/>
        </w:rPr>
        <w:t xml:space="preserve"> M.G.L. c.</w:t>
      </w:r>
      <w:r>
        <w:rPr>
          <w:rFonts w:ascii="Times New Roman" w:hAnsi="Times New Roman" w:cs="Times New Roman"/>
          <w:sz w:val="18"/>
          <w:szCs w:val="18"/>
        </w:rPr>
        <w:t xml:space="preserve"> 10 </w:t>
      </w:r>
      <w:r w:rsidRPr="00733D84">
        <w:rPr>
          <w:rFonts w:ascii="Times New Roman" w:hAnsi="Times New Roman" w:cs="Times New Roman"/>
          <w:sz w:val="18"/>
          <w:szCs w:val="18"/>
        </w:rPr>
        <w:t>§</w:t>
      </w:r>
      <w:r>
        <w:rPr>
          <w:rFonts w:ascii="Times New Roman" w:hAnsi="Times New Roman" w:cs="Times New Roman"/>
          <w:sz w:val="18"/>
          <w:szCs w:val="18"/>
        </w:rPr>
        <w:t xml:space="preserve"> 30B</w:t>
      </w:r>
      <w:r w:rsidRPr="004E3F1D">
        <w:rPr>
          <w:rFonts w:ascii="Times New Roman" w:hAnsi="Times New Roman" w:cs="Times New Roman"/>
          <w:sz w:val="18"/>
          <w:szCs w:val="18"/>
        </w:rPr>
        <w:t xml:space="preserve">, </w:t>
      </w:r>
      <w:r>
        <w:rPr>
          <w:rFonts w:ascii="Times New Roman" w:hAnsi="Times New Roman" w:cs="Times New Roman"/>
          <w:sz w:val="18"/>
          <w:szCs w:val="18"/>
        </w:rPr>
        <w:t xml:space="preserve">also </w:t>
      </w:r>
      <w:r w:rsidRPr="004E3F1D">
        <w:rPr>
          <w:rFonts w:ascii="Times New Roman" w:hAnsi="Times New Roman" w:cs="Times New Roman"/>
          <w:sz w:val="18"/>
          <w:szCs w:val="18"/>
        </w:rPr>
        <w:t xml:space="preserve">suspended the lottery licenses of </w:t>
      </w:r>
      <w:r w:rsidR="00F07647">
        <w:rPr>
          <w:rFonts w:ascii="Times New Roman" w:hAnsi="Times New Roman" w:cs="Times New Roman"/>
          <w:sz w:val="18"/>
          <w:szCs w:val="18"/>
        </w:rPr>
        <w:t>forty</w:t>
      </w:r>
      <w:r w:rsidRPr="004E3F1D">
        <w:rPr>
          <w:rFonts w:ascii="Times New Roman" w:hAnsi="Times New Roman" w:cs="Times New Roman"/>
          <w:sz w:val="18"/>
          <w:szCs w:val="18"/>
        </w:rPr>
        <w:t xml:space="preserve"> (</w:t>
      </w:r>
      <w:r w:rsidR="00F07647">
        <w:rPr>
          <w:rFonts w:ascii="Times New Roman" w:hAnsi="Times New Roman" w:cs="Times New Roman"/>
          <w:sz w:val="18"/>
          <w:szCs w:val="18"/>
        </w:rPr>
        <w:t>40</w:t>
      </w:r>
      <w:r w:rsidRPr="004E3F1D">
        <w:rPr>
          <w:rFonts w:ascii="Times New Roman" w:hAnsi="Times New Roman" w:cs="Times New Roman"/>
          <w:sz w:val="18"/>
          <w:szCs w:val="18"/>
        </w:rPr>
        <w:t xml:space="preserve">) </w:t>
      </w:r>
      <w:r>
        <w:rPr>
          <w:rFonts w:ascii="Times New Roman" w:hAnsi="Times New Roman" w:cs="Times New Roman"/>
          <w:sz w:val="18"/>
          <w:szCs w:val="18"/>
        </w:rPr>
        <w:t>licensees</w:t>
      </w:r>
      <w:r w:rsidRPr="004E3F1D">
        <w:rPr>
          <w:rFonts w:ascii="Times New Roman" w:hAnsi="Times New Roman" w:cs="Times New Roman"/>
          <w:sz w:val="18"/>
          <w:szCs w:val="18"/>
        </w:rPr>
        <w:t xml:space="preserve"> </w:t>
      </w:r>
      <w:r>
        <w:rPr>
          <w:rFonts w:ascii="Times New Roman" w:hAnsi="Times New Roman" w:cs="Times New Roman"/>
          <w:sz w:val="18"/>
          <w:szCs w:val="18"/>
        </w:rPr>
        <w:t>based upon DOR tobacco license suspensions.</w:t>
      </w:r>
      <w:r w:rsidRPr="004E3F1D">
        <w:rPr>
          <w:rFonts w:ascii="Times New Roman" w:hAnsi="Times New Roman" w:cs="Times New Roman"/>
          <w:sz w:val="18"/>
          <w:szCs w:val="18"/>
        </w:rPr>
        <w:t xml:space="preserve"> </w:t>
      </w:r>
    </w:p>
  </w:footnote>
  <w:footnote w:id="25">
    <w:p w14:paraId="6F99F8BA" w14:textId="6A32EB0A" w:rsidR="00EC722E" w:rsidRDefault="00EC722E">
      <w:pPr>
        <w:pStyle w:val="FootnoteText"/>
        <w:rPr>
          <w:rFonts w:ascii="Times New Roman" w:hAnsi="Times New Roman" w:cs="Times New Roman"/>
          <w:sz w:val="18"/>
          <w:szCs w:val="18"/>
        </w:rPr>
      </w:pPr>
      <w:r w:rsidRPr="00C07DB4">
        <w:rPr>
          <w:rStyle w:val="FootnoteReference"/>
          <w:rFonts w:ascii="Times New Roman" w:hAnsi="Times New Roman" w:cs="Times New Roman"/>
          <w:sz w:val="18"/>
          <w:szCs w:val="18"/>
        </w:rPr>
        <w:footnoteRef/>
      </w:r>
      <w:r w:rsidRPr="00C07DB4">
        <w:rPr>
          <w:rFonts w:ascii="Times New Roman" w:hAnsi="Times New Roman" w:cs="Times New Roman"/>
          <w:sz w:val="18"/>
          <w:szCs w:val="18"/>
        </w:rPr>
        <w:t xml:space="preserve"> It should be noted there could be multiple violations issued during a single inspection.</w:t>
      </w:r>
    </w:p>
    <w:p w14:paraId="3E6FC848" w14:textId="77777777" w:rsidR="00EC722E" w:rsidRPr="00C07DB4" w:rsidRDefault="00EC722E">
      <w:pPr>
        <w:pStyle w:val="FootnoteText"/>
        <w:rPr>
          <w:rFonts w:ascii="Times New Roman" w:hAnsi="Times New Roman" w:cs="Times New Roman"/>
          <w:sz w:val="18"/>
          <w:szCs w:val="18"/>
        </w:rPr>
      </w:pPr>
    </w:p>
  </w:footnote>
  <w:footnote w:id="26">
    <w:p w14:paraId="4E53A810" w14:textId="15375393" w:rsidR="00A35881" w:rsidRDefault="00A35881">
      <w:pPr>
        <w:pStyle w:val="FootnoteText"/>
        <w:rPr>
          <w:rFonts w:ascii="Times New Roman" w:hAnsi="Times New Roman" w:cs="Times New Roman"/>
          <w:sz w:val="18"/>
          <w:szCs w:val="18"/>
        </w:rPr>
      </w:pPr>
      <w:r w:rsidRPr="00A35881">
        <w:rPr>
          <w:rStyle w:val="FootnoteReference"/>
          <w:rFonts w:ascii="Times New Roman" w:hAnsi="Times New Roman" w:cs="Times New Roman"/>
          <w:sz w:val="18"/>
          <w:szCs w:val="18"/>
        </w:rPr>
        <w:footnoteRef/>
      </w:r>
      <w:r w:rsidRPr="00A35881">
        <w:rPr>
          <w:rFonts w:ascii="Times New Roman" w:hAnsi="Times New Roman" w:cs="Times New Roman"/>
          <w:sz w:val="18"/>
          <w:szCs w:val="18"/>
        </w:rPr>
        <w:t xml:space="preserve"> See </w:t>
      </w:r>
      <w:hyperlink r:id="rId18" w:anchor="drug=%22Vaping+Nicotine+%28E-cigarettes%29%22" w:history="1">
        <w:r w:rsidR="00F03189" w:rsidRPr="00F03189">
          <w:rPr>
            <w:rStyle w:val="Hyperlink"/>
            <w:rFonts w:ascii="Times New Roman" w:hAnsi="Times New Roman" w:cs="Times New Roman"/>
            <w:sz w:val="18"/>
            <w:szCs w:val="18"/>
          </w:rPr>
          <w:t>https://monitoringthefuture.org/data/bx-by/drug-prevalence/Vape/2017-2025</w:t>
        </w:r>
      </w:hyperlink>
      <w:r w:rsidR="00F03189">
        <w:rPr>
          <w:rFonts w:ascii="Times New Roman" w:hAnsi="Times New Roman" w:cs="Times New Roman"/>
          <w:sz w:val="18"/>
          <w:szCs w:val="18"/>
        </w:rPr>
        <w:t xml:space="preserve"> Noting decline in youth Vaping between 2024 and 2025</w:t>
      </w:r>
      <w:r w:rsidR="00C40CC2" w:rsidRPr="00C40CC2">
        <w:rPr>
          <w:rFonts w:ascii="Times New Roman" w:hAnsi="Times New Roman" w:cs="Times New Roman"/>
          <w:sz w:val="18"/>
          <w:szCs w:val="18"/>
        </w:rPr>
        <w:t xml:space="preserve"> </w:t>
      </w:r>
      <w:r w:rsidRPr="00A35881">
        <w:rPr>
          <w:rFonts w:ascii="Times New Roman" w:hAnsi="Times New Roman" w:cs="Times New Roman"/>
          <w:sz w:val="18"/>
          <w:szCs w:val="18"/>
        </w:rPr>
        <w:t xml:space="preserve">(accessed </w:t>
      </w:r>
      <w:r w:rsidR="00F03189">
        <w:rPr>
          <w:rFonts w:ascii="Times New Roman" w:hAnsi="Times New Roman" w:cs="Times New Roman"/>
          <w:sz w:val="18"/>
          <w:szCs w:val="18"/>
        </w:rPr>
        <w:t>January 23, 2026</w:t>
      </w:r>
      <w:r w:rsidRPr="00A35881">
        <w:rPr>
          <w:rFonts w:ascii="Times New Roman" w:hAnsi="Times New Roman" w:cs="Times New Roman"/>
          <w:sz w:val="18"/>
          <w:szCs w:val="18"/>
        </w:rPr>
        <w:t>)</w:t>
      </w:r>
      <w:r w:rsidR="00A636CB">
        <w:rPr>
          <w:rFonts w:ascii="Times New Roman" w:hAnsi="Times New Roman" w:cs="Times New Roman"/>
          <w:sz w:val="18"/>
          <w:szCs w:val="18"/>
        </w:rPr>
        <w:t>.</w:t>
      </w:r>
    </w:p>
    <w:p w14:paraId="574958CF" w14:textId="77777777" w:rsidR="00A35881" w:rsidRPr="00A35881" w:rsidRDefault="00A35881">
      <w:pPr>
        <w:pStyle w:val="FootnoteText"/>
        <w:rPr>
          <w:rFonts w:ascii="Times New Roman" w:hAnsi="Times New Roman" w:cs="Times New Roman"/>
          <w:sz w:val="18"/>
          <w:szCs w:val="18"/>
        </w:rPr>
      </w:pPr>
    </w:p>
  </w:footnote>
  <w:footnote w:id="27">
    <w:p w14:paraId="4F89CBA4" w14:textId="7B7CFCB1" w:rsidR="00C9632A" w:rsidRPr="00210571" w:rsidRDefault="00C9632A">
      <w:pPr>
        <w:pStyle w:val="FootnoteText"/>
        <w:rPr>
          <w:rFonts w:ascii="Times New Roman" w:hAnsi="Times New Roman" w:cs="Times New Roman"/>
          <w:sz w:val="18"/>
          <w:szCs w:val="18"/>
        </w:rPr>
      </w:pPr>
      <w:r w:rsidRPr="00210571">
        <w:rPr>
          <w:rStyle w:val="FootnoteReference"/>
          <w:rFonts w:ascii="Times New Roman" w:hAnsi="Times New Roman" w:cs="Times New Roman"/>
          <w:sz w:val="18"/>
          <w:szCs w:val="18"/>
        </w:rPr>
        <w:footnoteRef/>
      </w:r>
      <w:r w:rsidRPr="00210571">
        <w:rPr>
          <w:rFonts w:ascii="Times New Roman" w:hAnsi="Times New Roman" w:cs="Times New Roman"/>
          <w:sz w:val="18"/>
          <w:szCs w:val="18"/>
        </w:rPr>
        <w:t xml:space="preserve"> </w:t>
      </w:r>
      <w:bookmarkStart w:id="34" w:name="_Hlk96014991"/>
      <w:r w:rsidRPr="00210571">
        <w:rPr>
          <w:rFonts w:ascii="Times New Roman" w:hAnsi="Times New Roman" w:cs="Times New Roman"/>
          <w:sz w:val="18"/>
          <w:szCs w:val="18"/>
        </w:rPr>
        <w:t xml:space="preserve">The intelligence sharing program between DPH/LBOH and DOR was created because </w:t>
      </w:r>
      <w:r>
        <w:rPr>
          <w:rFonts w:ascii="Times New Roman" w:hAnsi="Times New Roman" w:cs="Times New Roman"/>
          <w:sz w:val="18"/>
          <w:szCs w:val="18"/>
        </w:rPr>
        <w:t>t</w:t>
      </w:r>
      <w:r w:rsidRPr="00210571">
        <w:rPr>
          <w:rFonts w:ascii="Times New Roman" w:hAnsi="Times New Roman" w:cs="Times New Roman"/>
          <w:sz w:val="18"/>
          <w:szCs w:val="18"/>
        </w:rPr>
        <w:t xml:space="preserve">he 2019 Act Modernizing Tobacco Control </w:t>
      </w:r>
      <w:r>
        <w:rPr>
          <w:rFonts w:ascii="Times New Roman" w:hAnsi="Times New Roman" w:cs="Times New Roman"/>
          <w:sz w:val="18"/>
          <w:szCs w:val="18"/>
        </w:rPr>
        <w:t xml:space="preserve">is silent regarding LBOH’s authority </w:t>
      </w:r>
      <w:r w:rsidRPr="00210571">
        <w:rPr>
          <w:rFonts w:ascii="Times New Roman" w:hAnsi="Times New Roman" w:cs="Times New Roman"/>
          <w:sz w:val="18"/>
          <w:szCs w:val="18"/>
        </w:rPr>
        <w:t xml:space="preserve">to seize any flavored tobacco products if located during an inspection. </w:t>
      </w:r>
      <w:r>
        <w:rPr>
          <w:rFonts w:ascii="Times New Roman" w:hAnsi="Times New Roman" w:cs="Times New Roman"/>
          <w:sz w:val="18"/>
          <w:szCs w:val="18"/>
        </w:rPr>
        <w:t>The LBOH has been advised to ask the retailer to box up the flavored tobacco products. However, the L</w:t>
      </w:r>
      <w:r w:rsidR="00C94A4F">
        <w:rPr>
          <w:rFonts w:ascii="Times New Roman" w:hAnsi="Times New Roman" w:cs="Times New Roman"/>
          <w:sz w:val="18"/>
          <w:szCs w:val="18"/>
        </w:rPr>
        <w:t>BO</w:t>
      </w:r>
      <w:r>
        <w:rPr>
          <w:rFonts w:ascii="Times New Roman" w:hAnsi="Times New Roman" w:cs="Times New Roman"/>
          <w:sz w:val="18"/>
          <w:szCs w:val="18"/>
        </w:rPr>
        <w:t>H may report the discovery of flavored tobacco products to the DOR for possible follow-up and seizure of any untaxed tobacco products,</w:t>
      </w:r>
      <w:r w:rsidRPr="00210571">
        <w:rPr>
          <w:rFonts w:ascii="Times New Roman" w:hAnsi="Times New Roman" w:cs="Times New Roman"/>
          <w:sz w:val="18"/>
          <w:szCs w:val="18"/>
        </w:rPr>
        <w:t xml:space="preserve"> </w:t>
      </w:r>
      <w:r>
        <w:rPr>
          <w:rFonts w:ascii="Times New Roman" w:hAnsi="Times New Roman" w:cs="Times New Roman"/>
          <w:sz w:val="18"/>
          <w:szCs w:val="18"/>
        </w:rPr>
        <w:t>which could then lead to civil or criminal penalties.</w:t>
      </w:r>
      <w:bookmarkEnd w:id="34"/>
    </w:p>
  </w:footnote>
  <w:footnote w:id="28">
    <w:p w14:paraId="6F0A6B08" w14:textId="794F5EBA" w:rsidR="00C9632A" w:rsidRPr="008D7A13" w:rsidRDefault="00C9632A">
      <w:pPr>
        <w:pStyle w:val="FootnoteText"/>
        <w:rPr>
          <w:rFonts w:ascii="Times New Roman" w:hAnsi="Times New Roman" w:cs="Times New Roman"/>
          <w:spacing w:val="-4"/>
          <w:w w:val="105"/>
          <w:sz w:val="18"/>
          <w:szCs w:val="18"/>
        </w:rPr>
      </w:pPr>
      <w:r w:rsidRPr="008D7A13">
        <w:rPr>
          <w:rStyle w:val="FootnoteReference"/>
          <w:rFonts w:ascii="Times New Roman" w:hAnsi="Times New Roman" w:cs="Times New Roman"/>
          <w:sz w:val="18"/>
          <w:szCs w:val="18"/>
        </w:rPr>
        <w:footnoteRef/>
      </w:r>
      <w:r w:rsidRPr="008D7A13">
        <w:rPr>
          <w:rFonts w:ascii="Times New Roman" w:hAnsi="Times New Roman" w:cs="Times New Roman"/>
          <w:sz w:val="18"/>
          <w:szCs w:val="18"/>
        </w:rPr>
        <w:t xml:space="preserve"> </w:t>
      </w:r>
      <w:r w:rsidRPr="008D7A13">
        <w:rPr>
          <w:rFonts w:ascii="Times New Roman" w:hAnsi="Times New Roman" w:cs="Times New Roman"/>
          <w:w w:val="105"/>
          <w:sz w:val="18"/>
          <w:szCs w:val="18"/>
        </w:rPr>
        <w:t>M.G.L.</w:t>
      </w:r>
      <w:r w:rsidRPr="008D7A13">
        <w:rPr>
          <w:rFonts w:ascii="Times New Roman" w:hAnsi="Times New Roman" w:cs="Times New Roman"/>
          <w:spacing w:val="4"/>
          <w:w w:val="105"/>
          <w:sz w:val="18"/>
          <w:szCs w:val="18"/>
        </w:rPr>
        <w:t xml:space="preserve"> </w:t>
      </w:r>
      <w:r w:rsidRPr="008D7A13">
        <w:rPr>
          <w:rFonts w:ascii="Times New Roman" w:hAnsi="Times New Roman" w:cs="Times New Roman"/>
          <w:w w:val="105"/>
          <w:sz w:val="18"/>
          <w:szCs w:val="18"/>
        </w:rPr>
        <w:t>c.</w:t>
      </w:r>
      <w:r w:rsidRPr="008D7A13">
        <w:rPr>
          <w:rFonts w:ascii="Times New Roman" w:hAnsi="Times New Roman" w:cs="Times New Roman"/>
          <w:spacing w:val="-11"/>
          <w:w w:val="105"/>
          <w:sz w:val="18"/>
          <w:szCs w:val="18"/>
        </w:rPr>
        <w:t xml:space="preserve"> </w:t>
      </w:r>
      <w:r w:rsidRPr="008D7A13">
        <w:rPr>
          <w:rFonts w:ascii="Times New Roman" w:hAnsi="Times New Roman" w:cs="Times New Roman"/>
          <w:w w:val="105"/>
          <w:sz w:val="18"/>
          <w:szCs w:val="18"/>
        </w:rPr>
        <w:t>64C</w:t>
      </w:r>
      <w:r w:rsidRPr="008D7A13">
        <w:rPr>
          <w:rFonts w:ascii="Times New Roman" w:hAnsi="Times New Roman" w:cs="Times New Roman"/>
          <w:spacing w:val="-2"/>
          <w:w w:val="105"/>
          <w:sz w:val="18"/>
          <w:szCs w:val="18"/>
        </w:rPr>
        <w:t xml:space="preserve"> </w:t>
      </w:r>
      <w:r w:rsidRPr="008D7A13">
        <w:rPr>
          <w:rFonts w:ascii="Times New Roman" w:hAnsi="Times New Roman" w:cs="Times New Roman"/>
          <w:w w:val="105"/>
          <w:sz w:val="18"/>
          <w:szCs w:val="18"/>
        </w:rPr>
        <w:t>§</w:t>
      </w:r>
      <w:r w:rsidRPr="008D7A13">
        <w:rPr>
          <w:rFonts w:ascii="Times New Roman" w:hAnsi="Times New Roman" w:cs="Times New Roman"/>
          <w:spacing w:val="-9"/>
          <w:w w:val="105"/>
          <w:sz w:val="18"/>
          <w:szCs w:val="18"/>
        </w:rPr>
        <w:t xml:space="preserve"> </w:t>
      </w:r>
      <w:r w:rsidRPr="008D7A13">
        <w:rPr>
          <w:rFonts w:ascii="Times New Roman" w:hAnsi="Times New Roman" w:cs="Times New Roman"/>
          <w:w w:val="105"/>
          <w:sz w:val="18"/>
          <w:szCs w:val="18"/>
        </w:rPr>
        <w:t>40(</w:t>
      </w:r>
      <w:r>
        <w:rPr>
          <w:rFonts w:ascii="Times New Roman" w:hAnsi="Times New Roman" w:cs="Times New Roman"/>
          <w:w w:val="105"/>
          <w:sz w:val="18"/>
          <w:szCs w:val="18"/>
        </w:rPr>
        <w:t>d</w:t>
      </w:r>
      <w:r w:rsidRPr="008D7A13">
        <w:rPr>
          <w:rFonts w:ascii="Times New Roman" w:hAnsi="Times New Roman" w:cs="Times New Roman"/>
          <w:w w:val="105"/>
          <w:sz w:val="18"/>
          <w:szCs w:val="18"/>
        </w:rPr>
        <w:t>)(</w:t>
      </w:r>
      <w:r>
        <w:rPr>
          <w:rFonts w:ascii="Times New Roman" w:hAnsi="Times New Roman" w:cs="Times New Roman"/>
          <w:w w:val="105"/>
          <w:sz w:val="18"/>
          <w:szCs w:val="18"/>
        </w:rPr>
        <w:t>iii</w:t>
      </w:r>
      <w:r w:rsidRPr="008D7A13">
        <w:rPr>
          <w:rFonts w:ascii="Times New Roman" w:hAnsi="Times New Roman" w:cs="Times New Roman"/>
          <w:w w:val="105"/>
          <w:sz w:val="18"/>
          <w:szCs w:val="18"/>
        </w:rPr>
        <w:t>)</w:t>
      </w:r>
    </w:p>
    <w:p w14:paraId="2725E89F" w14:textId="77777777" w:rsidR="00C9632A" w:rsidRPr="003B1373" w:rsidRDefault="00C9632A">
      <w:pPr>
        <w:pStyle w:val="FootnoteText"/>
        <w:rPr>
          <w:rFonts w:ascii="Times New Roman" w:hAnsi="Times New Roman" w:cs="Times New Roman"/>
          <w:sz w:val="18"/>
          <w:szCs w:val="18"/>
        </w:rPr>
      </w:pPr>
    </w:p>
  </w:footnote>
  <w:footnote w:id="29">
    <w:p w14:paraId="3F50CB3B" w14:textId="62336D0F" w:rsidR="00C9632A" w:rsidRPr="00832486" w:rsidRDefault="00C9632A">
      <w:pPr>
        <w:pStyle w:val="FootnoteText"/>
        <w:rPr>
          <w:rFonts w:ascii="Times New Roman" w:hAnsi="Times New Roman" w:cs="Times New Roman"/>
          <w:sz w:val="18"/>
          <w:szCs w:val="18"/>
        </w:rPr>
      </w:pPr>
      <w:r w:rsidRPr="00832486">
        <w:rPr>
          <w:rStyle w:val="FootnoteReference"/>
          <w:rFonts w:ascii="Times New Roman" w:hAnsi="Times New Roman" w:cs="Times New Roman"/>
          <w:sz w:val="18"/>
          <w:szCs w:val="18"/>
        </w:rPr>
        <w:footnoteRef/>
      </w:r>
      <w:r w:rsidRPr="00832486">
        <w:rPr>
          <w:rFonts w:ascii="Times New Roman" w:hAnsi="Times New Roman" w:cs="Times New Roman"/>
          <w:sz w:val="18"/>
          <w:szCs w:val="18"/>
        </w:rPr>
        <w:t xml:space="preserve"> DOR </w:t>
      </w:r>
      <w:r>
        <w:rPr>
          <w:rFonts w:ascii="Times New Roman" w:hAnsi="Times New Roman" w:cs="Times New Roman"/>
          <w:sz w:val="18"/>
          <w:szCs w:val="18"/>
        </w:rPr>
        <w:t>has completed</w:t>
      </w:r>
      <w:r w:rsidRPr="00832486">
        <w:rPr>
          <w:rFonts w:ascii="Times New Roman" w:hAnsi="Times New Roman" w:cs="Times New Roman"/>
          <w:sz w:val="18"/>
          <w:szCs w:val="18"/>
        </w:rPr>
        <w:t xml:space="preserve"> a</w:t>
      </w:r>
      <w:r>
        <w:rPr>
          <w:rFonts w:ascii="Times New Roman" w:hAnsi="Times New Roman" w:cs="Times New Roman"/>
          <w:sz w:val="18"/>
          <w:szCs w:val="18"/>
        </w:rPr>
        <w:t xml:space="preserve"> draft document containing the</w:t>
      </w:r>
      <w:r w:rsidRPr="00832486">
        <w:rPr>
          <w:rFonts w:ascii="Times New Roman" w:hAnsi="Times New Roman" w:cs="Times New Roman"/>
          <w:sz w:val="18"/>
          <w:szCs w:val="18"/>
        </w:rPr>
        <w:t xml:space="preserve"> detailed </w:t>
      </w:r>
      <w:r>
        <w:rPr>
          <w:rFonts w:ascii="Times New Roman" w:hAnsi="Times New Roman" w:cs="Times New Roman"/>
          <w:sz w:val="18"/>
          <w:szCs w:val="18"/>
        </w:rPr>
        <w:t>changes summarized in this report</w:t>
      </w:r>
      <w:r w:rsidRPr="00832486">
        <w:rPr>
          <w:rFonts w:ascii="Times New Roman" w:hAnsi="Times New Roman" w:cs="Times New Roman"/>
          <w:sz w:val="18"/>
          <w:szCs w:val="18"/>
        </w:rPr>
        <w:t>.</w:t>
      </w:r>
    </w:p>
    <w:p w14:paraId="560F8E14" w14:textId="77777777" w:rsidR="00C9632A" w:rsidRDefault="00C9632A">
      <w:pPr>
        <w:pStyle w:val="FootnoteText"/>
      </w:pPr>
    </w:p>
  </w:footnote>
  <w:footnote w:id="30">
    <w:p w14:paraId="2EBEC3EB" w14:textId="678B457E" w:rsidR="00FB5931" w:rsidRPr="00FB5931" w:rsidRDefault="00FB5931">
      <w:pPr>
        <w:pStyle w:val="FootnoteText"/>
        <w:rPr>
          <w:rFonts w:ascii="Times New Roman" w:hAnsi="Times New Roman" w:cs="Times New Roman"/>
          <w:sz w:val="18"/>
          <w:szCs w:val="18"/>
        </w:rPr>
      </w:pPr>
      <w:r w:rsidRPr="00FB5931">
        <w:rPr>
          <w:rStyle w:val="FootnoteReference"/>
          <w:rFonts w:ascii="Times New Roman" w:hAnsi="Times New Roman" w:cs="Times New Roman"/>
          <w:sz w:val="18"/>
          <w:szCs w:val="18"/>
        </w:rPr>
        <w:footnoteRef/>
      </w:r>
      <w:r w:rsidRPr="00FB5931">
        <w:rPr>
          <w:rFonts w:ascii="Times New Roman" w:hAnsi="Times New Roman" w:cs="Times New Roman"/>
          <w:sz w:val="18"/>
          <w:szCs w:val="18"/>
        </w:rPr>
        <w:t xml:space="preserve"> M.G.L. c. 64C, § 40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4BE6"/>
    <w:multiLevelType w:val="hybridMultilevel"/>
    <w:tmpl w:val="04BE4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21372"/>
    <w:multiLevelType w:val="hybridMultilevel"/>
    <w:tmpl w:val="65AE4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7D341E"/>
    <w:multiLevelType w:val="hybridMultilevel"/>
    <w:tmpl w:val="AE78A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FE090F"/>
    <w:multiLevelType w:val="hybridMultilevel"/>
    <w:tmpl w:val="6C987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FC55C5"/>
    <w:multiLevelType w:val="hybridMultilevel"/>
    <w:tmpl w:val="6BD42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CC222CC"/>
    <w:multiLevelType w:val="hybridMultilevel"/>
    <w:tmpl w:val="803603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04F5648"/>
    <w:multiLevelType w:val="hybridMultilevel"/>
    <w:tmpl w:val="1DE8A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CC56154"/>
    <w:multiLevelType w:val="hybridMultilevel"/>
    <w:tmpl w:val="4114E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342D33"/>
    <w:multiLevelType w:val="hybridMultilevel"/>
    <w:tmpl w:val="B198AFAE"/>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1987E0B"/>
    <w:multiLevelType w:val="hybridMultilevel"/>
    <w:tmpl w:val="EB3E35EC"/>
    <w:lvl w:ilvl="0" w:tplc="5DC0F26E">
      <w:start w:val="1"/>
      <w:numFmt w:val="decimal"/>
      <w:lvlText w:val="%1."/>
      <w:lvlJc w:val="left"/>
      <w:pPr>
        <w:ind w:left="1395" w:hanging="6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5C5307C"/>
    <w:multiLevelType w:val="hybridMultilevel"/>
    <w:tmpl w:val="87D2F7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D52611D"/>
    <w:multiLevelType w:val="hybridMultilevel"/>
    <w:tmpl w:val="B0788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E6170B"/>
    <w:multiLevelType w:val="hybridMultilevel"/>
    <w:tmpl w:val="76FAF78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1A969FC"/>
    <w:multiLevelType w:val="hybridMultilevel"/>
    <w:tmpl w:val="6D46B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6A4758D"/>
    <w:multiLevelType w:val="hybridMultilevel"/>
    <w:tmpl w:val="324C0E4A"/>
    <w:lvl w:ilvl="0" w:tplc="0100C8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7B13124"/>
    <w:multiLevelType w:val="hybridMultilevel"/>
    <w:tmpl w:val="E0C0E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4C241C"/>
    <w:multiLevelType w:val="hybridMultilevel"/>
    <w:tmpl w:val="E48EA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E40022"/>
    <w:multiLevelType w:val="hybridMultilevel"/>
    <w:tmpl w:val="3B48B40C"/>
    <w:lvl w:ilvl="0" w:tplc="FC8AD9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042DD6"/>
    <w:multiLevelType w:val="hybridMultilevel"/>
    <w:tmpl w:val="76FAF78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13F2454"/>
    <w:multiLevelType w:val="hybridMultilevel"/>
    <w:tmpl w:val="B9A2F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1532F5B"/>
    <w:multiLevelType w:val="hybridMultilevel"/>
    <w:tmpl w:val="C29438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21C395A"/>
    <w:multiLevelType w:val="hybridMultilevel"/>
    <w:tmpl w:val="DCD6BF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2606DD9"/>
    <w:multiLevelType w:val="hybridMultilevel"/>
    <w:tmpl w:val="EE5CC9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6B05E47"/>
    <w:multiLevelType w:val="hybridMultilevel"/>
    <w:tmpl w:val="214E0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BB0915"/>
    <w:multiLevelType w:val="hybridMultilevel"/>
    <w:tmpl w:val="56788C34"/>
    <w:lvl w:ilvl="0" w:tplc="46AC83CA">
      <w:start w:val="1"/>
      <w:numFmt w:val="upperRoman"/>
      <w:lvlText w:val="%1."/>
      <w:lvlJc w:val="left"/>
      <w:pPr>
        <w:ind w:left="319" w:hanging="200"/>
      </w:pPr>
      <w:rPr>
        <w:rFonts w:ascii="Times New Roman" w:eastAsia="Times New Roman" w:hAnsi="Times New Roman" w:hint="default"/>
        <w:spacing w:val="-4"/>
        <w:w w:val="99"/>
        <w:sz w:val="24"/>
        <w:szCs w:val="24"/>
      </w:rPr>
    </w:lvl>
    <w:lvl w:ilvl="1" w:tplc="7C84638E">
      <w:start w:val="1"/>
      <w:numFmt w:val="upperRoman"/>
      <w:lvlText w:val="%2."/>
      <w:lvlJc w:val="left"/>
      <w:pPr>
        <w:ind w:left="839" w:hanging="540"/>
        <w:jc w:val="right"/>
      </w:pPr>
      <w:rPr>
        <w:rFonts w:ascii="Times New Roman" w:eastAsia="Times New Roman" w:hAnsi="Times New Roman" w:hint="default"/>
        <w:b/>
        <w:bCs/>
        <w:spacing w:val="0"/>
        <w:w w:val="100"/>
        <w:sz w:val="28"/>
        <w:szCs w:val="28"/>
      </w:rPr>
    </w:lvl>
    <w:lvl w:ilvl="2" w:tplc="C2A02586">
      <w:start w:val="1"/>
      <w:numFmt w:val="bullet"/>
      <w:lvlText w:val=""/>
      <w:lvlJc w:val="left"/>
      <w:pPr>
        <w:ind w:left="1580" w:hanging="360"/>
      </w:pPr>
      <w:rPr>
        <w:rFonts w:ascii="Symbol" w:eastAsia="Symbol" w:hAnsi="Symbol" w:hint="default"/>
        <w:w w:val="100"/>
        <w:sz w:val="24"/>
        <w:szCs w:val="24"/>
      </w:rPr>
    </w:lvl>
    <w:lvl w:ilvl="3" w:tplc="F052118A">
      <w:start w:val="1"/>
      <w:numFmt w:val="bullet"/>
      <w:lvlText w:val="•"/>
      <w:lvlJc w:val="left"/>
      <w:pPr>
        <w:ind w:left="2580" w:hanging="360"/>
      </w:pPr>
      <w:rPr>
        <w:rFonts w:hint="default"/>
      </w:rPr>
    </w:lvl>
    <w:lvl w:ilvl="4" w:tplc="2252EE16">
      <w:start w:val="1"/>
      <w:numFmt w:val="bullet"/>
      <w:lvlText w:val="•"/>
      <w:lvlJc w:val="left"/>
      <w:pPr>
        <w:ind w:left="3580" w:hanging="360"/>
      </w:pPr>
      <w:rPr>
        <w:rFonts w:hint="default"/>
      </w:rPr>
    </w:lvl>
    <w:lvl w:ilvl="5" w:tplc="50D46E5E">
      <w:start w:val="1"/>
      <w:numFmt w:val="bullet"/>
      <w:lvlText w:val="•"/>
      <w:lvlJc w:val="left"/>
      <w:pPr>
        <w:ind w:left="4580" w:hanging="360"/>
      </w:pPr>
      <w:rPr>
        <w:rFonts w:hint="default"/>
      </w:rPr>
    </w:lvl>
    <w:lvl w:ilvl="6" w:tplc="90EE6DCE">
      <w:start w:val="1"/>
      <w:numFmt w:val="bullet"/>
      <w:lvlText w:val="•"/>
      <w:lvlJc w:val="left"/>
      <w:pPr>
        <w:ind w:left="5580" w:hanging="360"/>
      </w:pPr>
      <w:rPr>
        <w:rFonts w:hint="default"/>
      </w:rPr>
    </w:lvl>
    <w:lvl w:ilvl="7" w:tplc="165E9214">
      <w:start w:val="1"/>
      <w:numFmt w:val="bullet"/>
      <w:lvlText w:val="•"/>
      <w:lvlJc w:val="left"/>
      <w:pPr>
        <w:ind w:left="6580" w:hanging="360"/>
      </w:pPr>
      <w:rPr>
        <w:rFonts w:hint="default"/>
      </w:rPr>
    </w:lvl>
    <w:lvl w:ilvl="8" w:tplc="8B84AAFE">
      <w:start w:val="1"/>
      <w:numFmt w:val="bullet"/>
      <w:lvlText w:val="•"/>
      <w:lvlJc w:val="left"/>
      <w:pPr>
        <w:ind w:left="7580" w:hanging="360"/>
      </w:pPr>
      <w:rPr>
        <w:rFonts w:hint="default"/>
      </w:rPr>
    </w:lvl>
  </w:abstractNum>
  <w:abstractNum w:abstractNumId="25" w15:restartNumberingAfterBreak="0">
    <w:nsid w:val="58A57D38"/>
    <w:multiLevelType w:val="hybridMultilevel"/>
    <w:tmpl w:val="3870A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07350B"/>
    <w:multiLevelType w:val="hybridMultilevel"/>
    <w:tmpl w:val="3AC85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AFF33B2"/>
    <w:multiLevelType w:val="hybridMultilevel"/>
    <w:tmpl w:val="CF3811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8" w15:restartNumberingAfterBreak="0">
    <w:nsid w:val="5E7C049F"/>
    <w:multiLevelType w:val="hybridMultilevel"/>
    <w:tmpl w:val="9D741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21E69F5"/>
    <w:multiLevelType w:val="hybridMultilevel"/>
    <w:tmpl w:val="6E02D2F2"/>
    <w:lvl w:ilvl="0" w:tplc="0C403DA0">
      <w:start w:val="1"/>
      <w:numFmt w:val="lowerRoman"/>
      <w:lvlText w:val="(%1)"/>
      <w:lvlJc w:val="left"/>
      <w:pPr>
        <w:ind w:left="1080" w:hanging="720"/>
      </w:pPr>
      <w:rPr>
        <w:rFonts w:hint="default"/>
      </w:rPr>
    </w:lvl>
    <w:lvl w:ilvl="1" w:tplc="066E1A96">
      <w:numFmt w:val="bullet"/>
      <w:lvlText w:val="•"/>
      <w:lvlJc w:val="left"/>
      <w:pPr>
        <w:ind w:left="1680" w:hanging="60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D83EC7"/>
    <w:multiLevelType w:val="hybridMultilevel"/>
    <w:tmpl w:val="205E2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D102EA"/>
    <w:multiLevelType w:val="hybridMultilevel"/>
    <w:tmpl w:val="6C2AE45A"/>
    <w:lvl w:ilvl="0" w:tplc="CDDA9FB4">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3C81521"/>
    <w:multiLevelType w:val="hybridMultilevel"/>
    <w:tmpl w:val="B3C2C4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7F835AC"/>
    <w:multiLevelType w:val="hybridMultilevel"/>
    <w:tmpl w:val="1A12A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323451"/>
    <w:multiLevelType w:val="hybridMultilevel"/>
    <w:tmpl w:val="40521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003FB0"/>
    <w:multiLevelType w:val="hybridMultilevel"/>
    <w:tmpl w:val="FC8E7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4039002">
    <w:abstractNumId w:val="24"/>
  </w:num>
  <w:num w:numId="2" w16cid:durableId="1439594905">
    <w:abstractNumId w:val="14"/>
  </w:num>
  <w:num w:numId="3" w16cid:durableId="1249928052">
    <w:abstractNumId w:val="34"/>
  </w:num>
  <w:num w:numId="4" w16cid:durableId="521676171">
    <w:abstractNumId w:val="9"/>
  </w:num>
  <w:num w:numId="5" w16cid:durableId="142281443">
    <w:abstractNumId w:val="29"/>
  </w:num>
  <w:num w:numId="6" w16cid:durableId="1223442704">
    <w:abstractNumId w:val="2"/>
  </w:num>
  <w:num w:numId="7" w16cid:durableId="385841179">
    <w:abstractNumId w:val="23"/>
  </w:num>
  <w:num w:numId="8" w16cid:durableId="1068920327">
    <w:abstractNumId w:val="12"/>
  </w:num>
  <w:num w:numId="9" w16cid:durableId="1299610911">
    <w:abstractNumId w:val="18"/>
  </w:num>
  <w:num w:numId="10" w16cid:durableId="895630783">
    <w:abstractNumId w:val="2"/>
  </w:num>
  <w:num w:numId="11" w16cid:durableId="1159034161">
    <w:abstractNumId w:val="33"/>
  </w:num>
  <w:num w:numId="12" w16cid:durableId="1120685459">
    <w:abstractNumId w:val="17"/>
  </w:num>
  <w:num w:numId="13" w16cid:durableId="1942183834">
    <w:abstractNumId w:val="15"/>
  </w:num>
  <w:num w:numId="14" w16cid:durableId="1104960815">
    <w:abstractNumId w:val="13"/>
  </w:num>
  <w:num w:numId="15" w16cid:durableId="18245013">
    <w:abstractNumId w:val="30"/>
  </w:num>
  <w:num w:numId="16" w16cid:durableId="670912956">
    <w:abstractNumId w:val="25"/>
  </w:num>
  <w:num w:numId="17" w16cid:durableId="736247309">
    <w:abstractNumId w:val="16"/>
  </w:num>
  <w:num w:numId="18" w16cid:durableId="102960321">
    <w:abstractNumId w:val="6"/>
  </w:num>
  <w:num w:numId="19" w16cid:durableId="749427088">
    <w:abstractNumId w:val="22"/>
  </w:num>
  <w:num w:numId="20" w16cid:durableId="34276409">
    <w:abstractNumId w:val="28"/>
  </w:num>
  <w:num w:numId="21" w16cid:durableId="96873602">
    <w:abstractNumId w:val="19"/>
  </w:num>
  <w:num w:numId="22" w16cid:durableId="699358085">
    <w:abstractNumId w:val="10"/>
  </w:num>
  <w:num w:numId="23" w16cid:durableId="556206315">
    <w:abstractNumId w:val="1"/>
  </w:num>
  <w:num w:numId="24" w16cid:durableId="1982687441">
    <w:abstractNumId w:val="8"/>
  </w:num>
  <w:num w:numId="25" w16cid:durableId="837578270">
    <w:abstractNumId w:val="5"/>
  </w:num>
  <w:num w:numId="26" w16cid:durableId="1921984196">
    <w:abstractNumId w:val="1"/>
  </w:num>
  <w:num w:numId="27" w16cid:durableId="1221598556">
    <w:abstractNumId w:val="20"/>
  </w:num>
  <w:num w:numId="28" w16cid:durableId="938414388">
    <w:abstractNumId w:val="26"/>
  </w:num>
  <w:num w:numId="29" w16cid:durableId="465244526">
    <w:abstractNumId w:val="21"/>
  </w:num>
  <w:num w:numId="30" w16cid:durableId="593051908">
    <w:abstractNumId w:val="4"/>
  </w:num>
  <w:num w:numId="31" w16cid:durableId="731545178">
    <w:abstractNumId w:val="31"/>
  </w:num>
  <w:num w:numId="32" w16cid:durableId="1394964286">
    <w:abstractNumId w:val="27"/>
  </w:num>
  <w:num w:numId="33" w16cid:durableId="1346177788">
    <w:abstractNumId w:val="7"/>
  </w:num>
  <w:num w:numId="34" w16cid:durableId="968900033">
    <w:abstractNumId w:val="32"/>
  </w:num>
  <w:num w:numId="35" w16cid:durableId="1662780745">
    <w:abstractNumId w:val="0"/>
  </w:num>
  <w:num w:numId="36" w16cid:durableId="1953706797">
    <w:abstractNumId w:val="2"/>
  </w:num>
  <w:num w:numId="37" w16cid:durableId="2098746829">
    <w:abstractNumId w:val="32"/>
  </w:num>
  <w:num w:numId="38" w16cid:durableId="339696265">
    <w:abstractNumId w:val="35"/>
  </w:num>
  <w:num w:numId="39" w16cid:durableId="754202451">
    <w:abstractNumId w:val="11"/>
  </w:num>
  <w:num w:numId="40" w16cid:durableId="5991450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7D9"/>
    <w:rsid w:val="00001F71"/>
    <w:rsid w:val="00007B30"/>
    <w:rsid w:val="00007D0E"/>
    <w:rsid w:val="00013BE0"/>
    <w:rsid w:val="00015902"/>
    <w:rsid w:val="00016228"/>
    <w:rsid w:val="00021A7C"/>
    <w:rsid w:val="00023185"/>
    <w:rsid w:val="00024C75"/>
    <w:rsid w:val="00024FB3"/>
    <w:rsid w:val="000324FA"/>
    <w:rsid w:val="00032DC6"/>
    <w:rsid w:val="000338D8"/>
    <w:rsid w:val="00034AC5"/>
    <w:rsid w:val="00037CE0"/>
    <w:rsid w:val="00042E1C"/>
    <w:rsid w:val="00044ED5"/>
    <w:rsid w:val="00044F6A"/>
    <w:rsid w:val="000459D3"/>
    <w:rsid w:val="00046831"/>
    <w:rsid w:val="00051DBE"/>
    <w:rsid w:val="00057086"/>
    <w:rsid w:val="0005783C"/>
    <w:rsid w:val="000626BA"/>
    <w:rsid w:val="000633A1"/>
    <w:rsid w:val="00065152"/>
    <w:rsid w:val="000677AC"/>
    <w:rsid w:val="000720E7"/>
    <w:rsid w:val="00073D4E"/>
    <w:rsid w:val="00074116"/>
    <w:rsid w:val="00074690"/>
    <w:rsid w:val="0008476B"/>
    <w:rsid w:val="00085F26"/>
    <w:rsid w:val="00086787"/>
    <w:rsid w:val="00087945"/>
    <w:rsid w:val="00091104"/>
    <w:rsid w:val="00096B83"/>
    <w:rsid w:val="00097C9C"/>
    <w:rsid w:val="000A18AB"/>
    <w:rsid w:val="000A19B1"/>
    <w:rsid w:val="000A77B7"/>
    <w:rsid w:val="000B169C"/>
    <w:rsid w:val="000B3721"/>
    <w:rsid w:val="000B3AC6"/>
    <w:rsid w:val="000B42E2"/>
    <w:rsid w:val="000B4B17"/>
    <w:rsid w:val="000B541B"/>
    <w:rsid w:val="000B60AE"/>
    <w:rsid w:val="000C311F"/>
    <w:rsid w:val="000C529F"/>
    <w:rsid w:val="000C5850"/>
    <w:rsid w:val="000C788B"/>
    <w:rsid w:val="000D02A8"/>
    <w:rsid w:val="000E5542"/>
    <w:rsid w:val="000E6553"/>
    <w:rsid w:val="000E7807"/>
    <w:rsid w:val="000F21C7"/>
    <w:rsid w:val="000F78E5"/>
    <w:rsid w:val="001018F8"/>
    <w:rsid w:val="0010594C"/>
    <w:rsid w:val="0010751E"/>
    <w:rsid w:val="00111C11"/>
    <w:rsid w:val="001124BC"/>
    <w:rsid w:val="00112701"/>
    <w:rsid w:val="00115C2B"/>
    <w:rsid w:val="00117161"/>
    <w:rsid w:val="00125391"/>
    <w:rsid w:val="00132EAD"/>
    <w:rsid w:val="00132F71"/>
    <w:rsid w:val="001348E3"/>
    <w:rsid w:val="001409F5"/>
    <w:rsid w:val="00141463"/>
    <w:rsid w:val="0014300F"/>
    <w:rsid w:val="001446DB"/>
    <w:rsid w:val="00144839"/>
    <w:rsid w:val="0015119D"/>
    <w:rsid w:val="00156623"/>
    <w:rsid w:val="00174407"/>
    <w:rsid w:val="001745BF"/>
    <w:rsid w:val="00174F36"/>
    <w:rsid w:val="00183537"/>
    <w:rsid w:val="001837E5"/>
    <w:rsid w:val="001845C1"/>
    <w:rsid w:val="001A7A31"/>
    <w:rsid w:val="001B0064"/>
    <w:rsid w:val="001B2048"/>
    <w:rsid w:val="001B6730"/>
    <w:rsid w:val="001C4C7E"/>
    <w:rsid w:val="001C7682"/>
    <w:rsid w:val="001C7DDA"/>
    <w:rsid w:val="001D0207"/>
    <w:rsid w:val="001D0392"/>
    <w:rsid w:val="001D08D5"/>
    <w:rsid w:val="001D4B34"/>
    <w:rsid w:val="001D5F8B"/>
    <w:rsid w:val="001E08C1"/>
    <w:rsid w:val="001E10D3"/>
    <w:rsid w:val="001E3629"/>
    <w:rsid w:val="001E542C"/>
    <w:rsid w:val="001E76C3"/>
    <w:rsid w:val="001F1E3A"/>
    <w:rsid w:val="0020158D"/>
    <w:rsid w:val="002017C3"/>
    <w:rsid w:val="00202B9F"/>
    <w:rsid w:val="002069F1"/>
    <w:rsid w:val="00207047"/>
    <w:rsid w:val="00210571"/>
    <w:rsid w:val="00212B34"/>
    <w:rsid w:val="002144DD"/>
    <w:rsid w:val="00215DCF"/>
    <w:rsid w:val="00221FC7"/>
    <w:rsid w:val="00223E9A"/>
    <w:rsid w:val="002253BA"/>
    <w:rsid w:val="00231893"/>
    <w:rsid w:val="00237483"/>
    <w:rsid w:val="00244853"/>
    <w:rsid w:val="0024727E"/>
    <w:rsid w:val="00247448"/>
    <w:rsid w:val="00252677"/>
    <w:rsid w:val="00255C20"/>
    <w:rsid w:val="0025694D"/>
    <w:rsid w:val="002602E8"/>
    <w:rsid w:val="0026149E"/>
    <w:rsid w:val="00261650"/>
    <w:rsid w:val="002632FA"/>
    <w:rsid w:val="00264164"/>
    <w:rsid w:val="00275059"/>
    <w:rsid w:val="002769CB"/>
    <w:rsid w:val="0028024F"/>
    <w:rsid w:val="0028053D"/>
    <w:rsid w:val="002826C8"/>
    <w:rsid w:val="0029442A"/>
    <w:rsid w:val="0029501D"/>
    <w:rsid w:val="00295BAC"/>
    <w:rsid w:val="002A0CAE"/>
    <w:rsid w:val="002A29F9"/>
    <w:rsid w:val="002A5605"/>
    <w:rsid w:val="002B529C"/>
    <w:rsid w:val="002C09D7"/>
    <w:rsid w:val="002C125F"/>
    <w:rsid w:val="002C1573"/>
    <w:rsid w:val="002C425F"/>
    <w:rsid w:val="002C7302"/>
    <w:rsid w:val="002D4197"/>
    <w:rsid w:val="002D4952"/>
    <w:rsid w:val="002D7175"/>
    <w:rsid w:val="002E61E9"/>
    <w:rsid w:val="002E7D08"/>
    <w:rsid w:val="002F1B0F"/>
    <w:rsid w:val="002F33A5"/>
    <w:rsid w:val="002F37FB"/>
    <w:rsid w:val="002F64F1"/>
    <w:rsid w:val="002F7963"/>
    <w:rsid w:val="003014D2"/>
    <w:rsid w:val="003055B8"/>
    <w:rsid w:val="003072F7"/>
    <w:rsid w:val="003076BD"/>
    <w:rsid w:val="003116F6"/>
    <w:rsid w:val="0031180C"/>
    <w:rsid w:val="003124BB"/>
    <w:rsid w:val="0031295C"/>
    <w:rsid w:val="003153B2"/>
    <w:rsid w:val="00317FA2"/>
    <w:rsid w:val="00325490"/>
    <w:rsid w:val="00330709"/>
    <w:rsid w:val="00330DB9"/>
    <w:rsid w:val="00333088"/>
    <w:rsid w:val="00333798"/>
    <w:rsid w:val="00333E9B"/>
    <w:rsid w:val="00335770"/>
    <w:rsid w:val="00337051"/>
    <w:rsid w:val="003371AC"/>
    <w:rsid w:val="003463ED"/>
    <w:rsid w:val="00352AF3"/>
    <w:rsid w:val="003531B9"/>
    <w:rsid w:val="0035360A"/>
    <w:rsid w:val="00356150"/>
    <w:rsid w:val="003633AF"/>
    <w:rsid w:val="0036448A"/>
    <w:rsid w:val="003706C0"/>
    <w:rsid w:val="003726E7"/>
    <w:rsid w:val="00372A2B"/>
    <w:rsid w:val="00373014"/>
    <w:rsid w:val="00373C0B"/>
    <w:rsid w:val="00375119"/>
    <w:rsid w:val="0038287B"/>
    <w:rsid w:val="00386B98"/>
    <w:rsid w:val="0038713C"/>
    <w:rsid w:val="003872CC"/>
    <w:rsid w:val="003878E6"/>
    <w:rsid w:val="003A08E2"/>
    <w:rsid w:val="003A1D0D"/>
    <w:rsid w:val="003A3E5B"/>
    <w:rsid w:val="003A4ADD"/>
    <w:rsid w:val="003A53A2"/>
    <w:rsid w:val="003B1373"/>
    <w:rsid w:val="003B2537"/>
    <w:rsid w:val="003B264C"/>
    <w:rsid w:val="003B6E44"/>
    <w:rsid w:val="003B7AB6"/>
    <w:rsid w:val="003C2F72"/>
    <w:rsid w:val="003C43E2"/>
    <w:rsid w:val="003C4EAF"/>
    <w:rsid w:val="003C7978"/>
    <w:rsid w:val="003D0293"/>
    <w:rsid w:val="003D070B"/>
    <w:rsid w:val="003D1EE9"/>
    <w:rsid w:val="003D1F12"/>
    <w:rsid w:val="003D524C"/>
    <w:rsid w:val="003E20C0"/>
    <w:rsid w:val="003E4BD6"/>
    <w:rsid w:val="003F0F16"/>
    <w:rsid w:val="003F2023"/>
    <w:rsid w:val="003F2138"/>
    <w:rsid w:val="003F5009"/>
    <w:rsid w:val="003F5E21"/>
    <w:rsid w:val="003F61CD"/>
    <w:rsid w:val="003F7054"/>
    <w:rsid w:val="003F798A"/>
    <w:rsid w:val="0041505B"/>
    <w:rsid w:val="00417DBB"/>
    <w:rsid w:val="00420C9E"/>
    <w:rsid w:val="00421335"/>
    <w:rsid w:val="00421A82"/>
    <w:rsid w:val="0042557E"/>
    <w:rsid w:val="00425E63"/>
    <w:rsid w:val="004262E0"/>
    <w:rsid w:val="0042640B"/>
    <w:rsid w:val="004277E1"/>
    <w:rsid w:val="00430189"/>
    <w:rsid w:val="0043476E"/>
    <w:rsid w:val="0043486C"/>
    <w:rsid w:val="00434942"/>
    <w:rsid w:val="00436DA5"/>
    <w:rsid w:val="00441897"/>
    <w:rsid w:val="004422B6"/>
    <w:rsid w:val="00445F8D"/>
    <w:rsid w:val="00450579"/>
    <w:rsid w:val="004512C6"/>
    <w:rsid w:val="00452C61"/>
    <w:rsid w:val="00453808"/>
    <w:rsid w:val="00453E14"/>
    <w:rsid w:val="00460620"/>
    <w:rsid w:val="004620E9"/>
    <w:rsid w:val="0046425A"/>
    <w:rsid w:val="00464901"/>
    <w:rsid w:val="00464AA7"/>
    <w:rsid w:val="00464C6B"/>
    <w:rsid w:val="004655EB"/>
    <w:rsid w:val="00470034"/>
    <w:rsid w:val="004715C3"/>
    <w:rsid w:val="0047621A"/>
    <w:rsid w:val="00485447"/>
    <w:rsid w:val="004919B3"/>
    <w:rsid w:val="00491DCA"/>
    <w:rsid w:val="0049387D"/>
    <w:rsid w:val="00494878"/>
    <w:rsid w:val="0049696E"/>
    <w:rsid w:val="004A201F"/>
    <w:rsid w:val="004A2200"/>
    <w:rsid w:val="004A46EC"/>
    <w:rsid w:val="004A4DA0"/>
    <w:rsid w:val="004A75E1"/>
    <w:rsid w:val="004A7DCC"/>
    <w:rsid w:val="004B29A2"/>
    <w:rsid w:val="004B2ADA"/>
    <w:rsid w:val="004B3603"/>
    <w:rsid w:val="004B490E"/>
    <w:rsid w:val="004B4C35"/>
    <w:rsid w:val="004C5429"/>
    <w:rsid w:val="004C5CAC"/>
    <w:rsid w:val="004C60F2"/>
    <w:rsid w:val="004D0635"/>
    <w:rsid w:val="004D08E7"/>
    <w:rsid w:val="004D296B"/>
    <w:rsid w:val="004D7D4D"/>
    <w:rsid w:val="004E3F1D"/>
    <w:rsid w:val="004E4522"/>
    <w:rsid w:val="004E5359"/>
    <w:rsid w:val="004E589C"/>
    <w:rsid w:val="004E5EA3"/>
    <w:rsid w:val="004F2256"/>
    <w:rsid w:val="004F759A"/>
    <w:rsid w:val="004F771D"/>
    <w:rsid w:val="005044AE"/>
    <w:rsid w:val="005057EE"/>
    <w:rsid w:val="005058AB"/>
    <w:rsid w:val="00507166"/>
    <w:rsid w:val="005076F0"/>
    <w:rsid w:val="00514BBA"/>
    <w:rsid w:val="00515497"/>
    <w:rsid w:val="00522C58"/>
    <w:rsid w:val="00524461"/>
    <w:rsid w:val="005262E3"/>
    <w:rsid w:val="00531539"/>
    <w:rsid w:val="0053164E"/>
    <w:rsid w:val="00535331"/>
    <w:rsid w:val="00536659"/>
    <w:rsid w:val="00544249"/>
    <w:rsid w:val="00544D14"/>
    <w:rsid w:val="005450AE"/>
    <w:rsid w:val="005453EA"/>
    <w:rsid w:val="005463C2"/>
    <w:rsid w:val="00556CA3"/>
    <w:rsid w:val="00557C59"/>
    <w:rsid w:val="00560635"/>
    <w:rsid w:val="005609B5"/>
    <w:rsid w:val="0056486B"/>
    <w:rsid w:val="00565E33"/>
    <w:rsid w:val="00566716"/>
    <w:rsid w:val="00570A7C"/>
    <w:rsid w:val="005743E9"/>
    <w:rsid w:val="00576082"/>
    <w:rsid w:val="005760C6"/>
    <w:rsid w:val="0057709F"/>
    <w:rsid w:val="0057716E"/>
    <w:rsid w:val="00587E8A"/>
    <w:rsid w:val="00590CB0"/>
    <w:rsid w:val="00590F48"/>
    <w:rsid w:val="00592F61"/>
    <w:rsid w:val="00593559"/>
    <w:rsid w:val="0059568A"/>
    <w:rsid w:val="005A4A6A"/>
    <w:rsid w:val="005A6114"/>
    <w:rsid w:val="005B363F"/>
    <w:rsid w:val="005B37AA"/>
    <w:rsid w:val="005B49BF"/>
    <w:rsid w:val="005B77AD"/>
    <w:rsid w:val="005C0581"/>
    <w:rsid w:val="005C0DAA"/>
    <w:rsid w:val="005C2AF0"/>
    <w:rsid w:val="005C3FC8"/>
    <w:rsid w:val="005C48E7"/>
    <w:rsid w:val="005C4DB6"/>
    <w:rsid w:val="005C5A49"/>
    <w:rsid w:val="005C6C4E"/>
    <w:rsid w:val="005C7033"/>
    <w:rsid w:val="005D0F4E"/>
    <w:rsid w:val="005D585B"/>
    <w:rsid w:val="005D72AF"/>
    <w:rsid w:val="005E1793"/>
    <w:rsid w:val="005E1CD2"/>
    <w:rsid w:val="005E2FA2"/>
    <w:rsid w:val="005E3FC0"/>
    <w:rsid w:val="005E4253"/>
    <w:rsid w:val="005E7A15"/>
    <w:rsid w:val="005F5F79"/>
    <w:rsid w:val="005F6FF1"/>
    <w:rsid w:val="00603380"/>
    <w:rsid w:val="0060383E"/>
    <w:rsid w:val="00604B7D"/>
    <w:rsid w:val="00613609"/>
    <w:rsid w:val="0062018E"/>
    <w:rsid w:val="00621F32"/>
    <w:rsid w:val="006224F8"/>
    <w:rsid w:val="00623CA8"/>
    <w:rsid w:val="006317F7"/>
    <w:rsid w:val="006346EA"/>
    <w:rsid w:val="00640B49"/>
    <w:rsid w:val="0064580D"/>
    <w:rsid w:val="0064691B"/>
    <w:rsid w:val="00646BC1"/>
    <w:rsid w:val="006503ED"/>
    <w:rsid w:val="0065133A"/>
    <w:rsid w:val="006513AA"/>
    <w:rsid w:val="00652D7C"/>
    <w:rsid w:val="0065641D"/>
    <w:rsid w:val="0065677B"/>
    <w:rsid w:val="00656CB5"/>
    <w:rsid w:val="0065762E"/>
    <w:rsid w:val="006603FE"/>
    <w:rsid w:val="00660847"/>
    <w:rsid w:val="006719C3"/>
    <w:rsid w:val="006724B6"/>
    <w:rsid w:val="00673601"/>
    <w:rsid w:val="00676137"/>
    <w:rsid w:val="006769CC"/>
    <w:rsid w:val="00682BFF"/>
    <w:rsid w:val="00684A3C"/>
    <w:rsid w:val="006878CB"/>
    <w:rsid w:val="006922CC"/>
    <w:rsid w:val="0069572A"/>
    <w:rsid w:val="006971FE"/>
    <w:rsid w:val="006A41AA"/>
    <w:rsid w:val="006A62CE"/>
    <w:rsid w:val="006A681B"/>
    <w:rsid w:val="006A6980"/>
    <w:rsid w:val="006B108D"/>
    <w:rsid w:val="006C3A18"/>
    <w:rsid w:val="006C458E"/>
    <w:rsid w:val="006C4F39"/>
    <w:rsid w:val="006C5277"/>
    <w:rsid w:val="006C6E14"/>
    <w:rsid w:val="006C7EB0"/>
    <w:rsid w:val="006D36F9"/>
    <w:rsid w:val="006D6A97"/>
    <w:rsid w:val="006E052E"/>
    <w:rsid w:val="006E22C6"/>
    <w:rsid w:val="006E27E1"/>
    <w:rsid w:val="006E3086"/>
    <w:rsid w:val="006E56B5"/>
    <w:rsid w:val="006E7E4F"/>
    <w:rsid w:val="006F1A94"/>
    <w:rsid w:val="006F62D8"/>
    <w:rsid w:val="006F7594"/>
    <w:rsid w:val="0070173D"/>
    <w:rsid w:val="00702E20"/>
    <w:rsid w:val="00703480"/>
    <w:rsid w:val="00706ADD"/>
    <w:rsid w:val="00711FE2"/>
    <w:rsid w:val="00712C2B"/>
    <w:rsid w:val="00713ADE"/>
    <w:rsid w:val="0072539D"/>
    <w:rsid w:val="00725ABA"/>
    <w:rsid w:val="00725AE5"/>
    <w:rsid w:val="00730502"/>
    <w:rsid w:val="00733D84"/>
    <w:rsid w:val="00736D48"/>
    <w:rsid w:val="00740F04"/>
    <w:rsid w:val="00741470"/>
    <w:rsid w:val="0074166A"/>
    <w:rsid w:val="00743B74"/>
    <w:rsid w:val="007453BC"/>
    <w:rsid w:val="00745866"/>
    <w:rsid w:val="007477E2"/>
    <w:rsid w:val="00747D0D"/>
    <w:rsid w:val="0075017F"/>
    <w:rsid w:val="007526B5"/>
    <w:rsid w:val="00754B6D"/>
    <w:rsid w:val="007563AB"/>
    <w:rsid w:val="00757740"/>
    <w:rsid w:val="00764539"/>
    <w:rsid w:val="00770687"/>
    <w:rsid w:val="007749CF"/>
    <w:rsid w:val="00774ACC"/>
    <w:rsid w:val="007806BE"/>
    <w:rsid w:val="0078275D"/>
    <w:rsid w:val="00796395"/>
    <w:rsid w:val="007A7F20"/>
    <w:rsid w:val="007B1CCF"/>
    <w:rsid w:val="007B3930"/>
    <w:rsid w:val="007B614D"/>
    <w:rsid w:val="007B7964"/>
    <w:rsid w:val="007C0A27"/>
    <w:rsid w:val="007C47E5"/>
    <w:rsid w:val="007C5587"/>
    <w:rsid w:val="007C78B7"/>
    <w:rsid w:val="007D020F"/>
    <w:rsid w:val="007D2703"/>
    <w:rsid w:val="007E2C10"/>
    <w:rsid w:val="007E5269"/>
    <w:rsid w:val="007E60A8"/>
    <w:rsid w:val="007E6F3A"/>
    <w:rsid w:val="007E73C7"/>
    <w:rsid w:val="007F474B"/>
    <w:rsid w:val="00800CD1"/>
    <w:rsid w:val="00801B7A"/>
    <w:rsid w:val="0080238C"/>
    <w:rsid w:val="008045A5"/>
    <w:rsid w:val="00806054"/>
    <w:rsid w:val="00806EE7"/>
    <w:rsid w:val="00815DEA"/>
    <w:rsid w:val="00817055"/>
    <w:rsid w:val="008172A9"/>
    <w:rsid w:val="0082228A"/>
    <w:rsid w:val="00822B8E"/>
    <w:rsid w:val="0082448D"/>
    <w:rsid w:val="0082590B"/>
    <w:rsid w:val="00827E52"/>
    <w:rsid w:val="00830B11"/>
    <w:rsid w:val="008311D1"/>
    <w:rsid w:val="00832486"/>
    <w:rsid w:val="0083438B"/>
    <w:rsid w:val="008346C7"/>
    <w:rsid w:val="00836C44"/>
    <w:rsid w:val="00836EB9"/>
    <w:rsid w:val="00836F4C"/>
    <w:rsid w:val="0084309F"/>
    <w:rsid w:val="00844B1D"/>
    <w:rsid w:val="00847182"/>
    <w:rsid w:val="008520E3"/>
    <w:rsid w:val="0085338D"/>
    <w:rsid w:val="0085352C"/>
    <w:rsid w:val="008545EB"/>
    <w:rsid w:val="00855623"/>
    <w:rsid w:val="0085762B"/>
    <w:rsid w:val="008626E4"/>
    <w:rsid w:val="00864244"/>
    <w:rsid w:val="00864C56"/>
    <w:rsid w:val="00866AB3"/>
    <w:rsid w:val="0087305B"/>
    <w:rsid w:val="0087655B"/>
    <w:rsid w:val="00880907"/>
    <w:rsid w:val="008814E8"/>
    <w:rsid w:val="00882790"/>
    <w:rsid w:val="00887C77"/>
    <w:rsid w:val="00887D0A"/>
    <w:rsid w:val="00887DCF"/>
    <w:rsid w:val="008907F2"/>
    <w:rsid w:val="00890DA9"/>
    <w:rsid w:val="008945F5"/>
    <w:rsid w:val="008954E7"/>
    <w:rsid w:val="008A2907"/>
    <w:rsid w:val="008A3111"/>
    <w:rsid w:val="008A7151"/>
    <w:rsid w:val="008A774E"/>
    <w:rsid w:val="008B0AC9"/>
    <w:rsid w:val="008B26E2"/>
    <w:rsid w:val="008B2A51"/>
    <w:rsid w:val="008B3269"/>
    <w:rsid w:val="008B3819"/>
    <w:rsid w:val="008B3D3C"/>
    <w:rsid w:val="008B3DF1"/>
    <w:rsid w:val="008B3E8E"/>
    <w:rsid w:val="008B469B"/>
    <w:rsid w:val="008B5A20"/>
    <w:rsid w:val="008C5588"/>
    <w:rsid w:val="008D3EC5"/>
    <w:rsid w:val="008D57F3"/>
    <w:rsid w:val="008D66F5"/>
    <w:rsid w:val="008D7A13"/>
    <w:rsid w:val="008E2A90"/>
    <w:rsid w:val="008E3163"/>
    <w:rsid w:val="008E43BA"/>
    <w:rsid w:val="008E48FB"/>
    <w:rsid w:val="008E58BD"/>
    <w:rsid w:val="008E7FB1"/>
    <w:rsid w:val="008F1A1F"/>
    <w:rsid w:val="008F5DFF"/>
    <w:rsid w:val="009000B6"/>
    <w:rsid w:val="00902B25"/>
    <w:rsid w:val="00902DBB"/>
    <w:rsid w:val="009077C3"/>
    <w:rsid w:val="00910B5B"/>
    <w:rsid w:val="00911DD6"/>
    <w:rsid w:val="00911E99"/>
    <w:rsid w:val="009139FA"/>
    <w:rsid w:val="00913D85"/>
    <w:rsid w:val="009149D9"/>
    <w:rsid w:val="00914D49"/>
    <w:rsid w:val="00920E80"/>
    <w:rsid w:val="00927200"/>
    <w:rsid w:val="00932F2A"/>
    <w:rsid w:val="00935F20"/>
    <w:rsid w:val="00936017"/>
    <w:rsid w:val="00936128"/>
    <w:rsid w:val="009416CB"/>
    <w:rsid w:val="0094255A"/>
    <w:rsid w:val="009426BD"/>
    <w:rsid w:val="00942A0E"/>
    <w:rsid w:val="00943911"/>
    <w:rsid w:val="00944DFF"/>
    <w:rsid w:val="00947A4C"/>
    <w:rsid w:val="00955BFF"/>
    <w:rsid w:val="00960185"/>
    <w:rsid w:val="009604F3"/>
    <w:rsid w:val="009620DF"/>
    <w:rsid w:val="009635BB"/>
    <w:rsid w:val="009653A7"/>
    <w:rsid w:val="009660E3"/>
    <w:rsid w:val="00971771"/>
    <w:rsid w:val="00980D83"/>
    <w:rsid w:val="009826EC"/>
    <w:rsid w:val="00982DC9"/>
    <w:rsid w:val="0098681E"/>
    <w:rsid w:val="00987001"/>
    <w:rsid w:val="00987D57"/>
    <w:rsid w:val="00992986"/>
    <w:rsid w:val="009A113F"/>
    <w:rsid w:val="009A1394"/>
    <w:rsid w:val="009A2C47"/>
    <w:rsid w:val="009A6B5C"/>
    <w:rsid w:val="009A6FA9"/>
    <w:rsid w:val="009B0297"/>
    <w:rsid w:val="009B1044"/>
    <w:rsid w:val="009B3E2A"/>
    <w:rsid w:val="009B4453"/>
    <w:rsid w:val="009C7152"/>
    <w:rsid w:val="009D16A4"/>
    <w:rsid w:val="009D349B"/>
    <w:rsid w:val="009D6B0E"/>
    <w:rsid w:val="009D770F"/>
    <w:rsid w:val="009E40AA"/>
    <w:rsid w:val="009E4523"/>
    <w:rsid w:val="009E5956"/>
    <w:rsid w:val="009E7CBA"/>
    <w:rsid w:val="009F04CB"/>
    <w:rsid w:val="009F0AFD"/>
    <w:rsid w:val="009F3553"/>
    <w:rsid w:val="00A00ADD"/>
    <w:rsid w:val="00A017A2"/>
    <w:rsid w:val="00A040CF"/>
    <w:rsid w:val="00A07708"/>
    <w:rsid w:val="00A10C43"/>
    <w:rsid w:val="00A14AF9"/>
    <w:rsid w:val="00A14E5F"/>
    <w:rsid w:val="00A17D1A"/>
    <w:rsid w:val="00A20E89"/>
    <w:rsid w:val="00A23345"/>
    <w:rsid w:val="00A31F72"/>
    <w:rsid w:val="00A345CB"/>
    <w:rsid w:val="00A35881"/>
    <w:rsid w:val="00A40708"/>
    <w:rsid w:val="00A43A4C"/>
    <w:rsid w:val="00A46781"/>
    <w:rsid w:val="00A4796F"/>
    <w:rsid w:val="00A50126"/>
    <w:rsid w:val="00A516F5"/>
    <w:rsid w:val="00A55C88"/>
    <w:rsid w:val="00A5747D"/>
    <w:rsid w:val="00A576EC"/>
    <w:rsid w:val="00A601EA"/>
    <w:rsid w:val="00A62310"/>
    <w:rsid w:val="00A636CB"/>
    <w:rsid w:val="00A70EDC"/>
    <w:rsid w:val="00A722B5"/>
    <w:rsid w:val="00A745FB"/>
    <w:rsid w:val="00A82318"/>
    <w:rsid w:val="00A8398E"/>
    <w:rsid w:val="00A83EAE"/>
    <w:rsid w:val="00A853D3"/>
    <w:rsid w:val="00A856C8"/>
    <w:rsid w:val="00A85FE0"/>
    <w:rsid w:val="00A914C7"/>
    <w:rsid w:val="00A924BD"/>
    <w:rsid w:val="00A92C0B"/>
    <w:rsid w:val="00A95486"/>
    <w:rsid w:val="00AA2F27"/>
    <w:rsid w:val="00AA3276"/>
    <w:rsid w:val="00AA4277"/>
    <w:rsid w:val="00AA4F8D"/>
    <w:rsid w:val="00AA55A9"/>
    <w:rsid w:val="00AA7A5F"/>
    <w:rsid w:val="00AB463D"/>
    <w:rsid w:val="00AB5133"/>
    <w:rsid w:val="00AB5647"/>
    <w:rsid w:val="00AB6AEF"/>
    <w:rsid w:val="00AC072D"/>
    <w:rsid w:val="00AC1C0C"/>
    <w:rsid w:val="00AC234D"/>
    <w:rsid w:val="00AC4F07"/>
    <w:rsid w:val="00AC725D"/>
    <w:rsid w:val="00AC7FBF"/>
    <w:rsid w:val="00AD150A"/>
    <w:rsid w:val="00AE2E79"/>
    <w:rsid w:val="00AE6F01"/>
    <w:rsid w:val="00AE7252"/>
    <w:rsid w:val="00AE7E1D"/>
    <w:rsid w:val="00AF0267"/>
    <w:rsid w:val="00AF039F"/>
    <w:rsid w:val="00AF3FF3"/>
    <w:rsid w:val="00AF4572"/>
    <w:rsid w:val="00AF6615"/>
    <w:rsid w:val="00B02669"/>
    <w:rsid w:val="00B04118"/>
    <w:rsid w:val="00B042A7"/>
    <w:rsid w:val="00B1242F"/>
    <w:rsid w:val="00B15A66"/>
    <w:rsid w:val="00B2270F"/>
    <w:rsid w:val="00B22EDB"/>
    <w:rsid w:val="00B249B0"/>
    <w:rsid w:val="00B24B58"/>
    <w:rsid w:val="00B26057"/>
    <w:rsid w:val="00B271EA"/>
    <w:rsid w:val="00B31B63"/>
    <w:rsid w:val="00B32253"/>
    <w:rsid w:val="00B32425"/>
    <w:rsid w:val="00B35727"/>
    <w:rsid w:val="00B37103"/>
    <w:rsid w:val="00B40626"/>
    <w:rsid w:val="00B4090D"/>
    <w:rsid w:val="00B45677"/>
    <w:rsid w:val="00B45DE1"/>
    <w:rsid w:val="00B54036"/>
    <w:rsid w:val="00B56EFA"/>
    <w:rsid w:val="00B578C1"/>
    <w:rsid w:val="00B61D00"/>
    <w:rsid w:val="00B6311F"/>
    <w:rsid w:val="00B70213"/>
    <w:rsid w:val="00B7089C"/>
    <w:rsid w:val="00B7159C"/>
    <w:rsid w:val="00B71C9B"/>
    <w:rsid w:val="00B744DD"/>
    <w:rsid w:val="00B755C3"/>
    <w:rsid w:val="00B777A3"/>
    <w:rsid w:val="00B808A0"/>
    <w:rsid w:val="00B846EF"/>
    <w:rsid w:val="00B84A2A"/>
    <w:rsid w:val="00B85124"/>
    <w:rsid w:val="00B870DF"/>
    <w:rsid w:val="00B874BA"/>
    <w:rsid w:val="00B876D0"/>
    <w:rsid w:val="00B90E16"/>
    <w:rsid w:val="00B91FD2"/>
    <w:rsid w:val="00B92587"/>
    <w:rsid w:val="00B92C1E"/>
    <w:rsid w:val="00BA25D3"/>
    <w:rsid w:val="00BA6ACB"/>
    <w:rsid w:val="00BB1E26"/>
    <w:rsid w:val="00BB1F57"/>
    <w:rsid w:val="00BB2AFA"/>
    <w:rsid w:val="00BB5BD6"/>
    <w:rsid w:val="00BB6CB0"/>
    <w:rsid w:val="00BC0092"/>
    <w:rsid w:val="00BC453B"/>
    <w:rsid w:val="00BC5ED3"/>
    <w:rsid w:val="00BC704F"/>
    <w:rsid w:val="00BC71AD"/>
    <w:rsid w:val="00BC7ABE"/>
    <w:rsid w:val="00BD083B"/>
    <w:rsid w:val="00BD0975"/>
    <w:rsid w:val="00BD36C7"/>
    <w:rsid w:val="00BE133D"/>
    <w:rsid w:val="00BE2E69"/>
    <w:rsid w:val="00BE34CB"/>
    <w:rsid w:val="00BE3A71"/>
    <w:rsid w:val="00BE415A"/>
    <w:rsid w:val="00BF4690"/>
    <w:rsid w:val="00BF5D79"/>
    <w:rsid w:val="00C018C6"/>
    <w:rsid w:val="00C0575F"/>
    <w:rsid w:val="00C07DB4"/>
    <w:rsid w:val="00C10C2A"/>
    <w:rsid w:val="00C11BE8"/>
    <w:rsid w:val="00C13DC4"/>
    <w:rsid w:val="00C15EE7"/>
    <w:rsid w:val="00C16CEA"/>
    <w:rsid w:val="00C1716E"/>
    <w:rsid w:val="00C176B8"/>
    <w:rsid w:val="00C201F6"/>
    <w:rsid w:val="00C21270"/>
    <w:rsid w:val="00C21D34"/>
    <w:rsid w:val="00C21F29"/>
    <w:rsid w:val="00C22C1D"/>
    <w:rsid w:val="00C25A7F"/>
    <w:rsid w:val="00C3255D"/>
    <w:rsid w:val="00C346F0"/>
    <w:rsid w:val="00C34B21"/>
    <w:rsid w:val="00C37718"/>
    <w:rsid w:val="00C40CC2"/>
    <w:rsid w:val="00C455F5"/>
    <w:rsid w:val="00C504E5"/>
    <w:rsid w:val="00C50D84"/>
    <w:rsid w:val="00C51266"/>
    <w:rsid w:val="00C561C2"/>
    <w:rsid w:val="00C56B84"/>
    <w:rsid w:val="00C60364"/>
    <w:rsid w:val="00C650A6"/>
    <w:rsid w:val="00C6513A"/>
    <w:rsid w:val="00C6570C"/>
    <w:rsid w:val="00C732A4"/>
    <w:rsid w:val="00C747C2"/>
    <w:rsid w:val="00C86691"/>
    <w:rsid w:val="00C9072E"/>
    <w:rsid w:val="00C932D7"/>
    <w:rsid w:val="00C94A4F"/>
    <w:rsid w:val="00C9632A"/>
    <w:rsid w:val="00C969CD"/>
    <w:rsid w:val="00C97A07"/>
    <w:rsid w:val="00CA0809"/>
    <w:rsid w:val="00CA1155"/>
    <w:rsid w:val="00CB0114"/>
    <w:rsid w:val="00CB1863"/>
    <w:rsid w:val="00CB25E5"/>
    <w:rsid w:val="00CB2B3C"/>
    <w:rsid w:val="00CB3D92"/>
    <w:rsid w:val="00CB5635"/>
    <w:rsid w:val="00CB68D5"/>
    <w:rsid w:val="00CB6DF1"/>
    <w:rsid w:val="00CC21AC"/>
    <w:rsid w:val="00CC5AAF"/>
    <w:rsid w:val="00CD08BD"/>
    <w:rsid w:val="00CD3404"/>
    <w:rsid w:val="00CD48F1"/>
    <w:rsid w:val="00CD4D7E"/>
    <w:rsid w:val="00CD641B"/>
    <w:rsid w:val="00CE1D34"/>
    <w:rsid w:val="00CE3E31"/>
    <w:rsid w:val="00CE4CE5"/>
    <w:rsid w:val="00CF1A94"/>
    <w:rsid w:val="00CF73CC"/>
    <w:rsid w:val="00CF75AB"/>
    <w:rsid w:val="00D01600"/>
    <w:rsid w:val="00D01EEC"/>
    <w:rsid w:val="00D04E7F"/>
    <w:rsid w:val="00D056C7"/>
    <w:rsid w:val="00D07750"/>
    <w:rsid w:val="00D11A59"/>
    <w:rsid w:val="00D14F3E"/>
    <w:rsid w:val="00D21193"/>
    <w:rsid w:val="00D24342"/>
    <w:rsid w:val="00D337C1"/>
    <w:rsid w:val="00D34C84"/>
    <w:rsid w:val="00D36732"/>
    <w:rsid w:val="00D36837"/>
    <w:rsid w:val="00D4021B"/>
    <w:rsid w:val="00D431C5"/>
    <w:rsid w:val="00D4358F"/>
    <w:rsid w:val="00D438BA"/>
    <w:rsid w:val="00D443B3"/>
    <w:rsid w:val="00D465E5"/>
    <w:rsid w:val="00D46728"/>
    <w:rsid w:val="00D51BE3"/>
    <w:rsid w:val="00D531B1"/>
    <w:rsid w:val="00D54D67"/>
    <w:rsid w:val="00D56C2D"/>
    <w:rsid w:val="00D63296"/>
    <w:rsid w:val="00D66750"/>
    <w:rsid w:val="00D721CD"/>
    <w:rsid w:val="00D72BBE"/>
    <w:rsid w:val="00D73FEE"/>
    <w:rsid w:val="00D74D2D"/>
    <w:rsid w:val="00D777E9"/>
    <w:rsid w:val="00D77C63"/>
    <w:rsid w:val="00D8467B"/>
    <w:rsid w:val="00D8615D"/>
    <w:rsid w:val="00D90502"/>
    <w:rsid w:val="00D93971"/>
    <w:rsid w:val="00D94291"/>
    <w:rsid w:val="00D95CA8"/>
    <w:rsid w:val="00D97A6C"/>
    <w:rsid w:val="00DA0AB4"/>
    <w:rsid w:val="00DA2C1E"/>
    <w:rsid w:val="00DA5802"/>
    <w:rsid w:val="00DA63B3"/>
    <w:rsid w:val="00DA66A2"/>
    <w:rsid w:val="00DA6910"/>
    <w:rsid w:val="00DB0F8F"/>
    <w:rsid w:val="00DB5DD3"/>
    <w:rsid w:val="00DB74DF"/>
    <w:rsid w:val="00DB7BE5"/>
    <w:rsid w:val="00DC34F0"/>
    <w:rsid w:val="00DC41CE"/>
    <w:rsid w:val="00DC58CC"/>
    <w:rsid w:val="00DD0596"/>
    <w:rsid w:val="00DD16E3"/>
    <w:rsid w:val="00DD4345"/>
    <w:rsid w:val="00DE0266"/>
    <w:rsid w:val="00DE3D0E"/>
    <w:rsid w:val="00DE57AE"/>
    <w:rsid w:val="00DE77B0"/>
    <w:rsid w:val="00DF35CF"/>
    <w:rsid w:val="00DF4E7C"/>
    <w:rsid w:val="00DF5686"/>
    <w:rsid w:val="00DF72E7"/>
    <w:rsid w:val="00E00963"/>
    <w:rsid w:val="00E01BF0"/>
    <w:rsid w:val="00E11762"/>
    <w:rsid w:val="00E165AD"/>
    <w:rsid w:val="00E240D4"/>
    <w:rsid w:val="00E255BF"/>
    <w:rsid w:val="00E313AA"/>
    <w:rsid w:val="00E327D9"/>
    <w:rsid w:val="00E43B37"/>
    <w:rsid w:val="00E55BE0"/>
    <w:rsid w:val="00E56B05"/>
    <w:rsid w:val="00E56EDD"/>
    <w:rsid w:val="00E57003"/>
    <w:rsid w:val="00E6052F"/>
    <w:rsid w:val="00E6295B"/>
    <w:rsid w:val="00E65B53"/>
    <w:rsid w:val="00E6600E"/>
    <w:rsid w:val="00E66A0F"/>
    <w:rsid w:val="00E6717B"/>
    <w:rsid w:val="00E707A9"/>
    <w:rsid w:val="00E71E29"/>
    <w:rsid w:val="00E72B8E"/>
    <w:rsid w:val="00E74DE8"/>
    <w:rsid w:val="00E7563E"/>
    <w:rsid w:val="00E76301"/>
    <w:rsid w:val="00E77301"/>
    <w:rsid w:val="00E80D54"/>
    <w:rsid w:val="00E81BC4"/>
    <w:rsid w:val="00E84633"/>
    <w:rsid w:val="00E85003"/>
    <w:rsid w:val="00E85851"/>
    <w:rsid w:val="00E907B5"/>
    <w:rsid w:val="00E90DCB"/>
    <w:rsid w:val="00E918F7"/>
    <w:rsid w:val="00EA0515"/>
    <w:rsid w:val="00EA149E"/>
    <w:rsid w:val="00EA41F3"/>
    <w:rsid w:val="00EA453F"/>
    <w:rsid w:val="00EA6B1A"/>
    <w:rsid w:val="00EB145D"/>
    <w:rsid w:val="00EB3E4B"/>
    <w:rsid w:val="00EB71C1"/>
    <w:rsid w:val="00EB7261"/>
    <w:rsid w:val="00EC24CE"/>
    <w:rsid w:val="00EC2CDF"/>
    <w:rsid w:val="00EC722E"/>
    <w:rsid w:val="00ED0E3C"/>
    <w:rsid w:val="00ED4659"/>
    <w:rsid w:val="00ED59B5"/>
    <w:rsid w:val="00EE244C"/>
    <w:rsid w:val="00EE7341"/>
    <w:rsid w:val="00EF24C2"/>
    <w:rsid w:val="00EF291B"/>
    <w:rsid w:val="00EF2DF1"/>
    <w:rsid w:val="00EF3B95"/>
    <w:rsid w:val="00F005B8"/>
    <w:rsid w:val="00F03189"/>
    <w:rsid w:val="00F0426C"/>
    <w:rsid w:val="00F07647"/>
    <w:rsid w:val="00F101C7"/>
    <w:rsid w:val="00F1194F"/>
    <w:rsid w:val="00F13198"/>
    <w:rsid w:val="00F14E68"/>
    <w:rsid w:val="00F15161"/>
    <w:rsid w:val="00F207CA"/>
    <w:rsid w:val="00F23E14"/>
    <w:rsid w:val="00F2429F"/>
    <w:rsid w:val="00F266CF"/>
    <w:rsid w:val="00F30A78"/>
    <w:rsid w:val="00F320B7"/>
    <w:rsid w:val="00F3221A"/>
    <w:rsid w:val="00F33FEE"/>
    <w:rsid w:val="00F34184"/>
    <w:rsid w:val="00F37122"/>
    <w:rsid w:val="00F40C41"/>
    <w:rsid w:val="00F4487C"/>
    <w:rsid w:val="00F46C6E"/>
    <w:rsid w:val="00F4797B"/>
    <w:rsid w:val="00F505E5"/>
    <w:rsid w:val="00F52116"/>
    <w:rsid w:val="00F53DB9"/>
    <w:rsid w:val="00F54C8A"/>
    <w:rsid w:val="00F5617C"/>
    <w:rsid w:val="00F56D76"/>
    <w:rsid w:val="00F611F7"/>
    <w:rsid w:val="00F63F43"/>
    <w:rsid w:val="00F667C9"/>
    <w:rsid w:val="00F70EC1"/>
    <w:rsid w:val="00F74A37"/>
    <w:rsid w:val="00F8145A"/>
    <w:rsid w:val="00F82E23"/>
    <w:rsid w:val="00F846B8"/>
    <w:rsid w:val="00F85C14"/>
    <w:rsid w:val="00F9131C"/>
    <w:rsid w:val="00F93B61"/>
    <w:rsid w:val="00F94124"/>
    <w:rsid w:val="00F97290"/>
    <w:rsid w:val="00F97D1B"/>
    <w:rsid w:val="00F97F11"/>
    <w:rsid w:val="00FA00C0"/>
    <w:rsid w:val="00FA43C5"/>
    <w:rsid w:val="00FA5B7C"/>
    <w:rsid w:val="00FA6E43"/>
    <w:rsid w:val="00FB35BE"/>
    <w:rsid w:val="00FB3BA3"/>
    <w:rsid w:val="00FB40BA"/>
    <w:rsid w:val="00FB5931"/>
    <w:rsid w:val="00FB60B8"/>
    <w:rsid w:val="00FB6AAA"/>
    <w:rsid w:val="00FB7155"/>
    <w:rsid w:val="00FB7E8A"/>
    <w:rsid w:val="00FC7499"/>
    <w:rsid w:val="00FD1347"/>
    <w:rsid w:val="00FD1DE6"/>
    <w:rsid w:val="00FD6D75"/>
    <w:rsid w:val="00FD7CDD"/>
    <w:rsid w:val="00FE2FC9"/>
    <w:rsid w:val="00FE4104"/>
    <w:rsid w:val="00FE46C3"/>
    <w:rsid w:val="00FE5C0F"/>
    <w:rsid w:val="00FF1BB1"/>
    <w:rsid w:val="00FF232B"/>
    <w:rsid w:val="00FF4687"/>
    <w:rsid w:val="00FF6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CC194"/>
  <w15:chartTrackingRefBased/>
  <w15:docId w15:val="{9AF59B3F-4463-4050-A981-131408602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327D9"/>
    <w:pPr>
      <w:widowControl w:val="0"/>
      <w:spacing w:after="0" w:line="240" w:lineRule="auto"/>
    </w:pPr>
  </w:style>
  <w:style w:type="paragraph" w:styleId="Heading1">
    <w:name w:val="heading 1"/>
    <w:basedOn w:val="Normal"/>
    <w:link w:val="Heading1Char"/>
    <w:uiPriority w:val="1"/>
    <w:qFormat/>
    <w:rsid w:val="00E327D9"/>
    <w:pPr>
      <w:spacing w:before="210"/>
      <w:ind w:left="860" w:hanging="742"/>
      <w:outlineLvl w:val="0"/>
    </w:pPr>
    <w:rPr>
      <w:rFonts w:ascii="Times New Roman" w:eastAsia="Times New Roman" w:hAnsi="Times New Roman"/>
      <w:b/>
      <w:bCs/>
      <w:sz w:val="28"/>
      <w:szCs w:val="28"/>
    </w:rPr>
  </w:style>
  <w:style w:type="paragraph" w:styleId="Heading2">
    <w:name w:val="heading 2"/>
    <w:basedOn w:val="Normal"/>
    <w:link w:val="Heading2Char"/>
    <w:uiPriority w:val="1"/>
    <w:qFormat/>
    <w:rsid w:val="00E327D9"/>
    <w:pPr>
      <w:ind w:left="2169"/>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327D9"/>
    <w:rPr>
      <w:rFonts w:ascii="Times New Roman" w:eastAsia="Times New Roman" w:hAnsi="Times New Roman"/>
      <w:b/>
      <w:bCs/>
      <w:sz w:val="28"/>
      <w:szCs w:val="28"/>
    </w:rPr>
  </w:style>
  <w:style w:type="character" w:customStyle="1" w:styleId="Heading2Char">
    <w:name w:val="Heading 2 Char"/>
    <w:basedOn w:val="DefaultParagraphFont"/>
    <w:link w:val="Heading2"/>
    <w:uiPriority w:val="1"/>
    <w:rsid w:val="00E327D9"/>
    <w:rPr>
      <w:rFonts w:ascii="Times New Roman" w:eastAsia="Times New Roman" w:hAnsi="Times New Roman"/>
      <w:b/>
      <w:bCs/>
      <w:sz w:val="24"/>
      <w:szCs w:val="24"/>
    </w:rPr>
  </w:style>
  <w:style w:type="paragraph" w:styleId="TOC1">
    <w:name w:val="toc 1"/>
    <w:basedOn w:val="Normal"/>
    <w:uiPriority w:val="1"/>
    <w:qFormat/>
    <w:rsid w:val="00E327D9"/>
    <w:pPr>
      <w:spacing w:before="141"/>
      <w:ind w:left="492" w:hanging="372"/>
    </w:pPr>
    <w:rPr>
      <w:rFonts w:ascii="Times New Roman" w:eastAsia="Times New Roman" w:hAnsi="Times New Roman"/>
      <w:sz w:val="24"/>
      <w:szCs w:val="24"/>
    </w:rPr>
  </w:style>
  <w:style w:type="paragraph" w:styleId="BodyText">
    <w:name w:val="Body Text"/>
    <w:basedOn w:val="Normal"/>
    <w:link w:val="BodyTextChar"/>
    <w:uiPriority w:val="1"/>
    <w:qFormat/>
    <w:rsid w:val="00E327D9"/>
    <w:pPr>
      <w:ind w:left="12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E327D9"/>
    <w:rPr>
      <w:rFonts w:ascii="Times New Roman" w:eastAsia="Times New Roman" w:hAnsi="Times New Roman"/>
      <w:sz w:val="24"/>
      <w:szCs w:val="24"/>
    </w:rPr>
  </w:style>
  <w:style w:type="paragraph" w:styleId="ListParagraph">
    <w:name w:val="List Paragraph"/>
    <w:basedOn w:val="Normal"/>
    <w:uiPriority w:val="34"/>
    <w:qFormat/>
    <w:rsid w:val="00E327D9"/>
  </w:style>
  <w:style w:type="paragraph" w:customStyle="1" w:styleId="TableParagraph">
    <w:name w:val="Table Paragraph"/>
    <w:basedOn w:val="Normal"/>
    <w:uiPriority w:val="1"/>
    <w:qFormat/>
    <w:rsid w:val="00E327D9"/>
  </w:style>
  <w:style w:type="paragraph" w:styleId="FootnoteText">
    <w:name w:val="footnote text"/>
    <w:basedOn w:val="Normal"/>
    <w:link w:val="FootnoteTextChar"/>
    <w:uiPriority w:val="99"/>
    <w:semiHidden/>
    <w:unhideWhenUsed/>
    <w:rsid w:val="00E327D9"/>
    <w:rPr>
      <w:sz w:val="20"/>
      <w:szCs w:val="20"/>
    </w:rPr>
  </w:style>
  <w:style w:type="character" w:customStyle="1" w:styleId="FootnoteTextChar">
    <w:name w:val="Footnote Text Char"/>
    <w:basedOn w:val="DefaultParagraphFont"/>
    <w:link w:val="FootnoteText"/>
    <w:uiPriority w:val="99"/>
    <w:semiHidden/>
    <w:rsid w:val="00E327D9"/>
    <w:rPr>
      <w:sz w:val="20"/>
      <w:szCs w:val="20"/>
    </w:rPr>
  </w:style>
  <w:style w:type="character" w:styleId="FootnoteReference">
    <w:name w:val="footnote reference"/>
    <w:basedOn w:val="DefaultParagraphFont"/>
    <w:uiPriority w:val="99"/>
    <w:semiHidden/>
    <w:unhideWhenUsed/>
    <w:rsid w:val="00E327D9"/>
    <w:rPr>
      <w:vertAlign w:val="superscript"/>
    </w:rPr>
  </w:style>
  <w:style w:type="character" w:styleId="Hyperlink">
    <w:name w:val="Hyperlink"/>
    <w:basedOn w:val="DefaultParagraphFont"/>
    <w:uiPriority w:val="99"/>
    <w:unhideWhenUsed/>
    <w:rsid w:val="00E327D9"/>
    <w:rPr>
      <w:color w:val="0563C1" w:themeColor="hyperlink"/>
      <w:u w:val="single"/>
    </w:rPr>
  </w:style>
  <w:style w:type="paragraph" w:styleId="Header">
    <w:name w:val="header"/>
    <w:basedOn w:val="Normal"/>
    <w:link w:val="HeaderChar"/>
    <w:uiPriority w:val="99"/>
    <w:unhideWhenUsed/>
    <w:rsid w:val="00E327D9"/>
    <w:pPr>
      <w:tabs>
        <w:tab w:val="center" w:pos="4680"/>
        <w:tab w:val="right" w:pos="9360"/>
      </w:tabs>
    </w:pPr>
  </w:style>
  <w:style w:type="character" w:customStyle="1" w:styleId="HeaderChar">
    <w:name w:val="Header Char"/>
    <w:basedOn w:val="DefaultParagraphFont"/>
    <w:link w:val="Header"/>
    <w:uiPriority w:val="99"/>
    <w:rsid w:val="00E327D9"/>
  </w:style>
  <w:style w:type="paragraph" w:styleId="Footer">
    <w:name w:val="footer"/>
    <w:basedOn w:val="Normal"/>
    <w:link w:val="FooterChar"/>
    <w:uiPriority w:val="99"/>
    <w:unhideWhenUsed/>
    <w:rsid w:val="00E327D9"/>
    <w:pPr>
      <w:tabs>
        <w:tab w:val="center" w:pos="4680"/>
        <w:tab w:val="right" w:pos="9360"/>
      </w:tabs>
    </w:pPr>
  </w:style>
  <w:style w:type="character" w:customStyle="1" w:styleId="FooterChar">
    <w:name w:val="Footer Char"/>
    <w:basedOn w:val="DefaultParagraphFont"/>
    <w:link w:val="Footer"/>
    <w:uiPriority w:val="99"/>
    <w:rsid w:val="00E327D9"/>
  </w:style>
  <w:style w:type="paragraph" w:styleId="NormalWeb">
    <w:name w:val="Normal (Web)"/>
    <w:basedOn w:val="Normal"/>
    <w:uiPriority w:val="99"/>
    <w:unhideWhenUsed/>
    <w:rsid w:val="00E327D9"/>
    <w:pPr>
      <w:widowControl/>
      <w:spacing w:before="100" w:beforeAutospacing="1" w:after="100" w:afterAutospacing="1"/>
    </w:pPr>
    <w:rPr>
      <w:rFonts w:ascii="Times New Roman" w:eastAsiaTheme="minorEastAsia" w:hAnsi="Times New Roman" w:cs="Times New Roman"/>
      <w:sz w:val="24"/>
      <w:szCs w:val="24"/>
    </w:rPr>
  </w:style>
  <w:style w:type="character" w:customStyle="1" w:styleId="reftitle">
    <w:name w:val="ref_title"/>
    <w:basedOn w:val="DefaultParagraphFont"/>
    <w:rsid w:val="00E327D9"/>
  </w:style>
  <w:style w:type="character" w:styleId="FollowedHyperlink">
    <w:name w:val="FollowedHyperlink"/>
    <w:basedOn w:val="DefaultParagraphFont"/>
    <w:uiPriority w:val="99"/>
    <w:semiHidden/>
    <w:unhideWhenUsed/>
    <w:rsid w:val="00AE6F01"/>
    <w:rPr>
      <w:color w:val="954F72" w:themeColor="followedHyperlink"/>
      <w:u w:val="single"/>
    </w:rPr>
  </w:style>
  <w:style w:type="character" w:styleId="CommentReference">
    <w:name w:val="annotation reference"/>
    <w:basedOn w:val="DefaultParagraphFont"/>
    <w:uiPriority w:val="99"/>
    <w:semiHidden/>
    <w:unhideWhenUsed/>
    <w:rsid w:val="00AE6F01"/>
    <w:rPr>
      <w:sz w:val="16"/>
      <w:szCs w:val="16"/>
    </w:rPr>
  </w:style>
  <w:style w:type="paragraph" w:styleId="CommentText">
    <w:name w:val="annotation text"/>
    <w:basedOn w:val="Normal"/>
    <w:link w:val="CommentTextChar"/>
    <w:uiPriority w:val="99"/>
    <w:unhideWhenUsed/>
    <w:rsid w:val="00AE6F01"/>
    <w:rPr>
      <w:sz w:val="20"/>
      <w:szCs w:val="20"/>
    </w:rPr>
  </w:style>
  <w:style w:type="character" w:customStyle="1" w:styleId="CommentTextChar">
    <w:name w:val="Comment Text Char"/>
    <w:basedOn w:val="DefaultParagraphFont"/>
    <w:link w:val="CommentText"/>
    <w:uiPriority w:val="99"/>
    <w:rsid w:val="00AE6F01"/>
    <w:rPr>
      <w:sz w:val="20"/>
      <w:szCs w:val="20"/>
    </w:rPr>
  </w:style>
  <w:style w:type="paragraph" w:styleId="CommentSubject">
    <w:name w:val="annotation subject"/>
    <w:basedOn w:val="CommentText"/>
    <w:next w:val="CommentText"/>
    <w:link w:val="CommentSubjectChar"/>
    <w:uiPriority w:val="99"/>
    <w:semiHidden/>
    <w:unhideWhenUsed/>
    <w:rsid w:val="00AE6F01"/>
    <w:rPr>
      <w:b/>
      <w:bCs/>
    </w:rPr>
  </w:style>
  <w:style w:type="character" w:customStyle="1" w:styleId="CommentSubjectChar">
    <w:name w:val="Comment Subject Char"/>
    <w:basedOn w:val="CommentTextChar"/>
    <w:link w:val="CommentSubject"/>
    <w:uiPriority w:val="99"/>
    <w:semiHidden/>
    <w:rsid w:val="00AE6F01"/>
    <w:rPr>
      <w:b/>
      <w:bCs/>
      <w:sz w:val="20"/>
      <w:szCs w:val="20"/>
    </w:rPr>
  </w:style>
  <w:style w:type="paragraph" w:styleId="BalloonText">
    <w:name w:val="Balloon Text"/>
    <w:basedOn w:val="Normal"/>
    <w:link w:val="BalloonTextChar"/>
    <w:uiPriority w:val="99"/>
    <w:semiHidden/>
    <w:unhideWhenUsed/>
    <w:rsid w:val="00AE6F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6F01"/>
    <w:rPr>
      <w:rFonts w:ascii="Segoe UI" w:hAnsi="Segoe UI" w:cs="Segoe UI"/>
      <w:sz w:val="18"/>
      <w:szCs w:val="18"/>
    </w:rPr>
  </w:style>
  <w:style w:type="table" w:styleId="TableGrid">
    <w:name w:val="Table Grid"/>
    <w:basedOn w:val="TableNormal"/>
    <w:uiPriority w:val="39"/>
    <w:rsid w:val="00DB7B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B2A51"/>
    <w:rPr>
      <w:color w:val="605E5C"/>
      <w:shd w:val="clear" w:color="auto" w:fill="E1DFDD"/>
    </w:rPr>
  </w:style>
  <w:style w:type="character" w:customStyle="1" w:styleId="elementtoproof">
    <w:name w:val="elementtoproof"/>
    <w:basedOn w:val="DefaultParagraphFont"/>
    <w:rsid w:val="00AC1C0C"/>
  </w:style>
  <w:style w:type="paragraph" w:styleId="Revision">
    <w:name w:val="Revision"/>
    <w:hidden/>
    <w:uiPriority w:val="99"/>
    <w:semiHidden/>
    <w:rsid w:val="003730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6200">
      <w:bodyDiv w:val="1"/>
      <w:marLeft w:val="0"/>
      <w:marRight w:val="0"/>
      <w:marTop w:val="0"/>
      <w:marBottom w:val="0"/>
      <w:divBdr>
        <w:top w:val="none" w:sz="0" w:space="0" w:color="auto"/>
        <w:left w:val="none" w:sz="0" w:space="0" w:color="auto"/>
        <w:bottom w:val="none" w:sz="0" w:space="0" w:color="auto"/>
        <w:right w:val="none" w:sz="0" w:space="0" w:color="auto"/>
      </w:divBdr>
    </w:div>
    <w:div w:id="15499154">
      <w:bodyDiv w:val="1"/>
      <w:marLeft w:val="0"/>
      <w:marRight w:val="0"/>
      <w:marTop w:val="0"/>
      <w:marBottom w:val="0"/>
      <w:divBdr>
        <w:top w:val="none" w:sz="0" w:space="0" w:color="auto"/>
        <w:left w:val="none" w:sz="0" w:space="0" w:color="auto"/>
        <w:bottom w:val="none" w:sz="0" w:space="0" w:color="auto"/>
        <w:right w:val="none" w:sz="0" w:space="0" w:color="auto"/>
      </w:divBdr>
    </w:div>
    <w:div w:id="68815995">
      <w:bodyDiv w:val="1"/>
      <w:marLeft w:val="0"/>
      <w:marRight w:val="0"/>
      <w:marTop w:val="0"/>
      <w:marBottom w:val="0"/>
      <w:divBdr>
        <w:top w:val="none" w:sz="0" w:space="0" w:color="auto"/>
        <w:left w:val="none" w:sz="0" w:space="0" w:color="auto"/>
        <w:bottom w:val="none" w:sz="0" w:space="0" w:color="auto"/>
        <w:right w:val="none" w:sz="0" w:space="0" w:color="auto"/>
      </w:divBdr>
    </w:div>
    <w:div w:id="133913615">
      <w:bodyDiv w:val="1"/>
      <w:marLeft w:val="0"/>
      <w:marRight w:val="0"/>
      <w:marTop w:val="0"/>
      <w:marBottom w:val="0"/>
      <w:divBdr>
        <w:top w:val="none" w:sz="0" w:space="0" w:color="auto"/>
        <w:left w:val="none" w:sz="0" w:space="0" w:color="auto"/>
        <w:bottom w:val="none" w:sz="0" w:space="0" w:color="auto"/>
        <w:right w:val="none" w:sz="0" w:space="0" w:color="auto"/>
      </w:divBdr>
    </w:div>
    <w:div w:id="218826147">
      <w:bodyDiv w:val="1"/>
      <w:marLeft w:val="0"/>
      <w:marRight w:val="0"/>
      <w:marTop w:val="0"/>
      <w:marBottom w:val="0"/>
      <w:divBdr>
        <w:top w:val="none" w:sz="0" w:space="0" w:color="auto"/>
        <w:left w:val="none" w:sz="0" w:space="0" w:color="auto"/>
        <w:bottom w:val="none" w:sz="0" w:space="0" w:color="auto"/>
        <w:right w:val="none" w:sz="0" w:space="0" w:color="auto"/>
      </w:divBdr>
    </w:div>
    <w:div w:id="228228823">
      <w:bodyDiv w:val="1"/>
      <w:marLeft w:val="0"/>
      <w:marRight w:val="0"/>
      <w:marTop w:val="0"/>
      <w:marBottom w:val="0"/>
      <w:divBdr>
        <w:top w:val="none" w:sz="0" w:space="0" w:color="auto"/>
        <w:left w:val="none" w:sz="0" w:space="0" w:color="auto"/>
        <w:bottom w:val="none" w:sz="0" w:space="0" w:color="auto"/>
        <w:right w:val="none" w:sz="0" w:space="0" w:color="auto"/>
      </w:divBdr>
    </w:div>
    <w:div w:id="414403396">
      <w:bodyDiv w:val="1"/>
      <w:marLeft w:val="0"/>
      <w:marRight w:val="0"/>
      <w:marTop w:val="0"/>
      <w:marBottom w:val="0"/>
      <w:divBdr>
        <w:top w:val="none" w:sz="0" w:space="0" w:color="auto"/>
        <w:left w:val="none" w:sz="0" w:space="0" w:color="auto"/>
        <w:bottom w:val="none" w:sz="0" w:space="0" w:color="auto"/>
        <w:right w:val="none" w:sz="0" w:space="0" w:color="auto"/>
      </w:divBdr>
    </w:div>
    <w:div w:id="561869391">
      <w:bodyDiv w:val="1"/>
      <w:marLeft w:val="0"/>
      <w:marRight w:val="0"/>
      <w:marTop w:val="0"/>
      <w:marBottom w:val="0"/>
      <w:divBdr>
        <w:top w:val="none" w:sz="0" w:space="0" w:color="auto"/>
        <w:left w:val="none" w:sz="0" w:space="0" w:color="auto"/>
        <w:bottom w:val="none" w:sz="0" w:space="0" w:color="auto"/>
        <w:right w:val="none" w:sz="0" w:space="0" w:color="auto"/>
      </w:divBdr>
    </w:div>
    <w:div w:id="626620036">
      <w:bodyDiv w:val="1"/>
      <w:marLeft w:val="0"/>
      <w:marRight w:val="0"/>
      <w:marTop w:val="0"/>
      <w:marBottom w:val="0"/>
      <w:divBdr>
        <w:top w:val="none" w:sz="0" w:space="0" w:color="auto"/>
        <w:left w:val="none" w:sz="0" w:space="0" w:color="auto"/>
        <w:bottom w:val="none" w:sz="0" w:space="0" w:color="auto"/>
        <w:right w:val="none" w:sz="0" w:space="0" w:color="auto"/>
      </w:divBdr>
    </w:div>
    <w:div w:id="745420717">
      <w:bodyDiv w:val="1"/>
      <w:marLeft w:val="0"/>
      <w:marRight w:val="0"/>
      <w:marTop w:val="0"/>
      <w:marBottom w:val="0"/>
      <w:divBdr>
        <w:top w:val="none" w:sz="0" w:space="0" w:color="auto"/>
        <w:left w:val="none" w:sz="0" w:space="0" w:color="auto"/>
        <w:bottom w:val="none" w:sz="0" w:space="0" w:color="auto"/>
        <w:right w:val="none" w:sz="0" w:space="0" w:color="auto"/>
      </w:divBdr>
    </w:div>
    <w:div w:id="745493359">
      <w:bodyDiv w:val="1"/>
      <w:marLeft w:val="0"/>
      <w:marRight w:val="0"/>
      <w:marTop w:val="0"/>
      <w:marBottom w:val="0"/>
      <w:divBdr>
        <w:top w:val="none" w:sz="0" w:space="0" w:color="auto"/>
        <w:left w:val="none" w:sz="0" w:space="0" w:color="auto"/>
        <w:bottom w:val="none" w:sz="0" w:space="0" w:color="auto"/>
        <w:right w:val="none" w:sz="0" w:space="0" w:color="auto"/>
      </w:divBdr>
    </w:div>
    <w:div w:id="883326803">
      <w:bodyDiv w:val="1"/>
      <w:marLeft w:val="0"/>
      <w:marRight w:val="0"/>
      <w:marTop w:val="0"/>
      <w:marBottom w:val="0"/>
      <w:divBdr>
        <w:top w:val="none" w:sz="0" w:space="0" w:color="auto"/>
        <w:left w:val="none" w:sz="0" w:space="0" w:color="auto"/>
        <w:bottom w:val="none" w:sz="0" w:space="0" w:color="auto"/>
        <w:right w:val="none" w:sz="0" w:space="0" w:color="auto"/>
      </w:divBdr>
    </w:div>
    <w:div w:id="885066761">
      <w:bodyDiv w:val="1"/>
      <w:marLeft w:val="0"/>
      <w:marRight w:val="0"/>
      <w:marTop w:val="0"/>
      <w:marBottom w:val="0"/>
      <w:divBdr>
        <w:top w:val="none" w:sz="0" w:space="0" w:color="auto"/>
        <w:left w:val="none" w:sz="0" w:space="0" w:color="auto"/>
        <w:bottom w:val="none" w:sz="0" w:space="0" w:color="auto"/>
        <w:right w:val="none" w:sz="0" w:space="0" w:color="auto"/>
      </w:divBdr>
    </w:div>
    <w:div w:id="968633994">
      <w:bodyDiv w:val="1"/>
      <w:marLeft w:val="0"/>
      <w:marRight w:val="0"/>
      <w:marTop w:val="0"/>
      <w:marBottom w:val="0"/>
      <w:divBdr>
        <w:top w:val="none" w:sz="0" w:space="0" w:color="auto"/>
        <w:left w:val="none" w:sz="0" w:space="0" w:color="auto"/>
        <w:bottom w:val="none" w:sz="0" w:space="0" w:color="auto"/>
        <w:right w:val="none" w:sz="0" w:space="0" w:color="auto"/>
      </w:divBdr>
    </w:div>
    <w:div w:id="1045133098">
      <w:bodyDiv w:val="1"/>
      <w:marLeft w:val="0"/>
      <w:marRight w:val="0"/>
      <w:marTop w:val="0"/>
      <w:marBottom w:val="0"/>
      <w:divBdr>
        <w:top w:val="none" w:sz="0" w:space="0" w:color="auto"/>
        <w:left w:val="none" w:sz="0" w:space="0" w:color="auto"/>
        <w:bottom w:val="none" w:sz="0" w:space="0" w:color="auto"/>
        <w:right w:val="none" w:sz="0" w:space="0" w:color="auto"/>
      </w:divBdr>
    </w:div>
    <w:div w:id="1162619346">
      <w:bodyDiv w:val="1"/>
      <w:marLeft w:val="0"/>
      <w:marRight w:val="0"/>
      <w:marTop w:val="0"/>
      <w:marBottom w:val="0"/>
      <w:divBdr>
        <w:top w:val="none" w:sz="0" w:space="0" w:color="auto"/>
        <w:left w:val="none" w:sz="0" w:space="0" w:color="auto"/>
        <w:bottom w:val="none" w:sz="0" w:space="0" w:color="auto"/>
        <w:right w:val="none" w:sz="0" w:space="0" w:color="auto"/>
      </w:divBdr>
    </w:div>
    <w:div w:id="1197893091">
      <w:bodyDiv w:val="1"/>
      <w:marLeft w:val="0"/>
      <w:marRight w:val="0"/>
      <w:marTop w:val="0"/>
      <w:marBottom w:val="0"/>
      <w:divBdr>
        <w:top w:val="none" w:sz="0" w:space="0" w:color="auto"/>
        <w:left w:val="none" w:sz="0" w:space="0" w:color="auto"/>
        <w:bottom w:val="none" w:sz="0" w:space="0" w:color="auto"/>
        <w:right w:val="none" w:sz="0" w:space="0" w:color="auto"/>
      </w:divBdr>
    </w:div>
    <w:div w:id="1329938311">
      <w:bodyDiv w:val="1"/>
      <w:marLeft w:val="0"/>
      <w:marRight w:val="0"/>
      <w:marTop w:val="0"/>
      <w:marBottom w:val="0"/>
      <w:divBdr>
        <w:top w:val="none" w:sz="0" w:space="0" w:color="auto"/>
        <w:left w:val="none" w:sz="0" w:space="0" w:color="auto"/>
        <w:bottom w:val="none" w:sz="0" w:space="0" w:color="auto"/>
        <w:right w:val="none" w:sz="0" w:space="0" w:color="auto"/>
      </w:divBdr>
    </w:div>
    <w:div w:id="1436942942">
      <w:bodyDiv w:val="1"/>
      <w:marLeft w:val="0"/>
      <w:marRight w:val="0"/>
      <w:marTop w:val="0"/>
      <w:marBottom w:val="0"/>
      <w:divBdr>
        <w:top w:val="none" w:sz="0" w:space="0" w:color="auto"/>
        <w:left w:val="none" w:sz="0" w:space="0" w:color="auto"/>
        <w:bottom w:val="none" w:sz="0" w:space="0" w:color="auto"/>
        <w:right w:val="none" w:sz="0" w:space="0" w:color="auto"/>
      </w:divBdr>
    </w:div>
    <w:div w:id="1464159175">
      <w:bodyDiv w:val="1"/>
      <w:marLeft w:val="0"/>
      <w:marRight w:val="0"/>
      <w:marTop w:val="0"/>
      <w:marBottom w:val="0"/>
      <w:divBdr>
        <w:top w:val="none" w:sz="0" w:space="0" w:color="auto"/>
        <w:left w:val="none" w:sz="0" w:space="0" w:color="auto"/>
        <w:bottom w:val="none" w:sz="0" w:space="0" w:color="auto"/>
        <w:right w:val="none" w:sz="0" w:space="0" w:color="auto"/>
      </w:divBdr>
    </w:div>
    <w:div w:id="1570462181">
      <w:bodyDiv w:val="1"/>
      <w:marLeft w:val="0"/>
      <w:marRight w:val="0"/>
      <w:marTop w:val="0"/>
      <w:marBottom w:val="0"/>
      <w:divBdr>
        <w:top w:val="none" w:sz="0" w:space="0" w:color="auto"/>
        <w:left w:val="none" w:sz="0" w:space="0" w:color="auto"/>
        <w:bottom w:val="none" w:sz="0" w:space="0" w:color="auto"/>
        <w:right w:val="none" w:sz="0" w:space="0" w:color="auto"/>
      </w:divBdr>
    </w:div>
    <w:div w:id="1604605247">
      <w:bodyDiv w:val="1"/>
      <w:marLeft w:val="0"/>
      <w:marRight w:val="0"/>
      <w:marTop w:val="0"/>
      <w:marBottom w:val="0"/>
      <w:divBdr>
        <w:top w:val="none" w:sz="0" w:space="0" w:color="auto"/>
        <w:left w:val="none" w:sz="0" w:space="0" w:color="auto"/>
        <w:bottom w:val="none" w:sz="0" w:space="0" w:color="auto"/>
        <w:right w:val="none" w:sz="0" w:space="0" w:color="auto"/>
      </w:divBdr>
    </w:div>
    <w:div w:id="1671103613">
      <w:bodyDiv w:val="1"/>
      <w:marLeft w:val="0"/>
      <w:marRight w:val="0"/>
      <w:marTop w:val="0"/>
      <w:marBottom w:val="0"/>
      <w:divBdr>
        <w:top w:val="none" w:sz="0" w:space="0" w:color="auto"/>
        <w:left w:val="none" w:sz="0" w:space="0" w:color="auto"/>
        <w:bottom w:val="none" w:sz="0" w:space="0" w:color="auto"/>
        <w:right w:val="none" w:sz="0" w:space="0" w:color="auto"/>
      </w:divBdr>
    </w:div>
    <w:div w:id="1751266404">
      <w:bodyDiv w:val="1"/>
      <w:marLeft w:val="0"/>
      <w:marRight w:val="0"/>
      <w:marTop w:val="0"/>
      <w:marBottom w:val="0"/>
      <w:divBdr>
        <w:top w:val="none" w:sz="0" w:space="0" w:color="auto"/>
        <w:left w:val="none" w:sz="0" w:space="0" w:color="auto"/>
        <w:bottom w:val="none" w:sz="0" w:space="0" w:color="auto"/>
        <w:right w:val="none" w:sz="0" w:space="0" w:color="auto"/>
      </w:divBdr>
    </w:div>
    <w:div w:id="1752854487">
      <w:bodyDiv w:val="1"/>
      <w:marLeft w:val="0"/>
      <w:marRight w:val="0"/>
      <w:marTop w:val="0"/>
      <w:marBottom w:val="0"/>
      <w:divBdr>
        <w:top w:val="none" w:sz="0" w:space="0" w:color="auto"/>
        <w:left w:val="none" w:sz="0" w:space="0" w:color="auto"/>
        <w:bottom w:val="none" w:sz="0" w:space="0" w:color="auto"/>
        <w:right w:val="none" w:sz="0" w:space="0" w:color="auto"/>
      </w:divBdr>
    </w:div>
    <w:div w:id="1777094459">
      <w:bodyDiv w:val="1"/>
      <w:marLeft w:val="0"/>
      <w:marRight w:val="0"/>
      <w:marTop w:val="0"/>
      <w:marBottom w:val="0"/>
      <w:divBdr>
        <w:top w:val="none" w:sz="0" w:space="0" w:color="auto"/>
        <w:left w:val="none" w:sz="0" w:space="0" w:color="auto"/>
        <w:bottom w:val="none" w:sz="0" w:space="0" w:color="auto"/>
        <w:right w:val="none" w:sz="0" w:space="0" w:color="auto"/>
      </w:divBdr>
    </w:div>
    <w:div w:id="1838224545">
      <w:bodyDiv w:val="1"/>
      <w:marLeft w:val="0"/>
      <w:marRight w:val="0"/>
      <w:marTop w:val="0"/>
      <w:marBottom w:val="0"/>
      <w:divBdr>
        <w:top w:val="none" w:sz="0" w:space="0" w:color="auto"/>
        <w:left w:val="none" w:sz="0" w:space="0" w:color="auto"/>
        <w:bottom w:val="none" w:sz="0" w:space="0" w:color="auto"/>
        <w:right w:val="none" w:sz="0" w:space="0" w:color="auto"/>
      </w:divBdr>
    </w:div>
    <w:div w:id="1879971300">
      <w:bodyDiv w:val="1"/>
      <w:marLeft w:val="0"/>
      <w:marRight w:val="0"/>
      <w:marTop w:val="0"/>
      <w:marBottom w:val="0"/>
      <w:divBdr>
        <w:top w:val="none" w:sz="0" w:space="0" w:color="auto"/>
        <w:left w:val="none" w:sz="0" w:space="0" w:color="auto"/>
        <w:bottom w:val="none" w:sz="0" w:space="0" w:color="auto"/>
        <w:right w:val="none" w:sz="0" w:space="0" w:color="auto"/>
      </w:divBdr>
    </w:div>
    <w:div w:id="1912303735">
      <w:bodyDiv w:val="1"/>
      <w:marLeft w:val="0"/>
      <w:marRight w:val="0"/>
      <w:marTop w:val="0"/>
      <w:marBottom w:val="0"/>
      <w:divBdr>
        <w:top w:val="none" w:sz="0" w:space="0" w:color="auto"/>
        <w:left w:val="none" w:sz="0" w:space="0" w:color="auto"/>
        <w:bottom w:val="none" w:sz="0" w:space="0" w:color="auto"/>
        <w:right w:val="none" w:sz="0" w:space="0" w:color="auto"/>
      </w:divBdr>
    </w:div>
    <w:div w:id="1961839124">
      <w:bodyDiv w:val="1"/>
      <w:marLeft w:val="0"/>
      <w:marRight w:val="0"/>
      <w:marTop w:val="0"/>
      <w:marBottom w:val="0"/>
      <w:divBdr>
        <w:top w:val="none" w:sz="0" w:space="0" w:color="auto"/>
        <w:left w:val="none" w:sz="0" w:space="0" w:color="auto"/>
        <w:bottom w:val="none" w:sz="0" w:space="0" w:color="auto"/>
        <w:right w:val="none" w:sz="0" w:space="0" w:color="auto"/>
      </w:divBdr>
    </w:div>
    <w:div w:id="2009940341">
      <w:bodyDiv w:val="1"/>
      <w:marLeft w:val="0"/>
      <w:marRight w:val="0"/>
      <w:marTop w:val="0"/>
      <w:marBottom w:val="0"/>
      <w:divBdr>
        <w:top w:val="none" w:sz="0" w:space="0" w:color="auto"/>
        <w:left w:val="none" w:sz="0" w:space="0" w:color="auto"/>
        <w:bottom w:val="none" w:sz="0" w:space="0" w:color="auto"/>
        <w:right w:val="none" w:sz="0" w:space="0" w:color="auto"/>
      </w:divBdr>
    </w:div>
    <w:div w:id="2041199341">
      <w:bodyDiv w:val="1"/>
      <w:marLeft w:val="0"/>
      <w:marRight w:val="0"/>
      <w:marTop w:val="0"/>
      <w:marBottom w:val="0"/>
      <w:divBdr>
        <w:top w:val="none" w:sz="0" w:space="0" w:color="auto"/>
        <w:left w:val="none" w:sz="0" w:space="0" w:color="auto"/>
        <w:bottom w:val="none" w:sz="0" w:space="0" w:color="auto"/>
        <w:right w:val="none" w:sz="0" w:space="0" w:color="auto"/>
      </w:divBdr>
    </w:div>
    <w:div w:id="2065328527">
      <w:bodyDiv w:val="1"/>
      <w:marLeft w:val="0"/>
      <w:marRight w:val="0"/>
      <w:marTop w:val="0"/>
      <w:marBottom w:val="0"/>
      <w:divBdr>
        <w:top w:val="none" w:sz="0" w:space="0" w:color="auto"/>
        <w:left w:val="none" w:sz="0" w:space="0" w:color="auto"/>
        <w:bottom w:val="none" w:sz="0" w:space="0" w:color="auto"/>
        <w:right w:val="none" w:sz="0" w:space="0" w:color="auto"/>
      </w:divBdr>
    </w:div>
    <w:div w:id="2104569151">
      <w:bodyDiv w:val="1"/>
      <w:marLeft w:val="0"/>
      <w:marRight w:val="0"/>
      <w:marTop w:val="0"/>
      <w:marBottom w:val="0"/>
      <w:divBdr>
        <w:top w:val="none" w:sz="0" w:space="0" w:color="auto"/>
        <w:left w:val="none" w:sz="0" w:space="0" w:color="auto"/>
        <w:bottom w:val="none" w:sz="0" w:space="0" w:color="auto"/>
        <w:right w:val="none" w:sz="0" w:space="0" w:color="auto"/>
      </w:divBdr>
    </w:div>
    <w:div w:id="2143183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ftc.gov/news-events/news/press-releases/2023/10/ftc-releases-reports-cigarette-smokeless-tobacco-sales-marketing-expenditures-2022" TargetMode="External"/><Relationship Id="rId13" Type="http://schemas.openxmlformats.org/officeDocument/2006/relationships/hyperlink" Target="https://www.mass.gov/lists/massachusetts-youth-health-survey-myhs" TargetMode="External"/><Relationship Id="rId18" Type="http://schemas.openxmlformats.org/officeDocument/2006/relationships/hyperlink" Target="https://monitoringthefuture.org/data/bx-by/drug-prevalence/" TargetMode="External"/><Relationship Id="rId3" Type="http://schemas.openxmlformats.org/officeDocument/2006/relationships/hyperlink" Target="https://www.mass.gov/lists/blue-book-reports-department-of-revenue" TargetMode="External"/><Relationship Id="rId7" Type="http://schemas.openxmlformats.org/officeDocument/2006/relationships/hyperlink" Target="https://www.mass.gov/lists/brfss-statewide-reports-and-publications" TargetMode="External"/><Relationship Id="rId12" Type="http://schemas.openxmlformats.org/officeDocument/2006/relationships/hyperlink" Target="https://www.fda.gov/tobacco-products/youth-and-tobacco/results-annual-national-youth-tobacco-survey" TargetMode="External"/><Relationship Id="rId17" Type="http://schemas.openxmlformats.org/officeDocument/2006/relationships/hyperlink" Target="https://www.cdc.gov/media/releases/2024/p0905-youth-ecigarette.html" TargetMode="External"/><Relationship Id="rId2" Type="http://schemas.openxmlformats.org/officeDocument/2006/relationships/hyperlink" Target="https://www.mass.gov/lists/massachusetts-dor-blue-book-reports" TargetMode="External"/><Relationship Id="rId16" Type="http://schemas.openxmlformats.org/officeDocument/2006/relationships/hyperlink" Target="https://www.mass.gov/lists/brfss-statewide-reports-and-publications" TargetMode="External"/><Relationship Id="rId1" Type="http://schemas.openxmlformats.org/officeDocument/2006/relationships/hyperlink" Target="https://www.mass.gov/info-details/dor-illegal-tobacco-task-force" TargetMode="External"/><Relationship Id="rId6" Type="http://schemas.openxmlformats.org/officeDocument/2006/relationships/hyperlink" Target="https://www.mass.gov/lists/brfss-statewide-reports-and-publications" TargetMode="External"/><Relationship Id="rId11" Type="http://schemas.openxmlformats.org/officeDocument/2006/relationships/hyperlink" Target="https://www.cdcfoundation.org/programs/monitoring-e-cigarette-use-among-youth" TargetMode="External"/><Relationship Id="rId5" Type="http://schemas.openxmlformats.org/officeDocument/2006/relationships/hyperlink" Target="https://www.cdc.gov/tobacco/php/data-statistics/adult-data-cigarettes/?CDC_AAref_Val=https://www.cdc.gov/tobacco/data_statistics/fact_sheets/adult_data/cig_smoking/index.htm" TargetMode="External"/><Relationship Id="rId15" Type="http://schemas.openxmlformats.org/officeDocument/2006/relationships/hyperlink" Target="https://www.atf.gov/resource-center/fact-sheet/fact-sheet-tobacco-enforcement" TargetMode="External"/><Relationship Id="rId10" Type="http://schemas.openxmlformats.org/officeDocument/2006/relationships/hyperlink" Target="https://www.cdc.gov/media/releases/2023/p0622-ecigarettes-sales.html" TargetMode="External"/><Relationship Id="rId4" Type="http://schemas.openxmlformats.org/officeDocument/2006/relationships/hyperlink" Target="https://www.ttb.gov/tobacco/tobacco-statistics" TargetMode="External"/><Relationship Id="rId9" Type="http://schemas.openxmlformats.org/officeDocument/2006/relationships/hyperlink" Target="https://www.mass.gov/lists/brfss-statewide-reports-and-publications" TargetMode="External"/><Relationship Id="rId14" Type="http://schemas.openxmlformats.org/officeDocument/2006/relationships/hyperlink" Target="https://www.mass.gov/info-details/dor-cigarette-tobacco-and-vaping-excise-ta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D764D-67BF-4C95-8E79-ADFE103832B4}">
  <ds:schemaRefs>
    <ds:schemaRef ds:uri="http://schemas.openxmlformats.org/officeDocument/2006/bibliography"/>
  </ds:schemaRefs>
</ds:datastoreItem>
</file>

<file path=docMetadata/LabelInfo.xml><?xml version="1.0" encoding="utf-8"?>
<clbl:labelList xmlns:clbl="http://schemas.microsoft.com/office/2020/mipLabelMetadata">
  <clbl:label id="{274a5a0c-7f2b-42af-88d3-50f80da35740}" enabled="1" method="Privileged" siteId="{3e861d16-48b7-4a0e-9806-8c04d81b7b2a}" contentBits="0" removed="0"/>
</clbl:labelList>
</file>

<file path=docProps/app.xml><?xml version="1.0" encoding="utf-8"?>
<Properties xmlns="http://schemas.openxmlformats.org/officeDocument/2006/extended-properties" xmlns:vt="http://schemas.openxmlformats.org/officeDocument/2006/docPropsVTypes">
  <Template>Normal</Template>
  <TotalTime>85</TotalTime>
  <Pages>17</Pages>
  <Words>5773</Words>
  <Characters>32911</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38607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Hayes, John (DOR)</dc:creator>
  <cp:keywords/>
  <dc:description/>
  <cp:lastModifiedBy>Doherty-Crestin, Cole W. (DOR)</cp:lastModifiedBy>
  <cp:revision>6</cp:revision>
  <dcterms:created xsi:type="dcterms:W3CDTF">2026-02-25T15:31:00Z</dcterms:created>
  <dcterms:modified xsi:type="dcterms:W3CDTF">2026-02-25T19:05:00Z</dcterms:modified>
</cp:coreProperties>
</file>