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8FAF" w14:textId="77777777" w:rsidR="0087565B" w:rsidRDefault="00EA450E" w:rsidP="00AC63EB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="Arial" w:hAnsi="Arial" w:cs="Arial"/>
          <w:b/>
          <w:bCs/>
          <w:color w:val="365F91"/>
          <w:sz w:val="28"/>
          <w:szCs w:val="28"/>
        </w:rPr>
      </w:pPr>
      <w:r w:rsidRPr="00D22816">
        <w:rPr>
          <w:i/>
          <w:noProof/>
          <w:color w:val="365F9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2B1B9" wp14:editId="54A9A337">
                <wp:simplePos x="0" y="0"/>
                <wp:positionH relativeFrom="page">
                  <wp:posOffset>-6350</wp:posOffset>
                </wp:positionH>
                <wp:positionV relativeFrom="paragraph">
                  <wp:posOffset>-1445260</wp:posOffset>
                </wp:positionV>
                <wp:extent cx="7787640" cy="1956435"/>
                <wp:effectExtent l="0" t="0" r="3810" b="5715"/>
                <wp:wrapNone/>
                <wp:docPr id="2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7640" cy="1956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100000">
                              <a:srgbClr val="95B3D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969C" w14:textId="77777777" w:rsidR="003C1832" w:rsidRPr="00BE50AC" w:rsidRDefault="003C1832" w:rsidP="00BE50AC">
                            <w:pPr>
                              <w:pStyle w:val="BIDTitle"/>
                              <w:spacing w:line="276" w:lineRule="auto"/>
                              <w:jc w:val="both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B0F8C87" w14:textId="77777777" w:rsidR="003C1832" w:rsidRDefault="003C1832" w:rsidP="004E21EC">
                            <w:pPr>
                              <w:pStyle w:val="BIDTitle"/>
                              <w:spacing w:line="276" w:lineRule="auto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46"/>
                                <w:szCs w:val="46"/>
                              </w:rPr>
                              <w:t xml:space="preserve">   </w:t>
                            </w:r>
                            <w:r w:rsidRPr="0052528E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E8EF72D" w14:textId="77777777" w:rsidR="003C1832" w:rsidRDefault="003C1832" w:rsidP="0037688D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E45B8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2DAD54E9" w14:textId="74BC7ADF" w:rsidR="003C1832" w:rsidRPr="00AA314C" w:rsidRDefault="003C1832" w:rsidP="00AA314C">
                            <w:pPr>
                              <w:pStyle w:val="Heading1"/>
                              <w:jc w:val="center"/>
                            </w:pPr>
                            <w:r w:rsidRPr="00AA314C">
                              <w:t>Tuberculosis Patient Discharge</w:t>
                            </w:r>
                          </w:p>
                          <w:p w14:paraId="6D9F4722" w14:textId="77777777" w:rsidR="003C1832" w:rsidRPr="00AA314C" w:rsidRDefault="003C1832" w:rsidP="00AA314C">
                            <w:pPr>
                              <w:pStyle w:val="Heading1"/>
                              <w:jc w:val="center"/>
                            </w:pPr>
                            <w:r w:rsidRPr="00AA314C">
                              <w:t>Hospital to Community</w:t>
                            </w:r>
                          </w:p>
                          <w:p w14:paraId="1278D10D" w14:textId="77777777" w:rsidR="003C1832" w:rsidRDefault="003C1832" w:rsidP="004E21EC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                       </w:t>
                            </w:r>
                          </w:p>
                          <w:p w14:paraId="3FF89034" w14:textId="77777777" w:rsidR="003C1832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920BC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Massachusetts Department of Public Health</w:t>
                            </w:r>
                          </w:p>
                          <w:p w14:paraId="3DC0E25F" w14:textId="77777777" w:rsidR="003C1832" w:rsidRPr="00EA450E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Division of Global Populations and Infectious Disease Prevention</w:t>
                            </w:r>
                          </w:p>
                          <w:p w14:paraId="2BB93B4B" w14:textId="77777777" w:rsidR="003C1832" w:rsidRPr="00285364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C246B7B" w14:textId="77777777" w:rsidR="003C1832" w:rsidRDefault="003C1832" w:rsidP="0037688D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2B1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-.5pt;margin-top:-113.8pt;width:613.2pt;height:1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7VVwIAAKwEAAAOAAAAZHJzL2Uyb0RvYy54bWysVF1v2yAUfZ+0/4B4X5y0TdJYdao2UatJ&#10;3YfUTnu+wdhGs7kMSOzs1/cCSRpte5rmBwSXy7nnngO+uR26lu2kdQp1wSejMWdSCyyVrgv+7eXh&#10;wzVnzoMuoUUtC76Xjt8u37+76U0uL7DBtpSWEYh2eW8K3nhv8ixzopEduBEaqWmzQtuBp6Wts9JC&#10;T+hdm12Mx7OsR1sai0I6R9F12uTLiF9VUvgvVeWkZ23BiZuPo43jJozZ8gby2oJplDjQgH9g0YHS&#10;VPQEtQYPbGvVH1CdEhYdVn4ksMuwqpSQsQfqZjL+rZvnBoyMvZA4zpxkcv8PVnzefbVMlQW/4ExD&#10;Rxa9yMGzexzYZVCnNy6npGdDaX6gMLkcO3XmCcUPxzSuGtC1vLMW+0ZCSewm4WR2djThuACy6T9h&#10;SWVg6zECDZXtgnQkBiN0cml/ciZQERScz6/nsyvaErQ3WUxnV5fTWAPy43FjnX+U2LEwKbgl6yM8&#10;7J6cD3QgP6YcjCofVNsyi/678k3UOtSNm47OpAkzSA2lsLP1ZtVatgO6TYvp/eV6fiBRu/PsyTh8&#10;SaW/HImp0HUQL59X2idEus90KgaV3j0eMoj3oW7sIVSiUH1k2CrNSP5AkTkBrSQrk/zxMsYeQ8FW&#10;h1Fj6DmpESLRo2BLMsgPm4E2g3EbLPfkFqkToemJ06RB+4uznp5Lwd3PLVjJWftRk0CLyVWwx58v&#10;7Plic74ALQiq4J4T9zBd+fQmt8aquqFK6Y5pvKNbUqno3xurA296EkmL9HzDmztfx6y3n8zyFQAA&#10;//8DAFBLAwQUAAYACAAAACEAm87JwOIAAAALAQAADwAAAGRycy9kb3ducmV2LnhtbEyPwWrDMBBE&#10;74X+g9hCb4kU4bjBsRxCIVAIFJr00Nw2lmqbWitXUhz376uc2tOwzDD7ptxMtmej8aFzpGAxF8AM&#10;1U531Ch4P+5mK2AhImnsHRkFPybAprq/K7HQ7kpvZjzEhqUSCgUqaGMcCs5D3RqLYe4GQ8n7dN5i&#10;TKdvuPZ4TeW251KInFvsKH1ocTDPram/Dher4PvjVWQvfo/7vD7umu0YstMQlHp8mLZrYNFM8S8M&#10;N/yEDlViOrsL6cB6BbNFmhKTSvmUA7slpFxmwM4KVmIJvCr5/w3VLwAAAP//AwBQSwECLQAUAAYA&#10;CAAAACEAtoM4kv4AAADhAQAAEwAAAAAAAAAAAAAAAAAAAAAAW0NvbnRlbnRfVHlwZXNdLnhtbFBL&#10;AQItABQABgAIAAAAIQA4/SH/1gAAAJQBAAALAAAAAAAAAAAAAAAAAC8BAABfcmVscy8ucmVsc1BL&#10;AQItABQABgAIAAAAIQD1gZ7VVwIAAKwEAAAOAAAAAAAAAAAAAAAAAC4CAABkcnMvZTJvRG9jLnht&#10;bFBLAQItABQABgAIAAAAIQCbzsnA4gAAAAsBAAAPAAAAAAAAAAAAAAAAALEEAABkcnMvZG93bnJl&#10;di54bWxQSwUGAAAAAAQABADzAAAAwAUAAAAA&#10;" fillcolor="#95b3d7" stroked="f">
                <v:fill color2="#eaf0f7" angle="90" focus="100%" type="gradient"/>
                <v:textbox inset=",7.2pt,,7.2pt">
                  <w:txbxContent>
                    <w:p w14:paraId="1625969C" w14:textId="77777777" w:rsidR="003C1832" w:rsidRPr="00BE50AC" w:rsidRDefault="003C1832" w:rsidP="00BE50AC">
                      <w:pPr>
                        <w:pStyle w:val="BIDTitle"/>
                        <w:spacing w:line="276" w:lineRule="auto"/>
                        <w:jc w:val="both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B0F8C87" w14:textId="77777777" w:rsidR="003C1832" w:rsidRDefault="003C1832" w:rsidP="004E21EC">
                      <w:pPr>
                        <w:pStyle w:val="BIDTitle"/>
                        <w:spacing w:line="276" w:lineRule="auto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46"/>
                          <w:szCs w:val="46"/>
                        </w:rPr>
                        <w:t xml:space="preserve">   </w:t>
                      </w:r>
                      <w:r w:rsidRPr="0052528E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E8EF72D" w14:textId="77777777" w:rsidR="003C1832" w:rsidRDefault="003C1832" w:rsidP="0037688D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EE45B8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2DAD54E9" w14:textId="74BC7ADF" w:rsidR="003C1832" w:rsidRPr="00AA314C" w:rsidRDefault="003C1832" w:rsidP="00AA314C">
                      <w:pPr>
                        <w:pStyle w:val="Heading1"/>
                        <w:jc w:val="center"/>
                      </w:pPr>
                      <w:r w:rsidRPr="00AA314C">
                        <w:t>Tuberculosis Patient Discharge</w:t>
                      </w:r>
                    </w:p>
                    <w:p w14:paraId="6D9F4722" w14:textId="77777777" w:rsidR="003C1832" w:rsidRPr="00AA314C" w:rsidRDefault="003C1832" w:rsidP="00AA314C">
                      <w:pPr>
                        <w:pStyle w:val="Heading1"/>
                        <w:jc w:val="center"/>
                      </w:pPr>
                      <w:r w:rsidRPr="00AA314C">
                        <w:t>Hospital to Community</w:t>
                      </w:r>
                    </w:p>
                    <w:p w14:paraId="1278D10D" w14:textId="77777777" w:rsidR="003C1832" w:rsidRDefault="003C1832" w:rsidP="004E21EC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                                  </w:t>
                      </w:r>
                    </w:p>
                    <w:p w14:paraId="3FF89034" w14:textId="77777777" w:rsidR="003C1832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920BC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Massachusetts Department of Public Health</w:t>
                      </w:r>
                    </w:p>
                    <w:p w14:paraId="3DC0E25F" w14:textId="77777777" w:rsidR="003C1832" w:rsidRPr="00EA450E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Division of Global Populations and Infectious Disease Prevention</w:t>
                      </w:r>
                    </w:p>
                    <w:p w14:paraId="2BB93B4B" w14:textId="77777777" w:rsidR="003C1832" w:rsidRPr="00285364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14:paraId="7C246B7B" w14:textId="77777777" w:rsidR="003C1832" w:rsidRDefault="003C1832" w:rsidP="0037688D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6AE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818FC" wp14:editId="0AE756D7">
                <wp:simplePos x="0" y="0"/>
                <wp:positionH relativeFrom="column">
                  <wp:posOffset>-480060</wp:posOffset>
                </wp:positionH>
                <wp:positionV relativeFrom="paragraph">
                  <wp:posOffset>-774700</wp:posOffset>
                </wp:positionV>
                <wp:extent cx="807720" cy="8382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53B09" w14:textId="77777777" w:rsidR="003C1832" w:rsidRDefault="003C1832">
                            <w:r w:rsidRPr="00985D47">
                              <w:rPr>
                                <w:noProof/>
                              </w:rPr>
                              <w:drawing>
                                <wp:inline distT="0" distB="0" distL="0" distR="0" wp14:anchorId="348C7E77" wp14:editId="6138119C">
                                  <wp:extent cx="618490" cy="690080"/>
                                  <wp:effectExtent l="0" t="0" r="0" b="0"/>
                                  <wp:docPr id="4" name="Picture 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490" cy="69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18FC" id="Text Box 6" o:spid="_x0000_s1027" type="#_x0000_t202" alt="&quot;&quot;" style="position:absolute;margin-left:-37.8pt;margin-top:-61pt;width:63.6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IkLAIAAFcEAAAOAAAAZHJzL2Uyb0RvYy54bWysVN9v2jAQfp+0/8Hy+0iglNKIULFWTJNQ&#10;WwmmPhvHJpFsn2cbEvbX7+wARd2epr0457vz/fi+u8weOq3IQTjfgCnpcJBTIgyHqjG7kv7YLL9M&#10;KfGBmYopMKKkR+Hpw/zzp1lrCzGCGlQlHMEgxhetLWkdgi2yzPNaaOYHYIVBowSnWcCr22WVYy1G&#10;1yob5fkka8FV1gEX3qP2qTfSeYovpeDhRUovAlElxdpCOl06t/HM5jNW7ByzdcNPZbB/qEKzxmDS&#10;S6gnFhjZu+aPULrhDjzIMOCgM5Cy4SL1gN0M8w/drGtmReoFwfH2ApP/f2H58+HVkaYq6YQSwzRS&#10;tBFdIF+hI5OITmt9gU5ri26hQzWyfNZ7VMamO+l0/GI7BO2I8/GCbQzGUTnN7+5GaOFomt5MkbsY&#10;JXt/bJ0P3wRoEoWSOqQuIcoOKx9617NLzGVg2SiV6FOGtFj/zW2eHlwsGFwZzBFb6EuNUui2XWr4&#10;0sYWqiN256CfDm/5ssEaVsyHV+ZwHLBsHPHwgodUgLngJFFSg/v1N330R5bQSkmL41VS/3PPnKBE&#10;fTfI3/1wPI7zmC7j2wSNu7Zsry1mrx8BJ3iIy2R5EvGxC+osSgf6DTdhEbOiiRmOuUsazuJj6Ice&#10;N4mLxSI54QRaFlZmbXkMHVGNCG+6N+bsiYaA/D3DeRBZ8YGN3rfnY7EPIJtEVcS5R/UEP05vIvu0&#10;aXE9ru/J6/1/MP8NAAD//wMAUEsDBBQABgAIAAAAIQDtqgeq4AAAAAoBAAAPAAAAZHJzL2Rvd25y&#10;ZXYueG1sTI9BT8MwDIXvSPyHyEjctqSVOqbSdJoqTUgIDhu7cHMbr61oktJkW+HXY05ws/0+Pb9X&#10;bGY7iAtNofdOQ7JUIMg13vSu1XB82y3WIEJEZ3DwjjR8UYBNeXtTYG781e3pcoitYBMXctTQxTjm&#10;UoamI4th6UdyrJ38ZDHyOrXSTHhlczvIVKmVtNg7/tDhSFVHzcfhbDU8V7tX3NepXX8P1dPLaTt+&#10;Ht8zre/v5u0jiEhz/IPhNz5Hh5Iz1f7sTBCDhsVDtmKUhyRNuRUjWcKXmlGlQJaF/F+h/AEAAP//&#10;AwBQSwECLQAUAAYACAAAACEAtoM4kv4AAADhAQAAEwAAAAAAAAAAAAAAAAAAAAAAW0NvbnRlbnRf&#10;VHlwZXNdLnhtbFBLAQItABQABgAIAAAAIQA4/SH/1gAAAJQBAAALAAAAAAAAAAAAAAAAAC8BAABf&#10;cmVscy8ucmVsc1BLAQItABQABgAIAAAAIQCIk7IkLAIAAFcEAAAOAAAAAAAAAAAAAAAAAC4CAABk&#10;cnMvZTJvRG9jLnhtbFBLAQItABQABgAIAAAAIQDtqgeq4AAAAAoBAAAPAAAAAAAAAAAAAAAAAIYE&#10;AABkcnMvZG93bnJldi54bWxQSwUGAAAAAAQABADzAAAAkwUAAAAA&#10;" filled="f" stroked="f" strokeweight=".5pt">
                <v:textbox>
                  <w:txbxContent>
                    <w:p w14:paraId="52453B09" w14:textId="77777777" w:rsidR="003C1832" w:rsidRDefault="003C1832">
                      <w:r w:rsidRPr="00985D47">
                        <w:rPr>
                          <w:noProof/>
                        </w:rPr>
                        <w:drawing>
                          <wp:inline distT="0" distB="0" distL="0" distR="0" wp14:anchorId="348C7E77" wp14:editId="6138119C">
                            <wp:extent cx="618490" cy="690080"/>
                            <wp:effectExtent l="0" t="0" r="0" b="0"/>
                            <wp:docPr id="4" name="Picture 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490" cy="69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6AE4">
        <w:rPr>
          <w:noProof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E733BE" wp14:editId="3F088A21">
                <wp:simplePos x="0" y="0"/>
                <wp:positionH relativeFrom="column">
                  <wp:posOffset>-845820</wp:posOffset>
                </wp:positionH>
                <wp:positionV relativeFrom="paragraph">
                  <wp:posOffset>-1292860</wp:posOffset>
                </wp:positionV>
                <wp:extent cx="7940040" cy="1684020"/>
                <wp:effectExtent l="0" t="0" r="22860" b="1143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0040" cy="168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4628E" w14:textId="77777777" w:rsidR="003C1832" w:rsidRDefault="003C1832" w:rsidP="00D26AE4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733BE" id="Text Box 5" o:spid="_x0000_s1028" type="#_x0000_t202" alt="&quot;&quot;" style="position:absolute;margin-left:-66.6pt;margin-top:-101.8pt;width:625.2pt;height:132.6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kDRQIAAIEEAAAOAAAAZHJzL2Uyb0RvYy54bWysVMFu2zAMvQ/YPwi6L3ayJG2DOkXWIsOA&#10;oi3QDj0rstwYk0VNUmJnX78nOW6DbqdhF4UinynyPTKXV12j2V45X5Mp+HiUc6aMpLI2LwX//rT+&#10;dM6ZD8KUQpNRBT8oz6+WHz9ctnahJrQlXSrHkMT4RWsLvg3BLrLMy61qhB+RVQbBilwjAq7uJSud&#10;aJG90dkkz+dZS660jqTyHt6bPsiXKX9VKRnuq8qrwHTBUVtIp0vnJp7Z8lIsXpyw21oeyxD/UEUj&#10;aoNHX1PdiCDYztV/pGpq6chTFUaSmoyqqpYq9YBuxvm7bh63wqrUC8jx9pUm///Syrv9g2N1WfAZ&#10;Z0Y0kOhJdYF9oY7NIjut9QuAHi1goYMbKg9+D2dsuqtcE3/RDkMcPB9euY3JJJxnF9M8nyIkERvP&#10;z6f5JLGfvX1unQ9fFTUsGgV3EC9xKva3PqAUQAdIfM3QutY6CagNaws+/zzL0weedF3GYITFT661&#10;Y3uBEdhoIX/E8pHrBIWbNnDGZvumohW6TZeomQwNb6g8gAdH/Rx5K9c10t8KHx6Ew+CgPyxDuMdR&#10;aUJNdLQ425L79Td/xENPRDlrMYgF9z93winO9DcDpS/G00hbSJfp7Ay0MXca2ZxGzK65JjQ6xtpZ&#10;mcyID3owK0fNM3ZmFV9FSBiJtwseBvM69OuBnZNqtUogzKoV4dY8WhlTD7Q+dc/C2aNcAUrf0TCy&#10;YvFOtR7b67baBarqJGnkuWf1SD/mPKlz3Mm4SKf3hHr751j+BgAA//8DAFBLAwQUAAYACAAAACEA&#10;2bwgguIAAAANAQAADwAAAGRycy9kb3ducmV2LnhtbEyPy07DMBBF90j8gzVI7FrbiUirEKdCiC6Q&#10;EBIF0S6deIgj/Aixmwa+HncFu3kc3TlTbWZryIRj6L0TwJcMCLrWq951At5et4s1kBClU9J4hwK+&#10;McCmvryoZKn8yb3gtIsdSSEulFKAjnEoKQ2tRivD0g/o0u7Dj1bG1I4dVaM8pXBraMZYQa3sXbqg&#10;5YD3GtvP3dEKeHrffz1snw9sj43pbyaz0o8/jRDXV/PdLZCIc/yD4ayf1KFOTo0/OhWIEbDgeZ4l&#10;NlUZywsgZ4bzVZo1AgpeAK0r+v+L+hcAAP//AwBQSwECLQAUAAYACAAAACEAtoM4kv4AAADhAQAA&#10;EwAAAAAAAAAAAAAAAAAAAAAAW0NvbnRlbnRfVHlwZXNdLnhtbFBLAQItABQABgAIAAAAIQA4/SH/&#10;1gAAAJQBAAALAAAAAAAAAAAAAAAAAC8BAABfcmVscy8ucmVsc1BLAQItABQABgAIAAAAIQCCoQkD&#10;RQIAAIEEAAAOAAAAAAAAAAAAAAAAAC4CAABkcnMvZTJvRG9jLnhtbFBLAQItABQABgAIAAAAIQDZ&#10;vCCC4gAAAA0BAAAPAAAAAAAAAAAAAAAAAJ8EAABkcnMvZG93bnJldi54bWxQSwUGAAAAAAQABADz&#10;AAAArgUAAAAA&#10;" filled="f" strokeweight=".5pt">
                <v:textbox>
                  <w:txbxContent>
                    <w:p w14:paraId="4714628E" w14:textId="77777777" w:rsidR="003C1832" w:rsidRDefault="003C1832" w:rsidP="00D26AE4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2D3" w:rsidRPr="00D22816">
        <w:rPr>
          <w:i/>
          <w:noProof/>
          <w:color w:val="365F9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86178" wp14:editId="45A7E283">
                <wp:simplePos x="0" y="0"/>
                <wp:positionH relativeFrom="column">
                  <wp:posOffset>-624840</wp:posOffset>
                </wp:positionH>
                <wp:positionV relativeFrom="paragraph">
                  <wp:posOffset>-1442085</wp:posOffset>
                </wp:positionV>
                <wp:extent cx="944880" cy="269875"/>
                <wp:effectExtent l="3810" t="0" r="3810" b="63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69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E60EF" w14:textId="77777777" w:rsidR="003C1832" w:rsidRDefault="003C18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6178" id="Text Box 2" o:spid="_x0000_s1029" type="#_x0000_t202" alt="&quot;&quot;" style="position:absolute;margin-left:-49.2pt;margin-top:-113.55pt;width:74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HkXAIAALEEAAAOAAAAZHJzL2Uyb0RvYy54bWysVMlu2zAQvRfoPxC817IdJ3GEyEFi10GB&#10;dAGSoucxRUlEJQ5L0pacr++QtF2j7amoDgQ5y5vlzej2buhatpPWKdQFn4zGnEktsFS6LvjXl/W7&#10;OWfOgy6hRS0LvpeO3y3evrntTS6n2GBbSssIRLu8NwVvvDd5ljnRyA7cCI3UpKzQduDpaeustNAT&#10;etdm0/H4KuvRlsaikM6RdJWUfBHxq0oK/7mqnPSsLTjl5uNp47kJZ7a4hby2YBolDmnAP2TRgdIU&#10;9AS1Ag9sa9UfUJ0SFh1WfiSwy7CqlJCxBqpmMv6tmucGjIy1UHOcObXJ/T9Y8Wn3xTJVEnecaeiI&#10;ohc5ePaAA5uG7vTG5WT0bMjMDyQOlqFSZ55QfHdM47IBXct7a7FvJJSU3SR4ZmeuCccFkE3/EUsK&#10;A1uPEWiobBcAqRmM0Iml/YmZkIog4c1sNp+TRpBqenUzv76MESA/Ohvr/KPEjoVLwS0RH8Fh9+R8&#10;SAbyo8mBpnKt2pZZ9N+Ub2KnQ9SodOSTLswglZPEztabZWvZDmiW5quHi/exQYRcu3PryTh8qUd/&#10;cYmm0HUQR88r7RMiTTN5RaHSu8eDBaEf4sYaQqQY8JBhqzSj5ocUmRPQykhkqpemOtYYArY6nBpD&#10;zUkbJJGhQEqixw+bIY7CxZH4DZZ7ooyaFCPQntOlQfvKWU87U3D3YwtWctZ+0NSnm8lsFpYsPmaX&#10;11N62HPN5lwDWhBUwT2nEsJ16dNibo1VdUORjoN2T6OyVpHGMFMpq0P6tBepJWmHw+Kdv6PVrz/N&#10;4icAAAD//wMAUEsDBBQABgAIAAAAIQAx0iCx4QAAAAwBAAAPAAAAZHJzL2Rvd25yZXYueG1sTI/B&#10;TsMwEETvSPyDtUjcWidWCSHEqVARcIO29MLNjU0cYa9D7Lbp37Oc4LY7M5p9Wy8n79jRjLEPKCGf&#10;Z8AMtkH32EnYvT/NSmAxKdTKBTQSzibCsrm8qFWlwwk35rhNHaMSjJWSYFMaKs5ja41XcR4Gg+R9&#10;htGrROvYcT2qE5V7x0WWFdyrHumCVYNZWdN+bQ9ewuNGvNmXXVE8+w/3vX515/UgVlJeX00P98CS&#10;mdJfGH7xCR0aYtqHA+rInITZXbmgKA1C3ObAKHKTkbInJS8XBfCm5v+faH4AAAD//wMAUEsBAi0A&#10;FAAGAAgAAAAhALaDOJL+AAAA4QEAABMAAAAAAAAAAAAAAAAAAAAAAFtDb250ZW50X1R5cGVzXS54&#10;bWxQSwECLQAUAAYACAAAACEAOP0h/9YAAACUAQAACwAAAAAAAAAAAAAAAAAvAQAAX3JlbHMvLnJl&#10;bHNQSwECLQAUAAYACAAAACEAfDIR5FwCAACxBAAADgAAAAAAAAAAAAAAAAAuAgAAZHJzL2Uyb0Rv&#10;Yy54bWxQSwECLQAUAAYACAAAACEAMdIgseEAAAAMAQAADwAAAAAAAAAAAAAAAAC2BAAAZHJzL2Rv&#10;d25yZXYueG1sUEsFBgAAAAAEAAQA8wAAAMQFAAAAAA==&#10;" fillcolor="#8db3e2" stroked="f">
                <v:fill color2="#e8f0f9" angle="90" focus="100%" type="gradient"/>
                <v:textbox style="mso-fit-shape-to-text:t">
                  <w:txbxContent>
                    <w:p w14:paraId="029E60EF" w14:textId="77777777" w:rsidR="003C1832" w:rsidRDefault="003C1832"/>
                  </w:txbxContent>
                </v:textbox>
              </v:shape>
            </w:pict>
          </mc:Fallback>
        </mc:AlternateContent>
      </w:r>
      <w:r w:rsidR="0037688D">
        <w:rPr>
          <w:rFonts w:ascii="Arial" w:hAnsi="Arial" w:cs="Arial"/>
          <w:b/>
          <w:bCs/>
          <w:color w:val="365F91"/>
          <w:sz w:val="28"/>
          <w:szCs w:val="28"/>
        </w:rPr>
        <w:t xml:space="preserve">        </w:t>
      </w:r>
    </w:p>
    <w:p w14:paraId="1AC62F1A" w14:textId="08D2CDD9" w:rsidR="00816CBB" w:rsidRPr="007173C7" w:rsidRDefault="00F05AC8" w:rsidP="00AC63EB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INTRODUCTION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4009BC1B" w14:textId="77777777" w:rsidR="00365E34" w:rsidRPr="00365E34" w:rsidRDefault="00365E34" w:rsidP="00365E34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5E936F22" w14:textId="747FDAA0" w:rsidR="00D9138D" w:rsidRPr="00091085" w:rsidRDefault="00D9138D" w:rsidP="00AA314C">
      <w:pPr>
        <w:pStyle w:val="Heading1"/>
      </w:pPr>
      <w:r w:rsidRPr="00091085">
        <w:t>Massachusetts regulation 105 CMR 300.</w:t>
      </w:r>
      <w:r w:rsidR="00C500F0">
        <w:t>0</w:t>
      </w:r>
      <w:r w:rsidRPr="00091085">
        <w:t>00 establishes reporting, surveillance, isolation</w:t>
      </w:r>
      <w:r w:rsidR="004808FE">
        <w:t>,</w:t>
      </w:r>
      <w:r w:rsidRPr="00091085">
        <w:t xml:space="preserve"> and quarantine requirements for specific diseases, including tuberculosis</w:t>
      </w:r>
      <w:r w:rsidR="001F15F1">
        <w:t xml:space="preserve"> (TB)</w:t>
      </w:r>
      <w:r w:rsidRPr="00091085">
        <w:t xml:space="preserve">. This regulation </w:t>
      </w:r>
      <w:r w:rsidR="00EE14C6" w:rsidRPr="00091085">
        <w:t>establishes the process for immediate reporting of</w:t>
      </w:r>
      <w:r w:rsidR="00EE14C6">
        <w:t xml:space="preserve"> confirmed or suspected</w:t>
      </w:r>
      <w:r w:rsidR="00EE14C6" w:rsidRPr="00091085">
        <w:t xml:space="preserve"> TB</w:t>
      </w:r>
      <w:r w:rsidR="00EE14C6">
        <w:t>,</w:t>
      </w:r>
      <w:r w:rsidR="00EE14C6" w:rsidRPr="00091085">
        <w:t xml:space="preserve"> </w:t>
      </w:r>
      <w:r w:rsidRPr="00091085">
        <w:t xml:space="preserve">defines </w:t>
      </w:r>
      <w:r w:rsidR="00EE14C6">
        <w:t xml:space="preserve">requirements for </w:t>
      </w:r>
      <w:r w:rsidRPr="00091085">
        <w:t xml:space="preserve">isolation of persons with infectious tuberculosis, </w:t>
      </w:r>
      <w:r w:rsidR="00EE14C6" w:rsidRPr="00091085">
        <w:t xml:space="preserve">and </w:t>
      </w:r>
      <w:r w:rsidRPr="00091085">
        <w:t>provides guidance for determining the infectious period for the patient.</w:t>
      </w:r>
    </w:p>
    <w:p w14:paraId="591B4CFB" w14:textId="77777777" w:rsidR="00D9138D" w:rsidRPr="00091085" w:rsidRDefault="00D9138D" w:rsidP="00D9138D">
      <w:pPr>
        <w:autoSpaceDE w:val="0"/>
        <w:autoSpaceDN w:val="0"/>
        <w:adjustRightInd w:val="0"/>
        <w:ind w:left="360"/>
        <w:rPr>
          <w:rFonts w:asciiTheme="minorHAnsi" w:eastAsia="Times New Roman" w:hAnsiTheme="minorHAnsi" w:cs="Garamond-BookCondensed"/>
        </w:rPr>
      </w:pPr>
    </w:p>
    <w:p w14:paraId="50823279" w14:textId="203E57F3" w:rsidR="001A7C7D" w:rsidRDefault="00EA450E" w:rsidP="001A7C7D">
      <w:pPr>
        <w:rPr>
          <w:rFonts w:asciiTheme="minorHAnsi" w:eastAsia="Times New Roman" w:hAnsiTheme="minorHAnsi" w:cs="Garamond-BookCondensed"/>
        </w:rPr>
      </w:pPr>
      <w:r w:rsidRPr="00456CE7">
        <w:rPr>
          <w:rFonts w:asciiTheme="minorHAnsi" w:eastAsia="Times New Roman" w:hAnsiTheme="minorHAnsi" w:cs="Garamond-BookCondensed"/>
        </w:rPr>
        <w:t xml:space="preserve">Massachusetts </w:t>
      </w:r>
      <w:r w:rsidR="009821B0">
        <w:rPr>
          <w:rFonts w:asciiTheme="minorHAnsi" w:eastAsia="Times New Roman" w:hAnsiTheme="minorHAnsi" w:cs="Garamond-BookCondensed"/>
        </w:rPr>
        <w:t>r</w:t>
      </w:r>
      <w:r w:rsidRPr="00456CE7">
        <w:rPr>
          <w:rFonts w:asciiTheme="minorHAnsi" w:eastAsia="Times New Roman" w:hAnsiTheme="minorHAnsi" w:cs="Garamond-BookCondensed"/>
        </w:rPr>
        <w:t xml:space="preserve">egulation </w:t>
      </w:r>
      <w:r w:rsidRPr="003E11A2">
        <w:rPr>
          <w:rFonts w:asciiTheme="minorHAnsi" w:eastAsia="Times New Roman" w:hAnsiTheme="minorHAnsi" w:cs="Garamond-BookCondensed"/>
        </w:rPr>
        <w:t>105 CMR 365.</w:t>
      </w:r>
      <w:r w:rsidR="00FB4295">
        <w:rPr>
          <w:rFonts w:asciiTheme="minorHAnsi" w:eastAsia="Times New Roman" w:hAnsiTheme="minorHAnsi" w:cs="Garamond-BookCondensed"/>
        </w:rPr>
        <w:t>0</w:t>
      </w:r>
      <w:r w:rsidR="00FB4295" w:rsidRPr="003E11A2">
        <w:rPr>
          <w:rFonts w:asciiTheme="minorHAnsi" w:eastAsia="Times New Roman" w:hAnsiTheme="minorHAnsi" w:cs="Garamond-BookCondensed"/>
        </w:rPr>
        <w:t>00</w:t>
      </w:r>
      <w:r w:rsidR="00FB4295" w:rsidRPr="00456CE7">
        <w:rPr>
          <w:rFonts w:asciiTheme="minorHAnsi" w:eastAsia="Times New Roman" w:hAnsiTheme="minorHAnsi" w:cs="Garamond-BookCondensed"/>
        </w:rPr>
        <w:t xml:space="preserve"> </w:t>
      </w:r>
      <w:r w:rsidRPr="00456CE7">
        <w:rPr>
          <w:rFonts w:asciiTheme="minorHAnsi" w:eastAsia="Times New Roman" w:hAnsiTheme="minorHAnsi" w:cs="Garamond-BookCondensed"/>
        </w:rPr>
        <w:t xml:space="preserve">requires hospitals and other institutions to </w:t>
      </w:r>
      <w:r w:rsidR="00850507">
        <w:rPr>
          <w:rFonts w:asciiTheme="minorHAnsi" w:eastAsia="Times New Roman" w:hAnsiTheme="minorHAnsi" w:cs="Garamond-BookCondensed"/>
        </w:rPr>
        <w:t xml:space="preserve">collaborate with the </w:t>
      </w:r>
      <w:r w:rsidR="00817200">
        <w:rPr>
          <w:rFonts w:asciiTheme="minorHAnsi" w:eastAsia="Times New Roman" w:hAnsiTheme="minorHAnsi" w:cs="Garamond-BookCondensed"/>
        </w:rPr>
        <w:t xml:space="preserve">Massachusetts Department of Public Health </w:t>
      </w:r>
      <w:r w:rsidR="00EE14C6">
        <w:rPr>
          <w:rFonts w:asciiTheme="minorHAnsi" w:eastAsia="Times New Roman" w:hAnsiTheme="minorHAnsi" w:cs="Garamond-BookCondensed"/>
        </w:rPr>
        <w:t xml:space="preserve">(MDPH) </w:t>
      </w:r>
      <w:r w:rsidR="00850507">
        <w:rPr>
          <w:rFonts w:asciiTheme="minorHAnsi" w:eastAsia="Times New Roman" w:hAnsiTheme="minorHAnsi" w:cs="Garamond-BookCondensed"/>
        </w:rPr>
        <w:t>T</w:t>
      </w:r>
      <w:r w:rsidR="0048087B">
        <w:rPr>
          <w:rFonts w:asciiTheme="minorHAnsi" w:eastAsia="Times New Roman" w:hAnsiTheme="minorHAnsi" w:cs="Garamond-BookCondensed"/>
        </w:rPr>
        <w:t xml:space="preserve">B </w:t>
      </w:r>
      <w:r w:rsidR="00850507">
        <w:rPr>
          <w:rFonts w:asciiTheme="minorHAnsi" w:eastAsia="Times New Roman" w:hAnsiTheme="minorHAnsi" w:cs="Garamond-BookCondensed"/>
        </w:rPr>
        <w:t xml:space="preserve">Program to </w:t>
      </w:r>
      <w:r w:rsidRPr="00456CE7">
        <w:rPr>
          <w:rFonts w:asciiTheme="minorHAnsi" w:eastAsia="Times New Roman" w:hAnsiTheme="minorHAnsi" w:cs="Garamond-BookCondensed"/>
        </w:rPr>
        <w:t>plan discharge</w:t>
      </w:r>
      <w:r w:rsidR="00EE14C6">
        <w:rPr>
          <w:rFonts w:asciiTheme="minorHAnsi" w:eastAsia="Times New Roman" w:hAnsiTheme="minorHAnsi" w:cs="Garamond-BookCondensed"/>
        </w:rPr>
        <w:t xml:space="preserve"> into the community</w:t>
      </w:r>
      <w:r w:rsidRPr="00456CE7">
        <w:rPr>
          <w:rFonts w:asciiTheme="minorHAnsi" w:eastAsia="Times New Roman" w:hAnsiTheme="minorHAnsi" w:cs="Garamond-BookCondensed"/>
        </w:rPr>
        <w:t xml:space="preserve"> of persons with suspected or diagnosed tuberculosis.</w:t>
      </w:r>
      <w:r w:rsidR="001A7C7D" w:rsidRPr="00456CE7">
        <w:rPr>
          <w:rFonts w:asciiTheme="minorHAnsi" w:eastAsia="Times New Roman" w:hAnsiTheme="minorHAnsi" w:cs="Garamond-BookCondensed"/>
        </w:rPr>
        <w:t xml:space="preserve"> </w:t>
      </w:r>
    </w:p>
    <w:p w14:paraId="6757F776" w14:textId="77777777" w:rsidR="00817200" w:rsidRDefault="00817200" w:rsidP="001A7C7D">
      <w:pPr>
        <w:rPr>
          <w:rFonts w:asciiTheme="minorHAnsi" w:eastAsia="Times New Roman" w:hAnsiTheme="minorHAnsi" w:cs="Garamond-BookCondensed"/>
        </w:rPr>
      </w:pPr>
    </w:p>
    <w:p w14:paraId="226A9FC0" w14:textId="215DA440" w:rsidR="00817200" w:rsidRPr="00456CE7" w:rsidRDefault="00F4756A" w:rsidP="001A7C7D">
      <w:pPr>
        <w:rPr>
          <w:rFonts w:asciiTheme="minorHAnsi" w:eastAsia="Times New Roman" w:hAnsiTheme="minorHAnsi" w:cs="Garamond-BookCondensed"/>
        </w:rPr>
      </w:pPr>
      <w:r>
        <w:rPr>
          <w:rFonts w:asciiTheme="minorHAnsi" w:eastAsia="Times New Roman" w:hAnsiTheme="minorHAnsi" w:cs="Garamond-BookCondensed"/>
        </w:rPr>
        <w:t xml:space="preserve">The rationale for a proactively planned discharge is to ensure a comprehensive plan is in place </w:t>
      </w:r>
      <w:r w:rsidR="0049737F">
        <w:rPr>
          <w:rFonts w:asciiTheme="minorHAnsi" w:eastAsia="Times New Roman" w:hAnsiTheme="minorHAnsi" w:cs="Garamond-BookCondensed"/>
        </w:rPr>
        <w:t xml:space="preserve">to </w:t>
      </w:r>
      <w:r>
        <w:rPr>
          <w:rFonts w:asciiTheme="minorHAnsi" w:eastAsia="Times New Roman" w:hAnsiTheme="minorHAnsi" w:cs="Garamond-BookCondensed"/>
        </w:rPr>
        <w:t>address the individual’s needs in the community</w:t>
      </w:r>
      <w:r w:rsidR="0049737F">
        <w:rPr>
          <w:rFonts w:asciiTheme="minorHAnsi" w:eastAsia="Times New Roman" w:hAnsiTheme="minorHAnsi" w:cs="Garamond-BookCondensed"/>
        </w:rPr>
        <w:t xml:space="preserve"> </w:t>
      </w:r>
      <w:r w:rsidR="00EE14C6">
        <w:rPr>
          <w:rFonts w:asciiTheme="minorHAnsi" w:eastAsia="Times New Roman" w:hAnsiTheme="minorHAnsi" w:cs="Garamond-BookCondensed"/>
        </w:rPr>
        <w:t>for continuity</w:t>
      </w:r>
      <w:r>
        <w:rPr>
          <w:rFonts w:asciiTheme="minorHAnsi" w:eastAsia="Times New Roman" w:hAnsiTheme="minorHAnsi" w:cs="Garamond-BookCondensed"/>
        </w:rPr>
        <w:t xml:space="preserve"> of </w:t>
      </w:r>
      <w:r w:rsidR="00EE14C6">
        <w:rPr>
          <w:rFonts w:asciiTheme="minorHAnsi" w:eastAsia="Times New Roman" w:hAnsiTheme="minorHAnsi" w:cs="Garamond-BookCondensed"/>
        </w:rPr>
        <w:t xml:space="preserve">effective </w:t>
      </w:r>
      <w:r>
        <w:rPr>
          <w:rFonts w:asciiTheme="minorHAnsi" w:eastAsia="Times New Roman" w:hAnsiTheme="minorHAnsi" w:cs="Garamond-BookCondensed"/>
        </w:rPr>
        <w:t xml:space="preserve">care and </w:t>
      </w:r>
      <w:r w:rsidR="0049737F">
        <w:rPr>
          <w:rFonts w:asciiTheme="minorHAnsi" w:eastAsia="Times New Roman" w:hAnsiTheme="minorHAnsi" w:cs="Garamond-BookCondensed"/>
        </w:rPr>
        <w:t xml:space="preserve">to </w:t>
      </w:r>
      <w:r>
        <w:rPr>
          <w:rFonts w:asciiTheme="minorHAnsi" w:eastAsia="Times New Roman" w:hAnsiTheme="minorHAnsi" w:cs="Garamond-BookCondensed"/>
        </w:rPr>
        <w:t>ensur</w:t>
      </w:r>
      <w:r w:rsidR="009821B0">
        <w:rPr>
          <w:rFonts w:asciiTheme="minorHAnsi" w:eastAsia="Times New Roman" w:hAnsiTheme="minorHAnsi" w:cs="Garamond-BookCondensed"/>
        </w:rPr>
        <w:t>e</w:t>
      </w:r>
      <w:r>
        <w:rPr>
          <w:rFonts w:asciiTheme="minorHAnsi" w:eastAsia="Times New Roman" w:hAnsiTheme="minorHAnsi" w:cs="Garamond-BookCondensed"/>
        </w:rPr>
        <w:t xml:space="preserve"> the safety of others </w:t>
      </w:r>
      <w:r w:rsidR="009821B0">
        <w:rPr>
          <w:rFonts w:asciiTheme="minorHAnsi" w:eastAsia="Times New Roman" w:hAnsiTheme="minorHAnsi" w:cs="Garamond-BookCondensed"/>
        </w:rPr>
        <w:t xml:space="preserve">who </w:t>
      </w:r>
      <w:r>
        <w:rPr>
          <w:rFonts w:asciiTheme="minorHAnsi" w:eastAsia="Times New Roman" w:hAnsiTheme="minorHAnsi" w:cs="Garamond-BookCondensed"/>
        </w:rPr>
        <w:t xml:space="preserve">may share residence </w:t>
      </w:r>
      <w:r w:rsidR="00E820CA">
        <w:rPr>
          <w:rFonts w:asciiTheme="minorHAnsi" w:eastAsia="Times New Roman" w:hAnsiTheme="minorHAnsi" w:cs="Garamond-BookCondensed"/>
        </w:rPr>
        <w:t xml:space="preserve">or spend time </w:t>
      </w:r>
      <w:r>
        <w:rPr>
          <w:rFonts w:asciiTheme="minorHAnsi" w:eastAsia="Times New Roman" w:hAnsiTheme="minorHAnsi" w:cs="Garamond-BookCondensed"/>
        </w:rPr>
        <w:t xml:space="preserve">with the </w:t>
      </w:r>
      <w:r w:rsidR="00EE14C6">
        <w:rPr>
          <w:rFonts w:asciiTheme="minorHAnsi" w:eastAsia="Times New Roman" w:hAnsiTheme="minorHAnsi" w:cs="Garamond-BookCondensed"/>
        </w:rPr>
        <w:t xml:space="preserve">TB </w:t>
      </w:r>
      <w:r>
        <w:rPr>
          <w:rFonts w:asciiTheme="minorHAnsi" w:eastAsia="Times New Roman" w:hAnsiTheme="minorHAnsi" w:cs="Garamond-BookCondensed"/>
        </w:rPr>
        <w:t xml:space="preserve">patient. </w:t>
      </w:r>
      <w:r w:rsidR="009D193E">
        <w:rPr>
          <w:rFonts w:asciiTheme="minorHAnsi" w:eastAsia="Times New Roman" w:hAnsiTheme="minorHAnsi" w:cs="Garamond-BookCondensed"/>
        </w:rPr>
        <w:t xml:space="preserve">Developing a concrete discharge plan requires review of the clinical </w:t>
      </w:r>
      <w:r w:rsidR="00EE14C6">
        <w:rPr>
          <w:rFonts w:asciiTheme="minorHAnsi" w:eastAsia="Times New Roman" w:hAnsiTheme="minorHAnsi" w:cs="Garamond-BookCondensed"/>
        </w:rPr>
        <w:t xml:space="preserve">status </w:t>
      </w:r>
      <w:r w:rsidR="009D193E">
        <w:rPr>
          <w:rFonts w:asciiTheme="minorHAnsi" w:eastAsia="Times New Roman" w:hAnsiTheme="minorHAnsi" w:cs="Garamond-BookCondensed"/>
        </w:rPr>
        <w:t xml:space="preserve">of the </w:t>
      </w:r>
      <w:r w:rsidR="0049737F">
        <w:rPr>
          <w:rFonts w:asciiTheme="minorHAnsi" w:eastAsia="Times New Roman" w:hAnsiTheme="minorHAnsi" w:cs="Garamond-BookCondensed"/>
        </w:rPr>
        <w:t>patient</w:t>
      </w:r>
      <w:r w:rsidR="009D193E">
        <w:rPr>
          <w:rFonts w:asciiTheme="minorHAnsi" w:eastAsia="Times New Roman" w:hAnsiTheme="minorHAnsi" w:cs="Garamond-BookCondensed"/>
        </w:rPr>
        <w:t xml:space="preserve">, the setting </w:t>
      </w:r>
      <w:r w:rsidR="0049737F">
        <w:rPr>
          <w:rFonts w:asciiTheme="minorHAnsi" w:eastAsia="Times New Roman" w:hAnsiTheme="minorHAnsi" w:cs="Garamond-BookCondensed"/>
        </w:rPr>
        <w:t>to which</w:t>
      </w:r>
      <w:r w:rsidR="009D193E">
        <w:rPr>
          <w:rFonts w:asciiTheme="minorHAnsi" w:eastAsia="Times New Roman" w:hAnsiTheme="minorHAnsi" w:cs="Garamond-BookCondensed"/>
        </w:rPr>
        <w:t xml:space="preserve"> the patient will be discharged, and any extenuating circumstances or concerns.</w:t>
      </w:r>
    </w:p>
    <w:p w14:paraId="2DD71D8E" w14:textId="77777777" w:rsidR="00D20E12" w:rsidRPr="00456CE7" w:rsidRDefault="00D20E12" w:rsidP="00365E34">
      <w:pPr>
        <w:autoSpaceDE w:val="0"/>
        <w:autoSpaceDN w:val="0"/>
        <w:adjustRightInd w:val="0"/>
        <w:rPr>
          <w:rFonts w:asciiTheme="minorHAnsi" w:eastAsia="Times New Roman" w:hAnsiTheme="minorHAnsi" w:cs="Garamond-BookCondensed"/>
        </w:rPr>
      </w:pPr>
    </w:p>
    <w:p w14:paraId="2E08C2E6" w14:textId="11506410" w:rsidR="00EA450E" w:rsidRPr="003A635E" w:rsidRDefault="00990C80" w:rsidP="006A17E7">
      <w:pPr>
        <w:autoSpaceDE w:val="0"/>
        <w:autoSpaceDN w:val="0"/>
        <w:adjustRightInd w:val="0"/>
        <w:rPr>
          <w:rFonts w:asciiTheme="minorHAnsi" w:eastAsia="Times New Roman" w:hAnsiTheme="minorHAnsi" w:cs="Garamond-BookCondensed"/>
        </w:rPr>
      </w:pPr>
      <w:r>
        <w:rPr>
          <w:rFonts w:asciiTheme="minorHAnsi" w:eastAsia="Times New Roman" w:hAnsiTheme="minorHAnsi" w:cs="Garamond-BookCondensed"/>
        </w:rPr>
        <w:t xml:space="preserve">This </w:t>
      </w:r>
      <w:r w:rsidR="009821B0">
        <w:rPr>
          <w:rFonts w:asciiTheme="minorHAnsi" w:eastAsia="Times New Roman" w:hAnsiTheme="minorHAnsi" w:cs="Garamond-BookCondensed"/>
        </w:rPr>
        <w:t>document</w:t>
      </w:r>
      <w:r w:rsidR="00225827">
        <w:rPr>
          <w:rFonts w:asciiTheme="minorHAnsi" w:eastAsia="Times New Roman" w:hAnsiTheme="minorHAnsi" w:cs="Garamond-BookCondensed"/>
        </w:rPr>
        <w:t xml:space="preserve"> </w:t>
      </w:r>
      <w:r w:rsidR="00EE14C6">
        <w:rPr>
          <w:rFonts w:asciiTheme="minorHAnsi" w:eastAsia="Times New Roman" w:hAnsiTheme="minorHAnsi" w:cs="Garamond-BookCondensed"/>
        </w:rPr>
        <w:t>offers</w:t>
      </w:r>
      <w:r w:rsidR="009D193E">
        <w:rPr>
          <w:rFonts w:asciiTheme="minorHAnsi" w:eastAsia="Times New Roman" w:hAnsiTheme="minorHAnsi" w:cs="Garamond-BookCondensed"/>
        </w:rPr>
        <w:t xml:space="preserve"> inpatient providers and local public health departments</w:t>
      </w:r>
      <w:r w:rsidR="00225827">
        <w:rPr>
          <w:rFonts w:asciiTheme="minorHAnsi" w:eastAsia="Times New Roman" w:hAnsiTheme="minorHAnsi" w:cs="Garamond-BookCondensed"/>
        </w:rPr>
        <w:t xml:space="preserve"> </w:t>
      </w:r>
      <w:r w:rsidR="0048087B">
        <w:rPr>
          <w:rFonts w:asciiTheme="minorHAnsi" w:eastAsia="Times New Roman" w:hAnsiTheme="minorHAnsi" w:cs="Garamond-BookCondensed"/>
        </w:rPr>
        <w:t xml:space="preserve">practice </w:t>
      </w:r>
      <w:r w:rsidR="0048087B" w:rsidRPr="0048087B">
        <w:rPr>
          <w:rFonts w:asciiTheme="minorHAnsi" w:eastAsia="Times New Roman" w:hAnsiTheme="minorHAnsi" w:cs="Garamond-BookCondensed"/>
        </w:rPr>
        <w:t>guid</w:t>
      </w:r>
      <w:r w:rsidR="0048087B">
        <w:rPr>
          <w:rFonts w:asciiTheme="minorHAnsi" w:eastAsia="Times New Roman" w:hAnsiTheme="minorHAnsi" w:cs="Garamond-BookCondensed"/>
        </w:rPr>
        <w:t>elines</w:t>
      </w:r>
      <w:r w:rsidR="0048087B" w:rsidRPr="00197AEF">
        <w:rPr>
          <w:rFonts w:asciiTheme="minorHAnsi" w:eastAsia="Times New Roman" w:hAnsiTheme="minorHAnsi" w:cs="Garamond-BookCondensed"/>
        </w:rPr>
        <w:t xml:space="preserve"> for </w:t>
      </w:r>
      <w:r w:rsidR="00EA450E" w:rsidRPr="00197AEF">
        <w:rPr>
          <w:rFonts w:asciiTheme="minorHAnsi" w:eastAsia="Times New Roman" w:hAnsiTheme="minorHAnsi" w:cs="Garamond-BookCondensed"/>
        </w:rPr>
        <w:t>develop</w:t>
      </w:r>
      <w:r w:rsidR="001E7A4B" w:rsidRPr="00197AEF">
        <w:rPr>
          <w:rFonts w:asciiTheme="minorHAnsi" w:eastAsia="Times New Roman" w:hAnsiTheme="minorHAnsi" w:cs="Garamond-BookCondensed"/>
        </w:rPr>
        <w:t>ing</w:t>
      </w:r>
      <w:r w:rsidR="00EA450E" w:rsidRPr="00197AEF">
        <w:rPr>
          <w:rFonts w:asciiTheme="minorHAnsi" w:eastAsia="Times New Roman" w:hAnsiTheme="minorHAnsi" w:cs="Garamond-BookCondensed"/>
        </w:rPr>
        <w:t xml:space="preserve"> a sound discharge plan that </w:t>
      </w:r>
      <w:r w:rsidR="00EE14C6">
        <w:rPr>
          <w:rFonts w:asciiTheme="minorHAnsi" w:eastAsia="Times New Roman" w:hAnsiTheme="minorHAnsi" w:cs="Garamond-BookCondensed"/>
        </w:rPr>
        <w:t xml:space="preserve">serves the patient and </w:t>
      </w:r>
      <w:r w:rsidR="00EA450E" w:rsidRPr="00197AEF">
        <w:rPr>
          <w:rFonts w:asciiTheme="minorHAnsi" w:eastAsia="Times New Roman" w:hAnsiTheme="minorHAnsi" w:cs="Garamond-BookCondensed"/>
        </w:rPr>
        <w:t>protects the public</w:t>
      </w:r>
      <w:r w:rsidR="0049737F">
        <w:rPr>
          <w:rFonts w:asciiTheme="minorHAnsi" w:eastAsia="Times New Roman" w:hAnsiTheme="minorHAnsi" w:cs="Garamond-BookCondensed"/>
        </w:rPr>
        <w:t xml:space="preserve">.  In addition, </w:t>
      </w:r>
      <w:r w:rsidR="0049737F" w:rsidRPr="00A1181C">
        <w:rPr>
          <w:rFonts w:asciiTheme="minorHAnsi" w:eastAsia="Times New Roman" w:hAnsiTheme="minorHAnsi" w:cs="Garamond-BookCondensed"/>
        </w:rPr>
        <w:t>the document</w:t>
      </w:r>
      <w:r w:rsidR="00EA450E" w:rsidRPr="00A1181C">
        <w:rPr>
          <w:rFonts w:asciiTheme="minorHAnsi" w:eastAsia="Times New Roman" w:hAnsiTheme="minorHAnsi" w:cs="Garamond-BookCondensed"/>
        </w:rPr>
        <w:t xml:space="preserve"> </w:t>
      </w:r>
      <w:r w:rsidR="00197AEF" w:rsidRPr="00A1181C">
        <w:rPr>
          <w:rFonts w:asciiTheme="minorHAnsi" w:eastAsia="Times New Roman" w:hAnsiTheme="minorHAnsi" w:cs="Garamond-BookCondensed"/>
        </w:rPr>
        <w:t>o</w:t>
      </w:r>
      <w:r w:rsidR="0048087B" w:rsidRPr="00A1181C">
        <w:rPr>
          <w:rFonts w:asciiTheme="minorHAnsi" w:eastAsia="Times New Roman" w:hAnsiTheme="minorHAnsi" w:cs="Garamond-BookCondensed"/>
        </w:rPr>
        <w:t>utline</w:t>
      </w:r>
      <w:r w:rsidR="0049737F" w:rsidRPr="00A1181C">
        <w:rPr>
          <w:rFonts w:asciiTheme="minorHAnsi" w:eastAsia="Times New Roman" w:hAnsiTheme="minorHAnsi" w:cs="Garamond-BookCondensed"/>
        </w:rPr>
        <w:t>s</w:t>
      </w:r>
      <w:r w:rsidR="0048087B" w:rsidRPr="00A1181C">
        <w:rPr>
          <w:rFonts w:asciiTheme="minorHAnsi" w:eastAsia="Times New Roman" w:hAnsiTheme="minorHAnsi" w:cs="Garamond-BookCondensed"/>
        </w:rPr>
        <w:t xml:space="preserve"> </w:t>
      </w:r>
      <w:r w:rsidR="00A1181C" w:rsidRPr="001C2B61">
        <w:rPr>
          <w:rFonts w:asciiTheme="minorHAnsi" w:eastAsia="Times New Roman" w:hAnsiTheme="minorHAnsi" w:cs="Garamond-BookCondensed"/>
        </w:rPr>
        <w:t>the importance of engaging</w:t>
      </w:r>
      <w:r w:rsidR="0048087B" w:rsidRPr="00A1181C">
        <w:rPr>
          <w:rFonts w:asciiTheme="minorHAnsi" w:eastAsia="Times New Roman" w:hAnsiTheme="minorHAnsi" w:cs="Garamond-BookCondensed"/>
        </w:rPr>
        <w:t xml:space="preserve"> l</w:t>
      </w:r>
      <w:r w:rsidR="001A7C7D" w:rsidRPr="00A1181C">
        <w:rPr>
          <w:rFonts w:asciiTheme="minorHAnsi" w:eastAsia="Times New Roman" w:hAnsiTheme="minorHAnsi" w:cs="Garamond-BookCondensed"/>
        </w:rPr>
        <w:t>ocal public health resources in the city o</w:t>
      </w:r>
      <w:r w:rsidR="001E7A4B" w:rsidRPr="00A1181C">
        <w:rPr>
          <w:rFonts w:asciiTheme="minorHAnsi" w:eastAsia="Times New Roman" w:hAnsiTheme="minorHAnsi" w:cs="Garamond-BookCondensed"/>
        </w:rPr>
        <w:t>r</w:t>
      </w:r>
      <w:r w:rsidR="001A7C7D" w:rsidRPr="00A1181C">
        <w:rPr>
          <w:rFonts w:asciiTheme="minorHAnsi" w:eastAsia="Times New Roman" w:hAnsiTheme="minorHAnsi" w:cs="Garamond-BookCondensed"/>
        </w:rPr>
        <w:t xml:space="preserve"> town</w:t>
      </w:r>
      <w:r w:rsidR="001A7C7D" w:rsidRPr="003A635E">
        <w:rPr>
          <w:rFonts w:asciiTheme="minorHAnsi" w:eastAsia="Times New Roman" w:hAnsiTheme="minorHAnsi" w:cs="Garamond-BookCondensed"/>
        </w:rPr>
        <w:t xml:space="preserve"> </w:t>
      </w:r>
      <w:r w:rsidR="001E7A4B">
        <w:rPr>
          <w:rFonts w:asciiTheme="minorHAnsi" w:eastAsia="Times New Roman" w:hAnsiTheme="minorHAnsi" w:cs="Garamond-BookCondensed"/>
        </w:rPr>
        <w:t xml:space="preserve">to </w:t>
      </w:r>
      <w:r w:rsidR="009821B0">
        <w:rPr>
          <w:rFonts w:asciiTheme="minorHAnsi" w:eastAsia="Times New Roman" w:hAnsiTheme="minorHAnsi" w:cs="Garamond-BookCondensed"/>
        </w:rPr>
        <w:t>which</w:t>
      </w:r>
      <w:r w:rsidR="009821B0" w:rsidRPr="003A635E">
        <w:rPr>
          <w:rFonts w:asciiTheme="minorHAnsi" w:eastAsia="Times New Roman" w:hAnsiTheme="minorHAnsi" w:cs="Garamond-BookCondensed"/>
        </w:rPr>
        <w:t xml:space="preserve"> </w:t>
      </w:r>
      <w:r w:rsidR="001A7C7D" w:rsidRPr="003A635E">
        <w:rPr>
          <w:rFonts w:asciiTheme="minorHAnsi" w:eastAsia="Times New Roman" w:hAnsiTheme="minorHAnsi" w:cs="Garamond-BookCondensed"/>
        </w:rPr>
        <w:t>the patient is being discharged.</w:t>
      </w:r>
      <w:r w:rsidR="009D193E">
        <w:rPr>
          <w:rFonts w:asciiTheme="minorHAnsi" w:eastAsia="Times New Roman" w:hAnsiTheme="minorHAnsi" w:cs="Garamond-BookCondensed"/>
        </w:rPr>
        <w:t xml:space="preserve"> </w:t>
      </w:r>
    </w:p>
    <w:p w14:paraId="2129BBF6" w14:textId="77777777" w:rsidR="00456CE7" w:rsidRPr="007173C7" w:rsidRDefault="00456CE7" w:rsidP="00456CE7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REPORTING REQUIREMENTS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591C8E01" w14:textId="77777777" w:rsidR="00456CE7" w:rsidRPr="00365E34" w:rsidRDefault="00456CE7" w:rsidP="00456CE7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00003C24" w14:textId="2333F4CC" w:rsidR="004A037E" w:rsidRPr="001F15F1" w:rsidRDefault="004A037E" w:rsidP="00034D74">
      <w:p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>Hospitals are required to report an</w:t>
      </w:r>
      <w:r w:rsidR="009D1DC5">
        <w:rPr>
          <w:rFonts w:asciiTheme="minorHAnsi" w:eastAsia="Times New Roman" w:hAnsiTheme="minorHAnsi"/>
          <w:szCs w:val="20"/>
        </w:rPr>
        <w:t>y</w:t>
      </w:r>
      <w:r>
        <w:rPr>
          <w:rFonts w:asciiTheme="minorHAnsi" w:eastAsia="Times New Roman" w:hAnsiTheme="minorHAnsi"/>
          <w:szCs w:val="20"/>
        </w:rPr>
        <w:t xml:space="preserve"> individual with suspected or confirmed active TB to the MDPH by calling 617-983-</w:t>
      </w:r>
      <w:r w:rsidR="00197AEF">
        <w:rPr>
          <w:rFonts w:asciiTheme="minorHAnsi" w:eastAsia="Times New Roman" w:hAnsiTheme="minorHAnsi"/>
          <w:szCs w:val="20"/>
        </w:rPr>
        <w:t>6801</w:t>
      </w:r>
      <w:r>
        <w:rPr>
          <w:rFonts w:asciiTheme="minorHAnsi" w:eastAsia="Times New Roman" w:hAnsiTheme="minorHAnsi"/>
          <w:szCs w:val="20"/>
        </w:rPr>
        <w:t xml:space="preserve"> or completing and faxing a </w:t>
      </w:r>
      <w:r w:rsidR="004C43FC">
        <w:rPr>
          <w:rFonts w:asciiTheme="minorHAnsi" w:eastAsia="Times New Roman" w:hAnsiTheme="minorHAnsi"/>
          <w:szCs w:val="20"/>
        </w:rPr>
        <w:t>case report form</w:t>
      </w:r>
      <w:r w:rsidR="001D71C5">
        <w:rPr>
          <w:rFonts w:asciiTheme="minorHAnsi" w:eastAsia="Times New Roman" w:hAnsiTheme="minorHAnsi"/>
          <w:szCs w:val="20"/>
        </w:rPr>
        <w:t xml:space="preserve">. See </w:t>
      </w:r>
      <w:hyperlink r:id="rId9" w:history="1">
        <w:r w:rsidR="001D71C5" w:rsidRPr="00DF6A2B">
          <w:rPr>
            <w:rStyle w:val="Hyperlink"/>
            <w:rFonts w:asciiTheme="minorHAnsi" w:eastAsia="Times New Roman" w:hAnsiTheme="minorHAnsi"/>
            <w:szCs w:val="20"/>
          </w:rPr>
          <w:t>www.mass.gov/how-to/report-a-case-of-tuberculosis-disease-or-latent-tb-infection</w:t>
        </w:r>
      </w:hyperlink>
      <w:r w:rsidR="000B6117">
        <w:rPr>
          <w:rStyle w:val="Hyperlink"/>
          <w:rFonts w:asciiTheme="minorHAnsi" w:eastAsia="Times New Roman" w:hAnsiTheme="minorHAnsi"/>
          <w:szCs w:val="20"/>
        </w:rPr>
        <w:t xml:space="preserve">. </w:t>
      </w:r>
      <w:r w:rsidR="001D71C5">
        <w:rPr>
          <w:rFonts w:asciiTheme="minorHAnsi" w:eastAsia="Times New Roman" w:hAnsiTheme="minorHAnsi"/>
          <w:szCs w:val="20"/>
        </w:rPr>
        <w:t xml:space="preserve"> </w:t>
      </w:r>
    </w:p>
    <w:p w14:paraId="145422BD" w14:textId="77777777" w:rsidR="004355B5" w:rsidRDefault="004355B5" w:rsidP="00034D74">
      <w:pPr>
        <w:rPr>
          <w:rFonts w:asciiTheme="minorHAnsi" w:eastAsia="Times New Roman" w:hAnsiTheme="minorHAnsi"/>
          <w:szCs w:val="20"/>
        </w:rPr>
      </w:pPr>
    </w:p>
    <w:p w14:paraId="376A84D5" w14:textId="15370244" w:rsidR="00A1181C" w:rsidRDefault="004A037E">
      <w:pPr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eastAsia="Times New Roman" w:hAnsiTheme="minorHAnsi"/>
          <w:szCs w:val="20"/>
        </w:rPr>
        <w:t>Reporting in a timely manner</w:t>
      </w:r>
      <w:r w:rsidR="004C43FC">
        <w:rPr>
          <w:rFonts w:asciiTheme="minorHAnsi" w:eastAsia="Times New Roman" w:hAnsiTheme="minorHAnsi"/>
          <w:szCs w:val="20"/>
        </w:rPr>
        <w:t xml:space="preserve"> allows for optimal patient management</w:t>
      </w:r>
      <w:r>
        <w:rPr>
          <w:rFonts w:asciiTheme="minorHAnsi" w:eastAsia="Times New Roman" w:hAnsiTheme="minorHAnsi"/>
          <w:szCs w:val="20"/>
        </w:rPr>
        <w:t>.</w:t>
      </w:r>
      <w:r w:rsidR="00456CE7" w:rsidRPr="00456CE7">
        <w:rPr>
          <w:rFonts w:asciiTheme="minorHAnsi" w:eastAsia="Times New Roman" w:hAnsiTheme="minorHAnsi"/>
          <w:szCs w:val="20"/>
        </w:rPr>
        <w:t xml:space="preserve">  </w:t>
      </w:r>
      <w:r w:rsidR="0048087B">
        <w:rPr>
          <w:rFonts w:asciiTheme="minorHAnsi" w:eastAsia="Times New Roman" w:hAnsiTheme="minorHAnsi"/>
          <w:szCs w:val="20"/>
        </w:rPr>
        <w:t>It is never too early</w:t>
      </w:r>
      <w:r w:rsidR="00456CE7" w:rsidRPr="00456CE7">
        <w:rPr>
          <w:rFonts w:asciiTheme="minorHAnsi" w:eastAsia="Times New Roman" w:hAnsiTheme="minorHAnsi"/>
          <w:szCs w:val="20"/>
        </w:rPr>
        <w:t xml:space="preserve"> to </w:t>
      </w:r>
      <w:r w:rsidR="00201C0B">
        <w:rPr>
          <w:rFonts w:asciiTheme="minorHAnsi" w:eastAsia="Times New Roman" w:hAnsiTheme="minorHAnsi"/>
          <w:szCs w:val="20"/>
        </w:rPr>
        <w:t xml:space="preserve">collaborate with </w:t>
      </w:r>
      <w:r>
        <w:rPr>
          <w:rFonts w:asciiTheme="minorHAnsi" w:eastAsia="Times New Roman" w:hAnsiTheme="minorHAnsi"/>
          <w:szCs w:val="20"/>
        </w:rPr>
        <w:t>TB Program staff</w:t>
      </w:r>
      <w:r w:rsidR="00201C0B">
        <w:rPr>
          <w:rFonts w:asciiTheme="minorHAnsi" w:eastAsia="Times New Roman" w:hAnsiTheme="minorHAnsi"/>
          <w:szCs w:val="20"/>
        </w:rPr>
        <w:t xml:space="preserve"> and </w:t>
      </w:r>
      <w:r w:rsidR="001F15F1">
        <w:rPr>
          <w:rFonts w:asciiTheme="minorHAnsi" w:eastAsia="Times New Roman" w:hAnsiTheme="minorHAnsi"/>
          <w:szCs w:val="20"/>
        </w:rPr>
        <w:t xml:space="preserve">the </w:t>
      </w:r>
      <w:r w:rsidR="00201C0B">
        <w:rPr>
          <w:rFonts w:asciiTheme="minorHAnsi" w:eastAsia="Times New Roman" w:hAnsiTheme="minorHAnsi"/>
          <w:szCs w:val="20"/>
        </w:rPr>
        <w:t xml:space="preserve">local public health nurse </w:t>
      </w:r>
      <w:r>
        <w:rPr>
          <w:rFonts w:asciiTheme="minorHAnsi" w:eastAsia="Times New Roman" w:hAnsiTheme="minorHAnsi"/>
          <w:szCs w:val="20"/>
        </w:rPr>
        <w:t>for</w:t>
      </w:r>
      <w:r w:rsidR="00201C0B">
        <w:rPr>
          <w:rFonts w:asciiTheme="minorHAnsi" w:eastAsia="Times New Roman" w:hAnsiTheme="minorHAnsi"/>
          <w:szCs w:val="20"/>
        </w:rPr>
        <w:t xml:space="preserve"> discharge planning and </w:t>
      </w:r>
      <w:r w:rsidR="00456CE7" w:rsidRPr="00456CE7">
        <w:rPr>
          <w:rFonts w:asciiTheme="minorHAnsi" w:eastAsia="Times New Roman" w:hAnsiTheme="minorHAnsi"/>
          <w:szCs w:val="20"/>
        </w:rPr>
        <w:t>develop</w:t>
      </w:r>
      <w:r w:rsidR="009D1DC5">
        <w:rPr>
          <w:rFonts w:asciiTheme="minorHAnsi" w:eastAsia="Times New Roman" w:hAnsiTheme="minorHAnsi"/>
          <w:szCs w:val="20"/>
        </w:rPr>
        <w:t>ment of</w:t>
      </w:r>
      <w:r w:rsidR="00456CE7" w:rsidRPr="00456CE7">
        <w:rPr>
          <w:rFonts w:asciiTheme="minorHAnsi" w:eastAsia="Times New Roman" w:hAnsiTheme="minorHAnsi"/>
          <w:szCs w:val="20"/>
        </w:rPr>
        <w:t xml:space="preserve"> an outpatient case management plan</w:t>
      </w:r>
      <w:r w:rsidR="00456CE7">
        <w:rPr>
          <w:rFonts w:asciiTheme="minorHAnsi" w:eastAsia="Times New Roman" w:hAnsiTheme="minorHAnsi"/>
          <w:szCs w:val="20"/>
        </w:rPr>
        <w:t xml:space="preserve">. TB </w:t>
      </w:r>
      <w:r>
        <w:rPr>
          <w:rFonts w:asciiTheme="minorHAnsi" w:eastAsia="Times New Roman" w:hAnsiTheme="minorHAnsi"/>
          <w:szCs w:val="20"/>
        </w:rPr>
        <w:t xml:space="preserve">Program staff </w:t>
      </w:r>
      <w:r w:rsidR="00456CE7">
        <w:rPr>
          <w:rFonts w:asciiTheme="minorHAnsi" w:eastAsia="Times New Roman" w:hAnsiTheme="minorHAnsi"/>
          <w:szCs w:val="20"/>
        </w:rPr>
        <w:t xml:space="preserve">will be in contact with the </w:t>
      </w:r>
      <w:r w:rsidR="00A66BB4">
        <w:rPr>
          <w:rFonts w:asciiTheme="minorHAnsi" w:eastAsia="Times New Roman" w:hAnsiTheme="minorHAnsi"/>
          <w:szCs w:val="20"/>
        </w:rPr>
        <w:t xml:space="preserve">inpatient </w:t>
      </w:r>
      <w:r w:rsidR="00456CE7">
        <w:rPr>
          <w:rFonts w:asciiTheme="minorHAnsi" w:eastAsia="Times New Roman" w:hAnsiTheme="minorHAnsi"/>
          <w:szCs w:val="20"/>
        </w:rPr>
        <w:t>facility to provide technical assistance on formulati</w:t>
      </w:r>
      <w:r w:rsidR="00034D74">
        <w:rPr>
          <w:rFonts w:asciiTheme="minorHAnsi" w:eastAsia="Times New Roman" w:hAnsiTheme="minorHAnsi"/>
          <w:szCs w:val="20"/>
        </w:rPr>
        <w:t>ng the outpatient plan of care.</w:t>
      </w:r>
      <w:r w:rsidR="00034D74" w:rsidRPr="00034D74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</w:t>
      </w:r>
      <w:r w:rsidR="004808FE" w:rsidRPr="004808FE">
        <w:rPr>
          <w:rFonts w:asciiTheme="minorHAnsi" w:hAnsiTheme="minorHAnsi" w:cstheme="minorHAnsi"/>
          <w:b/>
          <w:bCs/>
        </w:rPr>
        <w:t>For</w:t>
      </w:r>
      <w:r w:rsidR="00677F85" w:rsidRPr="004808FE">
        <w:rPr>
          <w:rFonts w:asciiTheme="minorHAnsi" w:hAnsiTheme="minorHAnsi" w:cstheme="minorHAnsi"/>
          <w:b/>
          <w:bCs/>
        </w:rPr>
        <w:t xml:space="preserve"> Division staff to advise hospitals on community discharges for suspected or confirmed cases of TB, a case report must be </w:t>
      </w:r>
      <w:r w:rsidR="000B6117">
        <w:rPr>
          <w:rFonts w:asciiTheme="minorHAnsi" w:hAnsiTheme="minorHAnsi" w:cstheme="minorHAnsi"/>
          <w:b/>
          <w:bCs/>
        </w:rPr>
        <w:t>received</w:t>
      </w:r>
      <w:r w:rsidR="004808FE">
        <w:rPr>
          <w:rFonts w:asciiTheme="minorHAnsi" w:hAnsiTheme="minorHAnsi" w:cstheme="minorHAnsi"/>
          <w:b/>
          <w:bCs/>
        </w:rPr>
        <w:t>.</w:t>
      </w:r>
      <w:r w:rsidR="001D71C5">
        <w:rPr>
          <w:rFonts w:asciiTheme="minorHAnsi" w:hAnsiTheme="minorHAnsi" w:cstheme="minorHAnsi"/>
          <w:b/>
          <w:bCs/>
        </w:rPr>
        <w:t xml:space="preserve"> </w:t>
      </w:r>
    </w:p>
    <w:p w14:paraId="37EFA5CF" w14:textId="77777777" w:rsidR="002A6F38" w:rsidRDefault="002A6F38" w:rsidP="00034D74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  <w:sectPr w:rsidR="002A6F38" w:rsidSect="006F25B1">
          <w:footerReference w:type="default" r:id="rId10"/>
          <w:footerReference w:type="first" r:id="rId11"/>
          <w:pgSz w:w="12240" w:h="15840"/>
          <w:pgMar w:top="1800" w:right="1080" w:bottom="1440" w:left="1080" w:header="1440" w:footer="0" w:gutter="0"/>
          <w:cols w:space="720"/>
          <w:docGrid w:linePitch="326"/>
        </w:sectPr>
      </w:pPr>
    </w:p>
    <w:p w14:paraId="5BBB92CD" w14:textId="4BD4A5F6" w:rsidR="00034D74" w:rsidRPr="007173C7" w:rsidRDefault="00034D74" w:rsidP="00034D74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lastRenderedPageBreak/>
        <w:t>PLANNING REQUIREMENTS</w:t>
      </w:r>
      <w:r w:rsidR="00BC2D9B">
        <w:rPr>
          <w:rFonts w:asciiTheme="minorHAnsi" w:hAnsiTheme="minorHAnsi" w:cs="Arial"/>
          <w:b/>
          <w:bCs/>
          <w:color w:val="365F91"/>
          <w:sz w:val="32"/>
          <w:szCs w:val="32"/>
        </w:rPr>
        <w:t>: ALL PATIENTS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45FBB124" w14:textId="77777777" w:rsidR="00034D74" w:rsidRDefault="00034D74" w:rsidP="00456CE7">
      <w:pPr>
        <w:rPr>
          <w:rFonts w:asciiTheme="minorHAnsi" w:eastAsia="Times New Roman" w:hAnsiTheme="minorHAnsi"/>
          <w:szCs w:val="20"/>
        </w:rPr>
      </w:pPr>
    </w:p>
    <w:p w14:paraId="7AF0554A" w14:textId="7A5E9A81" w:rsidR="00034D74" w:rsidRPr="001F15F1" w:rsidRDefault="00456CE7" w:rsidP="00456CE7">
      <w:pPr>
        <w:rPr>
          <w:rFonts w:asciiTheme="minorHAnsi" w:eastAsia="Times New Roman" w:hAnsiTheme="minorHAnsi"/>
          <w:i/>
          <w:szCs w:val="20"/>
        </w:rPr>
      </w:pPr>
      <w:r w:rsidRPr="00E820CA">
        <w:rPr>
          <w:rFonts w:asciiTheme="minorHAnsi" w:eastAsia="Times New Roman" w:hAnsiTheme="minorHAnsi"/>
          <w:i/>
          <w:szCs w:val="20"/>
        </w:rPr>
        <w:t xml:space="preserve">A </w:t>
      </w:r>
      <w:r w:rsidR="00B95C8B" w:rsidRPr="00E820CA">
        <w:rPr>
          <w:rFonts w:asciiTheme="minorHAnsi" w:eastAsia="Times New Roman" w:hAnsiTheme="minorHAnsi"/>
          <w:i/>
          <w:szCs w:val="20"/>
        </w:rPr>
        <w:t>p</w:t>
      </w:r>
      <w:r w:rsidRPr="00E820CA">
        <w:rPr>
          <w:rFonts w:asciiTheme="minorHAnsi" w:eastAsia="Times New Roman" w:hAnsiTheme="minorHAnsi"/>
          <w:i/>
          <w:szCs w:val="20"/>
        </w:rPr>
        <w:t xml:space="preserve">re-discharge conference and/or consultation </w:t>
      </w:r>
      <w:r w:rsidR="001E7A4B" w:rsidRPr="00E820CA">
        <w:rPr>
          <w:rFonts w:asciiTheme="minorHAnsi" w:eastAsia="Times New Roman" w:hAnsiTheme="minorHAnsi"/>
          <w:i/>
          <w:szCs w:val="20"/>
        </w:rPr>
        <w:t>between hospital staff</w:t>
      </w:r>
      <w:r w:rsidR="00954817" w:rsidRPr="00E820CA">
        <w:rPr>
          <w:rFonts w:asciiTheme="minorHAnsi" w:eastAsia="Times New Roman" w:hAnsiTheme="minorHAnsi"/>
          <w:i/>
          <w:szCs w:val="20"/>
        </w:rPr>
        <w:t>,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 </w:t>
      </w:r>
      <w:r w:rsidR="00954817" w:rsidRPr="00E820CA">
        <w:rPr>
          <w:rFonts w:asciiTheme="minorHAnsi" w:eastAsia="Times New Roman" w:hAnsiTheme="minorHAnsi"/>
          <w:i/>
          <w:szCs w:val="20"/>
        </w:rPr>
        <w:t>MDPH</w:t>
      </w:r>
      <w:r w:rsidR="00307593">
        <w:rPr>
          <w:rFonts w:asciiTheme="minorHAnsi" w:eastAsia="Times New Roman" w:hAnsiTheme="minorHAnsi"/>
          <w:i/>
          <w:szCs w:val="20"/>
        </w:rPr>
        <w:t>,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 and </w:t>
      </w:r>
      <w:r w:rsidR="009D1DC5">
        <w:rPr>
          <w:rFonts w:asciiTheme="minorHAnsi" w:eastAsia="Times New Roman" w:hAnsiTheme="minorHAnsi"/>
          <w:i/>
          <w:szCs w:val="20"/>
        </w:rPr>
        <w:t xml:space="preserve">the 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local </w:t>
      </w:r>
      <w:r w:rsidR="009D1DC5">
        <w:rPr>
          <w:rFonts w:asciiTheme="minorHAnsi" w:eastAsia="Times New Roman" w:hAnsiTheme="minorHAnsi"/>
          <w:i/>
          <w:szCs w:val="20"/>
        </w:rPr>
        <w:t xml:space="preserve">public </w:t>
      </w:r>
      <w:r w:rsidR="001E7A4B" w:rsidRPr="00E820CA">
        <w:rPr>
          <w:rFonts w:asciiTheme="minorHAnsi" w:eastAsia="Times New Roman" w:hAnsiTheme="minorHAnsi"/>
          <w:i/>
          <w:szCs w:val="20"/>
        </w:rPr>
        <w:t>health nurse</w:t>
      </w:r>
      <w:r w:rsidR="00F4756A" w:rsidRPr="00E820CA">
        <w:rPr>
          <w:rFonts w:asciiTheme="minorHAnsi" w:eastAsia="Times New Roman" w:hAnsiTheme="minorHAnsi"/>
          <w:i/>
          <w:szCs w:val="20"/>
        </w:rPr>
        <w:t xml:space="preserve"> 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is </w:t>
      </w:r>
      <w:r w:rsidRPr="00E820CA">
        <w:rPr>
          <w:rFonts w:asciiTheme="minorHAnsi" w:eastAsia="Times New Roman" w:hAnsiTheme="minorHAnsi"/>
          <w:i/>
          <w:szCs w:val="20"/>
        </w:rPr>
        <w:t xml:space="preserve">required before discharge 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of </w:t>
      </w:r>
      <w:r w:rsidR="00954817" w:rsidRPr="00E820CA">
        <w:rPr>
          <w:rFonts w:asciiTheme="minorHAnsi" w:eastAsia="Times New Roman" w:hAnsiTheme="minorHAnsi"/>
          <w:i/>
          <w:szCs w:val="20"/>
        </w:rPr>
        <w:t xml:space="preserve">the 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patient </w:t>
      </w:r>
      <w:r w:rsidRPr="00E820CA">
        <w:rPr>
          <w:rFonts w:asciiTheme="minorHAnsi" w:eastAsia="Times New Roman" w:hAnsiTheme="minorHAnsi"/>
          <w:i/>
          <w:szCs w:val="20"/>
        </w:rPr>
        <w:t xml:space="preserve">to </w:t>
      </w:r>
      <w:r w:rsidR="00A66BB4" w:rsidRPr="00E820CA">
        <w:rPr>
          <w:rFonts w:asciiTheme="minorHAnsi" w:eastAsia="Times New Roman" w:hAnsiTheme="minorHAnsi"/>
          <w:i/>
          <w:szCs w:val="20"/>
        </w:rPr>
        <w:t>the</w:t>
      </w:r>
      <w:r w:rsidR="001E7A4B" w:rsidRPr="00E820CA">
        <w:rPr>
          <w:rFonts w:asciiTheme="minorHAnsi" w:eastAsia="Times New Roman" w:hAnsiTheme="minorHAnsi"/>
          <w:i/>
          <w:szCs w:val="20"/>
        </w:rPr>
        <w:t xml:space="preserve"> </w:t>
      </w:r>
      <w:r w:rsidRPr="00E820CA">
        <w:rPr>
          <w:rFonts w:asciiTheme="minorHAnsi" w:eastAsia="Times New Roman" w:hAnsiTheme="minorHAnsi"/>
          <w:i/>
          <w:szCs w:val="20"/>
        </w:rPr>
        <w:t>community</w:t>
      </w:r>
      <w:r w:rsidR="00E820CA">
        <w:rPr>
          <w:rFonts w:asciiTheme="minorHAnsi" w:eastAsia="Times New Roman" w:hAnsiTheme="minorHAnsi"/>
          <w:i/>
          <w:szCs w:val="20"/>
        </w:rPr>
        <w:t xml:space="preserve">, regardless of site of </w:t>
      </w:r>
      <w:r w:rsidR="004C43FC">
        <w:rPr>
          <w:rFonts w:asciiTheme="minorHAnsi" w:eastAsia="Times New Roman" w:hAnsiTheme="minorHAnsi"/>
          <w:i/>
          <w:szCs w:val="20"/>
        </w:rPr>
        <w:t xml:space="preserve">TB </w:t>
      </w:r>
      <w:r w:rsidR="00E820CA">
        <w:rPr>
          <w:rFonts w:asciiTheme="minorHAnsi" w:eastAsia="Times New Roman" w:hAnsiTheme="minorHAnsi"/>
          <w:i/>
          <w:szCs w:val="20"/>
        </w:rPr>
        <w:t>disease</w:t>
      </w:r>
      <w:r w:rsidRPr="00E820CA">
        <w:rPr>
          <w:rFonts w:asciiTheme="minorHAnsi" w:eastAsia="Times New Roman" w:hAnsiTheme="minorHAnsi"/>
          <w:i/>
          <w:szCs w:val="20"/>
        </w:rPr>
        <w:t xml:space="preserve">. </w:t>
      </w:r>
      <w:r w:rsidR="004C43FC">
        <w:rPr>
          <w:rFonts w:asciiTheme="minorHAnsi" w:hAnsiTheme="minorHAnsi" w:cs="Arial"/>
          <w:i/>
        </w:rPr>
        <w:t>However, p</w:t>
      </w:r>
      <w:r w:rsidR="001F15F1" w:rsidRPr="001C2B61">
        <w:rPr>
          <w:rFonts w:asciiTheme="minorHAnsi" w:hAnsiTheme="minorHAnsi" w:cs="Arial"/>
          <w:i/>
        </w:rPr>
        <w:t>ersons with suspected extra-pulmonary tuberculosis</w:t>
      </w:r>
      <w:r w:rsidR="004C43FC">
        <w:rPr>
          <w:rFonts w:asciiTheme="minorHAnsi" w:hAnsiTheme="minorHAnsi" w:cs="Arial"/>
          <w:i/>
        </w:rPr>
        <w:t>,</w:t>
      </w:r>
      <w:r w:rsidR="001F15F1" w:rsidRPr="001C2B61">
        <w:rPr>
          <w:rFonts w:asciiTheme="minorHAnsi" w:hAnsiTheme="minorHAnsi" w:cs="Arial"/>
          <w:i/>
        </w:rPr>
        <w:t xml:space="preserve"> who have been ruled out for pulmonary tuberculosis</w:t>
      </w:r>
      <w:r w:rsidR="004C43FC">
        <w:rPr>
          <w:rFonts w:asciiTheme="minorHAnsi" w:hAnsiTheme="minorHAnsi" w:cs="Arial"/>
          <w:i/>
        </w:rPr>
        <w:t>,</w:t>
      </w:r>
      <w:r w:rsidR="001F15F1" w:rsidRPr="001C2B61">
        <w:rPr>
          <w:rFonts w:asciiTheme="minorHAnsi" w:hAnsiTheme="minorHAnsi" w:cs="Arial"/>
          <w:i/>
        </w:rPr>
        <w:t xml:space="preserve"> generally are not infectious.</w:t>
      </w:r>
    </w:p>
    <w:p w14:paraId="57677E6D" w14:textId="77777777" w:rsidR="00206712" w:rsidRDefault="00206712" w:rsidP="00456CE7">
      <w:pPr>
        <w:rPr>
          <w:rFonts w:asciiTheme="minorHAnsi" w:eastAsia="Times New Roman" w:hAnsiTheme="minorHAnsi"/>
          <w:szCs w:val="20"/>
        </w:rPr>
      </w:pPr>
    </w:p>
    <w:p w14:paraId="7104E187" w14:textId="6CE67B67" w:rsidR="00034D74" w:rsidRDefault="00C50109" w:rsidP="00456CE7">
      <w:p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 xml:space="preserve">Essential elements </w:t>
      </w:r>
      <w:r w:rsidR="00034D74">
        <w:rPr>
          <w:rFonts w:asciiTheme="minorHAnsi" w:eastAsia="Times New Roman" w:hAnsiTheme="minorHAnsi"/>
          <w:szCs w:val="20"/>
        </w:rPr>
        <w:t xml:space="preserve">for discharge planning for </w:t>
      </w:r>
      <w:r w:rsidR="00034D74" w:rsidRPr="00EC5465">
        <w:rPr>
          <w:rFonts w:asciiTheme="minorHAnsi" w:eastAsia="Times New Roman" w:hAnsiTheme="minorHAnsi"/>
          <w:szCs w:val="20"/>
          <w:u w:val="single"/>
        </w:rPr>
        <w:t xml:space="preserve">all </w:t>
      </w:r>
      <w:r w:rsidR="004808FE">
        <w:rPr>
          <w:rFonts w:asciiTheme="minorHAnsi" w:eastAsia="Times New Roman" w:hAnsiTheme="minorHAnsi"/>
          <w:szCs w:val="20"/>
          <w:u w:val="single"/>
        </w:rPr>
        <w:t xml:space="preserve">hospitalized </w:t>
      </w:r>
      <w:r w:rsidR="00034D74" w:rsidRPr="00EC5465">
        <w:rPr>
          <w:rFonts w:asciiTheme="minorHAnsi" w:eastAsia="Times New Roman" w:hAnsiTheme="minorHAnsi"/>
          <w:szCs w:val="20"/>
          <w:u w:val="single"/>
        </w:rPr>
        <w:t>patients</w:t>
      </w:r>
      <w:r w:rsidR="00034D74">
        <w:rPr>
          <w:rFonts w:asciiTheme="minorHAnsi" w:eastAsia="Times New Roman" w:hAnsiTheme="minorHAnsi"/>
          <w:szCs w:val="20"/>
        </w:rPr>
        <w:t>:</w:t>
      </w:r>
    </w:p>
    <w:p w14:paraId="634CFCBD" w14:textId="77777777" w:rsidR="00034D74" w:rsidRDefault="00034D74" w:rsidP="00456CE7">
      <w:pPr>
        <w:rPr>
          <w:rFonts w:asciiTheme="minorHAnsi" w:eastAsia="Times New Roman" w:hAnsiTheme="minorHAnsi"/>
          <w:szCs w:val="20"/>
        </w:rPr>
      </w:pPr>
    </w:p>
    <w:p w14:paraId="1B88D2E0" w14:textId="424FD68A" w:rsidR="00034D74" w:rsidRDefault="00034D74" w:rsidP="006A17E7">
      <w:pPr>
        <w:pStyle w:val="ListParagraph"/>
        <w:numPr>
          <w:ilvl w:val="0"/>
          <w:numId w:val="14"/>
        </w:num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 xml:space="preserve">Hospital </w:t>
      </w:r>
      <w:r w:rsidR="00C50109">
        <w:rPr>
          <w:rFonts w:asciiTheme="minorHAnsi" w:eastAsia="Times New Roman" w:hAnsiTheme="minorHAnsi"/>
          <w:szCs w:val="20"/>
        </w:rPr>
        <w:t xml:space="preserve">staff </w:t>
      </w:r>
      <w:r>
        <w:rPr>
          <w:rFonts w:asciiTheme="minorHAnsi" w:eastAsia="Times New Roman" w:hAnsiTheme="minorHAnsi"/>
          <w:szCs w:val="20"/>
        </w:rPr>
        <w:t xml:space="preserve">and </w:t>
      </w:r>
      <w:r w:rsidR="00A66BB4">
        <w:rPr>
          <w:rFonts w:asciiTheme="minorHAnsi" w:eastAsia="Times New Roman" w:hAnsiTheme="minorHAnsi"/>
          <w:szCs w:val="20"/>
        </w:rPr>
        <w:t xml:space="preserve">the </w:t>
      </w:r>
      <w:r>
        <w:rPr>
          <w:rFonts w:asciiTheme="minorHAnsi" w:eastAsia="Times New Roman" w:hAnsiTheme="minorHAnsi"/>
          <w:szCs w:val="20"/>
        </w:rPr>
        <w:t>local public health nurse case manager participate in</w:t>
      </w:r>
      <w:r w:rsidR="004C43FC">
        <w:rPr>
          <w:rFonts w:asciiTheme="minorHAnsi" w:eastAsia="Times New Roman" w:hAnsiTheme="minorHAnsi"/>
          <w:szCs w:val="20"/>
        </w:rPr>
        <w:t>,</w:t>
      </w:r>
      <w:r>
        <w:rPr>
          <w:rFonts w:asciiTheme="minorHAnsi" w:eastAsia="Times New Roman" w:hAnsiTheme="minorHAnsi"/>
          <w:szCs w:val="20"/>
        </w:rPr>
        <w:t xml:space="preserve"> and agree upon</w:t>
      </w:r>
      <w:r w:rsidR="004C43FC">
        <w:rPr>
          <w:rFonts w:asciiTheme="minorHAnsi" w:eastAsia="Times New Roman" w:hAnsiTheme="minorHAnsi"/>
          <w:szCs w:val="20"/>
        </w:rPr>
        <w:t>,</w:t>
      </w:r>
      <w:r>
        <w:rPr>
          <w:rFonts w:asciiTheme="minorHAnsi" w:eastAsia="Times New Roman" w:hAnsiTheme="minorHAnsi"/>
          <w:szCs w:val="20"/>
        </w:rPr>
        <w:t xml:space="preserve"> the discharge plan.</w:t>
      </w:r>
      <w:r w:rsidR="00C50109">
        <w:rPr>
          <w:rFonts w:asciiTheme="minorHAnsi" w:eastAsia="Times New Roman" w:hAnsiTheme="minorHAnsi"/>
          <w:szCs w:val="20"/>
        </w:rPr>
        <w:t xml:space="preserve"> Early collaboration with state and local public health can expedite the formulation of the discharge plan.</w:t>
      </w:r>
    </w:p>
    <w:p w14:paraId="6B0EAAA6" w14:textId="6D863783" w:rsidR="00034D74" w:rsidRPr="003E11A2" w:rsidRDefault="00034D74" w:rsidP="006A17E7">
      <w:pPr>
        <w:pStyle w:val="ListParagraph"/>
        <w:numPr>
          <w:ilvl w:val="0"/>
          <w:numId w:val="14"/>
        </w:num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 xml:space="preserve">A </w:t>
      </w:r>
      <w:r w:rsidR="00201C0B">
        <w:rPr>
          <w:rFonts w:asciiTheme="minorHAnsi" w:eastAsia="Times New Roman" w:hAnsiTheme="minorHAnsi"/>
          <w:szCs w:val="20"/>
        </w:rPr>
        <w:t>p</w:t>
      </w:r>
      <w:r>
        <w:rPr>
          <w:rFonts w:asciiTheme="minorHAnsi" w:eastAsia="Times New Roman" w:hAnsiTheme="minorHAnsi"/>
          <w:szCs w:val="20"/>
        </w:rPr>
        <w:t xml:space="preserve">re-discharge home evaluation </w:t>
      </w:r>
      <w:r w:rsidR="00C50109">
        <w:rPr>
          <w:rFonts w:asciiTheme="minorHAnsi" w:eastAsia="Times New Roman" w:hAnsiTheme="minorHAnsi"/>
          <w:szCs w:val="20"/>
        </w:rPr>
        <w:t>by the local public health nurse</w:t>
      </w:r>
      <w:r w:rsidR="001F15F1">
        <w:rPr>
          <w:rFonts w:asciiTheme="minorHAnsi" w:eastAsia="Times New Roman" w:hAnsiTheme="minorHAnsi"/>
          <w:szCs w:val="20"/>
        </w:rPr>
        <w:t xml:space="preserve"> case</w:t>
      </w:r>
      <w:r w:rsidR="00C50109">
        <w:rPr>
          <w:rFonts w:asciiTheme="minorHAnsi" w:eastAsia="Times New Roman" w:hAnsiTheme="minorHAnsi"/>
          <w:szCs w:val="20"/>
        </w:rPr>
        <w:t xml:space="preserve"> manager </w:t>
      </w:r>
      <w:r w:rsidR="001E7A4B">
        <w:rPr>
          <w:rFonts w:asciiTheme="minorHAnsi" w:eastAsia="Times New Roman" w:hAnsiTheme="minorHAnsi"/>
          <w:szCs w:val="20"/>
        </w:rPr>
        <w:t xml:space="preserve">is </w:t>
      </w:r>
      <w:r w:rsidR="00C50109">
        <w:rPr>
          <w:rFonts w:asciiTheme="minorHAnsi" w:eastAsia="Times New Roman" w:hAnsiTheme="minorHAnsi"/>
          <w:szCs w:val="20"/>
        </w:rPr>
        <w:t>conducted</w:t>
      </w:r>
      <w:r w:rsidR="001E7A4B">
        <w:rPr>
          <w:rFonts w:asciiTheme="minorHAnsi" w:eastAsia="Times New Roman" w:hAnsiTheme="minorHAnsi"/>
          <w:szCs w:val="20"/>
        </w:rPr>
        <w:t xml:space="preserve"> </w:t>
      </w:r>
      <w:r>
        <w:rPr>
          <w:rFonts w:asciiTheme="minorHAnsi" w:eastAsia="Times New Roman" w:hAnsiTheme="minorHAnsi"/>
          <w:szCs w:val="20"/>
        </w:rPr>
        <w:t xml:space="preserve">to </w:t>
      </w:r>
      <w:r w:rsidR="00201C0B">
        <w:rPr>
          <w:rFonts w:asciiTheme="minorHAnsi" w:eastAsia="Times New Roman" w:hAnsiTheme="minorHAnsi"/>
          <w:szCs w:val="20"/>
        </w:rPr>
        <w:t xml:space="preserve">confirm </w:t>
      </w:r>
      <w:r>
        <w:rPr>
          <w:rFonts w:asciiTheme="minorHAnsi" w:eastAsia="Times New Roman" w:hAnsiTheme="minorHAnsi"/>
          <w:szCs w:val="20"/>
        </w:rPr>
        <w:t xml:space="preserve">the </w:t>
      </w:r>
      <w:r w:rsidR="00C50109">
        <w:rPr>
          <w:rFonts w:asciiTheme="minorHAnsi" w:eastAsia="Times New Roman" w:hAnsiTheme="minorHAnsi"/>
          <w:szCs w:val="20"/>
        </w:rPr>
        <w:t xml:space="preserve">discharge </w:t>
      </w:r>
      <w:r>
        <w:rPr>
          <w:rFonts w:asciiTheme="minorHAnsi" w:eastAsia="Times New Roman" w:hAnsiTheme="minorHAnsi"/>
          <w:szCs w:val="20"/>
        </w:rPr>
        <w:t>address</w:t>
      </w:r>
      <w:r w:rsidR="00A1181C">
        <w:rPr>
          <w:rFonts w:asciiTheme="minorHAnsi" w:eastAsia="Times New Roman" w:hAnsiTheme="minorHAnsi"/>
          <w:szCs w:val="20"/>
        </w:rPr>
        <w:t xml:space="preserve"> and assess the appropriateness for the patient.  Note that for patients with pulmonary or laryngeal TB, a more comprehensive home evaluation is required (see below).</w:t>
      </w:r>
      <w:r w:rsidRPr="003E11A2">
        <w:rPr>
          <w:rFonts w:asciiTheme="minorHAnsi" w:eastAsia="Times New Roman" w:hAnsiTheme="minorHAnsi"/>
          <w:szCs w:val="20"/>
        </w:rPr>
        <w:t xml:space="preserve"> </w:t>
      </w:r>
    </w:p>
    <w:p w14:paraId="0E3BF313" w14:textId="398C769B" w:rsidR="00C50109" w:rsidRDefault="00C50109" w:rsidP="006A17E7">
      <w:pPr>
        <w:pStyle w:val="ListParagraph"/>
        <w:numPr>
          <w:ilvl w:val="0"/>
          <w:numId w:val="14"/>
        </w:num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 xml:space="preserve">The hospital is responsible for arranging the first outpatient </w:t>
      </w:r>
      <w:r w:rsidRPr="00206712">
        <w:rPr>
          <w:rFonts w:asciiTheme="minorHAnsi" w:eastAsia="Times New Roman" w:hAnsiTheme="minorHAnsi"/>
          <w:szCs w:val="20"/>
        </w:rPr>
        <w:t>TB appointment</w:t>
      </w:r>
      <w:r>
        <w:rPr>
          <w:rFonts w:asciiTheme="minorHAnsi" w:eastAsia="Times New Roman" w:hAnsiTheme="minorHAnsi"/>
          <w:szCs w:val="20"/>
        </w:rPr>
        <w:t xml:space="preserve"> with a qualified provider prior to the patient’s discharge.</w:t>
      </w:r>
      <w:r w:rsidR="00E820CA">
        <w:rPr>
          <w:rFonts w:asciiTheme="minorHAnsi" w:eastAsia="Times New Roman" w:hAnsiTheme="minorHAnsi"/>
          <w:szCs w:val="20"/>
        </w:rPr>
        <w:t xml:space="preserve"> </w:t>
      </w:r>
      <w:r>
        <w:rPr>
          <w:rFonts w:asciiTheme="minorHAnsi" w:eastAsia="Times New Roman" w:hAnsiTheme="minorHAnsi"/>
          <w:szCs w:val="20"/>
        </w:rPr>
        <w:t xml:space="preserve"> </w:t>
      </w:r>
      <w:r w:rsidR="00E820CA">
        <w:rPr>
          <w:rFonts w:asciiTheme="minorHAnsi" w:eastAsia="Times New Roman" w:hAnsiTheme="minorHAnsi"/>
          <w:szCs w:val="20"/>
        </w:rPr>
        <w:t xml:space="preserve">To meet standards of care, this visit usually occurs within </w:t>
      </w:r>
      <w:r w:rsidR="001F15F1">
        <w:rPr>
          <w:rFonts w:asciiTheme="minorHAnsi" w:eastAsia="Times New Roman" w:hAnsiTheme="minorHAnsi"/>
          <w:szCs w:val="20"/>
        </w:rPr>
        <w:t>one</w:t>
      </w:r>
      <w:r w:rsidR="00E820CA">
        <w:rPr>
          <w:rFonts w:asciiTheme="minorHAnsi" w:eastAsia="Times New Roman" w:hAnsiTheme="minorHAnsi"/>
          <w:szCs w:val="20"/>
        </w:rPr>
        <w:t xml:space="preserve"> month of discharge.  </w:t>
      </w:r>
      <w:r w:rsidR="00C11074">
        <w:rPr>
          <w:rFonts w:asciiTheme="minorHAnsi" w:eastAsia="Times New Roman" w:hAnsiTheme="minorHAnsi"/>
          <w:szCs w:val="20"/>
        </w:rPr>
        <w:t xml:space="preserve">Information on state-supported TB clinics is available at </w:t>
      </w:r>
      <w:hyperlink r:id="rId12" w:history="1">
        <w:r w:rsidR="00BC65FE" w:rsidRPr="004808FE">
          <w:rPr>
            <w:rStyle w:val="Hyperlink"/>
            <w:rFonts w:asciiTheme="minorHAnsi" w:hAnsiTheme="minorHAnsi" w:cstheme="minorHAnsi"/>
          </w:rPr>
          <w:t>https://www.mass.gov/service-details/massachusetts-tb-outpatient-services</w:t>
        </w:r>
      </w:hyperlink>
      <w:r w:rsidR="00BC65FE">
        <w:t xml:space="preserve"> </w:t>
      </w:r>
      <w:r w:rsidR="00764998" w:rsidRPr="003D3C0D">
        <w:rPr>
          <w:rFonts w:ascii="Calibri" w:hAnsi="Calibri" w:cs="Calibri"/>
        </w:rPr>
        <w:t xml:space="preserve">for patients who will be followed by a state TB clinic provider. </w:t>
      </w:r>
    </w:p>
    <w:p w14:paraId="2CB582E4" w14:textId="3FCAE8E9" w:rsidR="00034D74" w:rsidRDefault="00034D74" w:rsidP="006A17E7">
      <w:pPr>
        <w:pStyle w:val="ListParagraph"/>
        <w:numPr>
          <w:ilvl w:val="0"/>
          <w:numId w:val="14"/>
        </w:numPr>
        <w:rPr>
          <w:rFonts w:asciiTheme="minorHAnsi" w:eastAsia="Times New Roman" w:hAnsiTheme="minorHAnsi"/>
          <w:szCs w:val="20"/>
        </w:rPr>
      </w:pPr>
      <w:r>
        <w:rPr>
          <w:rFonts w:asciiTheme="minorHAnsi" w:eastAsia="Times New Roman" w:hAnsiTheme="minorHAnsi"/>
          <w:szCs w:val="20"/>
        </w:rPr>
        <w:t xml:space="preserve">The hospital </w:t>
      </w:r>
      <w:r w:rsidR="00C50109">
        <w:rPr>
          <w:rFonts w:asciiTheme="minorHAnsi" w:eastAsia="Times New Roman" w:hAnsiTheme="minorHAnsi"/>
          <w:szCs w:val="20"/>
        </w:rPr>
        <w:t>is responsible for providing the patient with adequate TB</w:t>
      </w:r>
      <w:r>
        <w:rPr>
          <w:rFonts w:asciiTheme="minorHAnsi" w:eastAsia="Times New Roman" w:hAnsiTheme="minorHAnsi"/>
          <w:szCs w:val="20"/>
        </w:rPr>
        <w:t xml:space="preserve"> medications </w:t>
      </w:r>
      <w:r w:rsidRPr="004355B5">
        <w:rPr>
          <w:rFonts w:asciiTheme="minorHAnsi" w:eastAsia="Times New Roman" w:hAnsiTheme="minorHAnsi"/>
          <w:b/>
          <w:szCs w:val="20"/>
          <w:u w:val="single"/>
        </w:rPr>
        <w:t>in hand</w:t>
      </w:r>
      <w:r>
        <w:rPr>
          <w:rFonts w:asciiTheme="minorHAnsi" w:eastAsia="Times New Roman" w:hAnsiTheme="minorHAnsi"/>
          <w:szCs w:val="20"/>
        </w:rPr>
        <w:t xml:space="preserve"> </w:t>
      </w:r>
      <w:r w:rsidR="00C50109">
        <w:rPr>
          <w:rFonts w:asciiTheme="minorHAnsi" w:eastAsia="Times New Roman" w:hAnsiTheme="minorHAnsi"/>
          <w:szCs w:val="20"/>
        </w:rPr>
        <w:t xml:space="preserve">to last </w:t>
      </w:r>
      <w:r>
        <w:rPr>
          <w:rFonts w:asciiTheme="minorHAnsi" w:eastAsia="Times New Roman" w:hAnsiTheme="minorHAnsi"/>
          <w:szCs w:val="20"/>
        </w:rPr>
        <w:t xml:space="preserve">until </w:t>
      </w:r>
      <w:r w:rsidR="00DF0DE9">
        <w:rPr>
          <w:rFonts w:asciiTheme="minorHAnsi" w:eastAsia="Times New Roman" w:hAnsiTheme="minorHAnsi"/>
          <w:szCs w:val="20"/>
        </w:rPr>
        <w:t>the</w:t>
      </w:r>
      <w:r>
        <w:rPr>
          <w:rFonts w:asciiTheme="minorHAnsi" w:eastAsia="Times New Roman" w:hAnsiTheme="minorHAnsi"/>
          <w:szCs w:val="20"/>
        </w:rPr>
        <w:t xml:space="preserve"> </w:t>
      </w:r>
      <w:r w:rsidR="00C50109">
        <w:rPr>
          <w:rFonts w:asciiTheme="minorHAnsi" w:eastAsia="Times New Roman" w:hAnsiTheme="minorHAnsi"/>
          <w:szCs w:val="20"/>
        </w:rPr>
        <w:t>outpatient</w:t>
      </w:r>
      <w:r>
        <w:rPr>
          <w:rFonts w:asciiTheme="minorHAnsi" w:eastAsia="Times New Roman" w:hAnsiTheme="minorHAnsi"/>
          <w:szCs w:val="20"/>
        </w:rPr>
        <w:t xml:space="preserve"> TB appointment. Providing</w:t>
      </w:r>
      <w:r w:rsidR="00C50109">
        <w:rPr>
          <w:rFonts w:asciiTheme="minorHAnsi" w:eastAsia="Times New Roman" w:hAnsiTheme="minorHAnsi"/>
          <w:szCs w:val="20"/>
        </w:rPr>
        <w:t xml:space="preserve"> patients with</w:t>
      </w:r>
      <w:r>
        <w:rPr>
          <w:rFonts w:asciiTheme="minorHAnsi" w:eastAsia="Times New Roman" w:hAnsiTheme="minorHAnsi"/>
          <w:szCs w:val="20"/>
        </w:rPr>
        <w:t xml:space="preserve"> written prescriptions </w:t>
      </w:r>
      <w:r w:rsidR="00DF0DE9">
        <w:rPr>
          <w:rFonts w:asciiTheme="minorHAnsi" w:eastAsia="Times New Roman" w:hAnsiTheme="minorHAnsi"/>
          <w:szCs w:val="20"/>
        </w:rPr>
        <w:t xml:space="preserve">at the time of discharge is not </w:t>
      </w:r>
      <w:r w:rsidR="004C43FC">
        <w:rPr>
          <w:rFonts w:asciiTheme="minorHAnsi" w:eastAsia="Times New Roman" w:hAnsiTheme="minorHAnsi"/>
          <w:szCs w:val="20"/>
        </w:rPr>
        <w:t xml:space="preserve">considered </w:t>
      </w:r>
      <w:r w:rsidR="00DF0DE9">
        <w:rPr>
          <w:rFonts w:asciiTheme="minorHAnsi" w:eastAsia="Times New Roman" w:hAnsiTheme="minorHAnsi"/>
          <w:szCs w:val="20"/>
        </w:rPr>
        <w:t>acceptable</w:t>
      </w:r>
      <w:r>
        <w:rPr>
          <w:rFonts w:asciiTheme="minorHAnsi" w:eastAsia="Times New Roman" w:hAnsiTheme="minorHAnsi"/>
          <w:szCs w:val="20"/>
        </w:rPr>
        <w:t>.</w:t>
      </w:r>
    </w:p>
    <w:p w14:paraId="0034D33A" w14:textId="77777777" w:rsidR="00C11074" w:rsidRDefault="00C11074" w:rsidP="00206712">
      <w:pPr>
        <w:rPr>
          <w:rFonts w:asciiTheme="minorHAnsi" w:eastAsia="Times New Roman" w:hAnsiTheme="minorHAnsi"/>
          <w:szCs w:val="20"/>
        </w:rPr>
      </w:pPr>
    </w:p>
    <w:p w14:paraId="53966C2D" w14:textId="4F82DB9B" w:rsidR="00054012" w:rsidRDefault="00034D74" w:rsidP="00206712">
      <w:pPr>
        <w:rPr>
          <w:rFonts w:asciiTheme="minorHAnsi" w:hAnsiTheme="minorHAnsi"/>
        </w:rPr>
      </w:pPr>
      <w:r w:rsidRPr="00206712">
        <w:rPr>
          <w:rFonts w:asciiTheme="minorHAnsi" w:hAnsiTheme="minorHAnsi"/>
        </w:rPr>
        <w:t>The</w:t>
      </w:r>
      <w:r w:rsidR="00C11074">
        <w:rPr>
          <w:rFonts w:asciiTheme="minorHAnsi" w:hAnsiTheme="minorHAnsi"/>
        </w:rPr>
        <w:t>se</w:t>
      </w:r>
      <w:r w:rsidRPr="00206712">
        <w:rPr>
          <w:rFonts w:asciiTheme="minorHAnsi" w:hAnsiTheme="minorHAnsi"/>
        </w:rPr>
        <w:t xml:space="preserve"> </w:t>
      </w:r>
      <w:r w:rsidR="00C11074">
        <w:rPr>
          <w:rFonts w:asciiTheme="minorHAnsi" w:hAnsiTheme="minorHAnsi"/>
        </w:rPr>
        <w:t>element</w:t>
      </w:r>
      <w:r w:rsidR="00EC5465" w:rsidRPr="00206712">
        <w:rPr>
          <w:rFonts w:asciiTheme="minorHAnsi" w:hAnsiTheme="minorHAnsi"/>
        </w:rPr>
        <w:t>s for discharge</w:t>
      </w:r>
      <w:r w:rsidR="00C11074">
        <w:rPr>
          <w:rFonts w:asciiTheme="minorHAnsi" w:hAnsiTheme="minorHAnsi"/>
        </w:rPr>
        <w:t xml:space="preserve"> planning</w:t>
      </w:r>
      <w:r w:rsidR="00EC5465" w:rsidRPr="00206712">
        <w:rPr>
          <w:rFonts w:asciiTheme="minorHAnsi" w:hAnsiTheme="minorHAnsi"/>
        </w:rPr>
        <w:t xml:space="preserve"> are the same whether the patient is planning to </w:t>
      </w:r>
      <w:r w:rsidR="00BC65FE" w:rsidRPr="00206712">
        <w:rPr>
          <w:rFonts w:asciiTheme="minorHAnsi" w:hAnsiTheme="minorHAnsi"/>
        </w:rPr>
        <w:t>receive</w:t>
      </w:r>
      <w:r w:rsidR="00BC65FE">
        <w:rPr>
          <w:rFonts w:asciiTheme="minorHAnsi" w:hAnsiTheme="minorHAnsi"/>
        </w:rPr>
        <w:t xml:space="preserve"> </w:t>
      </w:r>
      <w:r w:rsidR="000344D0">
        <w:rPr>
          <w:rFonts w:asciiTheme="minorHAnsi" w:hAnsiTheme="minorHAnsi"/>
        </w:rPr>
        <w:t>community-based</w:t>
      </w:r>
      <w:r w:rsidR="00BC65FE">
        <w:rPr>
          <w:rFonts w:asciiTheme="minorHAnsi" w:hAnsiTheme="minorHAnsi"/>
        </w:rPr>
        <w:t xml:space="preserve"> </w:t>
      </w:r>
      <w:r w:rsidR="00EC5465" w:rsidRPr="00206712">
        <w:rPr>
          <w:rFonts w:asciiTheme="minorHAnsi" w:hAnsiTheme="minorHAnsi"/>
        </w:rPr>
        <w:t xml:space="preserve">care </w:t>
      </w:r>
      <w:r w:rsidR="004C43FC">
        <w:rPr>
          <w:rFonts w:asciiTheme="minorHAnsi" w:hAnsiTheme="minorHAnsi"/>
        </w:rPr>
        <w:t>from</w:t>
      </w:r>
      <w:r w:rsidR="004C43FC" w:rsidRPr="00206712">
        <w:rPr>
          <w:rFonts w:asciiTheme="minorHAnsi" w:hAnsiTheme="minorHAnsi"/>
        </w:rPr>
        <w:t xml:space="preserve"> </w:t>
      </w:r>
      <w:r w:rsidR="00EC5465" w:rsidRPr="00206712">
        <w:rPr>
          <w:rFonts w:asciiTheme="minorHAnsi" w:hAnsiTheme="minorHAnsi"/>
        </w:rPr>
        <w:t xml:space="preserve">a private provider or through a </w:t>
      </w:r>
      <w:r w:rsidR="00DF0DE9" w:rsidRPr="00206712">
        <w:rPr>
          <w:rFonts w:asciiTheme="minorHAnsi" w:hAnsiTheme="minorHAnsi"/>
        </w:rPr>
        <w:t>s</w:t>
      </w:r>
      <w:r w:rsidR="00EC5465" w:rsidRPr="00206712">
        <w:rPr>
          <w:rFonts w:asciiTheme="minorHAnsi" w:hAnsiTheme="minorHAnsi"/>
        </w:rPr>
        <w:t>tate</w:t>
      </w:r>
      <w:r w:rsidR="00C11074">
        <w:rPr>
          <w:rFonts w:asciiTheme="minorHAnsi" w:hAnsiTheme="minorHAnsi"/>
        </w:rPr>
        <w:t>-supported</w:t>
      </w:r>
      <w:r w:rsidR="00EC5465" w:rsidRPr="00206712">
        <w:rPr>
          <w:rFonts w:asciiTheme="minorHAnsi" w:hAnsiTheme="minorHAnsi"/>
        </w:rPr>
        <w:t xml:space="preserve"> TB </w:t>
      </w:r>
      <w:r w:rsidR="00C11074">
        <w:rPr>
          <w:rFonts w:asciiTheme="minorHAnsi" w:hAnsiTheme="minorHAnsi"/>
        </w:rPr>
        <w:t>c</w:t>
      </w:r>
      <w:r w:rsidR="00EC5465" w:rsidRPr="00206712">
        <w:rPr>
          <w:rFonts w:asciiTheme="minorHAnsi" w:hAnsiTheme="minorHAnsi"/>
        </w:rPr>
        <w:t xml:space="preserve">linic. </w:t>
      </w:r>
      <w:r w:rsidR="00C11074">
        <w:rPr>
          <w:rFonts w:asciiTheme="minorHAnsi" w:hAnsiTheme="minorHAnsi"/>
        </w:rPr>
        <w:t>MDPH</w:t>
      </w:r>
      <w:r w:rsidR="00EC5465" w:rsidRPr="00206712">
        <w:rPr>
          <w:rFonts w:asciiTheme="minorHAnsi" w:hAnsiTheme="minorHAnsi"/>
        </w:rPr>
        <w:t xml:space="preserve"> TB</w:t>
      </w:r>
      <w:r w:rsidR="00C11074">
        <w:rPr>
          <w:rFonts w:asciiTheme="minorHAnsi" w:hAnsiTheme="minorHAnsi"/>
        </w:rPr>
        <w:t xml:space="preserve"> Program staff</w:t>
      </w:r>
      <w:r w:rsidR="00EC5465" w:rsidRPr="00206712">
        <w:rPr>
          <w:rFonts w:asciiTheme="minorHAnsi" w:hAnsiTheme="minorHAnsi"/>
        </w:rPr>
        <w:t xml:space="preserve"> can assist in </w:t>
      </w:r>
      <w:r w:rsidR="004C43FC">
        <w:rPr>
          <w:rFonts w:asciiTheme="minorHAnsi" w:hAnsiTheme="minorHAnsi"/>
        </w:rPr>
        <w:t>identifying</w:t>
      </w:r>
      <w:r w:rsidR="004C43FC" w:rsidRPr="00206712">
        <w:rPr>
          <w:rFonts w:asciiTheme="minorHAnsi" w:hAnsiTheme="minorHAnsi"/>
        </w:rPr>
        <w:t xml:space="preserve"> </w:t>
      </w:r>
      <w:r w:rsidR="00DF0DE9" w:rsidRPr="00206712">
        <w:rPr>
          <w:rFonts w:asciiTheme="minorHAnsi" w:hAnsiTheme="minorHAnsi"/>
        </w:rPr>
        <w:t xml:space="preserve">resources and </w:t>
      </w:r>
      <w:r w:rsidR="00C11074">
        <w:rPr>
          <w:rFonts w:asciiTheme="minorHAnsi" w:hAnsiTheme="minorHAnsi"/>
        </w:rPr>
        <w:t>appropriate foll</w:t>
      </w:r>
      <w:r w:rsidR="00EC5465" w:rsidRPr="00206712">
        <w:rPr>
          <w:rFonts w:asciiTheme="minorHAnsi" w:hAnsiTheme="minorHAnsi"/>
        </w:rPr>
        <w:t xml:space="preserve">ow-up care for the patient. </w:t>
      </w:r>
    </w:p>
    <w:p w14:paraId="244F2C77" w14:textId="5A0BCBC1" w:rsidR="00EC5465" w:rsidRPr="007173C7" w:rsidRDefault="00D9138D" w:rsidP="00EC5465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PLANNING FRAMEWORK: PATIENTS WITH PULMONARY OR LARYNGEAL TB</w:t>
      </w:r>
      <w:r w:rsidR="00EC5465"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C699352" w14:textId="77777777" w:rsidR="00EC5465" w:rsidRDefault="00EC5465" w:rsidP="000B0EB1">
      <w:pPr>
        <w:rPr>
          <w:rFonts w:ascii="Arial" w:hAnsi="Arial" w:cs="Arial"/>
          <w:sz w:val="28"/>
          <w:szCs w:val="28"/>
        </w:rPr>
      </w:pPr>
    </w:p>
    <w:p w14:paraId="49456C35" w14:textId="04473182" w:rsidR="00EC5465" w:rsidRDefault="001A3DBF" w:rsidP="000B0EB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patients with pulmonary or laryngeal TB, </w:t>
      </w:r>
      <w:r w:rsidR="00EC5465" w:rsidRPr="00EC5465">
        <w:rPr>
          <w:rFonts w:asciiTheme="minorHAnsi" w:hAnsiTheme="minorHAnsi" w:cs="Arial"/>
        </w:rPr>
        <w:t xml:space="preserve">additional considerations </w:t>
      </w:r>
      <w:r w:rsidR="00873209">
        <w:rPr>
          <w:rFonts w:asciiTheme="minorHAnsi" w:hAnsiTheme="minorHAnsi" w:cs="Arial"/>
        </w:rPr>
        <w:t xml:space="preserve">must be reviewed and addressed </w:t>
      </w:r>
      <w:r w:rsidR="00EC5465" w:rsidRPr="00EC5465">
        <w:rPr>
          <w:rFonts w:asciiTheme="minorHAnsi" w:hAnsiTheme="minorHAnsi" w:cs="Arial"/>
        </w:rPr>
        <w:t>for discharge</w:t>
      </w:r>
      <w:r>
        <w:rPr>
          <w:rFonts w:asciiTheme="minorHAnsi" w:hAnsiTheme="minorHAnsi" w:cs="Arial"/>
        </w:rPr>
        <w:t xml:space="preserve"> </w:t>
      </w:r>
      <w:r w:rsidRPr="00054012">
        <w:rPr>
          <w:rFonts w:asciiTheme="minorHAnsi" w:hAnsiTheme="minorHAnsi" w:cs="Arial"/>
        </w:rPr>
        <w:t>planning</w:t>
      </w:r>
      <w:r w:rsidR="00EC5465" w:rsidRPr="00054012">
        <w:rPr>
          <w:rFonts w:asciiTheme="minorHAnsi" w:hAnsiTheme="minorHAnsi" w:cs="Arial"/>
        </w:rPr>
        <w:t>.</w:t>
      </w:r>
      <w:r w:rsidR="00873209">
        <w:rPr>
          <w:rFonts w:asciiTheme="minorHAnsi" w:hAnsiTheme="minorHAnsi" w:cs="Arial"/>
        </w:rPr>
        <w:t xml:space="preserve"> These include the </w:t>
      </w:r>
      <w:r w:rsidR="001F15F1">
        <w:rPr>
          <w:rFonts w:asciiTheme="minorHAnsi" w:hAnsiTheme="minorHAnsi" w:cs="Arial"/>
        </w:rPr>
        <w:t xml:space="preserve">patient’s </w:t>
      </w:r>
      <w:r w:rsidR="00873209">
        <w:rPr>
          <w:rFonts w:asciiTheme="minorHAnsi" w:hAnsiTheme="minorHAnsi" w:cs="Arial"/>
        </w:rPr>
        <w:t xml:space="preserve">clinical </w:t>
      </w:r>
      <w:r w:rsidR="004C43FC">
        <w:rPr>
          <w:rFonts w:asciiTheme="minorHAnsi" w:hAnsiTheme="minorHAnsi" w:cs="Arial"/>
        </w:rPr>
        <w:t>status</w:t>
      </w:r>
      <w:r w:rsidR="001F15F1">
        <w:rPr>
          <w:rFonts w:asciiTheme="minorHAnsi" w:hAnsiTheme="minorHAnsi" w:cs="Arial"/>
        </w:rPr>
        <w:t xml:space="preserve"> and</w:t>
      </w:r>
      <w:r w:rsidR="00873209">
        <w:rPr>
          <w:rFonts w:asciiTheme="minorHAnsi" w:hAnsiTheme="minorHAnsi" w:cs="Arial"/>
        </w:rPr>
        <w:t xml:space="preserve"> post-discharge setting</w:t>
      </w:r>
      <w:r w:rsidR="004C43FC">
        <w:rPr>
          <w:rFonts w:asciiTheme="minorHAnsi" w:hAnsiTheme="minorHAnsi" w:cs="Arial"/>
        </w:rPr>
        <w:t>,</w:t>
      </w:r>
      <w:r w:rsidR="001F15F1">
        <w:rPr>
          <w:rFonts w:asciiTheme="minorHAnsi" w:hAnsiTheme="minorHAnsi" w:cs="Arial"/>
        </w:rPr>
        <w:t xml:space="preserve"> as well as</w:t>
      </w:r>
      <w:r w:rsidR="00873209">
        <w:rPr>
          <w:rFonts w:asciiTheme="minorHAnsi" w:hAnsiTheme="minorHAnsi" w:cs="Arial"/>
        </w:rPr>
        <w:t xml:space="preserve"> person</w:t>
      </w:r>
      <w:r w:rsidR="001F15F1">
        <w:rPr>
          <w:rFonts w:asciiTheme="minorHAnsi" w:hAnsiTheme="minorHAnsi" w:cs="Arial"/>
        </w:rPr>
        <w:t>-level factors</w:t>
      </w:r>
      <w:r w:rsidR="00873209">
        <w:rPr>
          <w:rFonts w:asciiTheme="minorHAnsi" w:hAnsiTheme="minorHAnsi" w:cs="Arial"/>
        </w:rPr>
        <w:t>.</w:t>
      </w:r>
      <w:r w:rsidR="00054012" w:rsidRPr="00021777">
        <w:rPr>
          <w:rFonts w:asciiTheme="minorHAnsi" w:hAnsiTheme="minorHAnsi" w:cs="Arial"/>
        </w:rPr>
        <w:t xml:space="preserve">  </w:t>
      </w:r>
    </w:p>
    <w:p w14:paraId="47B98120" w14:textId="77777777" w:rsidR="00181AE6" w:rsidRDefault="00181AE6" w:rsidP="000B0EB1">
      <w:pPr>
        <w:rPr>
          <w:rFonts w:asciiTheme="minorHAnsi" w:hAnsiTheme="minorHAnsi" w:cs="Arial"/>
        </w:rPr>
      </w:pPr>
    </w:p>
    <w:p w14:paraId="4BCA68BD" w14:textId="77777777" w:rsidR="00E65552" w:rsidRDefault="00E65552" w:rsidP="00E65552">
      <w:pPr>
        <w:pStyle w:val="ListParagraph"/>
        <w:numPr>
          <w:ilvl w:val="0"/>
          <w:numId w:val="2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Clinical Presentation</w:t>
      </w:r>
    </w:p>
    <w:p w14:paraId="2F20E8BD" w14:textId="77777777" w:rsidR="00E65552" w:rsidRDefault="00E65552" w:rsidP="00E65552">
      <w:pPr>
        <w:ind w:left="360"/>
        <w:rPr>
          <w:rFonts w:asciiTheme="minorHAnsi" w:hAnsiTheme="minorHAnsi"/>
          <w:b/>
        </w:rPr>
      </w:pPr>
    </w:p>
    <w:p w14:paraId="75881489" w14:textId="311E50DF" w:rsidR="00E65552" w:rsidRDefault="00E65552" w:rsidP="00E65552">
      <w:pPr>
        <w:ind w:left="720"/>
        <w:rPr>
          <w:rFonts w:asciiTheme="minorHAnsi" w:hAnsiTheme="minorHAnsi"/>
        </w:rPr>
      </w:pPr>
      <w:r w:rsidRPr="005C59B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patient’s clinical </w:t>
      </w:r>
      <w:r w:rsidR="004C43FC">
        <w:rPr>
          <w:rFonts w:asciiTheme="minorHAnsi" w:hAnsiTheme="minorHAnsi"/>
        </w:rPr>
        <w:t>status</w:t>
      </w:r>
      <w:r>
        <w:rPr>
          <w:rFonts w:asciiTheme="minorHAnsi" w:hAnsiTheme="minorHAnsi"/>
        </w:rPr>
        <w:t>, including infectiousness</w:t>
      </w:r>
      <w:r w:rsidR="004C43F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</w:t>
      </w:r>
      <w:r w:rsidR="004C43FC">
        <w:rPr>
          <w:rFonts w:asciiTheme="minorHAnsi" w:hAnsiTheme="minorHAnsi"/>
        </w:rPr>
        <w:t xml:space="preserve">identified and possible infecting organism </w:t>
      </w:r>
      <w:r>
        <w:rPr>
          <w:rFonts w:asciiTheme="minorHAnsi" w:hAnsiTheme="minorHAnsi"/>
        </w:rPr>
        <w:t>drug resistance</w:t>
      </w:r>
      <w:r w:rsidR="00E518D4">
        <w:rPr>
          <w:rFonts w:asciiTheme="minorHAnsi" w:hAnsiTheme="minorHAnsi"/>
        </w:rPr>
        <w:t xml:space="preserve"> pattern, </w:t>
      </w:r>
      <w:r w:rsidR="0074586A">
        <w:rPr>
          <w:rFonts w:asciiTheme="minorHAnsi" w:hAnsiTheme="minorHAnsi"/>
        </w:rPr>
        <w:t>will inform the pre- and post-discharge process.  These are reviewed below.</w:t>
      </w:r>
    </w:p>
    <w:p w14:paraId="73364A02" w14:textId="77777777" w:rsidR="00E518D4" w:rsidRPr="005C59B4" w:rsidRDefault="00E518D4" w:rsidP="00E65552">
      <w:pPr>
        <w:ind w:left="720"/>
        <w:rPr>
          <w:rFonts w:asciiTheme="minorHAnsi" w:hAnsiTheme="minorHAnsi"/>
        </w:rPr>
      </w:pPr>
    </w:p>
    <w:p w14:paraId="0088D245" w14:textId="40465B03" w:rsidR="00E65552" w:rsidRPr="005004F5" w:rsidRDefault="00E65552" w:rsidP="00E65552">
      <w:pPr>
        <w:numPr>
          <w:ilvl w:val="0"/>
          <w:numId w:val="1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Sputum </w:t>
      </w:r>
      <w:r w:rsidRPr="00197AEF">
        <w:rPr>
          <w:rFonts w:asciiTheme="minorHAnsi" w:hAnsiTheme="minorHAnsi"/>
          <w:b/>
        </w:rPr>
        <w:t xml:space="preserve">AFB smear-positive, but not </w:t>
      </w:r>
      <w:r>
        <w:rPr>
          <w:rFonts w:asciiTheme="minorHAnsi" w:hAnsiTheme="minorHAnsi"/>
          <w:b/>
        </w:rPr>
        <w:t xml:space="preserve">with </w:t>
      </w:r>
      <w:r w:rsidR="004C43FC">
        <w:rPr>
          <w:rFonts w:asciiTheme="minorHAnsi" w:hAnsiTheme="minorHAnsi"/>
          <w:b/>
        </w:rPr>
        <w:t>identified or suspected</w:t>
      </w:r>
      <w:r w:rsidRPr="00197AEF">
        <w:rPr>
          <w:rFonts w:asciiTheme="minorHAnsi" w:hAnsiTheme="minorHAnsi"/>
          <w:b/>
        </w:rPr>
        <w:t xml:space="preserve"> multi-drug resistant TB</w:t>
      </w:r>
      <w:r w:rsidR="00D9138D">
        <w:rPr>
          <w:rFonts w:asciiTheme="minorHAnsi" w:hAnsiTheme="minorHAnsi"/>
          <w:b/>
        </w:rPr>
        <w:t xml:space="preserve"> </w:t>
      </w:r>
      <w:r w:rsidR="00D9138D" w:rsidRPr="00197AEF">
        <w:rPr>
          <w:rFonts w:asciiTheme="minorHAnsi" w:hAnsiTheme="minorHAnsi"/>
          <w:b/>
        </w:rPr>
        <w:t>(MDR</w:t>
      </w:r>
      <w:r w:rsidR="00D9138D">
        <w:rPr>
          <w:rFonts w:asciiTheme="minorHAnsi" w:hAnsiTheme="minorHAnsi"/>
          <w:b/>
        </w:rPr>
        <w:t>-TB</w:t>
      </w:r>
      <w:r w:rsidR="00D9138D" w:rsidRPr="00197AEF">
        <w:rPr>
          <w:rFonts w:asciiTheme="minorHAnsi" w:hAnsiTheme="minorHAnsi"/>
          <w:b/>
        </w:rPr>
        <w:t>)</w:t>
      </w:r>
    </w:p>
    <w:p w14:paraId="1BF75658" w14:textId="77777777" w:rsidR="00E65552" w:rsidRDefault="00E65552" w:rsidP="00E65552">
      <w:pPr>
        <w:ind w:left="720"/>
        <w:rPr>
          <w:rFonts w:asciiTheme="minorHAnsi" w:hAnsiTheme="minorHAnsi"/>
          <w:b/>
          <w:u w:val="single"/>
        </w:rPr>
      </w:pPr>
    </w:p>
    <w:p w14:paraId="7AB82710" w14:textId="77777777" w:rsidR="00E65552" w:rsidRPr="00F52B58" w:rsidRDefault="00E65552" w:rsidP="00E65552">
      <w:pPr>
        <w:ind w:left="1080"/>
        <w:rPr>
          <w:rFonts w:asciiTheme="minorHAnsi" w:hAnsiTheme="minorHAnsi"/>
          <w:b/>
        </w:rPr>
      </w:pPr>
      <w:r w:rsidRPr="00197AEF">
        <w:rPr>
          <w:rFonts w:asciiTheme="minorHAnsi" w:hAnsiTheme="minorHAnsi"/>
          <w:b/>
          <w:u w:val="single"/>
        </w:rPr>
        <w:t>Allow discharge</w:t>
      </w:r>
      <w:r w:rsidRPr="00F52B58">
        <w:rPr>
          <w:rFonts w:asciiTheme="minorHAnsi" w:hAnsiTheme="minorHAnsi"/>
          <w:b/>
        </w:rPr>
        <w:t xml:space="preserve"> when these criteria are met:</w:t>
      </w:r>
    </w:p>
    <w:p w14:paraId="61597D4A" w14:textId="77777777" w:rsidR="004C43FC" w:rsidRPr="00F52B58" w:rsidRDefault="004C43FC" w:rsidP="004C43FC">
      <w:pPr>
        <w:numPr>
          <w:ilvl w:val="0"/>
          <w:numId w:val="15"/>
        </w:numPr>
        <w:rPr>
          <w:rFonts w:asciiTheme="minorHAnsi" w:hAnsiTheme="minorHAnsi"/>
        </w:rPr>
      </w:pPr>
      <w:r w:rsidRPr="00F52B58">
        <w:rPr>
          <w:rFonts w:asciiTheme="minorHAnsi" w:hAnsiTheme="minorHAnsi"/>
        </w:rPr>
        <w:t>Treatment regimen is consistent with American Thoracic Society</w:t>
      </w:r>
      <w:r>
        <w:rPr>
          <w:rFonts w:asciiTheme="minorHAnsi" w:hAnsiTheme="minorHAnsi"/>
        </w:rPr>
        <w:t>/Centers for Disease Control and Prevention/Infectious Disease Society of America (ATS/CDC/IDSA)</w:t>
      </w:r>
      <w:r w:rsidRPr="00F52B58">
        <w:rPr>
          <w:rFonts w:asciiTheme="minorHAnsi" w:hAnsiTheme="minorHAnsi"/>
        </w:rPr>
        <w:t xml:space="preserve"> standards and specific for the suspected strain</w:t>
      </w:r>
      <w:r>
        <w:rPr>
          <w:rFonts w:asciiTheme="minorHAnsi" w:hAnsiTheme="minorHAnsi"/>
        </w:rPr>
        <w:t>.</w:t>
      </w:r>
    </w:p>
    <w:p w14:paraId="05BF85E4" w14:textId="60793153" w:rsidR="00E65552" w:rsidRPr="00F52B58" w:rsidRDefault="00E65552" w:rsidP="00E65552">
      <w:pPr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patient is improving clinically with treatment.</w:t>
      </w:r>
    </w:p>
    <w:p w14:paraId="156F8052" w14:textId="71965DF0" w:rsidR="00E65552" w:rsidRDefault="00E65552" w:rsidP="00E65552">
      <w:pPr>
        <w:numPr>
          <w:ilvl w:val="0"/>
          <w:numId w:val="15"/>
        </w:numPr>
        <w:rPr>
          <w:rFonts w:asciiTheme="minorHAnsi" w:hAnsiTheme="minorHAnsi"/>
        </w:rPr>
      </w:pPr>
      <w:r w:rsidRPr="00F52B58">
        <w:rPr>
          <w:rFonts w:asciiTheme="minorHAnsi" w:hAnsiTheme="minorHAnsi"/>
        </w:rPr>
        <w:t xml:space="preserve">Hospital staff </w:t>
      </w:r>
      <w:r w:rsidRPr="00F52B58">
        <w:rPr>
          <w:rFonts w:asciiTheme="minorHAnsi" w:hAnsiTheme="minorHAnsi"/>
          <w:b/>
        </w:rPr>
        <w:t>and</w:t>
      </w:r>
      <w:r w:rsidRPr="00F52B58">
        <w:rPr>
          <w:rFonts w:asciiTheme="minorHAnsi" w:hAnsiTheme="minorHAnsi"/>
        </w:rPr>
        <w:t xml:space="preserve"> local public health nurs</w:t>
      </w:r>
      <w:r w:rsidR="00D9138D">
        <w:rPr>
          <w:rFonts w:asciiTheme="minorHAnsi" w:hAnsiTheme="minorHAnsi"/>
        </w:rPr>
        <w:t>e</w:t>
      </w:r>
      <w:r w:rsidRPr="00F52B58">
        <w:rPr>
          <w:rFonts w:asciiTheme="minorHAnsi" w:hAnsiTheme="minorHAnsi"/>
        </w:rPr>
        <w:t xml:space="preserve"> case manager have </w:t>
      </w:r>
      <w:r>
        <w:rPr>
          <w:rFonts w:asciiTheme="minorHAnsi" w:hAnsiTheme="minorHAnsi"/>
        </w:rPr>
        <w:t>in place a plan</w:t>
      </w:r>
      <w:r w:rsidRPr="00F52B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support</w:t>
      </w:r>
      <w:r w:rsidRPr="00F52B58">
        <w:rPr>
          <w:rFonts w:asciiTheme="minorHAnsi" w:hAnsiTheme="minorHAnsi"/>
        </w:rPr>
        <w:t xml:space="preserve"> patient adhere</w:t>
      </w:r>
      <w:r>
        <w:rPr>
          <w:rFonts w:asciiTheme="minorHAnsi" w:hAnsiTheme="minorHAnsi"/>
        </w:rPr>
        <w:t>nce</w:t>
      </w:r>
      <w:r w:rsidRPr="00F52B58">
        <w:rPr>
          <w:rFonts w:asciiTheme="minorHAnsi" w:hAnsiTheme="minorHAnsi"/>
        </w:rPr>
        <w:t xml:space="preserve"> to treatment</w:t>
      </w:r>
      <w:r>
        <w:rPr>
          <w:rFonts w:asciiTheme="minorHAnsi" w:hAnsiTheme="minorHAnsi"/>
        </w:rPr>
        <w:t xml:space="preserve">. </w:t>
      </w:r>
    </w:p>
    <w:p w14:paraId="719A759F" w14:textId="2925A228" w:rsidR="00E65552" w:rsidRPr="00F52B58" w:rsidRDefault="00E65552" w:rsidP="00E65552">
      <w:pPr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A community assessment has been done by the local public health nurse</w:t>
      </w:r>
      <w:r w:rsidR="00020F9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setting </w:t>
      </w:r>
      <w:r w:rsidR="001F15F1">
        <w:rPr>
          <w:rFonts w:asciiTheme="minorHAnsi" w:hAnsiTheme="minorHAnsi"/>
        </w:rPr>
        <w:t>to which</w:t>
      </w:r>
      <w:r>
        <w:rPr>
          <w:rFonts w:asciiTheme="minorHAnsi" w:hAnsiTheme="minorHAnsi"/>
        </w:rPr>
        <w:t xml:space="preserve"> the patient is going has been identified and safe provision</w:t>
      </w:r>
      <w:r w:rsidR="00BF67C4">
        <w:rPr>
          <w:rFonts w:asciiTheme="minorHAnsi" w:hAnsiTheme="minorHAnsi"/>
        </w:rPr>
        <w:t xml:space="preserve"> of</w:t>
      </w:r>
      <w:r>
        <w:rPr>
          <w:rFonts w:asciiTheme="minorHAnsi" w:hAnsiTheme="minorHAnsi"/>
        </w:rPr>
        <w:t xml:space="preserve"> community care </w:t>
      </w:r>
      <w:r w:rsidR="00BF67C4">
        <w:rPr>
          <w:rFonts w:asciiTheme="minorHAnsi" w:hAnsiTheme="minorHAnsi"/>
        </w:rPr>
        <w:t xml:space="preserve">has </w:t>
      </w:r>
      <w:r>
        <w:rPr>
          <w:rFonts w:asciiTheme="minorHAnsi" w:hAnsiTheme="minorHAnsi"/>
        </w:rPr>
        <w:t>been assured.</w:t>
      </w:r>
    </w:p>
    <w:p w14:paraId="4D9F3891" w14:textId="2F380382" w:rsidR="00E65552" w:rsidRDefault="00E65552" w:rsidP="00E65552">
      <w:pPr>
        <w:numPr>
          <w:ilvl w:val="0"/>
          <w:numId w:val="15"/>
        </w:numPr>
        <w:rPr>
          <w:rFonts w:asciiTheme="minorHAnsi" w:hAnsiTheme="minorHAnsi"/>
        </w:rPr>
      </w:pPr>
      <w:r w:rsidRPr="00F52B58">
        <w:rPr>
          <w:rFonts w:asciiTheme="minorHAnsi" w:hAnsiTheme="minorHAnsi"/>
        </w:rPr>
        <w:t xml:space="preserve">Patient </w:t>
      </w:r>
      <w:r w:rsidR="00D9138D">
        <w:rPr>
          <w:rFonts w:asciiTheme="minorHAnsi" w:hAnsiTheme="minorHAnsi"/>
        </w:rPr>
        <w:t xml:space="preserve">is </w:t>
      </w:r>
      <w:r w:rsidRPr="00F52B58">
        <w:rPr>
          <w:rFonts w:asciiTheme="minorHAnsi" w:hAnsiTheme="minorHAnsi"/>
        </w:rPr>
        <w:t xml:space="preserve">willing, able, and motivated to cover mouth </w:t>
      </w:r>
      <w:r w:rsidR="00BF67C4">
        <w:rPr>
          <w:rFonts w:asciiTheme="minorHAnsi" w:hAnsiTheme="minorHAnsi"/>
        </w:rPr>
        <w:t xml:space="preserve">appropriately </w:t>
      </w:r>
      <w:r w:rsidRPr="00F52B58">
        <w:rPr>
          <w:rFonts w:asciiTheme="minorHAnsi" w:hAnsiTheme="minorHAnsi"/>
        </w:rPr>
        <w:t>when coughing or wear</w:t>
      </w:r>
      <w:r>
        <w:rPr>
          <w:rFonts w:asciiTheme="minorHAnsi" w:hAnsiTheme="minorHAnsi"/>
        </w:rPr>
        <w:t xml:space="preserve"> a</w:t>
      </w:r>
      <w:r w:rsidRPr="00F52B58">
        <w:rPr>
          <w:rFonts w:asciiTheme="minorHAnsi" w:hAnsiTheme="minorHAnsi"/>
        </w:rPr>
        <w:t xml:space="preserve"> mask in the presence of visitors</w:t>
      </w:r>
      <w:r>
        <w:rPr>
          <w:rFonts w:asciiTheme="minorHAnsi" w:hAnsiTheme="minorHAnsi"/>
        </w:rPr>
        <w:t>.</w:t>
      </w:r>
      <w:r w:rsidRPr="00F52B58">
        <w:rPr>
          <w:rFonts w:asciiTheme="minorHAnsi" w:hAnsiTheme="minorHAnsi"/>
        </w:rPr>
        <w:t xml:space="preserve"> </w:t>
      </w:r>
    </w:p>
    <w:p w14:paraId="7049EA6A" w14:textId="11EDFDB5" w:rsidR="00E65552" w:rsidRPr="00F52B58" w:rsidRDefault="00E65552" w:rsidP="00E65552">
      <w:pPr>
        <w:numPr>
          <w:ilvl w:val="0"/>
          <w:numId w:val="15"/>
        </w:numPr>
        <w:rPr>
          <w:rFonts w:asciiTheme="minorHAnsi" w:hAnsiTheme="minorHAnsi"/>
        </w:rPr>
      </w:pPr>
      <w:r w:rsidRPr="00F52B58">
        <w:rPr>
          <w:rFonts w:asciiTheme="minorHAnsi" w:hAnsiTheme="minorHAnsi"/>
        </w:rPr>
        <w:t xml:space="preserve">Local public health nurse case manager has appropriate outpatient follow-up </w:t>
      </w:r>
      <w:r w:rsidR="00BF67C4">
        <w:rPr>
          <w:rFonts w:asciiTheme="minorHAnsi" w:hAnsiTheme="minorHAnsi"/>
        </w:rPr>
        <w:t>arrangements,</w:t>
      </w:r>
      <w:r w:rsidR="00BF67C4" w:rsidRPr="00F52B58">
        <w:rPr>
          <w:rFonts w:asciiTheme="minorHAnsi" w:hAnsiTheme="minorHAnsi"/>
        </w:rPr>
        <w:t xml:space="preserve"> </w:t>
      </w:r>
      <w:r w:rsidRPr="00F52B58">
        <w:rPr>
          <w:rFonts w:asciiTheme="minorHAnsi" w:hAnsiTheme="minorHAnsi"/>
        </w:rPr>
        <w:t xml:space="preserve">including directly observed therapy (DOT) to be administered by </w:t>
      </w:r>
      <w:r>
        <w:rPr>
          <w:rFonts w:asciiTheme="minorHAnsi" w:hAnsiTheme="minorHAnsi"/>
        </w:rPr>
        <w:t xml:space="preserve">a </w:t>
      </w:r>
      <w:r w:rsidRPr="00F52B58">
        <w:rPr>
          <w:rFonts w:asciiTheme="minorHAnsi" w:hAnsiTheme="minorHAnsi"/>
        </w:rPr>
        <w:t>healthcare worker (not family member)</w:t>
      </w:r>
      <w:r>
        <w:rPr>
          <w:rFonts w:asciiTheme="minorHAnsi" w:hAnsiTheme="minorHAnsi"/>
        </w:rPr>
        <w:t>.</w:t>
      </w:r>
    </w:p>
    <w:p w14:paraId="5EB2D93F" w14:textId="77777777" w:rsidR="00E65552" w:rsidRPr="00F52B58" w:rsidRDefault="00E65552" w:rsidP="00E65552">
      <w:pPr>
        <w:ind w:left="1440"/>
        <w:rPr>
          <w:rFonts w:asciiTheme="minorHAnsi" w:hAnsiTheme="minorHAnsi"/>
        </w:rPr>
      </w:pPr>
    </w:p>
    <w:p w14:paraId="0E451F94" w14:textId="2DEF3766" w:rsidR="00E65552" w:rsidRPr="00F52B58" w:rsidRDefault="00E65552" w:rsidP="00E65552">
      <w:pPr>
        <w:ind w:left="1080"/>
        <w:rPr>
          <w:rFonts w:asciiTheme="minorHAnsi" w:hAnsiTheme="minorHAnsi"/>
          <w:b/>
        </w:rPr>
      </w:pPr>
      <w:r w:rsidRPr="00F52B58">
        <w:rPr>
          <w:rFonts w:asciiTheme="minorHAnsi" w:hAnsiTheme="minorHAnsi"/>
          <w:b/>
          <w:u w:val="single"/>
        </w:rPr>
        <w:t>Do not allow</w:t>
      </w:r>
      <w:r w:rsidRPr="00F52B58">
        <w:rPr>
          <w:rFonts w:asciiTheme="minorHAnsi" w:hAnsiTheme="minorHAnsi"/>
          <w:b/>
        </w:rPr>
        <w:t xml:space="preserve"> discharge into</w:t>
      </w:r>
      <w:r w:rsidR="001F15F1">
        <w:rPr>
          <w:rFonts w:asciiTheme="minorHAnsi" w:hAnsiTheme="minorHAnsi"/>
          <w:b/>
        </w:rPr>
        <w:t xml:space="preserve"> any of</w:t>
      </w:r>
      <w:r w:rsidRPr="00F52B58">
        <w:rPr>
          <w:rFonts w:asciiTheme="minorHAnsi" w:hAnsiTheme="minorHAnsi"/>
          <w:b/>
        </w:rPr>
        <w:t xml:space="preserve"> the following living </w:t>
      </w:r>
      <w:r>
        <w:rPr>
          <w:rFonts w:asciiTheme="minorHAnsi" w:hAnsiTheme="minorHAnsi"/>
          <w:b/>
        </w:rPr>
        <w:t>situations</w:t>
      </w:r>
      <w:r w:rsidRPr="00F52B58">
        <w:rPr>
          <w:rFonts w:asciiTheme="minorHAnsi" w:hAnsiTheme="minorHAnsi"/>
          <w:b/>
        </w:rPr>
        <w:t xml:space="preserve"> without consulting </w:t>
      </w:r>
      <w:r>
        <w:rPr>
          <w:rFonts w:asciiTheme="minorHAnsi" w:hAnsiTheme="minorHAnsi"/>
          <w:b/>
        </w:rPr>
        <w:t>MDPH</w:t>
      </w:r>
      <w:r w:rsidRPr="00F52B58">
        <w:rPr>
          <w:rFonts w:asciiTheme="minorHAnsi" w:hAnsiTheme="minorHAnsi"/>
          <w:b/>
        </w:rPr>
        <w:t xml:space="preserve"> TB</w:t>
      </w:r>
      <w:r>
        <w:rPr>
          <w:rFonts w:asciiTheme="minorHAnsi" w:hAnsiTheme="minorHAnsi"/>
          <w:b/>
        </w:rPr>
        <w:t xml:space="preserve"> Program staff</w:t>
      </w:r>
      <w:r w:rsidRPr="00F52B58">
        <w:rPr>
          <w:rFonts w:asciiTheme="minorHAnsi" w:hAnsiTheme="minorHAnsi"/>
          <w:b/>
        </w:rPr>
        <w:t>:</w:t>
      </w:r>
    </w:p>
    <w:p w14:paraId="0CD93481" w14:textId="4D2D0FBB" w:rsidR="00E65552" w:rsidRPr="00021777" w:rsidRDefault="00E65552" w:rsidP="00E65552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021777">
        <w:rPr>
          <w:rFonts w:asciiTheme="minorHAnsi" w:hAnsiTheme="minorHAnsi"/>
        </w:rPr>
        <w:t>Congregate living sites (e.g., shelter, nursing home, jail, group home</w:t>
      </w:r>
      <w:proofErr w:type="gramStart"/>
      <w:r w:rsidRPr="00021777">
        <w:rPr>
          <w:rFonts w:asciiTheme="minorHAnsi" w:hAnsiTheme="minorHAnsi"/>
        </w:rPr>
        <w:t>)</w:t>
      </w:r>
      <w:r w:rsidR="001F15F1">
        <w:rPr>
          <w:rFonts w:asciiTheme="minorHAnsi" w:hAnsiTheme="minorHAnsi"/>
        </w:rPr>
        <w:t>;</w:t>
      </w:r>
      <w:proofErr w:type="gramEnd"/>
    </w:p>
    <w:p w14:paraId="03BFF423" w14:textId="2466315E" w:rsidR="00E65552" w:rsidRPr="00021777" w:rsidRDefault="00E65552" w:rsidP="00E65552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021777">
        <w:rPr>
          <w:rFonts w:asciiTheme="minorHAnsi" w:hAnsiTheme="minorHAnsi"/>
        </w:rPr>
        <w:t xml:space="preserve">Where infants and children also reside </w:t>
      </w:r>
      <w:r w:rsidRPr="00021777">
        <w:rPr>
          <w:rFonts w:asciiTheme="minorHAnsi" w:hAnsiTheme="minorHAnsi"/>
          <w:u w:val="single"/>
        </w:rPr>
        <w:t xml:space="preserve">until an evaluation is made and the risk of </w:t>
      </w:r>
      <w:r w:rsidR="009A4AF2">
        <w:rPr>
          <w:rFonts w:asciiTheme="minorHAnsi" w:hAnsiTheme="minorHAnsi"/>
          <w:u w:val="single"/>
        </w:rPr>
        <w:t>transmission</w:t>
      </w:r>
      <w:r w:rsidRPr="00021777">
        <w:rPr>
          <w:rFonts w:asciiTheme="minorHAnsi" w:hAnsiTheme="minorHAnsi"/>
          <w:u w:val="single"/>
        </w:rPr>
        <w:t xml:space="preserve"> is </w:t>
      </w:r>
      <w:proofErr w:type="gramStart"/>
      <w:r w:rsidRPr="00021777">
        <w:rPr>
          <w:rFonts w:asciiTheme="minorHAnsi" w:hAnsiTheme="minorHAnsi"/>
          <w:u w:val="single"/>
        </w:rPr>
        <w:t>minimized</w:t>
      </w:r>
      <w:r w:rsidR="001F15F1" w:rsidRPr="00302A67">
        <w:rPr>
          <w:rFonts w:asciiTheme="minorHAnsi" w:hAnsiTheme="minorHAnsi"/>
        </w:rPr>
        <w:t>;</w:t>
      </w:r>
      <w:proofErr w:type="gramEnd"/>
    </w:p>
    <w:p w14:paraId="760589D3" w14:textId="1A31E958" w:rsidR="00E65552" w:rsidRPr="00021777" w:rsidRDefault="00E65552" w:rsidP="00E65552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021777">
        <w:rPr>
          <w:rFonts w:asciiTheme="minorHAnsi" w:hAnsiTheme="minorHAnsi"/>
        </w:rPr>
        <w:t>Where immunosuppressed persons also reside</w:t>
      </w:r>
      <w:r w:rsidR="001F15F1">
        <w:rPr>
          <w:rFonts w:asciiTheme="minorHAnsi" w:hAnsiTheme="minorHAnsi"/>
        </w:rPr>
        <w:t>; or</w:t>
      </w:r>
    </w:p>
    <w:p w14:paraId="4D855CD0" w14:textId="07D182C1" w:rsidR="00E65552" w:rsidRPr="00021777" w:rsidRDefault="00E65552" w:rsidP="00E65552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021777">
        <w:rPr>
          <w:rFonts w:asciiTheme="minorHAnsi" w:hAnsiTheme="minorHAnsi"/>
        </w:rPr>
        <w:t>Where healthcare/social service providers are present in the home several hours a day and are subject to prolonged airborne exposure</w:t>
      </w:r>
      <w:r w:rsidR="001F15F1">
        <w:rPr>
          <w:rFonts w:asciiTheme="minorHAnsi" w:hAnsiTheme="minorHAnsi"/>
        </w:rPr>
        <w:t>.</w:t>
      </w:r>
      <w:r w:rsidRPr="00021777">
        <w:rPr>
          <w:rFonts w:asciiTheme="minorHAnsi" w:hAnsiTheme="minorHAnsi"/>
          <w:b/>
        </w:rPr>
        <w:t xml:space="preserve"> </w:t>
      </w:r>
    </w:p>
    <w:p w14:paraId="10466677" w14:textId="77777777" w:rsidR="00E65552" w:rsidRPr="00F52B58" w:rsidRDefault="00E65552" w:rsidP="00E65552">
      <w:pPr>
        <w:rPr>
          <w:rFonts w:asciiTheme="minorHAnsi" w:hAnsiTheme="minorHAnsi"/>
        </w:rPr>
      </w:pPr>
    </w:p>
    <w:p w14:paraId="77D5A0F8" w14:textId="0094B7AB" w:rsidR="00E65552" w:rsidRPr="008F73CF" w:rsidRDefault="00E65552" w:rsidP="00E65552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Sputum </w:t>
      </w:r>
      <w:r w:rsidRPr="008F73CF">
        <w:rPr>
          <w:rFonts w:asciiTheme="minorHAnsi" w:hAnsiTheme="minorHAnsi"/>
          <w:b/>
        </w:rPr>
        <w:t xml:space="preserve">AFB smear-positive patients </w:t>
      </w:r>
      <w:r>
        <w:rPr>
          <w:rFonts w:asciiTheme="minorHAnsi" w:hAnsiTheme="minorHAnsi"/>
          <w:b/>
        </w:rPr>
        <w:t xml:space="preserve">with </w:t>
      </w:r>
      <w:r w:rsidR="009A4AF2">
        <w:rPr>
          <w:rFonts w:asciiTheme="minorHAnsi" w:hAnsiTheme="minorHAnsi"/>
          <w:b/>
        </w:rPr>
        <w:t>identified or suspected</w:t>
      </w:r>
      <w:r w:rsidRPr="008F73CF">
        <w:rPr>
          <w:rFonts w:asciiTheme="minorHAnsi" w:hAnsiTheme="minorHAnsi"/>
          <w:b/>
        </w:rPr>
        <w:t xml:space="preserve"> </w:t>
      </w:r>
      <w:r w:rsidRPr="008F73CF">
        <w:rPr>
          <w:rFonts w:asciiTheme="minorHAnsi" w:hAnsiTheme="minorHAnsi"/>
          <w:b/>
          <w:u w:val="single"/>
        </w:rPr>
        <w:t>MDR</w:t>
      </w:r>
      <w:r w:rsidR="00D9138D">
        <w:rPr>
          <w:rFonts w:asciiTheme="minorHAnsi" w:hAnsiTheme="minorHAnsi"/>
          <w:b/>
          <w:u w:val="single"/>
        </w:rPr>
        <w:t>-</w:t>
      </w:r>
      <w:r w:rsidRPr="008F73CF">
        <w:rPr>
          <w:rFonts w:asciiTheme="minorHAnsi" w:hAnsiTheme="minorHAnsi"/>
          <w:b/>
          <w:u w:val="single"/>
        </w:rPr>
        <w:t>TB</w:t>
      </w:r>
    </w:p>
    <w:p w14:paraId="598D3DB5" w14:textId="77777777" w:rsidR="00E65552" w:rsidRDefault="00E65552" w:rsidP="00E65552">
      <w:pPr>
        <w:ind w:left="720"/>
        <w:rPr>
          <w:rFonts w:asciiTheme="minorHAnsi" w:hAnsiTheme="minorHAnsi"/>
          <w:b/>
          <w:u w:val="single"/>
        </w:rPr>
      </w:pPr>
    </w:p>
    <w:p w14:paraId="1A852D16" w14:textId="77777777" w:rsidR="00E65552" w:rsidRPr="00F52B58" w:rsidRDefault="00E65552" w:rsidP="00E65552">
      <w:pPr>
        <w:ind w:left="1080"/>
        <w:rPr>
          <w:rFonts w:asciiTheme="minorHAnsi" w:hAnsiTheme="minorHAnsi"/>
          <w:b/>
        </w:rPr>
      </w:pPr>
      <w:r w:rsidRPr="00197AEF">
        <w:rPr>
          <w:rFonts w:asciiTheme="minorHAnsi" w:hAnsiTheme="minorHAnsi"/>
          <w:b/>
          <w:u w:val="single"/>
        </w:rPr>
        <w:t>Do not discharge</w:t>
      </w:r>
      <w:r w:rsidRPr="00F52B58">
        <w:rPr>
          <w:rFonts w:asciiTheme="minorHAnsi" w:hAnsiTheme="minorHAnsi"/>
          <w:b/>
        </w:rPr>
        <w:t xml:space="preserve"> until these criteria are met:</w:t>
      </w:r>
    </w:p>
    <w:p w14:paraId="3C3FB9A9" w14:textId="77777777" w:rsidR="009A4AF2" w:rsidRDefault="009A4AF2" w:rsidP="00E65552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An a</w:t>
      </w:r>
      <w:r w:rsidRPr="00F52B58">
        <w:rPr>
          <w:rFonts w:asciiTheme="minorHAnsi" w:hAnsiTheme="minorHAnsi"/>
        </w:rPr>
        <w:t>ppropriate treatment regimen has been de</w:t>
      </w:r>
      <w:r>
        <w:rPr>
          <w:rFonts w:asciiTheme="minorHAnsi" w:hAnsiTheme="minorHAnsi"/>
        </w:rPr>
        <w:t>fined</w:t>
      </w:r>
      <w:r w:rsidRPr="00F52B58">
        <w:rPr>
          <w:rFonts w:asciiTheme="minorHAnsi" w:hAnsiTheme="minorHAnsi"/>
        </w:rPr>
        <w:t xml:space="preserve"> and initiated</w:t>
      </w:r>
      <w:r>
        <w:rPr>
          <w:rFonts w:asciiTheme="minorHAnsi" w:hAnsiTheme="minorHAnsi"/>
        </w:rPr>
        <w:t>,</w:t>
      </w:r>
      <w:r w:rsidRPr="00E820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the patient is improving clinically on therapy. </w:t>
      </w:r>
    </w:p>
    <w:p w14:paraId="021F60CA" w14:textId="1CCFE22E" w:rsidR="00E65552" w:rsidRPr="003D3C0D" w:rsidRDefault="009A4AF2" w:rsidP="003D3C0D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regimen details should be clearly noted, including</w:t>
      </w:r>
      <w:r w:rsidRPr="00F52B58">
        <w:rPr>
          <w:rFonts w:asciiTheme="minorHAnsi" w:hAnsiTheme="minorHAnsi"/>
        </w:rPr>
        <w:t xml:space="preserve"> the route of medication administration. Patients with </w:t>
      </w:r>
      <w:r>
        <w:rPr>
          <w:rFonts w:asciiTheme="minorHAnsi" w:hAnsiTheme="minorHAnsi"/>
        </w:rPr>
        <w:t>intramuscular (IM) or intravenous (IV) treatment</w:t>
      </w:r>
      <w:r w:rsidRPr="00F52B58">
        <w:rPr>
          <w:rFonts w:asciiTheme="minorHAnsi" w:hAnsiTheme="minorHAnsi"/>
        </w:rPr>
        <w:t xml:space="preserve"> may require </w:t>
      </w:r>
      <w:r>
        <w:rPr>
          <w:rFonts w:asciiTheme="minorHAnsi" w:hAnsiTheme="minorHAnsi"/>
        </w:rPr>
        <w:t>additional</w:t>
      </w:r>
      <w:r w:rsidRPr="00F52B58">
        <w:rPr>
          <w:rFonts w:asciiTheme="minorHAnsi" w:hAnsiTheme="minorHAnsi"/>
        </w:rPr>
        <w:t xml:space="preserve"> services</w:t>
      </w:r>
      <w:r>
        <w:rPr>
          <w:rFonts w:asciiTheme="minorHAnsi" w:hAnsiTheme="minorHAnsi"/>
        </w:rPr>
        <w:t>,</w:t>
      </w:r>
      <w:r w:rsidRPr="00F52B58">
        <w:rPr>
          <w:rFonts w:asciiTheme="minorHAnsi" w:hAnsiTheme="minorHAnsi"/>
        </w:rPr>
        <w:t xml:space="preserve"> such as </w:t>
      </w:r>
      <w:r>
        <w:rPr>
          <w:rFonts w:asciiTheme="minorHAnsi" w:hAnsiTheme="minorHAnsi"/>
        </w:rPr>
        <w:t>those provided by</w:t>
      </w:r>
      <w:r w:rsidRPr="00F52B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 i</w:t>
      </w:r>
      <w:r w:rsidRPr="00F52B58">
        <w:rPr>
          <w:rFonts w:asciiTheme="minorHAnsi" w:hAnsiTheme="minorHAnsi"/>
        </w:rPr>
        <w:t>nfusion</w:t>
      </w:r>
      <w:r>
        <w:rPr>
          <w:rFonts w:asciiTheme="minorHAnsi" w:hAnsiTheme="minorHAnsi"/>
        </w:rPr>
        <w:t xml:space="preserve"> therapy</w:t>
      </w:r>
      <w:r w:rsidRPr="00F52B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</w:t>
      </w:r>
      <w:r w:rsidRPr="00F52B58">
        <w:rPr>
          <w:rFonts w:asciiTheme="minorHAnsi" w:hAnsiTheme="minorHAnsi"/>
        </w:rPr>
        <w:t>ompan</w:t>
      </w:r>
      <w:r>
        <w:rPr>
          <w:rFonts w:asciiTheme="minorHAnsi" w:hAnsiTheme="minorHAnsi"/>
        </w:rPr>
        <w:t>y</w:t>
      </w:r>
      <w:r w:rsidRPr="00F52B58">
        <w:rPr>
          <w:rFonts w:asciiTheme="minorHAnsi" w:hAnsiTheme="minorHAnsi"/>
        </w:rPr>
        <w:t xml:space="preserve"> or Visiting Nurse Association</w:t>
      </w:r>
      <w:r>
        <w:rPr>
          <w:rFonts w:asciiTheme="minorHAnsi" w:hAnsiTheme="minorHAnsi"/>
        </w:rPr>
        <w:t>. These services must be in place prior to discharge.</w:t>
      </w:r>
    </w:p>
    <w:p w14:paraId="4ED184F5" w14:textId="0E6BC997" w:rsidR="00E65552" w:rsidRDefault="00E65552" w:rsidP="00E65552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l</w:t>
      </w:r>
      <w:r w:rsidRPr="00F52B58">
        <w:rPr>
          <w:rFonts w:asciiTheme="minorHAnsi" w:hAnsiTheme="minorHAnsi"/>
        </w:rPr>
        <w:t xml:space="preserve">ocal public health nurse case manager has appropriate outpatient follow-up </w:t>
      </w:r>
      <w:r w:rsidR="009A4AF2" w:rsidRPr="00F52B58">
        <w:rPr>
          <w:rFonts w:asciiTheme="minorHAnsi" w:hAnsiTheme="minorHAnsi"/>
        </w:rPr>
        <w:t>arrang</w:t>
      </w:r>
      <w:r w:rsidR="009A4AF2">
        <w:rPr>
          <w:rFonts w:asciiTheme="minorHAnsi" w:hAnsiTheme="minorHAnsi"/>
        </w:rPr>
        <w:t>ements</w:t>
      </w:r>
      <w:r w:rsidR="009A4AF2" w:rsidRPr="00F52B58">
        <w:rPr>
          <w:rFonts w:asciiTheme="minorHAnsi" w:hAnsiTheme="minorHAnsi"/>
        </w:rPr>
        <w:t xml:space="preserve"> </w:t>
      </w:r>
      <w:r w:rsidR="00BC2D9B">
        <w:rPr>
          <w:rFonts w:asciiTheme="minorHAnsi" w:hAnsiTheme="minorHAnsi"/>
        </w:rPr>
        <w:t>in place,</w:t>
      </w:r>
      <w:r w:rsidRPr="00F52B58">
        <w:rPr>
          <w:rFonts w:asciiTheme="minorHAnsi" w:hAnsiTheme="minorHAnsi"/>
        </w:rPr>
        <w:t xml:space="preserve"> including for DOT</w:t>
      </w:r>
      <w:r>
        <w:rPr>
          <w:rFonts w:asciiTheme="minorHAnsi" w:hAnsiTheme="minorHAnsi"/>
        </w:rPr>
        <w:t xml:space="preserve"> </w:t>
      </w:r>
      <w:r w:rsidRPr="00F52B58">
        <w:rPr>
          <w:rFonts w:asciiTheme="minorHAnsi" w:hAnsiTheme="minorHAnsi"/>
        </w:rPr>
        <w:t xml:space="preserve">by </w:t>
      </w:r>
      <w:r>
        <w:rPr>
          <w:rFonts w:asciiTheme="minorHAnsi" w:hAnsiTheme="minorHAnsi"/>
        </w:rPr>
        <w:t xml:space="preserve">a </w:t>
      </w:r>
      <w:r w:rsidRPr="00F52B58">
        <w:rPr>
          <w:rFonts w:asciiTheme="minorHAnsi" w:hAnsiTheme="minorHAnsi"/>
        </w:rPr>
        <w:t>healthcare worker</w:t>
      </w:r>
      <w:r>
        <w:rPr>
          <w:rFonts w:asciiTheme="minorHAnsi" w:hAnsiTheme="minorHAnsi"/>
        </w:rPr>
        <w:t>.</w:t>
      </w:r>
    </w:p>
    <w:p w14:paraId="529406E3" w14:textId="56DDA8D1" w:rsidR="00E65552" w:rsidRDefault="00E65552" w:rsidP="00E65552">
      <w:pPr>
        <w:rPr>
          <w:rFonts w:asciiTheme="minorHAnsi" w:hAnsiTheme="minorHAnsi"/>
          <w:b/>
        </w:rPr>
      </w:pPr>
    </w:p>
    <w:p w14:paraId="054D3E03" w14:textId="77777777" w:rsidR="00EC0C20" w:rsidRDefault="00EC0C2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EDEAA25" w14:textId="577D8467" w:rsidR="00E65552" w:rsidRPr="002F6C8B" w:rsidRDefault="00E65552" w:rsidP="002F6C8B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Sputum AFB smear-negative patients</w:t>
      </w:r>
      <w:r w:rsidR="002F6C8B" w:rsidRPr="00197AEF">
        <w:rPr>
          <w:rFonts w:asciiTheme="minorHAnsi" w:hAnsiTheme="minorHAnsi"/>
          <w:b/>
        </w:rPr>
        <w:t xml:space="preserve">, but not </w:t>
      </w:r>
      <w:r w:rsidR="009A4AF2">
        <w:rPr>
          <w:rFonts w:asciiTheme="minorHAnsi" w:hAnsiTheme="minorHAnsi"/>
          <w:b/>
        </w:rPr>
        <w:t>identified or suspected of being infected with</w:t>
      </w:r>
      <w:r w:rsidR="002F6C8B" w:rsidRPr="00197AEF">
        <w:rPr>
          <w:rFonts w:asciiTheme="minorHAnsi" w:hAnsiTheme="minorHAnsi"/>
          <w:b/>
        </w:rPr>
        <w:t xml:space="preserve"> MDR</w:t>
      </w:r>
      <w:r w:rsidR="00BC2D9B">
        <w:rPr>
          <w:rFonts w:asciiTheme="minorHAnsi" w:hAnsiTheme="minorHAnsi"/>
          <w:b/>
        </w:rPr>
        <w:t>-</w:t>
      </w:r>
      <w:r w:rsidR="002F6C8B" w:rsidRPr="00197AEF">
        <w:rPr>
          <w:rFonts w:asciiTheme="minorHAnsi" w:hAnsiTheme="minorHAnsi"/>
          <w:b/>
        </w:rPr>
        <w:t>TB</w:t>
      </w:r>
    </w:p>
    <w:p w14:paraId="5F467BCA" w14:textId="77777777" w:rsidR="00E65552" w:rsidRDefault="00E65552" w:rsidP="002F6C8B">
      <w:pPr>
        <w:ind w:left="1080"/>
        <w:rPr>
          <w:rFonts w:asciiTheme="minorHAnsi" w:hAnsiTheme="minorHAnsi"/>
          <w:b/>
          <w:u w:val="single"/>
        </w:rPr>
      </w:pPr>
    </w:p>
    <w:p w14:paraId="39786EDC" w14:textId="77777777" w:rsidR="00E65552" w:rsidRDefault="00E65552" w:rsidP="002F6C8B">
      <w:pPr>
        <w:ind w:left="1080"/>
        <w:rPr>
          <w:rFonts w:asciiTheme="minorHAnsi" w:hAnsiTheme="minorHAnsi"/>
          <w:b/>
        </w:rPr>
      </w:pPr>
      <w:r w:rsidRPr="00197AEF">
        <w:rPr>
          <w:rFonts w:asciiTheme="minorHAnsi" w:hAnsiTheme="minorHAnsi"/>
          <w:b/>
          <w:u w:val="single"/>
        </w:rPr>
        <w:t>Allow discharge</w:t>
      </w:r>
      <w:r w:rsidRPr="00F52B58">
        <w:rPr>
          <w:rFonts w:asciiTheme="minorHAnsi" w:hAnsiTheme="minorHAnsi"/>
          <w:b/>
        </w:rPr>
        <w:t xml:space="preserve"> when these criteria are met:</w:t>
      </w:r>
    </w:p>
    <w:p w14:paraId="4149B89F" w14:textId="77777777" w:rsidR="003D3C0D" w:rsidRDefault="003F4EBD" w:rsidP="000E7206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An a</w:t>
      </w:r>
      <w:r w:rsidRPr="00F52B58">
        <w:rPr>
          <w:rFonts w:asciiTheme="minorHAnsi" w:hAnsiTheme="minorHAnsi"/>
        </w:rPr>
        <w:t>ppropriate treatment regimen has been de</w:t>
      </w:r>
      <w:r>
        <w:rPr>
          <w:rFonts w:asciiTheme="minorHAnsi" w:hAnsiTheme="minorHAnsi"/>
        </w:rPr>
        <w:t>fined</w:t>
      </w:r>
      <w:r w:rsidRPr="00F52B58">
        <w:rPr>
          <w:rFonts w:asciiTheme="minorHAnsi" w:hAnsiTheme="minorHAnsi"/>
        </w:rPr>
        <w:t xml:space="preserve"> and initiated</w:t>
      </w:r>
      <w:r>
        <w:rPr>
          <w:rFonts w:asciiTheme="minorHAnsi" w:hAnsiTheme="minorHAnsi"/>
        </w:rPr>
        <w:t>,</w:t>
      </w:r>
      <w:r w:rsidRPr="00E820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the patient is improving clinically on therapy. </w:t>
      </w:r>
    </w:p>
    <w:p w14:paraId="1D40EAB8" w14:textId="3945AEA5" w:rsidR="00E65552" w:rsidRPr="003F4EBD" w:rsidRDefault="002F6C8B" w:rsidP="000E7206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 w:rsidRPr="003F4EBD">
        <w:rPr>
          <w:rFonts w:asciiTheme="minorHAnsi" w:hAnsiTheme="minorHAnsi"/>
        </w:rPr>
        <w:t>T</w:t>
      </w:r>
      <w:r w:rsidR="00E65552" w:rsidRPr="003F4EBD">
        <w:rPr>
          <w:rFonts w:asciiTheme="minorHAnsi" w:hAnsiTheme="minorHAnsi"/>
        </w:rPr>
        <w:t xml:space="preserve">he home evaluation </w:t>
      </w:r>
      <w:r w:rsidR="00873209" w:rsidRPr="003F4EBD">
        <w:rPr>
          <w:rFonts w:asciiTheme="minorHAnsi" w:hAnsiTheme="minorHAnsi"/>
        </w:rPr>
        <w:t>has been completed and</w:t>
      </w:r>
      <w:r w:rsidR="00E65552" w:rsidRPr="003F4EBD">
        <w:rPr>
          <w:rFonts w:asciiTheme="minorHAnsi" w:hAnsiTheme="minorHAnsi"/>
        </w:rPr>
        <w:t xml:space="preserve"> conditions to support the patient</w:t>
      </w:r>
      <w:r w:rsidR="00020F99" w:rsidRPr="003F4EBD">
        <w:rPr>
          <w:rFonts w:asciiTheme="minorHAnsi" w:hAnsiTheme="minorHAnsi"/>
        </w:rPr>
        <w:t xml:space="preserve">, such as DOT, </w:t>
      </w:r>
      <w:proofErr w:type="gramStart"/>
      <w:r w:rsidR="00020F99" w:rsidRPr="003F4EBD">
        <w:rPr>
          <w:rFonts w:asciiTheme="minorHAnsi" w:hAnsiTheme="minorHAnsi"/>
        </w:rPr>
        <w:t>medications</w:t>
      </w:r>
      <w:proofErr w:type="gramEnd"/>
      <w:r w:rsidR="00020F99" w:rsidRPr="003F4EBD">
        <w:rPr>
          <w:rFonts w:asciiTheme="minorHAnsi" w:hAnsiTheme="minorHAnsi"/>
        </w:rPr>
        <w:t xml:space="preserve"> and monitoring plans,</w:t>
      </w:r>
      <w:r w:rsidR="00E65552" w:rsidRPr="003F4EBD">
        <w:rPr>
          <w:rFonts w:asciiTheme="minorHAnsi" w:hAnsiTheme="minorHAnsi"/>
        </w:rPr>
        <w:t xml:space="preserve"> </w:t>
      </w:r>
      <w:r w:rsidR="00873209" w:rsidRPr="003F4EBD">
        <w:rPr>
          <w:rFonts w:asciiTheme="minorHAnsi" w:hAnsiTheme="minorHAnsi"/>
        </w:rPr>
        <w:t xml:space="preserve">have been arranged by </w:t>
      </w:r>
      <w:r w:rsidR="00020F99" w:rsidRPr="003F4EBD">
        <w:rPr>
          <w:rFonts w:asciiTheme="minorHAnsi" w:hAnsiTheme="minorHAnsi"/>
        </w:rPr>
        <w:t xml:space="preserve">the </w:t>
      </w:r>
      <w:r w:rsidR="00873209" w:rsidRPr="003F4EBD">
        <w:rPr>
          <w:rFonts w:asciiTheme="minorHAnsi" w:hAnsiTheme="minorHAnsi"/>
        </w:rPr>
        <w:t>local public health</w:t>
      </w:r>
      <w:r w:rsidR="00020F99" w:rsidRPr="003F4EBD">
        <w:rPr>
          <w:rFonts w:asciiTheme="minorHAnsi" w:hAnsiTheme="minorHAnsi"/>
        </w:rPr>
        <w:t xml:space="preserve"> nurse case manager</w:t>
      </w:r>
      <w:r w:rsidR="00E65552" w:rsidRPr="003F4EBD">
        <w:rPr>
          <w:rFonts w:asciiTheme="minorHAnsi" w:hAnsiTheme="minorHAnsi"/>
        </w:rPr>
        <w:t>.</w:t>
      </w:r>
    </w:p>
    <w:p w14:paraId="56E69372" w14:textId="77777777" w:rsidR="00E65552" w:rsidRPr="00F52B58" w:rsidRDefault="00E65552" w:rsidP="00E65552">
      <w:pPr>
        <w:ind w:left="1800"/>
        <w:rPr>
          <w:rFonts w:asciiTheme="minorHAnsi" w:hAnsiTheme="minorHAnsi"/>
        </w:rPr>
      </w:pPr>
    </w:p>
    <w:p w14:paraId="40EB8E25" w14:textId="75A0789F" w:rsidR="00E20043" w:rsidRPr="00021777" w:rsidRDefault="00E20043" w:rsidP="00E65552">
      <w:pPr>
        <w:pStyle w:val="ListParagraph"/>
        <w:numPr>
          <w:ilvl w:val="0"/>
          <w:numId w:val="24"/>
        </w:numPr>
        <w:rPr>
          <w:rFonts w:asciiTheme="minorHAnsi" w:hAnsiTheme="minorHAnsi" w:cs="Arial"/>
          <w:b/>
        </w:rPr>
      </w:pPr>
      <w:r w:rsidRPr="00021777">
        <w:rPr>
          <w:rFonts w:asciiTheme="minorHAnsi" w:hAnsiTheme="minorHAnsi" w:cs="Arial"/>
          <w:b/>
        </w:rPr>
        <w:t>Setting post-discharge</w:t>
      </w:r>
    </w:p>
    <w:p w14:paraId="029612ED" w14:textId="77777777" w:rsidR="00E20043" w:rsidRDefault="00E20043" w:rsidP="000B0EB1">
      <w:pPr>
        <w:rPr>
          <w:rFonts w:asciiTheme="minorHAnsi" w:hAnsiTheme="minorHAnsi" w:cs="Arial"/>
        </w:rPr>
      </w:pPr>
    </w:p>
    <w:p w14:paraId="329B9379" w14:textId="06FB7D11" w:rsidR="00181AE6" w:rsidRDefault="00D51723" w:rsidP="00021777">
      <w:p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r</w:t>
      </w:r>
      <w:r w:rsidR="00181AE6">
        <w:rPr>
          <w:rFonts w:asciiTheme="minorHAnsi" w:hAnsiTheme="minorHAnsi" w:cs="Arial"/>
        </w:rPr>
        <w:t>eview</w:t>
      </w:r>
      <w:r>
        <w:rPr>
          <w:rFonts w:asciiTheme="minorHAnsi" w:hAnsiTheme="minorHAnsi" w:cs="Arial"/>
        </w:rPr>
        <w:t xml:space="preserve"> of</w:t>
      </w:r>
      <w:r w:rsidR="00181AE6">
        <w:rPr>
          <w:rFonts w:asciiTheme="minorHAnsi" w:hAnsiTheme="minorHAnsi" w:cs="Arial"/>
        </w:rPr>
        <w:t xml:space="preserve"> the setting </w:t>
      </w:r>
      <w:r>
        <w:rPr>
          <w:rFonts w:asciiTheme="minorHAnsi" w:hAnsiTheme="minorHAnsi" w:cs="Arial"/>
        </w:rPr>
        <w:t>to</w:t>
      </w:r>
      <w:r w:rsidR="00181AE6">
        <w:rPr>
          <w:rFonts w:asciiTheme="minorHAnsi" w:hAnsiTheme="minorHAnsi" w:cs="Arial"/>
        </w:rPr>
        <w:t xml:space="preserve"> which the individual is being discharged can </w:t>
      </w:r>
      <w:r>
        <w:rPr>
          <w:rFonts w:asciiTheme="minorHAnsi" w:hAnsiTheme="minorHAnsi" w:cs="Arial"/>
        </w:rPr>
        <w:t>inform</w:t>
      </w:r>
      <w:r w:rsidR="00181AE6">
        <w:rPr>
          <w:rFonts w:asciiTheme="minorHAnsi" w:hAnsiTheme="minorHAnsi" w:cs="Arial"/>
        </w:rPr>
        <w:t xml:space="preserve"> whether a le</w:t>
      </w:r>
      <w:r>
        <w:rPr>
          <w:rFonts w:asciiTheme="minorHAnsi" w:hAnsiTheme="minorHAnsi" w:cs="Arial"/>
        </w:rPr>
        <w:t>s</w:t>
      </w:r>
      <w:r w:rsidR="00181AE6">
        <w:rPr>
          <w:rFonts w:asciiTheme="minorHAnsi" w:hAnsiTheme="minorHAnsi" w:cs="Arial"/>
        </w:rPr>
        <w:t xml:space="preserve">s </w:t>
      </w:r>
      <w:r>
        <w:rPr>
          <w:rFonts w:asciiTheme="minorHAnsi" w:hAnsiTheme="minorHAnsi" w:cs="Arial"/>
        </w:rPr>
        <w:t xml:space="preserve">- </w:t>
      </w:r>
      <w:r w:rsidR="00181AE6">
        <w:rPr>
          <w:rFonts w:asciiTheme="minorHAnsi" w:hAnsiTheme="minorHAnsi" w:cs="Arial"/>
        </w:rPr>
        <w:t>or more</w:t>
      </w:r>
      <w:r>
        <w:rPr>
          <w:rFonts w:asciiTheme="minorHAnsi" w:hAnsiTheme="minorHAnsi" w:cs="Arial"/>
        </w:rPr>
        <w:t xml:space="preserve"> -</w:t>
      </w:r>
      <w:r w:rsidR="00181AE6">
        <w:rPr>
          <w:rFonts w:asciiTheme="minorHAnsi" w:hAnsiTheme="minorHAnsi" w:cs="Arial"/>
        </w:rPr>
        <w:t xml:space="preserve"> restrictive plan of care may </w:t>
      </w:r>
      <w:r w:rsidR="00542121">
        <w:rPr>
          <w:rFonts w:asciiTheme="minorHAnsi" w:hAnsiTheme="minorHAnsi" w:cs="Arial"/>
        </w:rPr>
        <w:t xml:space="preserve">be </w:t>
      </w:r>
      <w:r w:rsidR="00181AE6">
        <w:rPr>
          <w:rFonts w:asciiTheme="minorHAnsi" w:hAnsiTheme="minorHAnsi" w:cs="Arial"/>
        </w:rPr>
        <w:t>need</w:t>
      </w:r>
      <w:r w:rsidR="00542121">
        <w:rPr>
          <w:rFonts w:asciiTheme="minorHAnsi" w:hAnsiTheme="minorHAnsi" w:cs="Arial"/>
        </w:rPr>
        <w:t>ed</w:t>
      </w:r>
      <w:r w:rsidR="00181AE6">
        <w:rPr>
          <w:rFonts w:asciiTheme="minorHAnsi" w:hAnsiTheme="minorHAnsi" w:cs="Arial"/>
        </w:rPr>
        <w:t xml:space="preserve">.  </w:t>
      </w:r>
      <w:r>
        <w:rPr>
          <w:rFonts w:asciiTheme="minorHAnsi" w:hAnsiTheme="minorHAnsi" w:cs="Arial"/>
        </w:rPr>
        <w:t xml:space="preserve">Until that review is done by the local public health department, </w:t>
      </w:r>
      <w:r w:rsidRPr="00021777">
        <w:rPr>
          <w:rFonts w:asciiTheme="minorHAnsi" w:hAnsiTheme="minorHAnsi" w:cs="Arial"/>
          <w:i/>
        </w:rPr>
        <w:t>a</w:t>
      </w:r>
      <w:r w:rsidR="00181AE6" w:rsidRPr="00021777">
        <w:rPr>
          <w:rFonts w:asciiTheme="minorHAnsi" w:hAnsiTheme="minorHAnsi" w:cs="Arial"/>
          <w:i/>
        </w:rPr>
        <w:t>ll</w:t>
      </w:r>
      <w:r w:rsidR="00181AE6">
        <w:rPr>
          <w:rFonts w:asciiTheme="minorHAnsi" w:hAnsiTheme="minorHAnsi" w:cs="Arial"/>
        </w:rPr>
        <w:t xml:space="preserve"> settings </w:t>
      </w:r>
      <w:r w:rsidR="008C02AA">
        <w:rPr>
          <w:rFonts w:asciiTheme="minorHAnsi" w:hAnsiTheme="minorHAnsi" w:cs="Arial"/>
        </w:rPr>
        <w:t xml:space="preserve">initially </w:t>
      </w:r>
      <w:r w:rsidR="00181AE6">
        <w:rPr>
          <w:rFonts w:asciiTheme="minorHAnsi" w:hAnsiTheme="minorHAnsi" w:cs="Arial"/>
        </w:rPr>
        <w:t>should be considered high risk</w:t>
      </w:r>
      <w:r w:rsidR="00542121">
        <w:rPr>
          <w:rFonts w:asciiTheme="minorHAnsi" w:hAnsiTheme="minorHAnsi" w:cs="Arial"/>
        </w:rPr>
        <w:t xml:space="preserve"> for ongoing transmission</w:t>
      </w:r>
      <w:r w:rsidR="00CF1229">
        <w:rPr>
          <w:rFonts w:asciiTheme="minorHAnsi" w:hAnsiTheme="minorHAnsi" w:cs="Arial"/>
        </w:rPr>
        <w:t xml:space="preserve"> pending evaluation by Public Health</w:t>
      </w:r>
      <w:r w:rsidR="00181AE6">
        <w:rPr>
          <w:rFonts w:asciiTheme="minorHAnsi" w:hAnsiTheme="minorHAnsi" w:cs="Arial"/>
        </w:rPr>
        <w:t>.</w:t>
      </w:r>
      <w:r w:rsidR="000822B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</w:p>
    <w:p w14:paraId="5378BC7D" w14:textId="77777777" w:rsidR="00181AE6" w:rsidRDefault="00181AE6" w:rsidP="000B0EB1">
      <w:pPr>
        <w:rPr>
          <w:rFonts w:asciiTheme="minorHAnsi" w:hAnsiTheme="minorHAnsi" w:cs="Arial"/>
        </w:rPr>
      </w:pPr>
    </w:p>
    <w:p w14:paraId="15C6AB9D" w14:textId="0BFFC7FD" w:rsidR="00181AE6" w:rsidRPr="00021777" w:rsidRDefault="00181AE6" w:rsidP="00021777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</w:rPr>
      </w:pPr>
      <w:r w:rsidRPr="00021777">
        <w:rPr>
          <w:rFonts w:asciiTheme="minorHAnsi" w:hAnsiTheme="minorHAnsi" w:cs="Arial"/>
          <w:b/>
        </w:rPr>
        <w:t>High Risk Setting</w:t>
      </w:r>
    </w:p>
    <w:p w14:paraId="06FF522A" w14:textId="16F8A224" w:rsidR="00181AE6" w:rsidRPr="00021777" w:rsidRDefault="000822BA" w:rsidP="00021777">
      <w:pPr>
        <w:ind w:left="720"/>
        <w:rPr>
          <w:rFonts w:asciiTheme="minorHAnsi" w:hAnsiTheme="minorHAnsi" w:cs="Arial"/>
        </w:rPr>
      </w:pPr>
      <w:r w:rsidRPr="006F3146">
        <w:rPr>
          <w:rFonts w:asciiTheme="minorHAnsi" w:hAnsiTheme="minorHAnsi" w:cs="Arial"/>
        </w:rPr>
        <w:t>A</w:t>
      </w:r>
      <w:r w:rsidR="009D1DC5">
        <w:rPr>
          <w:rFonts w:asciiTheme="minorHAnsi" w:hAnsiTheme="minorHAnsi" w:cs="Arial"/>
        </w:rPr>
        <w:t xml:space="preserve"> </w:t>
      </w:r>
      <w:r w:rsidR="009D1DC5" w:rsidRPr="009D1DC5">
        <w:rPr>
          <w:rFonts w:asciiTheme="minorHAnsi" w:hAnsiTheme="minorHAnsi" w:cs="Arial"/>
          <w:i/>
        </w:rPr>
        <w:t>high</w:t>
      </w:r>
      <w:r w:rsidR="004808FE">
        <w:rPr>
          <w:rFonts w:asciiTheme="minorHAnsi" w:hAnsiTheme="minorHAnsi" w:cs="Arial"/>
          <w:i/>
        </w:rPr>
        <w:t>-</w:t>
      </w:r>
      <w:r w:rsidR="009D1DC5" w:rsidRPr="009D1DC5">
        <w:rPr>
          <w:rFonts w:asciiTheme="minorHAnsi" w:hAnsiTheme="minorHAnsi" w:cs="Arial"/>
          <w:i/>
        </w:rPr>
        <w:t>risk setting</w:t>
      </w:r>
      <w:r w:rsidR="009D1DC5">
        <w:rPr>
          <w:rFonts w:asciiTheme="minorHAnsi" w:hAnsiTheme="minorHAnsi" w:cs="Arial"/>
        </w:rPr>
        <w:t xml:space="preserve"> is a</w:t>
      </w:r>
      <w:r w:rsidRPr="006F3146">
        <w:rPr>
          <w:rFonts w:asciiTheme="minorHAnsi" w:hAnsiTheme="minorHAnsi" w:cs="Arial"/>
        </w:rPr>
        <w:t xml:space="preserve"> household</w:t>
      </w:r>
      <w:r w:rsidRPr="00021777">
        <w:rPr>
          <w:rFonts w:asciiTheme="minorHAnsi" w:hAnsiTheme="minorHAnsi" w:cs="Arial"/>
        </w:rPr>
        <w:t xml:space="preserve"> </w:t>
      </w:r>
      <w:r w:rsidR="00D51723" w:rsidRPr="00021777">
        <w:rPr>
          <w:rFonts w:asciiTheme="minorHAnsi" w:hAnsiTheme="minorHAnsi" w:cs="Arial"/>
        </w:rPr>
        <w:t xml:space="preserve">in </w:t>
      </w:r>
      <w:r w:rsidR="00181AE6" w:rsidRPr="00021777">
        <w:rPr>
          <w:rFonts w:asciiTheme="minorHAnsi" w:hAnsiTheme="minorHAnsi" w:cs="Arial"/>
        </w:rPr>
        <w:t xml:space="preserve">which others will share air with the person </w:t>
      </w:r>
      <w:r w:rsidR="00542121">
        <w:rPr>
          <w:rFonts w:asciiTheme="minorHAnsi" w:hAnsiTheme="minorHAnsi" w:cs="Arial"/>
        </w:rPr>
        <w:t xml:space="preserve">known or </w:t>
      </w:r>
      <w:r w:rsidR="00181AE6" w:rsidRPr="00021777">
        <w:rPr>
          <w:rFonts w:asciiTheme="minorHAnsi" w:hAnsiTheme="minorHAnsi" w:cs="Arial"/>
        </w:rPr>
        <w:t xml:space="preserve">suspected to have pulmonary tuberculosis and characterized by one or more of the </w:t>
      </w:r>
      <w:r w:rsidR="00365C4F" w:rsidRPr="00021777">
        <w:rPr>
          <w:rFonts w:asciiTheme="minorHAnsi" w:hAnsiTheme="minorHAnsi" w:cs="Arial"/>
        </w:rPr>
        <w:t>following factors:</w:t>
      </w:r>
    </w:p>
    <w:p w14:paraId="565344E6" w14:textId="7028E4E5" w:rsidR="00181AE6" w:rsidRDefault="00181AE6" w:rsidP="00021777">
      <w:pPr>
        <w:pStyle w:val="ListParagraph"/>
        <w:numPr>
          <w:ilvl w:val="0"/>
          <w:numId w:val="1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Large number </w:t>
      </w:r>
      <w:r w:rsidR="00365C4F">
        <w:rPr>
          <w:rFonts w:asciiTheme="minorHAnsi" w:hAnsiTheme="minorHAnsi" w:cs="Arial"/>
        </w:rPr>
        <w:t xml:space="preserve">(&gt;5) </w:t>
      </w:r>
      <w:r>
        <w:rPr>
          <w:rFonts w:asciiTheme="minorHAnsi" w:hAnsiTheme="minorHAnsi" w:cs="Arial"/>
        </w:rPr>
        <w:t xml:space="preserve">or high density of </w:t>
      </w:r>
      <w:proofErr w:type="gramStart"/>
      <w:r>
        <w:rPr>
          <w:rFonts w:asciiTheme="minorHAnsi" w:hAnsiTheme="minorHAnsi" w:cs="Arial"/>
        </w:rPr>
        <w:t>persons</w:t>
      </w:r>
      <w:r w:rsidR="009D1DC5">
        <w:rPr>
          <w:rFonts w:asciiTheme="minorHAnsi" w:hAnsiTheme="minorHAnsi" w:cs="Arial"/>
        </w:rPr>
        <w:t>;</w:t>
      </w:r>
      <w:proofErr w:type="gramEnd"/>
    </w:p>
    <w:p w14:paraId="69D40066" w14:textId="39FAEDF7" w:rsidR="00181AE6" w:rsidRDefault="00181AE6" w:rsidP="00021777">
      <w:pPr>
        <w:pStyle w:val="ListParagraph"/>
        <w:numPr>
          <w:ilvl w:val="0"/>
          <w:numId w:val="1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Presence of persons at high risk of progression to active dise</w:t>
      </w:r>
      <w:r w:rsidR="000822BA">
        <w:rPr>
          <w:rFonts w:asciiTheme="minorHAnsi" w:hAnsiTheme="minorHAnsi" w:cs="Arial"/>
        </w:rPr>
        <w:t>ase</w:t>
      </w:r>
      <w:r w:rsidR="00542121">
        <w:rPr>
          <w:rFonts w:asciiTheme="minorHAnsi" w:hAnsiTheme="minorHAnsi" w:cs="Arial"/>
        </w:rPr>
        <w:t>,</w:t>
      </w:r>
      <w:r w:rsidR="000822BA">
        <w:rPr>
          <w:rFonts w:asciiTheme="minorHAnsi" w:hAnsiTheme="minorHAnsi" w:cs="Arial"/>
        </w:rPr>
        <w:t xml:space="preserve"> including children less than</w:t>
      </w:r>
      <w:r>
        <w:rPr>
          <w:rFonts w:asciiTheme="minorHAnsi" w:hAnsiTheme="minorHAnsi" w:cs="Arial"/>
        </w:rPr>
        <w:t xml:space="preserve"> five years of age, persons with immune-</w:t>
      </w:r>
      <w:proofErr w:type="gramStart"/>
      <w:r>
        <w:rPr>
          <w:rFonts w:asciiTheme="minorHAnsi" w:hAnsiTheme="minorHAnsi" w:cs="Arial"/>
        </w:rPr>
        <w:t>suppression</w:t>
      </w:r>
      <w:r w:rsidR="009D1DC5">
        <w:rPr>
          <w:rFonts w:asciiTheme="minorHAnsi" w:hAnsiTheme="minorHAnsi" w:cs="Arial"/>
        </w:rPr>
        <w:t>;</w:t>
      </w:r>
      <w:proofErr w:type="gramEnd"/>
    </w:p>
    <w:p w14:paraId="70E17060" w14:textId="6A87FE23" w:rsidR="000822BA" w:rsidRDefault="000822BA" w:rsidP="00021777">
      <w:pPr>
        <w:pStyle w:val="ListParagraph"/>
        <w:numPr>
          <w:ilvl w:val="0"/>
          <w:numId w:val="1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Presence of persons who have not been previously exposed to the person </w:t>
      </w:r>
      <w:r w:rsidR="00542121">
        <w:rPr>
          <w:rFonts w:asciiTheme="minorHAnsi" w:hAnsiTheme="minorHAnsi" w:cs="Arial"/>
        </w:rPr>
        <w:t xml:space="preserve">known or </w:t>
      </w:r>
      <w:r>
        <w:rPr>
          <w:rFonts w:asciiTheme="minorHAnsi" w:hAnsiTheme="minorHAnsi" w:cs="Arial"/>
        </w:rPr>
        <w:t>suspected to have pulmonary tuberculosis.</w:t>
      </w:r>
    </w:p>
    <w:p w14:paraId="07B10CC3" w14:textId="77777777" w:rsidR="00D51723" w:rsidRPr="00021777" w:rsidRDefault="00D51723" w:rsidP="00021777">
      <w:pPr>
        <w:ind w:left="1080"/>
        <w:rPr>
          <w:rFonts w:asciiTheme="minorHAnsi" w:hAnsiTheme="minorHAnsi" w:cs="Arial"/>
        </w:rPr>
      </w:pPr>
    </w:p>
    <w:p w14:paraId="13A10153" w14:textId="0B4DE8AD" w:rsidR="000822BA" w:rsidRPr="00021777" w:rsidRDefault="000822BA" w:rsidP="00021777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</w:rPr>
      </w:pPr>
      <w:r w:rsidRPr="00021777">
        <w:rPr>
          <w:rFonts w:asciiTheme="minorHAnsi" w:hAnsiTheme="minorHAnsi" w:cs="Arial"/>
          <w:b/>
        </w:rPr>
        <w:t>Lower Risk Setting</w:t>
      </w:r>
    </w:p>
    <w:p w14:paraId="44F8792F" w14:textId="06DF04BB" w:rsidR="000822BA" w:rsidRPr="00021777" w:rsidRDefault="000822BA" w:rsidP="00021777">
      <w:pPr>
        <w:ind w:left="720"/>
        <w:rPr>
          <w:rFonts w:asciiTheme="minorHAnsi" w:hAnsiTheme="minorHAnsi" w:cs="Arial"/>
        </w:rPr>
      </w:pPr>
      <w:r w:rsidRPr="00021777">
        <w:rPr>
          <w:rFonts w:asciiTheme="minorHAnsi" w:hAnsiTheme="minorHAnsi" w:cs="Arial"/>
        </w:rPr>
        <w:t xml:space="preserve">A </w:t>
      </w:r>
      <w:r w:rsidR="009D1DC5" w:rsidRPr="009D1DC5">
        <w:rPr>
          <w:rFonts w:asciiTheme="minorHAnsi" w:hAnsiTheme="minorHAnsi" w:cs="Arial"/>
          <w:i/>
        </w:rPr>
        <w:t>lower risk setting</w:t>
      </w:r>
      <w:r w:rsidR="009D1DC5">
        <w:rPr>
          <w:rFonts w:asciiTheme="minorHAnsi" w:hAnsiTheme="minorHAnsi" w:cs="Arial"/>
        </w:rPr>
        <w:t xml:space="preserve"> is a </w:t>
      </w:r>
      <w:r w:rsidRPr="006F3146">
        <w:rPr>
          <w:rFonts w:asciiTheme="minorHAnsi" w:hAnsiTheme="minorHAnsi" w:cs="Arial"/>
        </w:rPr>
        <w:t>residential</w:t>
      </w:r>
      <w:r w:rsidR="009D1DC5">
        <w:rPr>
          <w:rFonts w:asciiTheme="minorHAnsi" w:hAnsiTheme="minorHAnsi" w:cs="Arial"/>
        </w:rPr>
        <w:t xml:space="preserve"> or </w:t>
      </w:r>
      <w:r w:rsidR="006F3146" w:rsidRPr="006F3146">
        <w:rPr>
          <w:rFonts w:asciiTheme="minorHAnsi" w:hAnsiTheme="minorHAnsi" w:cs="Arial"/>
        </w:rPr>
        <w:t>home</w:t>
      </w:r>
      <w:r w:rsidRPr="00021777">
        <w:rPr>
          <w:rFonts w:asciiTheme="minorHAnsi" w:hAnsiTheme="minorHAnsi" w:cs="Arial"/>
        </w:rPr>
        <w:t xml:space="preserve"> setting </w:t>
      </w:r>
      <w:r w:rsidR="00021777">
        <w:rPr>
          <w:rFonts w:asciiTheme="minorHAnsi" w:hAnsiTheme="minorHAnsi" w:cs="Arial"/>
        </w:rPr>
        <w:t xml:space="preserve">that is </w:t>
      </w:r>
      <w:r w:rsidRPr="00021777">
        <w:rPr>
          <w:rFonts w:asciiTheme="minorHAnsi" w:hAnsiTheme="minorHAnsi" w:cs="Arial"/>
        </w:rPr>
        <w:t xml:space="preserve">not characterized as high risk and </w:t>
      </w:r>
      <w:r w:rsidR="009D1DC5">
        <w:rPr>
          <w:rFonts w:asciiTheme="minorHAnsi" w:hAnsiTheme="minorHAnsi" w:cs="Arial"/>
        </w:rPr>
        <w:t xml:space="preserve">for which </w:t>
      </w:r>
      <w:r w:rsidRPr="00021777">
        <w:rPr>
          <w:rFonts w:asciiTheme="minorHAnsi" w:hAnsiTheme="minorHAnsi" w:cs="Arial"/>
        </w:rPr>
        <w:t>the following</w:t>
      </w:r>
      <w:r w:rsidR="00021777">
        <w:rPr>
          <w:rFonts w:asciiTheme="minorHAnsi" w:hAnsiTheme="minorHAnsi" w:cs="Arial"/>
        </w:rPr>
        <w:t xml:space="preserve"> is true</w:t>
      </w:r>
      <w:r w:rsidRPr="00021777">
        <w:rPr>
          <w:rFonts w:asciiTheme="minorHAnsi" w:hAnsiTheme="minorHAnsi" w:cs="Arial"/>
        </w:rPr>
        <w:t>:</w:t>
      </w:r>
    </w:p>
    <w:p w14:paraId="468830B0" w14:textId="2E54B677" w:rsidR="000822BA" w:rsidRDefault="000822BA" w:rsidP="00021777">
      <w:pPr>
        <w:pStyle w:val="ListParagraph"/>
        <w:numPr>
          <w:ilvl w:val="1"/>
          <w:numId w:val="2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other persons share the same space</w:t>
      </w:r>
      <w:r w:rsidR="00E820CA" w:rsidRPr="00E820CA">
        <w:rPr>
          <w:rFonts w:asciiTheme="minorHAnsi" w:hAnsiTheme="minorHAnsi" w:cs="Arial"/>
        </w:rPr>
        <w:t xml:space="preserve"> </w:t>
      </w:r>
      <w:r w:rsidR="00E820CA">
        <w:rPr>
          <w:rFonts w:asciiTheme="minorHAnsi" w:hAnsiTheme="minorHAnsi" w:cs="Arial"/>
        </w:rPr>
        <w:t>or re-circulated ventilation</w:t>
      </w:r>
      <w:r w:rsidR="009D1DC5">
        <w:rPr>
          <w:rFonts w:asciiTheme="minorHAnsi" w:hAnsiTheme="minorHAnsi" w:cs="Arial"/>
        </w:rPr>
        <w:t xml:space="preserve"> OR</w:t>
      </w:r>
    </w:p>
    <w:p w14:paraId="05B54888" w14:textId="19225ACE" w:rsidR="000822BA" w:rsidRDefault="000822BA" w:rsidP="00021777">
      <w:pPr>
        <w:pStyle w:val="ListParagraph"/>
        <w:numPr>
          <w:ilvl w:val="1"/>
          <w:numId w:val="2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Other persons who share the same space are not at increased risk for progression to active disease</w:t>
      </w:r>
      <w:r w:rsidR="009D1DC5">
        <w:rPr>
          <w:rFonts w:asciiTheme="minorHAnsi" w:hAnsiTheme="minorHAnsi" w:cs="Arial"/>
        </w:rPr>
        <w:t xml:space="preserve"> OR</w:t>
      </w:r>
    </w:p>
    <w:p w14:paraId="00A94FB3" w14:textId="65B410BE" w:rsidR="000822BA" w:rsidRPr="00021777" w:rsidRDefault="00D51723" w:rsidP="00021777">
      <w:pPr>
        <w:pStyle w:val="ListParagraph"/>
        <w:numPr>
          <w:ilvl w:val="1"/>
          <w:numId w:val="2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 at-</w:t>
      </w:r>
      <w:r w:rsidR="000822BA">
        <w:rPr>
          <w:rFonts w:asciiTheme="minorHAnsi" w:hAnsiTheme="minorHAnsi" w:cs="Arial"/>
        </w:rPr>
        <w:t xml:space="preserve">risk persons have been evaluated and </w:t>
      </w:r>
      <w:r w:rsidR="00542121">
        <w:rPr>
          <w:rFonts w:asciiTheme="minorHAnsi" w:hAnsiTheme="minorHAnsi" w:cs="Arial"/>
        </w:rPr>
        <w:t xml:space="preserve">previously exposed </w:t>
      </w:r>
      <w:r w:rsidR="000822BA">
        <w:rPr>
          <w:rFonts w:asciiTheme="minorHAnsi" w:hAnsiTheme="minorHAnsi" w:cs="Arial"/>
        </w:rPr>
        <w:t xml:space="preserve">children under five years of age have </w:t>
      </w:r>
      <w:r w:rsidR="00542121">
        <w:rPr>
          <w:rFonts w:asciiTheme="minorHAnsi" w:hAnsiTheme="minorHAnsi" w:cs="Arial"/>
        </w:rPr>
        <w:t xml:space="preserve">been </w:t>
      </w:r>
      <w:r w:rsidR="000822BA">
        <w:rPr>
          <w:rFonts w:asciiTheme="minorHAnsi" w:hAnsiTheme="minorHAnsi" w:cs="Arial"/>
        </w:rPr>
        <w:t xml:space="preserve">started on </w:t>
      </w:r>
      <w:r w:rsidR="00542121">
        <w:rPr>
          <w:rFonts w:asciiTheme="minorHAnsi" w:hAnsiTheme="minorHAnsi" w:cs="Arial"/>
        </w:rPr>
        <w:t>“</w:t>
      </w:r>
      <w:r w:rsidR="000822BA">
        <w:rPr>
          <w:rFonts w:asciiTheme="minorHAnsi" w:hAnsiTheme="minorHAnsi" w:cs="Arial"/>
        </w:rPr>
        <w:t>window</w:t>
      </w:r>
      <w:r w:rsidR="00542121">
        <w:rPr>
          <w:rFonts w:asciiTheme="minorHAnsi" w:hAnsiTheme="minorHAnsi" w:cs="Arial"/>
        </w:rPr>
        <w:t>”</w:t>
      </w:r>
      <w:r w:rsidR="000822BA">
        <w:rPr>
          <w:rFonts w:asciiTheme="minorHAnsi" w:hAnsiTheme="minorHAnsi" w:cs="Arial"/>
        </w:rPr>
        <w:t xml:space="preserve"> prophylaxis</w:t>
      </w:r>
      <w:r w:rsidR="00021777">
        <w:rPr>
          <w:rFonts w:asciiTheme="minorHAnsi" w:hAnsiTheme="minorHAnsi" w:cs="Arial"/>
        </w:rPr>
        <w:t>.</w:t>
      </w:r>
      <w:r w:rsidR="000822BA">
        <w:rPr>
          <w:rFonts w:asciiTheme="minorHAnsi" w:hAnsiTheme="minorHAnsi" w:cs="Arial"/>
        </w:rPr>
        <w:t xml:space="preserve"> </w:t>
      </w:r>
    </w:p>
    <w:p w14:paraId="643A52AC" w14:textId="6A511A6D" w:rsidR="00EC5465" w:rsidRPr="00F52B58" w:rsidRDefault="00EC5465" w:rsidP="000B0EB1">
      <w:pPr>
        <w:rPr>
          <w:rFonts w:asciiTheme="minorHAnsi" w:hAnsiTheme="minorHAnsi" w:cs="Arial"/>
          <w:u w:val="single"/>
        </w:rPr>
      </w:pPr>
    </w:p>
    <w:p w14:paraId="6760F7CA" w14:textId="7C26D416" w:rsidR="00B11E45" w:rsidRPr="00021777" w:rsidRDefault="00E20043" w:rsidP="00E65552">
      <w:pPr>
        <w:pStyle w:val="ListParagraph"/>
        <w:numPr>
          <w:ilvl w:val="0"/>
          <w:numId w:val="2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Person </w:t>
      </w:r>
      <w:r w:rsidR="004A1983" w:rsidRPr="00021777">
        <w:rPr>
          <w:rFonts w:asciiTheme="minorHAnsi" w:hAnsiTheme="minorHAnsi" w:cs="Arial"/>
          <w:b/>
        </w:rPr>
        <w:t>Considerations</w:t>
      </w:r>
    </w:p>
    <w:p w14:paraId="23D928D6" w14:textId="77777777" w:rsidR="00B11E45" w:rsidRDefault="00B11E45" w:rsidP="000B0EB1">
      <w:pPr>
        <w:rPr>
          <w:rFonts w:asciiTheme="minorHAnsi" w:hAnsiTheme="minorHAnsi" w:cs="Arial"/>
        </w:rPr>
      </w:pPr>
    </w:p>
    <w:p w14:paraId="0FBC092B" w14:textId="6A2F96E5" w:rsidR="00F52B58" w:rsidRPr="004808FE" w:rsidRDefault="00F52B58" w:rsidP="004808FE">
      <w:pPr>
        <w:pStyle w:val="ListParagraph"/>
        <w:numPr>
          <w:ilvl w:val="0"/>
          <w:numId w:val="28"/>
        </w:numPr>
        <w:rPr>
          <w:rFonts w:asciiTheme="minorHAnsi" w:hAnsiTheme="minorHAnsi" w:cs="Arial"/>
        </w:rPr>
      </w:pPr>
      <w:r w:rsidRPr="004808FE">
        <w:rPr>
          <w:rFonts w:asciiTheme="minorHAnsi" w:hAnsiTheme="minorHAnsi" w:cs="Arial"/>
        </w:rPr>
        <w:t xml:space="preserve">There may be instances where the </w:t>
      </w:r>
      <w:r w:rsidR="004808FE">
        <w:rPr>
          <w:rFonts w:asciiTheme="minorHAnsi" w:hAnsiTheme="minorHAnsi" w:cs="Arial"/>
        </w:rPr>
        <w:t xml:space="preserve">hospitalized </w:t>
      </w:r>
      <w:r w:rsidRPr="004808FE">
        <w:rPr>
          <w:rFonts w:asciiTheme="minorHAnsi" w:hAnsiTheme="minorHAnsi" w:cs="Arial"/>
        </w:rPr>
        <w:t xml:space="preserve">patient </w:t>
      </w:r>
      <w:r w:rsidR="00B27C90" w:rsidRPr="004808FE">
        <w:rPr>
          <w:rFonts w:asciiTheme="minorHAnsi" w:hAnsiTheme="minorHAnsi" w:cs="Arial"/>
        </w:rPr>
        <w:t>is</w:t>
      </w:r>
      <w:r w:rsidRPr="004808FE">
        <w:rPr>
          <w:rFonts w:asciiTheme="minorHAnsi" w:hAnsiTheme="minorHAnsi" w:cs="Arial"/>
        </w:rPr>
        <w:t xml:space="preserve"> unable</w:t>
      </w:r>
      <w:r w:rsidR="00B27C90" w:rsidRPr="004808FE">
        <w:rPr>
          <w:rFonts w:asciiTheme="minorHAnsi" w:hAnsiTheme="minorHAnsi" w:cs="Arial"/>
        </w:rPr>
        <w:t xml:space="preserve"> or</w:t>
      </w:r>
      <w:r w:rsidR="00C158BB" w:rsidRPr="004808FE">
        <w:rPr>
          <w:rFonts w:asciiTheme="minorHAnsi" w:hAnsiTheme="minorHAnsi" w:cs="Arial"/>
        </w:rPr>
        <w:t xml:space="preserve"> </w:t>
      </w:r>
      <w:r w:rsidRPr="004808FE">
        <w:rPr>
          <w:rFonts w:asciiTheme="minorHAnsi" w:hAnsiTheme="minorHAnsi" w:cs="Arial"/>
        </w:rPr>
        <w:t xml:space="preserve">unwilling to accept appropriate outpatient </w:t>
      </w:r>
      <w:r w:rsidR="004808FE" w:rsidRPr="004808FE">
        <w:rPr>
          <w:rFonts w:asciiTheme="minorHAnsi" w:hAnsiTheme="minorHAnsi" w:cs="Arial"/>
        </w:rPr>
        <w:t>care and</w:t>
      </w:r>
      <w:r w:rsidRPr="004808FE">
        <w:rPr>
          <w:rFonts w:asciiTheme="minorHAnsi" w:hAnsiTheme="minorHAnsi" w:cs="Arial"/>
        </w:rPr>
        <w:t xml:space="preserve"> need</w:t>
      </w:r>
      <w:r w:rsidR="00B27C90" w:rsidRPr="004808FE">
        <w:rPr>
          <w:rFonts w:asciiTheme="minorHAnsi" w:hAnsiTheme="minorHAnsi" w:cs="Arial"/>
        </w:rPr>
        <w:t>s</w:t>
      </w:r>
      <w:r w:rsidRPr="004808FE">
        <w:rPr>
          <w:rFonts w:asciiTheme="minorHAnsi" w:hAnsiTheme="minorHAnsi" w:cs="Arial"/>
        </w:rPr>
        <w:t xml:space="preserve"> a more restrictive environment at the onset of therapy.</w:t>
      </w:r>
      <w:r w:rsidR="00697E82" w:rsidRPr="004808FE">
        <w:rPr>
          <w:rFonts w:asciiTheme="minorHAnsi" w:hAnsiTheme="minorHAnsi" w:cs="Arial"/>
        </w:rPr>
        <w:t xml:space="preserve"> </w:t>
      </w:r>
      <w:r w:rsidRPr="004808FE">
        <w:rPr>
          <w:rFonts w:asciiTheme="minorHAnsi" w:hAnsiTheme="minorHAnsi" w:cs="Arial"/>
        </w:rPr>
        <w:t xml:space="preserve">  Referrals can be made to</w:t>
      </w:r>
      <w:r w:rsidR="00B27C90" w:rsidRPr="004808FE">
        <w:rPr>
          <w:rFonts w:asciiTheme="minorHAnsi" w:hAnsiTheme="minorHAnsi" w:cs="Arial"/>
        </w:rPr>
        <w:t xml:space="preserve"> the</w:t>
      </w:r>
      <w:r w:rsidRPr="004808FE">
        <w:rPr>
          <w:rFonts w:asciiTheme="minorHAnsi" w:hAnsiTheme="minorHAnsi" w:cs="Arial"/>
        </w:rPr>
        <w:t xml:space="preserve"> </w:t>
      </w:r>
      <w:r w:rsidR="00B11E45" w:rsidRPr="004808FE">
        <w:rPr>
          <w:rFonts w:asciiTheme="minorHAnsi" w:hAnsiTheme="minorHAnsi" w:cs="Arial"/>
        </w:rPr>
        <w:t xml:space="preserve">MDPH </w:t>
      </w:r>
      <w:r w:rsidRPr="004808FE">
        <w:rPr>
          <w:rFonts w:asciiTheme="minorHAnsi" w:hAnsiTheme="minorHAnsi" w:cs="Arial"/>
        </w:rPr>
        <w:t xml:space="preserve">Lemuel Shattuck Hospital, TB Treatment Services for interim hospitalization.  </w:t>
      </w:r>
      <w:r w:rsidR="00B27C90" w:rsidRPr="004808FE">
        <w:rPr>
          <w:rFonts w:asciiTheme="minorHAnsi" w:hAnsiTheme="minorHAnsi" w:cs="Arial"/>
        </w:rPr>
        <w:t xml:space="preserve">Examples of situations </w:t>
      </w:r>
      <w:r w:rsidR="004808FE">
        <w:rPr>
          <w:rFonts w:asciiTheme="minorHAnsi" w:hAnsiTheme="minorHAnsi" w:cs="Arial"/>
        </w:rPr>
        <w:t>when</w:t>
      </w:r>
      <w:r w:rsidR="00542121" w:rsidRPr="004808FE">
        <w:rPr>
          <w:rFonts w:asciiTheme="minorHAnsi" w:hAnsiTheme="minorHAnsi" w:cs="Arial"/>
        </w:rPr>
        <w:t xml:space="preserve"> </w:t>
      </w:r>
      <w:r w:rsidR="00B27C90" w:rsidRPr="004808FE">
        <w:rPr>
          <w:rFonts w:asciiTheme="minorHAnsi" w:hAnsiTheme="minorHAnsi" w:cs="Arial"/>
        </w:rPr>
        <w:t xml:space="preserve">hospitalization may be appropriate </w:t>
      </w:r>
      <w:r w:rsidRPr="004808FE">
        <w:rPr>
          <w:rFonts w:asciiTheme="minorHAnsi" w:hAnsiTheme="minorHAnsi" w:cs="Arial"/>
        </w:rPr>
        <w:t>include:</w:t>
      </w:r>
    </w:p>
    <w:p w14:paraId="3BB86A66" w14:textId="539090B4" w:rsidR="00F52B58" w:rsidRDefault="004808FE" w:rsidP="00021777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 individual is</w:t>
      </w:r>
      <w:r w:rsidR="006845B9">
        <w:rPr>
          <w:rFonts w:asciiTheme="minorHAnsi" w:hAnsiTheme="minorHAnsi" w:cs="Arial"/>
        </w:rPr>
        <w:t xml:space="preserve"> unable or unwilling to adhere to a community TB care </w:t>
      </w:r>
      <w:proofErr w:type="gramStart"/>
      <w:r w:rsidR="006845B9">
        <w:rPr>
          <w:rFonts w:asciiTheme="minorHAnsi" w:hAnsiTheme="minorHAnsi" w:cs="Arial"/>
        </w:rPr>
        <w:t>plan;</w:t>
      </w:r>
      <w:proofErr w:type="gramEnd"/>
    </w:p>
    <w:p w14:paraId="2CD6923D" w14:textId="41611375" w:rsidR="00F52B58" w:rsidRDefault="004808FE" w:rsidP="00021777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An individual has</w:t>
      </w:r>
      <w:r w:rsidR="00F52B58">
        <w:rPr>
          <w:rFonts w:asciiTheme="minorHAnsi" w:hAnsiTheme="minorHAnsi" w:cs="Arial"/>
        </w:rPr>
        <w:t xml:space="preserve"> demonstrated or documented mental health or substance abuse issues</w:t>
      </w:r>
      <w:r w:rsidR="00B11E45">
        <w:rPr>
          <w:rFonts w:asciiTheme="minorHAnsi" w:hAnsiTheme="minorHAnsi" w:cs="Arial"/>
        </w:rPr>
        <w:t xml:space="preserve"> that </w:t>
      </w:r>
      <w:r w:rsidR="00E820CA">
        <w:rPr>
          <w:rFonts w:asciiTheme="minorHAnsi" w:hAnsiTheme="minorHAnsi" w:cs="Arial"/>
        </w:rPr>
        <w:t xml:space="preserve">adversely </w:t>
      </w:r>
      <w:r w:rsidR="00B11E45">
        <w:rPr>
          <w:rFonts w:asciiTheme="minorHAnsi" w:hAnsiTheme="minorHAnsi" w:cs="Arial"/>
        </w:rPr>
        <w:t xml:space="preserve">affect their ability to manage their TB </w:t>
      </w:r>
      <w:proofErr w:type="gramStart"/>
      <w:r w:rsidR="00B11E45">
        <w:rPr>
          <w:rFonts w:asciiTheme="minorHAnsi" w:hAnsiTheme="minorHAnsi" w:cs="Arial"/>
        </w:rPr>
        <w:t>treatment</w:t>
      </w:r>
      <w:r w:rsidR="006845B9">
        <w:rPr>
          <w:rFonts w:asciiTheme="minorHAnsi" w:hAnsiTheme="minorHAnsi" w:cs="Arial"/>
        </w:rPr>
        <w:t>;</w:t>
      </w:r>
      <w:proofErr w:type="gramEnd"/>
    </w:p>
    <w:p w14:paraId="3EB4F711" w14:textId="57519614" w:rsidR="00F52B58" w:rsidRDefault="004808FE" w:rsidP="00021777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 individual is </w:t>
      </w:r>
      <w:r w:rsidR="00B11E45">
        <w:rPr>
          <w:rFonts w:asciiTheme="minorHAnsi" w:hAnsiTheme="minorHAnsi" w:cs="Arial"/>
        </w:rPr>
        <w:t>currently experiencing h</w:t>
      </w:r>
      <w:r w:rsidR="00F52B58">
        <w:rPr>
          <w:rFonts w:asciiTheme="minorHAnsi" w:hAnsiTheme="minorHAnsi" w:cs="Arial"/>
        </w:rPr>
        <w:t>omeless</w:t>
      </w:r>
      <w:r w:rsidR="00B11E45">
        <w:rPr>
          <w:rFonts w:asciiTheme="minorHAnsi" w:hAnsiTheme="minorHAnsi" w:cs="Arial"/>
        </w:rPr>
        <w:t>ness</w:t>
      </w:r>
      <w:r w:rsidR="00F52B5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 has</w:t>
      </w:r>
      <w:r w:rsidR="00F52B58">
        <w:rPr>
          <w:rFonts w:asciiTheme="minorHAnsi" w:hAnsiTheme="minorHAnsi" w:cs="Arial"/>
        </w:rPr>
        <w:t xml:space="preserve"> no community supports or resources</w:t>
      </w:r>
      <w:r w:rsidR="006845B9">
        <w:rPr>
          <w:rFonts w:asciiTheme="minorHAnsi" w:hAnsiTheme="minorHAnsi" w:cs="Arial"/>
        </w:rPr>
        <w:t>;</w:t>
      </w:r>
      <w:r w:rsidR="00020F99">
        <w:rPr>
          <w:rFonts w:asciiTheme="minorHAnsi" w:hAnsiTheme="minorHAnsi" w:cs="Arial"/>
        </w:rPr>
        <w:t xml:space="preserve"> or</w:t>
      </w:r>
    </w:p>
    <w:p w14:paraId="49191DEB" w14:textId="1D734095" w:rsidR="00697E82" w:rsidRDefault="004808FE" w:rsidP="00697E82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 individual </w:t>
      </w:r>
      <w:r w:rsidR="00B11E45">
        <w:rPr>
          <w:rFonts w:asciiTheme="minorHAnsi" w:hAnsiTheme="minorHAnsi" w:cs="Arial"/>
        </w:rPr>
        <w:t xml:space="preserve">who </w:t>
      </w:r>
      <w:r w:rsidR="002C484A">
        <w:rPr>
          <w:rFonts w:asciiTheme="minorHAnsi" w:hAnsiTheme="minorHAnsi" w:cs="Arial"/>
        </w:rPr>
        <w:t>cannot be discharged to the community</w:t>
      </w:r>
      <w:r w:rsidR="00C158BB">
        <w:rPr>
          <w:rFonts w:asciiTheme="minorHAnsi" w:hAnsiTheme="minorHAnsi" w:cs="Arial"/>
        </w:rPr>
        <w:t xml:space="preserve"> </w:t>
      </w:r>
      <w:r w:rsidR="00F52B58">
        <w:rPr>
          <w:rFonts w:asciiTheme="minorHAnsi" w:hAnsiTheme="minorHAnsi" w:cs="Arial"/>
        </w:rPr>
        <w:t xml:space="preserve">because they live in a congregate setting or with vulnerable persons in the </w:t>
      </w:r>
      <w:r w:rsidR="00F52B58" w:rsidRPr="002C484A">
        <w:rPr>
          <w:rFonts w:asciiTheme="minorHAnsi" w:hAnsiTheme="minorHAnsi" w:cs="Arial"/>
        </w:rPr>
        <w:t>home.</w:t>
      </w:r>
      <w:r w:rsidR="004A1983" w:rsidRPr="002C484A">
        <w:rPr>
          <w:rFonts w:asciiTheme="minorHAnsi" w:hAnsiTheme="minorHAnsi" w:cs="Arial"/>
        </w:rPr>
        <w:t xml:space="preserve"> Once </w:t>
      </w:r>
      <w:r w:rsidR="002C484A" w:rsidRPr="002C484A">
        <w:rPr>
          <w:rFonts w:asciiTheme="minorHAnsi" w:hAnsiTheme="minorHAnsi" w:cs="Arial"/>
        </w:rPr>
        <w:t xml:space="preserve">determined to be </w:t>
      </w:r>
      <w:r w:rsidR="004A1983" w:rsidRPr="002C484A">
        <w:rPr>
          <w:rFonts w:asciiTheme="minorHAnsi" w:hAnsiTheme="minorHAnsi" w:cs="Arial"/>
        </w:rPr>
        <w:t>non-infectious, th</w:t>
      </w:r>
      <w:r>
        <w:rPr>
          <w:rFonts w:asciiTheme="minorHAnsi" w:hAnsiTheme="minorHAnsi" w:cs="Arial"/>
        </w:rPr>
        <w:t>i</w:t>
      </w:r>
      <w:r w:rsidR="004A1983" w:rsidRPr="002C484A">
        <w:rPr>
          <w:rFonts w:asciiTheme="minorHAnsi" w:hAnsiTheme="minorHAnsi" w:cs="Arial"/>
        </w:rPr>
        <w:t xml:space="preserve">s </w:t>
      </w:r>
      <w:r>
        <w:rPr>
          <w:rFonts w:asciiTheme="minorHAnsi" w:hAnsiTheme="minorHAnsi" w:cs="Arial"/>
        </w:rPr>
        <w:t>individual</w:t>
      </w:r>
      <w:r w:rsidRPr="002C484A">
        <w:rPr>
          <w:rFonts w:asciiTheme="minorHAnsi" w:hAnsiTheme="minorHAnsi" w:cs="Arial"/>
        </w:rPr>
        <w:t xml:space="preserve"> </w:t>
      </w:r>
      <w:r w:rsidR="004A1983" w:rsidRPr="002C484A">
        <w:rPr>
          <w:rFonts w:asciiTheme="minorHAnsi" w:hAnsiTheme="minorHAnsi" w:cs="Arial"/>
        </w:rPr>
        <w:t xml:space="preserve">may be able to return to their </w:t>
      </w:r>
      <w:r w:rsidR="002477FC">
        <w:rPr>
          <w:rFonts w:asciiTheme="minorHAnsi" w:hAnsiTheme="minorHAnsi" w:cs="Arial"/>
        </w:rPr>
        <w:t xml:space="preserve">regular </w:t>
      </w:r>
      <w:r w:rsidR="004A1983" w:rsidRPr="002C484A">
        <w:rPr>
          <w:rFonts w:asciiTheme="minorHAnsi" w:hAnsiTheme="minorHAnsi" w:cs="Arial"/>
        </w:rPr>
        <w:t xml:space="preserve">residence. </w:t>
      </w:r>
    </w:p>
    <w:p w14:paraId="649122EC" w14:textId="69A51E0F" w:rsidR="00677F85" w:rsidRPr="004808FE" w:rsidRDefault="00697E82" w:rsidP="004808FE">
      <w:pPr>
        <w:pStyle w:val="ListParagraph"/>
        <w:numPr>
          <w:ilvl w:val="0"/>
          <w:numId w:val="28"/>
        </w:numPr>
        <w:rPr>
          <w:rFonts w:asciiTheme="minorHAnsi" w:hAnsiTheme="minorHAnsi" w:cs="Arial"/>
        </w:rPr>
      </w:pPr>
      <w:r w:rsidRPr="004808FE">
        <w:rPr>
          <w:rFonts w:asciiTheme="minorHAnsi" w:hAnsiTheme="minorHAnsi" w:cs="Arial"/>
        </w:rPr>
        <w:t xml:space="preserve">The Lemuel Shattuck Hospital also provides hospital level of care for individuals </w:t>
      </w:r>
      <w:r w:rsidR="00677F85" w:rsidRPr="004808FE">
        <w:rPr>
          <w:rFonts w:asciiTheme="minorHAnsi" w:hAnsiTheme="minorHAnsi" w:cs="Arial"/>
        </w:rPr>
        <w:t xml:space="preserve">with complex co-morbidities and/or treatment </w:t>
      </w:r>
      <w:r w:rsidR="001D71C5">
        <w:rPr>
          <w:rFonts w:asciiTheme="minorHAnsi" w:hAnsiTheme="minorHAnsi" w:cs="Arial"/>
        </w:rPr>
        <w:t xml:space="preserve">for </w:t>
      </w:r>
      <w:r w:rsidR="00677F85" w:rsidRPr="004808FE">
        <w:rPr>
          <w:rFonts w:asciiTheme="minorHAnsi" w:hAnsiTheme="minorHAnsi" w:cs="Arial"/>
        </w:rPr>
        <w:t>which additional observation and interventions in a clinical setting</w:t>
      </w:r>
      <w:r w:rsidR="001D71C5">
        <w:rPr>
          <w:rFonts w:asciiTheme="minorHAnsi" w:hAnsiTheme="minorHAnsi" w:cs="Arial"/>
        </w:rPr>
        <w:t xml:space="preserve"> are required</w:t>
      </w:r>
      <w:r w:rsidR="00677F85" w:rsidRPr="004808FE">
        <w:rPr>
          <w:rFonts w:asciiTheme="minorHAnsi" w:hAnsiTheme="minorHAnsi" w:cs="Arial"/>
        </w:rPr>
        <w:t xml:space="preserve">. </w:t>
      </w:r>
    </w:p>
    <w:p w14:paraId="1201AA5F" w14:textId="77777777" w:rsidR="002C484A" w:rsidRDefault="002C484A" w:rsidP="002C484A">
      <w:pPr>
        <w:rPr>
          <w:rFonts w:asciiTheme="minorHAnsi" w:hAnsiTheme="minorHAnsi" w:cs="Arial"/>
        </w:rPr>
      </w:pPr>
    </w:p>
    <w:p w14:paraId="674F7F4C" w14:textId="0FA60441" w:rsidR="00B27C90" w:rsidRPr="002C484A" w:rsidRDefault="002C484A" w:rsidP="00021777">
      <w:p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these situations, t</w:t>
      </w:r>
      <w:r w:rsidR="00B27C90">
        <w:rPr>
          <w:rFonts w:asciiTheme="minorHAnsi" w:hAnsiTheme="minorHAnsi" w:cs="Arial"/>
        </w:rPr>
        <w:t xml:space="preserve">he discharging facility should consult with the MDPH TB Program staff </w:t>
      </w:r>
      <w:r w:rsidR="0049709B">
        <w:rPr>
          <w:rFonts w:asciiTheme="minorHAnsi" w:hAnsiTheme="minorHAnsi" w:cs="Arial"/>
        </w:rPr>
        <w:t xml:space="preserve">at 617-983-6970 </w:t>
      </w:r>
      <w:r w:rsidR="00B27C90">
        <w:rPr>
          <w:rFonts w:asciiTheme="minorHAnsi" w:hAnsiTheme="minorHAnsi" w:cs="Arial"/>
        </w:rPr>
        <w:t>for further guidance.</w:t>
      </w:r>
      <w:r w:rsidR="0049709B">
        <w:rPr>
          <w:rFonts w:asciiTheme="minorHAnsi" w:hAnsiTheme="minorHAnsi" w:cs="Arial"/>
        </w:rPr>
        <w:t xml:space="preserve"> </w:t>
      </w:r>
    </w:p>
    <w:p w14:paraId="56B65995" w14:textId="77777777" w:rsidR="00F52B58" w:rsidRPr="007173C7" w:rsidRDefault="00F52B58" w:rsidP="00F52B58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RESOURCE INFORMATION</w:t>
      </w:r>
    </w:p>
    <w:p w14:paraId="2C9795C7" w14:textId="7E7F2499" w:rsidR="00F52B58" w:rsidRDefault="00F52B58" w:rsidP="00F52B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more information</w:t>
      </w:r>
      <w:r w:rsidR="00C158BB">
        <w:rPr>
          <w:rFonts w:asciiTheme="minorHAnsi" w:hAnsiTheme="minorHAnsi" w:cs="Arial"/>
        </w:rPr>
        <w:t>,</w:t>
      </w:r>
      <w:r w:rsidR="00C158BB" w:rsidRPr="00C158BB">
        <w:rPr>
          <w:rFonts w:asciiTheme="minorHAnsi" w:hAnsiTheme="minorHAnsi" w:cs="Arial"/>
        </w:rPr>
        <w:t xml:space="preserve"> </w:t>
      </w:r>
      <w:r w:rsidR="00C158BB">
        <w:rPr>
          <w:rFonts w:asciiTheme="minorHAnsi" w:hAnsiTheme="minorHAnsi" w:cs="Arial"/>
        </w:rPr>
        <w:t>guidance</w:t>
      </w:r>
      <w:r w:rsidR="001D71C5">
        <w:rPr>
          <w:rFonts w:asciiTheme="minorHAnsi" w:hAnsiTheme="minorHAnsi" w:cs="Arial"/>
        </w:rPr>
        <w:t>,</w:t>
      </w:r>
      <w:r w:rsidR="00C158BB">
        <w:rPr>
          <w:rFonts w:asciiTheme="minorHAnsi" w:hAnsiTheme="minorHAnsi" w:cs="Arial"/>
        </w:rPr>
        <w:t xml:space="preserve"> or questions regarding </w:t>
      </w:r>
      <w:r w:rsidR="002C484A">
        <w:rPr>
          <w:rFonts w:asciiTheme="minorHAnsi" w:hAnsiTheme="minorHAnsi" w:cs="Arial"/>
        </w:rPr>
        <w:t>discharge of</w:t>
      </w:r>
      <w:r w:rsidR="00C158BB">
        <w:rPr>
          <w:rFonts w:asciiTheme="minorHAnsi" w:hAnsiTheme="minorHAnsi" w:cs="Arial"/>
        </w:rPr>
        <w:t xml:space="preserve"> a person with suspected or confirmed TB to the community,</w:t>
      </w:r>
      <w:r>
        <w:rPr>
          <w:rFonts w:asciiTheme="minorHAnsi" w:hAnsiTheme="minorHAnsi" w:cs="Arial"/>
        </w:rPr>
        <w:t xml:space="preserve"> hospitals and local public health departments can contact the Massachusetts TB Program at 617-983-6970</w:t>
      </w:r>
      <w:r w:rsidR="00C158B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14:paraId="4E59B54E" w14:textId="77777777" w:rsidR="00F52B58" w:rsidRDefault="00F52B58" w:rsidP="00F52B58">
      <w:pPr>
        <w:rPr>
          <w:rFonts w:asciiTheme="minorHAnsi" w:hAnsiTheme="minorHAnsi" w:cs="Arial"/>
        </w:rPr>
      </w:pPr>
    </w:p>
    <w:p w14:paraId="628D4C26" w14:textId="7FA44C5F" w:rsidR="00F52B58" w:rsidRDefault="00F52B58" w:rsidP="00F52B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referrals to </w:t>
      </w:r>
      <w:r w:rsidR="003E11A2">
        <w:rPr>
          <w:rFonts w:asciiTheme="minorHAnsi" w:hAnsiTheme="minorHAnsi" w:cs="Arial"/>
        </w:rPr>
        <w:t xml:space="preserve">the DPH </w:t>
      </w:r>
      <w:r>
        <w:rPr>
          <w:rFonts w:asciiTheme="minorHAnsi" w:hAnsiTheme="minorHAnsi" w:cs="Arial"/>
        </w:rPr>
        <w:t>Lemuel Shattuck Hospital</w:t>
      </w:r>
      <w:r w:rsidR="00C158BB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contact the </w:t>
      </w:r>
      <w:r w:rsidR="00B11E45">
        <w:rPr>
          <w:rFonts w:asciiTheme="minorHAnsi" w:hAnsiTheme="minorHAnsi" w:cs="Arial"/>
        </w:rPr>
        <w:t>hospital’s C</w:t>
      </w:r>
      <w:r>
        <w:rPr>
          <w:rFonts w:asciiTheme="minorHAnsi" w:hAnsiTheme="minorHAnsi" w:cs="Arial"/>
        </w:rPr>
        <w:t xml:space="preserve">ase </w:t>
      </w:r>
      <w:r w:rsidR="00B11E45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anagement </w:t>
      </w:r>
      <w:r w:rsidR="00B11E45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>epartment</w:t>
      </w:r>
      <w:r w:rsidR="00AE7C30">
        <w:rPr>
          <w:rFonts w:asciiTheme="minorHAnsi" w:hAnsiTheme="minorHAnsi" w:cs="Arial"/>
        </w:rPr>
        <w:t xml:space="preserve"> at 617-971-3780</w:t>
      </w:r>
      <w:r w:rsidR="00B11E45">
        <w:rPr>
          <w:rFonts w:asciiTheme="minorHAnsi" w:hAnsiTheme="minorHAnsi" w:cs="Arial"/>
        </w:rPr>
        <w:t xml:space="preserve">. </w:t>
      </w:r>
      <w:r w:rsidR="006445ED">
        <w:rPr>
          <w:rFonts w:asciiTheme="minorHAnsi" w:hAnsiTheme="minorHAnsi" w:cs="Arial"/>
        </w:rPr>
        <w:t xml:space="preserve"> </w:t>
      </w:r>
      <w:r w:rsidR="00B11E45">
        <w:rPr>
          <w:rFonts w:asciiTheme="minorHAnsi" w:hAnsiTheme="minorHAnsi" w:cs="Arial"/>
        </w:rPr>
        <w:t xml:space="preserve">Information and consultation </w:t>
      </w:r>
      <w:r w:rsidR="006845B9">
        <w:rPr>
          <w:rFonts w:asciiTheme="minorHAnsi" w:hAnsiTheme="minorHAnsi" w:cs="Arial"/>
        </w:rPr>
        <w:t xml:space="preserve">on referral to Lemuel Shattuck Hospital </w:t>
      </w:r>
      <w:r w:rsidR="00B11E45">
        <w:rPr>
          <w:rFonts w:asciiTheme="minorHAnsi" w:hAnsiTheme="minorHAnsi" w:cs="Arial"/>
        </w:rPr>
        <w:t>is also available from the MDPH TB Program staff</w:t>
      </w:r>
      <w:r w:rsidR="003A635E">
        <w:rPr>
          <w:rFonts w:asciiTheme="minorHAnsi" w:hAnsiTheme="minorHAnsi" w:cs="Arial"/>
        </w:rPr>
        <w:t>.</w:t>
      </w:r>
    </w:p>
    <w:p w14:paraId="61AF2D56" w14:textId="77777777" w:rsidR="00F52B58" w:rsidRPr="007173C7" w:rsidRDefault="00F52B58" w:rsidP="00F52B58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REGULATIONS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47B3044" w14:textId="77777777" w:rsidR="002C484A" w:rsidRDefault="002C484A" w:rsidP="00F52B58">
      <w:pPr>
        <w:rPr>
          <w:rFonts w:ascii="Calibri" w:hAnsi="Calibri"/>
          <w:color w:val="000000"/>
          <w:sz w:val="22"/>
          <w:szCs w:val="23"/>
        </w:rPr>
      </w:pPr>
    </w:p>
    <w:p w14:paraId="460580F9" w14:textId="77777777" w:rsidR="009D1DC5" w:rsidRPr="002C484A" w:rsidRDefault="009D1DC5" w:rsidP="009D1DC5">
      <w:pPr>
        <w:rPr>
          <w:rFonts w:asciiTheme="minorHAnsi" w:hAnsiTheme="minorHAnsi" w:cs="Arial"/>
          <w:b/>
        </w:rPr>
      </w:pPr>
      <w:r w:rsidRPr="002C484A">
        <w:rPr>
          <w:rFonts w:asciiTheme="minorHAnsi" w:hAnsiTheme="minorHAnsi" w:cs="Arial"/>
          <w:b/>
        </w:rPr>
        <w:t>105 CMR 300</w:t>
      </w:r>
    </w:p>
    <w:p w14:paraId="5C31B755" w14:textId="55C9001E" w:rsidR="009D1DC5" w:rsidRDefault="009D1DC5" w:rsidP="009D1D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Reportable diseases, surveillance, and isolation and q</w:t>
      </w:r>
      <w:r w:rsidRPr="002C484A">
        <w:rPr>
          <w:rFonts w:asciiTheme="minorHAnsi" w:hAnsiTheme="minorHAnsi" w:cs="Arial"/>
        </w:rPr>
        <w:t xml:space="preserve">uarantine </w:t>
      </w:r>
      <w:r>
        <w:rPr>
          <w:rFonts w:asciiTheme="minorHAnsi" w:hAnsiTheme="minorHAnsi" w:cs="Arial"/>
        </w:rPr>
        <w:t>r</w:t>
      </w:r>
      <w:r w:rsidRPr="002C484A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quirements</w:t>
      </w:r>
    </w:p>
    <w:p w14:paraId="1B1654FE" w14:textId="2F758E02" w:rsidR="005178D5" w:rsidRPr="005178D5" w:rsidRDefault="00AA314C" w:rsidP="009D1DC5">
      <w:pPr>
        <w:rPr>
          <w:rFonts w:asciiTheme="minorHAnsi" w:hAnsiTheme="minorHAnsi" w:cstheme="minorHAnsi"/>
        </w:rPr>
      </w:pPr>
      <w:hyperlink r:id="rId13" w:history="1">
        <w:r w:rsidR="005178D5" w:rsidRPr="005178D5">
          <w:rPr>
            <w:rStyle w:val="Hyperlink"/>
            <w:rFonts w:asciiTheme="minorHAnsi" w:hAnsiTheme="minorHAnsi" w:cstheme="minorHAnsi"/>
          </w:rPr>
          <w:t>https://www.mass.gov/regulations/105-cmr-30000-reportable-diseases-surveillance-and-isolation-and-quarantine</w:t>
        </w:r>
      </w:hyperlink>
    </w:p>
    <w:p w14:paraId="27F6B89B" w14:textId="5510BC1B" w:rsidR="00677F85" w:rsidRDefault="00677F85" w:rsidP="00677F85">
      <w:pPr>
        <w:rPr>
          <w:sz w:val="22"/>
          <w:szCs w:val="22"/>
        </w:rPr>
      </w:pPr>
    </w:p>
    <w:p w14:paraId="1B6C4A8B" w14:textId="77777777" w:rsidR="009D1DC5" w:rsidRPr="002C484A" w:rsidRDefault="009D1DC5" w:rsidP="009D1DC5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2C484A">
        <w:rPr>
          <w:rFonts w:asciiTheme="minorHAnsi" w:hAnsiTheme="minorHAnsi" w:cs="Arial"/>
          <w:b/>
        </w:rPr>
        <w:t>105 CMR 360</w:t>
      </w:r>
    </w:p>
    <w:p w14:paraId="24747B22" w14:textId="77777777" w:rsidR="009D1DC5" w:rsidRDefault="009D1DC5" w:rsidP="009D1DC5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Tuberculosis treatment unit standards for admission, treatment, and discharge</w:t>
      </w:r>
    </w:p>
    <w:p w14:paraId="7A3C4F56" w14:textId="0A3F37D7" w:rsidR="009D1DC5" w:rsidRPr="005178D5" w:rsidRDefault="00AA314C" w:rsidP="009D1DC5">
      <w:pPr>
        <w:rPr>
          <w:rFonts w:asciiTheme="minorHAnsi" w:hAnsiTheme="minorHAnsi" w:cstheme="minorHAnsi"/>
        </w:rPr>
      </w:pPr>
      <w:hyperlink r:id="rId14" w:history="1">
        <w:r w:rsidR="00BC65FE" w:rsidRPr="005178D5">
          <w:rPr>
            <w:rStyle w:val="Hyperlink"/>
            <w:rFonts w:asciiTheme="minorHAnsi" w:hAnsiTheme="minorHAnsi" w:cstheme="minorHAnsi"/>
          </w:rPr>
          <w:t>https://www.mass.gov/regulations/105-CMR-36000-tuberculosis-treatment-unit-standards-for-admission-treatment-and</w:t>
        </w:r>
      </w:hyperlink>
      <w:r w:rsidR="00BC65FE" w:rsidRPr="005178D5">
        <w:rPr>
          <w:rFonts w:asciiTheme="minorHAnsi" w:hAnsiTheme="minorHAnsi" w:cstheme="minorHAnsi"/>
        </w:rPr>
        <w:t xml:space="preserve"> </w:t>
      </w:r>
    </w:p>
    <w:p w14:paraId="1FA470FE" w14:textId="77777777" w:rsidR="005178D5" w:rsidRDefault="005178D5" w:rsidP="00F52B58">
      <w:pPr>
        <w:rPr>
          <w:rFonts w:ascii="Calibri" w:hAnsi="Calibri"/>
          <w:b/>
          <w:color w:val="000000"/>
        </w:rPr>
      </w:pPr>
    </w:p>
    <w:p w14:paraId="04F756A8" w14:textId="5A8446FE" w:rsidR="002C484A" w:rsidRPr="002C484A" w:rsidRDefault="002C484A" w:rsidP="00F52B58">
      <w:pPr>
        <w:rPr>
          <w:rFonts w:ascii="Calibri" w:hAnsi="Calibri"/>
          <w:b/>
          <w:color w:val="000000"/>
        </w:rPr>
      </w:pPr>
      <w:r w:rsidRPr="002C484A">
        <w:rPr>
          <w:rFonts w:ascii="Calibri" w:hAnsi="Calibri"/>
          <w:b/>
          <w:color w:val="000000"/>
        </w:rPr>
        <w:t>105 CMR 365</w:t>
      </w:r>
    </w:p>
    <w:p w14:paraId="1FC4161E" w14:textId="373C7183" w:rsidR="002C484A" w:rsidRPr="002C484A" w:rsidRDefault="002C484A" w:rsidP="00F52B58">
      <w:pPr>
        <w:rPr>
          <w:rFonts w:ascii="Calibri" w:hAnsi="Calibri"/>
          <w:color w:val="000000"/>
        </w:rPr>
      </w:pPr>
      <w:r w:rsidRPr="002C484A">
        <w:rPr>
          <w:rFonts w:ascii="Calibri" w:hAnsi="Calibri"/>
          <w:color w:val="000000"/>
        </w:rPr>
        <w:t>Standards for management of tuberculosis outside hospitals</w:t>
      </w:r>
    </w:p>
    <w:p w14:paraId="075026F4" w14:textId="028F7746" w:rsidR="002C484A" w:rsidRPr="002C484A" w:rsidRDefault="00AA314C" w:rsidP="009D1DC5">
      <w:pPr>
        <w:rPr>
          <w:rFonts w:asciiTheme="minorHAnsi" w:hAnsiTheme="minorHAnsi" w:cs="Arial"/>
        </w:rPr>
      </w:pPr>
      <w:hyperlink r:id="rId15" w:history="1">
        <w:r w:rsidR="00BC65FE" w:rsidRPr="005178D5">
          <w:rPr>
            <w:rStyle w:val="Hyperlink"/>
            <w:rFonts w:asciiTheme="minorHAnsi" w:hAnsiTheme="minorHAnsi" w:cstheme="minorHAnsi"/>
          </w:rPr>
          <w:t>https://www.mass.gov/regulations/105-CMR-36500-standards-for-management-of-tuberculosis-outside-hospitals</w:t>
        </w:r>
      </w:hyperlink>
    </w:p>
    <w:sectPr w:rsidR="002C484A" w:rsidRPr="002C484A" w:rsidSect="002A6F38">
      <w:pgSz w:w="12240" w:h="15840"/>
      <w:pgMar w:top="1440" w:right="1080" w:bottom="1440" w:left="1080" w:header="14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2801" w14:textId="77777777" w:rsidR="00BC0A63" w:rsidRDefault="00BC0A63" w:rsidP="00505F11">
      <w:r>
        <w:separator/>
      </w:r>
    </w:p>
  </w:endnote>
  <w:endnote w:type="continuationSeparator" w:id="0">
    <w:p w14:paraId="2074B5C4" w14:textId="77777777" w:rsidR="00BC0A63" w:rsidRDefault="00BC0A63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okCondense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EF0C" w14:textId="25BB793E" w:rsidR="003C1832" w:rsidRDefault="003C1832" w:rsidP="007173C7">
    <w:pPr>
      <w:pStyle w:val="Footer"/>
      <w:pBdr>
        <w:top w:val="single" w:sz="4" w:space="0" w:color="BFBFBF"/>
      </w:pBdr>
      <w:tabs>
        <w:tab w:val="clear" w:pos="8640"/>
      </w:tabs>
      <w:rPr>
        <w:rFonts w:asciiTheme="minorHAnsi" w:hAnsiTheme="minorHAnsi" w:cstheme="minorHAnsi"/>
        <w:noProof/>
        <w:sz w:val="20"/>
        <w:szCs w:val="20"/>
      </w:rPr>
    </w:pPr>
    <w:r w:rsidRPr="00403DDE">
      <w:rPr>
        <w:rFonts w:ascii="Calibri" w:hAnsi="Calibri"/>
        <w:sz w:val="20"/>
        <w:szCs w:val="20"/>
      </w:rPr>
      <w:t>Bureau of Infectious Disease and Laboratory Sciences</w:t>
    </w:r>
    <w:r w:rsidR="005178D5">
      <w:rPr>
        <w:rFonts w:ascii="Calibri" w:hAnsi="Calibri"/>
        <w:sz w:val="20"/>
        <w:szCs w:val="20"/>
      </w:rPr>
      <w:t xml:space="preserve"> | </w:t>
    </w:r>
    <w:r w:rsidR="005178D5" w:rsidRPr="00BB4D8D">
      <w:rPr>
        <w:rFonts w:ascii="Calibri" w:hAnsi="Calibri"/>
        <w:sz w:val="20"/>
        <w:szCs w:val="20"/>
      </w:rPr>
      <w:t>305 South Street, Jamaica Plain, MA 02130</w:t>
    </w:r>
    <w:r w:rsidR="005178D5">
      <w:rPr>
        <w:rFonts w:ascii="Calibri" w:hAnsi="Calibri"/>
        <w:sz w:val="20"/>
        <w:szCs w:val="20"/>
      </w:rPr>
      <w:t xml:space="preserve">  </w:t>
    </w:r>
    <w:r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</w:t>
    </w:r>
    <w:hyperlink r:id="rId1" w:history="1">
      <w:r w:rsidR="005178D5" w:rsidRPr="00DF6A2B">
        <w:rPr>
          <w:rStyle w:val="Hyperlink"/>
          <w:rFonts w:asciiTheme="minorHAnsi" w:hAnsiTheme="minorHAnsi" w:cstheme="minorHAnsi"/>
          <w:sz w:val="20"/>
          <w:szCs w:val="20"/>
        </w:rPr>
        <w:t>www.mass.gov/tuberculosis</w:t>
      </w:r>
    </w:hyperlink>
    <w:r w:rsidR="005178D5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  <w:t xml:space="preserve">  </w:t>
    </w:r>
    <w:r>
      <w:rPr>
        <w:rFonts w:ascii="Calibri" w:hAnsi="Calibri"/>
        <w:sz w:val="20"/>
        <w:szCs w:val="20"/>
      </w:rPr>
      <w:tab/>
    </w:r>
    <w:r w:rsidR="005178D5">
      <w:rPr>
        <w:rFonts w:ascii="Calibri" w:hAnsi="Calibri"/>
        <w:sz w:val="20"/>
        <w:szCs w:val="20"/>
      </w:rPr>
      <w:tab/>
    </w:r>
    <w:r w:rsidR="005178D5">
      <w:rPr>
        <w:rFonts w:ascii="Calibri" w:hAnsi="Calibri"/>
        <w:sz w:val="20"/>
        <w:szCs w:val="20"/>
      </w:rPr>
      <w:tab/>
    </w:r>
    <w:r w:rsidR="005178D5">
      <w:rPr>
        <w:rFonts w:asciiTheme="minorHAnsi" w:hAnsiTheme="minorHAnsi" w:cstheme="minorHAnsi"/>
        <w:sz w:val="20"/>
        <w:szCs w:val="20"/>
      </w:rPr>
      <w:t>Last update</w:t>
    </w:r>
    <w:r w:rsidR="005178D5" w:rsidRPr="00BB4D8D">
      <w:rPr>
        <w:rFonts w:asciiTheme="minorHAnsi" w:hAnsiTheme="minorHAnsi" w:cstheme="minorHAnsi"/>
        <w:sz w:val="20"/>
        <w:szCs w:val="20"/>
      </w:rPr>
      <w:t xml:space="preserve"> </w:t>
    </w:r>
    <w:r w:rsidR="003D3C0D">
      <w:rPr>
        <w:rFonts w:asciiTheme="minorHAnsi" w:hAnsiTheme="minorHAnsi" w:cstheme="minorHAnsi"/>
        <w:sz w:val="20"/>
        <w:szCs w:val="20"/>
      </w:rPr>
      <w:t xml:space="preserve">May </w:t>
    </w:r>
    <w:r w:rsidR="00677F85">
      <w:rPr>
        <w:rFonts w:asciiTheme="minorHAnsi" w:hAnsiTheme="minorHAnsi" w:cstheme="minorHAnsi"/>
        <w:sz w:val="20"/>
        <w:szCs w:val="20"/>
      </w:rPr>
      <w:t>202</w:t>
    </w:r>
    <w:r w:rsidR="000B6117">
      <w:rPr>
        <w:rFonts w:asciiTheme="minorHAnsi" w:hAnsiTheme="minorHAnsi" w:cstheme="minorHAnsi"/>
        <w:sz w:val="20"/>
        <w:szCs w:val="20"/>
      </w:rPr>
      <w:t>2</w:t>
    </w:r>
    <w:r w:rsidRPr="00BB4D8D">
      <w:rPr>
        <w:rFonts w:asciiTheme="minorHAnsi" w:hAnsiTheme="minorHAnsi" w:cstheme="minorHAnsi"/>
        <w:sz w:val="20"/>
        <w:szCs w:val="20"/>
      </w:rPr>
      <w:t xml:space="preserve">- Page | </w:t>
    </w:r>
    <w:r w:rsidRPr="00BB4D8D">
      <w:rPr>
        <w:rFonts w:asciiTheme="minorHAnsi" w:hAnsiTheme="minorHAnsi" w:cstheme="minorHAnsi"/>
        <w:sz w:val="20"/>
        <w:szCs w:val="20"/>
      </w:rPr>
      <w:fldChar w:fldCharType="begin"/>
    </w:r>
    <w:r w:rsidRPr="00BB4D8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BB4D8D">
      <w:rPr>
        <w:rFonts w:asciiTheme="minorHAnsi" w:hAnsiTheme="minorHAnsi" w:cstheme="minorHAnsi"/>
        <w:sz w:val="20"/>
        <w:szCs w:val="20"/>
      </w:rPr>
      <w:fldChar w:fldCharType="separate"/>
    </w:r>
    <w:r w:rsidR="00BC65FE">
      <w:rPr>
        <w:rFonts w:asciiTheme="minorHAnsi" w:hAnsiTheme="minorHAnsi" w:cstheme="minorHAnsi"/>
        <w:noProof/>
        <w:sz w:val="20"/>
        <w:szCs w:val="20"/>
      </w:rPr>
      <w:t>1</w:t>
    </w:r>
    <w:r w:rsidRPr="00BB4D8D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0CA18950" w14:textId="77777777" w:rsidR="003C1832" w:rsidRDefault="003C1832" w:rsidP="007173C7">
    <w:pPr>
      <w:pStyle w:val="Footer"/>
      <w:ind w:left="720" w:hanging="1170"/>
      <w:rPr>
        <w:rFonts w:asciiTheme="minorHAnsi" w:hAnsiTheme="minorHAnsi" w:cstheme="minorHAnsi"/>
        <w:noProof/>
        <w:sz w:val="20"/>
        <w:szCs w:val="20"/>
      </w:rPr>
    </w:pPr>
  </w:p>
  <w:p w14:paraId="2C1D6F65" w14:textId="77777777" w:rsidR="003C1832" w:rsidRPr="00BB4D8D" w:rsidRDefault="003C1832" w:rsidP="007173C7">
    <w:pPr>
      <w:pStyle w:val="Footer"/>
      <w:ind w:left="720" w:hanging="1170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CD31" w14:textId="77777777" w:rsidR="003C1832" w:rsidRDefault="003C1832" w:rsidP="004D22D3">
    <w:pPr>
      <w:pStyle w:val="Footer"/>
      <w:jc w:val="right"/>
    </w:pPr>
    <w:r>
      <w:rPr>
        <w:sz w:val="20"/>
        <w:szCs w:val="20"/>
      </w:rP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9C2D" w14:textId="77777777" w:rsidR="00BC0A63" w:rsidRDefault="00BC0A63" w:rsidP="00505F11">
      <w:r>
        <w:separator/>
      </w:r>
    </w:p>
  </w:footnote>
  <w:footnote w:type="continuationSeparator" w:id="0">
    <w:p w14:paraId="37A4E6C2" w14:textId="77777777" w:rsidR="00BC0A63" w:rsidRDefault="00BC0A63" w:rsidP="0050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92D"/>
    <w:multiLevelType w:val="singleLevel"/>
    <w:tmpl w:val="DA9AE6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189A7F1E"/>
    <w:multiLevelType w:val="hybridMultilevel"/>
    <w:tmpl w:val="0950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3AC7"/>
    <w:multiLevelType w:val="hybridMultilevel"/>
    <w:tmpl w:val="2D92C3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D656A"/>
    <w:multiLevelType w:val="hybridMultilevel"/>
    <w:tmpl w:val="CF2446E4"/>
    <w:lvl w:ilvl="0" w:tplc="C9DC8AC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5EBA"/>
    <w:multiLevelType w:val="hybridMultilevel"/>
    <w:tmpl w:val="F0EE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47EA"/>
    <w:multiLevelType w:val="hybridMultilevel"/>
    <w:tmpl w:val="0E286F36"/>
    <w:lvl w:ilvl="0" w:tplc="4D922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1198A"/>
    <w:multiLevelType w:val="hybridMultilevel"/>
    <w:tmpl w:val="D0247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0F24A6"/>
    <w:multiLevelType w:val="hybridMultilevel"/>
    <w:tmpl w:val="40F208BE"/>
    <w:lvl w:ilvl="0" w:tplc="E696C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D269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64B092D"/>
    <w:multiLevelType w:val="hybridMultilevel"/>
    <w:tmpl w:val="72A0C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592F85"/>
    <w:multiLevelType w:val="hybridMultilevel"/>
    <w:tmpl w:val="89228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34ADC"/>
    <w:multiLevelType w:val="hybridMultilevel"/>
    <w:tmpl w:val="198A46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400599"/>
    <w:multiLevelType w:val="hybridMultilevel"/>
    <w:tmpl w:val="FC6A3852"/>
    <w:lvl w:ilvl="0" w:tplc="4FEC89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D637D2"/>
    <w:multiLevelType w:val="hybridMultilevel"/>
    <w:tmpl w:val="63B0C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EC89D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4EF0"/>
    <w:multiLevelType w:val="hybridMultilevel"/>
    <w:tmpl w:val="0276C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93CC4"/>
    <w:multiLevelType w:val="hybridMultilevel"/>
    <w:tmpl w:val="BE3ECC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86FD9"/>
    <w:multiLevelType w:val="hybridMultilevel"/>
    <w:tmpl w:val="5EFC72D6"/>
    <w:lvl w:ilvl="0" w:tplc="253264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8531D"/>
    <w:multiLevelType w:val="hybridMultilevel"/>
    <w:tmpl w:val="92B013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9B57C7"/>
    <w:multiLevelType w:val="hybridMultilevel"/>
    <w:tmpl w:val="89DA06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E5130"/>
    <w:multiLevelType w:val="hybridMultilevel"/>
    <w:tmpl w:val="DC6A4D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5551B0"/>
    <w:multiLevelType w:val="hybridMultilevel"/>
    <w:tmpl w:val="2FB24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7E91FAC"/>
    <w:multiLevelType w:val="hybridMultilevel"/>
    <w:tmpl w:val="82821B5C"/>
    <w:lvl w:ilvl="0" w:tplc="4FEC8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6477F"/>
    <w:multiLevelType w:val="hybridMultilevel"/>
    <w:tmpl w:val="504A7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2B5646"/>
    <w:multiLevelType w:val="hybridMultilevel"/>
    <w:tmpl w:val="B41890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50B9D"/>
    <w:multiLevelType w:val="hybridMultilevel"/>
    <w:tmpl w:val="9B3E0F76"/>
    <w:lvl w:ilvl="0" w:tplc="594AD298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4561B"/>
    <w:multiLevelType w:val="hybridMultilevel"/>
    <w:tmpl w:val="2B3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036E"/>
    <w:multiLevelType w:val="hybridMultilevel"/>
    <w:tmpl w:val="A95A94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8"/>
  </w:num>
  <w:num w:numId="5">
    <w:abstractNumId w:val="0"/>
  </w:num>
  <w:num w:numId="6">
    <w:abstractNumId w:val="27"/>
  </w:num>
  <w:num w:numId="7">
    <w:abstractNumId w:val="17"/>
  </w:num>
  <w:num w:numId="8">
    <w:abstractNumId w:val="11"/>
  </w:num>
  <w:num w:numId="9">
    <w:abstractNumId w:val="20"/>
  </w:num>
  <w:num w:numId="10">
    <w:abstractNumId w:val="24"/>
  </w:num>
  <w:num w:numId="11">
    <w:abstractNumId w:val="2"/>
  </w:num>
  <w:num w:numId="12">
    <w:abstractNumId w:val="18"/>
  </w:num>
  <w:num w:numId="13">
    <w:abstractNumId w:val="4"/>
  </w:num>
  <w:num w:numId="14">
    <w:abstractNumId w:val="26"/>
  </w:num>
  <w:num w:numId="15">
    <w:abstractNumId w:val="23"/>
  </w:num>
  <w:num w:numId="16">
    <w:abstractNumId w:val="5"/>
  </w:num>
  <w:num w:numId="17">
    <w:abstractNumId w:val="22"/>
  </w:num>
  <w:num w:numId="18">
    <w:abstractNumId w:val="10"/>
  </w:num>
  <w:num w:numId="19">
    <w:abstractNumId w:val="12"/>
  </w:num>
  <w:num w:numId="20">
    <w:abstractNumId w:val="13"/>
  </w:num>
  <w:num w:numId="21">
    <w:abstractNumId w:val="25"/>
  </w:num>
  <w:num w:numId="22">
    <w:abstractNumId w:val="19"/>
  </w:num>
  <w:num w:numId="23">
    <w:abstractNumId w:val="9"/>
  </w:num>
  <w:num w:numId="24">
    <w:abstractNumId w:val="7"/>
  </w:num>
  <w:num w:numId="25">
    <w:abstractNumId w:val="3"/>
  </w:num>
  <w:num w:numId="26">
    <w:abstractNumId w:val="16"/>
  </w:num>
  <w:num w:numId="27">
    <w:abstractNumId w:val="6"/>
  </w:num>
  <w:num w:numId="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01EE5"/>
    <w:rsid w:val="00020F99"/>
    <w:rsid w:val="00021777"/>
    <w:rsid w:val="000227DC"/>
    <w:rsid w:val="000250CA"/>
    <w:rsid w:val="000344D0"/>
    <w:rsid w:val="00034D74"/>
    <w:rsid w:val="00042AE0"/>
    <w:rsid w:val="00047D35"/>
    <w:rsid w:val="00051487"/>
    <w:rsid w:val="00054012"/>
    <w:rsid w:val="00061F16"/>
    <w:rsid w:val="00073A1C"/>
    <w:rsid w:val="0007586A"/>
    <w:rsid w:val="000822BA"/>
    <w:rsid w:val="00082AE6"/>
    <w:rsid w:val="00082F30"/>
    <w:rsid w:val="00096CF7"/>
    <w:rsid w:val="000A61E5"/>
    <w:rsid w:val="000B0EB1"/>
    <w:rsid w:val="000B4C5E"/>
    <w:rsid w:val="000B6117"/>
    <w:rsid w:val="000D0C44"/>
    <w:rsid w:val="000E0D61"/>
    <w:rsid w:val="00102723"/>
    <w:rsid w:val="0010458A"/>
    <w:rsid w:val="0011271E"/>
    <w:rsid w:val="0011358B"/>
    <w:rsid w:val="001343D9"/>
    <w:rsid w:val="00157FB5"/>
    <w:rsid w:val="00160A49"/>
    <w:rsid w:val="00164202"/>
    <w:rsid w:val="0016480A"/>
    <w:rsid w:val="0017518A"/>
    <w:rsid w:val="00181AE6"/>
    <w:rsid w:val="001822B4"/>
    <w:rsid w:val="00185008"/>
    <w:rsid w:val="0018546D"/>
    <w:rsid w:val="00185AF9"/>
    <w:rsid w:val="00197331"/>
    <w:rsid w:val="00197AEF"/>
    <w:rsid w:val="001A0372"/>
    <w:rsid w:val="001A3DBF"/>
    <w:rsid w:val="001A6485"/>
    <w:rsid w:val="001A7C7D"/>
    <w:rsid w:val="001B1CD6"/>
    <w:rsid w:val="001B6BCA"/>
    <w:rsid w:val="001C2B61"/>
    <w:rsid w:val="001C35B3"/>
    <w:rsid w:val="001C7C32"/>
    <w:rsid w:val="001D2816"/>
    <w:rsid w:val="001D71C5"/>
    <w:rsid w:val="001E0D01"/>
    <w:rsid w:val="001E6BDE"/>
    <w:rsid w:val="001E7A4B"/>
    <w:rsid w:val="001F1060"/>
    <w:rsid w:val="001F15F1"/>
    <w:rsid w:val="001F306B"/>
    <w:rsid w:val="001F65F5"/>
    <w:rsid w:val="00201C0B"/>
    <w:rsid w:val="00206712"/>
    <w:rsid w:val="00207F24"/>
    <w:rsid w:val="00225827"/>
    <w:rsid w:val="00237185"/>
    <w:rsid w:val="0024051D"/>
    <w:rsid w:val="00245A49"/>
    <w:rsid w:val="002477FC"/>
    <w:rsid w:val="00255F79"/>
    <w:rsid w:val="00283661"/>
    <w:rsid w:val="00285364"/>
    <w:rsid w:val="00286F3B"/>
    <w:rsid w:val="002A6F38"/>
    <w:rsid w:val="002C0297"/>
    <w:rsid w:val="002C484A"/>
    <w:rsid w:val="002F014B"/>
    <w:rsid w:val="002F6C8B"/>
    <w:rsid w:val="00302A67"/>
    <w:rsid w:val="00307593"/>
    <w:rsid w:val="00312946"/>
    <w:rsid w:val="00316091"/>
    <w:rsid w:val="00316B47"/>
    <w:rsid w:val="003325B7"/>
    <w:rsid w:val="003423DF"/>
    <w:rsid w:val="00364711"/>
    <w:rsid w:val="00365C4F"/>
    <w:rsid w:val="00365E34"/>
    <w:rsid w:val="0037688D"/>
    <w:rsid w:val="003A1F0E"/>
    <w:rsid w:val="003A635E"/>
    <w:rsid w:val="003C1832"/>
    <w:rsid w:val="003D0D8C"/>
    <w:rsid w:val="003D3C0D"/>
    <w:rsid w:val="003D40DC"/>
    <w:rsid w:val="003E11A2"/>
    <w:rsid w:val="003F0749"/>
    <w:rsid w:val="003F36E6"/>
    <w:rsid w:val="003F4EBD"/>
    <w:rsid w:val="00401BAB"/>
    <w:rsid w:val="00403DDE"/>
    <w:rsid w:val="004075A7"/>
    <w:rsid w:val="00410ED1"/>
    <w:rsid w:val="00413ED2"/>
    <w:rsid w:val="004355B5"/>
    <w:rsid w:val="00454416"/>
    <w:rsid w:val="00456CE7"/>
    <w:rsid w:val="00467035"/>
    <w:rsid w:val="00471A6E"/>
    <w:rsid w:val="0047746B"/>
    <w:rsid w:val="0048087B"/>
    <w:rsid w:val="004808FE"/>
    <w:rsid w:val="0049559E"/>
    <w:rsid w:val="0049709B"/>
    <w:rsid w:val="0049737F"/>
    <w:rsid w:val="004A037E"/>
    <w:rsid w:val="004A0D57"/>
    <w:rsid w:val="004A1983"/>
    <w:rsid w:val="004A1B07"/>
    <w:rsid w:val="004C001E"/>
    <w:rsid w:val="004C382F"/>
    <w:rsid w:val="004C43FC"/>
    <w:rsid w:val="004D22D3"/>
    <w:rsid w:val="004D5F16"/>
    <w:rsid w:val="004E21EC"/>
    <w:rsid w:val="004E7CD4"/>
    <w:rsid w:val="004F6011"/>
    <w:rsid w:val="005004F5"/>
    <w:rsid w:val="00501578"/>
    <w:rsid w:val="0050323E"/>
    <w:rsid w:val="00505F11"/>
    <w:rsid w:val="005178D5"/>
    <w:rsid w:val="0052528E"/>
    <w:rsid w:val="0052736D"/>
    <w:rsid w:val="00536600"/>
    <w:rsid w:val="00542121"/>
    <w:rsid w:val="005512CF"/>
    <w:rsid w:val="005623B7"/>
    <w:rsid w:val="00594320"/>
    <w:rsid w:val="00595395"/>
    <w:rsid w:val="005A4487"/>
    <w:rsid w:val="005B5496"/>
    <w:rsid w:val="005C7933"/>
    <w:rsid w:val="005D37EB"/>
    <w:rsid w:val="005D5E5A"/>
    <w:rsid w:val="005E4E69"/>
    <w:rsid w:val="00606E73"/>
    <w:rsid w:val="006148D2"/>
    <w:rsid w:val="00634FE0"/>
    <w:rsid w:val="00635295"/>
    <w:rsid w:val="0063599F"/>
    <w:rsid w:val="006445ED"/>
    <w:rsid w:val="00655EB8"/>
    <w:rsid w:val="00673183"/>
    <w:rsid w:val="00677F85"/>
    <w:rsid w:val="0068234A"/>
    <w:rsid w:val="00683723"/>
    <w:rsid w:val="006845B9"/>
    <w:rsid w:val="00697E82"/>
    <w:rsid w:val="006A0A23"/>
    <w:rsid w:val="006A17E7"/>
    <w:rsid w:val="006B43E0"/>
    <w:rsid w:val="006C2267"/>
    <w:rsid w:val="006E4832"/>
    <w:rsid w:val="006F25B1"/>
    <w:rsid w:val="006F3146"/>
    <w:rsid w:val="006F3AD0"/>
    <w:rsid w:val="006F7E74"/>
    <w:rsid w:val="007173C7"/>
    <w:rsid w:val="00723999"/>
    <w:rsid w:val="007266FA"/>
    <w:rsid w:val="00742ADD"/>
    <w:rsid w:val="0074586A"/>
    <w:rsid w:val="00752049"/>
    <w:rsid w:val="00752FE3"/>
    <w:rsid w:val="00763F57"/>
    <w:rsid w:val="00764998"/>
    <w:rsid w:val="00764C1B"/>
    <w:rsid w:val="007659D9"/>
    <w:rsid w:val="00772A68"/>
    <w:rsid w:val="007761E7"/>
    <w:rsid w:val="0078191C"/>
    <w:rsid w:val="0078403C"/>
    <w:rsid w:val="00793F7D"/>
    <w:rsid w:val="007B5C47"/>
    <w:rsid w:val="007C0FD0"/>
    <w:rsid w:val="007C1048"/>
    <w:rsid w:val="007C155E"/>
    <w:rsid w:val="007C3A03"/>
    <w:rsid w:val="007C5A1A"/>
    <w:rsid w:val="007E1629"/>
    <w:rsid w:val="007E7356"/>
    <w:rsid w:val="00802EE8"/>
    <w:rsid w:val="00807B2D"/>
    <w:rsid w:val="00816CBB"/>
    <w:rsid w:val="00816D46"/>
    <w:rsid w:val="00817200"/>
    <w:rsid w:val="00821C6B"/>
    <w:rsid w:val="00827B7F"/>
    <w:rsid w:val="00843225"/>
    <w:rsid w:val="008437B0"/>
    <w:rsid w:val="00846B8F"/>
    <w:rsid w:val="00850507"/>
    <w:rsid w:val="00850E70"/>
    <w:rsid w:val="00864541"/>
    <w:rsid w:val="00871304"/>
    <w:rsid w:val="00872193"/>
    <w:rsid w:val="00872E52"/>
    <w:rsid w:val="00873209"/>
    <w:rsid w:val="008754B0"/>
    <w:rsid w:val="0087565B"/>
    <w:rsid w:val="00876D26"/>
    <w:rsid w:val="00880056"/>
    <w:rsid w:val="0088372C"/>
    <w:rsid w:val="00884FF4"/>
    <w:rsid w:val="0089021D"/>
    <w:rsid w:val="00893990"/>
    <w:rsid w:val="008C02AA"/>
    <w:rsid w:val="008C6C5A"/>
    <w:rsid w:val="008D0F67"/>
    <w:rsid w:val="008D300C"/>
    <w:rsid w:val="008E0432"/>
    <w:rsid w:val="008F73CF"/>
    <w:rsid w:val="00913595"/>
    <w:rsid w:val="009319CA"/>
    <w:rsid w:val="009324C3"/>
    <w:rsid w:val="009350B2"/>
    <w:rsid w:val="00954817"/>
    <w:rsid w:val="00954A88"/>
    <w:rsid w:val="0096094E"/>
    <w:rsid w:val="009660A2"/>
    <w:rsid w:val="0096680C"/>
    <w:rsid w:val="00967B1E"/>
    <w:rsid w:val="009755FD"/>
    <w:rsid w:val="009821B0"/>
    <w:rsid w:val="0098598A"/>
    <w:rsid w:val="00985D47"/>
    <w:rsid w:val="00990C80"/>
    <w:rsid w:val="00990FDB"/>
    <w:rsid w:val="009A0812"/>
    <w:rsid w:val="009A4AF2"/>
    <w:rsid w:val="009B47F2"/>
    <w:rsid w:val="009B71A7"/>
    <w:rsid w:val="009D193E"/>
    <w:rsid w:val="009D1B53"/>
    <w:rsid w:val="009D1DC5"/>
    <w:rsid w:val="009D6742"/>
    <w:rsid w:val="009E20FF"/>
    <w:rsid w:val="00A1181C"/>
    <w:rsid w:val="00A1500E"/>
    <w:rsid w:val="00A212AB"/>
    <w:rsid w:val="00A2646C"/>
    <w:rsid w:val="00A41936"/>
    <w:rsid w:val="00A45C6D"/>
    <w:rsid w:val="00A46F0E"/>
    <w:rsid w:val="00A535C1"/>
    <w:rsid w:val="00A62C0B"/>
    <w:rsid w:val="00A63A44"/>
    <w:rsid w:val="00A66BB4"/>
    <w:rsid w:val="00A72390"/>
    <w:rsid w:val="00A801C3"/>
    <w:rsid w:val="00AA0203"/>
    <w:rsid w:val="00AA132C"/>
    <w:rsid w:val="00AA314C"/>
    <w:rsid w:val="00AA4203"/>
    <w:rsid w:val="00AB4385"/>
    <w:rsid w:val="00AC63EB"/>
    <w:rsid w:val="00AD3146"/>
    <w:rsid w:val="00AE41B9"/>
    <w:rsid w:val="00AE7C30"/>
    <w:rsid w:val="00B07F95"/>
    <w:rsid w:val="00B119DD"/>
    <w:rsid w:val="00B11E45"/>
    <w:rsid w:val="00B27C90"/>
    <w:rsid w:val="00B471ED"/>
    <w:rsid w:val="00B62B98"/>
    <w:rsid w:val="00B7554C"/>
    <w:rsid w:val="00B86C54"/>
    <w:rsid w:val="00B95C8B"/>
    <w:rsid w:val="00B970AD"/>
    <w:rsid w:val="00BA2E3E"/>
    <w:rsid w:val="00BA33F3"/>
    <w:rsid w:val="00BB4D8D"/>
    <w:rsid w:val="00BB748D"/>
    <w:rsid w:val="00BC0A63"/>
    <w:rsid w:val="00BC2D9B"/>
    <w:rsid w:val="00BC65FE"/>
    <w:rsid w:val="00BE50AC"/>
    <w:rsid w:val="00BF1B40"/>
    <w:rsid w:val="00BF1BA5"/>
    <w:rsid w:val="00BF67C4"/>
    <w:rsid w:val="00C11074"/>
    <w:rsid w:val="00C158BB"/>
    <w:rsid w:val="00C23128"/>
    <w:rsid w:val="00C26E81"/>
    <w:rsid w:val="00C405BF"/>
    <w:rsid w:val="00C500F0"/>
    <w:rsid w:val="00C50109"/>
    <w:rsid w:val="00C60D81"/>
    <w:rsid w:val="00C704D2"/>
    <w:rsid w:val="00C7386D"/>
    <w:rsid w:val="00C73C80"/>
    <w:rsid w:val="00C759B6"/>
    <w:rsid w:val="00C76E86"/>
    <w:rsid w:val="00C9096D"/>
    <w:rsid w:val="00CA00BB"/>
    <w:rsid w:val="00CA4AAE"/>
    <w:rsid w:val="00CC6AEA"/>
    <w:rsid w:val="00CF1229"/>
    <w:rsid w:val="00D1139C"/>
    <w:rsid w:val="00D11BD6"/>
    <w:rsid w:val="00D20E12"/>
    <w:rsid w:val="00D22816"/>
    <w:rsid w:val="00D26AE4"/>
    <w:rsid w:val="00D26C6E"/>
    <w:rsid w:val="00D51723"/>
    <w:rsid w:val="00D710BD"/>
    <w:rsid w:val="00D9138D"/>
    <w:rsid w:val="00D97A4D"/>
    <w:rsid w:val="00DA0E92"/>
    <w:rsid w:val="00DC2107"/>
    <w:rsid w:val="00DC3DE1"/>
    <w:rsid w:val="00DC6894"/>
    <w:rsid w:val="00DD571D"/>
    <w:rsid w:val="00DE001F"/>
    <w:rsid w:val="00DF0DE9"/>
    <w:rsid w:val="00DF0F5F"/>
    <w:rsid w:val="00DF4349"/>
    <w:rsid w:val="00E00E90"/>
    <w:rsid w:val="00E16197"/>
    <w:rsid w:val="00E16847"/>
    <w:rsid w:val="00E20043"/>
    <w:rsid w:val="00E22C96"/>
    <w:rsid w:val="00E2540B"/>
    <w:rsid w:val="00E26C6B"/>
    <w:rsid w:val="00E43FB6"/>
    <w:rsid w:val="00E518D4"/>
    <w:rsid w:val="00E65552"/>
    <w:rsid w:val="00E66479"/>
    <w:rsid w:val="00E72CAA"/>
    <w:rsid w:val="00E7333A"/>
    <w:rsid w:val="00E820CA"/>
    <w:rsid w:val="00E86436"/>
    <w:rsid w:val="00E919A3"/>
    <w:rsid w:val="00EA450E"/>
    <w:rsid w:val="00EB63FD"/>
    <w:rsid w:val="00EC0C20"/>
    <w:rsid w:val="00EC5465"/>
    <w:rsid w:val="00EE14C6"/>
    <w:rsid w:val="00EE45B8"/>
    <w:rsid w:val="00EF07EB"/>
    <w:rsid w:val="00EF584F"/>
    <w:rsid w:val="00F05AC8"/>
    <w:rsid w:val="00F128F7"/>
    <w:rsid w:val="00F20BB9"/>
    <w:rsid w:val="00F43C46"/>
    <w:rsid w:val="00F4756A"/>
    <w:rsid w:val="00F52B58"/>
    <w:rsid w:val="00F7095D"/>
    <w:rsid w:val="00F7376C"/>
    <w:rsid w:val="00F80AAF"/>
    <w:rsid w:val="00FB4295"/>
    <w:rsid w:val="00FB729F"/>
    <w:rsid w:val="00FF1C9E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1415D0"/>
  <w14:defaultImageDpi w14:val="96"/>
  <w15:docId w15:val="{D636A856-E685-4267-AAC1-7B5DB6C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D1B53"/>
    <w:pPr>
      <w:keepNext/>
      <w:widowControl w:val="0"/>
      <w:tabs>
        <w:tab w:val="left" w:pos="360"/>
      </w:tabs>
      <w:suppressAutoHyphens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A3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C6C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8C6C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05F1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05F11"/>
    <w:rPr>
      <w:rFonts w:cs="Times New Roman"/>
      <w:sz w:val="24"/>
    </w:rPr>
  </w:style>
  <w:style w:type="character" w:styleId="PageNumber">
    <w:name w:val="page number"/>
    <w:uiPriority w:val="99"/>
    <w:semiHidden/>
    <w:rsid w:val="00505F11"/>
    <w:rPr>
      <w:rFonts w:cs="Times New Roman"/>
    </w:rPr>
  </w:style>
  <w:style w:type="character" w:styleId="Hyperlink">
    <w:name w:val="Hyperlink"/>
    <w:uiPriority w:val="99"/>
    <w:rsid w:val="00042AE0"/>
    <w:rPr>
      <w:rFonts w:cs="Times New Roman"/>
      <w:color w:val="0000FF"/>
      <w:u w:val="single"/>
    </w:rPr>
  </w:style>
  <w:style w:type="paragraph" w:customStyle="1" w:styleId="BIDTitle">
    <w:name w:val="BID Title"/>
    <w:basedOn w:val="Normal"/>
    <w:uiPriority w:val="99"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uiPriority w:val="99"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uiPriority w:val="99"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uiPriority w:val="99"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uiPriority w:val="99"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uiPriority w:val="99"/>
    <w:rsid w:val="00F7376C"/>
    <w:pPr>
      <w:spacing w:before="0"/>
    </w:pPr>
  </w:style>
  <w:style w:type="paragraph" w:customStyle="1" w:styleId="BIDTEXTBOXBODYCOPY">
    <w:name w:val="BID TEXTBOX BODY COPY"/>
    <w:basedOn w:val="BIDBODYCOPY"/>
    <w:uiPriority w:val="99"/>
    <w:rsid w:val="00F7376C"/>
    <w:pPr>
      <w:ind w:right="0"/>
    </w:pPr>
  </w:style>
  <w:style w:type="paragraph" w:styleId="ListParagraph">
    <w:name w:val="List Paragraph"/>
    <w:basedOn w:val="Normal"/>
    <w:uiPriority w:val="34"/>
    <w:qFormat/>
    <w:rsid w:val="00042AE0"/>
    <w:pPr>
      <w:ind w:left="72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rsid w:val="00042AE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42AE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5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586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9E20FF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semiHidden/>
    <w:locked/>
    <w:rsid w:val="009E20FF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20F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9E20FF"/>
    <w:rPr>
      <w:rFonts w:cs="Times New Roman"/>
      <w:b/>
    </w:rPr>
  </w:style>
  <w:style w:type="paragraph" w:customStyle="1" w:styleId="Default">
    <w:name w:val="Default"/>
    <w:rsid w:val="003F0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F0749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3F0749"/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locked/>
    <w:rsid w:val="003F0749"/>
    <w:rPr>
      <w:rFonts w:cs="Times New Roman"/>
      <w:i/>
    </w:rPr>
  </w:style>
  <w:style w:type="character" w:customStyle="1" w:styleId="Heading1Char">
    <w:name w:val="Heading 1 Char"/>
    <w:basedOn w:val="DefaultParagraphFont"/>
    <w:link w:val="Heading1"/>
    <w:rsid w:val="009D1B53"/>
    <w:rPr>
      <w:rFonts w:ascii="Times New Roman" w:eastAsia="Times New Roman" w:hAnsi="Times New Roman"/>
      <w:b/>
      <w:sz w:val="24"/>
    </w:rPr>
  </w:style>
  <w:style w:type="paragraph" w:styleId="List">
    <w:name w:val="List"/>
    <w:basedOn w:val="Normal"/>
    <w:rsid w:val="009D1B53"/>
    <w:pPr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A3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89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9021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9021D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8C6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C6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8C6C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6C5A"/>
    <w:rPr>
      <w:sz w:val="24"/>
      <w:szCs w:val="24"/>
    </w:rPr>
  </w:style>
  <w:style w:type="paragraph" w:styleId="TOC7">
    <w:name w:val="toc 7"/>
    <w:basedOn w:val="Normal"/>
    <w:next w:val="Normal"/>
    <w:autoRedefine/>
    <w:locked/>
    <w:rsid w:val="0052736D"/>
    <w:pPr>
      <w:spacing w:after="100"/>
      <w:ind w:left="1440"/>
    </w:pPr>
  </w:style>
  <w:style w:type="table" w:styleId="TableGrid">
    <w:name w:val="Table Grid"/>
    <w:basedOn w:val="TableNormal"/>
    <w:uiPriority w:val="99"/>
    <w:locked/>
    <w:rsid w:val="00365E34"/>
    <w:rPr>
      <w:rFonts w:ascii="Times New Roman" w:eastAsia="Times New Roman" w:hAnsi="Times New Roman"/>
      <w:lang w:bidi="km-K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A42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4203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A4203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C7386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034D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34D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034D7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37E"/>
    <w:rPr>
      <w:color w:val="808080"/>
      <w:shd w:val="clear" w:color="auto" w:fill="E6E6E6"/>
    </w:rPr>
  </w:style>
  <w:style w:type="character" w:customStyle="1" w:styleId="madecorative-link">
    <w:name w:val="ma__decorative-link"/>
    <w:basedOn w:val="DefaultParagraphFont"/>
    <w:rsid w:val="00677F85"/>
  </w:style>
  <w:style w:type="character" w:styleId="UnresolvedMention">
    <w:name w:val="Unresolved Mention"/>
    <w:basedOn w:val="DefaultParagraphFont"/>
    <w:uiPriority w:val="99"/>
    <w:semiHidden/>
    <w:unhideWhenUsed/>
    <w:rsid w:val="001D7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8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mass.gov/regulations/105-cmr-30000-reportable-diseases-surveillance-and-isolation-and-quarant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service-details/massachusetts-tb-outpatient-servic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5-CMR-36500-standards-for-management-of-tuberculosis-outside-hospital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how-to/report-a-case-of-tuberculosis-disease-or-latent-tb-infection" TargetMode="External"/><Relationship Id="rId14" Type="http://schemas.openxmlformats.org/officeDocument/2006/relationships/hyperlink" Target="https://www.mass.gov/regulations/105-CMR-36000-tuberculosis-treatment-unit-standards-for-admission-treatment-a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AF4D-6CE7-4B77-ADFF-3BD7D6B7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1589</Words>
  <Characters>10773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Tuberculosis Patient Discharge</vt:lpstr>
    </vt:vector>
  </TitlesOfParts>
  <Company>Massachusetts Department of Public Health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Patient Discharge</dc:title>
  <dc:subject>Tuberculosis;Massachusetts;Discharge to community;2022</dc:subject>
  <dc:creator>MDPH</dc:creator>
  <cp:keywords>Tubeculosis;2022;Discharge to community</cp:keywords>
  <cp:lastModifiedBy>Yeaple, Jennifer (DPH)</cp:lastModifiedBy>
  <cp:revision>3</cp:revision>
  <cp:lastPrinted>2017-11-27T17:18:00Z</cp:lastPrinted>
  <dcterms:created xsi:type="dcterms:W3CDTF">2022-05-10T11:54:00Z</dcterms:created>
  <dcterms:modified xsi:type="dcterms:W3CDTF">2022-05-10T11:57:00Z</dcterms:modified>
</cp:coreProperties>
</file>