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0DE7" w14:textId="77777777" w:rsidR="002E7213" w:rsidRDefault="002E7213" w:rsidP="003F3B09">
      <w:pPr>
        <w:contextualSpacing/>
        <w:jc w:val="center"/>
        <w:rPr>
          <w:b/>
          <w:bCs/>
        </w:rPr>
      </w:pPr>
    </w:p>
    <w:p w14:paraId="3B02E7E6" w14:textId="2CD6A976" w:rsidR="00617EBB" w:rsidRPr="00891A10" w:rsidRDefault="00C4047D" w:rsidP="00891A10">
      <w:pPr>
        <w:pStyle w:val="Heading1"/>
        <w:contextualSpacing/>
        <w:jc w:val="center"/>
        <w:rPr>
          <w:b/>
          <w:bCs/>
          <w:sz w:val="32"/>
          <w:szCs w:val="32"/>
        </w:rPr>
      </w:pPr>
      <w:r w:rsidRPr="00891A10">
        <w:rPr>
          <w:sz w:val="32"/>
          <w:szCs w:val="32"/>
        </w:rPr>
        <w:t>Bureau of Infectious Disease and Laboratory Sciences</w:t>
      </w:r>
      <w:r w:rsidR="00523C6D" w:rsidRPr="00891A10">
        <w:rPr>
          <w:sz w:val="32"/>
          <w:szCs w:val="32"/>
        </w:rPr>
        <w:t xml:space="preserve"> (BIDLS)</w:t>
      </w:r>
    </w:p>
    <w:p w14:paraId="66D1FCCF" w14:textId="52B118E3" w:rsidR="00502802" w:rsidRPr="00891A10" w:rsidRDefault="00502802" w:rsidP="00891A10">
      <w:pPr>
        <w:pStyle w:val="Heading1"/>
        <w:contextualSpacing/>
        <w:jc w:val="center"/>
        <w:rPr>
          <w:b/>
          <w:bCs/>
          <w:sz w:val="32"/>
          <w:szCs w:val="32"/>
        </w:rPr>
      </w:pPr>
      <w:r w:rsidRPr="00891A10">
        <w:rPr>
          <w:sz w:val="32"/>
          <w:szCs w:val="32"/>
        </w:rPr>
        <w:t xml:space="preserve">Medical </w:t>
      </w:r>
      <w:r w:rsidR="005A0958" w:rsidRPr="00891A10">
        <w:rPr>
          <w:sz w:val="32"/>
          <w:szCs w:val="32"/>
        </w:rPr>
        <w:t xml:space="preserve">Advisory </w:t>
      </w:r>
      <w:r w:rsidRPr="00891A10">
        <w:rPr>
          <w:sz w:val="32"/>
          <w:szCs w:val="32"/>
        </w:rPr>
        <w:t xml:space="preserve">Committee </w:t>
      </w:r>
      <w:r w:rsidR="00B37E68" w:rsidRPr="00891A10">
        <w:rPr>
          <w:sz w:val="32"/>
          <w:szCs w:val="32"/>
        </w:rPr>
        <w:t>for the</w:t>
      </w:r>
      <w:r w:rsidRPr="00891A10">
        <w:rPr>
          <w:sz w:val="32"/>
          <w:szCs w:val="32"/>
        </w:rPr>
        <w:t xml:space="preserve"> Elimination</w:t>
      </w:r>
      <w:r w:rsidR="00FA6A66" w:rsidRPr="00891A10">
        <w:rPr>
          <w:sz w:val="32"/>
          <w:szCs w:val="32"/>
        </w:rPr>
        <w:t xml:space="preserve"> of </w:t>
      </w:r>
      <w:r w:rsidR="00831907" w:rsidRPr="00891A10">
        <w:rPr>
          <w:sz w:val="32"/>
          <w:szCs w:val="32"/>
        </w:rPr>
        <w:t>TB</w:t>
      </w:r>
      <w:r w:rsidRPr="00891A10">
        <w:rPr>
          <w:sz w:val="32"/>
          <w:szCs w:val="32"/>
        </w:rPr>
        <w:t xml:space="preserve"> (MACET)</w:t>
      </w:r>
    </w:p>
    <w:p w14:paraId="2A7C6C84" w14:textId="037B0426" w:rsidR="00561433" w:rsidRPr="00891A10" w:rsidRDefault="00831907" w:rsidP="00891A10">
      <w:pPr>
        <w:pStyle w:val="Heading1"/>
        <w:contextualSpacing/>
        <w:jc w:val="center"/>
        <w:rPr>
          <w:b/>
          <w:bCs/>
          <w:sz w:val="32"/>
          <w:szCs w:val="32"/>
        </w:rPr>
      </w:pPr>
      <w:r w:rsidRPr="00891A10">
        <w:rPr>
          <w:sz w:val="32"/>
          <w:szCs w:val="32"/>
        </w:rPr>
        <w:t>TB</w:t>
      </w:r>
      <w:r w:rsidR="007A0C5D" w:rsidRPr="00891A10">
        <w:rPr>
          <w:sz w:val="32"/>
          <w:szCs w:val="32"/>
        </w:rPr>
        <w:t xml:space="preserve"> </w:t>
      </w:r>
      <w:r w:rsidR="0095539D" w:rsidRPr="00891A10">
        <w:rPr>
          <w:sz w:val="32"/>
          <w:szCs w:val="32"/>
        </w:rPr>
        <w:t>S</w:t>
      </w:r>
      <w:r w:rsidR="007A0C5D" w:rsidRPr="00891A10">
        <w:rPr>
          <w:sz w:val="32"/>
          <w:szCs w:val="32"/>
        </w:rPr>
        <w:t xml:space="preserve">creening and </w:t>
      </w:r>
      <w:r w:rsidR="0095539D" w:rsidRPr="00891A10">
        <w:rPr>
          <w:sz w:val="32"/>
          <w:szCs w:val="32"/>
        </w:rPr>
        <w:t>P</w:t>
      </w:r>
      <w:r w:rsidR="007A0C5D" w:rsidRPr="00891A10">
        <w:rPr>
          <w:sz w:val="32"/>
          <w:szCs w:val="32"/>
        </w:rPr>
        <w:t>revention</w:t>
      </w:r>
      <w:r w:rsidR="00DE162C" w:rsidRPr="00891A10">
        <w:rPr>
          <w:sz w:val="32"/>
          <w:szCs w:val="32"/>
        </w:rPr>
        <w:t xml:space="preserve"> </w:t>
      </w:r>
      <w:r w:rsidR="007A0C5D" w:rsidRPr="00891A10">
        <w:rPr>
          <w:sz w:val="32"/>
          <w:szCs w:val="32"/>
        </w:rPr>
        <w:t>Guidance for Massachusetts Colleges and Universities</w:t>
      </w:r>
    </w:p>
    <w:p w14:paraId="20B0BDBD" w14:textId="77777777" w:rsidR="002E7213" w:rsidRDefault="002E7213" w:rsidP="00AF3B6C">
      <w:pPr>
        <w:rPr>
          <w:b/>
          <w:bCs/>
        </w:rPr>
      </w:pPr>
    </w:p>
    <w:p w14:paraId="525103F7" w14:textId="3A0D0620" w:rsidR="00AF3B6C" w:rsidRPr="00AF3B6C" w:rsidRDefault="00AF3B6C" w:rsidP="00891A10">
      <w:pPr>
        <w:pStyle w:val="Heading2"/>
        <w:rPr>
          <w:b/>
          <w:bCs/>
        </w:rPr>
      </w:pPr>
      <w:r w:rsidRPr="00891A10">
        <w:t>Introduction</w:t>
      </w:r>
    </w:p>
    <w:p w14:paraId="60AB4766" w14:textId="3FD8853B" w:rsidR="00975580" w:rsidRDefault="00975580" w:rsidP="00975580">
      <w:r>
        <w:t xml:space="preserve">This guide is </w:t>
      </w:r>
      <w:r w:rsidR="00BF0475">
        <w:t xml:space="preserve">intended to assist colleges and universities </w:t>
      </w:r>
      <w:r w:rsidR="005E5EEF">
        <w:t>in Massachusetts</w:t>
      </w:r>
      <w:r w:rsidR="00A501D7">
        <w:t xml:space="preserve"> </w:t>
      </w:r>
      <w:r w:rsidR="00BF0475">
        <w:t>in effectively supporting students, postgraduates, fellows, visiting faculty, and other temporary members of the campus community who may be at risk of</w:t>
      </w:r>
      <w:r>
        <w:t xml:space="preserve"> </w:t>
      </w:r>
      <w:r w:rsidR="00831907">
        <w:t>tuberculosis</w:t>
      </w:r>
      <w:r>
        <w:t xml:space="preserve"> (TB). </w:t>
      </w:r>
      <w:r w:rsidR="00831907">
        <w:t>TB</w:t>
      </w:r>
      <w:r>
        <w:t xml:space="preserve"> can </w:t>
      </w:r>
      <w:proofErr w:type="gramStart"/>
      <w:r>
        <w:t>manifest as</w:t>
      </w:r>
      <w:proofErr w:type="gramEnd"/>
      <w:r>
        <w:t xml:space="preserve"> TB disease, also known as active TB, which </w:t>
      </w:r>
      <w:r w:rsidR="00F77E9A">
        <w:t xml:space="preserve">can be </w:t>
      </w:r>
      <w:r>
        <w:t xml:space="preserve">contagious and can significantly impact health and safety, or as TB infection, also referred to as latent TB infection </w:t>
      </w:r>
      <w:r w:rsidR="00A14C12">
        <w:t xml:space="preserve">(LTBI) </w:t>
      </w:r>
      <w:r>
        <w:t>or inactive TB, which does not present symptoms and is not contagious. Given that TB remains a significant public health concern in the United States, it can have a profound impact on the college environment. A single case of contagious TB can lead to widespread anxiety and disruption within the learning atmosphere, making it essential to prevent such occurrences to foster a supportive environment for all members of the campus community.</w:t>
      </w:r>
    </w:p>
    <w:p w14:paraId="39CE7C04" w14:textId="77777777" w:rsidR="002E7213" w:rsidRDefault="002E7213" w:rsidP="00975580">
      <w:pPr>
        <w:rPr>
          <w:b/>
          <w:bCs/>
        </w:rPr>
      </w:pPr>
    </w:p>
    <w:p w14:paraId="34005A90" w14:textId="376BB368" w:rsidR="00525D3E" w:rsidRPr="00525D3E" w:rsidRDefault="00525D3E" w:rsidP="00891A10">
      <w:pPr>
        <w:pStyle w:val="Heading2"/>
        <w:rPr>
          <w:b/>
          <w:bCs/>
        </w:rPr>
      </w:pPr>
      <w:r w:rsidRPr="00891A10">
        <w:t>Establishing a TB Policy on Campus</w:t>
      </w:r>
    </w:p>
    <w:p w14:paraId="4CA78C1C" w14:textId="64B9A0C0" w:rsidR="00525D3E" w:rsidRPr="00525D3E" w:rsidRDefault="00525D3E" w:rsidP="00525D3E">
      <w:r>
        <w:t xml:space="preserve">Setting a comprehensive TB policy on college and university campuses is crucial for safeguarding the health of students, faculty, and staff. A clear policy helps </w:t>
      </w:r>
      <w:r w:rsidR="00F063CC">
        <w:t xml:space="preserve">identify and proactively manage potential </w:t>
      </w:r>
      <w:r>
        <w:t xml:space="preserve">TB cases, ensuring that proper screening, testing, and treatment protocols are in place. By educating the campus community about TB transmission, symptoms, and prevention strategies, institutions can reduce the risk of </w:t>
      </w:r>
      <w:r w:rsidR="0A4661D6">
        <w:t xml:space="preserve">TB infections and potential </w:t>
      </w:r>
      <w:r>
        <w:t>outbreaks. Additionally, a well-defined policy promotes a culture of health awareness and responsibility, encouraging individuals to seek assistance if they experience symptoms or have been exposed to TB.</w:t>
      </w:r>
    </w:p>
    <w:p w14:paraId="03CED8E6" w14:textId="6CD085B0" w:rsidR="002E7213" w:rsidRDefault="00525D3E" w:rsidP="00C10DE6">
      <w:r w:rsidRPr="00525D3E">
        <w:t xml:space="preserve">For guidance on developing effective TB prevention strategies, refer to the </w:t>
      </w:r>
      <w:hyperlink r:id="rId8" w:history="1">
        <w:r w:rsidRPr="00560B6E">
          <w:rPr>
            <w:rStyle w:val="Hyperlink"/>
          </w:rPr>
          <w:t>Model TB Prevention Program for College Campuses provided by the Heartland National TB Center</w:t>
        </w:r>
      </w:hyperlink>
      <w:r w:rsidR="00560B6E">
        <w:t xml:space="preserve">. </w:t>
      </w:r>
    </w:p>
    <w:p w14:paraId="332E6FDB" w14:textId="77777777" w:rsidR="00BD6880" w:rsidRDefault="00BD6880" w:rsidP="00C10DE6"/>
    <w:p w14:paraId="1E51477E" w14:textId="5C715B77" w:rsidR="006472F0" w:rsidRDefault="008F3703" w:rsidP="00891A10">
      <w:pPr>
        <w:pStyle w:val="Heading2"/>
        <w:rPr>
          <w:b/>
          <w:bCs/>
        </w:rPr>
      </w:pPr>
      <w:r w:rsidRPr="00891A10">
        <w:lastRenderedPageBreak/>
        <w:t>TB</w:t>
      </w:r>
      <w:r w:rsidR="00BD1944" w:rsidRPr="00891A10">
        <w:t xml:space="preserve"> Screen</w:t>
      </w:r>
      <w:r w:rsidRPr="00891A10">
        <w:t>ing</w:t>
      </w:r>
    </w:p>
    <w:p w14:paraId="54177CE4" w14:textId="165EE267" w:rsidR="006560F8" w:rsidRDefault="006560F8" w:rsidP="006560F8">
      <w:r>
        <w:t xml:space="preserve">The Centers for Disease Control and Prevention (CDC) </w:t>
      </w:r>
      <w:proofErr w:type="gramStart"/>
      <w:r>
        <w:t>considers</w:t>
      </w:r>
      <w:proofErr w:type="gramEnd"/>
      <w:r>
        <w:t xml:space="preserve"> individuals born in or frequently traveling to countries with high rates of </w:t>
      </w:r>
      <w:r w:rsidR="00831907">
        <w:t>TB</w:t>
      </w:r>
      <w:r>
        <w:t xml:space="preserve"> to be at a higher risk for TB exposure due to the greater prevalence of </w:t>
      </w:r>
      <w:proofErr w:type="gramStart"/>
      <w:r>
        <w:t>the bacteria</w:t>
      </w:r>
      <w:proofErr w:type="gramEnd"/>
      <w:r>
        <w:t xml:space="preserve"> in those areas. This risk is assessed by reviewing their country of origin and travel history to determine the likelihood of exposure to </w:t>
      </w:r>
      <w:r w:rsidRPr="00CF5B81">
        <w:rPr>
          <w:i/>
          <w:iCs/>
        </w:rPr>
        <w:t xml:space="preserve">Mycobacterium </w:t>
      </w:r>
      <w:r w:rsidR="00831907">
        <w:rPr>
          <w:i/>
          <w:iCs/>
        </w:rPr>
        <w:t>TB</w:t>
      </w:r>
      <w:r w:rsidRPr="034E76C4">
        <w:rPr>
          <w:i/>
          <w:iCs/>
        </w:rPr>
        <w:t xml:space="preserve"> </w:t>
      </w:r>
      <w:r>
        <w:t>(the TB bacterium). </w:t>
      </w:r>
    </w:p>
    <w:p w14:paraId="1FAE565D" w14:textId="65F2EEEF" w:rsidR="008C367D" w:rsidRDefault="2AB036E8" w:rsidP="008C367D">
      <w:r w:rsidRPr="00CF5B81">
        <w:rPr>
          <w:b/>
          <w:bCs/>
        </w:rPr>
        <w:t>All incoming campus community members should be screened for TB risk factors</w:t>
      </w:r>
      <w:r w:rsidR="0B88028E" w:rsidRPr="00CF5B81">
        <w:rPr>
          <w:b/>
          <w:bCs/>
        </w:rPr>
        <w:t xml:space="preserve"> before arriving on campus</w:t>
      </w:r>
      <w:r w:rsidR="0B88028E" w:rsidRPr="008C367D">
        <w:t xml:space="preserve">, </w:t>
      </w:r>
      <w:r w:rsidR="3FC287AD">
        <w:t>in conjunction with verifying</w:t>
      </w:r>
      <w:r w:rsidR="0B88028E" w:rsidRPr="008C367D">
        <w:t xml:space="preserve"> pre-matriculation immunization requirements. For high-risk individuals</w:t>
      </w:r>
      <w:r w:rsidR="001B67A1">
        <w:rPr>
          <w:rStyle w:val="FootnoteReference"/>
        </w:rPr>
        <w:footnoteReference w:id="1"/>
      </w:r>
      <w:r w:rsidR="0B88028E" w:rsidRPr="008C367D">
        <w:t>, TB testing should be performed no earlier than six months before the commencement of their first term and should be finalized prior to registration for the second term</w:t>
      </w:r>
      <w:r w:rsidR="005A4723">
        <w:rPr>
          <w:rStyle w:val="FootnoteReference"/>
        </w:rPr>
        <w:footnoteReference w:id="2"/>
      </w:r>
      <w:r w:rsidR="0B88028E" w:rsidRPr="008C367D">
        <w:t>.</w:t>
      </w:r>
      <w:r w:rsidR="4291ABC5">
        <w:t xml:space="preserve"> </w:t>
      </w:r>
    </w:p>
    <w:p w14:paraId="7927F973" w14:textId="47205B8F" w:rsidR="00EA0721" w:rsidRDefault="2AB036E8" w:rsidP="00F0361D">
      <w:pPr>
        <w:spacing w:after="0" w:line="300" w:lineRule="auto"/>
      </w:pPr>
      <w:r>
        <w:t xml:space="preserve">This screening should be conducted using a standardized questionnaire. </w:t>
      </w:r>
      <w:r w:rsidR="00EA0721" w:rsidRPr="00EA0721">
        <w:t>While it</w:t>
      </w:r>
      <w:r w:rsidR="00EA0721">
        <w:t xml:space="preserve"> i</w:t>
      </w:r>
      <w:r w:rsidR="00EA0721" w:rsidRPr="00EA0721">
        <w:t xml:space="preserve">s essential for all new members of the campus community to be screened, only those with specific risk factors for TB exposure or TB disease should undergo TB testing. Individuals assessed as low risk do not require TB testing unless there is </w:t>
      </w:r>
      <w:proofErr w:type="gramStart"/>
      <w:r w:rsidR="00EA0721" w:rsidRPr="00EA0721">
        <w:t>a significant</w:t>
      </w:r>
      <w:proofErr w:type="gramEnd"/>
      <w:r w:rsidR="00EA0721" w:rsidRPr="00EA0721">
        <w:t xml:space="preserve"> high-risk exposure. Additionally, individuals with a documented history of a positive TB test do not need to be retested; however, they may benefit from consulting with a college health provider to evaluate their situation.</w:t>
      </w:r>
    </w:p>
    <w:p w14:paraId="2FDBBCBE" w14:textId="77777777" w:rsidR="00F0361D" w:rsidRDefault="00F0361D" w:rsidP="00F0361D">
      <w:pPr>
        <w:spacing w:after="0" w:line="300" w:lineRule="auto"/>
      </w:pPr>
    </w:p>
    <w:p w14:paraId="522C428C" w14:textId="61C1596A" w:rsidR="00BD1944" w:rsidRDefault="00303AE4" w:rsidP="00303AE4">
      <w:r w:rsidRPr="00303AE4">
        <w:t xml:space="preserve">For further resources, you can access several online questionnaires and risk assessment documents </w:t>
      </w:r>
      <w:r w:rsidR="00DE6E4A">
        <w:t>to assist with</w:t>
      </w:r>
      <w:r w:rsidRPr="00303AE4">
        <w:t xml:space="preserve"> the screening process.</w:t>
      </w:r>
      <w:r w:rsidR="00A1749A">
        <w:t xml:space="preserve"> Things to consider:</w:t>
      </w:r>
    </w:p>
    <w:p w14:paraId="1EE0C1A9" w14:textId="0BFFE962" w:rsidR="001D2FD1" w:rsidRPr="001D2FD1" w:rsidRDefault="00F808BB" w:rsidP="001D2FD1">
      <w:pPr>
        <w:pStyle w:val="ListParagraph"/>
        <w:numPr>
          <w:ilvl w:val="0"/>
          <w:numId w:val="1"/>
        </w:numPr>
      </w:pPr>
      <w:r>
        <w:t>Review the</w:t>
      </w:r>
      <w:r w:rsidR="00B85291">
        <w:t xml:space="preserve"> </w:t>
      </w:r>
      <w:hyperlink r:id="rId9" w:history="1">
        <w:r w:rsidR="00B85291" w:rsidRPr="00560B6E">
          <w:rPr>
            <w:rStyle w:val="Hyperlink"/>
          </w:rPr>
          <w:t>World Health Organization</w:t>
        </w:r>
        <w:r w:rsidRPr="00560B6E">
          <w:rPr>
            <w:rStyle w:val="Hyperlink"/>
          </w:rPr>
          <w:t xml:space="preserve"> </w:t>
        </w:r>
        <w:r w:rsidR="00B85291" w:rsidRPr="00560B6E">
          <w:rPr>
            <w:rStyle w:val="Hyperlink"/>
          </w:rPr>
          <w:t>(</w:t>
        </w:r>
        <w:r w:rsidR="001D2FD1" w:rsidRPr="00560B6E">
          <w:rPr>
            <w:rStyle w:val="Hyperlink"/>
          </w:rPr>
          <w:t>WHO</w:t>
        </w:r>
        <w:r w:rsidR="00B85291" w:rsidRPr="00560B6E">
          <w:rPr>
            <w:rStyle w:val="Hyperlink"/>
          </w:rPr>
          <w:t>)</w:t>
        </w:r>
        <w:r w:rsidR="00C46DCE" w:rsidRPr="00560B6E">
          <w:rPr>
            <w:rStyle w:val="Hyperlink"/>
          </w:rPr>
          <w:t xml:space="preserve"> </w:t>
        </w:r>
        <w:r w:rsidR="001D2FD1" w:rsidRPr="00560B6E">
          <w:rPr>
            <w:rStyle w:val="Hyperlink"/>
          </w:rPr>
          <w:t>global lists of high-burden countries for TB, HIV-associated TB</w:t>
        </w:r>
        <w:r w:rsidR="00DE6E4A" w:rsidRPr="00560B6E">
          <w:rPr>
            <w:rStyle w:val="Hyperlink"/>
          </w:rPr>
          <w:t>,</w:t>
        </w:r>
        <w:r w:rsidR="001D2FD1" w:rsidRPr="00560B6E">
          <w:rPr>
            <w:rStyle w:val="Hyperlink"/>
          </w:rPr>
          <w:t xml:space="preserve"> and drug-resistant TB</w:t>
        </w:r>
      </w:hyperlink>
      <w:r w:rsidR="00867F47">
        <w:t xml:space="preserve"> </w:t>
      </w:r>
    </w:p>
    <w:p w14:paraId="279CD296" w14:textId="6E6173C4" w:rsidR="003771E8" w:rsidRPr="003771E8" w:rsidRDefault="46F19A4D" w:rsidP="003771E8">
      <w:pPr>
        <w:pStyle w:val="ListParagraph"/>
        <w:numPr>
          <w:ilvl w:val="0"/>
          <w:numId w:val="1"/>
        </w:numPr>
      </w:pPr>
      <w:r>
        <w:t xml:space="preserve">Implement or customize a questionnaire </w:t>
      </w:r>
      <w:r w:rsidR="5082079B">
        <w:t xml:space="preserve">or risk assessment tool </w:t>
      </w:r>
      <w:r>
        <w:t xml:space="preserve">specifically designed to screen campus community members for TB. </w:t>
      </w:r>
      <w:hyperlink r:id="rId10" w:anchor="tb-risk-assessment-" w:history="1">
        <w:r w:rsidR="00CF616C" w:rsidRPr="00560B6E">
          <w:rPr>
            <w:rStyle w:val="Hyperlink"/>
          </w:rPr>
          <w:t xml:space="preserve">The Massachusetts </w:t>
        </w:r>
        <w:r w:rsidR="00831907" w:rsidRPr="00560B6E">
          <w:rPr>
            <w:rStyle w:val="Hyperlink"/>
          </w:rPr>
          <w:t>TB</w:t>
        </w:r>
        <w:r w:rsidR="00BC74D6" w:rsidRPr="00560B6E">
          <w:rPr>
            <w:rStyle w:val="Hyperlink"/>
          </w:rPr>
          <w:t xml:space="preserve"> Risk Assessment</w:t>
        </w:r>
      </w:hyperlink>
      <w:r w:rsidR="00D07A98">
        <w:t xml:space="preserve"> </w:t>
      </w:r>
      <w:r w:rsidR="00897FBA">
        <w:t>is suitable resource</w:t>
      </w:r>
      <w:r w:rsidR="009F7424">
        <w:t xml:space="preserve"> that </w:t>
      </w:r>
      <w:r w:rsidR="00D07A98">
        <w:t>can be adopted to serve this purpose</w:t>
      </w:r>
      <w:r w:rsidR="003771E8">
        <w:t xml:space="preserve"> </w:t>
      </w:r>
      <w:r w:rsidR="003771E8" w:rsidRPr="003771E8">
        <w:t xml:space="preserve"> </w:t>
      </w:r>
    </w:p>
    <w:p w14:paraId="2B7404CE" w14:textId="388DF312" w:rsidR="008C226E" w:rsidRDefault="00DC7492" w:rsidP="00E16AD5">
      <w:pPr>
        <w:pStyle w:val="ListParagraph"/>
        <w:numPr>
          <w:ilvl w:val="0"/>
          <w:numId w:val="1"/>
        </w:numPr>
      </w:pPr>
      <w:r>
        <w:t>Review the resource</w:t>
      </w:r>
      <w:r w:rsidR="00582665">
        <w:t>s</w:t>
      </w:r>
      <w:r>
        <w:t xml:space="preserve"> below for more information</w:t>
      </w:r>
      <w:r w:rsidR="46F19A4D">
        <w:t>:</w:t>
      </w:r>
    </w:p>
    <w:p w14:paraId="5B0B28D2" w14:textId="26FCF71C" w:rsidR="00CF3ABA" w:rsidRDefault="00560B6E" w:rsidP="003E196E">
      <w:pPr>
        <w:pStyle w:val="ListParagraph"/>
        <w:numPr>
          <w:ilvl w:val="1"/>
          <w:numId w:val="1"/>
        </w:numPr>
      </w:pPr>
      <w:hyperlink r:id="rId11" w:history="1">
        <w:r w:rsidR="00741F6A" w:rsidRPr="00560B6E">
          <w:rPr>
            <w:rStyle w:val="Hyperlink"/>
          </w:rPr>
          <w:t xml:space="preserve">California </w:t>
        </w:r>
        <w:r w:rsidR="00831907" w:rsidRPr="00560B6E">
          <w:rPr>
            <w:rStyle w:val="Hyperlink"/>
          </w:rPr>
          <w:t>TB</w:t>
        </w:r>
        <w:r w:rsidR="00741F6A" w:rsidRPr="00560B6E">
          <w:rPr>
            <w:rStyle w:val="Hyperlink"/>
          </w:rPr>
          <w:t xml:space="preserve"> College and University Students Risk Assessment and User Guide</w:t>
        </w:r>
      </w:hyperlink>
      <w:r w:rsidR="00522666">
        <w:t xml:space="preserve"> </w:t>
      </w:r>
    </w:p>
    <w:p w14:paraId="1DD121C6" w14:textId="1287ADBB" w:rsidR="007A0C5D" w:rsidRPr="00010338" w:rsidRDefault="5F364B04" w:rsidP="005557EA">
      <w:pPr>
        <w:pStyle w:val="ListParagraph"/>
        <w:numPr>
          <w:ilvl w:val="1"/>
          <w:numId w:val="1"/>
        </w:numPr>
        <w:rPr>
          <w:b/>
          <w:bCs/>
        </w:rPr>
      </w:pPr>
      <w:r>
        <w:lastRenderedPageBreak/>
        <w:t>CDC provides a comprehensive guide titled "</w:t>
      </w:r>
      <w:hyperlink r:id="rId12" w:history="1">
        <w:r w:rsidRPr="00560B6E">
          <w:rPr>
            <w:rStyle w:val="Hyperlink"/>
          </w:rPr>
          <w:t>LTBI: A Guide for Primary Health Care Providers</w:t>
        </w:r>
      </w:hyperlink>
      <w:r>
        <w:t>," which includes a sample TB risk assessment tool in Appendix A</w:t>
      </w:r>
      <w:r w:rsidR="159E98E6">
        <w:t xml:space="preserve"> </w:t>
      </w:r>
    </w:p>
    <w:p w14:paraId="3E76B842" w14:textId="001E6FD5" w:rsidR="00010338" w:rsidRDefault="002D4CD7" w:rsidP="005557EA">
      <w:pPr>
        <w:pStyle w:val="ListParagraph"/>
        <w:numPr>
          <w:ilvl w:val="1"/>
          <w:numId w:val="1"/>
        </w:numPr>
      </w:pPr>
      <w:r>
        <w:t xml:space="preserve">The </w:t>
      </w:r>
      <w:r w:rsidR="000F59A3">
        <w:t>American College Health Association (ACHA)</w:t>
      </w:r>
      <w:r>
        <w:t xml:space="preserve"> </w:t>
      </w:r>
      <w:r w:rsidR="00460412">
        <w:t>“</w:t>
      </w:r>
      <w:hyperlink r:id="rId13" w:history="1">
        <w:r w:rsidR="00831907" w:rsidRPr="00560B6E">
          <w:rPr>
            <w:rStyle w:val="Hyperlink"/>
          </w:rPr>
          <w:t>TB</w:t>
        </w:r>
        <w:r w:rsidR="00DE5CCF" w:rsidRPr="00560B6E">
          <w:rPr>
            <w:rStyle w:val="Hyperlink"/>
          </w:rPr>
          <w:t xml:space="preserve"> Risk Assessment and Management</w:t>
        </w:r>
      </w:hyperlink>
      <w:r>
        <w:t xml:space="preserve">" includes a sample </w:t>
      </w:r>
      <w:r w:rsidR="005E1A69">
        <w:t xml:space="preserve">TB </w:t>
      </w:r>
      <w:r>
        <w:t xml:space="preserve">screening questionnaire developed based on identified TB risk factors. For reference, please consult Appendix </w:t>
      </w:r>
      <w:r w:rsidR="0066657B">
        <w:t>I</w:t>
      </w:r>
      <w:r>
        <w:t xml:space="preserve"> for </w:t>
      </w:r>
      <w:r w:rsidR="00C173D2">
        <w:t>these</w:t>
      </w:r>
      <w:r>
        <w:t xml:space="preserve"> </w:t>
      </w:r>
      <w:r w:rsidR="00C173D2">
        <w:t>guidelines</w:t>
      </w:r>
    </w:p>
    <w:p w14:paraId="34A5CEFB" w14:textId="45407EEE" w:rsidR="00E51924" w:rsidRDefault="00B07CF5" w:rsidP="005557EA">
      <w:pPr>
        <w:pStyle w:val="ListParagraph"/>
        <w:numPr>
          <w:ilvl w:val="1"/>
          <w:numId w:val="1"/>
        </w:numPr>
      </w:pPr>
      <w:r>
        <w:t xml:space="preserve">Review the </w:t>
      </w:r>
      <w:r w:rsidRPr="00B07CF5">
        <w:t>ACHA “</w:t>
      </w:r>
      <w:hyperlink r:id="rId14" w:history="1">
        <w:r w:rsidR="00831907" w:rsidRPr="00560B6E">
          <w:rPr>
            <w:rStyle w:val="Hyperlink"/>
          </w:rPr>
          <w:t>TB</w:t>
        </w:r>
        <w:r w:rsidRPr="00560B6E">
          <w:rPr>
            <w:rStyle w:val="Hyperlink"/>
          </w:rPr>
          <w:t xml:space="preserve"> Risk Assessment and Management</w:t>
        </w:r>
      </w:hyperlink>
      <w:r w:rsidRPr="00B07CF5">
        <w:t xml:space="preserve">" </w:t>
      </w:r>
      <w:r>
        <w:t xml:space="preserve">for </w:t>
      </w:r>
      <w:r w:rsidR="00B672C8" w:rsidRPr="00B672C8">
        <w:t>Factors to Consider in Implementing a TB Risk Assessment Program</w:t>
      </w:r>
    </w:p>
    <w:p w14:paraId="2B7EA3AB" w14:textId="77777777" w:rsidR="00F0361D" w:rsidRDefault="00F0361D" w:rsidP="00B05D57">
      <w:pPr>
        <w:rPr>
          <w:b/>
          <w:bCs/>
        </w:rPr>
      </w:pPr>
    </w:p>
    <w:p w14:paraId="0C3DDB47" w14:textId="1BE496EC" w:rsidR="00B05D57" w:rsidRDefault="00316BB3" w:rsidP="00891A10">
      <w:pPr>
        <w:pStyle w:val="Heading2"/>
        <w:rPr>
          <w:b/>
          <w:bCs/>
        </w:rPr>
      </w:pPr>
      <w:r w:rsidRPr="00891A10">
        <w:t xml:space="preserve">TB </w:t>
      </w:r>
      <w:r w:rsidR="000B36E2" w:rsidRPr="00891A10">
        <w:t>Medical</w:t>
      </w:r>
      <w:r w:rsidRPr="00891A10">
        <w:t xml:space="preserve"> Records</w:t>
      </w:r>
    </w:p>
    <w:p w14:paraId="150BACFA" w14:textId="56523B50" w:rsidR="00E33929" w:rsidRDefault="22353F69" w:rsidP="6120EE67">
      <w:r>
        <w:t xml:space="preserve">TB medical records review </w:t>
      </w:r>
      <w:r w:rsidR="61E92360">
        <w:t>is</w:t>
      </w:r>
      <w:r>
        <w:t xml:space="preserve"> a critical step, not only to steer </w:t>
      </w:r>
      <w:r w:rsidR="7659F957">
        <w:t>treatmen</w:t>
      </w:r>
      <w:r w:rsidR="65EFE311">
        <w:t>t</w:t>
      </w:r>
      <w:r w:rsidR="7659F957">
        <w:t>, tes</w:t>
      </w:r>
      <w:r w:rsidR="478F8843">
        <w:t>t</w:t>
      </w:r>
      <w:r w:rsidR="7659F957">
        <w:t>ing and medi</w:t>
      </w:r>
      <w:r w:rsidR="474E4F3D">
        <w:t>c</w:t>
      </w:r>
      <w:r w:rsidR="7659F957">
        <w:t>al care for indi</w:t>
      </w:r>
      <w:r w:rsidR="75397112">
        <w:t xml:space="preserve">viduals </w:t>
      </w:r>
      <w:r w:rsidR="7659F957">
        <w:t xml:space="preserve">with TB infection, but </w:t>
      </w:r>
      <w:r w:rsidR="035E95C8">
        <w:t xml:space="preserve">can </w:t>
      </w:r>
      <w:r w:rsidR="7659F957">
        <w:t xml:space="preserve">also </w:t>
      </w:r>
      <w:r w:rsidR="6E93CFCC">
        <w:t xml:space="preserve">provide insights to </w:t>
      </w:r>
      <w:r w:rsidR="7659F957">
        <w:t>aid in</w:t>
      </w:r>
      <w:r>
        <w:t xml:space="preserve"> developing effective TB prevention strategies</w:t>
      </w:r>
      <w:r w:rsidR="49F1672A">
        <w:t xml:space="preserve"> for the community.</w:t>
      </w:r>
      <w:r w:rsidR="1E36F4C1">
        <w:t xml:space="preserve"> </w:t>
      </w:r>
      <w:r w:rsidR="00770748">
        <w:t>When reviewing medical documents for T</w:t>
      </w:r>
      <w:r w:rsidR="00973D13">
        <w:t>B</w:t>
      </w:r>
      <w:r w:rsidR="00770748">
        <w:t xml:space="preserve">, clinicians must interpret </w:t>
      </w:r>
      <w:r w:rsidR="007C329C">
        <w:t xml:space="preserve">both </w:t>
      </w:r>
      <w:r w:rsidR="00E903F7">
        <w:t>pre-departure overseas records and relevant domestic records to determine whether</w:t>
      </w:r>
      <w:r w:rsidR="00770748">
        <w:t xml:space="preserve"> further testing or treatment is needed. </w:t>
      </w:r>
      <w:r w:rsidR="00CF5AB1">
        <w:t xml:space="preserve">Records must be translated into English by a certified professional, but prior TB tests and chest X-rays </w:t>
      </w:r>
      <w:r w:rsidR="00BA2922">
        <w:t xml:space="preserve">(CXR) </w:t>
      </w:r>
      <w:r w:rsidR="00CF5AB1">
        <w:t xml:space="preserve">from another country are often not accepted. </w:t>
      </w:r>
      <w:r w:rsidR="00302369">
        <w:t xml:space="preserve">The translator must provide a signed certification stating that the translation is accurate and that they are competent to perform the translation. </w:t>
      </w:r>
      <w:r w:rsidR="00E33929">
        <w:t xml:space="preserve">Essential information to look for includes: </w:t>
      </w:r>
    </w:p>
    <w:p w14:paraId="0CCC8E7E" w14:textId="12875829" w:rsidR="00E33929" w:rsidRDefault="00E33929" w:rsidP="00F06244">
      <w:pPr>
        <w:pStyle w:val="ListParagraph"/>
        <w:numPr>
          <w:ilvl w:val="0"/>
          <w:numId w:val="2"/>
        </w:numPr>
      </w:pPr>
      <w:r w:rsidRPr="007713B0">
        <w:rPr>
          <w:b/>
          <w:bCs/>
        </w:rPr>
        <w:t>TB classification:</w:t>
      </w:r>
      <w:r>
        <w:t xml:space="preserve"> This label indicates the status of the </w:t>
      </w:r>
      <w:r w:rsidR="000C1179">
        <w:t>person’s</w:t>
      </w:r>
      <w:r>
        <w:t xml:space="preserve"> TB evaluation and risk.</w:t>
      </w:r>
      <w:r w:rsidR="000C1179">
        <w:t xml:space="preserve"> </w:t>
      </w:r>
      <w:r w:rsidR="000C1179" w:rsidRPr="000C1179">
        <w:t xml:space="preserve">The CDC uses a classification system for TB based on pathogenesis. The system categorizes individuals into different classes (0-5) based on factors </w:t>
      </w:r>
      <w:r w:rsidR="00710B93">
        <w:t>such as TB exposure, the presence of symptoms or signs of TB disease, laboratory</w:t>
      </w:r>
      <w:r w:rsidR="000C1179" w:rsidRPr="000C1179">
        <w:t xml:space="preserve"> results, and treatment history, with specific classifications also used in contexts like immigrant and refugee health. </w:t>
      </w:r>
      <w:r w:rsidR="00FA62F0">
        <w:t xml:space="preserve">Review the </w:t>
      </w:r>
      <w:hyperlink r:id="rId15" w:history="1">
        <w:r w:rsidR="00560B6E">
          <w:rPr>
            <w:rStyle w:val="Hyperlink"/>
          </w:rPr>
          <w:t>American Thoracic Society’s (ATS) Diagnostic Standards and Classification of TB in Adults and Children</w:t>
        </w:r>
      </w:hyperlink>
      <w:r w:rsidR="00F06244">
        <w:t>.</w:t>
      </w:r>
      <w:r w:rsidR="00FA62F0">
        <w:t xml:space="preserve"> </w:t>
      </w:r>
      <w:r w:rsidR="00E90450">
        <w:t>Also</w:t>
      </w:r>
      <w:r w:rsidR="009A3C2C">
        <w:t xml:space="preserve">, check </w:t>
      </w:r>
      <w:hyperlink r:id="rId16" w:history="1">
        <w:r w:rsidR="00B56A04">
          <w:rPr>
            <w:rStyle w:val="Hyperlink"/>
          </w:rPr>
          <w:t>Tuberculosis Technical Instructions for Civil Surgeons</w:t>
        </w:r>
      </w:hyperlink>
      <w:r w:rsidR="00F06244">
        <w:t>.</w:t>
      </w:r>
      <w:r w:rsidR="009A3C2C">
        <w:t xml:space="preserve"> </w:t>
      </w:r>
    </w:p>
    <w:p w14:paraId="5A8BEBC5" w14:textId="77777777" w:rsidR="002C4BE6" w:rsidRDefault="002C4BE6" w:rsidP="002C4BE6">
      <w:pPr>
        <w:pStyle w:val="ListParagraph"/>
        <w:ind w:left="360"/>
      </w:pPr>
    </w:p>
    <w:p w14:paraId="3EFCD9E1" w14:textId="0FF8A4AD" w:rsidR="00B933AC" w:rsidRDefault="00E33929" w:rsidP="00606D93">
      <w:pPr>
        <w:pStyle w:val="ListParagraph"/>
        <w:numPr>
          <w:ilvl w:val="0"/>
          <w:numId w:val="2"/>
        </w:numPr>
      </w:pPr>
      <w:r w:rsidRPr="6120EE67">
        <w:rPr>
          <w:b/>
          <w:bCs/>
        </w:rPr>
        <w:t>Test results:</w:t>
      </w:r>
      <w:r>
        <w:t xml:space="preserve"> Documentation for the interferon-gamma release assay (IGRA) or </w:t>
      </w:r>
      <w:r w:rsidR="00170FC5">
        <w:t>Mant</w:t>
      </w:r>
      <w:r w:rsidR="003644FD">
        <w:t xml:space="preserve">oux </w:t>
      </w:r>
      <w:r>
        <w:t>tuberculin skin test (TST), and any sputum smear and culture results.</w:t>
      </w:r>
      <w:r w:rsidR="00606D93">
        <w:t xml:space="preserve"> Acceptable </w:t>
      </w:r>
      <w:r w:rsidR="00E70195">
        <w:t>IGRA</w:t>
      </w:r>
      <w:r w:rsidR="00606D93">
        <w:t xml:space="preserve"> tests</w:t>
      </w:r>
      <w:r w:rsidR="00D37A15">
        <w:t xml:space="preserve"> are </w:t>
      </w:r>
      <w:r w:rsidR="00606D93">
        <w:t>QuantiFERON®-TB Gold</w:t>
      </w:r>
      <w:r w:rsidR="00D37A15">
        <w:t xml:space="preserve"> </w:t>
      </w:r>
      <w:r w:rsidR="003F5957">
        <w:t>Plus (QFT-Plus)</w:t>
      </w:r>
      <w:r w:rsidR="0010378E">
        <w:t xml:space="preserve"> </w:t>
      </w:r>
      <w:r w:rsidR="00D37A15">
        <w:t xml:space="preserve">and </w:t>
      </w:r>
      <w:r w:rsidR="00606D93">
        <w:t>T-SPOT®.TB test (T-</w:t>
      </w:r>
      <w:r w:rsidR="201D4EA9">
        <w:t>SPOT</w:t>
      </w:r>
      <w:r w:rsidR="00606D93">
        <w:t>)</w:t>
      </w:r>
      <w:r w:rsidR="00096543">
        <w:t xml:space="preserve"> and test must be done </w:t>
      </w:r>
      <w:r w:rsidR="00E65055">
        <w:t xml:space="preserve">no more than six months before arrival </w:t>
      </w:r>
      <w:r w:rsidR="001141AD">
        <w:t>in</w:t>
      </w:r>
      <w:r w:rsidR="00E65055">
        <w:t xml:space="preserve"> the United States. </w:t>
      </w:r>
      <w:r w:rsidR="001141AD">
        <w:t xml:space="preserve">IGRA test </w:t>
      </w:r>
      <w:r w:rsidR="00CE0DF9">
        <w:t xml:space="preserve">or TST </w:t>
      </w:r>
      <w:r w:rsidR="001141AD">
        <w:t xml:space="preserve">results are not accepted if </w:t>
      </w:r>
      <w:r w:rsidR="00CE0DF9">
        <w:t xml:space="preserve">performed </w:t>
      </w:r>
      <w:r w:rsidR="00027096">
        <w:t xml:space="preserve">within 28 days </w:t>
      </w:r>
      <w:r w:rsidR="00FF1CE4">
        <w:t xml:space="preserve">(4 weeks) </w:t>
      </w:r>
      <w:r w:rsidR="00027096">
        <w:t xml:space="preserve">of </w:t>
      </w:r>
      <w:r w:rsidR="00757A83">
        <w:t xml:space="preserve">receiving </w:t>
      </w:r>
      <w:r w:rsidR="003527B0">
        <w:t xml:space="preserve">MMR, varicella, </w:t>
      </w:r>
      <w:r w:rsidR="00B55586">
        <w:t xml:space="preserve">yellow fever, </w:t>
      </w:r>
      <w:r w:rsidR="003527B0">
        <w:t xml:space="preserve">or COVID-19 vaccines. </w:t>
      </w:r>
      <w:r w:rsidR="00E063E3">
        <w:t xml:space="preserve">The IGRA is preferred for </w:t>
      </w:r>
      <w:r w:rsidR="0031347E">
        <w:t xml:space="preserve">TB </w:t>
      </w:r>
      <w:r w:rsidR="00E063E3">
        <w:t xml:space="preserve">testing, </w:t>
      </w:r>
      <w:r w:rsidR="00E063E3">
        <w:lastRenderedPageBreak/>
        <w:t xml:space="preserve">particularly in those vaccinated with </w:t>
      </w:r>
      <w:r w:rsidR="00D8431A">
        <w:t>Bacillus Calmette-Guerin (BCG)</w:t>
      </w:r>
      <w:r w:rsidR="00E063E3">
        <w:t>, while the TST can be used if the IGRA is unavailable or impractical.</w:t>
      </w:r>
      <w:r w:rsidR="00073153">
        <w:t xml:space="preserve"> </w:t>
      </w:r>
      <w:r w:rsidR="00A03D90">
        <w:t xml:space="preserve">For additional information on TB tests, refer to the following links: </w:t>
      </w:r>
      <w:hyperlink r:id="rId17">
        <w:r w:rsidR="00B56A04">
          <w:rPr>
            <w:rStyle w:val="Hyperlink"/>
          </w:rPr>
          <w:t>Clinical Testing Guidance for Tuberculosis: Interferon Gamma Release Assay</w:t>
        </w:r>
      </w:hyperlink>
      <w:r w:rsidR="006E2C94">
        <w:t xml:space="preserve">, </w:t>
      </w:r>
      <w:hyperlink r:id="rId18">
        <w:r w:rsidR="00B56A04">
          <w:rPr>
            <w:rStyle w:val="Hyperlink"/>
          </w:rPr>
          <w:t>Clinical Testing Guidance for Tuberculosis: Tuberculin Skin Test</w:t>
        </w:r>
      </w:hyperlink>
      <w:r w:rsidR="00BA4D55">
        <w:t xml:space="preserve">, and </w:t>
      </w:r>
      <w:hyperlink r:id="rId19">
        <w:r w:rsidR="00B56A04">
          <w:rPr>
            <w:rStyle w:val="Hyperlink"/>
          </w:rPr>
          <w:t>ATS/CDC/IDSA Clinical Practice Guidelines for the Diagnosis of Tuberculosis in Adults and Children</w:t>
        </w:r>
      </w:hyperlink>
      <w:r w:rsidR="00B56A04">
        <w:t>.</w:t>
      </w:r>
      <w:r w:rsidR="00535576">
        <w:t xml:space="preserve"> </w:t>
      </w:r>
      <w:r w:rsidR="006E2C94">
        <w:t xml:space="preserve"> </w:t>
      </w:r>
    </w:p>
    <w:p w14:paraId="00FA7F29" w14:textId="77777777" w:rsidR="002C4BE6" w:rsidRDefault="002C4BE6" w:rsidP="002C4BE6">
      <w:pPr>
        <w:pStyle w:val="ListParagraph"/>
        <w:ind w:left="360"/>
      </w:pPr>
    </w:p>
    <w:p w14:paraId="5E7E783A" w14:textId="471A61B4" w:rsidR="00F872B3" w:rsidRDefault="63881E8A" w:rsidP="004B3EB8">
      <w:pPr>
        <w:pStyle w:val="ListParagraph"/>
        <w:numPr>
          <w:ilvl w:val="0"/>
          <w:numId w:val="2"/>
        </w:numPr>
      </w:pPr>
      <w:r w:rsidRPr="1197154C">
        <w:rPr>
          <w:b/>
          <w:bCs/>
        </w:rPr>
        <w:t>Chest X-</w:t>
      </w:r>
      <w:r w:rsidR="423580C9" w:rsidRPr="1197154C">
        <w:rPr>
          <w:b/>
          <w:bCs/>
        </w:rPr>
        <w:t>R</w:t>
      </w:r>
      <w:r w:rsidRPr="1197154C">
        <w:rPr>
          <w:b/>
          <w:bCs/>
        </w:rPr>
        <w:t>ay (</w:t>
      </w:r>
      <w:r w:rsidR="00E33929" w:rsidRPr="1197154C">
        <w:rPr>
          <w:b/>
          <w:bCs/>
        </w:rPr>
        <w:t>CXR</w:t>
      </w:r>
      <w:r w:rsidR="4EC7BFEF" w:rsidRPr="1197154C">
        <w:rPr>
          <w:b/>
          <w:bCs/>
        </w:rPr>
        <w:t>)</w:t>
      </w:r>
      <w:r w:rsidR="00E33929" w:rsidRPr="1197154C">
        <w:rPr>
          <w:b/>
          <w:bCs/>
        </w:rPr>
        <w:t xml:space="preserve"> report:</w:t>
      </w:r>
      <w:r w:rsidR="00E33929">
        <w:t xml:space="preserve"> </w:t>
      </w:r>
      <w:r w:rsidR="00062736">
        <w:t>A radiology report and digital image file (in DICOM format</w:t>
      </w:r>
      <w:r w:rsidR="000F7F9E">
        <w:t>, Digital Imaging and Communications in Medicine</w:t>
      </w:r>
      <w:r w:rsidR="00062736">
        <w:t xml:space="preserve">) of the </w:t>
      </w:r>
      <w:r w:rsidR="00E324E8">
        <w:t>CXR</w:t>
      </w:r>
      <w:r w:rsidR="00062736">
        <w:t xml:space="preserve"> findings are required</w:t>
      </w:r>
      <w:r w:rsidR="006C611B">
        <w:t xml:space="preserve"> for individuals with positive TB test</w:t>
      </w:r>
      <w:r w:rsidR="00062736">
        <w:t>. The CXR must be conducted no more than six months before arrival in the United States and should include two views (</w:t>
      </w:r>
      <w:r w:rsidR="005A6B06">
        <w:t>Posterior Anterior-</w:t>
      </w:r>
      <w:r w:rsidR="00062736">
        <w:t xml:space="preserve">PA and lateral). The report must be interpreted by a radiologist and written in </w:t>
      </w:r>
      <w:r w:rsidR="00E20C14">
        <w:t>the English language</w:t>
      </w:r>
      <w:r w:rsidR="00062736">
        <w:t xml:space="preserve">. Additionally, it must include </w:t>
      </w:r>
      <w:r w:rsidR="00E20C14">
        <w:t xml:space="preserve">the </w:t>
      </w:r>
      <w:r w:rsidR="002E4ACD">
        <w:t>p</w:t>
      </w:r>
      <w:r w:rsidR="00E20C14">
        <w:t>erson’s</w:t>
      </w:r>
      <w:r w:rsidR="00062736">
        <w:t xml:space="preserve"> name, date of birth, the date the X-ray was performed and interpreted, as well as the signature of the </w:t>
      </w:r>
      <w:r w:rsidR="00E324E8">
        <w:t>radiologist who interpreted the X-ray</w:t>
      </w:r>
      <w:r w:rsidR="00062736">
        <w:t>.</w:t>
      </w:r>
      <w:r w:rsidR="008911E2">
        <w:t xml:space="preserve"> Check </w:t>
      </w:r>
      <w:r w:rsidR="00FB6C35">
        <w:t xml:space="preserve">the </w:t>
      </w:r>
      <w:r w:rsidR="00BC0C56">
        <w:t xml:space="preserve">following resources: </w:t>
      </w:r>
      <w:hyperlink r:id="rId20">
        <w:r w:rsidR="00B56A04">
          <w:rPr>
            <w:rStyle w:val="Hyperlink"/>
          </w:rPr>
          <w:t>Clinical and Laboratory Diagnosis for Tuberculosis</w:t>
        </w:r>
      </w:hyperlink>
      <w:r w:rsidR="004F618E">
        <w:t xml:space="preserve">, </w:t>
      </w:r>
      <w:hyperlink r:id="rId21">
        <w:r w:rsidR="00B56A04">
          <w:rPr>
            <w:rStyle w:val="Hyperlink"/>
          </w:rPr>
          <w:t>Core Curriculum on Tuberculosis: What the Clinician Should Know</w:t>
        </w:r>
      </w:hyperlink>
      <w:r w:rsidR="006D5AC8">
        <w:t xml:space="preserve">, </w:t>
      </w:r>
      <w:r w:rsidR="00A353F5">
        <w:t>and</w:t>
      </w:r>
      <w:r w:rsidR="00FB6C35">
        <w:t xml:space="preserve"> </w:t>
      </w:r>
      <w:hyperlink r:id="rId22">
        <w:r w:rsidR="00B56A04">
          <w:rPr>
            <w:rStyle w:val="Hyperlink"/>
          </w:rPr>
          <w:t>Curry International Tuberculosis Center TB Radiology Resource Page</w:t>
        </w:r>
      </w:hyperlink>
      <w:r w:rsidR="00B56A04">
        <w:t>.</w:t>
      </w:r>
      <w:r w:rsidR="00FB6C35">
        <w:t xml:space="preserve"> </w:t>
      </w:r>
    </w:p>
    <w:p w14:paraId="2FC25C39" w14:textId="77777777" w:rsidR="002C4BE6" w:rsidRDefault="002C4BE6" w:rsidP="002C4BE6">
      <w:pPr>
        <w:pStyle w:val="ListParagraph"/>
        <w:ind w:left="360"/>
      </w:pPr>
    </w:p>
    <w:p w14:paraId="5F2D9A3A" w14:textId="54A16152" w:rsidR="005555DE" w:rsidRDefault="00E33929" w:rsidP="00F872B3">
      <w:pPr>
        <w:pStyle w:val="ListParagraph"/>
        <w:numPr>
          <w:ilvl w:val="0"/>
          <w:numId w:val="2"/>
        </w:numPr>
      </w:pPr>
      <w:r w:rsidRPr="00E926AD">
        <w:rPr>
          <w:b/>
          <w:bCs/>
        </w:rPr>
        <w:t>Treatment history:</w:t>
      </w:r>
      <w:r w:rsidR="004510D2">
        <w:t xml:space="preserve"> </w:t>
      </w:r>
      <w:r w:rsidR="009859A6">
        <w:t>M</w:t>
      </w:r>
      <w:r w:rsidR="009859A6" w:rsidRPr="009859A6">
        <w:t xml:space="preserve">ust include a </w:t>
      </w:r>
      <w:r w:rsidR="004510D2">
        <w:t>physician-signed</w:t>
      </w:r>
      <w:r w:rsidR="009859A6" w:rsidRPr="009859A6">
        <w:t xml:space="preserve"> and certified record of any TB treatment received, detailing the regimen and duration.</w:t>
      </w:r>
      <w:r w:rsidR="00926267">
        <w:t xml:space="preserve"> </w:t>
      </w:r>
      <w:r w:rsidR="00BD3958">
        <w:t>For TB medical history and evaluation</w:t>
      </w:r>
      <w:r w:rsidR="00FA65EC">
        <w:t>,</w:t>
      </w:r>
      <w:r w:rsidR="00BD3958">
        <w:t xml:space="preserve"> check </w:t>
      </w:r>
      <w:r w:rsidR="00A07850">
        <w:t xml:space="preserve">this link </w:t>
      </w:r>
      <w:hyperlink r:id="rId23" w:history="1">
        <w:r w:rsidR="00947766">
          <w:rPr>
            <w:rStyle w:val="Hyperlink"/>
          </w:rPr>
          <w:t>Core Curriculum on Tuberculosis: What the Clinician Should Know (CDC)</w:t>
        </w:r>
      </w:hyperlink>
      <w:r w:rsidR="00B56A04">
        <w:t>.</w:t>
      </w:r>
    </w:p>
    <w:p w14:paraId="1228EDDA" w14:textId="4927E996" w:rsidR="0090791E" w:rsidRDefault="0031267F" w:rsidP="0090791E">
      <w:pPr>
        <w:pStyle w:val="ListParagraph"/>
        <w:numPr>
          <w:ilvl w:val="0"/>
          <w:numId w:val="2"/>
        </w:numPr>
      </w:pPr>
      <w:r w:rsidRPr="0031267F">
        <w:rPr>
          <w:b/>
          <w:bCs/>
        </w:rPr>
        <w:t>BCG</w:t>
      </w:r>
      <w:r w:rsidR="0090791E" w:rsidRPr="0090791E">
        <w:rPr>
          <w:b/>
          <w:bCs/>
        </w:rPr>
        <w:t xml:space="preserve"> vaccination:</w:t>
      </w:r>
      <w:r w:rsidR="00E36706">
        <w:rPr>
          <w:b/>
          <w:bCs/>
        </w:rPr>
        <w:t xml:space="preserve"> </w:t>
      </w:r>
      <w:r w:rsidR="00E36706" w:rsidRPr="00E36706">
        <w:t>A previous BCG vaccination may lead to a positive TST, but it does not alter the screening requirements or the interpretation of test results. Therefore, the IGRA blood test is recommended, as it is more specific and not influenced by a BCG vaccination.</w:t>
      </w:r>
      <w:r w:rsidR="00F90292">
        <w:t xml:space="preserve"> For more information</w:t>
      </w:r>
      <w:r w:rsidR="00B56A04">
        <w:t xml:space="preserve">: </w:t>
      </w:r>
      <w:hyperlink r:id="rId24" w:history="1">
        <w:r w:rsidR="00361E2A">
          <w:rPr>
            <w:rStyle w:val="Hyperlink"/>
          </w:rPr>
          <w:t>Tuberculosis Vaccine (CDC)</w:t>
        </w:r>
      </w:hyperlink>
      <w:r w:rsidR="00B56A04">
        <w:t>.</w:t>
      </w:r>
    </w:p>
    <w:p w14:paraId="40AB67F1" w14:textId="77777777" w:rsidR="002C4BE6" w:rsidRDefault="002C4BE6" w:rsidP="002C4BE6">
      <w:pPr>
        <w:pStyle w:val="ListParagraph"/>
        <w:ind w:left="360"/>
      </w:pPr>
    </w:p>
    <w:p w14:paraId="0616ECA3" w14:textId="77777777" w:rsidR="00AA1C54" w:rsidRDefault="007F3EA1" w:rsidP="00AA1C54">
      <w:pPr>
        <w:pStyle w:val="ListParagraph"/>
        <w:numPr>
          <w:ilvl w:val="0"/>
          <w:numId w:val="2"/>
        </w:numPr>
      </w:pPr>
      <w:r>
        <w:rPr>
          <w:b/>
          <w:bCs/>
        </w:rPr>
        <w:t>Accuracy</w:t>
      </w:r>
      <w:r w:rsidR="00007C4E">
        <w:rPr>
          <w:b/>
          <w:bCs/>
        </w:rPr>
        <w:t xml:space="preserve"> and Missing Records:</w:t>
      </w:r>
      <w:r w:rsidR="00007C4E">
        <w:t xml:space="preserve"> </w:t>
      </w:r>
      <w:r w:rsidR="00547A3D" w:rsidRPr="00547A3D">
        <w:t xml:space="preserve">When reviewing foreign TB medical records, it is essential to ensure that each page includes the patient’s name and date of birth, as well as proper certification. Reviewers should </w:t>
      </w:r>
      <w:r w:rsidR="00E87B06">
        <w:t>be aware of discrepancies in date formats, such as MM/DD/YY versus DD/MM/YY, which can cause</w:t>
      </w:r>
      <w:r w:rsidR="00547A3D" w:rsidRPr="00547A3D">
        <w:t xml:space="preserve"> confusion. If any records are incomplete or missing critical information, they should repeat all necessary TB screening and diagnostic tests to ensure accurate assessment and treatment.</w:t>
      </w:r>
    </w:p>
    <w:p w14:paraId="6C4EC86C" w14:textId="77777777" w:rsidR="00F0361D" w:rsidRDefault="00F0361D" w:rsidP="00AA3C36">
      <w:pPr>
        <w:rPr>
          <w:b/>
          <w:bCs/>
        </w:rPr>
      </w:pPr>
    </w:p>
    <w:p w14:paraId="44C3F077" w14:textId="77777777" w:rsidR="00B56A04" w:rsidRDefault="00B56A04" w:rsidP="00AA3C36">
      <w:pPr>
        <w:rPr>
          <w:b/>
          <w:bCs/>
        </w:rPr>
      </w:pPr>
    </w:p>
    <w:p w14:paraId="7775F245" w14:textId="345998FC" w:rsidR="00AA3C36" w:rsidRDefault="00294F08" w:rsidP="00AA3C36">
      <w:pPr>
        <w:rPr>
          <w:b/>
          <w:bCs/>
        </w:rPr>
      </w:pPr>
      <w:r w:rsidRPr="00891A10">
        <w:rPr>
          <w:rStyle w:val="Heading2Char"/>
        </w:rPr>
        <w:lastRenderedPageBreak/>
        <w:t>TB Testing</w:t>
      </w:r>
      <w:r w:rsidR="000461B8" w:rsidRPr="00891A10">
        <w:rPr>
          <w:rStyle w:val="Heading2Char"/>
        </w:rPr>
        <w:t xml:space="preserve"> and </w:t>
      </w:r>
      <w:r w:rsidR="00312A6F" w:rsidRPr="00891A10">
        <w:rPr>
          <w:rStyle w:val="Heading2Char"/>
        </w:rPr>
        <w:t>Imaging</w:t>
      </w:r>
      <w:r w:rsidR="00312A6F" w:rsidRPr="22D78270">
        <w:rPr>
          <w:b/>
          <w:bCs/>
        </w:rPr>
        <w:t xml:space="preserve"> </w:t>
      </w:r>
    </w:p>
    <w:p w14:paraId="590B771F" w14:textId="043E2CB0" w:rsidR="004F3F57" w:rsidRDefault="47B3092C" w:rsidP="004F3F57">
      <w:r>
        <w:t>When it comes to TB testing, a careful assessment of an individual's previous test results is essential. Members of the campus community who are at high</w:t>
      </w:r>
      <w:r w:rsidR="06AECEFF">
        <w:t>-</w:t>
      </w:r>
      <w:r>
        <w:t>risk for TB infection or disease should undergo testing if they have not had an IGRA or TST in over six months. Additionally, if any symptoms of TB develop or if past imaging raises concerns about potential TB disease, a medical examination and follow-up</w:t>
      </w:r>
      <w:r w:rsidR="00A466C0">
        <w:t xml:space="preserve"> CXR</w:t>
      </w:r>
      <w:r>
        <w:t xml:space="preserve"> are necessary, regardless of the timing of previous examinations or imaging. </w:t>
      </w:r>
    </w:p>
    <w:p w14:paraId="08F05B6C" w14:textId="65A342F3" w:rsidR="009D5300" w:rsidRDefault="007E0F26" w:rsidP="034E76C4">
      <w:pPr>
        <w:rPr>
          <w:rStyle w:val="Hyperlink"/>
        </w:rPr>
      </w:pPr>
      <w:r>
        <w:t xml:space="preserve">In </w:t>
      </w:r>
      <w:r w:rsidR="00DC06D5">
        <w:t xml:space="preserve">determining the most appropriate TB test for campus community members, healthcare providers are encouraged to utilize the </w:t>
      </w:r>
      <w:r w:rsidR="1CEC8A9D">
        <w:t>IGRA</w:t>
      </w:r>
      <w:r w:rsidR="00DC06D5">
        <w:t>, particularly for those at higher risk of</w:t>
      </w:r>
      <w:r>
        <w:t xml:space="preserve"> TB infection. </w:t>
      </w:r>
      <w:r w:rsidR="006F5A9C">
        <w:t>F</w:t>
      </w:r>
      <w:r>
        <w:t xml:space="preserve">ollow-up testing may be appropriate in specific situations to confirm results and offer a </w:t>
      </w:r>
      <w:r w:rsidR="00F0226B">
        <w:t>more precise</w:t>
      </w:r>
      <w:r>
        <w:t xml:space="preserve"> diagnosis. For further details on testing options and guidelines, please refer to </w:t>
      </w:r>
      <w:hyperlink r:id="rId25">
        <w:r w:rsidR="00026C72">
          <w:rPr>
            <w:rStyle w:val="Hyperlink"/>
          </w:rPr>
          <w:t>Core Curriculum on Tuberculosis: What the Clinician Should Know (CDC)</w:t>
        </w:r>
      </w:hyperlink>
      <w:r w:rsidR="00B56A04">
        <w:t>.</w:t>
      </w:r>
    </w:p>
    <w:p w14:paraId="46EE0070" w14:textId="34961421" w:rsidR="005436CE" w:rsidRDefault="005436CE" w:rsidP="00D5679D">
      <w:r>
        <w:t xml:space="preserve">The process for TB testing begins with notifying campus community members </w:t>
      </w:r>
      <w:r w:rsidR="0049285E">
        <w:t xml:space="preserve">who are at high-risk for TB infection or disease </w:t>
      </w:r>
      <w:r>
        <w:t xml:space="preserve">about the requirement to undergo testing. </w:t>
      </w:r>
      <w:r w:rsidR="00F049CE">
        <w:t>T</w:t>
      </w:r>
      <w:r>
        <w:t xml:space="preserve">he next step involves addressing any questions or concerns regarding the TB testing process. After that, the actual TB testing and clinical evaluation take place, followed by </w:t>
      </w:r>
      <w:r w:rsidR="5B4DC3B3">
        <w:t xml:space="preserve">explaining </w:t>
      </w:r>
      <w:r>
        <w:t xml:space="preserve">test results </w:t>
      </w:r>
      <w:r w:rsidR="00C71E56">
        <w:t>to</w:t>
      </w:r>
      <w:r>
        <w:t xml:space="preserve"> the individual, ensuring that results are documented in their health record for future reference</w:t>
      </w:r>
      <w:r w:rsidR="34169FA2">
        <w:t>.</w:t>
      </w:r>
    </w:p>
    <w:p w14:paraId="0BAD0433" w14:textId="246335CD" w:rsidR="00B63C4C" w:rsidRDefault="00B63C4C" w:rsidP="007F19BC">
      <w:r>
        <w:t xml:space="preserve">In institutions where there is no health center or limited testing capacity, the process begins with compiling IGRA testing resources in advance. </w:t>
      </w:r>
      <w:r w:rsidR="23A0E3D5">
        <w:t xml:space="preserve">A list of </w:t>
      </w:r>
      <w:r>
        <w:t>preferred testing options</w:t>
      </w:r>
      <w:r w:rsidR="518EB783">
        <w:t xml:space="preserve"> should be developed</w:t>
      </w:r>
      <w:r>
        <w:t xml:space="preserve">, considering factors such as insurance coverage and connections with local primary care groups, </w:t>
      </w:r>
      <w:r w:rsidR="2FF3C048">
        <w:t>and should include</w:t>
      </w:r>
      <w:r>
        <w:t xml:space="preserve"> information on </w:t>
      </w:r>
      <w:r w:rsidR="00C904DC">
        <w:t xml:space="preserve">the state-contracted </w:t>
      </w:r>
      <w:r>
        <w:t>TB clinics</w:t>
      </w:r>
      <w:r w:rsidR="6AD12E01">
        <w:t xml:space="preserve"> as a testing option</w:t>
      </w:r>
      <w:r>
        <w:t xml:space="preserve">. Alternatively, if needed, contacting the Local Board of Health (LBOH) can be an option to inform them of the need for testing. Following this, the individual should be informed and guided on how to proceed with the testing process. It is crucial that the results of the TB test are documented in the individual’s health record to maintain accurate health information. For further details on testing options and procedures, please </w:t>
      </w:r>
      <w:r w:rsidR="00403903">
        <w:t>review</w:t>
      </w:r>
      <w:r>
        <w:t xml:space="preserve"> the link provided here: </w:t>
      </w:r>
      <w:hyperlink r:id="rId26">
        <w:r w:rsidR="00403903">
          <w:rPr>
            <w:rStyle w:val="Hyperlink"/>
          </w:rPr>
          <w:t>Model Tuberculosis Prevention Program for College Campuses</w:t>
        </w:r>
      </w:hyperlink>
      <w:r w:rsidR="00B56A04">
        <w:t>.</w:t>
      </w:r>
    </w:p>
    <w:p w14:paraId="2ED9B5A6" w14:textId="01968E7E" w:rsidR="007A4B2D" w:rsidRDefault="280F168A" w:rsidP="007A4B2D">
      <w:r>
        <w:t>O</w:t>
      </w:r>
      <w:r w:rsidR="3DEC7EF7">
        <w:t>ptions for TB testing include Quest Diagnostics</w:t>
      </w:r>
      <w:r w:rsidR="00FD5F04">
        <w:t xml:space="preserve"> which requires a doctor’s order</w:t>
      </w:r>
      <w:r w:rsidR="3DEC7EF7">
        <w:t xml:space="preserve">, as well as walk-in clinics such as </w:t>
      </w:r>
      <w:r w:rsidR="00E142BA">
        <w:t>Consumer Value Store (</w:t>
      </w:r>
      <w:r w:rsidR="3DEC7EF7">
        <w:t>CVS</w:t>
      </w:r>
      <w:r w:rsidR="00E142BA">
        <w:t>)</w:t>
      </w:r>
      <w:r w:rsidR="3DEC7EF7">
        <w:t xml:space="preserve"> MinuteClinic and American Family Care (AFC) Urgent Care, which offer on-site testing at various locations throughout the state. Major hospital systems, including </w:t>
      </w:r>
      <w:hyperlink r:id="rId27" w:history="1">
        <w:r w:rsidR="3DEC7EF7" w:rsidRPr="00755955">
          <w:rPr>
            <w:rStyle w:val="Hyperlink"/>
          </w:rPr>
          <w:t>Boston Medical Center</w:t>
        </w:r>
      </w:hyperlink>
      <w:r w:rsidR="00CB7B50">
        <w:t xml:space="preserve"> and </w:t>
      </w:r>
      <w:hyperlink r:id="rId28" w:history="1">
        <w:r w:rsidR="00CB7B50" w:rsidRPr="00755955">
          <w:rPr>
            <w:rStyle w:val="Hyperlink"/>
          </w:rPr>
          <w:t>Massachusetts General Hospital</w:t>
        </w:r>
      </w:hyperlink>
      <w:r w:rsidR="3DEC7EF7">
        <w:t xml:space="preserve">, also </w:t>
      </w:r>
      <w:r w:rsidR="5452B39D">
        <w:t>offer integrated TB services for</w:t>
      </w:r>
      <w:r w:rsidR="3DEC7EF7">
        <w:t xml:space="preserve"> more comprehensive care.</w:t>
      </w:r>
      <w:r w:rsidR="7DD1BA28">
        <w:t xml:space="preserve"> </w:t>
      </w:r>
    </w:p>
    <w:p w14:paraId="51A01B2B" w14:textId="7C84DD0B" w:rsidR="00A85BE0" w:rsidRDefault="0FB00522" w:rsidP="00B1544B">
      <w:r>
        <w:lastRenderedPageBreak/>
        <w:t>The</w:t>
      </w:r>
      <w:r w:rsidR="00A85BE0">
        <w:t xml:space="preserve"> Department of Public Health (DPH) offers programs that provide screening and linkage to treatment for HIV, hepatitis C, sexually transmitted infections, and </w:t>
      </w:r>
      <w:r w:rsidR="3888AEAA">
        <w:t>TB</w:t>
      </w:r>
      <w:r w:rsidR="004D0D21">
        <w:t xml:space="preserve">. </w:t>
      </w:r>
      <w:r w:rsidR="00A85BE0">
        <w:t>These programs also offer various prevention and support services, including:</w:t>
      </w:r>
    </w:p>
    <w:p w14:paraId="063F3297" w14:textId="0C59F112" w:rsidR="00A85BE0" w:rsidRDefault="00A85BE0" w:rsidP="00F678B8">
      <w:pPr>
        <w:pStyle w:val="ListParagraph"/>
        <w:numPr>
          <w:ilvl w:val="0"/>
          <w:numId w:val="36"/>
        </w:numPr>
      </w:pPr>
      <w:r>
        <w:t>HIV</w:t>
      </w:r>
      <w:r w:rsidR="002306F0" w:rsidRPr="002306F0">
        <w:t xml:space="preserve"> Pre-Exposure Prophylaxis (PrEP)</w:t>
      </w:r>
      <w:r w:rsidR="002306F0">
        <w:t xml:space="preserve"> </w:t>
      </w:r>
      <w:r>
        <w:t>services</w:t>
      </w:r>
    </w:p>
    <w:p w14:paraId="418488E5" w14:textId="150FEEF8" w:rsidR="00A85BE0" w:rsidRDefault="00A85BE0" w:rsidP="00F678B8">
      <w:pPr>
        <w:pStyle w:val="ListParagraph"/>
        <w:numPr>
          <w:ilvl w:val="0"/>
          <w:numId w:val="36"/>
        </w:numPr>
      </w:pPr>
      <w:r>
        <w:t>Assistance with notifying sexual and needle-sharing partners about potential exposure to HIV and other STIs</w:t>
      </w:r>
    </w:p>
    <w:p w14:paraId="1484A252" w14:textId="4D754FEA" w:rsidR="00A85BE0" w:rsidRDefault="00A85BE0" w:rsidP="00F678B8">
      <w:pPr>
        <w:pStyle w:val="ListParagraph"/>
        <w:numPr>
          <w:ilvl w:val="0"/>
          <w:numId w:val="36"/>
        </w:numPr>
      </w:pPr>
      <w:r>
        <w:t>Access to services that provide sterile needles and syringes</w:t>
      </w:r>
    </w:p>
    <w:p w14:paraId="3F53D132" w14:textId="74684E14" w:rsidR="00A85BE0" w:rsidRDefault="00A85BE0" w:rsidP="00F678B8">
      <w:pPr>
        <w:pStyle w:val="ListParagraph"/>
        <w:numPr>
          <w:ilvl w:val="0"/>
          <w:numId w:val="36"/>
        </w:numPr>
      </w:pPr>
      <w:r>
        <w:t>Overdose education and naloxone distribution</w:t>
      </w:r>
    </w:p>
    <w:p w14:paraId="3B5FDBA7" w14:textId="7C6EE901" w:rsidR="00182390" w:rsidRDefault="00A85BE0" w:rsidP="008910D4">
      <w:r>
        <w:t>For information on service locations, please visit</w:t>
      </w:r>
      <w:r w:rsidR="00BA2EDA">
        <w:t xml:space="preserve"> the</w:t>
      </w:r>
      <w:r>
        <w:t xml:space="preserve"> </w:t>
      </w:r>
      <w:hyperlink r:id="rId29" w:history="1">
        <w:r w:rsidR="00BA2EDA">
          <w:rPr>
            <w:rStyle w:val="Hyperlink"/>
          </w:rPr>
          <w:t>integrated testing and linkage services locator.</w:t>
        </w:r>
      </w:hyperlink>
      <w:r w:rsidR="00B56A04">
        <w:t>.</w:t>
      </w:r>
    </w:p>
    <w:p w14:paraId="22235797" w14:textId="51FE9A43" w:rsidR="00AF0622" w:rsidRDefault="007A4B2D" w:rsidP="007A4B2D">
      <w:r>
        <w:t xml:space="preserve">For more information about TB or to obtain contact details, individuals are encouraged to reach out to their </w:t>
      </w:r>
      <w:r w:rsidR="00F579AD">
        <w:t>LBOH</w:t>
      </w:r>
      <w:r w:rsidR="004732A1">
        <w:t xml:space="preserve"> </w:t>
      </w:r>
      <w:r>
        <w:t xml:space="preserve">or the </w:t>
      </w:r>
      <w:hyperlink r:id="rId30" w:history="1">
        <w:r w:rsidRPr="00B56A04">
          <w:rPr>
            <w:rStyle w:val="Hyperlink"/>
          </w:rPr>
          <w:t xml:space="preserve">Massachusetts </w:t>
        </w:r>
        <w:r w:rsidR="00062F53" w:rsidRPr="00B56A04">
          <w:rPr>
            <w:rStyle w:val="Hyperlink"/>
          </w:rPr>
          <w:t>DPH</w:t>
        </w:r>
        <w:r w:rsidRPr="00B56A04">
          <w:rPr>
            <w:rStyle w:val="Hyperlink"/>
          </w:rPr>
          <w:t xml:space="preserve">, </w:t>
        </w:r>
        <w:r w:rsidR="00831907" w:rsidRPr="00B56A04">
          <w:rPr>
            <w:rStyle w:val="Hyperlink"/>
          </w:rPr>
          <w:t>TB</w:t>
        </w:r>
        <w:r w:rsidRPr="00B56A04">
          <w:rPr>
            <w:rStyle w:val="Hyperlink"/>
          </w:rPr>
          <w:t xml:space="preserve"> Program</w:t>
        </w:r>
      </w:hyperlink>
      <w:r>
        <w:t>, at (617) 983-6970.</w:t>
      </w:r>
      <w:r w:rsidR="005F75DD">
        <w:t xml:space="preserve"> </w:t>
      </w:r>
    </w:p>
    <w:p w14:paraId="318B9F99" w14:textId="77777777" w:rsidR="00F0361D" w:rsidRDefault="00F0361D" w:rsidP="6401F1A1">
      <w:pPr>
        <w:rPr>
          <w:b/>
          <w:bCs/>
        </w:rPr>
      </w:pPr>
    </w:p>
    <w:p w14:paraId="5DBFEF56" w14:textId="256BBF03" w:rsidR="00DF5E16" w:rsidRPr="00DF5E16" w:rsidRDefault="24F47106" w:rsidP="00891A10">
      <w:pPr>
        <w:pStyle w:val="Heading2"/>
        <w:rPr>
          <w:b/>
          <w:bCs/>
        </w:rPr>
      </w:pPr>
      <w:r w:rsidRPr="00891A10">
        <w:t>Evaluating TB Test Results and Reporting to DPH</w:t>
      </w:r>
    </w:p>
    <w:p w14:paraId="69579C5D" w14:textId="02CF5295" w:rsidR="00DF5E16" w:rsidRPr="00DF5E16" w:rsidRDefault="00DF5E16" w:rsidP="00A01AFA">
      <w:r w:rsidRPr="00DF5E16">
        <w:t>When a campus community member tests positive for TB infection, it is crucial to evaluate whether TB disease is present or to confirm the diagnosis of TB infection. The evaluation process should encompass the following steps:</w:t>
      </w:r>
    </w:p>
    <w:p w14:paraId="61168210" w14:textId="5ADE215D" w:rsidR="00DF5E16" w:rsidRPr="00DF5E16" w:rsidRDefault="00DF5E16" w:rsidP="00F678B8">
      <w:pPr>
        <w:pStyle w:val="ListParagraph"/>
        <w:numPr>
          <w:ilvl w:val="0"/>
          <w:numId w:val="37"/>
        </w:numPr>
      </w:pPr>
      <w:r w:rsidRPr="00DF5E16">
        <w:t>A comprehensive review of the individual’s medical history, focusing on past TB exposure, additional risk factors, and any previous TB test results or treatments</w:t>
      </w:r>
    </w:p>
    <w:p w14:paraId="37887754" w14:textId="1662798F" w:rsidR="00DF5E16" w:rsidRPr="00DF5E16" w:rsidRDefault="00DF5E16" w:rsidP="00F678B8">
      <w:pPr>
        <w:pStyle w:val="ListParagraph"/>
        <w:numPr>
          <w:ilvl w:val="0"/>
          <w:numId w:val="37"/>
        </w:numPr>
      </w:pPr>
      <w:r w:rsidRPr="00DF5E16">
        <w:t>A physical examination</w:t>
      </w:r>
    </w:p>
    <w:p w14:paraId="0956B15A" w14:textId="2F70D32F" w:rsidR="00DF5E16" w:rsidRPr="00DF5E16" w:rsidRDefault="00DF5E16" w:rsidP="00F678B8">
      <w:pPr>
        <w:pStyle w:val="ListParagraph"/>
        <w:numPr>
          <w:ilvl w:val="0"/>
          <w:numId w:val="37"/>
        </w:numPr>
      </w:pPr>
      <w:r w:rsidRPr="00DF5E16">
        <w:t>A chest radiograph</w:t>
      </w:r>
    </w:p>
    <w:p w14:paraId="4297BC99" w14:textId="1A00E633" w:rsidR="00DF5E16" w:rsidRPr="00DF5E16" w:rsidRDefault="00DF5E16" w:rsidP="00A01AFA">
      <w:r w:rsidRPr="00DF5E16">
        <w:t xml:space="preserve">If </w:t>
      </w:r>
      <w:r w:rsidR="00710E28" w:rsidRPr="00DF5E16">
        <w:t>symptom</w:t>
      </w:r>
      <w:r w:rsidRPr="00DF5E16">
        <w:t xml:space="preserve"> screening suggests potential TB disease, appropriate measures should be taken to manage infection risks. These evaluations should ideally take place in a state-contracted TB clinic to accurately diagnose either TB infection or TB disease</w:t>
      </w:r>
      <w:r w:rsidR="00C76CBD" w:rsidRPr="00C76CBD">
        <w:t>; however, urgent care or emergency departments can also be utilized if necessary.</w:t>
      </w:r>
      <w:r w:rsidRPr="00DF5E16">
        <w:t xml:space="preserve"> For a list of facilities in Massachusetts that provide state-supported diagnostic and treatment services for individuals with suspected TB disease or TB infection, </w:t>
      </w:r>
      <w:hyperlink r:id="rId31" w:history="1">
        <w:r w:rsidR="00020676">
          <w:rPr>
            <w:rStyle w:val="Hyperlink"/>
          </w:rPr>
          <w:t>please refer to the outpatient services locator.</w:t>
        </w:r>
      </w:hyperlink>
      <w:r w:rsidR="00A01AFA">
        <w:t xml:space="preserve"> </w:t>
      </w:r>
    </w:p>
    <w:p w14:paraId="5B3E54C4" w14:textId="7A5E9AD3" w:rsidR="00DF5E16" w:rsidRPr="00DF5E16" w:rsidRDefault="00DF5E16" w:rsidP="00A01AFA">
      <w:r>
        <w:t xml:space="preserve">Individuals </w:t>
      </w:r>
      <w:r w:rsidR="28F4CD85">
        <w:t xml:space="preserve">diagnosed with </w:t>
      </w:r>
      <w:r>
        <w:t xml:space="preserve">TB infection can receive care through college or university health services or from a community healthcare provider. For further details, consult the </w:t>
      </w:r>
      <w:hyperlink r:id="rId32" w:history="1">
        <w:r w:rsidRPr="00020676">
          <w:rPr>
            <w:rStyle w:val="Hyperlink"/>
          </w:rPr>
          <w:t xml:space="preserve">ACHA </w:t>
        </w:r>
        <w:r w:rsidR="00831907" w:rsidRPr="00020676">
          <w:rPr>
            <w:rStyle w:val="Hyperlink"/>
          </w:rPr>
          <w:t>TB</w:t>
        </w:r>
        <w:r w:rsidRPr="00020676">
          <w:rPr>
            <w:rStyle w:val="Hyperlink"/>
          </w:rPr>
          <w:t xml:space="preserve"> Risk Assessment and Management guidelines</w:t>
        </w:r>
      </w:hyperlink>
      <w:r w:rsidR="00020676">
        <w:t>.</w:t>
      </w:r>
    </w:p>
    <w:p w14:paraId="27753649" w14:textId="57A86981" w:rsidR="00BD611B" w:rsidRDefault="00BD611B" w:rsidP="00DF5E16">
      <w:r w:rsidRPr="00BD611B">
        <w:lastRenderedPageBreak/>
        <w:t xml:space="preserve">In Massachusetts, both TB disease— including suspected cases—and TB infection are reportable conditions that must be reported within 24 hours, as mandated by 105 CMR 300. Healthcare providers are required to complete the online </w:t>
      </w:r>
      <w:hyperlink r:id="rId33" w:history="1">
        <w:r w:rsidR="00831907" w:rsidRPr="00020676">
          <w:rPr>
            <w:rStyle w:val="Hyperlink"/>
          </w:rPr>
          <w:t>TB</w:t>
        </w:r>
        <w:r w:rsidRPr="00020676">
          <w:rPr>
            <w:rStyle w:val="Hyperlink"/>
          </w:rPr>
          <w:t xml:space="preserve"> Reporting Form for reporting to DPH</w:t>
        </w:r>
      </w:hyperlink>
      <w:r w:rsidRPr="00BD611B">
        <w:t xml:space="preserve">. </w:t>
      </w:r>
    </w:p>
    <w:p w14:paraId="1567C59D" w14:textId="48505E42" w:rsidR="00DF5E16" w:rsidRDefault="00BF7B17" w:rsidP="00DF5E16">
      <w:r>
        <w:t xml:space="preserve">The DPH notifies the </w:t>
      </w:r>
      <w:r w:rsidR="004732A1">
        <w:t>LBOH</w:t>
      </w:r>
      <w:r>
        <w:t xml:space="preserve"> in the patient's community. </w:t>
      </w:r>
      <w:r w:rsidR="00923DE0">
        <w:t xml:space="preserve">The DPH's infectious disease surveillance system, known as </w:t>
      </w:r>
      <w:r w:rsidR="00953D1D">
        <w:t>Massachusetts Virtual Epidemiologic Network (MAVEN)</w:t>
      </w:r>
      <w:r w:rsidR="00923DE0">
        <w:t xml:space="preserve">, is used to manage and track TB cases, and it contains data for both state and </w:t>
      </w:r>
      <w:r w:rsidR="005F6A70">
        <w:t>LBOH</w:t>
      </w:r>
      <w:r w:rsidR="00923DE0">
        <w:t xml:space="preserve"> personnel.</w:t>
      </w:r>
      <w:r w:rsidR="006F488C">
        <w:t xml:space="preserve">  </w:t>
      </w:r>
    </w:p>
    <w:p w14:paraId="534E4ADE" w14:textId="3C3777C9" w:rsidR="00E135DD" w:rsidRDefault="00E135DD" w:rsidP="00E135DD">
      <w:r w:rsidRPr="00E135DD">
        <w:t xml:space="preserve">While not primarily responsible for initial reporting, </w:t>
      </w:r>
      <w:r w:rsidR="004732A1">
        <w:t>LBOH</w:t>
      </w:r>
      <w:r w:rsidRPr="00E135DD">
        <w:t xml:space="preserve"> </w:t>
      </w:r>
      <w:r w:rsidR="00AC3DF7" w:rsidRPr="00E135DD">
        <w:t>plays</w:t>
      </w:r>
      <w:r w:rsidRPr="00E135DD">
        <w:t xml:space="preserve"> a crucial role in follow-up and case management</w:t>
      </w:r>
      <w:r w:rsidR="00EF1E5B">
        <w:t xml:space="preserve"> of TB </w:t>
      </w:r>
      <w:r w:rsidR="009F1216">
        <w:t>disease cases.</w:t>
      </w:r>
      <w:r w:rsidRPr="00E135DD">
        <w:t xml:space="preserve"> They assist the DPH with activities like discharge planning for hospitalized patients and ensuring treatment adherence.</w:t>
      </w:r>
    </w:p>
    <w:p w14:paraId="5E003893" w14:textId="77777777" w:rsidR="00F0361D" w:rsidRDefault="00F0361D" w:rsidP="00DF5E16">
      <w:pPr>
        <w:rPr>
          <w:b/>
          <w:bCs/>
        </w:rPr>
      </w:pPr>
    </w:p>
    <w:p w14:paraId="5029AC51" w14:textId="54766B53" w:rsidR="00FC3312" w:rsidRDefault="27DFAA82" w:rsidP="00891A10">
      <w:pPr>
        <w:pStyle w:val="Heading2"/>
        <w:rPr>
          <w:b/>
          <w:bCs/>
        </w:rPr>
      </w:pPr>
      <w:r w:rsidRPr="00891A10">
        <w:t xml:space="preserve">TB </w:t>
      </w:r>
      <w:r w:rsidR="58CFDBB5" w:rsidRPr="00891A10">
        <w:t xml:space="preserve">Disease </w:t>
      </w:r>
      <w:r w:rsidR="111C47DA" w:rsidRPr="00891A10">
        <w:t>Management</w:t>
      </w:r>
      <w:r w:rsidR="4F3ADDCC" w:rsidRPr="00891A10">
        <w:t xml:space="preserve"> and Counseling</w:t>
      </w:r>
    </w:p>
    <w:p w14:paraId="5B61E29C" w14:textId="4F966BD5" w:rsidR="00BA64B5" w:rsidRDefault="00B242A5" w:rsidP="6120EE67">
      <w:r>
        <w:t xml:space="preserve">Follow-up care for suspected or confirmed TB disease involves immediate reporting to the local and state public health departments. Evaluation and treatment will be managed by infectious disease specialists, ideally at state-supported TB clinics. </w:t>
      </w:r>
      <w:r w:rsidR="00BA64B5">
        <w:t xml:space="preserve">These clinics conduct thorough </w:t>
      </w:r>
      <w:r w:rsidR="1ACF0C85">
        <w:t xml:space="preserve">clinical </w:t>
      </w:r>
      <w:r w:rsidR="00BA64B5">
        <w:t>evaluations</w:t>
      </w:r>
      <w:r w:rsidR="601E7BA7">
        <w:t xml:space="preserve"> for TB</w:t>
      </w:r>
      <w:r w:rsidR="00BA64B5">
        <w:t xml:space="preserve"> that include the collection of sputum samples for smear</w:t>
      </w:r>
      <w:r w:rsidR="3C480192">
        <w:t xml:space="preserve"> microscopy</w:t>
      </w:r>
      <w:r w:rsidR="78C13ED3">
        <w:t>, nucleic acid amplification</w:t>
      </w:r>
      <w:r w:rsidR="1A38B206">
        <w:t xml:space="preserve"> testing</w:t>
      </w:r>
      <w:r w:rsidR="78C13ED3">
        <w:t>,</w:t>
      </w:r>
      <w:r w:rsidR="00BA64B5">
        <w:t xml:space="preserve"> and culture testing. </w:t>
      </w:r>
      <w:r w:rsidR="00FC0931">
        <w:t xml:space="preserve">Specimens may be submitted to healthcare providers' reference laboratories or, ideally, to the </w:t>
      </w:r>
      <w:r w:rsidR="00BA64B5">
        <w:t xml:space="preserve">Massachusetts State Public Health Laboratory for </w:t>
      </w:r>
      <w:r w:rsidR="42F1CBE9">
        <w:t>microbiologic</w:t>
      </w:r>
      <w:r w:rsidR="2E1C58DD">
        <w:t>al</w:t>
      </w:r>
      <w:r w:rsidR="42F1CBE9">
        <w:t xml:space="preserve"> </w:t>
      </w:r>
      <w:r w:rsidR="00BA64B5">
        <w:t>analysis</w:t>
      </w:r>
      <w:r w:rsidR="2E2A654D">
        <w:t>,</w:t>
      </w:r>
      <w:r w:rsidR="2E2A654D" w:rsidRPr="1197154C">
        <w:rPr>
          <w:rFonts w:eastAsiaTheme="minorEastAsia"/>
        </w:rPr>
        <w:t xml:space="preserve"> </w:t>
      </w:r>
      <w:r w:rsidR="00FE27A8" w:rsidRPr="1197154C">
        <w:rPr>
          <w:rFonts w:eastAsiaTheme="minorEastAsia"/>
        </w:rPr>
        <w:t>d</w:t>
      </w:r>
      <w:r w:rsidR="2E2A654D" w:rsidRPr="1197154C">
        <w:rPr>
          <w:rFonts w:eastAsiaTheme="minorEastAsia"/>
          <w:color w:val="000000" w:themeColor="text1"/>
        </w:rPr>
        <w:t xml:space="preserve">rug </w:t>
      </w:r>
      <w:r w:rsidR="7CA3E18D" w:rsidRPr="1197154C">
        <w:rPr>
          <w:rFonts w:eastAsiaTheme="minorEastAsia"/>
          <w:color w:val="000000" w:themeColor="text1"/>
        </w:rPr>
        <w:t>s</w:t>
      </w:r>
      <w:r w:rsidR="2E2A654D" w:rsidRPr="1197154C">
        <w:rPr>
          <w:rFonts w:eastAsiaTheme="minorEastAsia"/>
          <w:color w:val="000000" w:themeColor="text1"/>
        </w:rPr>
        <w:t>usceptibility testing (DST)</w:t>
      </w:r>
      <w:r w:rsidR="00BA64B5">
        <w:t xml:space="preserve"> and further testing</w:t>
      </w:r>
      <w:r w:rsidR="457CF2BB">
        <w:t xml:space="preserve"> </w:t>
      </w:r>
      <w:r w:rsidR="0FDFF781" w:rsidRPr="1197154C">
        <w:rPr>
          <w:rFonts w:eastAsiaTheme="minorEastAsia"/>
        </w:rPr>
        <w:t>to d</w:t>
      </w:r>
      <w:r w:rsidR="457CF2BB" w:rsidRPr="1197154C">
        <w:rPr>
          <w:rFonts w:eastAsiaTheme="minorEastAsia"/>
          <w:color w:val="000000" w:themeColor="text1"/>
        </w:rPr>
        <w:t xml:space="preserve">etermine presence </w:t>
      </w:r>
      <w:r w:rsidR="073A98BF" w:rsidRPr="1197154C">
        <w:rPr>
          <w:rFonts w:eastAsiaTheme="minorEastAsia"/>
          <w:color w:val="000000" w:themeColor="text1"/>
        </w:rPr>
        <w:t xml:space="preserve">of </w:t>
      </w:r>
      <w:r w:rsidR="457CF2BB" w:rsidRPr="1197154C">
        <w:rPr>
          <w:rFonts w:eastAsiaTheme="minorEastAsia"/>
          <w:color w:val="000000" w:themeColor="text1"/>
        </w:rPr>
        <w:t xml:space="preserve">or rule out </w:t>
      </w:r>
      <w:r w:rsidR="457CF2BB" w:rsidRPr="00891A10">
        <w:rPr>
          <w:rFonts w:eastAsiaTheme="minorEastAsia"/>
          <w:i/>
          <w:iCs/>
          <w:color w:val="000000" w:themeColor="text1"/>
        </w:rPr>
        <w:t>Mycobacteri</w:t>
      </w:r>
      <w:r w:rsidR="3B5202A7" w:rsidRPr="00891A10">
        <w:rPr>
          <w:rFonts w:eastAsiaTheme="minorEastAsia"/>
          <w:i/>
          <w:iCs/>
          <w:color w:val="000000" w:themeColor="text1"/>
        </w:rPr>
        <w:t>um</w:t>
      </w:r>
      <w:r w:rsidR="1A33E20A" w:rsidRPr="00891A10">
        <w:rPr>
          <w:rFonts w:eastAsiaTheme="minorEastAsia"/>
          <w:i/>
          <w:iCs/>
          <w:color w:val="000000" w:themeColor="text1"/>
        </w:rPr>
        <w:t xml:space="preserve"> </w:t>
      </w:r>
      <w:r w:rsidR="1A2048AD" w:rsidRPr="00891A10">
        <w:rPr>
          <w:rFonts w:eastAsiaTheme="minorEastAsia"/>
          <w:i/>
          <w:iCs/>
          <w:color w:val="000000" w:themeColor="text1"/>
        </w:rPr>
        <w:t>tuberculosis</w:t>
      </w:r>
      <w:r w:rsidR="1A2048AD" w:rsidRPr="1197154C">
        <w:rPr>
          <w:rFonts w:eastAsiaTheme="minorEastAsia"/>
          <w:color w:val="000000" w:themeColor="text1"/>
        </w:rPr>
        <w:t xml:space="preserve"> </w:t>
      </w:r>
      <w:r w:rsidR="33299258" w:rsidRPr="1197154C">
        <w:rPr>
          <w:rFonts w:eastAsiaTheme="minorEastAsia"/>
          <w:color w:val="000000" w:themeColor="text1"/>
        </w:rPr>
        <w:t xml:space="preserve">or other </w:t>
      </w:r>
      <w:r w:rsidR="02B99E67" w:rsidRPr="1197154C">
        <w:rPr>
          <w:rFonts w:eastAsiaTheme="minorEastAsia"/>
          <w:color w:val="000000" w:themeColor="text1"/>
        </w:rPr>
        <w:t xml:space="preserve">mycobacterial </w:t>
      </w:r>
      <w:r w:rsidR="33299258" w:rsidRPr="1197154C">
        <w:rPr>
          <w:rFonts w:eastAsiaTheme="minorEastAsia"/>
          <w:color w:val="000000" w:themeColor="text1"/>
        </w:rPr>
        <w:t xml:space="preserve">species </w:t>
      </w:r>
      <w:r w:rsidR="1A33E20A" w:rsidRPr="1197154C">
        <w:rPr>
          <w:rFonts w:eastAsiaTheme="minorEastAsia"/>
          <w:color w:val="000000" w:themeColor="text1"/>
        </w:rPr>
        <w:t xml:space="preserve">for </w:t>
      </w:r>
      <w:r w:rsidR="457CF2BB" w:rsidRPr="1197154C">
        <w:rPr>
          <w:rFonts w:eastAsiaTheme="minorEastAsia"/>
          <w:color w:val="000000" w:themeColor="text1"/>
        </w:rPr>
        <w:t>diagnosis of mycobacterial disease</w:t>
      </w:r>
      <w:r w:rsidR="00BA64B5" w:rsidRPr="1197154C">
        <w:rPr>
          <w:rFonts w:eastAsiaTheme="minorEastAsia"/>
        </w:rPr>
        <w:t>. P</w:t>
      </w:r>
      <w:r w:rsidR="00BA64B5">
        <w:t xml:space="preserve">rompt attention to these steps is vital for the health of the individual and plays a significant role in preventing the potential spread of TB within the campus community. </w:t>
      </w:r>
    </w:p>
    <w:p w14:paraId="553F5ACE" w14:textId="509537F5" w:rsidR="00BA64B5" w:rsidRDefault="00BA64B5" w:rsidP="00BA64B5">
      <w:r>
        <w:t xml:space="preserve">Once diagnosed, </w:t>
      </w:r>
      <w:r w:rsidR="413F3E8A">
        <w:t xml:space="preserve">the </w:t>
      </w:r>
      <w:r>
        <w:t>treatment plans for TB disease can vary significantly and are tailored based on several factors. Medication choices are guided by drug susceptibility test results, the presence of other medical conditions (such as HIV or diabetes), drug availability, and the potential for drug interactions. Patients will receive counseling on what to expect during their treatment journey, including any additional testing required to closely monitor their health throughout the process.</w:t>
      </w:r>
    </w:p>
    <w:p w14:paraId="7A8B6C65" w14:textId="28731361" w:rsidR="00BA64B5" w:rsidRDefault="2CED2FD6">
      <w:r>
        <w:t xml:space="preserve">Understanding the importance of adhering to their prescribed medication regimen is critical for patients. Consistent adherence helps ensure a proper and timely cure </w:t>
      </w:r>
      <w:r w:rsidR="447B0522">
        <w:t>and</w:t>
      </w:r>
      <w:r>
        <w:t xml:space="preserve"> minimizes the risk of complications, including severe health issues or even death. </w:t>
      </w:r>
      <w:r>
        <w:lastRenderedPageBreak/>
        <w:t>Furthermore, it reduces the likelihood of transmitting the infection to others and prevents the development of drug-resistant TB, which poses a greater treatment challenge.</w:t>
      </w:r>
    </w:p>
    <w:p w14:paraId="51CA5D8B" w14:textId="61C0BE0D" w:rsidR="00BA64B5" w:rsidRDefault="18E9A1B4" w:rsidP="00BA64B5">
      <w:r>
        <w:t xml:space="preserve">Counseling services should also address potential side effects of TB medications that patients need to report to their healthcare provider. Additionally, guidance on nutrition and necessary supplements during treatment should be provided. Conversations should encompass the possibility of hospitalization or community isolation, the potential duration of absence from campus, and relevant campus policies regarding the person’s return to school. These policies generally align with state and </w:t>
      </w:r>
      <w:r w:rsidR="3BA1D198">
        <w:t>LBOH</w:t>
      </w:r>
      <w:r>
        <w:t xml:space="preserve"> guidelines, which consider factors such as the type of TB disease (pulmonary vs. extrapulmonary), pre-existing medical conditions, and the overall health status of the patient.</w:t>
      </w:r>
    </w:p>
    <w:p w14:paraId="7AB28D83" w14:textId="49D65864" w:rsidR="00BA64B5" w:rsidRDefault="18176E80" w:rsidP="00AC3DF7">
      <w:r>
        <w:t xml:space="preserve">For individuals with extrapulmonary TB (which affects </w:t>
      </w:r>
      <w:r w:rsidR="206AC007">
        <w:t>organs</w:t>
      </w:r>
      <w:r>
        <w:t xml:space="preserve"> outside the lungs), hospitalization or community isolation may not be necessary. It is essential to discuss the financial implications of TB treatment, emphasizing the importance of having health insurance to help cover costs. Patients should be made aware that managing their TB at state-contracted outpatient clinics can alleviate financial burdens, as DPH often subsidizes copays and treatment costs for those who are uninsured or underinsured.</w:t>
      </w:r>
      <w:r w:rsidR="00AC3DF7">
        <w:t xml:space="preserve"> </w:t>
      </w:r>
      <w:r w:rsidR="00BA64B5">
        <w:t xml:space="preserve">Furthermore, </w:t>
      </w:r>
      <w:r w:rsidR="004732A1">
        <w:t>LBOH</w:t>
      </w:r>
      <w:r w:rsidR="00BA64B5">
        <w:t xml:space="preserve"> and DPH can provide essential education and guidance on TB management. </w:t>
      </w:r>
      <w:r w:rsidR="004732A1">
        <w:t>LBOH</w:t>
      </w:r>
      <w:r w:rsidR="00BA64B5">
        <w:t xml:space="preserve"> may also initiate contact </w:t>
      </w:r>
      <w:proofErr w:type="gramStart"/>
      <w:r w:rsidR="00BA64B5">
        <w:t>tracing</w:t>
      </w:r>
      <w:proofErr w:type="gramEnd"/>
      <w:r w:rsidR="00BA64B5">
        <w:t xml:space="preserve"> to ensure those at risk are evaluated appropriately.</w:t>
      </w:r>
    </w:p>
    <w:p w14:paraId="5F844F96" w14:textId="3498DAA8" w:rsidR="00952151" w:rsidRPr="00D20054" w:rsidRDefault="00BA64B5" w:rsidP="00D20054">
      <w:pPr>
        <w:rPr>
          <w:b/>
          <w:bCs/>
        </w:rPr>
      </w:pPr>
      <w:r>
        <w:t xml:space="preserve">For more information, please review the following links:  </w:t>
      </w:r>
    </w:p>
    <w:p w14:paraId="3D15E996" w14:textId="2F4EE131" w:rsidR="00D2661D" w:rsidRDefault="00D2661D" w:rsidP="00685B34">
      <w:pPr>
        <w:pStyle w:val="ListParagraph"/>
        <w:numPr>
          <w:ilvl w:val="0"/>
          <w:numId w:val="47"/>
        </w:numPr>
      </w:pPr>
      <w:hyperlink r:id="rId34" w:history="1">
        <w:r w:rsidR="006C6678">
          <w:rPr>
            <w:rStyle w:val="Hyperlink"/>
          </w:rPr>
          <w:t>Detection and Treatment of Latent Tuberculosis Infection in Massachusetts College and University Students</w:t>
        </w:r>
      </w:hyperlink>
      <w:r>
        <w:t xml:space="preserve">   </w:t>
      </w:r>
      <w:hyperlink r:id="rId35" w:history="1">
        <w:r w:rsidR="006C6678">
          <w:rPr>
            <w:rStyle w:val="Hyperlink"/>
          </w:rPr>
          <w:t>Treating Tuberculosis (CDC)</w:t>
        </w:r>
      </w:hyperlink>
    </w:p>
    <w:p w14:paraId="0CAF0459" w14:textId="2C9279FC" w:rsidR="00D2661D" w:rsidRDefault="00D2661D" w:rsidP="00685B34">
      <w:pPr>
        <w:pStyle w:val="ListParagraph"/>
        <w:numPr>
          <w:ilvl w:val="0"/>
          <w:numId w:val="47"/>
        </w:numPr>
      </w:pPr>
      <w:hyperlink r:id="rId36" w:history="1">
        <w:r w:rsidR="006C6678">
          <w:rPr>
            <w:rStyle w:val="Hyperlink"/>
          </w:rPr>
          <w:t>Tuberculosis: Clinical Guidelines (CDC)</w:t>
        </w:r>
      </w:hyperlink>
      <w:r>
        <w:t xml:space="preserve"> </w:t>
      </w:r>
    </w:p>
    <w:p w14:paraId="3146908B" w14:textId="5831F605" w:rsidR="00D2661D" w:rsidRDefault="00D2661D" w:rsidP="00685B34">
      <w:pPr>
        <w:pStyle w:val="ListParagraph"/>
        <w:numPr>
          <w:ilvl w:val="0"/>
          <w:numId w:val="47"/>
        </w:numPr>
      </w:pPr>
      <w:hyperlink r:id="rId37" w:history="1">
        <w:r w:rsidR="006C6678">
          <w:rPr>
            <w:rStyle w:val="Hyperlink"/>
          </w:rPr>
          <w:t>Four-month regimen for the treatment of pulmonary tuberculosis</w:t>
        </w:r>
      </w:hyperlink>
      <w:r>
        <w:t xml:space="preserve">  </w:t>
      </w:r>
    </w:p>
    <w:p w14:paraId="7B23DF89" w14:textId="084F20D5" w:rsidR="00D2661D" w:rsidRDefault="00D2661D" w:rsidP="00685B34">
      <w:pPr>
        <w:pStyle w:val="ListParagraph"/>
        <w:numPr>
          <w:ilvl w:val="0"/>
          <w:numId w:val="47"/>
        </w:numPr>
      </w:pPr>
      <w:hyperlink r:id="rId38" w:history="1">
        <w:r w:rsidR="006C6678">
          <w:rPr>
            <w:rStyle w:val="Hyperlink"/>
          </w:rPr>
          <w:t>Core Curriculum on Tuberculosis: What the Clinician Should Know (CDC)</w:t>
        </w:r>
      </w:hyperlink>
      <w:r>
        <w:t xml:space="preserve"> </w:t>
      </w:r>
      <w:hyperlink r:id="rId39" w:history="1">
        <w:r w:rsidR="006C6678">
          <w:rPr>
            <w:rStyle w:val="Hyperlink"/>
          </w:rPr>
          <w:t>Model Tuberculosis Prevention Program for College Campuses</w:t>
        </w:r>
      </w:hyperlink>
    </w:p>
    <w:p w14:paraId="2A439012" w14:textId="39ECC325" w:rsidR="00D2661D" w:rsidRDefault="00D2661D" w:rsidP="00685B34">
      <w:pPr>
        <w:pStyle w:val="ListParagraph"/>
        <w:numPr>
          <w:ilvl w:val="0"/>
          <w:numId w:val="47"/>
        </w:numPr>
      </w:pPr>
      <w:hyperlink r:id="rId40" w:history="1">
        <w:r w:rsidR="006C6678">
          <w:rPr>
            <w:rStyle w:val="Hyperlink"/>
          </w:rPr>
          <w:t>Self-Study Modules on Tuberculosis: Contact Investigations for Tuberculosis</w:t>
        </w:r>
      </w:hyperlink>
      <w:r>
        <w:t xml:space="preserve">  </w:t>
      </w:r>
    </w:p>
    <w:p w14:paraId="7CFABB68" w14:textId="698CF5B9" w:rsidR="00D2661D" w:rsidRDefault="00D2661D" w:rsidP="00685B34">
      <w:pPr>
        <w:pStyle w:val="ListParagraph"/>
        <w:numPr>
          <w:ilvl w:val="0"/>
          <w:numId w:val="47"/>
        </w:numPr>
      </w:pPr>
      <w:hyperlink r:id="rId41" w:history="1">
        <w:r w:rsidR="006C6678">
          <w:rPr>
            <w:rStyle w:val="Hyperlink"/>
          </w:rPr>
          <w:t>MMWR: Guidelines for the Investigation of Contacts of Persons with Infectious Tuberculosis (CDC)</w:t>
        </w:r>
      </w:hyperlink>
      <w:r>
        <w:t xml:space="preserve"> </w:t>
      </w:r>
    </w:p>
    <w:p w14:paraId="39F47FD0" w14:textId="02981229" w:rsidR="00D2661D" w:rsidRDefault="00D2661D" w:rsidP="00685B34">
      <w:pPr>
        <w:pStyle w:val="ListParagraph"/>
        <w:numPr>
          <w:ilvl w:val="0"/>
          <w:numId w:val="47"/>
        </w:numPr>
      </w:pPr>
      <w:hyperlink r:id="rId42" w:history="1">
        <w:r w:rsidR="006C6678">
          <w:rPr>
            <w:rStyle w:val="Hyperlink"/>
          </w:rPr>
          <w:t>Contact Tracing (CDC)</w:t>
        </w:r>
      </w:hyperlink>
      <w:r>
        <w:t xml:space="preserve">   </w:t>
      </w:r>
    </w:p>
    <w:p w14:paraId="7847A6FD" w14:textId="77777777" w:rsidR="0054375C" w:rsidRDefault="0054375C" w:rsidP="00CA408A">
      <w:pPr>
        <w:rPr>
          <w:b/>
          <w:bCs/>
        </w:rPr>
      </w:pPr>
    </w:p>
    <w:p w14:paraId="5DD69A4E" w14:textId="0FDEEE8D" w:rsidR="00896728" w:rsidRDefault="00896728" w:rsidP="00891A10">
      <w:pPr>
        <w:pStyle w:val="Heading2"/>
        <w:rPr>
          <w:b/>
          <w:bCs/>
        </w:rPr>
      </w:pPr>
      <w:r w:rsidRPr="00891A10">
        <w:lastRenderedPageBreak/>
        <w:t>Community Isolation</w:t>
      </w:r>
      <w:r w:rsidR="00AC3DF7" w:rsidRPr="00891A10">
        <w:t xml:space="preserve"> </w:t>
      </w:r>
      <w:r w:rsidR="00992CA6" w:rsidRPr="00891A10">
        <w:t>of</w:t>
      </w:r>
      <w:r w:rsidR="00AC3DF7" w:rsidRPr="00891A10">
        <w:t xml:space="preserve"> Patients with TB</w:t>
      </w:r>
    </w:p>
    <w:p w14:paraId="336665FB" w14:textId="042C79EB" w:rsidR="00BD4B22" w:rsidRPr="00BD4B22" w:rsidRDefault="00BD4B22" w:rsidP="00F161EE">
      <w:r w:rsidRPr="00BD4B22">
        <w:t xml:space="preserve">Community isolation is an important consideration for patients diagnosed with TB disease and may be necessary to prevent the spread of infection within the community. Recognizing the potential negative impacts of prolonged isolation on patients’ lives, the National </w:t>
      </w:r>
      <w:r w:rsidR="00831907">
        <w:t>TB</w:t>
      </w:r>
      <w:r w:rsidRPr="00BD4B22">
        <w:t xml:space="preserve"> Co</w:t>
      </w:r>
      <w:r w:rsidR="00735CFC">
        <w:t>alition of America</w:t>
      </w:r>
      <w:r w:rsidRPr="00BD4B22">
        <w:t xml:space="preserve"> (NTCA) has developed guidelines</w:t>
      </w:r>
      <w:r w:rsidR="00690466">
        <w:rPr>
          <w:rStyle w:val="FootnoteReference"/>
        </w:rPr>
        <w:footnoteReference w:id="3"/>
      </w:r>
      <w:r w:rsidRPr="00BD4B22">
        <w:t xml:space="preserve"> that advocate for a more tailored, evidence-based approach to isolation. Under these revised guidelines, most patients with pulmonary TB can generally end isolation after five days of effective treatment</w:t>
      </w:r>
      <w:r w:rsidR="00E75BDA">
        <w:t xml:space="preserve"> </w:t>
      </w:r>
      <w:r w:rsidRPr="00BD4B22">
        <w:t>administ</w:t>
      </w:r>
      <w:r w:rsidR="14FE61AC" w:rsidRPr="00BD4B22">
        <w:t>ered through</w:t>
      </w:r>
      <w:r w:rsidRPr="00BD4B22">
        <w:t xml:space="preserve"> directly observed therapy (DOT). This </w:t>
      </w:r>
      <w:r w:rsidR="1206C80E" w:rsidRPr="00BD4B22">
        <w:t>approach</w:t>
      </w:r>
      <w:r w:rsidRPr="00BD4B22">
        <w:t xml:space="preserve"> prioritizes individual circumstances, allowing patients to engage in limited activities, such as outdoor work while wearing masks indoors, during the early stages of their treatment.</w:t>
      </w:r>
    </w:p>
    <w:p w14:paraId="7A631CC8" w14:textId="7B79C07F" w:rsidR="00BD4B22" w:rsidRPr="00BD4B22" w:rsidRDefault="00BD4B22" w:rsidP="00BD4B22">
      <w:pPr>
        <w:contextualSpacing/>
      </w:pPr>
      <w:r w:rsidRPr="00BD4B22">
        <w:t>Importantly, the decision to lift isolation restrictions is no longer solely reliant on negative sputum smear results but is instead guided by the duration of treatment and clinical improvements, such as a reduction in fever and coughing. Additionally, the guidelines incorporate considerations for drug sensitivity, assuming that rapid molecular testing for</w:t>
      </w:r>
      <w:r w:rsidR="00F92317">
        <w:t xml:space="preserve"> </w:t>
      </w:r>
      <w:r w:rsidRPr="00BD4B22">
        <w:t>drug resistance is available, thus allowing for earlier release from isolation. In rare cases, restrictions may extend beyond 14 days but will be subject to regular re-evaluation.</w:t>
      </w:r>
    </w:p>
    <w:p w14:paraId="135BD6A6" w14:textId="6DB72D74" w:rsidR="00D36A0E" w:rsidRDefault="00D36A0E" w:rsidP="00D36A0E">
      <w:pPr>
        <w:contextualSpacing/>
      </w:pPr>
      <w:r>
        <w:t>According to CMR 365.100(B), outpatient facilities</w:t>
      </w:r>
      <w:r w:rsidR="006C6678">
        <w:t xml:space="preserve"> </w:t>
      </w:r>
      <w:r>
        <w:t>—</w:t>
      </w:r>
      <w:r w:rsidR="006C6678">
        <w:t>i</w:t>
      </w:r>
      <w:r>
        <w:t>ncluding hospital outpatient departments, clinics, and medical office buildings that treat active tuberculosis cases—must adhere to current national and local infection control guidelines. This includes following the NTCA's guidance on community isolation for individuals excreting tubercle bacilli, ensuring that TB patients are supported in a manner that balances public health concerns with their personal and economic well-being.</w:t>
      </w:r>
    </w:p>
    <w:p w14:paraId="454654B4" w14:textId="77777777" w:rsidR="00D36A0E" w:rsidRDefault="00D36A0E" w:rsidP="00D36A0E">
      <w:pPr>
        <w:contextualSpacing/>
      </w:pPr>
    </w:p>
    <w:p w14:paraId="362C5249" w14:textId="77777777" w:rsidR="00D36A0E" w:rsidRDefault="00D36A0E" w:rsidP="00D36A0E">
      <w:pPr>
        <w:contextualSpacing/>
      </w:pPr>
      <w:r>
        <w:t>Moreover, 105 CMR 300.200 outlines when healthcare providers can discontinue isolation precautions and when individuals with confirmed or clinically suspected tuberculosis may safely resume community activities and living arrangements. This includes returning to employment, attending school, or reintegrating into shelters and other residential settings.</w:t>
      </w:r>
    </w:p>
    <w:p w14:paraId="5D5D8CA4" w14:textId="77777777" w:rsidR="00D36A0E" w:rsidRDefault="00D36A0E" w:rsidP="00D36A0E">
      <w:pPr>
        <w:contextualSpacing/>
      </w:pPr>
    </w:p>
    <w:p w14:paraId="6A44023A" w14:textId="3D223F2A" w:rsidR="009722B1" w:rsidRDefault="00E4547A" w:rsidP="00D36A0E">
      <w:pPr>
        <w:contextualSpacing/>
      </w:pPr>
      <w:r>
        <w:t>H</w:t>
      </w:r>
      <w:r w:rsidR="00D36A0E">
        <w:t xml:space="preserve">ealthcare providers can seek support from </w:t>
      </w:r>
      <w:r w:rsidR="00142126">
        <w:t xml:space="preserve">their </w:t>
      </w:r>
      <w:r w:rsidR="009D0B81">
        <w:t>LBOH and DPH</w:t>
      </w:r>
      <w:r w:rsidR="00D36A0E">
        <w:t xml:space="preserve"> TB program </w:t>
      </w:r>
      <w:r w:rsidR="009D0B81">
        <w:t>t</w:t>
      </w:r>
      <w:r w:rsidR="00D36A0E">
        <w:t>o navigate community isolation requirements effectively, ensuring that patients receive the care and consideration they need while protecting public health.</w:t>
      </w:r>
    </w:p>
    <w:p w14:paraId="10CFA8F1" w14:textId="77777777" w:rsidR="00D36A0E" w:rsidRDefault="00D36A0E" w:rsidP="00D36A0E">
      <w:pPr>
        <w:contextualSpacing/>
      </w:pPr>
    </w:p>
    <w:p w14:paraId="1FA81141" w14:textId="7957AD28" w:rsidR="00074073" w:rsidRDefault="6C9D4A12" w:rsidP="00891A10">
      <w:pPr>
        <w:pStyle w:val="Heading2"/>
        <w:rPr>
          <w:b/>
          <w:bCs/>
        </w:rPr>
      </w:pPr>
      <w:r w:rsidRPr="00891A10">
        <w:lastRenderedPageBreak/>
        <w:t xml:space="preserve">TB </w:t>
      </w:r>
      <w:r w:rsidR="06F08AC1" w:rsidRPr="00891A10">
        <w:t>Infection</w:t>
      </w:r>
      <w:r w:rsidRPr="00891A10">
        <w:t xml:space="preserve"> Management</w:t>
      </w:r>
      <w:r w:rsidR="22D2934A" w:rsidRPr="00891A10">
        <w:t xml:space="preserve"> and Counseling</w:t>
      </w:r>
    </w:p>
    <w:p w14:paraId="71CC294A" w14:textId="66CA299E" w:rsidR="00F908FC" w:rsidRDefault="00F908FC" w:rsidP="00F908FC">
      <w:r>
        <w:t xml:space="preserve">Management of TB infection is crucial in preventing the progression </w:t>
      </w:r>
      <w:proofErr w:type="gramStart"/>
      <w:r>
        <w:t>to</w:t>
      </w:r>
      <w:proofErr w:type="gramEnd"/>
      <w:r w:rsidR="006C6678">
        <w:t xml:space="preserve"> </w:t>
      </w:r>
      <w:r>
        <w:t>TB disease. C</w:t>
      </w:r>
      <w:r w:rsidR="00046516">
        <w:t>ampus</w:t>
      </w:r>
      <w:r>
        <w:t xml:space="preserve"> community members with TB infection can receive support and counseling directly on campus, </w:t>
      </w:r>
      <w:r w:rsidR="0054362B">
        <w:t xml:space="preserve">and they are not </w:t>
      </w:r>
      <w:r w:rsidR="003A3D38">
        <w:t>subject to</w:t>
      </w:r>
      <w:r>
        <w:t xml:space="preserve"> isolation or specialized treatment facilities. </w:t>
      </w:r>
    </w:p>
    <w:p w14:paraId="17E41244" w14:textId="7B1E4274" w:rsidR="00F908FC" w:rsidRDefault="00F908FC" w:rsidP="00F849FA">
      <w:r>
        <w:t xml:space="preserve">Counseling should focus on understanding the nature of TB infection, the importance of completing treatment to prevent progression </w:t>
      </w:r>
      <w:proofErr w:type="gramStart"/>
      <w:r>
        <w:t>to</w:t>
      </w:r>
      <w:proofErr w:type="gramEnd"/>
      <w:r>
        <w:t xml:space="preserve"> TB</w:t>
      </w:r>
      <w:r w:rsidR="0077496D">
        <w:t xml:space="preserve"> disease</w:t>
      </w:r>
      <w:r>
        <w:t xml:space="preserve">, and the specific treatment options available. TB infection management typically involves </w:t>
      </w:r>
      <w:r w:rsidR="36D295D9">
        <w:t xml:space="preserve">preventative treatment with </w:t>
      </w:r>
      <w:r>
        <w:t>a regimen of antibiotics, which may vary based on individual patient factors and the presence of any co-existing health conditions.</w:t>
      </w:r>
      <w:r w:rsidR="003A3D38">
        <w:t xml:space="preserve"> </w:t>
      </w:r>
      <w:r w:rsidR="00BA015B">
        <w:t xml:space="preserve">Campus </w:t>
      </w:r>
      <w:r w:rsidR="00F849FA">
        <w:t>community members with TB infection</w:t>
      </w:r>
      <w:r>
        <w:t xml:space="preserve"> can access counseling services to:</w:t>
      </w:r>
    </w:p>
    <w:p w14:paraId="7C7A9A78" w14:textId="53EF35F9" w:rsidR="00AC348A" w:rsidRPr="00AC348A" w:rsidRDefault="00AC348A" w:rsidP="00F678B8">
      <w:pPr>
        <w:pStyle w:val="ListParagraph"/>
        <w:numPr>
          <w:ilvl w:val="0"/>
          <w:numId w:val="38"/>
        </w:numPr>
      </w:pPr>
      <w:r w:rsidRPr="00AC348A">
        <w:t xml:space="preserve">Discuss the meaning of a positive </w:t>
      </w:r>
      <w:r w:rsidR="00831907">
        <w:t>TB</w:t>
      </w:r>
      <w:r w:rsidRPr="00AC348A">
        <w:t xml:space="preserve"> test and the implications for health.</w:t>
      </w:r>
    </w:p>
    <w:p w14:paraId="239D7D51" w14:textId="6F5B3DA0" w:rsidR="00F908FC" w:rsidRDefault="00F908FC" w:rsidP="00F678B8">
      <w:pPr>
        <w:pStyle w:val="ListParagraph"/>
        <w:numPr>
          <w:ilvl w:val="0"/>
          <w:numId w:val="38"/>
        </w:numPr>
      </w:pPr>
      <w:r>
        <w:t>Discuss treatment modalities such as isoniazid (INH) or rifampin</w:t>
      </w:r>
      <w:r w:rsidR="00763899">
        <w:t xml:space="preserve"> (RIF</w:t>
      </w:r>
      <w:proofErr w:type="gramStart"/>
      <w:r w:rsidR="00763899">
        <w:t>)</w:t>
      </w:r>
      <w:r>
        <w:t>, and</w:t>
      </w:r>
      <w:proofErr w:type="gramEnd"/>
      <w:r>
        <w:t xml:space="preserve"> understand the potential duration of these therapies. </w:t>
      </w:r>
      <w:r w:rsidR="00855FB7" w:rsidRPr="00855FB7">
        <w:t xml:space="preserve">Shorter treatment regimens are preferred and have been shown to improve completion rates. </w:t>
      </w:r>
    </w:p>
    <w:p w14:paraId="6BDD5242" w14:textId="14D696D6" w:rsidR="00F908FC" w:rsidRDefault="00F908FC" w:rsidP="00F678B8">
      <w:pPr>
        <w:pStyle w:val="ListParagraph"/>
        <w:numPr>
          <w:ilvl w:val="0"/>
          <w:numId w:val="38"/>
        </w:numPr>
      </w:pPr>
      <w:r>
        <w:t>Receive guidance on managing any side effects of medication and the importance of adherence to the treatment plan.</w:t>
      </w:r>
    </w:p>
    <w:p w14:paraId="24A992E8" w14:textId="7294038D" w:rsidR="00F908FC" w:rsidRDefault="00F908FC" w:rsidP="00F678B8">
      <w:pPr>
        <w:pStyle w:val="ListParagraph"/>
        <w:numPr>
          <w:ilvl w:val="0"/>
          <w:numId w:val="38"/>
        </w:numPr>
      </w:pPr>
      <w:r>
        <w:t>Learn about nutrition and lifestyle choices that can support their health during treatment.</w:t>
      </w:r>
    </w:p>
    <w:p w14:paraId="0D210D6C" w14:textId="77777777" w:rsidR="00324454" w:rsidRPr="00324454" w:rsidRDefault="00324454" w:rsidP="00F678B8">
      <w:pPr>
        <w:pStyle w:val="ListParagraph"/>
        <w:numPr>
          <w:ilvl w:val="0"/>
          <w:numId w:val="38"/>
        </w:numPr>
      </w:pPr>
      <w:r w:rsidRPr="00324454">
        <w:t>Address financial and insurance issues related to the diagnosis.</w:t>
      </w:r>
    </w:p>
    <w:p w14:paraId="18759B89" w14:textId="205DA9E5" w:rsidR="00F908FC" w:rsidRDefault="00F908FC" w:rsidP="00F678B8">
      <w:pPr>
        <w:pStyle w:val="ListParagraph"/>
        <w:numPr>
          <w:ilvl w:val="0"/>
          <w:numId w:val="38"/>
        </w:numPr>
      </w:pPr>
      <w:r>
        <w:t>Explore potential resources available on campus, such as health centers or counseling services, for ongoing support throughout their treatment journey.</w:t>
      </w:r>
    </w:p>
    <w:p w14:paraId="540DFEED" w14:textId="7C3CD33F" w:rsidR="003C0938" w:rsidRDefault="002D35A9" w:rsidP="00F678B8">
      <w:pPr>
        <w:pStyle w:val="ListParagraph"/>
        <w:numPr>
          <w:ilvl w:val="0"/>
          <w:numId w:val="38"/>
        </w:numPr>
      </w:pPr>
      <w:r>
        <w:t>A</w:t>
      </w:r>
      <w:r w:rsidRPr="002D35A9">
        <w:t>ddress any reluctance the student may have regarding treatment, and if the student consents, explain the treatment schedule and process.</w:t>
      </w:r>
    </w:p>
    <w:p w14:paraId="174A1A38" w14:textId="670366D6" w:rsidR="00F908FC" w:rsidRDefault="00F908FC" w:rsidP="00B93794">
      <w:r>
        <w:t>It’s essential for students to be informed about their treatment plan and maintain communication with healthcare providers to monitor their progress. Educational materials on TB infection management can be provided, and peer support may also be available through campus health initiatives.</w:t>
      </w:r>
    </w:p>
    <w:p w14:paraId="754FE562" w14:textId="26E173FC" w:rsidR="00F908FC" w:rsidRDefault="00F908FC" w:rsidP="00C970A4">
      <w:r>
        <w:t xml:space="preserve">In case of any questions or concerns, </w:t>
      </w:r>
      <w:r w:rsidR="00764BC3">
        <w:t>campus community members</w:t>
      </w:r>
      <w:r>
        <w:t xml:space="preserve"> can reach out to the campus health services for additional guidance and support. For more information on TB infection management, treatment options, and counseling services, please review the following links:</w:t>
      </w:r>
    </w:p>
    <w:p w14:paraId="5E2EC151" w14:textId="630C51E2" w:rsidR="00370B99" w:rsidRDefault="00163624" w:rsidP="00685B34">
      <w:pPr>
        <w:pStyle w:val="ListParagraph"/>
        <w:numPr>
          <w:ilvl w:val="0"/>
          <w:numId w:val="46"/>
        </w:numPr>
      </w:pPr>
      <w:hyperlink r:id="rId43" w:history="1">
        <w:r w:rsidR="006C6678">
          <w:rPr>
            <w:rStyle w:val="Hyperlink"/>
          </w:rPr>
          <w:t>Latent Tuberculosis Infection: A Guide for Primary Care Providers (CDC)</w:t>
        </w:r>
      </w:hyperlink>
      <w:r>
        <w:t xml:space="preserve"> </w:t>
      </w:r>
    </w:p>
    <w:p w14:paraId="263023A2" w14:textId="348DD0F6" w:rsidR="00750F79" w:rsidRDefault="00750F79" w:rsidP="00685B34">
      <w:pPr>
        <w:pStyle w:val="ListParagraph"/>
        <w:numPr>
          <w:ilvl w:val="0"/>
          <w:numId w:val="46"/>
        </w:numPr>
      </w:pPr>
      <w:hyperlink r:id="rId44" w:history="1">
        <w:r w:rsidR="006C6678">
          <w:rPr>
            <w:rStyle w:val="Hyperlink"/>
          </w:rPr>
          <w:t>Treating Tuberculosis (CDC)</w:t>
        </w:r>
      </w:hyperlink>
    </w:p>
    <w:p w14:paraId="6C8A89E7" w14:textId="7EE42354" w:rsidR="003C051F" w:rsidRDefault="00B40DAB" w:rsidP="00685B34">
      <w:pPr>
        <w:pStyle w:val="ListParagraph"/>
        <w:numPr>
          <w:ilvl w:val="0"/>
          <w:numId w:val="46"/>
        </w:numPr>
      </w:pPr>
      <w:hyperlink r:id="rId45" w:history="1">
        <w:r w:rsidR="006C6678">
          <w:rPr>
            <w:rStyle w:val="Hyperlink"/>
          </w:rPr>
          <w:t>Detection and Treatment of Latent Tuberculosis Infection in Massachusetts College and University Students</w:t>
        </w:r>
      </w:hyperlink>
      <w:r>
        <w:t xml:space="preserve"> </w:t>
      </w:r>
    </w:p>
    <w:p w14:paraId="5CF607C8" w14:textId="2CF6F0EB" w:rsidR="00A555D0" w:rsidRDefault="00540104" w:rsidP="00685B34">
      <w:pPr>
        <w:pStyle w:val="ListParagraph"/>
        <w:numPr>
          <w:ilvl w:val="0"/>
          <w:numId w:val="46"/>
        </w:numPr>
      </w:pPr>
      <w:hyperlink r:id="rId46" w:history="1">
        <w:r w:rsidR="004F161E">
          <w:rPr>
            <w:rStyle w:val="Hyperlink"/>
          </w:rPr>
          <w:t>Model Tuberculosis Prevention Program for College Campuses</w:t>
        </w:r>
      </w:hyperlink>
    </w:p>
    <w:p w14:paraId="491F4AF2" w14:textId="46BE06CD" w:rsidR="00067CB7" w:rsidRDefault="00C8420A" w:rsidP="00685B34">
      <w:pPr>
        <w:pStyle w:val="ListParagraph"/>
        <w:numPr>
          <w:ilvl w:val="0"/>
          <w:numId w:val="46"/>
        </w:numPr>
      </w:pPr>
      <w:hyperlink r:id="rId47" w:history="1">
        <w:r w:rsidR="004F161E">
          <w:rPr>
            <w:rStyle w:val="Hyperlink"/>
          </w:rPr>
          <w:t>ACHA Guidelines: Tuberculosis Risk Assessment and Management</w:t>
        </w:r>
      </w:hyperlink>
      <w:r>
        <w:t xml:space="preserve"> </w:t>
      </w:r>
    </w:p>
    <w:p w14:paraId="17CBFFB0" w14:textId="77777777" w:rsidR="008F0DF9" w:rsidRDefault="008F0DF9" w:rsidP="00DF5E16"/>
    <w:p w14:paraId="07AE3D85" w14:textId="3E0DE9A7" w:rsidR="009A01D7" w:rsidRPr="0061012D" w:rsidRDefault="009A01D7" w:rsidP="00891A10">
      <w:pPr>
        <w:pStyle w:val="Heading2"/>
        <w:rPr>
          <w:b/>
          <w:bCs/>
        </w:rPr>
      </w:pPr>
      <w:r w:rsidRPr="00891A10">
        <w:t xml:space="preserve">Treatment of </w:t>
      </w:r>
      <w:r w:rsidR="00831907" w:rsidRPr="00891A10">
        <w:t>TB</w:t>
      </w:r>
    </w:p>
    <w:p w14:paraId="1335BC90" w14:textId="2B8FA2BD" w:rsidR="009A01D7" w:rsidRPr="009A01D7" w:rsidRDefault="009A01D7" w:rsidP="00F0361D">
      <w:pPr>
        <w:contextualSpacing/>
      </w:pPr>
      <w:r w:rsidRPr="009A01D7">
        <w:t xml:space="preserve">Both TB disease </w:t>
      </w:r>
      <w:r w:rsidR="00CB54DB">
        <w:t xml:space="preserve">and infection </w:t>
      </w:r>
      <w:r w:rsidRPr="009A01D7">
        <w:t>can be effectively treated, significantly reducing the risk of transmission and illness to individuals and their communities. It is vital for individuals undergoing treatment to adhere strictly to their regimen as prescribed by healthcare providers to ensure the best possible outcomes. The treatment process generally includes:</w:t>
      </w:r>
    </w:p>
    <w:p w14:paraId="0F8F8914" w14:textId="478BD54C" w:rsidR="009A01D7" w:rsidRPr="009A01D7" w:rsidRDefault="009A01D7" w:rsidP="00B410D9">
      <w:pPr>
        <w:pStyle w:val="ListParagraph"/>
        <w:numPr>
          <w:ilvl w:val="0"/>
          <w:numId w:val="39"/>
        </w:numPr>
      </w:pPr>
      <w:r w:rsidRPr="00670C88">
        <w:rPr>
          <w:b/>
          <w:bCs/>
        </w:rPr>
        <w:t>Types of TB Medicines:</w:t>
      </w:r>
      <w:r w:rsidRPr="009A01D7">
        <w:t xml:space="preserve"> The choice of medication depends on whether the individual has TB </w:t>
      </w:r>
      <w:r w:rsidR="00AC199F">
        <w:t xml:space="preserve">infection </w:t>
      </w:r>
      <w:r w:rsidRPr="009A01D7">
        <w:t>or TB disease.</w:t>
      </w:r>
    </w:p>
    <w:p w14:paraId="108A708D" w14:textId="2526022D" w:rsidR="009A01D7" w:rsidRPr="009A01D7" w:rsidRDefault="009A01D7" w:rsidP="00B410D9">
      <w:pPr>
        <w:pStyle w:val="ListParagraph"/>
        <w:numPr>
          <w:ilvl w:val="0"/>
          <w:numId w:val="39"/>
        </w:numPr>
      </w:pPr>
      <w:r w:rsidRPr="00670C88">
        <w:rPr>
          <w:b/>
          <w:bCs/>
        </w:rPr>
        <w:t>Dosage and Frequency:</w:t>
      </w:r>
      <w:r w:rsidRPr="009A01D7">
        <w:t xml:space="preserve"> Medicines must be taken in the amounts and frequency specified by the healthcare provider.</w:t>
      </w:r>
    </w:p>
    <w:p w14:paraId="2A0C921D" w14:textId="1D56BD61" w:rsidR="009A01D7" w:rsidRPr="009A01D7" w:rsidRDefault="009A01D7" w:rsidP="00B410D9">
      <w:pPr>
        <w:pStyle w:val="ListParagraph"/>
        <w:numPr>
          <w:ilvl w:val="0"/>
          <w:numId w:val="39"/>
        </w:numPr>
      </w:pPr>
      <w:r w:rsidRPr="00670C88">
        <w:rPr>
          <w:b/>
          <w:bCs/>
        </w:rPr>
        <w:t>Treatment Duration:</w:t>
      </w:r>
      <w:r w:rsidRPr="009A01D7">
        <w:t xml:space="preserve"> The length of treatment varies based on the TB condition being treated; treatment can last from a few months to years.</w:t>
      </w:r>
    </w:p>
    <w:p w14:paraId="55461DEE" w14:textId="42C8F18D" w:rsidR="00D572D1" w:rsidRDefault="009A01D7" w:rsidP="00D708A4">
      <w:pPr>
        <w:rPr>
          <w:b/>
          <w:bCs/>
        </w:rPr>
      </w:pPr>
      <w:r w:rsidRPr="009A01D7">
        <w:t xml:space="preserve">For more detailed information on the specific medication regimens and treatment protocols, and to ensure up-to-date practices </w:t>
      </w:r>
      <w:proofErr w:type="gramStart"/>
      <w:r w:rsidRPr="009A01D7">
        <w:t>align</w:t>
      </w:r>
      <w:proofErr w:type="gramEnd"/>
      <w:r w:rsidRPr="009A01D7">
        <w:t xml:space="preserve"> with CDC guidelines, healthcare providers and community members are encouraged to access the </w:t>
      </w:r>
      <w:hyperlink r:id="rId48" w:history="1">
        <w:r w:rsidRPr="004F161E">
          <w:rPr>
            <w:rStyle w:val="Hyperlink"/>
          </w:rPr>
          <w:t>full CDC resource</w:t>
        </w:r>
      </w:hyperlink>
      <w:r w:rsidR="004F161E">
        <w:t>.</w:t>
      </w:r>
    </w:p>
    <w:p w14:paraId="58B5F20A" w14:textId="393C318F" w:rsidR="009A01D7" w:rsidRPr="00290B7A" w:rsidRDefault="2D18510C" w:rsidP="00891A10">
      <w:pPr>
        <w:pStyle w:val="Heading3"/>
        <w:rPr>
          <w:b/>
          <w:bCs/>
        </w:rPr>
      </w:pPr>
      <w:r w:rsidRPr="00891A10">
        <w:t>Treatment for TB Disease</w:t>
      </w:r>
    </w:p>
    <w:p w14:paraId="0AD175CF" w14:textId="6590C1F6" w:rsidR="001F1CC3" w:rsidRDefault="08E2035B" w:rsidP="001F1CC3">
      <w:r>
        <w:t>When an individual is diagnosed with TB disease by a specialized TB clinic, a</w:t>
      </w:r>
      <w:r w:rsidR="56B5C22E">
        <w:t>n</w:t>
      </w:r>
      <w:r>
        <w:t xml:space="preserve"> intensive medication regimen will be required, typically lasting between four and nine months. The major goals of </w:t>
      </w:r>
      <w:r w:rsidR="00831907">
        <w:t>TB</w:t>
      </w:r>
      <w:r>
        <w:t xml:space="preserve"> disease treatment are to:</w:t>
      </w:r>
    </w:p>
    <w:p w14:paraId="20A13050" w14:textId="4CC24F40" w:rsidR="001F1CC3" w:rsidRDefault="001F1CC3" w:rsidP="00B410D9">
      <w:pPr>
        <w:pStyle w:val="ListParagraph"/>
        <w:numPr>
          <w:ilvl w:val="0"/>
          <w:numId w:val="40"/>
        </w:numPr>
      </w:pPr>
      <w:r>
        <w:t>Cure the patient.</w:t>
      </w:r>
    </w:p>
    <w:p w14:paraId="62C723AF" w14:textId="0AB02183" w:rsidR="001F1CC3" w:rsidRDefault="001F1CC3" w:rsidP="00B410D9">
      <w:pPr>
        <w:pStyle w:val="ListParagraph"/>
        <w:numPr>
          <w:ilvl w:val="0"/>
          <w:numId w:val="40"/>
        </w:numPr>
      </w:pPr>
      <w:r>
        <w:t>Minimize risk for death and disability.</w:t>
      </w:r>
    </w:p>
    <w:p w14:paraId="0CB0DA60" w14:textId="0861DFDD" w:rsidR="001F1CC3" w:rsidRDefault="08E2035B" w:rsidP="00B410D9">
      <w:pPr>
        <w:pStyle w:val="ListParagraph"/>
        <w:numPr>
          <w:ilvl w:val="0"/>
          <w:numId w:val="40"/>
        </w:numPr>
      </w:pPr>
      <w:r>
        <w:t xml:space="preserve">Reduce transmission of </w:t>
      </w:r>
      <w:r w:rsidRPr="00E33DCE">
        <w:rPr>
          <w:i/>
          <w:iCs/>
        </w:rPr>
        <w:t xml:space="preserve">Mycobacterium </w:t>
      </w:r>
      <w:r w:rsidR="00831907">
        <w:rPr>
          <w:i/>
          <w:iCs/>
        </w:rPr>
        <w:t>TB</w:t>
      </w:r>
      <w:r>
        <w:t xml:space="preserve"> to other </w:t>
      </w:r>
      <w:proofErr w:type="gramStart"/>
      <w:r>
        <w:t>persons</w:t>
      </w:r>
      <w:proofErr w:type="gramEnd"/>
      <w:r>
        <w:t>.</w:t>
      </w:r>
    </w:p>
    <w:p w14:paraId="77B65AA1" w14:textId="2ABA11BD" w:rsidR="001F1CC3" w:rsidRDefault="001F1CC3" w:rsidP="00B410D9">
      <w:pPr>
        <w:pStyle w:val="ListParagraph"/>
        <w:numPr>
          <w:ilvl w:val="0"/>
          <w:numId w:val="40"/>
        </w:numPr>
      </w:pPr>
      <w:r>
        <w:t>Prevent acquisition of drug resistance during treatment.</w:t>
      </w:r>
    </w:p>
    <w:p w14:paraId="14332694" w14:textId="59BA485B" w:rsidR="001F1CC3" w:rsidRDefault="08E2035B">
      <w:r>
        <w:t xml:space="preserve">To ensure these goals are met, TB disease is generally treated for a minimum of </w:t>
      </w:r>
      <w:r w:rsidR="26C3645A">
        <w:t xml:space="preserve">six </w:t>
      </w:r>
      <w:r w:rsidR="5DAAE81C">
        <w:t>months, with some cases requiring longer treatment</w:t>
      </w:r>
      <w:r>
        <w:t xml:space="preserve">. </w:t>
      </w:r>
      <w:proofErr w:type="gramStart"/>
      <w:r>
        <w:t>The majority of</w:t>
      </w:r>
      <w:proofErr w:type="gramEnd"/>
      <w:r>
        <w:t xml:space="preserve"> the bacteria are killed during the first eight weeks of treatment; however, persistent organisms necessitate extended treatment. If treatment </w:t>
      </w:r>
      <w:r w:rsidR="5DAAE81C">
        <w:t>is discontinued before</w:t>
      </w:r>
      <w:r>
        <w:t xml:space="preserve"> an adequate duration, surviving bacteria can cause the patient to become ill again, and the disease may become infectious once more. </w:t>
      </w:r>
      <w:r>
        <w:lastRenderedPageBreak/>
        <w:t xml:space="preserve">There is also a risk </w:t>
      </w:r>
      <w:r w:rsidR="5DAAE81C">
        <w:t xml:space="preserve">of </w:t>
      </w:r>
      <w:r w:rsidR="2DA83701">
        <w:t xml:space="preserve">developing </w:t>
      </w:r>
      <w:r w:rsidR="5DAAE81C">
        <w:t>drug-resistant TB</w:t>
      </w:r>
      <w:r>
        <w:t xml:space="preserve">, which occurs when the TB bacteria are no longer responsive to at least one of the four main TB treatment drugs: INH, </w:t>
      </w:r>
      <w:r w:rsidR="00B63506">
        <w:t>RIF</w:t>
      </w:r>
      <w:r>
        <w:t>, ethambutol (EMB), and pyrazinamide (PZA).</w:t>
      </w:r>
    </w:p>
    <w:p w14:paraId="463C3FBB" w14:textId="77777777" w:rsidR="006C2D14" w:rsidRDefault="001F1CC3" w:rsidP="008E412E">
      <w:r>
        <w:t xml:space="preserve">Multiple options for daily and intermittent therapy are available, and treatment must include multiple drugs to which the bacteria are susceptible. The standard of care for initiating treatment of TB disease is a 4-drug therapy, referred to as the intensive phase of treatment. </w:t>
      </w:r>
    </w:p>
    <w:p w14:paraId="40CF9D30" w14:textId="054FDD24" w:rsidR="001D5E1D" w:rsidRDefault="001D5E1D" w:rsidP="009A55C5">
      <w:r>
        <w:t xml:space="preserve">The standard first-line treatment for drug-susceptible (DS-TB) pulmonary </w:t>
      </w:r>
      <w:r w:rsidR="00831907">
        <w:t>TB</w:t>
      </w:r>
      <w:r>
        <w:t xml:space="preserve"> is a 6-month regimen known as 2HRZE/4HR. This treatment is designed to be highly effective and is recommended by the WHO and CDC as the primary strategy to prevent </w:t>
      </w:r>
      <w:proofErr w:type="gramStart"/>
      <w:r>
        <w:t>relapse</w:t>
      </w:r>
      <w:proofErr w:type="gramEnd"/>
      <w:r>
        <w:t xml:space="preserve"> and the development of drug resistance.</w:t>
      </w:r>
    </w:p>
    <w:p w14:paraId="36126ECE" w14:textId="1D6E07A4" w:rsidR="001D5E1D" w:rsidRDefault="001D5E1D" w:rsidP="009A55C5">
      <w:r>
        <w:t xml:space="preserve">The 2HRZE/4HR regimen consists of two phases. The first phase is the Intensive Phase, which lasts for 2 months and involves the 2HRZE combination. The goal during this phase is to rapidly kill the bacteria, reduce infectivity, and prevent further damage. Patients receive daily doses of four drugs: </w:t>
      </w:r>
      <w:r w:rsidR="00DC05F9">
        <w:t>INH</w:t>
      </w:r>
      <w:r>
        <w:t xml:space="preserve">, </w:t>
      </w:r>
      <w:r w:rsidR="00684BAA">
        <w:t>RIF</w:t>
      </w:r>
      <w:r>
        <w:t>, PZ</w:t>
      </w:r>
      <w:r w:rsidR="00E7563D">
        <w:t>A</w:t>
      </w:r>
      <w:r>
        <w:t xml:space="preserve">, and </w:t>
      </w:r>
      <w:r w:rsidR="00E7563D">
        <w:t>EMB</w:t>
      </w:r>
      <w:r>
        <w:t>. To ease the treatment, these medications are frequently provided as a Fixed-Dose Combination (FDC) tablet, which helps reduce the pill burden.</w:t>
      </w:r>
    </w:p>
    <w:p w14:paraId="17634767" w14:textId="73469C53" w:rsidR="001D5E1D" w:rsidRDefault="001D5E1D" w:rsidP="001D448A">
      <w:r>
        <w:t xml:space="preserve">The second phase is the Continuation Phase, lasting for 4 months, and is referred to as 4HR. The main goal during this phase is to eliminate dormant or slow-growing bacteria to prevent </w:t>
      </w:r>
      <w:proofErr w:type="gramStart"/>
      <w:r>
        <w:t>relapse</w:t>
      </w:r>
      <w:proofErr w:type="gramEnd"/>
      <w:r>
        <w:t xml:space="preserve">. Patients are given daily doses of </w:t>
      </w:r>
      <w:r w:rsidR="00DC05F9">
        <w:t>INH</w:t>
      </w:r>
      <w:r>
        <w:t xml:space="preserve"> and</w:t>
      </w:r>
      <w:r w:rsidR="00684BAA">
        <w:t xml:space="preserve"> RIF</w:t>
      </w:r>
      <w:r>
        <w:t xml:space="preserve">. </w:t>
      </w:r>
    </w:p>
    <w:p w14:paraId="5AAFB2B4" w14:textId="7EBCB590" w:rsidR="001F1CC3" w:rsidRDefault="001D5E1D" w:rsidP="00537E17">
      <w:r>
        <w:t>Several key aspects of this standard therapy are noteworthy. The duration of the treatment is 6 months, which is standard practice. If a patient remains sputum smear-positive at the end of the intensive phase, extending the total duration is generally not recommended if the medications are being taken correctly; instead, it is essential to investigate the potential for drug resistance. Due to the length of the treatment, adherence is critical, and DOT is often employed. Additionally, pyridoxine (Vitamin B6) is commonly added to the treatment plan in doses of 25-50 mg daily to prevent peripheral neuropathy, which is a common side effect associated with I</w:t>
      </w:r>
      <w:r w:rsidR="00DC05F9">
        <w:t>NH</w:t>
      </w:r>
      <w:r>
        <w:t>.</w:t>
      </w:r>
      <w:r w:rsidR="00537E17">
        <w:t xml:space="preserve"> </w:t>
      </w:r>
      <w:r w:rsidR="001F1CC3">
        <w:t>This approach is crucial, as treatment with a single drug can encourage the development of drug-resistant bacteria.</w:t>
      </w:r>
    </w:p>
    <w:p w14:paraId="3735AA8F" w14:textId="6FFF81BB" w:rsidR="00943171" w:rsidRDefault="00943171" w:rsidP="00943171">
      <w:r w:rsidRPr="00943171">
        <w:t>Healthcare providers should closely monitor patients for adherence to treatment and potential side effects during the active phase of TB therapy. To enhance adherence, employing in-person DOT or electronic directly observed therapy (</w:t>
      </w:r>
      <w:proofErr w:type="spellStart"/>
      <w:r w:rsidRPr="00943171">
        <w:t>eDOT</w:t>
      </w:r>
      <w:proofErr w:type="spellEnd"/>
      <w:r w:rsidRPr="00943171">
        <w:t xml:space="preserve">) is recommended. Consequently, each treatment and monitoring plan for newly diagnosed TB disease should </w:t>
      </w:r>
      <w:r w:rsidRPr="00943171">
        <w:lastRenderedPageBreak/>
        <w:t>be developed in collaboration with LBOH</w:t>
      </w:r>
      <w:r w:rsidR="00F937AF">
        <w:t>s</w:t>
      </w:r>
      <w:r w:rsidRPr="00943171">
        <w:t xml:space="preserve"> and the Massachusetts TB program within one week of the presumptive diagnosis. This comprehensive plan should encompass:</w:t>
      </w:r>
    </w:p>
    <w:p w14:paraId="1D430424" w14:textId="45EDC92B" w:rsidR="001F1CC3" w:rsidRDefault="001F1CC3" w:rsidP="00B410D9">
      <w:pPr>
        <w:pStyle w:val="ListParagraph"/>
        <w:numPr>
          <w:ilvl w:val="0"/>
          <w:numId w:val="41"/>
        </w:numPr>
      </w:pPr>
      <w:r>
        <w:t>A description of the TB treatment regimen</w:t>
      </w:r>
    </w:p>
    <w:p w14:paraId="2F028B6E" w14:textId="4E4B4F8F" w:rsidR="001F1CC3" w:rsidRDefault="001F1CC3" w:rsidP="00B410D9">
      <w:pPr>
        <w:pStyle w:val="ListParagraph"/>
        <w:numPr>
          <w:ilvl w:val="0"/>
          <w:numId w:val="41"/>
        </w:numPr>
      </w:pPr>
      <w:r>
        <w:t>Methods to assess and ensure adherence to the TB treatment regimen</w:t>
      </w:r>
    </w:p>
    <w:p w14:paraId="0FABD733" w14:textId="3A381217" w:rsidR="001F1CC3" w:rsidRDefault="001F1CC3" w:rsidP="00B410D9">
      <w:pPr>
        <w:pStyle w:val="ListParagraph"/>
        <w:numPr>
          <w:ilvl w:val="0"/>
          <w:numId w:val="41"/>
        </w:numPr>
      </w:pPr>
      <w:r>
        <w:t>Coordination of social services and patient support</w:t>
      </w:r>
    </w:p>
    <w:p w14:paraId="4E6B8A01" w14:textId="141AE0D6" w:rsidR="001F1CC3" w:rsidRDefault="001F1CC3" w:rsidP="00B410D9">
      <w:pPr>
        <w:pStyle w:val="ListParagraph"/>
        <w:numPr>
          <w:ilvl w:val="0"/>
          <w:numId w:val="41"/>
        </w:numPr>
      </w:pPr>
      <w:r>
        <w:t>Monitoring for adverse reactions</w:t>
      </w:r>
    </w:p>
    <w:p w14:paraId="0E9A3756" w14:textId="5092EEEF" w:rsidR="001F1CC3" w:rsidRDefault="001F1CC3" w:rsidP="00B410D9">
      <w:pPr>
        <w:pStyle w:val="ListParagraph"/>
        <w:numPr>
          <w:ilvl w:val="0"/>
          <w:numId w:val="41"/>
        </w:numPr>
      </w:pPr>
      <w:r>
        <w:t>Evaluating treatment response.</w:t>
      </w:r>
    </w:p>
    <w:p w14:paraId="2C57077C" w14:textId="25C7CD7C" w:rsidR="00AB0E69" w:rsidRDefault="001F1CC3" w:rsidP="00D708A4">
      <w:pPr>
        <w:rPr>
          <w:b/>
          <w:bCs/>
        </w:rPr>
      </w:pPr>
      <w:r>
        <w:t>Given adequate treatment and monitoring, almost all patients will recover and achieve a cure.</w:t>
      </w:r>
      <w:r w:rsidR="008E412E">
        <w:t xml:space="preserve"> </w:t>
      </w:r>
      <w:r w:rsidR="0022179F">
        <w:t xml:space="preserve"> See m</w:t>
      </w:r>
      <w:r w:rsidR="008E412E">
        <w:t xml:space="preserve">ore details on </w:t>
      </w:r>
      <w:hyperlink r:id="rId49" w:history="1">
        <w:r w:rsidR="008E412E" w:rsidRPr="004F161E">
          <w:rPr>
            <w:rStyle w:val="Hyperlink"/>
          </w:rPr>
          <w:t>TB disease treatment</w:t>
        </w:r>
      </w:hyperlink>
      <w:r w:rsidR="00F84F6F">
        <w:t>.</w:t>
      </w:r>
    </w:p>
    <w:p w14:paraId="5267B1F3" w14:textId="35FCAD04" w:rsidR="00234752" w:rsidRPr="005422BF" w:rsidRDefault="00234752" w:rsidP="00891A10">
      <w:pPr>
        <w:pStyle w:val="Heading3"/>
        <w:rPr>
          <w:b/>
          <w:bCs/>
        </w:rPr>
      </w:pPr>
      <w:r w:rsidRPr="00891A10">
        <w:t>Treatment for TB Infection</w:t>
      </w:r>
    </w:p>
    <w:p w14:paraId="00B833EE" w14:textId="1D4462BD" w:rsidR="00234752" w:rsidRDefault="00234752" w:rsidP="0037778A">
      <w:r>
        <w:t xml:space="preserve">Treatment for TB infection is crucial as it helps prevent the progression </w:t>
      </w:r>
      <w:proofErr w:type="gramStart"/>
      <w:r>
        <w:t>to</w:t>
      </w:r>
      <w:proofErr w:type="gramEnd"/>
      <w:r>
        <w:t xml:space="preserve"> TB disease. Several </w:t>
      </w:r>
      <w:r w:rsidR="00831907">
        <w:t>TB</w:t>
      </w:r>
      <w:r>
        <w:t xml:space="preserve"> infection treatment regimens are available, and the choice of regimen should be tailored to the individual patient. When selecting a treatment regimen, healthcare providers should consider several factors, including:</w:t>
      </w:r>
    </w:p>
    <w:p w14:paraId="35ACCFBC" w14:textId="77777777" w:rsidR="00234752" w:rsidRDefault="00234752" w:rsidP="00B410D9">
      <w:pPr>
        <w:pStyle w:val="ListParagraph"/>
        <w:numPr>
          <w:ilvl w:val="0"/>
          <w:numId w:val="43"/>
        </w:numPr>
      </w:pPr>
      <w:r>
        <w:t>Drug-susceptibility results of the presumed source patient, if known.</w:t>
      </w:r>
    </w:p>
    <w:p w14:paraId="41AA2176" w14:textId="77777777" w:rsidR="00234752" w:rsidRDefault="00234752" w:rsidP="00B410D9">
      <w:pPr>
        <w:pStyle w:val="ListParagraph"/>
        <w:numPr>
          <w:ilvl w:val="0"/>
          <w:numId w:val="43"/>
        </w:numPr>
      </w:pPr>
      <w:r>
        <w:t>Coexisting medical conditions.</w:t>
      </w:r>
    </w:p>
    <w:p w14:paraId="36D279B8" w14:textId="77777777" w:rsidR="00234752" w:rsidRDefault="00234752" w:rsidP="00B410D9">
      <w:pPr>
        <w:pStyle w:val="ListParagraph"/>
        <w:numPr>
          <w:ilvl w:val="0"/>
          <w:numId w:val="43"/>
        </w:numPr>
      </w:pPr>
      <w:r>
        <w:t>Potential for drug-drug interactions.</w:t>
      </w:r>
    </w:p>
    <w:p w14:paraId="4394571E" w14:textId="15A3ED8A" w:rsidR="00234752" w:rsidRDefault="00234752" w:rsidP="00234752">
      <w:r>
        <w:t xml:space="preserve">The CDC and NTCA preferentially recommend short-course rifamycin-based treatment regimens lasting 3 to 4 months for TB infection, as they are effective, safe, and have higher completion rates than longer 6- to 9-month regimens of INH monotherapy. If short-course treatment is not feasible, 6 or 9 months of daily INH are recommended as an alternative regimen for TB infection. </w:t>
      </w:r>
    </w:p>
    <w:p w14:paraId="2CDEFA7C" w14:textId="461E8CFA" w:rsidR="00234752" w:rsidRDefault="00234752" w:rsidP="00234752">
      <w:r>
        <w:t>TB infection treatment can be administered through DOT or self-administered therapy (SAT). The healthcare provider should determine the best mode of administration based on local practices, individual patient attributes and preferences, and other considerations, including the risk for progression to severe forms of TB disease.</w:t>
      </w:r>
    </w:p>
    <w:p w14:paraId="013C1FB2" w14:textId="42A5B36E" w:rsidR="00234752" w:rsidRDefault="00234752" w:rsidP="00234752">
      <w:r w:rsidRPr="00F82E02">
        <w:t xml:space="preserve">Patients on SAT are recommended to have monthly follow-up visits with their TB provider to ensure effective treatment management. During these visits, it is essential to assess clinical symptoms, including improvements in cough, fever, and weight gain, while screening for adverse drug reactions such as jaundice or nausea. Adherence verification will involve conducting a pill count and reviewing the patient’s self-report or medication diary. Laboratory monitoring should include monthly sputum tests for active TB patients </w:t>
      </w:r>
      <w:r w:rsidRPr="00F82E02">
        <w:lastRenderedPageBreak/>
        <w:t>until two consecutive cultures are negative</w:t>
      </w:r>
      <w:r w:rsidR="00344964">
        <w:rPr>
          <w:rStyle w:val="FootnoteReference"/>
        </w:rPr>
        <w:footnoteReference w:id="4"/>
      </w:r>
      <w:r w:rsidRPr="00F82E02">
        <w:t>, as well as baseline and monthly liver function tests for those with risk factors. Additionally, weight will be monitored monthly to adjust medication dosages as necessary, and ongoing education about the importance of completing treatment and recognizing side effects should occur at each visit. Effective documentation of all self-administered doses is crucial, along with the need to transition to DOT for patients who miss two or more months of doses.</w:t>
      </w:r>
    </w:p>
    <w:p w14:paraId="7A98AF6D" w14:textId="77777777" w:rsidR="00234752" w:rsidRDefault="00234752" w:rsidP="00234752">
      <w:r>
        <w:t>Drug regimens for TB infection are:</w:t>
      </w:r>
    </w:p>
    <w:p w14:paraId="4E8ED88B" w14:textId="25BF0AFA" w:rsidR="00234752" w:rsidRDefault="00234752" w:rsidP="00B410D9">
      <w:pPr>
        <w:pStyle w:val="ListParagraph"/>
        <w:numPr>
          <w:ilvl w:val="0"/>
          <w:numId w:val="44"/>
        </w:numPr>
      </w:pPr>
      <w:r w:rsidRPr="00203CF0">
        <w:rPr>
          <w:b/>
          <w:bCs/>
        </w:rPr>
        <w:t>INH and Rifapentine (RPT) Regimen (3HP):</w:t>
      </w:r>
      <w:r>
        <w:t xml:space="preserve"> Once-weekly INH and RPT for 3 months (3HP) is administered by DOT or SAT.</w:t>
      </w:r>
    </w:p>
    <w:p w14:paraId="591619BF" w14:textId="4AAF9667" w:rsidR="00234752" w:rsidRDefault="00234752" w:rsidP="00B410D9">
      <w:pPr>
        <w:pStyle w:val="ListParagraph"/>
        <w:numPr>
          <w:ilvl w:val="0"/>
          <w:numId w:val="44"/>
        </w:numPr>
      </w:pPr>
      <w:r w:rsidRPr="00203CF0">
        <w:rPr>
          <w:b/>
          <w:bCs/>
        </w:rPr>
        <w:t>RIF Regimen (4R):</w:t>
      </w:r>
      <w:r>
        <w:t xml:space="preserve"> A 4-month regimen of RIF (4R) is recommended for HIV-negative adults and children of all ages. The 4R regimen is especially recommended for </w:t>
      </w:r>
      <w:proofErr w:type="gramStart"/>
      <w:r>
        <w:t>persons</w:t>
      </w:r>
      <w:proofErr w:type="gramEnd"/>
      <w:r>
        <w:t xml:space="preserve"> who cannot tolerate INH or who have INH-resistant M. </w:t>
      </w:r>
      <w:r w:rsidR="00831907">
        <w:t>TB</w:t>
      </w:r>
      <w:r>
        <w:t>. LTBI treatment with RIF should be given daily for 4 months.</w:t>
      </w:r>
    </w:p>
    <w:p w14:paraId="3FE698A4" w14:textId="719FC618" w:rsidR="00234752" w:rsidRDefault="00234752" w:rsidP="00B410D9">
      <w:pPr>
        <w:pStyle w:val="ListParagraph"/>
        <w:numPr>
          <w:ilvl w:val="0"/>
          <w:numId w:val="44"/>
        </w:numPr>
      </w:pPr>
      <w:r w:rsidRPr="003E74F8">
        <w:rPr>
          <w:b/>
          <w:bCs/>
        </w:rPr>
        <w:t>INH and RIF Regimen (3HR):</w:t>
      </w:r>
      <w:r>
        <w:t xml:space="preserve"> The 3-month regimen of INH and RIF (3HR) is given daily.</w:t>
      </w:r>
    </w:p>
    <w:p w14:paraId="0C7AA6C5" w14:textId="0BFB1876" w:rsidR="00234752" w:rsidRDefault="00234752" w:rsidP="00B410D9">
      <w:pPr>
        <w:pStyle w:val="ListParagraph"/>
        <w:numPr>
          <w:ilvl w:val="0"/>
          <w:numId w:val="44"/>
        </w:numPr>
      </w:pPr>
      <w:r w:rsidRPr="6120EE67">
        <w:rPr>
          <w:b/>
          <w:bCs/>
        </w:rPr>
        <w:t>INH Regimens (6H or 9H):</w:t>
      </w:r>
      <w:r>
        <w:t xml:space="preserve"> If short-course treatment is not an option (e.g., due to drug interactions with </w:t>
      </w:r>
      <w:proofErr w:type="spellStart"/>
      <w:r>
        <w:t>rifamycins</w:t>
      </w:r>
      <w:proofErr w:type="spellEnd"/>
      <w:r>
        <w:t>), the CDC and NTCA recommend regimens of 6 or 9 months of daily INH as alternative treatment regimens.</w:t>
      </w:r>
    </w:p>
    <w:p w14:paraId="585C8937" w14:textId="5D92B999" w:rsidR="00234752" w:rsidRDefault="00234752" w:rsidP="00234752">
      <w:r>
        <w:t xml:space="preserve">For more detailed information, refer to the Guidelines for the Treatment of Latent </w:t>
      </w:r>
      <w:r w:rsidR="00831907">
        <w:t>TB</w:t>
      </w:r>
      <w:r>
        <w:t xml:space="preserve"> Infection: </w:t>
      </w:r>
      <w:hyperlink r:id="rId50" w:history="1">
        <w:r w:rsidRPr="004F161E">
          <w:rPr>
            <w:rStyle w:val="Hyperlink"/>
          </w:rPr>
          <w:t xml:space="preserve">Recommendations from the National </w:t>
        </w:r>
        <w:r w:rsidR="00831907" w:rsidRPr="004F161E">
          <w:rPr>
            <w:rStyle w:val="Hyperlink"/>
          </w:rPr>
          <w:t>TB</w:t>
        </w:r>
        <w:r w:rsidRPr="004F161E">
          <w:rPr>
            <w:rStyle w:val="Hyperlink"/>
          </w:rPr>
          <w:t xml:space="preserve"> Controllers Association and CDC, 2020, available from the CDC TB website</w:t>
        </w:r>
      </w:hyperlink>
      <w:r>
        <w:t xml:space="preserve">, and </w:t>
      </w:r>
      <w:hyperlink r:id="rId51" w:history="1">
        <w:r w:rsidRPr="004F161E">
          <w:rPr>
            <w:rStyle w:val="Hyperlink"/>
          </w:rPr>
          <w:t>Treatment Regimens for Latent TB Infection in Massachusetts</w:t>
        </w:r>
      </w:hyperlink>
      <w:r w:rsidR="004F161E">
        <w:t>.</w:t>
      </w:r>
      <w:r>
        <w:t xml:space="preserve"> </w:t>
      </w:r>
    </w:p>
    <w:p w14:paraId="7F0D348E" w14:textId="77777777" w:rsidR="00234752" w:rsidRDefault="00234752" w:rsidP="009A01D7">
      <w:pPr>
        <w:rPr>
          <w:b/>
          <w:bCs/>
        </w:rPr>
      </w:pPr>
    </w:p>
    <w:p w14:paraId="6932E795" w14:textId="38005016" w:rsidR="009A01D7" w:rsidRPr="00BD40D3" w:rsidRDefault="009A01D7" w:rsidP="00891A10">
      <w:pPr>
        <w:pStyle w:val="Heading3"/>
        <w:rPr>
          <w:b/>
          <w:bCs/>
        </w:rPr>
      </w:pPr>
      <w:r w:rsidRPr="00891A10">
        <w:t>Side Effects and Monitoring</w:t>
      </w:r>
    </w:p>
    <w:p w14:paraId="3B9A9C8F" w14:textId="7642D2B3" w:rsidR="00AB0E69" w:rsidRDefault="009A01D7" w:rsidP="005B69BF">
      <w:pPr>
        <w:rPr>
          <w:b/>
          <w:bCs/>
        </w:rPr>
      </w:pPr>
      <w:r w:rsidRPr="009A01D7">
        <w:t>Patients must be informed of potential side effects, which can range from minor skin rashes to more severe complications such as liver damage or jaundice. Open communication between the patient and healthcare provider is vital in addressing any adverse reactions. Regular follow-ups may include blood tests or sputum checks to ensure the efficacy of the treatment.</w:t>
      </w:r>
    </w:p>
    <w:p w14:paraId="6057F978" w14:textId="77777777" w:rsidR="00AB0E69" w:rsidRDefault="00AB0E69" w:rsidP="009A01D7">
      <w:pPr>
        <w:rPr>
          <w:b/>
          <w:bCs/>
        </w:rPr>
      </w:pPr>
    </w:p>
    <w:p w14:paraId="13EA9F61" w14:textId="3574E3E8" w:rsidR="009A01D7" w:rsidRPr="003E79EC" w:rsidRDefault="009A01D7" w:rsidP="00891A10">
      <w:pPr>
        <w:pStyle w:val="Heading3"/>
        <w:rPr>
          <w:b/>
          <w:bCs/>
        </w:rPr>
      </w:pPr>
      <w:r w:rsidRPr="00891A10">
        <w:lastRenderedPageBreak/>
        <w:t>Special Considerations</w:t>
      </w:r>
    </w:p>
    <w:p w14:paraId="7A9A60A2" w14:textId="6AF9FBD7" w:rsidR="009A01D7" w:rsidRPr="009A01D7" w:rsidRDefault="009A01D7" w:rsidP="009A01D7">
      <w:r w:rsidRPr="009A01D7">
        <w:t>Treatment considerations can vary for different populations, including individuals living with HIV</w:t>
      </w:r>
      <w:r w:rsidR="005C7DBF">
        <w:t xml:space="preserve">, </w:t>
      </w:r>
      <w:r w:rsidR="00F12A42">
        <w:t xml:space="preserve">renal disease, liver disease, </w:t>
      </w:r>
      <w:r w:rsidRPr="009A01D7">
        <w:t>pregnan</w:t>
      </w:r>
      <w:r w:rsidR="00F12A42">
        <w:t>cy, or breastfeeding</w:t>
      </w:r>
      <w:r w:rsidRPr="009A01D7">
        <w:t>. Healthcare providers will adjust treatment plans to suit the specific needs of these individuals, always emphasizing the importance of completing the prescribed course.</w:t>
      </w:r>
    </w:p>
    <w:p w14:paraId="043DD10C" w14:textId="240CEEB6" w:rsidR="00E260A6" w:rsidRDefault="00E260A6" w:rsidP="00E260A6">
      <w:r>
        <w:t xml:space="preserve">Completing treatment for both TB infection and TB disease requires a commitment </w:t>
      </w:r>
      <w:r w:rsidR="007008F9">
        <w:t>vital to</w:t>
      </w:r>
      <w:r>
        <w:t xml:space="preserve"> personal health and public safety. Campus community members impacted by TB are strongly encouraged to work closely with healthcare providers, take advantage of community resources, and engage in support networks to facilitate a successful treatment journey. For additional resources, healthcare units should connect with </w:t>
      </w:r>
      <w:r w:rsidR="000D6BF9">
        <w:t xml:space="preserve">LBOH or the Massachusetts </w:t>
      </w:r>
      <w:r>
        <w:t>TB program and explore their online offerings.</w:t>
      </w:r>
    </w:p>
    <w:p w14:paraId="46E2702B" w14:textId="5895F0B3" w:rsidR="00253101" w:rsidRDefault="00350ADB" w:rsidP="00E260A6">
      <w:r w:rsidRPr="00350ADB">
        <w:t xml:space="preserve">Addressing the stigma surrounding TB is a crucial aspect of ensuring effective treatment and support for those affected. Patients often face discrimination and misunderstandings that can hinder their willingness to seek help or adhere to treatment regimens. To mitigate this stigma, </w:t>
      </w:r>
      <w:r w:rsidR="00BE41F2">
        <w:t>cam</w:t>
      </w:r>
      <w:r w:rsidR="006A6FF9">
        <w:t>pus</w:t>
      </w:r>
      <w:r w:rsidRPr="00350ADB">
        <w:t xml:space="preserve"> awareness campaigns that educate the community about TB, its transmission, and its treatability are essential. These initiatives can empower patients by fostering a supportive environment where they feel comfortable sharing their experiences. Resources such as local support groups, online forums, and access to stories of successful TB treatment can offer encouragement and guidance. By connecting individuals with these resources and promoting open dialogue, </w:t>
      </w:r>
      <w:r w:rsidR="001C056B">
        <w:t xml:space="preserve">campus </w:t>
      </w:r>
      <w:r w:rsidRPr="00350ADB">
        <w:t>can help dispel myths, reduce stigma, and ultimately improve treatment outcomes for all those affected by TB.</w:t>
      </w:r>
    </w:p>
    <w:p w14:paraId="7DFF0824" w14:textId="77777777" w:rsidR="005E5CA9" w:rsidRDefault="00D20054" w:rsidP="00067670">
      <w:pPr>
        <w:contextualSpacing/>
      </w:pPr>
      <w:r w:rsidRPr="00D20054">
        <w:t xml:space="preserve">For more information, please review the following links:  </w:t>
      </w:r>
    </w:p>
    <w:p w14:paraId="0B4930DE" w14:textId="1FA9AFFF" w:rsidR="00067670" w:rsidRDefault="00A16114" w:rsidP="00685B34">
      <w:pPr>
        <w:pStyle w:val="ListParagraph"/>
        <w:numPr>
          <w:ilvl w:val="0"/>
          <w:numId w:val="45"/>
        </w:numPr>
      </w:pPr>
      <w:hyperlink r:id="rId52" w:history="1">
        <w:r w:rsidR="00074EB7">
          <w:rPr>
            <w:rStyle w:val="Hyperlink"/>
          </w:rPr>
          <w:t>Latent Tuberculosis Infection: A Guide for Primary Health Care Providers</w:t>
        </w:r>
      </w:hyperlink>
      <w:r>
        <w:t xml:space="preserve"> </w:t>
      </w:r>
    </w:p>
    <w:p w14:paraId="3E8B7995" w14:textId="5407CE06" w:rsidR="00A16114" w:rsidRDefault="00A16114" w:rsidP="00685B34">
      <w:pPr>
        <w:pStyle w:val="ListParagraph"/>
        <w:numPr>
          <w:ilvl w:val="0"/>
          <w:numId w:val="45"/>
        </w:numPr>
      </w:pPr>
      <w:hyperlink r:id="rId53" w:history="1">
        <w:r w:rsidR="00560B6E">
          <w:rPr>
            <w:rStyle w:val="Hyperlink"/>
          </w:rPr>
          <w:t>Treating Tuberculosis (CDC)</w:t>
        </w:r>
      </w:hyperlink>
    </w:p>
    <w:p w14:paraId="07C41316" w14:textId="705F3AC9" w:rsidR="00A16114" w:rsidRDefault="00A16114" w:rsidP="00685B34">
      <w:pPr>
        <w:pStyle w:val="ListParagraph"/>
        <w:numPr>
          <w:ilvl w:val="0"/>
          <w:numId w:val="45"/>
        </w:numPr>
      </w:pPr>
      <w:hyperlink r:id="rId54" w:history="1">
        <w:r w:rsidR="00074EB7">
          <w:rPr>
            <w:rStyle w:val="Hyperlink"/>
          </w:rPr>
          <w:t>Detection and Treatment of Latent Tuberculosis Infection in Massachusetts College and University Students</w:t>
        </w:r>
      </w:hyperlink>
      <w:r>
        <w:t xml:space="preserve"> </w:t>
      </w:r>
    </w:p>
    <w:p w14:paraId="081CF130" w14:textId="2FA10AF7" w:rsidR="00A16114" w:rsidRDefault="00A16114" w:rsidP="00685B34">
      <w:pPr>
        <w:pStyle w:val="ListParagraph"/>
        <w:numPr>
          <w:ilvl w:val="0"/>
          <w:numId w:val="45"/>
        </w:numPr>
      </w:pPr>
      <w:hyperlink r:id="rId55" w:history="1">
        <w:r w:rsidR="00074EB7">
          <w:rPr>
            <w:rStyle w:val="Hyperlink"/>
          </w:rPr>
          <w:t>MODEL Tuberculosis Prevention Program for College Campuses</w:t>
        </w:r>
      </w:hyperlink>
    </w:p>
    <w:p w14:paraId="595D68C5" w14:textId="6C284C1C" w:rsidR="00A16114" w:rsidRDefault="00A16114" w:rsidP="00685B34">
      <w:pPr>
        <w:pStyle w:val="ListParagraph"/>
        <w:numPr>
          <w:ilvl w:val="0"/>
          <w:numId w:val="45"/>
        </w:numPr>
      </w:pPr>
      <w:hyperlink r:id="rId56" w:history="1">
        <w:r w:rsidR="00074EB7">
          <w:rPr>
            <w:rStyle w:val="Hyperlink"/>
          </w:rPr>
          <w:t>ACHA_Tuberculosis_Risk_Assessment_and_Management_April_2025</w:t>
        </w:r>
      </w:hyperlink>
      <w:r>
        <w:t xml:space="preserve"> </w:t>
      </w:r>
    </w:p>
    <w:p w14:paraId="4122EB0D" w14:textId="77777777" w:rsidR="00074EB7" w:rsidRDefault="006B10EC" w:rsidP="00685B34">
      <w:pPr>
        <w:pStyle w:val="ListParagraph"/>
        <w:numPr>
          <w:ilvl w:val="0"/>
          <w:numId w:val="45"/>
        </w:numPr>
      </w:pPr>
      <w:hyperlink r:id="rId57" w:history="1">
        <w:r w:rsidR="00074EB7">
          <w:rPr>
            <w:rStyle w:val="Hyperlink"/>
          </w:rPr>
          <w:t>Core Curriculum on Tuberculosis: What the Clinician Should Know</w:t>
        </w:r>
      </w:hyperlink>
      <w:r>
        <w:t xml:space="preserve"> </w:t>
      </w:r>
    </w:p>
    <w:p w14:paraId="7EEAC2E3" w14:textId="2C1BCA0C" w:rsidR="009C2741" w:rsidRDefault="00512998" w:rsidP="00685B34">
      <w:pPr>
        <w:pStyle w:val="ListParagraph"/>
        <w:numPr>
          <w:ilvl w:val="0"/>
          <w:numId w:val="45"/>
        </w:numPr>
      </w:pPr>
      <w:hyperlink r:id="rId58" w:history="1">
        <w:r w:rsidR="00074EB7">
          <w:rPr>
            <w:rStyle w:val="Hyperlink"/>
          </w:rPr>
          <w:t>STP TB Stigma Assessment Implementation Handbook</w:t>
        </w:r>
      </w:hyperlink>
      <w:r>
        <w:t xml:space="preserve"> </w:t>
      </w:r>
    </w:p>
    <w:p w14:paraId="4D74023C" w14:textId="77777777" w:rsidR="00685B34" w:rsidRDefault="00685B34" w:rsidP="00891A10">
      <w:pPr>
        <w:pStyle w:val="Heading2"/>
      </w:pPr>
    </w:p>
    <w:p w14:paraId="53DBD934" w14:textId="6C888C1C" w:rsidR="00A16615" w:rsidRPr="00A16615" w:rsidRDefault="00A16615" w:rsidP="00891A10">
      <w:pPr>
        <w:pStyle w:val="Heading2"/>
        <w:rPr>
          <w:b/>
          <w:bCs/>
        </w:rPr>
      </w:pPr>
      <w:r w:rsidRPr="00891A10">
        <w:t>Consultation</w:t>
      </w:r>
    </w:p>
    <w:p w14:paraId="68C7E2F2" w14:textId="5A2A6D6A" w:rsidR="00A16615" w:rsidRDefault="127132D7" w:rsidP="0003382C">
      <w:r>
        <w:t xml:space="preserve">For help and advice, consult an infectious disease or pulmonary disease expert, the Massachusetts </w:t>
      </w:r>
      <w:r w:rsidR="1CCCEEEB">
        <w:t xml:space="preserve">contracted </w:t>
      </w:r>
      <w:hyperlink r:id="rId59" w:history="1">
        <w:r w:rsidR="1CCCEEEB" w:rsidRPr="00560B6E">
          <w:rPr>
            <w:rStyle w:val="Hyperlink"/>
          </w:rPr>
          <w:t>TB</w:t>
        </w:r>
        <w:r w:rsidRPr="00560B6E">
          <w:rPr>
            <w:rStyle w:val="Hyperlink"/>
          </w:rPr>
          <w:t xml:space="preserve"> </w:t>
        </w:r>
        <w:r w:rsidR="1CCCEEEB" w:rsidRPr="00560B6E">
          <w:rPr>
            <w:rStyle w:val="Hyperlink"/>
          </w:rPr>
          <w:t>c</w:t>
        </w:r>
        <w:r w:rsidRPr="00560B6E">
          <w:rPr>
            <w:rStyle w:val="Hyperlink"/>
          </w:rPr>
          <w:t>linic in your area</w:t>
        </w:r>
      </w:hyperlink>
      <w:r>
        <w:t xml:space="preserve">, or </w:t>
      </w:r>
      <w:r w:rsidR="34205436">
        <w:t xml:space="preserve">the </w:t>
      </w:r>
      <w:hyperlink r:id="rId60" w:history="1">
        <w:r w:rsidR="34205436" w:rsidRPr="00560B6E">
          <w:rPr>
            <w:rStyle w:val="Hyperlink"/>
          </w:rPr>
          <w:t xml:space="preserve">Massachusetts TB </w:t>
        </w:r>
        <w:r w:rsidR="2472F506" w:rsidRPr="00560B6E">
          <w:rPr>
            <w:rStyle w:val="Hyperlink"/>
          </w:rPr>
          <w:t>Program</w:t>
        </w:r>
      </w:hyperlink>
      <w:r w:rsidR="34205436">
        <w:t xml:space="preserve">, </w:t>
      </w:r>
      <w:r>
        <w:t xml:space="preserve">Massachusetts </w:t>
      </w:r>
      <w:r w:rsidR="6E037A08">
        <w:t>DPH</w:t>
      </w:r>
      <w:r w:rsidR="5280D716">
        <w:t xml:space="preserve"> (Telephone: (617) 983-6970). </w:t>
      </w:r>
    </w:p>
    <w:p w14:paraId="10B9FA91" w14:textId="77777777" w:rsidR="00333360" w:rsidRDefault="00333360" w:rsidP="0003382C"/>
    <w:p w14:paraId="07383896" w14:textId="77777777" w:rsidR="00333360" w:rsidRDefault="00333360" w:rsidP="0003382C"/>
    <w:p w14:paraId="257C3D40" w14:textId="77777777" w:rsidR="00333360" w:rsidRDefault="00333360" w:rsidP="0003382C"/>
    <w:p w14:paraId="6C6231C6" w14:textId="77777777" w:rsidR="00333360" w:rsidRDefault="00333360" w:rsidP="0003382C"/>
    <w:p w14:paraId="323D2B90" w14:textId="181F5548" w:rsidR="00333360" w:rsidRDefault="00F90AE5" w:rsidP="0003382C">
      <w:r>
        <w:t>Last</w:t>
      </w:r>
      <w:r w:rsidR="00D11F15">
        <w:t xml:space="preserve"> Updated: March 31, 2026</w:t>
      </w:r>
    </w:p>
    <w:sectPr w:rsidR="00333360" w:rsidSect="00C67C99">
      <w:headerReference w:type="default" r:id="rId61"/>
      <w:footerReference w:type="default" r:id="rId62"/>
      <w:head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FE1C" w14:textId="77777777" w:rsidR="00D34340" w:rsidRDefault="00D34340" w:rsidP="007B4D4E">
      <w:pPr>
        <w:spacing w:after="0" w:line="240" w:lineRule="auto"/>
      </w:pPr>
      <w:r>
        <w:separator/>
      </w:r>
    </w:p>
  </w:endnote>
  <w:endnote w:type="continuationSeparator" w:id="0">
    <w:p w14:paraId="320049CB" w14:textId="77777777" w:rsidR="00D34340" w:rsidRDefault="00D34340" w:rsidP="007B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8EB5" w14:textId="77777777" w:rsidR="006552BF" w:rsidRDefault="006552BF" w:rsidP="006552BF">
    <w:pPr>
      <w:contextualSpacing/>
      <w:jc w:val="center"/>
      <w:rPr>
        <w:b/>
        <w:bCs/>
      </w:rPr>
    </w:pPr>
  </w:p>
  <w:p w14:paraId="6F3F186F" w14:textId="4E283B8A" w:rsidR="00CD049D" w:rsidRPr="00E4453D" w:rsidRDefault="00285AC1" w:rsidP="008260B7">
    <w:pPr>
      <w:contextualSpacing/>
    </w:pPr>
    <w:r w:rsidRPr="00E4453D">
      <w:t>Division of Global Populations and Infectious Disease Prevention</w:t>
    </w:r>
    <w:r w:rsidR="006552BF" w:rsidRPr="00E4453D">
      <w:tab/>
    </w:r>
    <w:r w:rsidR="006552BF" w:rsidRPr="00E4453D">
      <w:tab/>
    </w:r>
    <w:r w:rsidR="006552BF" w:rsidRPr="00E4453D">
      <w:tab/>
    </w:r>
    <w:r w:rsidR="008260B7" w:rsidRPr="00E4453D">
      <w:t xml:space="preserve">         </w:t>
    </w:r>
    <w:sdt>
      <w:sdtPr>
        <w:id w:val="-840849606"/>
        <w:docPartObj>
          <w:docPartGallery w:val="Page Numbers (Bottom of Page)"/>
          <w:docPartUnique/>
        </w:docPartObj>
      </w:sdtPr>
      <w:sdtEndPr>
        <w:rPr>
          <w:noProof/>
        </w:rPr>
      </w:sdtEndPr>
      <w:sdtContent>
        <w:r w:rsidR="00CD049D" w:rsidRPr="00E4453D">
          <w:fldChar w:fldCharType="begin"/>
        </w:r>
        <w:r w:rsidR="00CD049D" w:rsidRPr="00E4453D">
          <w:instrText xml:space="preserve"> PAGE   \* MERGEFORMAT </w:instrText>
        </w:r>
        <w:r w:rsidR="00CD049D" w:rsidRPr="00E4453D">
          <w:fldChar w:fldCharType="separate"/>
        </w:r>
        <w:r w:rsidR="00CD049D" w:rsidRPr="00E4453D">
          <w:rPr>
            <w:noProof/>
          </w:rPr>
          <w:t>2</w:t>
        </w:r>
        <w:r w:rsidR="00CD049D" w:rsidRPr="00E4453D">
          <w:rPr>
            <w:noProof/>
          </w:rPr>
          <w:fldChar w:fldCharType="end"/>
        </w:r>
      </w:sdtContent>
    </w:sdt>
  </w:p>
  <w:p w14:paraId="7740400A" w14:textId="77777777" w:rsidR="00CD049D" w:rsidRDefault="00CD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A44B" w14:textId="77777777" w:rsidR="00D34340" w:rsidRDefault="00D34340" w:rsidP="007B4D4E">
      <w:pPr>
        <w:spacing w:after="0" w:line="240" w:lineRule="auto"/>
      </w:pPr>
      <w:r>
        <w:separator/>
      </w:r>
    </w:p>
  </w:footnote>
  <w:footnote w:type="continuationSeparator" w:id="0">
    <w:p w14:paraId="1A71FE6C" w14:textId="77777777" w:rsidR="00D34340" w:rsidRDefault="00D34340" w:rsidP="007B4D4E">
      <w:pPr>
        <w:spacing w:after="0" w:line="240" w:lineRule="auto"/>
      </w:pPr>
      <w:r>
        <w:continuationSeparator/>
      </w:r>
    </w:p>
  </w:footnote>
  <w:footnote w:id="1">
    <w:p w14:paraId="33C54561" w14:textId="7FF8F635" w:rsidR="001B67A1" w:rsidRDefault="001B67A1" w:rsidP="001B67A1">
      <w:pPr>
        <w:pStyle w:val="FootnoteText"/>
      </w:pPr>
      <w:r>
        <w:rPr>
          <w:rStyle w:val="FootnoteReference"/>
        </w:rPr>
        <w:footnoteRef/>
      </w:r>
      <w:r>
        <w:t xml:space="preserve"> </w:t>
      </w:r>
      <w:r w:rsidR="001A2F02" w:rsidRPr="000B6A70">
        <w:t>A Guide for Primary Health Care Providers</w:t>
      </w:r>
      <w:r w:rsidR="001A2F02">
        <w:t xml:space="preserve">. </w:t>
      </w:r>
      <w:r>
        <w:t>TABLE 1. Groups at High Risk for TB Infection and TB Disease</w:t>
      </w:r>
      <w:r w:rsidR="001A2F02">
        <w:t xml:space="preserve">: </w:t>
      </w:r>
      <w:hyperlink r:id="rId1" w:history="1">
        <w:r w:rsidR="001A2F02" w:rsidRPr="00C931D7">
          <w:rPr>
            <w:rStyle w:val="Hyperlink"/>
          </w:rPr>
          <w:t>https://www.cdc.gov/tb/media/pdfs/latent-tb-infection-a-guide-for-primary-health-care-providers.pdf</w:t>
        </w:r>
      </w:hyperlink>
      <w:r w:rsidR="001A2F02">
        <w:t xml:space="preserve"> </w:t>
      </w:r>
    </w:p>
  </w:footnote>
  <w:footnote w:id="2">
    <w:p w14:paraId="7CAE8AC8" w14:textId="44F44831" w:rsidR="005A4723" w:rsidRDefault="005A4723" w:rsidP="00FE7F70">
      <w:pPr>
        <w:pStyle w:val="FootnoteText"/>
      </w:pPr>
      <w:r>
        <w:rPr>
          <w:rStyle w:val="FootnoteReference"/>
        </w:rPr>
        <w:footnoteRef/>
      </w:r>
      <w:r>
        <w:t xml:space="preserve"> </w:t>
      </w:r>
      <w:r w:rsidR="00FE7F70">
        <w:t xml:space="preserve">ACHA Guidelines: Tuberculosis Risk Assessment and </w:t>
      </w:r>
      <w:r w:rsidR="00231EB4">
        <w:t>M</w:t>
      </w:r>
      <w:r w:rsidR="00FE7F70">
        <w:t>anagement</w:t>
      </w:r>
      <w:r w:rsidR="00231EB4">
        <w:t xml:space="preserve">: </w:t>
      </w:r>
      <w:hyperlink r:id="rId2" w:history="1">
        <w:r w:rsidR="00231EB4" w:rsidRPr="00C931D7">
          <w:rPr>
            <w:rStyle w:val="Hyperlink"/>
          </w:rPr>
          <w:t>https://www.acha.org/resource/tuberculosis-screening-and-targeted-testing-of-college-and-university-students/</w:t>
        </w:r>
      </w:hyperlink>
      <w:r w:rsidR="00FE7F70">
        <w:t xml:space="preserve"> </w:t>
      </w:r>
    </w:p>
  </w:footnote>
  <w:footnote w:id="3">
    <w:p w14:paraId="7C88318C" w14:textId="0422B720" w:rsidR="00690466" w:rsidRDefault="00690466">
      <w:pPr>
        <w:pStyle w:val="FootnoteText"/>
      </w:pPr>
      <w:r>
        <w:rPr>
          <w:rStyle w:val="FootnoteReference"/>
        </w:rPr>
        <w:footnoteRef/>
      </w:r>
      <w:r>
        <w:t xml:space="preserve"> </w:t>
      </w:r>
      <w:hyperlink r:id="rId3" w:history="1">
        <w:r w:rsidRPr="004F5F4E">
          <w:rPr>
            <w:rStyle w:val="Hyperlink"/>
          </w:rPr>
          <w:t>https://pubmed.ncbi.nlm.nih.gov/38632829/</w:t>
        </w:r>
      </w:hyperlink>
      <w:r>
        <w:t xml:space="preserve"> </w:t>
      </w:r>
    </w:p>
  </w:footnote>
  <w:footnote w:id="4">
    <w:p w14:paraId="69E16D95" w14:textId="4187359E" w:rsidR="00344964" w:rsidRDefault="00344964">
      <w:pPr>
        <w:pStyle w:val="FootnoteText"/>
      </w:pPr>
      <w:r>
        <w:rPr>
          <w:rStyle w:val="FootnoteReference"/>
        </w:rPr>
        <w:footnoteRef/>
      </w:r>
      <w:r>
        <w:t xml:space="preserve"> </w:t>
      </w:r>
      <w:hyperlink r:id="rId4" w:history="1">
        <w:r w:rsidR="008E388D" w:rsidRPr="00880DBB">
          <w:rPr>
            <w:rStyle w:val="Hyperlink"/>
          </w:rPr>
          <w:t>https://www.cdc.gov/tb/publications/guidelines/pdf/clin-infect-dis.-2016-nahid-cid_ciw376.pdf</w:t>
        </w:r>
      </w:hyperlink>
      <w:r w:rsidR="008E38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C943" w14:textId="46EA9161" w:rsidR="00F637BE" w:rsidRPr="002831D4" w:rsidRDefault="00DC555C" w:rsidP="002831D4">
    <w:pPr>
      <w:contextualSpacing/>
      <w:jc w:val="right"/>
      <w:rPr>
        <w:sz w:val="20"/>
        <w:szCs w:val="20"/>
      </w:rPr>
    </w:pPr>
    <w:r w:rsidRPr="002831D4">
      <w:rPr>
        <w:sz w:val="20"/>
        <w:szCs w:val="20"/>
      </w:rPr>
      <w:t>Tuberculosis Screening and Prevention Guidance for Massachusetts Colleges and Universities</w:t>
    </w:r>
    <w:r w:rsidR="00F637BE" w:rsidRPr="002831D4">
      <w:rPr>
        <w:noProof/>
        <w:sz w:val="20"/>
        <w:szCs w:val="20"/>
      </w:rPr>
      <w:drawing>
        <wp:anchor distT="0" distB="0" distL="114300" distR="114300" simplePos="0" relativeHeight="251659264" behindDoc="0" locked="0" layoutInCell="1" allowOverlap="1" wp14:anchorId="588A157F" wp14:editId="5F5BE7EA">
          <wp:simplePos x="0" y="0"/>
          <wp:positionH relativeFrom="margin">
            <wp:posOffset>57150</wp:posOffset>
          </wp:positionH>
          <wp:positionV relativeFrom="margin">
            <wp:posOffset>-819150</wp:posOffset>
          </wp:positionV>
          <wp:extent cx="1314518" cy="768389"/>
          <wp:effectExtent l="0" t="0" r="0" b="0"/>
          <wp:wrapSquare wrapText="bothSides"/>
          <wp:docPr id="2089984179"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84179" name="Picture 1" descr="Massachusetts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314518" cy="76838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39D8" w14:textId="6BA14C06" w:rsidR="00C67C99" w:rsidRDefault="00C67C99">
    <w:pPr>
      <w:pStyle w:val="Header"/>
    </w:pPr>
    <w:r w:rsidRPr="002831D4">
      <w:rPr>
        <w:noProof/>
        <w:sz w:val="20"/>
        <w:szCs w:val="20"/>
      </w:rPr>
      <w:drawing>
        <wp:anchor distT="0" distB="0" distL="114300" distR="114300" simplePos="0" relativeHeight="251661312" behindDoc="0" locked="0" layoutInCell="1" allowOverlap="1" wp14:anchorId="25EE7DAA" wp14:editId="688903FD">
          <wp:simplePos x="0" y="0"/>
          <wp:positionH relativeFrom="margin">
            <wp:posOffset>-177800</wp:posOffset>
          </wp:positionH>
          <wp:positionV relativeFrom="topMargin">
            <wp:align>bottom</wp:align>
          </wp:positionV>
          <wp:extent cx="1314518" cy="768389"/>
          <wp:effectExtent l="0" t="0" r="0" b="0"/>
          <wp:wrapSquare wrapText="bothSides"/>
          <wp:docPr id="2053775284"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5284" name="Picture 1" descr="Massachusetts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314518" cy="7683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BB1"/>
    <w:multiLevelType w:val="hybridMultilevel"/>
    <w:tmpl w:val="50E24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966C6"/>
    <w:multiLevelType w:val="hybridMultilevel"/>
    <w:tmpl w:val="EF10E21E"/>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6DC6"/>
    <w:multiLevelType w:val="hybridMultilevel"/>
    <w:tmpl w:val="54AE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34330"/>
    <w:multiLevelType w:val="hybridMultilevel"/>
    <w:tmpl w:val="7DEEA13E"/>
    <w:lvl w:ilvl="0" w:tplc="26D669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70FE"/>
    <w:multiLevelType w:val="hybridMultilevel"/>
    <w:tmpl w:val="45F415E4"/>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6C3A"/>
    <w:multiLevelType w:val="hybridMultilevel"/>
    <w:tmpl w:val="5602E1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85C6A"/>
    <w:multiLevelType w:val="hybridMultilevel"/>
    <w:tmpl w:val="00E24A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D2403D"/>
    <w:multiLevelType w:val="hybridMultilevel"/>
    <w:tmpl w:val="8D4C32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2E5771"/>
    <w:multiLevelType w:val="hybridMultilevel"/>
    <w:tmpl w:val="EB46A2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9D28A7"/>
    <w:multiLevelType w:val="hybridMultilevel"/>
    <w:tmpl w:val="898A0AE0"/>
    <w:lvl w:ilvl="0" w:tplc="B802D616">
      <w:start w:val="1"/>
      <w:numFmt w:val="bullet"/>
      <w:lvlText w:val="•"/>
      <w:lvlJc w:val="left"/>
      <w:pPr>
        <w:tabs>
          <w:tab w:val="num" w:pos="720"/>
        </w:tabs>
        <w:ind w:left="720" w:hanging="360"/>
      </w:pPr>
      <w:rPr>
        <w:rFonts w:ascii="Arial" w:hAnsi="Arial" w:hint="default"/>
      </w:rPr>
    </w:lvl>
    <w:lvl w:ilvl="1" w:tplc="8D962A26" w:tentative="1">
      <w:start w:val="1"/>
      <w:numFmt w:val="bullet"/>
      <w:lvlText w:val="•"/>
      <w:lvlJc w:val="left"/>
      <w:pPr>
        <w:tabs>
          <w:tab w:val="num" w:pos="1440"/>
        </w:tabs>
        <w:ind w:left="1440" w:hanging="360"/>
      </w:pPr>
      <w:rPr>
        <w:rFonts w:ascii="Arial" w:hAnsi="Arial" w:hint="default"/>
      </w:rPr>
    </w:lvl>
    <w:lvl w:ilvl="2" w:tplc="5AE6B4EA" w:tentative="1">
      <w:start w:val="1"/>
      <w:numFmt w:val="bullet"/>
      <w:lvlText w:val="•"/>
      <w:lvlJc w:val="left"/>
      <w:pPr>
        <w:tabs>
          <w:tab w:val="num" w:pos="2160"/>
        </w:tabs>
        <w:ind w:left="2160" w:hanging="360"/>
      </w:pPr>
      <w:rPr>
        <w:rFonts w:ascii="Arial" w:hAnsi="Arial" w:hint="default"/>
      </w:rPr>
    </w:lvl>
    <w:lvl w:ilvl="3" w:tplc="FFBEAC0A" w:tentative="1">
      <w:start w:val="1"/>
      <w:numFmt w:val="bullet"/>
      <w:lvlText w:val="•"/>
      <w:lvlJc w:val="left"/>
      <w:pPr>
        <w:tabs>
          <w:tab w:val="num" w:pos="2880"/>
        </w:tabs>
        <w:ind w:left="2880" w:hanging="360"/>
      </w:pPr>
      <w:rPr>
        <w:rFonts w:ascii="Arial" w:hAnsi="Arial" w:hint="default"/>
      </w:rPr>
    </w:lvl>
    <w:lvl w:ilvl="4" w:tplc="6BE0E5C4" w:tentative="1">
      <w:start w:val="1"/>
      <w:numFmt w:val="bullet"/>
      <w:lvlText w:val="•"/>
      <w:lvlJc w:val="left"/>
      <w:pPr>
        <w:tabs>
          <w:tab w:val="num" w:pos="3600"/>
        </w:tabs>
        <w:ind w:left="3600" w:hanging="360"/>
      </w:pPr>
      <w:rPr>
        <w:rFonts w:ascii="Arial" w:hAnsi="Arial" w:hint="default"/>
      </w:rPr>
    </w:lvl>
    <w:lvl w:ilvl="5" w:tplc="52D674AE" w:tentative="1">
      <w:start w:val="1"/>
      <w:numFmt w:val="bullet"/>
      <w:lvlText w:val="•"/>
      <w:lvlJc w:val="left"/>
      <w:pPr>
        <w:tabs>
          <w:tab w:val="num" w:pos="4320"/>
        </w:tabs>
        <w:ind w:left="4320" w:hanging="360"/>
      </w:pPr>
      <w:rPr>
        <w:rFonts w:ascii="Arial" w:hAnsi="Arial" w:hint="default"/>
      </w:rPr>
    </w:lvl>
    <w:lvl w:ilvl="6" w:tplc="DB7825D0" w:tentative="1">
      <w:start w:val="1"/>
      <w:numFmt w:val="bullet"/>
      <w:lvlText w:val="•"/>
      <w:lvlJc w:val="left"/>
      <w:pPr>
        <w:tabs>
          <w:tab w:val="num" w:pos="5040"/>
        </w:tabs>
        <w:ind w:left="5040" w:hanging="360"/>
      </w:pPr>
      <w:rPr>
        <w:rFonts w:ascii="Arial" w:hAnsi="Arial" w:hint="default"/>
      </w:rPr>
    </w:lvl>
    <w:lvl w:ilvl="7" w:tplc="E0688B82" w:tentative="1">
      <w:start w:val="1"/>
      <w:numFmt w:val="bullet"/>
      <w:lvlText w:val="•"/>
      <w:lvlJc w:val="left"/>
      <w:pPr>
        <w:tabs>
          <w:tab w:val="num" w:pos="5760"/>
        </w:tabs>
        <w:ind w:left="5760" w:hanging="360"/>
      </w:pPr>
      <w:rPr>
        <w:rFonts w:ascii="Arial" w:hAnsi="Arial" w:hint="default"/>
      </w:rPr>
    </w:lvl>
    <w:lvl w:ilvl="8" w:tplc="9E7A5D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8C270D"/>
    <w:multiLevelType w:val="hybridMultilevel"/>
    <w:tmpl w:val="B29A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844F2"/>
    <w:multiLevelType w:val="hybridMultilevel"/>
    <w:tmpl w:val="899CA38E"/>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D5A60"/>
    <w:multiLevelType w:val="hybridMultilevel"/>
    <w:tmpl w:val="CA861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44D12"/>
    <w:multiLevelType w:val="hybridMultilevel"/>
    <w:tmpl w:val="E4A2CEEA"/>
    <w:lvl w:ilvl="0" w:tplc="7278D2F6">
      <w:start w:val="1"/>
      <w:numFmt w:val="bullet"/>
      <w:lvlText w:val="•"/>
      <w:lvlJc w:val="left"/>
      <w:pPr>
        <w:tabs>
          <w:tab w:val="num" w:pos="720"/>
        </w:tabs>
        <w:ind w:left="720" w:hanging="360"/>
      </w:pPr>
      <w:rPr>
        <w:rFonts w:ascii="Arial" w:hAnsi="Arial" w:hint="default"/>
      </w:rPr>
    </w:lvl>
    <w:lvl w:ilvl="1" w:tplc="A21C7C06">
      <w:numFmt w:val="bullet"/>
      <w:lvlText w:val="o"/>
      <w:lvlJc w:val="left"/>
      <w:pPr>
        <w:tabs>
          <w:tab w:val="num" w:pos="1440"/>
        </w:tabs>
        <w:ind w:left="1440" w:hanging="360"/>
      </w:pPr>
      <w:rPr>
        <w:rFonts w:ascii="Courier New" w:hAnsi="Courier New" w:hint="default"/>
      </w:rPr>
    </w:lvl>
    <w:lvl w:ilvl="2" w:tplc="85C8D262" w:tentative="1">
      <w:start w:val="1"/>
      <w:numFmt w:val="bullet"/>
      <w:lvlText w:val="•"/>
      <w:lvlJc w:val="left"/>
      <w:pPr>
        <w:tabs>
          <w:tab w:val="num" w:pos="2160"/>
        </w:tabs>
        <w:ind w:left="2160" w:hanging="360"/>
      </w:pPr>
      <w:rPr>
        <w:rFonts w:ascii="Arial" w:hAnsi="Arial" w:hint="default"/>
      </w:rPr>
    </w:lvl>
    <w:lvl w:ilvl="3" w:tplc="92D45BEA" w:tentative="1">
      <w:start w:val="1"/>
      <w:numFmt w:val="bullet"/>
      <w:lvlText w:val="•"/>
      <w:lvlJc w:val="left"/>
      <w:pPr>
        <w:tabs>
          <w:tab w:val="num" w:pos="2880"/>
        </w:tabs>
        <w:ind w:left="2880" w:hanging="360"/>
      </w:pPr>
      <w:rPr>
        <w:rFonts w:ascii="Arial" w:hAnsi="Arial" w:hint="default"/>
      </w:rPr>
    </w:lvl>
    <w:lvl w:ilvl="4" w:tplc="B498C562" w:tentative="1">
      <w:start w:val="1"/>
      <w:numFmt w:val="bullet"/>
      <w:lvlText w:val="•"/>
      <w:lvlJc w:val="left"/>
      <w:pPr>
        <w:tabs>
          <w:tab w:val="num" w:pos="3600"/>
        </w:tabs>
        <w:ind w:left="3600" w:hanging="360"/>
      </w:pPr>
      <w:rPr>
        <w:rFonts w:ascii="Arial" w:hAnsi="Arial" w:hint="default"/>
      </w:rPr>
    </w:lvl>
    <w:lvl w:ilvl="5" w:tplc="BDA01A00" w:tentative="1">
      <w:start w:val="1"/>
      <w:numFmt w:val="bullet"/>
      <w:lvlText w:val="•"/>
      <w:lvlJc w:val="left"/>
      <w:pPr>
        <w:tabs>
          <w:tab w:val="num" w:pos="4320"/>
        </w:tabs>
        <w:ind w:left="4320" w:hanging="360"/>
      </w:pPr>
      <w:rPr>
        <w:rFonts w:ascii="Arial" w:hAnsi="Arial" w:hint="default"/>
      </w:rPr>
    </w:lvl>
    <w:lvl w:ilvl="6" w:tplc="FA3205EA" w:tentative="1">
      <w:start w:val="1"/>
      <w:numFmt w:val="bullet"/>
      <w:lvlText w:val="•"/>
      <w:lvlJc w:val="left"/>
      <w:pPr>
        <w:tabs>
          <w:tab w:val="num" w:pos="5040"/>
        </w:tabs>
        <w:ind w:left="5040" w:hanging="360"/>
      </w:pPr>
      <w:rPr>
        <w:rFonts w:ascii="Arial" w:hAnsi="Arial" w:hint="default"/>
      </w:rPr>
    </w:lvl>
    <w:lvl w:ilvl="7" w:tplc="29F2AF7E" w:tentative="1">
      <w:start w:val="1"/>
      <w:numFmt w:val="bullet"/>
      <w:lvlText w:val="•"/>
      <w:lvlJc w:val="left"/>
      <w:pPr>
        <w:tabs>
          <w:tab w:val="num" w:pos="5760"/>
        </w:tabs>
        <w:ind w:left="5760" w:hanging="360"/>
      </w:pPr>
      <w:rPr>
        <w:rFonts w:ascii="Arial" w:hAnsi="Arial" w:hint="default"/>
      </w:rPr>
    </w:lvl>
    <w:lvl w:ilvl="8" w:tplc="12D6F9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D50E2A"/>
    <w:multiLevelType w:val="hybridMultilevel"/>
    <w:tmpl w:val="4BE0325E"/>
    <w:lvl w:ilvl="0" w:tplc="B1B897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B3223"/>
    <w:multiLevelType w:val="hybridMultilevel"/>
    <w:tmpl w:val="3D903BBC"/>
    <w:lvl w:ilvl="0" w:tplc="0B1EBF90">
      <w:start w:val="1"/>
      <w:numFmt w:val="bullet"/>
      <w:lvlText w:val="•"/>
      <w:lvlJc w:val="left"/>
      <w:pPr>
        <w:tabs>
          <w:tab w:val="num" w:pos="720"/>
        </w:tabs>
        <w:ind w:left="720" w:hanging="360"/>
      </w:pPr>
      <w:rPr>
        <w:rFonts w:ascii="Arial" w:hAnsi="Arial" w:hint="default"/>
      </w:rPr>
    </w:lvl>
    <w:lvl w:ilvl="1" w:tplc="896A394C" w:tentative="1">
      <w:start w:val="1"/>
      <w:numFmt w:val="bullet"/>
      <w:lvlText w:val="•"/>
      <w:lvlJc w:val="left"/>
      <w:pPr>
        <w:tabs>
          <w:tab w:val="num" w:pos="1440"/>
        </w:tabs>
        <w:ind w:left="1440" w:hanging="360"/>
      </w:pPr>
      <w:rPr>
        <w:rFonts w:ascii="Arial" w:hAnsi="Arial" w:hint="default"/>
      </w:rPr>
    </w:lvl>
    <w:lvl w:ilvl="2" w:tplc="737CFBF8" w:tentative="1">
      <w:start w:val="1"/>
      <w:numFmt w:val="bullet"/>
      <w:lvlText w:val="•"/>
      <w:lvlJc w:val="left"/>
      <w:pPr>
        <w:tabs>
          <w:tab w:val="num" w:pos="2160"/>
        </w:tabs>
        <w:ind w:left="2160" w:hanging="360"/>
      </w:pPr>
      <w:rPr>
        <w:rFonts w:ascii="Arial" w:hAnsi="Arial" w:hint="default"/>
      </w:rPr>
    </w:lvl>
    <w:lvl w:ilvl="3" w:tplc="268290C6" w:tentative="1">
      <w:start w:val="1"/>
      <w:numFmt w:val="bullet"/>
      <w:lvlText w:val="•"/>
      <w:lvlJc w:val="left"/>
      <w:pPr>
        <w:tabs>
          <w:tab w:val="num" w:pos="2880"/>
        </w:tabs>
        <w:ind w:left="2880" w:hanging="360"/>
      </w:pPr>
      <w:rPr>
        <w:rFonts w:ascii="Arial" w:hAnsi="Arial" w:hint="default"/>
      </w:rPr>
    </w:lvl>
    <w:lvl w:ilvl="4" w:tplc="76900274" w:tentative="1">
      <w:start w:val="1"/>
      <w:numFmt w:val="bullet"/>
      <w:lvlText w:val="•"/>
      <w:lvlJc w:val="left"/>
      <w:pPr>
        <w:tabs>
          <w:tab w:val="num" w:pos="3600"/>
        </w:tabs>
        <w:ind w:left="3600" w:hanging="360"/>
      </w:pPr>
      <w:rPr>
        <w:rFonts w:ascii="Arial" w:hAnsi="Arial" w:hint="default"/>
      </w:rPr>
    </w:lvl>
    <w:lvl w:ilvl="5" w:tplc="54A80A9E" w:tentative="1">
      <w:start w:val="1"/>
      <w:numFmt w:val="bullet"/>
      <w:lvlText w:val="•"/>
      <w:lvlJc w:val="left"/>
      <w:pPr>
        <w:tabs>
          <w:tab w:val="num" w:pos="4320"/>
        </w:tabs>
        <w:ind w:left="4320" w:hanging="360"/>
      </w:pPr>
      <w:rPr>
        <w:rFonts w:ascii="Arial" w:hAnsi="Arial" w:hint="default"/>
      </w:rPr>
    </w:lvl>
    <w:lvl w:ilvl="6" w:tplc="8DB6EEEE" w:tentative="1">
      <w:start w:val="1"/>
      <w:numFmt w:val="bullet"/>
      <w:lvlText w:val="•"/>
      <w:lvlJc w:val="left"/>
      <w:pPr>
        <w:tabs>
          <w:tab w:val="num" w:pos="5040"/>
        </w:tabs>
        <w:ind w:left="5040" w:hanging="360"/>
      </w:pPr>
      <w:rPr>
        <w:rFonts w:ascii="Arial" w:hAnsi="Arial" w:hint="default"/>
      </w:rPr>
    </w:lvl>
    <w:lvl w:ilvl="7" w:tplc="A1D055FA" w:tentative="1">
      <w:start w:val="1"/>
      <w:numFmt w:val="bullet"/>
      <w:lvlText w:val="•"/>
      <w:lvlJc w:val="left"/>
      <w:pPr>
        <w:tabs>
          <w:tab w:val="num" w:pos="5760"/>
        </w:tabs>
        <w:ind w:left="5760" w:hanging="360"/>
      </w:pPr>
      <w:rPr>
        <w:rFonts w:ascii="Arial" w:hAnsi="Arial" w:hint="default"/>
      </w:rPr>
    </w:lvl>
    <w:lvl w:ilvl="8" w:tplc="B59463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AC062D"/>
    <w:multiLevelType w:val="hybridMultilevel"/>
    <w:tmpl w:val="12F0F1EC"/>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E5B0E"/>
    <w:multiLevelType w:val="hybridMultilevel"/>
    <w:tmpl w:val="00423BB6"/>
    <w:lvl w:ilvl="0" w:tplc="14AC7BB0">
      <w:start w:val="1"/>
      <w:numFmt w:val="bullet"/>
      <w:lvlText w:val="•"/>
      <w:lvlJc w:val="left"/>
      <w:pPr>
        <w:tabs>
          <w:tab w:val="num" w:pos="720"/>
        </w:tabs>
        <w:ind w:left="720" w:hanging="360"/>
      </w:pPr>
      <w:rPr>
        <w:rFonts w:ascii="Arial" w:hAnsi="Arial" w:hint="default"/>
      </w:rPr>
    </w:lvl>
    <w:lvl w:ilvl="1" w:tplc="AB520ADC">
      <w:numFmt w:val="bullet"/>
      <w:lvlText w:val="o"/>
      <w:lvlJc w:val="left"/>
      <w:pPr>
        <w:tabs>
          <w:tab w:val="num" w:pos="1440"/>
        </w:tabs>
        <w:ind w:left="1440" w:hanging="360"/>
      </w:pPr>
      <w:rPr>
        <w:rFonts w:ascii="Courier New" w:hAnsi="Courier New" w:hint="default"/>
      </w:rPr>
    </w:lvl>
    <w:lvl w:ilvl="2" w:tplc="E9342F66" w:tentative="1">
      <w:start w:val="1"/>
      <w:numFmt w:val="bullet"/>
      <w:lvlText w:val="•"/>
      <w:lvlJc w:val="left"/>
      <w:pPr>
        <w:tabs>
          <w:tab w:val="num" w:pos="2160"/>
        </w:tabs>
        <w:ind w:left="2160" w:hanging="360"/>
      </w:pPr>
      <w:rPr>
        <w:rFonts w:ascii="Arial" w:hAnsi="Arial" w:hint="default"/>
      </w:rPr>
    </w:lvl>
    <w:lvl w:ilvl="3" w:tplc="A66621B4" w:tentative="1">
      <w:start w:val="1"/>
      <w:numFmt w:val="bullet"/>
      <w:lvlText w:val="•"/>
      <w:lvlJc w:val="left"/>
      <w:pPr>
        <w:tabs>
          <w:tab w:val="num" w:pos="2880"/>
        </w:tabs>
        <w:ind w:left="2880" w:hanging="360"/>
      </w:pPr>
      <w:rPr>
        <w:rFonts w:ascii="Arial" w:hAnsi="Arial" w:hint="default"/>
      </w:rPr>
    </w:lvl>
    <w:lvl w:ilvl="4" w:tplc="7212AECC" w:tentative="1">
      <w:start w:val="1"/>
      <w:numFmt w:val="bullet"/>
      <w:lvlText w:val="•"/>
      <w:lvlJc w:val="left"/>
      <w:pPr>
        <w:tabs>
          <w:tab w:val="num" w:pos="3600"/>
        </w:tabs>
        <w:ind w:left="3600" w:hanging="360"/>
      </w:pPr>
      <w:rPr>
        <w:rFonts w:ascii="Arial" w:hAnsi="Arial" w:hint="default"/>
      </w:rPr>
    </w:lvl>
    <w:lvl w:ilvl="5" w:tplc="3D880B20" w:tentative="1">
      <w:start w:val="1"/>
      <w:numFmt w:val="bullet"/>
      <w:lvlText w:val="•"/>
      <w:lvlJc w:val="left"/>
      <w:pPr>
        <w:tabs>
          <w:tab w:val="num" w:pos="4320"/>
        </w:tabs>
        <w:ind w:left="4320" w:hanging="360"/>
      </w:pPr>
      <w:rPr>
        <w:rFonts w:ascii="Arial" w:hAnsi="Arial" w:hint="default"/>
      </w:rPr>
    </w:lvl>
    <w:lvl w:ilvl="6" w:tplc="267EF1EA" w:tentative="1">
      <w:start w:val="1"/>
      <w:numFmt w:val="bullet"/>
      <w:lvlText w:val="•"/>
      <w:lvlJc w:val="left"/>
      <w:pPr>
        <w:tabs>
          <w:tab w:val="num" w:pos="5040"/>
        </w:tabs>
        <w:ind w:left="5040" w:hanging="360"/>
      </w:pPr>
      <w:rPr>
        <w:rFonts w:ascii="Arial" w:hAnsi="Arial" w:hint="default"/>
      </w:rPr>
    </w:lvl>
    <w:lvl w:ilvl="7" w:tplc="3E06D008" w:tentative="1">
      <w:start w:val="1"/>
      <w:numFmt w:val="bullet"/>
      <w:lvlText w:val="•"/>
      <w:lvlJc w:val="left"/>
      <w:pPr>
        <w:tabs>
          <w:tab w:val="num" w:pos="5760"/>
        </w:tabs>
        <w:ind w:left="5760" w:hanging="360"/>
      </w:pPr>
      <w:rPr>
        <w:rFonts w:ascii="Arial" w:hAnsi="Arial" w:hint="default"/>
      </w:rPr>
    </w:lvl>
    <w:lvl w:ilvl="8" w:tplc="6D4218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9D07BC"/>
    <w:multiLevelType w:val="hybridMultilevel"/>
    <w:tmpl w:val="C75A556E"/>
    <w:lvl w:ilvl="0" w:tplc="CCB02B06">
      <w:start w:val="1"/>
      <w:numFmt w:val="bullet"/>
      <w:lvlText w:val="•"/>
      <w:lvlJc w:val="left"/>
      <w:pPr>
        <w:tabs>
          <w:tab w:val="num" w:pos="720"/>
        </w:tabs>
        <w:ind w:left="720" w:hanging="360"/>
      </w:pPr>
      <w:rPr>
        <w:rFonts w:ascii="Arial" w:hAnsi="Arial" w:hint="default"/>
      </w:rPr>
    </w:lvl>
    <w:lvl w:ilvl="1" w:tplc="D430F4C8">
      <w:numFmt w:val="bullet"/>
      <w:lvlText w:val="o"/>
      <w:lvlJc w:val="left"/>
      <w:pPr>
        <w:tabs>
          <w:tab w:val="num" w:pos="1440"/>
        </w:tabs>
        <w:ind w:left="1440" w:hanging="360"/>
      </w:pPr>
      <w:rPr>
        <w:rFonts w:ascii="Courier New" w:hAnsi="Courier New" w:hint="default"/>
      </w:rPr>
    </w:lvl>
    <w:lvl w:ilvl="2" w:tplc="2D16EFE4" w:tentative="1">
      <w:start w:val="1"/>
      <w:numFmt w:val="bullet"/>
      <w:lvlText w:val="•"/>
      <w:lvlJc w:val="left"/>
      <w:pPr>
        <w:tabs>
          <w:tab w:val="num" w:pos="2160"/>
        </w:tabs>
        <w:ind w:left="2160" w:hanging="360"/>
      </w:pPr>
      <w:rPr>
        <w:rFonts w:ascii="Arial" w:hAnsi="Arial" w:hint="default"/>
      </w:rPr>
    </w:lvl>
    <w:lvl w:ilvl="3" w:tplc="85687770" w:tentative="1">
      <w:start w:val="1"/>
      <w:numFmt w:val="bullet"/>
      <w:lvlText w:val="•"/>
      <w:lvlJc w:val="left"/>
      <w:pPr>
        <w:tabs>
          <w:tab w:val="num" w:pos="2880"/>
        </w:tabs>
        <w:ind w:left="2880" w:hanging="360"/>
      </w:pPr>
      <w:rPr>
        <w:rFonts w:ascii="Arial" w:hAnsi="Arial" w:hint="default"/>
      </w:rPr>
    </w:lvl>
    <w:lvl w:ilvl="4" w:tplc="76DE9088" w:tentative="1">
      <w:start w:val="1"/>
      <w:numFmt w:val="bullet"/>
      <w:lvlText w:val="•"/>
      <w:lvlJc w:val="left"/>
      <w:pPr>
        <w:tabs>
          <w:tab w:val="num" w:pos="3600"/>
        </w:tabs>
        <w:ind w:left="3600" w:hanging="360"/>
      </w:pPr>
      <w:rPr>
        <w:rFonts w:ascii="Arial" w:hAnsi="Arial" w:hint="default"/>
      </w:rPr>
    </w:lvl>
    <w:lvl w:ilvl="5" w:tplc="198083B4" w:tentative="1">
      <w:start w:val="1"/>
      <w:numFmt w:val="bullet"/>
      <w:lvlText w:val="•"/>
      <w:lvlJc w:val="left"/>
      <w:pPr>
        <w:tabs>
          <w:tab w:val="num" w:pos="4320"/>
        </w:tabs>
        <w:ind w:left="4320" w:hanging="360"/>
      </w:pPr>
      <w:rPr>
        <w:rFonts w:ascii="Arial" w:hAnsi="Arial" w:hint="default"/>
      </w:rPr>
    </w:lvl>
    <w:lvl w:ilvl="6" w:tplc="F5C8BCAE" w:tentative="1">
      <w:start w:val="1"/>
      <w:numFmt w:val="bullet"/>
      <w:lvlText w:val="•"/>
      <w:lvlJc w:val="left"/>
      <w:pPr>
        <w:tabs>
          <w:tab w:val="num" w:pos="5040"/>
        </w:tabs>
        <w:ind w:left="5040" w:hanging="360"/>
      </w:pPr>
      <w:rPr>
        <w:rFonts w:ascii="Arial" w:hAnsi="Arial" w:hint="default"/>
      </w:rPr>
    </w:lvl>
    <w:lvl w:ilvl="7" w:tplc="11707DAA" w:tentative="1">
      <w:start w:val="1"/>
      <w:numFmt w:val="bullet"/>
      <w:lvlText w:val="•"/>
      <w:lvlJc w:val="left"/>
      <w:pPr>
        <w:tabs>
          <w:tab w:val="num" w:pos="5760"/>
        </w:tabs>
        <w:ind w:left="5760" w:hanging="360"/>
      </w:pPr>
      <w:rPr>
        <w:rFonts w:ascii="Arial" w:hAnsi="Arial" w:hint="default"/>
      </w:rPr>
    </w:lvl>
    <w:lvl w:ilvl="8" w:tplc="84D41F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CE1E9B"/>
    <w:multiLevelType w:val="hybridMultilevel"/>
    <w:tmpl w:val="B6B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45A79"/>
    <w:multiLevelType w:val="hybridMultilevel"/>
    <w:tmpl w:val="3DB6EEF0"/>
    <w:lvl w:ilvl="0" w:tplc="EF10F856">
      <w:start w:val="1"/>
      <w:numFmt w:val="bullet"/>
      <w:lvlText w:val="•"/>
      <w:lvlJc w:val="left"/>
      <w:pPr>
        <w:tabs>
          <w:tab w:val="num" w:pos="720"/>
        </w:tabs>
        <w:ind w:left="720" w:hanging="360"/>
      </w:pPr>
      <w:rPr>
        <w:rFonts w:ascii="Arial" w:hAnsi="Arial" w:hint="default"/>
      </w:rPr>
    </w:lvl>
    <w:lvl w:ilvl="1" w:tplc="AB8E17EA">
      <w:numFmt w:val="bullet"/>
      <w:lvlText w:val="o"/>
      <w:lvlJc w:val="left"/>
      <w:pPr>
        <w:tabs>
          <w:tab w:val="num" w:pos="1440"/>
        </w:tabs>
        <w:ind w:left="1440" w:hanging="360"/>
      </w:pPr>
      <w:rPr>
        <w:rFonts w:ascii="Courier New" w:hAnsi="Courier New" w:hint="default"/>
      </w:rPr>
    </w:lvl>
    <w:lvl w:ilvl="2" w:tplc="CFDA8446">
      <w:numFmt w:val="bullet"/>
      <w:lvlText w:val="o"/>
      <w:lvlJc w:val="left"/>
      <w:pPr>
        <w:tabs>
          <w:tab w:val="num" w:pos="2160"/>
        </w:tabs>
        <w:ind w:left="2160" w:hanging="360"/>
      </w:pPr>
      <w:rPr>
        <w:rFonts w:ascii="Courier New" w:hAnsi="Courier New" w:hint="default"/>
      </w:rPr>
    </w:lvl>
    <w:lvl w:ilvl="3" w:tplc="F57C5F50">
      <w:numFmt w:val="bullet"/>
      <w:lvlText w:val=""/>
      <w:lvlJc w:val="left"/>
      <w:pPr>
        <w:tabs>
          <w:tab w:val="num" w:pos="2880"/>
        </w:tabs>
        <w:ind w:left="2880" w:hanging="360"/>
      </w:pPr>
      <w:rPr>
        <w:rFonts w:ascii="Wingdings" w:hAnsi="Wingdings" w:hint="default"/>
      </w:rPr>
    </w:lvl>
    <w:lvl w:ilvl="4" w:tplc="EB8E435A">
      <w:numFmt w:val="bullet"/>
      <w:lvlText w:val=""/>
      <w:lvlJc w:val="left"/>
      <w:pPr>
        <w:tabs>
          <w:tab w:val="num" w:pos="3600"/>
        </w:tabs>
        <w:ind w:left="3600" w:hanging="360"/>
      </w:pPr>
      <w:rPr>
        <w:rFonts w:ascii="Wingdings" w:hAnsi="Wingdings" w:hint="default"/>
      </w:rPr>
    </w:lvl>
    <w:lvl w:ilvl="5" w:tplc="4B1CCAEC" w:tentative="1">
      <w:start w:val="1"/>
      <w:numFmt w:val="bullet"/>
      <w:lvlText w:val="•"/>
      <w:lvlJc w:val="left"/>
      <w:pPr>
        <w:tabs>
          <w:tab w:val="num" w:pos="4320"/>
        </w:tabs>
        <w:ind w:left="4320" w:hanging="360"/>
      </w:pPr>
      <w:rPr>
        <w:rFonts w:ascii="Arial" w:hAnsi="Arial" w:hint="default"/>
      </w:rPr>
    </w:lvl>
    <w:lvl w:ilvl="6" w:tplc="41CA3078" w:tentative="1">
      <w:start w:val="1"/>
      <w:numFmt w:val="bullet"/>
      <w:lvlText w:val="•"/>
      <w:lvlJc w:val="left"/>
      <w:pPr>
        <w:tabs>
          <w:tab w:val="num" w:pos="5040"/>
        </w:tabs>
        <w:ind w:left="5040" w:hanging="360"/>
      </w:pPr>
      <w:rPr>
        <w:rFonts w:ascii="Arial" w:hAnsi="Arial" w:hint="default"/>
      </w:rPr>
    </w:lvl>
    <w:lvl w:ilvl="7" w:tplc="B0CAD27A" w:tentative="1">
      <w:start w:val="1"/>
      <w:numFmt w:val="bullet"/>
      <w:lvlText w:val="•"/>
      <w:lvlJc w:val="left"/>
      <w:pPr>
        <w:tabs>
          <w:tab w:val="num" w:pos="5760"/>
        </w:tabs>
        <w:ind w:left="5760" w:hanging="360"/>
      </w:pPr>
      <w:rPr>
        <w:rFonts w:ascii="Arial" w:hAnsi="Arial" w:hint="default"/>
      </w:rPr>
    </w:lvl>
    <w:lvl w:ilvl="8" w:tplc="48C4E7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F67780"/>
    <w:multiLevelType w:val="hybridMultilevel"/>
    <w:tmpl w:val="911A26BE"/>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90BD0"/>
    <w:multiLevelType w:val="hybridMultilevel"/>
    <w:tmpl w:val="CD12A562"/>
    <w:lvl w:ilvl="0" w:tplc="2EF4C190">
      <w:start w:val="1"/>
      <w:numFmt w:val="bullet"/>
      <w:lvlText w:val="•"/>
      <w:lvlJc w:val="left"/>
      <w:pPr>
        <w:tabs>
          <w:tab w:val="num" w:pos="720"/>
        </w:tabs>
        <w:ind w:left="720" w:hanging="360"/>
      </w:pPr>
      <w:rPr>
        <w:rFonts w:ascii="Arial" w:hAnsi="Arial" w:hint="default"/>
      </w:rPr>
    </w:lvl>
    <w:lvl w:ilvl="1" w:tplc="6B7CCE84" w:tentative="1">
      <w:start w:val="1"/>
      <w:numFmt w:val="bullet"/>
      <w:lvlText w:val="•"/>
      <w:lvlJc w:val="left"/>
      <w:pPr>
        <w:tabs>
          <w:tab w:val="num" w:pos="1440"/>
        </w:tabs>
        <w:ind w:left="1440" w:hanging="360"/>
      </w:pPr>
      <w:rPr>
        <w:rFonts w:ascii="Arial" w:hAnsi="Arial" w:hint="default"/>
      </w:rPr>
    </w:lvl>
    <w:lvl w:ilvl="2" w:tplc="27F8DEF4" w:tentative="1">
      <w:start w:val="1"/>
      <w:numFmt w:val="bullet"/>
      <w:lvlText w:val="•"/>
      <w:lvlJc w:val="left"/>
      <w:pPr>
        <w:tabs>
          <w:tab w:val="num" w:pos="2160"/>
        </w:tabs>
        <w:ind w:left="2160" w:hanging="360"/>
      </w:pPr>
      <w:rPr>
        <w:rFonts w:ascii="Arial" w:hAnsi="Arial" w:hint="default"/>
      </w:rPr>
    </w:lvl>
    <w:lvl w:ilvl="3" w:tplc="F7D0A01E" w:tentative="1">
      <w:start w:val="1"/>
      <w:numFmt w:val="bullet"/>
      <w:lvlText w:val="•"/>
      <w:lvlJc w:val="left"/>
      <w:pPr>
        <w:tabs>
          <w:tab w:val="num" w:pos="2880"/>
        </w:tabs>
        <w:ind w:left="2880" w:hanging="360"/>
      </w:pPr>
      <w:rPr>
        <w:rFonts w:ascii="Arial" w:hAnsi="Arial" w:hint="default"/>
      </w:rPr>
    </w:lvl>
    <w:lvl w:ilvl="4" w:tplc="1EE80EAC" w:tentative="1">
      <w:start w:val="1"/>
      <w:numFmt w:val="bullet"/>
      <w:lvlText w:val="•"/>
      <w:lvlJc w:val="left"/>
      <w:pPr>
        <w:tabs>
          <w:tab w:val="num" w:pos="3600"/>
        </w:tabs>
        <w:ind w:left="3600" w:hanging="360"/>
      </w:pPr>
      <w:rPr>
        <w:rFonts w:ascii="Arial" w:hAnsi="Arial" w:hint="default"/>
      </w:rPr>
    </w:lvl>
    <w:lvl w:ilvl="5" w:tplc="31B8D0A4" w:tentative="1">
      <w:start w:val="1"/>
      <w:numFmt w:val="bullet"/>
      <w:lvlText w:val="•"/>
      <w:lvlJc w:val="left"/>
      <w:pPr>
        <w:tabs>
          <w:tab w:val="num" w:pos="4320"/>
        </w:tabs>
        <w:ind w:left="4320" w:hanging="360"/>
      </w:pPr>
      <w:rPr>
        <w:rFonts w:ascii="Arial" w:hAnsi="Arial" w:hint="default"/>
      </w:rPr>
    </w:lvl>
    <w:lvl w:ilvl="6" w:tplc="DC2C2574" w:tentative="1">
      <w:start w:val="1"/>
      <w:numFmt w:val="bullet"/>
      <w:lvlText w:val="•"/>
      <w:lvlJc w:val="left"/>
      <w:pPr>
        <w:tabs>
          <w:tab w:val="num" w:pos="5040"/>
        </w:tabs>
        <w:ind w:left="5040" w:hanging="360"/>
      </w:pPr>
      <w:rPr>
        <w:rFonts w:ascii="Arial" w:hAnsi="Arial" w:hint="default"/>
      </w:rPr>
    </w:lvl>
    <w:lvl w:ilvl="7" w:tplc="1494EB4E" w:tentative="1">
      <w:start w:val="1"/>
      <w:numFmt w:val="bullet"/>
      <w:lvlText w:val="•"/>
      <w:lvlJc w:val="left"/>
      <w:pPr>
        <w:tabs>
          <w:tab w:val="num" w:pos="5760"/>
        </w:tabs>
        <w:ind w:left="5760" w:hanging="360"/>
      </w:pPr>
      <w:rPr>
        <w:rFonts w:ascii="Arial" w:hAnsi="Arial" w:hint="default"/>
      </w:rPr>
    </w:lvl>
    <w:lvl w:ilvl="8" w:tplc="C60C67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F67B66"/>
    <w:multiLevelType w:val="hybridMultilevel"/>
    <w:tmpl w:val="8C1C9900"/>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54E9B"/>
    <w:multiLevelType w:val="hybridMultilevel"/>
    <w:tmpl w:val="8E445C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A6600E"/>
    <w:multiLevelType w:val="hybridMultilevel"/>
    <w:tmpl w:val="84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A3FBC"/>
    <w:multiLevelType w:val="hybridMultilevel"/>
    <w:tmpl w:val="4A0C40AA"/>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F7AC2"/>
    <w:multiLevelType w:val="hybridMultilevel"/>
    <w:tmpl w:val="596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953E2"/>
    <w:multiLevelType w:val="hybridMultilevel"/>
    <w:tmpl w:val="959E64E0"/>
    <w:lvl w:ilvl="0" w:tplc="B1B897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9545E"/>
    <w:multiLevelType w:val="hybridMultilevel"/>
    <w:tmpl w:val="C020355E"/>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721B3"/>
    <w:multiLevelType w:val="hybridMultilevel"/>
    <w:tmpl w:val="6C627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D5316D"/>
    <w:multiLevelType w:val="hybridMultilevel"/>
    <w:tmpl w:val="DC9CD4DC"/>
    <w:lvl w:ilvl="0" w:tplc="9CEED38C">
      <w:start w:val="1"/>
      <w:numFmt w:val="bullet"/>
      <w:lvlText w:val="•"/>
      <w:lvlJc w:val="left"/>
      <w:pPr>
        <w:tabs>
          <w:tab w:val="num" w:pos="720"/>
        </w:tabs>
        <w:ind w:left="720" w:hanging="360"/>
      </w:pPr>
      <w:rPr>
        <w:rFonts w:ascii="Arial" w:hAnsi="Arial" w:hint="default"/>
      </w:rPr>
    </w:lvl>
    <w:lvl w:ilvl="1" w:tplc="5DE81654" w:tentative="1">
      <w:start w:val="1"/>
      <w:numFmt w:val="bullet"/>
      <w:lvlText w:val="•"/>
      <w:lvlJc w:val="left"/>
      <w:pPr>
        <w:tabs>
          <w:tab w:val="num" w:pos="1440"/>
        </w:tabs>
        <w:ind w:left="1440" w:hanging="360"/>
      </w:pPr>
      <w:rPr>
        <w:rFonts w:ascii="Arial" w:hAnsi="Arial" w:hint="default"/>
      </w:rPr>
    </w:lvl>
    <w:lvl w:ilvl="2" w:tplc="F55C6AB2" w:tentative="1">
      <w:start w:val="1"/>
      <w:numFmt w:val="bullet"/>
      <w:lvlText w:val="•"/>
      <w:lvlJc w:val="left"/>
      <w:pPr>
        <w:tabs>
          <w:tab w:val="num" w:pos="2160"/>
        </w:tabs>
        <w:ind w:left="2160" w:hanging="360"/>
      </w:pPr>
      <w:rPr>
        <w:rFonts w:ascii="Arial" w:hAnsi="Arial" w:hint="default"/>
      </w:rPr>
    </w:lvl>
    <w:lvl w:ilvl="3" w:tplc="B5A035B2" w:tentative="1">
      <w:start w:val="1"/>
      <w:numFmt w:val="bullet"/>
      <w:lvlText w:val="•"/>
      <w:lvlJc w:val="left"/>
      <w:pPr>
        <w:tabs>
          <w:tab w:val="num" w:pos="2880"/>
        </w:tabs>
        <w:ind w:left="2880" w:hanging="360"/>
      </w:pPr>
      <w:rPr>
        <w:rFonts w:ascii="Arial" w:hAnsi="Arial" w:hint="default"/>
      </w:rPr>
    </w:lvl>
    <w:lvl w:ilvl="4" w:tplc="4BBCFEA8" w:tentative="1">
      <w:start w:val="1"/>
      <w:numFmt w:val="bullet"/>
      <w:lvlText w:val="•"/>
      <w:lvlJc w:val="left"/>
      <w:pPr>
        <w:tabs>
          <w:tab w:val="num" w:pos="3600"/>
        </w:tabs>
        <w:ind w:left="3600" w:hanging="360"/>
      </w:pPr>
      <w:rPr>
        <w:rFonts w:ascii="Arial" w:hAnsi="Arial" w:hint="default"/>
      </w:rPr>
    </w:lvl>
    <w:lvl w:ilvl="5" w:tplc="21CCF0BA" w:tentative="1">
      <w:start w:val="1"/>
      <w:numFmt w:val="bullet"/>
      <w:lvlText w:val="•"/>
      <w:lvlJc w:val="left"/>
      <w:pPr>
        <w:tabs>
          <w:tab w:val="num" w:pos="4320"/>
        </w:tabs>
        <w:ind w:left="4320" w:hanging="360"/>
      </w:pPr>
      <w:rPr>
        <w:rFonts w:ascii="Arial" w:hAnsi="Arial" w:hint="default"/>
      </w:rPr>
    </w:lvl>
    <w:lvl w:ilvl="6" w:tplc="C3369764" w:tentative="1">
      <w:start w:val="1"/>
      <w:numFmt w:val="bullet"/>
      <w:lvlText w:val="•"/>
      <w:lvlJc w:val="left"/>
      <w:pPr>
        <w:tabs>
          <w:tab w:val="num" w:pos="5040"/>
        </w:tabs>
        <w:ind w:left="5040" w:hanging="360"/>
      </w:pPr>
      <w:rPr>
        <w:rFonts w:ascii="Arial" w:hAnsi="Arial" w:hint="default"/>
      </w:rPr>
    </w:lvl>
    <w:lvl w:ilvl="7" w:tplc="64E4DA38" w:tentative="1">
      <w:start w:val="1"/>
      <w:numFmt w:val="bullet"/>
      <w:lvlText w:val="•"/>
      <w:lvlJc w:val="left"/>
      <w:pPr>
        <w:tabs>
          <w:tab w:val="num" w:pos="5760"/>
        </w:tabs>
        <w:ind w:left="5760" w:hanging="360"/>
      </w:pPr>
      <w:rPr>
        <w:rFonts w:ascii="Arial" w:hAnsi="Arial" w:hint="default"/>
      </w:rPr>
    </w:lvl>
    <w:lvl w:ilvl="8" w:tplc="10109F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B07721"/>
    <w:multiLevelType w:val="hybridMultilevel"/>
    <w:tmpl w:val="37F0586A"/>
    <w:lvl w:ilvl="0" w:tplc="26D669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C159C"/>
    <w:multiLevelType w:val="hybridMultilevel"/>
    <w:tmpl w:val="5670982C"/>
    <w:lvl w:ilvl="0" w:tplc="7A301C08">
      <w:start w:val="1"/>
      <w:numFmt w:val="bullet"/>
      <w:lvlText w:val="•"/>
      <w:lvlJc w:val="left"/>
      <w:pPr>
        <w:tabs>
          <w:tab w:val="num" w:pos="720"/>
        </w:tabs>
        <w:ind w:left="720" w:hanging="360"/>
      </w:pPr>
      <w:rPr>
        <w:rFonts w:ascii="Arial" w:hAnsi="Arial" w:hint="default"/>
      </w:rPr>
    </w:lvl>
    <w:lvl w:ilvl="1" w:tplc="A8A0AF04" w:tentative="1">
      <w:start w:val="1"/>
      <w:numFmt w:val="bullet"/>
      <w:lvlText w:val="•"/>
      <w:lvlJc w:val="left"/>
      <w:pPr>
        <w:tabs>
          <w:tab w:val="num" w:pos="1440"/>
        </w:tabs>
        <w:ind w:left="1440" w:hanging="360"/>
      </w:pPr>
      <w:rPr>
        <w:rFonts w:ascii="Arial" w:hAnsi="Arial" w:hint="default"/>
      </w:rPr>
    </w:lvl>
    <w:lvl w:ilvl="2" w:tplc="DCA0AAC2" w:tentative="1">
      <w:start w:val="1"/>
      <w:numFmt w:val="bullet"/>
      <w:lvlText w:val="•"/>
      <w:lvlJc w:val="left"/>
      <w:pPr>
        <w:tabs>
          <w:tab w:val="num" w:pos="2160"/>
        </w:tabs>
        <w:ind w:left="2160" w:hanging="360"/>
      </w:pPr>
      <w:rPr>
        <w:rFonts w:ascii="Arial" w:hAnsi="Arial" w:hint="default"/>
      </w:rPr>
    </w:lvl>
    <w:lvl w:ilvl="3" w:tplc="5F525AFA" w:tentative="1">
      <w:start w:val="1"/>
      <w:numFmt w:val="bullet"/>
      <w:lvlText w:val="•"/>
      <w:lvlJc w:val="left"/>
      <w:pPr>
        <w:tabs>
          <w:tab w:val="num" w:pos="2880"/>
        </w:tabs>
        <w:ind w:left="2880" w:hanging="360"/>
      </w:pPr>
      <w:rPr>
        <w:rFonts w:ascii="Arial" w:hAnsi="Arial" w:hint="default"/>
      </w:rPr>
    </w:lvl>
    <w:lvl w:ilvl="4" w:tplc="993AE220" w:tentative="1">
      <w:start w:val="1"/>
      <w:numFmt w:val="bullet"/>
      <w:lvlText w:val="•"/>
      <w:lvlJc w:val="left"/>
      <w:pPr>
        <w:tabs>
          <w:tab w:val="num" w:pos="3600"/>
        </w:tabs>
        <w:ind w:left="3600" w:hanging="360"/>
      </w:pPr>
      <w:rPr>
        <w:rFonts w:ascii="Arial" w:hAnsi="Arial" w:hint="default"/>
      </w:rPr>
    </w:lvl>
    <w:lvl w:ilvl="5" w:tplc="65DAE542" w:tentative="1">
      <w:start w:val="1"/>
      <w:numFmt w:val="bullet"/>
      <w:lvlText w:val="•"/>
      <w:lvlJc w:val="left"/>
      <w:pPr>
        <w:tabs>
          <w:tab w:val="num" w:pos="4320"/>
        </w:tabs>
        <w:ind w:left="4320" w:hanging="360"/>
      </w:pPr>
      <w:rPr>
        <w:rFonts w:ascii="Arial" w:hAnsi="Arial" w:hint="default"/>
      </w:rPr>
    </w:lvl>
    <w:lvl w:ilvl="6" w:tplc="980A63AA" w:tentative="1">
      <w:start w:val="1"/>
      <w:numFmt w:val="bullet"/>
      <w:lvlText w:val="•"/>
      <w:lvlJc w:val="left"/>
      <w:pPr>
        <w:tabs>
          <w:tab w:val="num" w:pos="5040"/>
        </w:tabs>
        <w:ind w:left="5040" w:hanging="360"/>
      </w:pPr>
      <w:rPr>
        <w:rFonts w:ascii="Arial" w:hAnsi="Arial" w:hint="default"/>
      </w:rPr>
    </w:lvl>
    <w:lvl w:ilvl="7" w:tplc="E4A8C302" w:tentative="1">
      <w:start w:val="1"/>
      <w:numFmt w:val="bullet"/>
      <w:lvlText w:val="•"/>
      <w:lvlJc w:val="left"/>
      <w:pPr>
        <w:tabs>
          <w:tab w:val="num" w:pos="5760"/>
        </w:tabs>
        <w:ind w:left="5760" w:hanging="360"/>
      </w:pPr>
      <w:rPr>
        <w:rFonts w:ascii="Arial" w:hAnsi="Arial" w:hint="default"/>
      </w:rPr>
    </w:lvl>
    <w:lvl w:ilvl="8" w:tplc="A41C46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71590E"/>
    <w:multiLevelType w:val="hybridMultilevel"/>
    <w:tmpl w:val="83946A38"/>
    <w:lvl w:ilvl="0" w:tplc="729432AA">
      <w:start w:val="1"/>
      <w:numFmt w:val="bullet"/>
      <w:lvlText w:val="•"/>
      <w:lvlJc w:val="left"/>
      <w:pPr>
        <w:tabs>
          <w:tab w:val="num" w:pos="720"/>
        </w:tabs>
        <w:ind w:left="720" w:hanging="360"/>
      </w:pPr>
      <w:rPr>
        <w:rFonts w:ascii="Arial" w:hAnsi="Arial" w:hint="default"/>
      </w:rPr>
    </w:lvl>
    <w:lvl w:ilvl="1" w:tplc="2FEE3776" w:tentative="1">
      <w:start w:val="1"/>
      <w:numFmt w:val="bullet"/>
      <w:lvlText w:val="•"/>
      <w:lvlJc w:val="left"/>
      <w:pPr>
        <w:tabs>
          <w:tab w:val="num" w:pos="1440"/>
        </w:tabs>
        <w:ind w:left="1440" w:hanging="360"/>
      </w:pPr>
      <w:rPr>
        <w:rFonts w:ascii="Arial" w:hAnsi="Arial" w:hint="default"/>
      </w:rPr>
    </w:lvl>
    <w:lvl w:ilvl="2" w:tplc="0032B53A" w:tentative="1">
      <w:start w:val="1"/>
      <w:numFmt w:val="bullet"/>
      <w:lvlText w:val="•"/>
      <w:lvlJc w:val="left"/>
      <w:pPr>
        <w:tabs>
          <w:tab w:val="num" w:pos="2160"/>
        </w:tabs>
        <w:ind w:left="2160" w:hanging="360"/>
      </w:pPr>
      <w:rPr>
        <w:rFonts w:ascii="Arial" w:hAnsi="Arial" w:hint="default"/>
      </w:rPr>
    </w:lvl>
    <w:lvl w:ilvl="3" w:tplc="06F42928" w:tentative="1">
      <w:start w:val="1"/>
      <w:numFmt w:val="bullet"/>
      <w:lvlText w:val="•"/>
      <w:lvlJc w:val="left"/>
      <w:pPr>
        <w:tabs>
          <w:tab w:val="num" w:pos="2880"/>
        </w:tabs>
        <w:ind w:left="2880" w:hanging="360"/>
      </w:pPr>
      <w:rPr>
        <w:rFonts w:ascii="Arial" w:hAnsi="Arial" w:hint="default"/>
      </w:rPr>
    </w:lvl>
    <w:lvl w:ilvl="4" w:tplc="59D49A3A" w:tentative="1">
      <w:start w:val="1"/>
      <w:numFmt w:val="bullet"/>
      <w:lvlText w:val="•"/>
      <w:lvlJc w:val="left"/>
      <w:pPr>
        <w:tabs>
          <w:tab w:val="num" w:pos="3600"/>
        </w:tabs>
        <w:ind w:left="3600" w:hanging="360"/>
      </w:pPr>
      <w:rPr>
        <w:rFonts w:ascii="Arial" w:hAnsi="Arial" w:hint="default"/>
      </w:rPr>
    </w:lvl>
    <w:lvl w:ilvl="5" w:tplc="5166084A" w:tentative="1">
      <w:start w:val="1"/>
      <w:numFmt w:val="bullet"/>
      <w:lvlText w:val="•"/>
      <w:lvlJc w:val="left"/>
      <w:pPr>
        <w:tabs>
          <w:tab w:val="num" w:pos="4320"/>
        </w:tabs>
        <w:ind w:left="4320" w:hanging="360"/>
      </w:pPr>
      <w:rPr>
        <w:rFonts w:ascii="Arial" w:hAnsi="Arial" w:hint="default"/>
      </w:rPr>
    </w:lvl>
    <w:lvl w:ilvl="6" w:tplc="5C58F228" w:tentative="1">
      <w:start w:val="1"/>
      <w:numFmt w:val="bullet"/>
      <w:lvlText w:val="•"/>
      <w:lvlJc w:val="left"/>
      <w:pPr>
        <w:tabs>
          <w:tab w:val="num" w:pos="5040"/>
        </w:tabs>
        <w:ind w:left="5040" w:hanging="360"/>
      </w:pPr>
      <w:rPr>
        <w:rFonts w:ascii="Arial" w:hAnsi="Arial" w:hint="default"/>
      </w:rPr>
    </w:lvl>
    <w:lvl w:ilvl="7" w:tplc="67A2391C" w:tentative="1">
      <w:start w:val="1"/>
      <w:numFmt w:val="bullet"/>
      <w:lvlText w:val="•"/>
      <w:lvlJc w:val="left"/>
      <w:pPr>
        <w:tabs>
          <w:tab w:val="num" w:pos="5760"/>
        </w:tabs>
        <w:ind w:left="5760" w:hanging="360"/>
      </w:pPr>
      <w:rPr>
        <w:rFonts w:ascii="Arial" w:hAnsi="Arial" w:hint="default"/>
      </w:rPr>
    </w:lvl>
    <w:lvl w:ilvl="8" w:tplc="40B6F0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7F437C"/>
    <w:multiLevelType w:val="hybridMultilevel"/>
    <w:tmpl w:val="6EB6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94A8C"/>
    <w:multiLevelType w:val="hybridMultilevel"/>
    <w:tmpl w:val="FD02E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5FA04B67"/>
    <w:multiLevelType w:val="hybridMultilevel"/>
    <w:tmpl w:val="1D887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19D7F22"/>
    <w:multiLevelType w:val="hybridMultilevel"/>
    <w:tmpl w:val="FC7A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303A3"/>
    <w:multiLevelType w:val="hybridMultilevel"/>
    <w:tmpl w:val="49522D52"/>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53F85"/>
    <w:multiLevelType w:val="hybridMultilevel"/>
    <w:tmpl w:val="0128AB8C"/>
    <w:lvl w:ilvl="0" w:tplc="C180E5E2">
      <w:start w:val="1"/>
      <w:numFmt w:val="bullet"/>
      <w:lvlText w:val="•"/>
      <w:lvlJc w:val="left"/>
      <w:pPr>
        <w:tabs>
          <w:tab w:val="num" w:pos="720"/>
        </w:tabs>
        <w:ind w:left="720" w:hanging="360"/>
      </w:pPr>
      <w:rPr>
        <w:rFonts w:ascii="Arial" w:hAnsi="Arial" w:hint="default"/>
      </w:rPr>
    </w:lvl>
    <w:lvl w:ilvl="1" w:tplc="92D20468">
      <w:numFmt w:val="bullet"/>
      <w:lvlText w:val="o"/>
      <w:lvlJc w:val="left"/>
      <w:pPr>
        <w:tabs>
          <w:tab w:val="num" w:pos="1440"/>
        </w:tabs>
        <w:ind w:left="1440" w:hanging="360"/>
      </w:pPr>
      <w:rPr>
        <w:rFonts w:ascii="Courier New" w:hAnsi="Courier New" w:hint="default"/>
      </w:rPr>
    </w:lvl>
    <w:lvl w:ilvl="2" w:tplc="7A905E42" w:tentative="1">
      <w:start w:val="1"/>
      <w:numFmt w:val="bullet"/>
      <w:lvlText w:val="•"/>
      <w:lvlJc w:val="left"/>
      <w:pPr>
        <w:tabs>
          <w:tab w:val="num" w:pos="2160"/>
        </w:tabs>
        <w:ind w:left="2160" w:hanging="360"/>
      </w:pPr>
      <w:rPr>
        <w:rFonts w:ascii="Arial" w:hAnsi="Arial" w:hint="default"/>
      </w:rPr>
    </w:lvl>
    <w:lvl w:ilvl="3" w:tplc="A440AEE2" w:tentative="1">
      <w:start w:val="1"/>
      <w:numFmt w:val="bullet"/>
      <w:lvlText w:val="•"/>
      <w:lvlJc w:val="left"/>
      <w:pPr>
        <w:tabs>
          <w:tab w:val="num" w:pos="2880"/>
        </w:tabs>
        <w:ind w:left="2880" w:hanging="360"/>
      </w:pPr>
      <w:rPr>
        <w:rFonts w:ascii="Arial" w:hAnsi="Arial" w:hint="default"/>
      </w:rPr>
    </w:lvl>
    <w:lvl w:ilvl="4" w:tplc="C94CF330" w:tentative="1">
      <w:start w:val="1"/>
      <w:numFmt w:val="bullet"/>
      <w:lvlText w:val="•"/>
      <w:lvlJc w:val="left"/>
      <w:pPr>
        <w:tabs>
          <w:tab w:val="num" w:pos="3600"/>
        </w:tabs>
        <w:ind w:left="3600" w:hanging="360"/>
      </w:pPr>
      <w:rPr>
        <w:rFonts w:ascii="Arial" w:hAnsi="Arial" w:hint="default"/>
      </w:rPr>
    </w:lvl>
    <w:lvl w:ilvl="5" w:tplc="1F5C7D04" w:tentative="1">
      <w:start w:val="1"/>
      <w:numFmt w:val="bullet"/>
      <w:lvlText w:val="•"/>
      <w:lvlJc w:val="left"/>
      <w:pPr>
        <w:tabs>
          <w:tab w:val="num" w:pos="4320"/>
        </w:tabs>
        <w:ind w:left="4320" w:hanging="360"/>
      </w:pPr>
      <w:rPr>
        <w:rFonts w:ascii="Arial" w:hAnsi="Arial" w:hint="default"/>
      </w:rPr>
    </w:lvl>
    <w:lvl w:ilvl="6" w:tplc="94868328" w:tentative="1">
      <w:start w:val="1"/>
      <w:numFmt w:val="bullet"/>
      <w:lvlText w:val="•"/>
      <w:lvlJc w:val="left"/>
      <w:pPr>
        <w:tabs>
          <w:tab w:val="num" w:pos="5040"/>
        </w:tabs>
        <w:ind w:left="5040" w:hanging="360"/>
      </w:pPr>
      <w:rPr>
        <w:rFonts w:ascii="Arial" w:hAnsi="Arial" w:hint="default"/>
      </w:rPr>
    </w:lvl>
    <w:lvl w:ilvl="7" w:tplc="01928544" w:tentative="1">
      <w:start w:val="1"/>
      <w:numFmt w:val="bullet"/>
      <w:lvlText w:val="•"/>
      <w:lvlJc w:val="left"/>
      <w:pPr>
        <w:tabs>
          <w:tab w:val="num" w:pos="5760"/>
        </w:tabs>
        <w:ind w:left="5760" w:hanging="360"/>
      </w:pPr>
      <w:rPr>
        <w:rFonts w:ascii="Arial" w:hAnsi="Arial" w:hint="default"/>
      </w:rPr>
    </w:lvl>
    <w:lvl w:ilvl="8" w:tplc="F78A29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E7D7E63"/>
    <w:multiLevelType w:val="hybridMultilevel"/>
    <w:tmpl w:val="09CE5E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E82EF0"/>
    <w:multiLevelType w:val="hybridMultilevel"/>
    <w:tmpl w:val="DDFCC5C2"/>
    <w:lvl w:ilvl="0" w:tplc="2B328CB8">
      <w:start w:val="1"/>
      <w:numFmt w:val="bullet"/>
      <w:lvlText w:val="•"/>
      <w:lvlJc w:val="left"/>
      <w:pPr>
        <w:tabs>
          <w:tab w:val="num" w:pos="720"/>
        </w:tabs>
        <w:ind w:left="720" w:hanging="360"/>
      </w:pPr>
      <w:rPr>
        <w:rFonts w:ascii="Arial" w:hAnsi="Arial" w:hint="default"/>
      </w:rPr>
    </w:lvl>
    <w:lvl w:ilvl="1" w:tplc="0C4E646E" w:tentative="1">
      <w:start w:val="1"/>
      <w:numFmt w:val="bullet"/>
      <w:lvlText w:val="•"/>
      <w:lvlJc w:val="left"/>
      <w:pPr>
        <w:tabs>
          <w:tab w:val="num" w:pos="1440"/>
        </w:tabs>
        <w:ind w:left="1440" w:hanging="360"/>
      </w:pPr>
      <w:rPr>
        <w:rFonts w:ascii="Arial" w:hAnsi="Arial" w:hint="default"/>
      </w:rPr>
    </w:lvl>
    <w:lvl w:ilvl="2" w:tplc="60980EDA" w:tentative="1">
      <w:start w:val="1"/>
      <w:numFmt w:val="bullet"/>
      <w:lvlText w:val="•"/>
      <w:lvlJc w:val="left"/>
      <w:pPr>
        <w:tabs>
          <w:tab w:val="num" w:pos="2160"/>
        </w:tabs>
        <w:ind w:left="2160" w:hanging="360"/>
      </w:pPr>
      <w:rPr>
        <w:rFonts w:ascii="Arial" w:hAnsi="Arial" w:hint="default"/>
      </w:rPr>
    </w:lvl>
    <w:lvl w:ilvl="3" w:tplc="2A4E3DEC" w:tentative="1">
      <w:start w:val="1"/>
      <w:numFmt w:val="bullet"/>
      <w:lvlText w:val="•"/>
      <w:lvlJc w:val="left"/>
      <w:pPr>
        <w:tabs>
          <w:tab w:val="num" w:pos="2880"/>
        </w:tabs>
        <w:ind w:left="2880" w:hanging="360"/>
      </w:pPr>
      <w:rPr>
        <w:rFonts w:ascii="Arial" w:hAnsi="Arial" w:hint="default"/>
      </w:rPr>
    </w:lvl>
    <w:lvl w:ilvl="4" w:tplc="FE8245D6" w:tentative="1">
      <w:start w:val="1"/>
      <w:numFmt w:val="bullet"/>
      <w:lvlText w:val="•"/>
      <w:lvlJc w:val="left"/>
      <w:pPr>
        <w:tabs>
          <w:tab w:val="num" w:pos="3600"/>
        </w:tabs>
        <w:ind w:left="3600" w:hanging="360"/>
      </w:pPr>
      <w:rPr>
        <w:rFonts w:ascii="Arial" w:hAnsi="Arial" w:hint="default"/>
      </w:rPr>
    </w:lvl>
    <w:lvl w:ilvl="5" w:tplc="892E360C" w:tentative="1">
      <w:start w:val="1"/>
      <w:numFmt w:val="bullet"/>
      <w:lvlText w:val="•"/>
      <w:lvlJc w:val="left"/>
      <w:pPr>
        <w:tabs>
          <w:tab w:val="num" w:pos="4320"/>
        </w:tabs>
        <w:ind w:left="4320" w:hanging="360"/>
      </w:pPr>
      <w:rPr>
        <w:rFonts w:ascii="Arial" w:hAnsi="Arial" w:hint="default"/>
      </w:rPr>
    </w:lvl>
    <w:lvl w:ilvl="6" w:tplc="E890653A" w:tentative="1">
      <w:start w:val="1"/>
      <w:numFmt w:val="bullet"/>
      <w:lvlText w:val="•"/>
      <w:lvlJc w:val="left"/>
      <w:pPr>
        <w:tabs>
          <w:tab w:val="num" w:pos="5040"/>
        </w:tabs>
        <w:ind w:left="5040" w:hanging="360"/>
      </w:pPr>
      <w:rPr>
        <w:rFonts w:ascii="Arial" w:hAnsi="Arial" w:hint="default"/>
      </w:rPr>
    </w:lvl>
    <w:lvl w:ilvl="7" w:tplc="FB1027F6" w:tentative="1">
      <w:start w:val="1"/>
      <w:numFmt w:val="bullet"/>
      <w:lvlText w:val="•"/>
      <w:lvlJc w:val="left"/>
      <w:pPr>
        <w:tabs>
          <w:tab w:val="num" w:pos="5760"/>
        </w:tabs>
        <w:ind w:left="5760" w:hanging="360"/>
      </w:pPr>
      <w:rPr>
        <w:rFonts w:ascii="Arial" w:hAnsi="Arial" w:hint="default"/>
      </w:rPr>
    </w:lvl>
    <w:lvl w:ilvl="8" w:tplc="5AEEB8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E64EB8"/>
    <w:multiLevelType w:val="hybridMultilevel"/>
    <w:tmpl w:val="78A4B518"/>
    <w:lvl w:ilvl="0" w:tplc="6B0C48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834C0"/>
    <w:multiLevelType w:val="hybridMultilevel"/>
    <w:tmpl w:val="BBE03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A03C4C"/>
    <w:multiLevelType w:val="hybridMultilevel"/>
    <w:tmpl w:val="C40EFB4E"/>
    <w:lvl w:ilvl="0" w:tplc="9C34E8B0">
      <w:start w:val="1"/>
      <w:numFmt w:val="bullet"/>
      <w:lvlText w:val="•"/>
      <w:lvlJc w:val="left"/>
      <w:pPr>
        <w:tabs>
          <w:tab w:val="num" w:pos="720"/>
        </w:tabs>
        <w:ind w:left="720" w:hanging="360"/>
      </w:pPr>
      <w:rPr>
        <w:rFonts w:ascii="Arial" w:hAnsi="Arial" w:hint="default"/>
      </w:rPr>
    </w:lvl>
    <w:lvl w:ilvl="1" w:tplc="45AEA346" w:tentative="1">
      <w:start w:val="1"/>
      <w:numFmt w:val="bullet"/>
      <w:lvlText w:val="•"/>
      <w:lvlJc w:val="left"/>
      <w:pPr>
        <w:tabs>
          <w:tab w:val="num" w:pos="1440"/>
        </w:tabs>
        <w:ind w:left="1440" w:hanging="360"/>
      </w:pPr>
      <w:rPr>
        <w:rFonts w:ascii="Arial" w:hAnsi="Arial" w:hint="default"/>
      </w:rPr>
    </w:lvl>
    <w:lvl w:ilvl="2" w:tplc="60EC90EE" w:tentative="1">
      <w:start w:val="1"/>
      <w:numFmt w:val="bullet"/>
      <w:lvlText w:val="•"/>
      <w:lvlJc w:val="left"/>
      <w:pPr>
        <w:tabs>
          <w:tab w:val="num" w:pos="2160"/>
        </w:tabs>
        <w:ind w:left="2160" w:hanging="360"/>
      </w:pPr>
      <w:rPr>
        <w:rFonts w:ascii="Arial" w:hAnsi="Arial" w:hint="default"/>
      </w:rPr>
    </w:lvl>
    <w:lvl w:ilvl="3" w:tplc="982666F2">
      <w:numFmt w:val="bullet"/>
      <w:lvlText w:val="o"/>
      <w:lvlJc w:val="left"/>
      <w:pPr>
        <w:tabs>
          <w:tab w:val="num" w:pos="2880"/>
        </w:tabs>
        <w:ind w:left="2880" w:hanging="360"/>
      </w:pPr>
      <w:rPr>
        <w:rFonts w:ascii="Courier New" w:hAnsi="Courier New" w:hint="default"/>
      </w:rPr>
    </w:lvl>
    <w:lvl w:ilvl="4" w:tplc="CE6CB284" w:tentative="1">
      <w:start w:val="1"/>
      <w:numFmt w:val="bullet"/>
      <w:lvlText w:val="•"/>
      <w:lvlJc w:val="left"/>
      <w:pPr>
        <w:tabs>
          <w:tab w:val="num" w:pos="3600"/>
        </w:tabs>
        <w:ind w:left="3600" w:hanging="360"/>
      </w:pPr>
      <w:rPr>
        <w:rFonts w:ascii="Arial" w:hAnsi="Arial" w:hint="default"/>
      </w:rPr>
    </w:lvl>
    <w:lvl w:ilvl="5" w:tplc="EC1812E4" w:tentative="1">
      <w:start w:val="1"/>
      <w:numFmt w:val="bullet"/>
      <w:lvlText w:val="•"/>
      <w:lvlJc w:val="left"/>
      <w:pPr>
        <w:tabs>
          <w:tab w:val="num" w:pos="4320"/>
        </w:tabs>
        <w:ind w:left="4320" w:hanging="360"/>
      </w:pPr>
      <w:rPr>
        <w:rFonts w:ascii="Arial" w:hAnsi="Arial" w:hint="default"/>
      </w:rPr>
    </w:lvl>
    <w:lvl w:ilvl="6" w:tplc="FCDABDCE" w:tentative="1">
      <w:start w:val="1"/>
      <w:numFmt w:val="bullet"/>
      <w:lvlText w:val="•"/>
      <w:lvlJc w:val="left"/>
      <w:pPr>
        <w:tabs>
          <w:tab w:val="num" w:pos="5040"/>
        </w:tabs>
        <w:ind w:left="5040" w:hanging="360"/>
      </w:pPr>
      <w:rPr>
        <w:rFonts w:ascii="Arial" w:hAnsi="Arial" w:hint="default"/>
      </w:rPr>
    </w:lvl>
    <w:lvl w:ilvl="7" w:tplc="26EC87CE" w:tentative="1">
      <w:start w:val="1"/>
      <w:numFmt w:val="bullet"/>
      <w:lvlText w:val="•"/>
      <w:lvlJc w:val="left"/>
      <w:pPr>
        <w:tabs>
          <w:tab w:val="num" w:pos="5760"/>
        </w:tabs>
        <w:ind w:left="5760" w:hanging="360"/>
      </w:pPr>
      <w:rPr>
        <w:rFonts w:ascii="Arial" w:hAnsi="Arial" w:hint="default"/>
      </w:rPr>
    </w:lvl>
    <w:lvl w:ilvl="8" w:tplc="863E82F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132918"/>
    <w:multiLevelType w:val="hybridMultilevel"/>
    <w:tmpl w:val="96C821F4"/>
    <w:lvl w:ilvl="0" w:tplc="DAFEEFF8">
      <w:start w:val="1"/>
      <w:numFmt w:val="bullet"/>
      <w:lvlText w:val="•"/>
      <w:lvlJc w:val="left"/>
      <w:pPr>
        <w:tabs>
          <w:tab w:val="num" w:pos="720"/>
        </w:tabs>
        <w:ind w:left="720" w:hanging="360"/>
      </w:pPr>
      <w:rPr>
        <w:rFonts w:ascii="Arial" w:hAnsi="Arial" w:hint="default"/>
      </w:rPr>
    </w:lvl>
    <w:lvl w:ilvl="1" w:tplc="AEBCF256">
      <w:numFmt w:val="bullet"/>
      <w:lvlText w:val="•"/>
      <w:lvlJc w:val="left"/>
      <w:pPr>
        <w:tabs>
          <w:tab w:val="num" w:pos="1440"/>
        </w:tabs>
        <w:ind w:left="1440" w:hanging="360"/>
      </w:pPr>
      <w:rPr>
        <w:rFonts w:ascii="Arial" w:hAnsi="Arial" w:hint="default"/>
      </w:rPr>
    </w:lvl>
    <w:lvl w:ilvl="2" w:tplc="70BC5EA6" w:tentative="1">
      <w:start w:val="1"/>
      <w:numFmt w:val="bullet"/>
      <w:lvlText w:val="•"/>
      <w:lvlJc w:val="left"/>
      <w:pPr>
        <w:tabs>
          <w:tab w:val="num" w:pos="2160"/>
        </w:tabs>
        <w:ind w:left="2160" w:hanging="360"/>
      </w:pPr>
      <w:rPr>
        <w:rFonts w:ascii="Arial" w:hAnsi="Arial" w:hint="default"/>
      </w:rPr>
    </w:lvl>
    <w:lvl w:ilvl="3" w:tplc="6D40A3B4" w:tentative="1">
      <w:start w:val="1"/>
      <w:numFmt w:val="bullet"/>
      <w:lvlText w:val="•"/>
      <w:lvlJc w:val="left"/>
      <w:pPr>
        <w:tabs>
          <w:tab w:val="num" w:pos="2880"/>
        </w:tabs>
        <w:ind w:left="2880" w:hanging="360"/>
      </w:pPr>
      <w:rPr>
        <w:rFonts w:ascii="Arial" w:hAnsi="Arial" w:hint="default"/>
      </w:rPr>
    </w:lvl>
    <w:lvl w:ilvl="4" w:tplc="AE36F76A" w:tentative="1">
      <w:start w:val="1"/>
      <w:numFmt w:val="bullet"/>
      <w:lvlText w:val="•"/>
      <w:lvlJc w:val="left"/>
      <w:pPr>
        <w:tabs>
          <w:tab w:val="num" w:pos="3600"/>
        </w:tabs>
        <w:ind w:left="3600" w:hanging="360"/>
      </w:pPr>
      <w:rPr>
        <w:rFonts w:ascii="Arial" w:hAnsi="Arial" w:hint="default"/>
      </w:rPr>
    </w:lvl>
    <w:lvl w:ilvl="5" w:tplc="59B85DB8" w:tentative="1">
      <w:start w:val="1"/>
      <w:numFmt w:val="bullet"/>
      <w:lvlText w:val="•"/>
      <w:lvlJc w:val="left"/>
      <w:pPr>
        <w:tabs>
          <w:tab w:val="num" w:pos="4320"/>
        </w:tabs>
        <w:ind w:left="4320" w:hanging="360"/>
      </w:pPr>
      <w:rPr>
        <w:rFonts w:ascii="Arial" w:hAnsi="Arial" w:hint="default"/>
      </w:rPr>
    </w:lvl>
    <w:lvl w:ilvl="6" w:tplc="D48A7378" w:tentative="1">
      <w:start w:val="1"/>
      <w:numFmt w:val="bullet"/>
      <w:lvlText w:val="•"/>
      <w:lvlJc w:val="left"/>
      <w:pPr>
        <w:tabs>
          <w:tab w:val="num" w:pos="5040"/>
        </w:tabs>
        <w:ind w:left="5040" w:hanging="360"/>
      </w:pPr>
      <w:rPr>
        <w:rFonts w:ascii="Arial" w:hAnsi="Arial" w:hint="default"/>
      </w:rPr>
    </w:lvl>
    <w:lvl w:ilvl="7" w:tplc="300EE016" w:tentative="1">
      <w:start w:val="1"/>
      <w:numFmt w:val="bullet"/>
      <w:lvlText w:val="•"/>
      <w:lvlJc w:val="left"/>
      <w:pPr>
        <w:tabs>
          <w:tab w:val="num" w:pos="5760"/>
        </w:tabs>
        <w:ind w:left="5760" w:hanging="360"/>
      </w:pPr>
      <w:rPr>
        <w:rFonts w:ascii="Arial" w:hAnsi="Arial" w:hint="default"/>
      </w:rPr>
    </w:lvl>
    <w:lvl w:ilvl="8" w:tplc="6FA0BDBC" w:tentative="1">
      <w:start w:val="1"/>
      <w:numFmt w:val="bullet"/>
      <w:lvlText w:val="•"/>
      <w:lvlJc w:val="left"/>
      <w:pPr>
        <w:tabs>
          <w:tab w:val="num" w:pos="6480"/>
        </w:tabs>
        <w:ind w:left="6480" w:hanging="360"/>
      </w:pPr>
      <w:rPr>
        <w:rFonts w:ascii="Arial" w:hAnsi="Arial" w:hint="default"/>
      </w:rPr>
    </w:lvl>
  </w:abstractNum>
  <w:num w:numId="1" w16cid:durableId="989674990">
    <w:abstractNumId w:val="2"/>
  </w:num>
  <w:num w:numId="2" w16cid:durableId="1035084837">
    <w:abstractNumId w:val="36"/>
  </w:num>
  <w:num w:numId="3" w16cid:durableId="1558978177">
    <w:abstractNumId w:val="42"/>
  </w:num>
  <w:num w:numId="4" w16cid:durableId="926429266">
    <w:abstractNumId w:val="46"/>
  </w:num>
  <w:num w:numId="5" w16cid:durableId="238760699">
    <w:abstractNumId w:val="22"/>
  </w:num>
  <w:num w:numId="6" w16cid:durableId="329984100">
    <w:abstractNumId w:val="9"/>
  </w:num>
  <w:num w:numId="7" w16cid:durableId="927153361">
    <w:abstractNumId w:val="34"/>
  </w:num>
  <w:num w:numId="8" w16cid:durableId="1713311399">
    <w:abstractNumId w:val="15"/>
  </w:num>
  <w:num w:numId="9" w16cid:durableId="1620721542">
    <w:abstractNumId w:val="40"/>
  </w:num>
  <w:num w:numId="10" w16cid:durableId="523638112">
    <w:abstractNumId w:val="18"/>
  </w:num>
  <w:num w:numId="11" w16cid:durableId="1481917944">
    <w:abstractNumId w:val="17"/>
  </w:num>
  <w:num w:numId="12" w16cid:durableId="1453859796">
    <w:abstractNumId w:val="31"/>
  </w:num>
  <w:num w:numId="13" w16cid:durableId="2118716163">
    <w:abstractNumId w:val="33"/>
  </w:num>
  <w:num w:numId="14" w16cid:durableId="42995599">
    <w:abstractNumId w:val="45"/>
  </w:num>
  <w:num w:numId="15" w16cid:durableId="912357044">
    <w:abstractNumId w:val="20"/>
  </w:num>
  <w:num w:numId="16" w16cid:durableId="969365489">
    <w:abstractNumId w:val="13"/>
  </w:num>
  <w:num w:numId="17" w16cid:durableId="251280351">
    <w:abstractNumId w:val="12"/>
  </w:num>
  <w:num w:numId="18" w16cid:durableId="1348097290">
    <w:abstractNumId w:val="29"/>
  </w:num>
  <w:num w:numId="19" w16cid:durableId="1576276316">
    <w:abstractNumId w:val="16"/>
  </w:num>
  <w:num w:numId="20" w16cid:durableId="1272009857">
    <w:abstractNumId w:val="26"/>
  </w:num>
  <w:num w:numId="21" w16cid:durableId="353190750">
    <w:abstractNumId w:val="10"/>
  </w:num>
  <w:num w:numId="22" w16cid:durableId="1364792202">
    <w:abstractNumId w:val="28"/>
  </w:num>
  <w:num w:numId="23" w16cid:durableId="578833497">
    <w:abstractNumId w:val="14"/>
  </w:num>
  <w:num w:numId="24" w16cid:durableId="1902978542">
    <w:abstractNumId w:val="38"/>
  </w:num>
  <w:num w:numId="25" w16cid:durableId="1468353674">
    <w:abstractNumId w:val="1"/>
  </w:num>
  <w:num w:numId="26" w16cid:durableId="481850274">
    <w:abstractNumId w:val="39"/>
  </w:num>
  <w:num w:numId="27" w16cid:durableId="369308493">
    <w:abstractNumId w:val="25"/>
  </w:num>
  <w:num w:numId="28" w16cid:durableId="1156991439">
    <w:abstractNumId w:val="35"/>
  </w:num>
  <w:num w:numId="29" w16cid:durableId="1023089620">
    <w:abstractNumId w:val="23"/>
  </w:num>
  <w:num w:numId="30" w16cid:durableId="122432827">
    <w:abstractNumId w:val="43"/>
  </w:num>
  <w:num w:numId="31" w16cid:durableId="1424302613">
    <w:abstractNumId w:val="21"/>
  </w:num>
  <w:num w:numId="32" w16cid:durableId="869688934">
    <w:abstractNumId w:val="32"/>
  </w:num>
  <w:num w:numId="33" w16cid:durableId="1195584014">
    <w:abstractNumId w:val="3"/>
  </w:num>
  <w:num w:numId="34" w16cid:durableId="1251426398">
    <w:abstractNumId w:val="4"/>
  </w:num>
  <w:num w:numId="35" w16cid:durableId="716247435">
    <w:abstractNumId w:val="11"/>
  </w:num>
  <w:num w:numId="36" w16cid:durableId="177962883">
    <w:abstractNumId w:val="0"/>
  </w:num>
  <w:num w:numId="37" w16cid:durableId="750346530">
    <w:abstractNumId w:val="5"/>
  </w:num>
  <w:num w:numId="38" w16cid:durableId="2138984189">
    <w:abstractNumId w:val="37"/>
  </w:num>
  <w:num w:numId="39" w16cid:durableId="1477380232">
    <w:abstractNumId w:val="8"/>
  </w:num>
  <w:num w:numId="40" w16cid:durableId="436829035">
    <w:abstractNumId w:val="6"/>
  </w:num>
  <w:num w:numId="41" w16cid:durableId="1689716007">
    <w:abstractNumId w:val="24"/>
  </w:num>
  <w:num w:numId="42" w16cid:durableId="1991012739">
    <w:abstractNumId w:val="41"/>
  </w:num>
  <w:num w:numId="43" w16cid:durableId="47842061">
    <w:abstractNumId w:val="30"/>
  </w:num>
  <w:num w:numId="44" w16cid:durableId="428240027">
    <w:abstractNumId w:val="7"/>
  </w:num>
  <w:num w:numId="45" w16cid:durableId="1252738210">
    <w:abstractNumId w:val="27"/>
  </w:num>
  <w:num w:numId="46" w16cid:durableId="1849905775">
    <w:abstractNumId w:val="19"/>
  </w:num>
  <w:num w:numId="47" w16cid:durableId="68297816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33"/>
    <w:rsid w:val="00003062"/>
    <w:rsid w:val="000034D2"/>
    <w:rsid w:val="00007C4E"/>
    <w:rsid w:val="00010338"/>
    <w:rsid w:val="000107F6"/>
    <w:rsid w:val="00020676"/>
    <w:rsid w:val="00021D31"/>
    <w:rsid w:val="00022D7F"/>
    <w:rsid w:val="000262D8"/>
    <w:rsid w:val="00026C72"/>
    <w:rsid w:val="00027096"/>
    <w:rsid w:val="00032035"/>
    <w:rsid w:val="00032A75"/>
    <w:rsid w:val="0003382C"/>
    <w:rsid w:val="00036678"/>
    <w:rsid w:val="00043375"/>
    <w:rsid w:val="00045889"/>
    <w:rsid w:val="000461B8"/>
    <w:rsid w:val="00046516"/>
    <w:rsid w:val="00051675"/>
    <w:rsid w:val="00062736"/>
    <w:rsid w:val="00062F53"/>
    <w:rsid w:val="0006341C"/>
    <w:rsid w:val="00066BB1"/>
    <w:rsid w:val="00067670"/>
    <w:rsid w:val="00067CB7"/>
    <w:rsid w:val="00067DEE"/>
    <w:rsid w:val="00071A83"/>
    <w:rsid w:val="00073153"/>
    <w:rsid w:val="00074073"/>
    <w:rsid w:val="00074EB7"/>
    <w:rsid w:val="00075F4E"/>
    <w:rsid w:val="00076B32"/>
    <w:rsid w:val="0008264F"/>
    <w:rsid w:val="00084048"/>
    <w:rsid w:val="000868B9"/>
    <w:rsid w:val="00096543"/>
    <w:rsid w:val="00097C99"/>
    <w:rsid w:val="000A17EC"/>
    <w:rsid w:val="000A3AB6"/>
    <w:rsid w:val="000A41BE"/>
    <w:rsid w:val="000A42CB"/>
    <w:rsid w:val="000A473B"/>
    <w:rsid w:val="000A626D"/>
    <w:rsid w:val="000A6578"/>
    <w:rsid w:val="000B36E2"/>
    <w:rsid w:val="000B6A70"/>
    <w:rsid w:val="000C0A69"/>
    <w:rsid w:val="000C1179"/>
    <w:rsid w:val="000C185E"/>
    <w:rsid w:val="000C19FF"/>
    <w:rsid w:val="000C2851"/>
    <w:rsid w:val="000C69CB"/>
    <w:rsid w:val="000C7262"/>
    <w:rsid w:val="000D0357"/>
    <w:rsid w:val="000D6BF9"/>
    <w:rsid w:val="000E3CAF"/>
    <w:rsid w:val="000E52F9"/>
    <w:rsid w:val="000E6774"/>
    <w:rsid w:val="000E68BA"/>
    <w:rsid w:val="000F59A3"/>
    <w:rsid w:val="000F682C"/>
    <w:rsid w:val="000F7F9E"/>
    <w:rsid w:val="0010340D"/>
    <w:rsid w:val="0010378E"/>
    <w:rsid w:val="00105079"/>
    <w:rsid w:val="00106179"/>
    <w:rsid w:val="00107984"/>
    <w:rsid w:val="00113304"/>
    <w:rsid w:val="00113C8C"/>
    <w:rsid w:val="001141AD"/>
    <w:rsid w:val="001142B9"/>
    <w:rsid w:val="001227BF"/>
    <w:rsid w:val="001235D3"/>
    <w:rsid w:val="00125D73"/>
    <w:rsid w:val="00131C44"/>
    <w:rsid w:val="00134859"/>
    <w:rsid w:val="00134954"/>
    <w:rsid w:val="00135391"/>
    <w:rsid w:val="00142126"/>
    <w:rsid w:val="001471EE"/>
    <w:rsid w:val="00163624"/>
    <w:rsid w:val="001645C8"/>
    <w:rsid w:val="00170FC5"/>
    <w:rsid w:val="0017417A"/>
    <w:rsid w:val="001806C6"/>
    <w:rsid w:val="001808C0"/>
    <w:rsid w:val="00182390"/>
    <w:rsid w:val="00185DC7"/>
    <w:rsid w:val="001906C3"/>
    <w:rsid w:val="00193209"/>
    <w:rsid w:val="00194585"/>
    <w:rsid w:val="001A2F02"/>
    <w:rsid w:val="001A4F1F"/>
    <w:rsid w:val="001A5F3F"/>
    <w:rsid w:val="001A7532"/>
    <w:rsid w:val="001B2300"/>
    <w:rsid w:val="001B26A5"/>
    <w:rsid w:val="001B541F"/>
    <w:rsid w:val="001B548C"/>
    <w:rsid w:val="001B67A1"/>
    <w:rsid w:val="001C03FE"/>
    <w:rsid w:val="001C056B"/>
    <w:rsid w:val="001C181C"/>
    <w:rsid w:val="001C34D9"/>
    <w:rsid w:val="001C4011"/>
    <w:rsid w:val="001D0329"/>
    <w:rsid w:val="001D0C9B"/>
    <w:rsid w:val="001D13B9"/>
    <w:rsid w:val="001D1ABD"/>
    <w:rsid w:val="001D1DE6"/>
    <w:rsid w:val="001D2FD1"/>
    <w:rsid w:val="001D3562"/>
    <w:rsid w:val="001D448A"/>
    <w:rsid w:val="001D5E1D"/>
    <w:rsid w:val="001E1502"/>
    <w:rsid w:val="001E4B95"/>
    <w:rsid w:val="001E63F4"/>
    <w:rsid w:val="001E6818"/>
    <w:rsid w:val="001F0328"/>
    <w:rsid w:val="001F1739"/>
    <w:rsid w:val="001F1CC3"/>
    <w:rsid w:val="001F20E5"/>
    <w:rsid w:val="001F2FEB"/>
    <w:rsid w:val="001F6553"/>
    <w:rsid w:val="001F689C"/>
    <w:rsid w:val="0020046B"/>
    <w:rsid w:val="00200F16"/>
    <w:rsid w:val="00203CF0"/>
    <w:rsid w:val="00204B35"/>
    <w:rsid w:val="00205154"/>
    <w:rsid w:val="00205998"/>
    <w:rsid w:val="00212B47"/>
    <w:rsid w:val="00212B9C"/>
    <w:rsid w:val="00213500"/>
    <w:rsid w:val="002140B6"/>
    <w:rsid w:val="00215254"/>
    <w:rsid w:val="002153FD"/>
    <w:rsid w:val="002159B8"/>
    <w:rsid w:val="002206A7"/>
    <w:rsid w:val="002207C1"/>
    <w:rsid w:val="0022179F"/>
    <w:rsid w:val="00224B42"/>
    <w:rsid w:val="00226A28"/>
    <w:rsid w:val="002306F0"/>
    <w:rsid w:val="00231EB4"/>
    <w:rsid w:val="00234752"/>
    <w:rsid w:val="00235E35"/>
    <w:rsid w:val="00243FF3"/>
    <w:rsid w:val="0024579E"/>
    <w:rsid w:val="002508C3"/>
    <w:rsid w:val="00253101"/>
    <w:rsid w:val="00260320"/>
    <w:rsid w:val="00273312"/>
    <w:rsid w:val="00273FAF"/>
    <w:rsid w:val="00276158"/>
    <w:rsid w:val="00277660"/>
    <w:rsid w:val="002831D4"/>
    <w:rsid w:val="00285AC1"/>
    <w:rsid w:val="00290B7A"/>
    <w:rsid w:val="00290FD1"/>
    <w:rsid w:val="00291C42"/>
    <w:rsid w:val="00293BD7"/>
    <w:rsid w:val="00293C54"/>
    <w:rsid w:val="00294F08"/>
    <w:rsid w:val="002A05B7"/>
    <w:rsid w:val="002A0724"/>
    <w:rsid w:val="002A0D66"/>
    <w:rsid w:val="002A179F"/>
    <w:rsid w:val="002A3C60"/>
    <w:rsid w:val="002A4009"/>
    <w:rsid w:val="002A6CF4"/>
    <w:rsid w:val="002A7464"/>
    <w:rsid w:val="002B4000"/>
    <w:rsid w:val="002C1F4E"/>
    <w:rsid w:val="002C4BE6"/>
    <w:rsid w:val="002C6639"/>
    <w:rsid w:val="002D0488"/>
    <w:rsid w:val="002D1D7E"/>
    <w:rsid w:val="002D35A9"/>
    <w:rsid w:val="002D4CD7"/>
    <w:rsid w:val="002D7215"/>
    <w:rsid w:val="002E4ACD"/>
    <w:rsid w:val="002E7213"/>
    <w:rsid w:val="002F2F40"/>
    <w:rsid w:val="002F3428"/>
    <w:rsid w:val="002F4D5F"/>
    <w:rsid w:val="002F5197"/>
    <w:rsid w:val="00301435"/>
    <w:rsid w:val="003021D4"/>
    <w:rsid w:val="00302369"/>
    <w:rsid w:val="00303AE4"/>
    <w:rsid w:val="0030712C"/>
    <w:rsid w:val="003110C6"/>
    <w:rsid w:val="0031267F"/>
    <w:rsid w:val="00312A6F"/>
    <w:rsid w:val="0031347E"/>
    <w:rsid w:val="00316BB3"/>
    <w:rsid w:val="00320F15"/>
    <w:rsid w:val="00324454"/>
    <w:rsid w:val="00332421"/>
    <w:rsid w:val="00332914"/>
    <w:rsid w:val="00332DB0"/>
    <w:rsid w:val="00333360"/>
    <w:rsid w:val="00335FDA"/>
    <w:rsid w:val="003425B8"/>
    <w:rsid w:val="00343ED6"/>
    <w:rsid w:val="00344964"/>
    <w:rsid w:val="00345232"/>
    <w:rsid w:val="00350ADB"/>
    <w:rsid w:val="003527B0"/>
    <w:rsid w:val="00354E7B"/>
    <w:rsid w:val="003569D9"/>
    <w:rsid w:val="00357533"/>
    <w:rsid w:val="003577F7"/>
    <w:rsid w:val="00357F97"/>
    <w:rsid w:val="0036123E"/>
    <w:rsid w:val="00361E2A"/>
    <w:rsid w:val="003630A9"/>
    <w:rsid w:val="003644FD"/>
    <w:rsid w:val="00366C71"/>
    <w:rsid w:val="00367D27"/>
    <w:rsid w:val="00370B99"/>
    <w:rsid w:val="00371A80"/>
    <w:rsid w:val="00372E06"/>
    <w:rsid w:val="00374006"/>
    <w:rsid w:val="003771E8"/>
    <w:rsid w:val="0037778A"/>
    <w:rsid w:val="00377A1E"/>
    <w:rsid w:val="00384232"/>
    <w:rsid w:val="0038F3CD"/>
    <w:rsid w:val="00391A55"/>
    <w:rsid w:val="00392F6C"/>
    <w:rsid w:val="00394B72"/>
    <w:rsid w:val="003A3D38"/>
    <w:rsid w:val="003A4494"/>
    <w:rsid w:val="003A4B83"/>
    <w:rsid w:val="003A7224"/>
    <w:rsid w:val="003B01B7"/>
    <w:rsid w:val="003C051F"/>
    <w:rsid w:val="003C0938"/>
    <w:rsid w:val="003C524B"/>
    <w:rsid w:val="003D01C8"/>
    <w:rsid w:val="003D3C88"/>
    <w:rsid w:val="003D7D35"/>
    <w:rsid w:val="003E1076"/>
    <w:rsid w:val="003E196E"/>
    <w:rsid w:val="003E1F11"/>
    <w:rsid w:val="003E6734"/>
    <w:rsid w:val="003E74F8"/>
    <w:rsid w:val="003E79EC"/>
    <w:rsid w:val="003F027E"/>
    <w:rsid w:val="003F20BB"/>
    <w:rsid w:val="003F20E1"/>
    <w:rsid w:val="003F3B09"/>
    <w:rsid w:val="003F4F8D"/>
    <w:rsid w:val="003F5957"/>
    <w:rsid w:val="004009B9"/>
    <w:rsid w:val="00402F7A"/>
    <w:rsid w:val="00403903"/>
    <w:rsid w:val="00403907"/>
    <w:rsid w:val="00403E20"/>
    <w:rsid w:val="00406326"/>
    <w:rsid w:val="00410C84"/>
    <w:rsid w:val="00413554"/>
    <w:rsid w:val="004148C4"/>
    <w:rsid w:val="00417158"/>
    <w:rsid w:val="00424C9D"/>
    <w:rsid w:val="004260D3"/>
    <w:rsid w:val="004278C5"/>
    <w:rsid w:val="00434EE8"/>
    <w:rsid w:val="004510D2"/>
    <w:rsid w:val="004556C9"/>
    <w:rsid w:val="00460412"/>
    <w:rsid w:val="00471EC7"/>
    <w:rsid w:val="004732A1"/>
    <w:rsid w:val="00476846"/>
    <w:rsid w:val="00486E0C"/>
    <w:rsid w:val="0049157C"/>
    <w:rsid w:val="0049285E"/>
    <w:rsid w:val="004A626A"/>
    <w:rsid w:val="004B2086"/>
    <w:rsid w:val="004B25FC"/>
    <w:rsid w:val="004B2DAD"/>
    <w:rsid w:val="004B3EB8"/>
    <w:rsid w:val="004B5786"/>
    <w:rsid w:val="004C4BC6"/>
    <w:rsid w:val="004C69DB"/>
    <w:rsid w:val="004C758B"/>
    <w:rsid w:val="004D0A6C"/>
    <w:rsid w:val="004D0D21"/>
    <w:rsid w:val="004D1916"/>
    <w:rsid w:val="004D5C41"/>
    <w:rsid w:val="004E76BE"/>
    <w:rsid w:val="004E7E65"/>
    <w:rsid w:val="004F161E"/>
    <w:rsid w:val="004F24F6"/>
    <w:rsid w:val="004F25B1"/>
    <w:rsid w:val="004F3F57"/>
    <w:rsid w:val="004F5B69"/>
    <w:rsid w:val="004F618E"/>
    <w:rsid w:val="005006BE"/>
    <w:rsid w:val="005008DD"/>
    <w:rsid w:val="00502802"/>
    <w:rsid w:val="005064AE"/>
    <w:rsid w:val="00507305"/>
    <w:rsid w:val="005076C7"/>
    <w:rsid w:val="0051090D"/>
    <w:rsid w:val="0051193F"/>
    <w:rsid w:val="00511CB4"/>
    <w:rsid w:val="00511FA2"/>
    <w:rsid w:val="00512998"/>
    <w:rsid w:val="00515522"/>
    <w:rsid w:val="00515911"/>
    <w:rsid w:val="0051680E"/>
    <w:rsid w:val="00516A7D"/>
    <w:rsid w:val="005204C8"/>
    <w:rsid w:val="00522666"/>
    <w:rsid w:val="00523C6D"/>
    <w:rsid w:val="005243ED"/>
    <w:rsid w:val="00525D3E"/>
    <w:rsid w:val="00535576"/>
    <w:rsid w:val="00537E17"/>
    <w:rsid w:val="00540104"/>
    <w:rsid w:val="0054031C"/>
    <w:rsid w:val="00540B1A"/>
    <w:rsid w:val="00540B83"/>
    <w:rsid w:val="005422BF"/>
    <w:rsid w:val="0054305B"/>
    <w:rsid w:val="0054362B"/>
    <w:rsid w:val="005436CE"/>
    <w:rsid w:val="0054375C"/>
    <w:rsid w:val="00543A6D"/>
    <w:rsid w:val="005440FB"/>
    <w:rsid w:val="00547161"/>
    <w:rsid w:val="00547A3D"/>
    <w:rsid w:val="00550E0E"/>
    <w:rsid w:val="005555DE"/>
    <w:rsid w:val="005557EA"/>
    <w:rsid w:val="00560B6E"/>
    <w:rsid w:val="00561433"/>
    <w:rsid w:val="0056149E"/>
    <w:rsid w:val="00563844"/>
    <w:rsid w:val="0057092E"/>
    <w:rsid w:val="00572BC3"/>
    <w:rsid w:val="00577286"/>
    <w:rsid w:val="00582665"/>
    <w:rsid w:val="00582B97"/>
    <w:rsid w:val="005844A8"/>
    <w:rsid w:val="0058562F"/>
    <w:rsid w:val="00585EEA"/>
    <w:rsid w:val="005924CF"/>
    <w:rsid w:val="005979D1"/>
    <w:rsid w:val="005A0958"/>
    <w:rsid w:val="005A0DAE"/>
    <w:rsid w:val="005A2CEC"/>
    <w:rsid w:val="005A3746"/>
    <w:rsid w:val="005A4723"/>
    <w:rsid w:val="005A6B06"/>
    <w:rsid w:val="005B181F"/>
    <w:rsid w:val="005B3823"/>
    <w:rsid w:val="005B69BF"/>
    <w:rsid w:val="005C09E7"/>
    <w:rsid w:val="005C4125"/>
    <w:rsid w:val="005C7C0D"/>
    <w:rsid w:val="005C7DBF"/>
    <w:rsid w:val="005D0A0B"/>
    <w:rsid w:val="005D495E"/>
    <w:rsid w:val="005D6114"/>
    <w:rsid w:val="005D6E1E"/>
    <w:rsid w:val="005E15A4"/>
    <w:rsid w:val="005E1A69"/>
    <w:rsid w:val="005E33F5"/>
    <w:rsid w:val="005E5CA9"/>
    <w:rsid w:val="005E5EEF"/>
    <w:rsid w:val="005F6A70"/>
    <w:rsid w:val="005F75DD"/>
    <w:rsid w:val="00601A5B"/>
    <w:rsid w:val="00606D93"/>
    <w:rsid w:val="006078B4"/>
    <w:rsid w:val="0061012D"/>
    <w:rsid w:val="00610F69"/>
    <w:rsid w:val="0061407C"/>
    <w:rsid w:val="00616C19"/>
    <w:rsid w:val="00617EBB"/>
    <w:rsid w:val="006255CD"/>
    <w:rsid w:val="00625D6F"/>
    <w:rsid w:val="006338F5"/>
    <w:rsid w:val="00637854"/>
    <w:rsid w:val="00640360"/>
    <w:rsid w:val="006417F7"/>
    <w:rsid w:val="0064292B"/>
    <w:rsid w:val="00644F71"/>
    <w:rsid w:val="0064579B"/>
    <w:rsid w:val="006472F0"/>
    <w:rsid w:val="0065165C"/>
    <w:rsid w:val="00653AAA"/>
    <w:rsid w:val="00654CBF"/>
    <w:rsid w:val="006552BF"/>
    <w:rsid w:val="006560F8"/>
    <w:rsid w:val="0066657B"/>
    <w:rsid w:val="0066747C"/>
    <w:rsid w:val="00670C88"/>
    <w:rsid w:val="0067150A"/>
    <w:rsid w:val="00681672"/>
    <w:rsid w:val="00681D96"/>
    <w:rsid w:val="00683816"/>
    <w:rsid w:val="00684BAA"/>
    <w:rsid w:val="006854C8"/>
    <w:rsid w:val="00685B34"/>
    <w:rsid w:val="00687378"/>
    <w:rsid w:val="00690466"/>
    <w:rsid w:val="006914AC"/>
    <w:rsid w:val="00692477"/>
    <w:rsid w:val="006A1330"/>
    <w:rsid w:val="006A3368"/>
    <w:rsid w:val="006A59F8"/>
    <w:rsid w:val="006A6FF9"/>
    <w:rsid w:val="006B0D68"/>
    <w:rsid w:val="006B10EC"/>
    <w:rsid w:val="006B1696"/>
    <w:rsid w:val="006B39C6"/>
    <w:rsid w:val="006B5AD9"/>
    <w:rsid w:val="006B66D6"/>
    <w:rsid w:val="006C2912"/>
    <w:rsid w:val="006C2D14"/>
    <w:rsid w:val="006C611B"/>
    <w:rsid w:val="006C6678"/>
    <w:rsid w:val="006D04AE"/>
    <w:rsid w:val="006D2D0E"/>
    <w:rsid w:val="006D5AC8"/>
    <w:rsid w:val="006D6B40"/>
    <w:rsid w:val="006E2C94"/>
    <w:rsid w:val="006F488C"/>
    <w:rsid w:val="006F5A9C"/>
    <w:rsid w:val="006F64A2"/>
    <w:rsid w:val="007008F9"/>
    <w:rsid w:val="00702DC8"/>
    <w:rsid w:val="00706420"/>
    <w:rsid w:val="00706FE7"/>
    <w:rsid w:val="0070779D"/>
    <w:rsid w:val="00710B93"/>
    <w:rsid w:val="00710E28"/>
    <w:rsid w:val="00731AE8"/>
    <w:rsid w:val="007333CD"/>
    <w:rsid w:val="00735CFC"/>
    <w:rsid w:val="007368A7"/>
    <w:rsid w:val="007370E8"/>
    <w:rsid w:val="00741F6A"/>
    <w:rsid w:val="00747D6D"/>
    <w:rsid w:val="00750F79"/>
    <w:rsid w:val="00752CDC"/>
    <w:rsid w:val="00755955"/>
    <w:rsid w:val="007568B9"/>
    <w:rsid w:val="00757A83"/>
    <w:rsid w:val="00763899"/>
    <w:rsid w:val="00764BC3"/>
    <w:rsid w:val="00766DB5"/>
    <w:rsid w:val="00770748"/>
    <w:rsid w:val="007713B0"/>
    <w:rsid w:val="007737C8"/>
    <w:rsid w:val="0077496D"/>
    <w:rsid w:val="00775972"/>
    <w:rsid w:val="00777E43"/>
    <w:rsid w:val="00783ED7"/>
    <w:rsid w:val="00787906"/>
    <w:rsid w:val="007A0C5D"/>
    <w:rsid w:val="007A2A77"/>
    <w:rsid w:val="007A2C19"/>
    <w:rsid w:val="007A4B2D"/>
    <w:rsid w:val="007B0B4E"/>
    <w:rsid w:val="007B130B"/>
    <w:rsid w:val="007B3CF7"/>
    <w:rsid w:val="007B4143"/>
    <w:rsid w:val="007B4D4E"/>
    <w:rsid w:val="007C329C"/>
    <w:rsid w:val="007C4CEE"/>
    <w:rsid w:val="007C6B9C"/>
    <w:rsid w:val="007D3361"/>
    <w:rsid w:val="007E00BF"/>
    <w:rsid w:val="007E0F26"/>
    <w:rsid w:val="007E7119"/>
    <w:rsid w:val="007E7AA7"/>
    <w:rsid w:val="007F0BDD"/>
    <w:rsid w:val="007F19BC"/>
    <w:rsid w:val="007F3EA1"/>
    <w:rsid w:val="007F6240"/>
    <w:rsid w:val="007F66EF"/>
    <w:rsid w:val="007F67B7"/>
    <w:rsid w:val="0080061F"/>
    <w:rsid w:val="008050F3"/>
    <w:rsid w:val="008071D1"/>
    <w:rsid w:val="008144AB"/>
    <w:rsid w:val="008149AB"/>
    <w:rsid w:val="008228D5"/>
    <w:rsid w:val="008260B7"/>
    <w:rsid w:val="00827B4E"/>
    <w:rsid w:val="00831907"/>
    <w:rsid w:val="00832C8C"/>
    <w:rsid w:val="008342ED"/>
    <w:rsid w:val="008374AF"/>
    <w:rsid w:val="00841DD4"/>
    <w:rsid w:val="00843645"/>
    <w:rsid w:val="008464C8"/>
    <w:rsid w:val="00850D1A"/>
    <w:rsid w:val="00855037"/>
    <w:rsid w:val="00855421"/>
    <w:rsid w:val="00855568"/>
    <w:rsid w:val="00855FB7"/>
    <w:rsid w:val="00856FD6"/>
    <w:rsid w:val="008610A8"/>
    <w:rsid w:val="008614BD"/>
    <w:rsid w:val="00864275"/>
    <w:rsid w:val="00864928"/>
    <w:rsid w:val="00867F47"/>
    <w:rsid w:val="00871D07"/>
    <w:rsid w:val="0088351C"/>
    <w:rsid w:val="008849E0"/>
    <w:rsid w:val="0088624B"/>
    <w:rsid w:val="00887F88"/>
    <w:rsid w:val="00890A8A"/>
    <w:rsid w:val="00890DCA"/>
    <w:rsid w:val="008910D4"/>
    <w:rsid w:val="008911E2"/>
    <w:rsid w:val="00891A10"/>
    <w:rsid w:val="0089232E"/>
    <w:rsid w:val="00893B0D"/>
    <w:rsid w:val="00893CCE"/>
    <w:rsid w:val="00896728"/>
    <w:rsid w:val="00897FBA"/>
    <w:rsid w:val="008A34D5"/>
    <w:rsid w:val="008B6BCB"/>
    <w:rsid w:val="008C0268"/>
    <w:rsid w:val="008C226E"/>
    <w:rsid w:val="008C2F40"/>
    <w:rsid w:val="008C367D"/>
    <w:rsid w:val="008C51A8"/>
    <w:rsid w:val="008C544A"/>
    <w:rsid w:val="008C5768"/>
    <w:rsid w:val="008D08E0"/>
    <w:rsid w:val="008D4603"/>
    <w:rsid w:val="008E1B12"/>
    <w:rsid w:val="008E251E"/>
    <w:rsid w:val="008E388D"/>
    <w:rsid w:val="008E412E"/>
    <w:rsid w:val="008E42EB"/>
    <w:rsid w:val="008E4D9F"/>
    <w:rsid w:val="008E6693"/>
    <w:rsid w:val="008F0DF9"/>
    <w:rsid w:val="008F3703"/>
    <w:rsid w:val="00901EE9"/>
    <w:rsid w:val="009046AD"/>
    <w:rsid w:val="00906E15"/>
    <w:rsid w:val="0090791E"/>
    <w:rsid w:val="009100C2"/>
    <w:rsid w:val="00912FEE"/>
    <w:rsid w:val="00915524"/>
    <w:rsid w:val="00923DE0"/>
    <w:rsid w:val="00926267"/>
    <w:rsid w:val="009262E0"/>
    <w:rsid w:val="00926D8F"/>
    <w:rsid w:val="00926FF8"/>
    <w:rsid w:val="00943171"/>
    <w:rsid w:val="009433EB"/>
    <w:rsid w:val="00943E58"/>
    <w:rsid w:val="0094748A"/>
    <w:rsid w:val="009475B7"/>
    <w:rsid w:val="00947698"/>
    <w:rsid w:val="00947766"/>
    <w:rsid w:val="00952151"/>
    <w:rsid w:val="00953826"/>
    <w:rsid w:val="00953D1D"/>
    <w:rsid w:val="009549FE"/>
    <w:rsid w:val="0095539D"/>
    <w:rsid w:val="00961993"/>
    <w:rsid w:val="00963260"/>
    <w:rsid w:val="009645D4"/>
    <w:rsid w:val="00965763"/>
    <w:rsid w:val="00970882"/>
    <w:rsid w:val="009722B1"/>
    <w:rsid w:val="00973D13"/>
    <w:rsid w:val="00975580"/>
    <w:rsid w:val="00982295"/>
    <w:rsid w:val="009850D8"/>
    <w:rsid w:val="009859A6"/>
    <w:rsid w:val="00992CA6"/>
    <w:rsid w:val="009949CC"/>
    <w:rsid w:val="00996291"/>
    <w:rsid w:val="00996BEC"/>
    <w:rsid w:val="009A01D7"/>
    <w:rsid w:val="009A0B94"/>
    <w:rsid w:val="009A3C2C"/>
    <w:rsid w:val="009A55C5"/>
    <w:rsid w:val="009B2674"/>
    <w:rsid w:val="009B5903"/>
    <w:rsid w:val="009C2741"/>
    <w:rsid w:val="009C4CCA"/>
    <w:rsid w:val="009D0B81"/>
    <w:rsid w:val="009D5300"/>
    <w:rsid w:val="009D5F01"/>
    <w:rsid w:val="009D6984"/>
    <w:rsid w:val="009D7ACB"/>
    <w:rsid w:val="009D7C43"/>
    <w:rsid w:val="009E107E"/>
    <w:rsid w:val="009E20B5"/>
    <w:rsid w:val="009E6A03"/>
    <w:rsid w:val="009E6A9F"/>
    <w:rsid w:val="009E6C7E"/>
    <w:rsid w:val="009F1216"/>
    <w:rsid w:val="009F176F"/>
    <w:rsid w:val="009F7424"/>
    <w:rsid w:val="00A01AFA"/>
    <w:rsid w:val="00A03C7D"/>
    <w:rsid w:val="00A03D90"/>
    <w:rsid w:val="00A07850"/>
    <w:rsid w:val="00A12386"/>
    <w:rsid w:val="00A12CDE"/>
    <w:rsid w:val="00A147CA"/>
    <w:rsid w:val="00A14C12"/>
    <w:rsid w:val="00A15E2D"/>
    <w:rsid w:val="00A16114"/>
    <w:rsid w:val="00A16615"/>
    <w:rsid w:val="00A1749A"/>
    <w:rsid w:val="00A24353"/>
    <w:rsid w:val="00A24EE0"/>
    <w:rsid w:val="00A2643D"/>
    <w:rsid w:val="00A3416E"/>
    <w:rsid w:val="00A353F5"/>
    <w:rsid w:val="00A405FD"/>
    <w:rsid w:val="00A43BF7"/>
    <w:rsid w:val="00A44581"/>
    <w:rsid w:val="00A466C0"/>
    <w:rsid w:val="00A501D7"/>
    <w:rsid w:val="00A521B9"/>
    <w:rsid w:val="00A53DB4"/>
    <w:rsid w:val="00A53F54"/>
    <w:rsid w:val="00A555D0"/>
    <w:rsid w:val="00A56F79"/>
    <w:rsid w:val="00A57E39"/>
    <w:rsid w:val="00A611A8"/>
    <w:rsid w:val="00A65EA5"/>
    <w:rsid w:val="00A80CDB"/>
    <w:rsid w:val="00A85BE0"/>
    <w:rsid w:val="00A93CC0"/>
    <w:rsid w:val="00A947E9"/>
    <w:rsid w:val="00A947FB"/>
    <w:rsid w:val="00A9722C"/>
    <w:rsid w:val="00AA1C54"/>
    <w:rsid w:val="00AA3C36"/>
    <w:rsid w:val="00AA43B7"/>
    <w:rsid w:val="00AA63D7"/>
    <w:rsid w:val="00AA7F01"/>
    <w:rsid w:val="00AB04F4"/>
    <w:rsid w:val="00AB0D5C"/>
    <w:rsid w:val="00AB0E69"/>
    <w:rsid w:val="00AB5AD8"/>
    <w:rsid w:val="00AB7729"/>
    <w:rsid w:val="00AC199F"/>
    <w:rsid w:val="00AC348A"/>
    <w:rsid w:val="00AC3DF7"/>
    <w:rsid w:val="00AC4DFD"/>
    <w:rsid w:val="00AC61D4"/>
    <w:rsid w:val="00AD2614"/>
    <w:rsid w:val="00AE3A40"/>
    <w:rsid w:val="00AE3C28"/>
    <w:rsid w:val="00AE3CD8"/>
    <w:rsid w:val="00AE40EA"/>
    <w:rsid w:val="00AF0622"/>
    <w:rsid w:val="00AF0B5F"/>
    <w:rsid w:val="00AF2315"/>
    <w:rsid w:val="00AF3B6C"/>
    <w:rsid w:val="00AF6230"/>
    <w:rsid w:val="00AF6D15"/>
    <w:rsid w:val="00AF7C46"/>
    <w:rsid w:val="00B05D57"/>
    <w:rsid w:val="00B06EE6"/>
    <w:rsid w:val="00B07CF5"/>
    <w:rsid w:val="00B1544B"/>
    <w:rsid w:val="00B2251C"/>
    <w:rsid w:val="00B242A5"/>
    <w:rsid w:val="00B25406"/>
    <w:rsid w:val="00B264D2"/>
    <w:rsid w:val="00B325CC"/>
    <w:rsid w:val="00B328C7"/>
    <w:rsid w:val="00B3412C"/>
    <w:rsid w:val="00B34F83"/>
    <w:rsid w:val="00B35492"/>
    <w:rsid w:val="00B37E68"/>
    <w:rsid w:val="00B402D7"/>
    <w:rsid w:val="00B40DAB"/>
    <w:rsid w:val="00B410D9"/>
    <w:rsid w:val="00B44BCD"/>
    <w:rsid w:val="00B44EB2"/>
    <w:rsid w:val="00B469FD"/>
    <w:rsid w:val="00B52885"/>
    <w:rsid w:val="00B55586"/>
    <w:rsid w:val="00B559CB"/>
    <w:rsid w:val="00B55A9E"/>
    <w:rsid w:val="00B56A04"/>
    <w:rsid w:val="00B610CE"/>
    <w:rsid w:val="00B63506"/>
    <w:rsid w:val="00B63C4C"/>
    <w:rsid w:val="00B665C7"/>
    <w:rsid w:val="00B672C8"/>
    <w:rsid w:val="00B71801"/>
    <w:rsid w:val="00B71FF9"/>
    <w:rsid w:val="00B7269B"/>
    <w:rsid w:val="00B8266E"/>
    <w:rsid w:val="00B84F2F"/>
    <w:rsid w:val="00B85291"/>
    <w:rsid w:val="00B85594"/>
    <w:rsid w:val="00B90651"/>
    <w:rsid w:val="00B9316D"/>
    <w:rsid w:val="00B933AC"/>
    <w:rsid w:val="00B93794"/>
    <w:rsid w:val="00B957FE"/>
    <w:rsid w:val="00BA015B"/>
    <w:rsid w:val="00BA2427"/>
    <w:rsid w:val="00BA2922"/>
    <w:rsid w:val="00BA2EDA"/>
    <w:rsid w:val="00BA349C"/>
    <w:rsid w:val="00BA4D55"/>
    <w:rsid w:val="00BA64B5"/>
    <w:rsid w:val="00BA7F41"/>
    <w:rsid w:val="00BB3221"/>
    <w:rsid w:val="00BB3386"/>
    <w:rsid w:val="00BB33B6"/>
    <w:rsid w:val="00BB51FD"/>
    <w:rsid w:val="00BB6FBC"/>
    <w:rsid w:val="00BC0C56"/>
    <w:rsid w:val="00BC1B00"/>
    <w:rsid w:val="00BC2909"/>
    <w:rsid w:val="00BC2CF3"/>
    <w:rsid w:val="00BC74D6"/>
    <w:rsid w:val="00BD0983"/>
    <w:rsid w:val="00BD1412"/>
    <w:rsid w:val="00BD1944"/>
    <w:rsid w:val="00BD1E8A"/>
    <w:rsid w:val="00BD3958"/>
    <w:rsid w:val="00BD40D3"/>
    <w:rsid w:val="00BD4699"/>
    <w:rsid w:val="00BD4B22"/>
    <w:rsid w:val="00BD4D62"/>
    <w:rsid w:val="00BD4E3D"/>
    <w:rsid w:val="00BD611B"/>
    <w:rsid w:val="00BD6880"/>
    <w:rsid w:val="00BE0010"/>
    <w:rsid w:val="00BE317A"/>
    <w:rsid w:val="00BE3BF1"/>
    <w:rsid w:val="00BE41F2"/>
    <w:rsid w:val="00BE6E66"/>
    <w:rsid w:val="00BF0475"/>
    <w:rsid w:val="00BF0C27"/>
    <w:rsid w:val="00BF6607"/>
    <w:rsid w:val="00BF6BCD"/>
    <w:rsid w:val="00BF7B17"/>
    <w:rsid w:val="00BF7EA3"/>
    <w:rsid w:val="00C0090C"/>
    <w:rsid w:val="00C00CFB"/>
    <w:rsid w:val="00C04F75"/>
    <w:rsid w:val="00C0632F"/>
    <w:rsid w:val="00C10DE6"/>
    <w:rsid w:val="00C10FD5"/>
    <w:rsid w:val="00C173D2"/>
    <w:rsid w:val="00C1780E"/>
    <w:rsid w:val="00C1790A"/>
    <w:rsid w:val="00C21F27"/>
    <w:rsid w:val="00C2401C"/>
    <w:rsid w:val="00C322A5"/>
    <w:rsid w:val="00C328FB"/>
    <w:rsid w:val="00C32DBD"/>
    <w:rsid w:val="00C34D53"/>
    <w:rsid w:val="00C36563"/>
    <w:rsid w:val="00C37A79"/>
    <w:rsid w:val="00C37D8E"/>
    <w:rsid w:val="00C4047D"/>
    <w:rsid w:val="00C460A6"/>
    <w:rsid w:val="00C46DCE"/>
    <w:rsid w:val="00C47112"/>
    <w:rsid w:val="00C47DFC"/>
    <w:rsid w:val="00C57D8F"/>
    <w:rsid w:val="00C61467"/>
    <w:rsid w:val="00C62133"/>
    <w:rsid w:val="00C63FA4"/>
    <w:rsid w:val="00C67C99"/>
    <w:rsid w:val="00C71387"/>
    <w:rsid w:val="00C71764"/>
    <w:rsid w:val="00C71E56"/>
    <w:rsid w:val="00C73093"/>
    <w:rsid w:val="00C7678E"/>
    <w:rsid w:val="00C76A16"/>
    <w:rsid w:val="00C76CBD"/>
    <w:rsid w:val="00C8420A"/>
    <w:rsid w:val="00C87F87"/>
    <w:rsid w:val="00C904DC"/>
    <w:rsid w:val="00C957D2"/>
    <w:rsid w:val="00C970A4"/>
    <w:rsid w:val="00C97282"/>
    <w:rsid w:val="00CA0369"/>
    <w:rsid w:val="00CA1AC2"/>
    <w:rsid w:val="00CA3F8B"/>
    <w:rsid w:val="00CA408A"/>
    <w:rsid w:val="00CA4C39"/>
    <w:rsid w:val="00CA7062"/>
    <w:rsid w:val="00CB1878"/>
    <w:rsid w:val="00CB3B12"/>
    <w:rsid w:val="00CB3DF1"/>
    <w:rsid w:val="00CB54DB"/>
    <w:rsid w:val="00CB7B50"/>
    <w:rsid w:val="00CC68BA"/>
    <w:rsid w:val="00CC7FB5"/>
    <w:rsid w:val="00CD049D"/>
    <w:rsid w:val="00CD1F25"/>
    <w:rsid w:val="00CD6340"/>
    <w:rsid w:val="00CE0DF9"/>
    <w:rsid w:val="00CE404F"/>
    <w:rsid w:val="00CF3ABA"/>
    <w:rsid w:val="00CF5313"/>
    <w:rsid w:val="00CF5965"/>
    <w:rsid w:val="00CF5AB1"/>
    <w:rsid w:val="00CF5B81"/>
    <w:rsid w:val="00CF616C"/>
    <w:rsid w:val="00D01E43"/>
    <w:rsid w:val="00D04D78"/>
    <w:rsid w:val="00D075FF"/>
    <w:rsid w:val="00D07A98"/>
    <w:rsid w:val="00D07BF3"/>
    <w:rsid w:val="00D07EFA"/>
    <w:rsid w:val="00D11F15"/>
    <w:rsid w:val="00D13033"/>
    <w:rsid w:val="00D1415A"/>
    <w:rsid w:val="00D14343"/>
    <w:rsid w:val="00D14F08"/>
    <w:rsid w:val="00D16BAB"/>
    <w:rsid w:val="00D20054"/>
    <w:rsid w:val="00D20413"/>
    <w:rsid w:val="00D20567"/>
    <w:rsid w:val="00D256BA"/>
    <w:rsid w:val="00D2661D"/>
    <w:rsid w:val="00D27AC7"/>
    <w:rsid w:val="00D27C86"/>
    <w:rsid w:val="00D34340"/>
    <w:rsid w:val="00D36A0E"/>
    <w:rsid w:val="00D37A15"/>
    <w:rsid w:val="00D402E6"/>
    <w:rsid w:val="00D53933"/>
    <w:rsid w:val="00D54CE6"/>
    <w:rsid w:val="00D5679D"/>
    <w:rsid w:val="00D572D1"/>
    <w:rsid w:val="00D6062C"/>
    <w:rsid w:val="00D61522"/>
    <w:rsid w:val="00D61CB6"/>
    <w:rsid w:val="00D6566D"/>
    <w:rsid w:val="00D65F43"/>
    <w:rsid w:val="00D6725F"/>
    <w:rsid w:val="00D708A4"/>
    <w:rsid w:val="00D8431A"/>
    <w:rsid w:val="00D85ACE"/>
    <w:rsid w:val="00D86153"/>
    <w:rsid w:val="00DA0CBF"/>
    <w:rsid w:val="00DA164D"/>
    <w:rsid w:val="00DA17D0"/>
    <w:rsid w:val="00DA27EF"/>
    <w:rsid w:val="00DB0711"/>
    <w:rsid w:val="00DB328D"/>
    <w:rsid w:val="00DB36F3"/>
    <w:rsid w:val="00DB4A9D"/>
    <w:rsid w:val="00DB664D"/>
    <w:rsid w:val="00DB759C"/>
    <w:rsid w:val="00DC05F9"/>
    <w:rsid w:val="00DC06D5"/>
    <w:rsid w:val="00DC4171"/>
    <w:rsid w:val="00DC555C"/>
    <w:rsid w:val="00DC7492"/>
    <w:rsid w:val="00DD21AF"/>
    <w:rsid w:val="00DD2218"/>
    <w:rsid w:val="00DD44A6"/>
    <w:rsid w:val="00DD5106"/>
    <w:rsid w:val="00DD6360"/>
    <w:rsid w:val="00DD7228"/>
    <w:rsid w:val="00DE162C"/>
    <w:rsid w:val="00DE2198"/>
    <w:rsid w:val="00DE303B"/>
    <w:rsid w:val="00DE5CCF"/>
    <w:rsid w:val="00DE67A6"/>
    <w:rsid w:val="00DE6E4A"/>
    <w:rsid w:val="00DF4C2C"/>
    <w:rsid w:val="00DF5E16"/>
    <w:rsid w:val="00DF68A0"/>
    <w:rsid w:val="00E025F5"/>
    <w:rsid w:val="00E04F45"/>
    <w:rsid w:val="00E063E3"/>
    <w:rsid w:val="00E07113"/>
    <w:rsid w:val="00E07FA0"/>
    <w:rsid w:val="00E10EAB"/>
    <w:rsid w:val="00E11D7C"/>
    <w:rsid w:val="00E11EFC"/>
    <w:rsid w:val="00E135DD"/>
    <w:rsid w:val="00E142BA"/>
    <w:rsid w:val="00E16AD5"/>
    <w:rsid w:val="00E20393"/>
    <w:rsid w:val="00E20C14"/>
    <w:rsid w:val="00E21170"/>
    <w:rsid w:val="00E2160C"/>
    <w:rsid w:val="00E221A3"/>
    <w:rsid w:val="00E260A6"/>
    <w:rsid w:val="00E267CD"/>
    <w:rsid w:val="00E26C77"/>
    <w:rsid w:val="00E30C2A"/>
    <w:rsid w:val="00E32170"/>
    <w:rsid w:val="00E324E8"/>
    <w:rsid w:val="00E33604"/>
    <w:rsid w:val="00E3372B"/>
    <w:rsid w:val="00E33929"/>
    <w:rsid w:val="00E33DCE"/>
    <w:rsid w:val="00E34E9A"/>
    <w:rsid w:val="00E36706"/>
    <w:rsid w:val="00E411DE"/>
    <w:rsid w:val="00E4276F"/>
    <w:rsid w:val="00E4344B"/>
    <w:rsid w:val="00E4453D"/>
    <w:rsid w:val="00E4504E"/>
    <w:rsid w:val="00E4547A"/>
    <w:rsid w:val="00E5077E"/>
    <w:rsid w:val="00E51924"/>
    <w:rsid w:val="00E55183"/>
    <w:rsid w:val="00E565EE"/>
    <w:rsid w:val="00E6255D"/>
    <w:rsid w:val="00E65055"/>
    <w:rsid w:val="00E70195"/>
    <w:rsid w:val="00E701D9"/>
    <w:rsid w:val="00E70722"/>
    <w:rsid w:val="00E707C9"/>
    <w:rsid w:val="00E71203"/>
    <w:rsid w:val="00E7428E"/>
    <w:rsid w:val="00E7563D"/>
    <w:rsid w:val="00E75BDA"/>
    <w:rsid w:val="00E77E48"/>
    <w:rsid w:val="00E86D4B"/>
    <w:rsid w:val="00E87B06"/>
    <w:rsid w:val="00E903F7"/>
    <w:rsid w:val="00E90450"/>
    <w:rsid w:val="00E926AD"/>
    <w:rsid w:val="00E970D7"/>
    <w:rsid w:val="00EA047C"/>
    <w:rsid w:val="00EA0721"/>
    <w:rsid w:val="00EA30EA"/>
    <w:rsid w:val="00EA5418"/>
    <w:rsid w:val="00EB088F"/>
    <w:rsid w:val="00EB45F2"/>
    <w:rsid w:val="00EB6313"/>
    <w:rsid w:val="00EC6C21"/>
    <w:rsid w:val="00EC709F"/>
    <w:rsid w:val="00ED3AAE"/>
    <w:rsid w:val="00ED7707"/>
    <w:rsid w:val="00EE0739"/>
    <w:rsid w:val="00EE6F59"/>
    <w:rsid w:val="00EE70D4"/>
    <w:rsid w:val="00EF1E5B"/>
    <w:rsid w:val="00EF294B"/>
    <w:rsid w:val="00EF3940"/>
    <w:rsid w:val="00F0016C"/>
    <w:rsid w:val="00F00CB1"/>
    <w:rsid w:val="00F013C3"/>
    <w:rsid w:val="00F0226B"/>
    <w:rsid w:val="00F0361D"/>
    <w:rsid w:val="00F049CE"/>
    <w:rsid w:val="00F04F34"/>
    <w:rsid w:val="00F06244"/>
    <w:rsid w:val="00F063CC"/>
    <w:rsid w:val="00F1285B"/>
    <w:rsid w:val="00F12A42"/>
    <w:rsid w:val="00F161EE"/>
    <w:rsid w:val="00F16F07"/>
    <w:rsid w:val="00F20418"/>
    <w:rsid w:val="00F212B7"/>
    <w:rsid w:val="00F30FC4"/>
    <w:rsid w:val="00F3476C"/>
    <w:rsid w:val="00F37169"/>
    <w:rsid w:val="00F45C0A"/>
    <w:rsid w:val="00F52F30"/>
    <w:rsid w:val="00F579AD"/>
    <w:rsid w:val="00F637BE"/>
    <w:rsid w:val="00F65827"/>
    <w:rsid w:val="00F663F3"/>
    <w:rsid w:val="00F6698E"/>
    <w:rsid w:val="00F670F6"/>
    <w:rsid w:val="00F676E2"/>
    <w:rsid w:val="00F678B8"/>
    <w:rsid w:val="00F7050E"/>
    <w:rsid w:val="00F70C82"/>
    <w:rsid w:val="00F72FD8"/>
    <w:rsid w:val="00F76B61"/>
    <w:rsid w:val="00F77818"/>
    <w:rsid w:val="00F77E9A"/>
    <w:rsid w:val="00F8044D"/>
    <w:rsid w:val="00F808BB"/>
    <w:rsid w:val="00F82E02"/>
    <w:rsid w:val="00F84761"/>
    <w:rsid w:val="00F849FA"/>
    <w:rsid w:val="00F84F6F"/>
    <w:rsid w:val="00F872B3"/>
    <w:rsid w:val="00F90292"/>
    <w:rsid w:val="00F908FC"/>
    <w:rsid w:val="00F90AE5"/>
    <w:rsid w:val="00F913CC"/>
    <w:rsid w:val="00F92317"/>
    <w:rsid w:val="00F937AF"/>
    <w:rsid w:val="00F93A41"/>
    <w:rsid w:val="00F93EE7"/>
    <w:rsid w:val="00F9647A"/>
    <w:rsid w:val="00FA5CE5"/>
    <w:rsid w:val="00FA62F0"/>
    <w:rsid w:val="00FA65EC"/>
    <w:rsid w:val="00FA6A66"/>
    <w:rsid w:val="00FB005F"/>
    <w:rsid w:val="00FB6580"/>
    <w:rsid w:val="00FB6C35"/>
    <w:rsid w:val="00FB7BC7"/>
    <w:rsid w:val="00FB7FCD"/>
    <w:rsid w:val="00FC0931"/>
    <w:rsid w:val="00FC127F"/>
    <w:rsid w:val="00FC3312"/>
    <w:rsid w:val="00FC718C"/>
    <w:rsid w:val="00FD0B4A"/>
    <w:rsid w:val="00FD1790"/>
    <w:rsid w:val="00FD21F9"/>
    <w:rsid w:val="00FD5F04"/>
    <w:rsid w:val="00FE21E4"/>
    <w:rsid w:val="00FE27A8"/>
    <w:rsid w:val="00FE5CF2"/>
    <w:rsid w:val="00FE7F70"/>
    <w:rsid w:val="00FF1CE4"/>
    <w:rsid w:val="00FF498A"/>
    <w:rsid w:val="02B99E67"/>
    <w:rsid w:val="0315BBAE"/>
    <w:rsid w:val="034E76C4"/>
    <w:rsid w:val="035E95C8"/>
    <w:rsid w:val="040DC82D"/>
    <w:rsid w:val="052098D3"/>
    <w:rsid w:val="06AECEFF"/>
    <w:rsid w:val="06F08AC1"/>
    <w:rsid w:val="073A98BF"/>
    <w:rsid w:val="085A16FD"/>
    <w:rsid w:val="085EFB97"/>
    <w:rsid w:val="08E2035B"/>
    <w:rsid w:val="0957186D"/>
    <w:rsid w:val="0A4661D6"/>
    <w:rsid w:val="0B88028E"/>
    <w:rsid w:val="0E773ACD"/>
    <w:rsid w:val="0FB00522"/>
    <w:rsid w:val="0FDFF781"/>
    <w:rsid w:val="111C47DA"/>
    <w:rsid w:val="1197154C"/>
    <w:rsid w:val="11F92469"/>
    <w:rsid w:val="1206C80E"/>
    <w:rsid w:val="127132D7"/>
    <w:rsid w:val="1279A953"/>
    <w:rsid w:val="14FE61AC"/>
    <w:rsid w:val="159E98E6"/>
    <w:rsid w:val="16381C20"/>
    <w:rsid w:val="16BCEF05"/>
    <w:rsid w:val="17230644"/>
    <w:rsid w:val="18176E80"/>
    <w:rsid w:val="18E9A1B4"/>
    <w:rsid w:val="1A2048AD"/>
    <w:rsid w:val="1A33E20A"/>
    <w:rsid w:val="1A38B206"/>
    <w:rsid w:val="1ACF0C85"/>
    <w:rsid w:val="1AF36C12"/>
    <w:rsid w:val="1BAC833D"/>
    <w:rsid w:val="1C20B6F7"/>
    <w:rsid w:val="1C372021"/>
    <w:rsid w:val="1C45DAB0"/>
    <w:rsid w:val="1CB102BC"/>
    <w:rsid w:val="1CCCEEEB"/>
    <w:rsid w:val="1CEC8A9D"/>
    <w:rsid w:val="1E2868DB"/>
    <w:rsid w:val="1E36F4C1"/>
    <w:rsid w:val="1ED5ABDE"/>
    <w:rsid w:val="1F5D7C71"/>
    <w:rsid w:val="201D4EA9"/>
    <w:rsid w:val="206AC007"/>
    <w:rsid w:val="207EAA3D"/>
    <w:rsid w:val="20DDCFA1"/>
    <w:rsid w:val="22353F69"/>
    <w:rsid w:val="22D2934A"/>
    <w:rsid w:val="22D78270"/>
    <w:rsid w:val="2351B362"/>
    <w:rsid w:val="23A0E3D5"/>
    <w:rsid w:val="2472F506"/>
    <w:rsid w:val="24DDBA9F"/>
    <w:rsid w:val="24F47106"/>
    <w:rsid w:val="26C3645A"/>
    <w:rsid w:val="270A7DCF"/>
    <w:rsid w:val="27B85516"/>
    <w:rsid w:val="27DFAA82"/>
    <w:rsid w:val="280F168A"/>
    <w:rsid w:val="2821E84E"/>
    <w:rsid w:val="2831E91A"/>
    <w:rsid w:val="28F4CD85"/>
    <w:rsid w:val="2AB036E8"/>
    <w:rsid w:val="2BD30085"/>
    <w:rsid w:val="2C7D7714"/>
    <w:rsid w:val="2CED2FD6"/>
    <w:rsid w:val="2D18510C"/>
    <w:rsid w:val="2DA83701"/>
    <w:rsid w:val="2E1C58DD"/>
    <w:rsid w:val="2E2A654D"/>
    <w:rsid w:val="2E92C471"/>
    <w:rsid w:val="2F7CBA98"/>
    <w:rsid w:val="2FF3C048"/>
    <w:rsid w:val="306F3FED"/>
    <w:rsid w:val="32218E28"/>
    <w:rsid w:val="3235B529"/>
    <w:rsid w:val="33299258"/>
    <w:rsid w:val="33762DE1"/>
    <w:rsid w:val="33A9ACAA"/>
    <w:rsid w:val="34169FA2"/>
    <w:rsid w:val="34205436"/>
    <w:rsid w:val="34FE9386"/>
    <w:rsid w:val="35EC5698"/>
    <w:rsid w:val="36D295D9"/>
    <w:rsid w:val="374ED4F1"/>
    <w:rsid w:val="37CFED86"/>
    <w:rsid w:val="38413ADA"/>
    <w:rsid w:val="3888AEAA"/>
    <w:rsid w:val="38E89F5C"/>
    <w:rsid w:val="3B5202A7"/>
    <w:rsid w:val="3B756AE3"/>
    <w:rsid w:val="3BA1D198"/>
    <w:rsid w:val="3BD9E12B"/>
    <w:rsid w:val="3C480192"/>
    <w:rsid w:val="3C929CDB"/>
    <w:rsid w:val="3CBE533E"/>
    <w:rsid w:val="3DEC7EF7"/>
    <w:rsid w:val="3FC287AD"/>
    <w:rsid w:val="4097F61B"/>
    <w:rsid w:val="41201859"/>
    <w:rsid w:val="413F3E8A"/>
    <w:rsid w:val="415ABD6C"/>
    <w:rsid w:val="41ADC28B"/>
    <w:rsid w:val="422A8141"/>
    <w:rsid w:val="423580C9"/>
    <w:rsid w:val="4291ABC5"/>
    <w:rsid w:val="429D0DBB"/>
    <w:rsid w:val="42F1CBE9"/>
    <w:rsid w:val="447B0522"/>
    <w:rsid w:val="457CF2BB"/>
    <w:rsid w:val="46F19A4D"/>
    <w:rsid w:val="474E4F3D"/>
    <w:rsid w:val="478F8843"/>
    <w:rsid w:val="47B3092C"/>
    <w:rsid w:val="482C5C43"/>
    <w:rsid w:val="49F1672A"/>
    <w:rsid w:val="4BB4008E"/>
    <w:rsid w:val="4C4764A7"/>
    <w:rsid w:val="4EC7BFEF"/>
    <w:rsid w:val="4F3ADDCC"/>
    <w:rsid w:val="4FAD37FF"/>
    <w:rsid w:val="5011934E"/>
    <w:rsid w:val="50224D84"/>
    <w:rsid w:val="5071374E"/>
    <w:rsid w:val="5082079B"/>
    <w:rsid w:val="518EB783"/>
    <w:rsid w:val="5280D716"/>
    <w:rsid w:val="531FA972"/>
    <w:rsid w:val="53E73E14"/>
    <w:rsid w:val="5452B39D"/>
    <w:rsid w:val="55BFFAB1"/>
    <w:rsid w:val="56723EB0"/>
    <w:rsid w:val="56B5C22E"/>
    <w:rsid w:val="5762589D"/>
    <w:rsid w:val="58CFDBB5"/>
    <w:rsid w:val="59DFBFF8"/>
    <w:rsid w:val="5A9E6651"/>
    <w:rsid w:val="5AE5F932"/>
    <w:rsid w:val="5B4DC3B3"/>
    <w:rsid w:val="5DAAE81C"/>
    <w:rsid w:val="5F21F49C"/>
    <w:rsid w:val="5F364B04"/>
    <w:rsid w:val="5F642AC8"/>
    <w:rsid w:val="601E7BA7"/>
    <w:rsid w:val="6120EE67"/>
    <w:rsid w:val="61E92360"/>
    <w:rsid w:val="61F303CB"/>
    <w:rsid w:val="6285881E"/>
    <w:rsid w:val="63881E8A"/>
    <w:rsid w:val="6401F1A1"/>
    <w:rsid w:val="65EFE311"/>
    <w:rsid w:val="685C91D4"/>
    <w:rsid w:val="6AD12E01"/>
    <w:rsid w:val="6C3223E9"/>
    <w:rsid w:val="6C9D4A12"/>
    <w:rsid w:val="6E037A08"/>
    <w:rsid w:val="6E93CFCC"/>
    <w:rsid w:val="6EA7D081"/>
    <w:rsid w:val="6EA8A7A1"/>
    <w:rsid w:val="72D17795"/>
    <w:rsid w:val="735DF210"/>
    <w:rsid w:val="73D52112"/>
    <w:rsid w:val="7531D4A4"/>
    <w:rsid w:val="75397112"/>
    <w:rsid w:val="7659F957"/>
    <w:rsid w:val="77558E79"/>
    <w:rsid w:val="785A6F6A"/>
    <w:rsid w:val="78C13ED3"/>
    <w:rsid w:val="7AF48A86"/>
    <w:rsid w:val="7B389CB9"/>
    <w:rsid w:val="7B7C6014"/>
    <w:rsid w:val="7B89F25B"/>
    <w:rsid w:val="7BD694CC"/>
    <w:rsid w:val="7CA3E18D"/>
    <w:rsid w:val="7CFA7FC3"/>
    <w:rsid w:val="7D468ED0"/>
    <w:rsid w:val="7DD1B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72F58"/>
  <w15:chartTrackingRefBased/>
  <w15:docId w15:val="{FD45EEDE-7C68-4A65-A09E-3E3A9A66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33"/>
    <w:rPr>
      <w:rFonts w:eastAsiaTheme="majorEastAsia" w:cstheme="majorBidi"/>
      <w:color w:val="272727" w:themeColor="text1" w:themeTint="D8"/>
    </w:rPr>
  </w:style>
  <w:style w:type="paragraph" w:styleId="Title">
    <w:name w:val="Title"/>
    <w:basedOn w:val="Normal"/>
    <w:next w:val="Normal"/>
    <w:link w:val="TitleChar"/>
    <w:uiPriority w:val="10"/>
    <w:qFormat/>
    <w:rsid w:val="00561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33"/>
    <w:pPr>
      <w:spacing w:before="160"/>
      <w:jc w:val="center"/>
    </w:pPr>
    <w:rPr>
      <w:i/>
      <w:iCs/>
      <w:color w:val="404040" w:themeColor="text1" w:themeTint="BF"/>
    </w:rPr>
  </w:style>
  <w:style w:type="character" w:customStyle="1" w:styleId="QuoteChar">
    <w:name w:val="Quote Char"/>
    <w:basedOn w:val="DefaultParagraphFont"/>
    <w:link w:val="Quote"/>
    <w:uiPriority w:val="29"/>
    <w:rsid w:val="00561433"/>
    <w:rPr>
      <w:i/>
      <w:iCs/>
      <w:color w:val="404040" w:themeColor="text1" w:themeTint="BF"/>
    </w:rPr>
  </w:style>
  <w:style w:type="paragraph" w:styleId="ListParagraph">
    <w:name w:val="List Paragraph"/>
    <w:basedOn w:val="Normal"/>
    <w:uiPriority w:val="34"/>
    <w:qFormat/>
    <w:rsid w:val="00561433"/>
    <w:pPr>
      <w:ind w:left="720"/>
      <w:contextualSpacing/>
    </w:pPr>
  </w:style>
  <w:style w:type="character" w:styleId="IntenseEmphasis">
    <w:name w:val="Intense Emphasis"/>
    <w:basedOn w:val="DefaultParagraphFont"/>
    <w:uiPriority w:val="21"/>
    <w:qFormat/>
    <w:rsid w:val="00561433"/>
    <w:rPr>
      <w:i/>
      <w:iCs/>
      <w:color w:val="0F4761" w:themeColor="accent1" w:themeShade="BF"/>
    </w:rPr>
  </w:style>
  <w:style w:type="paragraph" w:styleId="IntenseQuote">
    <w:name w:val="Intense Quote"/>
    <w:basedOn w:val="Normal"/>
    <w:next w:val="Normal"/>
    <w:link w:val="IntenseQuoteChar"/>
    <w:uiPriority w:val="30"/>
    <w:qFormat/>
    <w:rsid w:val="00561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433"/>
    <w:rPr>
      <w:i/>
      <w:iCs/>
      <w:color w:val="0F4761" w:themeColor="accent1" w:themeShade="BF"/>
    </w:rPr>
  </w:style>
  <w:style w:type="character" w:styleId="IntenseReference">
    <w:name w:val="Intense Reference"/>
    <w:basedOn w:val="DefaultParagraphFont"/>
    <w:uiPriority w:val="32"/>
    <w:qFormat/>
    <w:rsid w:val="00561433"/>
    <w:rPr>
      <w:b/>
      <w:bCs/>
      <w:smallCaps/>
      <w:color w:val="0F4761" w:themeColor="accent1" w:themeShade="BF"/>
      <w:spacing w:val="5"/>
    </w:rPr>
  </w:style>
  <w:style w:type="paragraph" w:styleId="FootnoteText">
    <w:name w:val="footnote text"/>
    <w:basedOn w:val="Normal"/>
    <w:link w:val="FootnoteTextChar"/>
    <w:uiPriority w:val="99"/>
    <w:semiHidden/>
    <w:unhideWhenUsed/>
    <w:rsid w:val="007B4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D4E"/>
    <w:rPr>
      <w:sz w:val="20"/>
      <w:szCs w:val="20"/>
    </w:rPr>
  </w:style>
  <w:style w:type="character" w:styleId="FootnoteReference">
    <w:name w:val="footnote reference"/>
    <w:basedOn w:val="DefaultParagraphFont"/>
    <w:uiPriority w:val="99"/>
    <w:semiHidden/>
    <w:unhideWhenUsed/>
    <w:rsid w:val="007B4D4E"/>
    <w:rPr>
      <w:vertAlign w:val="superscript"/>
    </w:rPr>
  </w:style>
  <w:style w:type="character" w:styleId="Hyperlink">
    <w:name w:val="Hyperlink"/>
    <w:basedOn w:val="DefaultParagraphFont"/>
    <w:uiPriority w:val="99"/>
    <w:unhideWhenUsed/>
    <w:rsid w:val="00867F47"/>
    <w:rPr>
      <w:color w:val="467886" w:themeColor="hyperlink"/>
      <w:u w:val="single"/>
    </w:rPr>
  </w:style>
  <w:style w:type="character" w:styleId="UnresolvedMention">
    <w:name w:val="Unresolved Mention"/>
    <w:basedOn w:val="DefaultParagraphFont"/>
    <w:uiPriority w:val="99"/>
    <w:semiHidden/>
    <w:unhideWhenUsed/>
    <w:rsid w:val="00867F47"/>
    <w:rPr>
      <w:color w:val="605E5C"/>
      <w:shd w:val="clear" w:color="auto" w:fill="E1DFDD"/>
    </w:rPr>
  </w:style>
  <w:style w:type="paragraph" w:styleId="Header">
    <w:name w:val="header"/>
    <w:basedOn w:val="Normal"/>
    <w:link w:val="HeaderChar"/>
    <w:uiPriority w:val="99"/>
    <w:unhideWhenUsed/>
    <w:rsid w:val="00CD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49D"/>
  </w:style>
  <w:style w:type="paragraph" w:styleId="Footer">
    <w:name w:val="footer"/>
    <w:basedOn w:val="Normal"/>
    <w:link w:val="FooterChar"/>
    <w:uiPriority w:val="99"/>
    <w:unhideWhenUsed/>
    <w:rsid w:val="00CD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9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7D27"/>
    <w:pPr>
      <w:spacing w:after="0" w:line="240" w:lineRule="auto"/>
    </w:pPr>
  </w:style>
  <w:style w:type="paragraph" w:styleId="CommentSubject">
    <w:name w:val="annotation subject"/>
    <w:basedOn w:val="CommentText"/>
    <w:next w:val="CommentText"/>
    <w:link w:val="CommentSubjectChar"/>
    <w:uiPriority w:val="99"/>
    <w:semiHidden/>
    <w:unhideWhenUsed/>
    <w:rsid w:val="00702DC8"/>
    <w:rPr>
      <w:b/>
      <w:bCs/>
    </w:rPr>
  </w:style>
  <w:style w:type="character" w:customStyle="1" w:styleId="CommentSubjectChar">
    <w:name w:val="Comment Subject Char"/>
    <w:basedOn w:val="CommentTextChar"/>
    <w:link w:val="CommentSubject"/>
    <w:uiPriority w:val="99"/>
    <w:semiHidden/>
    <w:rsid w:val="00702DC8"/>
    <w:rPr>
      <w:b/>
      <w:bCs/>
      <w:sz w:val="20"/>
      <w:szCs w:val="20"/>
    </w:rPr>
  </w:style>
  <w:style w:type="character" w:styleId="FollowedHyperlink">
    <w:name w:val="FollowedHyperlink"/>
    <w:basedOn w:val="DefaultParagraphFont"/>
    <w:uiPriority w:val="99"/>
    <w:semiHidden/>
    <w:unhideWhenUsed/>
    <w:rsid w:val="00E21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rtlandntbc.org/wp-content/uploads/2021/12/model_tb_prevention_program_college_campuses.pdf" TargetMode="External"/><Relationship Id="rId21" Type="http://schemas.openxmlformats.org/officeDocument/2006/relationships/hyperlink" Target="https://www.cdc.gov/tb/hcp/education/core-curriculum-on-tuberculosis.html" TargetMode="External"/><Relationship Id="rId34" Type="http://schemas.openxmlformats.org/officeDocument/2006/relationships/hyperlink" Target="https://newenglandtb.pbworks.com/f/College+Recommendations+(MA).pdf" TargetMode="External"/><Relationship Id="rId42" Type="http://schemas.openxmlformats.org/officeDocument/2006/relationships/hyperlink" Target="https://www.cdc.gov/museum/pdf/cdcm-pha-stem-lesson-contact-tracing-lesson.pdf" TargetMode="External"/><Relationship Id="rId47" Type="http://schemas.openxmlformats.org/officeDocument/2006/relationships/hyperlink" Target="https://www.acha.org/wp-content/uploads/ACHA_Tuberculosis_Risk_Assessment_and_Management_April_2025.pdf" TargetMode="External"/><Relationship Id="rId50" Type="http://schemas.openxmlformats.org/officeDocument/2006/relationships/hyperlink" Target="https://www.cdc.gov/mmwr/volumes/69/rr/rr6901a1.htm" TargetMode="External"/><Relationship Id="rId55" Type="http://schemas.openxmlformats.org/officeDocument/2006/relationships/hyperlink" Target="https://www.heartlandntbc.org/wp-content/uploads/2021/12/model_tb_prevention_program_college_campuses.pdf"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immigrant-refugee-health/hcp/civil-surgeons/tuberculosis.html" TargetMode="External"/><Relationship Id="rId29" Type="http://schemas.openxmlformats.org/officeDocument/2006/relationships/hyperlink" Target="https://www.mass.gov/info-details/integrated-testing-and-linkage-services-locator" TargetMode="External"/><Relationship Id="rId11" Type="http://schemas.openxmlformats.org/officeDocument/2006/relationships/hyperlink" Target=":%20https:/www.cdph.ca.gov/Programs/CID/DCDC/Pages/TB-Risk-Assessment.aspx" TargetMode="External"/><Relationship Id="rId24" Type="http://schemas.openxmlformats.org/officeDocument/2006/relationships/hyperlink" Target="https://www.cdc.gov/tb/vaccines/index.html" TargetMode="External"/><Relationship Id="rId32" Type="http://schemas.openxmlformats.org/officeDocument/2006/relationships/hyperlink" Target="https://www.acha.org/resource/TB-screening-and-targeted-testing-of-college-and-university-students/" TargetMode="External"/><Relationship Id="rId37" Type="http://schemas.openxmlformats.org/officeDocument/2006/relationships/hyperlink" Target="https://www.mass.gov/clinical-advisory/four-month-regimen-for-the-treatment-of-pulmonary-tuberculosis" TargetMode="External"/><Relationship Id="rId40" Type="http://schemas.openxmlformats.org/officeDocument/2006/relationships/hyperlink" Target="https://www.cdc.gov/tb/media/pdfs/Self_Study_Module_8_Contact_Investigations_for_Tuberculosis.pdf" TargetMode="External"/><Relationship Id="rId45" Type="http://schemas.openxmlformats.org/officeDocument/2006/relationships/hyperlink" Target="https://newenglandtb.pbworks.com/f/College+Recommendations+(MA).pdf" TargetMode="External"/><Relationship Id="rId53" Type="http://schemas.openxmlformats.org/officeDocument/2006/relationships/hyperlink" Target="https://www.cdc.gov/tb/treatment/index.html" TargetMode="External"/><Relationship Id="rId58" Type="http://schemas.openxmlformats.org/officeDocument/2006/relationships/hyperlink" Target="https://stoptb.org/assets/documents/communities/STP%20TB%20Stigma%20Assessment%20Implementation%20Handbook.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idsociety.org/practice-guideline/diagnosis-of-tb-in-adults-and-children/" TargetMode="External"/><Relationship Id="rId14" Type="http://schemas.openxmlformats.org/officeDocument/2006/relationships/hyperlink" Target="https://www.acha.org/resource/TB-screening-and-targeted-testing-of-college-and-university-students/" TargetMode="External"/><Relationship Id="rId22" Type="http://schemas.openxmlformats.org/officeDocument/2006/relationships/hyperlink" Target="https://www.currytbcenter.ucsf.edu/trainings/tb-radiology-resource-page" TargetMode="External"/><Relationship Id="rId27" Type="http://schemas.openxmlformats.org/officeDocument/2006/relationships/hyperlink" Target="https://www.bmc.org/infectious-diseases/tuberculosis-clinic/treatments-and-services" TargetMode="External"/><Relationship Id="rId30" Type="http://schemas.openxmlformats.org/officeDocument/2006/relationships/hyperlink" Target="https://www.mass.gov/TB" TargetMode="External"/><Relationship Id="rId35" Type="http://schemas.openxmlformats.org/officeDocument/2006/relationships/hyperlink" Target="https://www.cdc.gov/tb/treatment/index.html" TargetMode="External"/><Relationship Id="rId43" Type="http://schemas.openxmlformats.org/officeDocument/2006/relationships/hyperlink" Target="https://www.cdc.gov/tb/media/pdfs/latent-tb-infection-a-guide-for-primary-health-care-providers.pdf" TargetMode="External"/><Relationship Id="rId48" Type="http://schemas.openxmlformats.org/officeDocument/2006/relationships/hyperlink" Target="https://www.cdc.gov/tb/topic/treatment/default.htm" TargetMode="External"/><Relationship Id="rId56" Type="http://schemas.openxmlformats.org/officeDocument/2006/relationships/hyperlink" Target="https://www.acha.org/wp-content/uploads/ACHA_Tuberculosis_Risk_Assessment_and_Management_April_2025.pdf" TargetMode="External"/><Relationship Id="rId64" Type="http://schemas.openxmlformats.org/officeDocument/2006/relationships/fontTable" Target="fontTable.xml"/><Relationship Id="rId8" Type="http://schemas.openxmlformats.org/officeDocument/2006/relationships/hyperlink" Target="https://www.heartlandntbc.org/wp-content/uploads/2021/12/model_tb_prevention_program_college_campuses.pdf" TargetMode="External"/><Relationship Id="rId51" Type="http://schemas.openxmlformats.org/officeDocument/2006/relationships/hyperlink" Target=":%20https:/www.mass.gov/info-details/treatment-regimens-for-latent-TB-infection-in-massachusetts" TargetMode="External"/><Relationship Id="rId3" Type="http://schemas.openxmlformats.org/officeDocument/2006/relationships/styles" Target="styles.xml"/><Relationship Id="rId12" Type="http://schemas.openxmlformats.org/officeDocument/2006/relationships/hyperlink" Target=".%20https:/www.cdc.gov/tb/media/pdfs/latent-tb-infection-a-guide-for-primary-health-care-providers.pdf" TargetMode="External"/><Relationship Id="rId17" Type="http://schemas.openxmlformats.org/officeDocument/2006/relationships/hyperlink" Target="https://www.cdc.gov/tb/hcp/testing-diagnosis/interferon-gamma-release-assay.html" TargetMode="External"/><Relationship Id="rId25" Type="http://schemas.openxmlformats.org/officeDocument/2006/relationships/hyperlink" Target="https://www.cdc.gov/tb/hcp/education/core-curriculum-on-tuberculosis.html" TargetMode="External"/><Relationship Id="rId33" Type="http://schemas.openxmlformats.org/officeDocument/2006/relationships/hyperlink" Target=":%20https:/infectious-disease-reporting.dph.mass.gov/process-definition/TB-crf/start-form" TargetMode="External"/><Relationship Id="rId38" Type="http://schemas.openxmlformats.org/officeDocument/2006/relationships/hyperlink" Target="https://www.cdc.gov/tb/hcp/education/core-curriculum-on-tuberculosis.html" TargetMode="External"/><Relationship Id="rId46" Type="http://schemas.openxmlformats.org/officeDocument/2006/relationships/hyperlink" Target="https://www.heartlandntbc.org/wp-content/uploads/2021/12/model_tb_prevention_program_college_campuses.pdf" TargetMode="External"/><Relationship Id="rId59" Type="http://schemas.openxmlformats.org/officeDocument/2006/relationships/hyperlink" Target="https://www.mass.gov/info-details/massachusetts-tb-outpatient-services" TargetMode="External"/><Relationship Id="rId20" Type="http://schemas.openxmlformats.org/officeDocument/2006/relationships/hyperlink" Target="https://www.cdc.gov/tb/hcp/testing-diagnosis/clinical-and-laboratory-diagnosis.html" TargetMode="External"/><Relationship Id="rId41" Type="http://schemas.openxmlformats.org/officeDocument/2006/relationships/hyperlink" Target="https://www.cdc.gov/mmwr/pdf/rr/rr5415.pdf" TargetMode="External"/><Relationship Id="rId54" Type="http://schemas.openxmlformats.org/officeDocument/2006/relationships/hyperlink" Target="https://newenglandtb.pbworks.com/f/College+Recommendations+(MA).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sjournals.org/doi/10.1164/ajrccm.161.4.16141" TargetMode="External"/><Relationship Id="rId23" Type="http://schemas.openxmlformats.org/officeDocument/2006/relationships/hyperlink" Target="https://www.cdc.gov/tb/hcp/education/core-curriculum-on-tuberculosis.html" TargetMode="External"/><Relationship Id="rId28" Type="http://schemas.openxmlformats.org/officeDocument/2006/relationships/hyperlink" Target="https://www.massgeneral.org/medicine/infectious-diseases/treatments-and-programs/mycobacterial-cente" TargetMode="External"/><Relationship Id="rId36" Type="http://schemas.openxmlformats.org/officeDocument/2006/relationships/hyperlink" Target="https://www.cdc.gov/tb/hcp/clinical-guidance/index.html" TargetMode="External"/><Relationship Id="rId49" Type="http://schemas.openxmlformats.org/officeDocument/2006/relationships/hyperlink" Target="https://www.cdc.gov/tb/media/Core_Curriculum_TB_eBook.pdf" TargetMode="External"/><Relationship Id="rId57" Type="http://schemas.openxmlformats.org/officeDocument/2006/relationships/hyperlink" Target="https://www.cdc.gov/tb/media/Core_Curriculum_TB_eBook.pdf" TargetMode="External"/><Relationship Id="rId10" Type="http://schemas.openxmlformats.org/officeDocument/2006/relationships/hyperlink" Target="https://www.mass.gov/lists/TB-information-for-health-care-providers-and-public-health" TargetMode="External"/><Relationship Id="rId31" Type="http://schemas.openxmlformats.org/officeDocument/2006/relationships/hyperlink" Target="https://www.mass.gov/info-details/massachusetts-tb-outpatient-services" TargetMode="External"/><Relationship Id="rId44" Type="http://schemas.openxmlformats.org/officeDocument/2006/relationships/hyperlink" Target="https://www.cdc.gov/tb/treatment/index.html" TargetMode="External"/><Relationship Id="rId52" Type="http://schemas.openxmlformats.org/officeDocument/2006/relationships/hyperlink" Target="https://www.cdc.gov/tb/media/pdfs/latent-tb-infection-a-guide-for-primary-health-care-providers.pdf" TargetMode="External"/><Relationship Id="rId60" Type="http://schemas.openxmlformats.org/officeDocument/2006/relationships/hyperlink" Target="https://www.mass.gov/TB"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news/item/17-06-2021-who-releases-new-global-lists-of-high-burden-countries-for-tb-hiv-associated-tb-and-drug-resistant-tb" TargetMode="External"/><Relationship Id="rId13" Type="http://schemas.openxmlformats.org/officeDocument/2006/relationships/hyperlink" Target="https://www.acha.org/resource/TB-screening-and-targeted-testing-of-college-and-university-students/" TargetMode="External"/><Relationship Id="rId18" Type="http://schemas.openxmlformats.org/officeDocument/2006/relationships/hyperlink" Target="https://www.cdc.gov/tb/hcp/testing-diagnosis/tuberculin-skin-test.html" TargetMode="External"/><Relationship Id="rId39" Type="http://schemas.openxmlformats.org/officeDocument/2006/relationships/hyperlink" Target="https://www.heartlandntbc.org/wp-content/uploads/2021/12/model_tb_prevention_program_college_campus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38632829/" TargetMode="External"/><Relationship Id="rId2" Type="http://schemas.openxmlformats.org/officeDocument/2006/relationships/hyperlink" Target="https://www.acha.org/resource/tuberculosis-screening-and-targeted-testing-of-college-and-university-students/" TargetMode="External"/><Relationship Id="rId1" Type="http://schemas.openxmlformats.org/officeDocument/2006/relationships/hyperlink" Target="https://www.cdc.gov/tb/media/pdfs/latent-tb-infection-a-guide-for-primary-health-care-providers.pdf" TargetMode="External"/><Relationship Id="rId4" Type="http://schemas.openxmlformats.org/officeDocument/2006/relationships/hyperlink" Target="https://www.cdc.gov/tb/publications/guidelines/pdf/clin-infect-dis.-2016-nahid-cid_ciw37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5C713-19EE-4256-94E0-5FA0DC805E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202</TotalTime>
  <Pages>16</Pages>
  <Words>5879</Words>
  <Characters>33512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Tuberculosis: College Student Guide</dc:title>
  <dc:subject/>
  <dc:creator>Hashem, Falah (DPH)</dc:creator>
  <cp:keywords/>
  <dc:description/>
  <cp:lastModifiedBy>Yeaple, Jennifer (DPH)</cp:lastModifiedBy>
  <cp:revision>12</cp:revision>
  <cp:lastPrinted>2026-05-08T14:19:00Z</cp:lastPrinted>
  <dcterms:created xsi:type="dcterms:W3CDTF">2026-05-08T15:59:00Z</dcterms:created>
  <dcterms:modified xsi:type="dcterms:W3CDTF">2026-05-08T19:44:00Z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51e065db-9606-4d1b-82f5-cb1d69bbb77d</vt:lpwstr>
  </property>
</Properties>
</file>