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8945143"/>
        <w:docPartObj>
          <w:docPartGallery w:val="Cover Pages"/>
          <w:docPartUnique/>
        </w:docPartObj>
      </w:sdtPr>
      <w:sdtEndPr/>
      <w:sdtContent>
        <w:p w14:paraId="01FE5C0D" w14:textId="77777777" w:rsidR="001C0B76" w:rsidRDefault="001C0B76"/>
        <w:p w14:paraId="3D92E2F3" w14:textId="77777777" w:rsidR="001C0B76" w:rsidRDefault="00A5595C" w:rsidP="007B4CDA">
          <w:pPr>
            <w:spacing w:after="0" w:line="240" w:lineRule="auto"/>
            <w:rPr>
              <w:b/>
              <w:sz w:val="32"/>
              <w:szCs w:val="32"/>
            </w:rPr>
          </w:pPr>
          <w:r>
            <w:rPr>
              <w:noProof/>
            </w:rPr>
            <mc:AlternateContent>
              <mc:Choice Requires="wps">
                <w:drawing>
                  <wp:anchor distT="45720" distB="45720" distL="114300" distR="114300" simplePos="0" relativeHeight="251664384" behindDoc="0" locked="0" layoutInCell="1" allowOverlap="1" wp14:anchorId="763646B4" wp14:editId="4AC98149">
                    <wp:simplePos x="0" y="0"/>
                    <wp:positionH relativeFrom="margin">
                      <wp:posOffset>1606520</wp:posOffset>
                    </wp:positionH>
                    <wp:positionV relativeFrom="paragraph">
                      <wp:posOffset>2308978</wp:posOffset>
                    </wp:positionV>
                    <wp:extent cx="5390515" cy="45034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503420"/>
                            </a:xfrm>
                            <a:prstGeom prst="rect">
                              <a:avLst/>
                            </a:prstGeom>
                            <a:solidFill>
                              <a:srgbClr val="FFFFFF"/>
                            </a:solidFill>
                            <a:ln w="9525">
                              <a:noFill/>
                              <a:miter lim="800000"/>
                              <a:headEnd/>
                              <a:tailEnd/>
                            </a:ln>
                          </wps:spPr>
                          <wps:txbx>
                            <w:txbxContent>
                              <w:p w14:paraId="0FE62971" w14:textId="6565784C" w:rsidR="00A5595C" w:rsidRPr="00A5595C" w:rsidRDefault="00A5595C" w:rsidP="007B4CDA">
                                <w:pPr>
                                  <w:spacing w:after="0" w:line="240" w:lineRule="auto"/>
                                  <w:rPr>
                                    <w:rFonts w:ascii="Verdana" w:hAnsi="Verdana"/>
                                    <w:color w:val="002060"/>
                                    <w:sz w:val="28"/>
                                    <w:szCs w:val="28"/>
                                  </w:rPr>
                                </w:pPr>
                                <w:r w:rsidRPr="00A5595C">
                                  <w:rPr>
                                    <w:rFonts w:ascii="Verdana" w:hAnsi="Verdana"/>
                                    <w:color w:val="002060"/>
                                    <w:sz w:val="28"/>
                                    <w:szCs w:val="28"/>
                                  </w:rPr>
                                  <w:t xml:space="preserve">DRAFT </w:t>
                                </w:r>
                                <w:r w:rsidR="000D3483">
                                  <w:rPr>
                                    <w:rFonts w:ascii="Verdana" w:hAnsi="Verdana"/>
                                    <w:color w:val="002060"/>
                                    <w:sz w:val="28"/>
                                    <w:szCs w:val="28"/>
                                  </w:rPr>
                                  <w:t>v. 1.0</w:t>
                                </w:r>
                              </w:p>
                              <w:p w14:paraId="5BDA8178" w14:textId="77777777" w:rsidR="00A5595C" w:rsidRPr="00A5595C" w:rsidRDefault="00A5595C" w:rsidP="007B4CDA">
                                <w:pPr>
                                  <w:spacing w:after="0" w:line="240" w:lineRule="auto"/>
                                  <w:rPr>
                                    <w:rFonts w:ascii="Verdana" w:hAnsi="Verdana"/>
                                    <w:color w:val="002060"/>
                                    <w:sz w:val="28"/>
                                    <w:szCs w:val="28"/>
                                  </w:rPr>
                                </w:pPr>
                              </w:p>
                              <w:p w14:paraId="0E39C79E" w14:textId="0BD0946B" w:rsidR="00A5595C" w:rsidRPr="00A5595C" w:rsidRDefault="00A5595C" w:rsidP="007B4CDA">
                                <w:pPr>
                                  <w:spacing w:after="0" w:line="240" w:lineRule="auto"/>
                                  <w:rPr>
                                    <w:rFonts w:ascii="Verdana" w:hAnsi="Verdana"/>
                                    <w:b/>
                                    <w:bCs/>
                                    <w:color w:val="002060"/>
                                    <w:sz w:val="28"/>
                                    <w:szCs w:val="28"/>
                                  </w:rPr>
                                </w:pPr>
                                <w:r w:rsidRPr="00A5595C">
                                  <w:rPr>
                                    <w:rFonts w:ascii="Verdana" w:hAnsi="Verdana"/>
                                    <w:b/>
                                    <w:bCs/>
                                    <w:color w:val="002060"/>
                                    <w:sz w:val="28"/>
                                    <w:szCs w:val="28"/>
                                  </w:rPr>
                                  <w:t>November 10, 2021</w:t>
                                </w:r>
                              </w:p>
                              <w:p w14:paraId="44140324" w14:textId="68A5C610" w:rsidR="00A5595C" w:rsidRDefault="00A5595C" w:rsidP="007B4CDA">
                                <w:pPr>
                                  <w:spacing w:after="0" w:line="240" w:lineRule="auto"/>
                                  <w:rPr>
                                    <w:rFonts w:ascii="Verdana" w:hAnsi="Verdana"/>
                                    <w:color w:val="002060"/>
                                    <w:sz w:val="24"/>
                                    <w:szCs w:val="24"/>
                                  </w:rPr>
                                </w:pPr>
                              </w:p>
                              <w:p w14:paraId="3AAC3C1D" w14:textId="77777777" w:rsidR="00A5595C" w:rsidRDefault="00A5595C" w:rsidP="007B4CDA">
                                <w:pPr>
                                  <w:spacing w:after="0" w:line="240" w:lineRule="auto"/>
                                  <w:rPr>
                                    <w:rFonts w:ascii="Verdana" w:hAnsi="Verdana"/>
                                    <w:color w:val="002060"/>
                                    <w:sz w:val="24"/>
                                    <w:szCs w:val="24"/>
                                  </w:rPr>
                                </w:pPr>
                              </w:p>
                              <w:p w14:paraId="1B11DFA5" w14:textId="17BD6DA6" w:rsidR="00A5595C" w:rsidRDefault="00A5595C" w:rsidP="007B4CDA">
                                <w:pPr>
                                  <w:spacing w:after="0" w:line="240" w:lineRule="auto"/>
                                  <w:rPr>
                                    <w:rFonts w:ascii="Verdana" w:hAnsi="Verdana"/>
                                    <w:color w:val="002060"/>
                                    <w:sz w:val="24"/>
                                    <w:szCs w:val="24"/>
                                  </w:rPr>
                                </w:pPr>
                              </w:p>
                              <w:p w14:paraId="59242F54" w14:textId="28A3BE0B" w:rsidR="00A5595C" w:rsidRDefault="00A5595C" w:rsidP="007B4CDA">
                                <w:pPr>
                                  <w:spacing w:after="0" w:line="240" w:lineRule="auto"/>
                                  <w:rPr>
                                    <w:rFonts w:ascii="Verdana" w:hAnsi="Verdana"/>
                                    <w:color w:val="002060"/>
                                    <w:sz w:val="24"/>
                                    <w:szCs w:val="24"/>
                                  </w:rPr>
                                </w:pPr>
                              </w:p>
                              <w:p w14:paraId="2CBE6B76" w14:textId="202D61F0" w:rsidR="00A5595C" w:rsidRDefault="00A5595C" w:rsidP="007B4CDA">
                                <w:pPr>
                                  <w:spacing w:after="0" w:line="240" w:lineRule="auto"/>
                                  <w:rPr>
                                    <w:rFonts w:ascii="Verdana" w:hAnsi="Verdana"/>
                                    <w:color w:val="002060"/>
                                    <w:sz w:val="24"/>
                                    <w:szCs w:val="24"/>
                                  </w:rPr>
                                </w:pPr>
                              </w:p>
                              <w:p w14:paraId="08130663" w14:textId="5CE8C168" w:rsidR="00A5595C" w:rsidRDefault="00A5595C" w:rsidP="007B4CDA">
                                <w:pPr>
                                  <w:spacing w:after="0" w:line="240" w:lineRule="auto"/>
                                  <w:rPr>
                                    <w:rFonts w:ascii="Verdana" w:hAnsi="Verdana"/>
                                    <w:color w:val="002060"/>
                                    <w:sz w:val="24"/>
                                    <w:szCs w:val="24"/>
                                  </w:rPr>
                                </w:pPr>
                              </w:p>
                              <w:p w14:paraId="68508A85" w14:textId="74DF050D" w:rsidR="00A5595C" w:rsidRDefault="00A5595C" w:rsidP="007B4CDA">
                                <w:pPr>
                                  <w:spacing w:after="0" w:line="240" w:lineRule="auto"/>
                                  <w:rPr>
                                    <w:rFonts w:ascii="Verdana" w:hAnsi="Verdana"/>
                                    <w:color w:val="002060"/>
                                    <w:sz w:val="24"/>
                                    <w:szCs w:val="24"/>
                                  </w:rPr>
                                </w:pPr>
                              </w:p>
                              <w:p w14:paraId="2AD1C3C7" w14:textId="4C506D1A" w:rsidR="00A5595C" w:rsidRDefault="00A5595C" w:rsidP="007B4CDA">
                                <w:pPr>
                                  <w:spacing w:after="0" w:line="240" w:lineRule="auto"/>
                                  <w:rPr>
                                    <w:rFonts w:ascii="Verdana" w:hAnsi="Verdana"/>
                                    <w:color w:val="002060"/>
                                    <w:sz w:val="24"/>
                                    <w:szCs w:val="24"/>
                                  </w:rPr>
                                </w:pPr>
                              </w:p>
                              <w:p w14:paraId="41DD7CFD" w14:textId="6910C927" w:rsidR="00A5595C" w:rsidRDefault="00A5595C" w:rsidP="007B4CDA">
                                <w:pPr>
                                  <w:spacing w:after="0" w:line="240" w:lineRule="auto"/>
                                  <w:rPr>
                                    <w:rFonts w:ascii="Verdana" w:hAnsi="Verdana"/>
                                    <w:color w:val="002060"/>
                                    <w:sz w:val="24"/>
                                    <w:szCs w:val="24"/>
                                  </w:rPr>
                                </w:pPr>
                              </w:p>
                              <w:p w14:paraId="0E6FE154" w14:textId="7B0A06EB" w:rsidR="009500B2" w:rsidRPr="002C16A2" w:rsidRDefault="00A5595C" w:rsidP="007B4CDA">
                                <w:pPr>
                                  <w:spacing w:after="0" w:line="240" w:lineRule="auto"/>
                                  <w:rPr>
                                    <w:rFonts w:ascii="Verdana" w:hAnsi="Verdana"/>
                                    <w:sz w:val="28"/>
                                    <w:szCs w:val="28"/>
                                  </w:rPr>
                                </w:pPr>
                                <w:r w:rsidRPr="002C16A2">
                                  <w:rPr>
                                    <w:rFonts w:ascii="Verdana" w:hAnsi="Verdana"/>
                                    <w:sz w:val="28"/>
                                    <w:szCs w:val="28"/>
                                  </w:rPr>
                                  <w:t>M</w:t>
                                </w:r>
                                <w:r w:rsidR="009500B2" w:rsidRPr="002C16A2">
                                  <w:rPr>
                                    <w:rFonts w:ascii="Verdana" w:hAnsi="Verdana"/>
                                    <w:sz w:val="28"/>
                                    <w:szCs w:val="28"/>
                                  </w:rPr>
                                  <w:t>assachusetts Department of Public Health</w:t>
                                </w:r>
                              </w:p>
                              <w:p w14:paraId="1D2198FC" w14:textId="76A76237" w:rsidR="009500B2" w:rsidRPr="002C16A2" w:rsidRDefault="009500B2" w:rsidP="007B4CDA">
                                <w:pPr>
                                  <w:spacing w:after="0" w:line="240" w:lineRule="auto"/>
                                  <w:rPr>
                                    <w:rFonts w:ascii="Verdana" w:hAnsi="Verdana"/>
                                    <w:sz w:val="28"/>
                                    <w:szCs w:val="28"/>
                                  </w:rPr>
                                </w:pPr>
                                <w:r w:rsidRPr="002C16A2">
                                  <w:rPr>
                                    <w:rFonts w:ascii="Verdana" w:hAnsi="Verdana"/>
                                    <w:sz w:val="28"/>
                                    <w:szCs w:val="28"/>
                                  </w:rPr>
                                  <w:t>Bureau of Environmental Health</w:t>
                                </w:r>
                              </w:p>
                              <w:p w14:paraId="4F074F3B" w14:textId="77777777" w:rsidR="0047239A" w:rsidRPr="002C16A2" w:rsidRDefault="009500B2" w:rsidP="007B4CDA">
                                <w:pPr>
                                  <w:rPr>
                                    <w:sz w:val="24"/>
                                    <w:szCs w:val="24"/>
                                  </w:rPr>
                                </w:pPr>
                                <w:r w:rsidRPr="002C16A2">
                                  <w:rPr>
                                    <w:rFonts w:ascii="Verdana" w:hAnsi="Verdana"/>
                                    <w:sz w:val="28"/>
                                    <w:szCs w:val="28"/>
                                  </w:rPr>
                                  <w:t>Environmental Toxicology Program</w:t>
                                </w:r>
                                <w:r w:rsidR="0047239A" w:rsidRPr="002C16A2">
                                  <w:rPr>
                                    <w:sz w:val="24"/>
                                    <w:szCs w:val="24"/>
                                  </w:rPr>
                                  <w:t xml:space="preserve"> </w:t>
                                </w:r>
                              </w:p>
                              <w:p w14:paraId="05E168A4" w14:textId="66775D3A" w:rsidR="0047239A" w:rsidRPr="00A5595C" w:rsidRDefault="0047239A" w:rsidP="007B4CDA">
                                <w:pPr>
                                  <w:rPr>
                                    <w:rFonts w:ascii="Verdana" w:hAnsi="Verdana"/>
                                    <w:b/>
                                    <w:bCs/>
                                    <w:color w:val="002060"/>
                                    <w:sz w:val="28"/>
                                    <w:szCs w:val="28"/>
                                  </w:rPr>
                                </w:pPr>
                                <w:r w:rsidRPr="00A5595C">
                                  <w:rPr>
                                    <w:rFonts w:ascii="Verdana" w:hAnsi="Verdana"/>
                                    <w:b/>
                                    <w:bCs/>
                                    <w:color w:val="002060"/>
                                    <w:sz w:val="28"/>
                                    <w:szCs w:val="28"/>
                                  </w:rPr>
                                  <w:t xml:space="preserve">DPHToxicology@mass.gov </w:t>
                                </w:r>
                                <w:r w:rsidRPr="000D3483">
                                  <w:rPr>
                                    <w:rFonts w:ascii="Verdana" w:hAnsi="Verdana"/>
                                    <w:b/>
                                    <w:bCs/>
                                    <w:color w:val="808080" w:themeColor="background1" w:themeShade="80"/>
                                    <w:sz w:val="28"/>
                                    <w:szCs w:val="28"/>
                                  </w:rPr>
                                  <w:t>||</w:t>
                                </w:r>
                                <w:r w:rsidRPr="00A5595C">
                                  <w:rPr>
                                    <w:rFonts w:ascii="Verdana" w:hAnsi="Verdana"/>
                                    <w:b/>
                                    <w:bCs/>
                                    <w:color w:val="002060"/>
                                    <w:sz w:val="28"/>
                                    <w:szCs w:val="28"/>
                                  </w:rPr>
                                  <w:t>www.mass.gov/dph</w:t>
                                </w:r>
                              </w:p>
                              <w:p w14:paraId="5B4798B1" w14:textId="60B61F98" w:rsidR="0047239A" w:rsidRPr="0047239A" w:rsidRDefault="0047239A" w:rsidP="007B4CDA">
                                <w:pPr>
                                  <w:rPr>
                                    <w:rFonts w:ascii="Verdana" w:hAnsi="Verdana"/>
                                    <w:b/>
                                    <w:bCs/>
                                    <w:color w:val="002060"/>
                                    <w:sz w:val="24"/>
                                    <w:szCs w:val="24"/>
                                  </w:rPr>
                                </w:pPr>
                              </w:p>
                              <w:p w14:paraId="45E6F24B" w14:textId="77777777" w:rsidR="0047239A" w:rsidRPr="007B4CDA" w:rsidRDefault="0047239A" w:rsidP="007B4CDA">
                                <w:p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46B4" id="_x0000_t202" coordsize="21600,21600" o:spt="202" path="m,l,21600r21600,l21600,xe">
                    <v:stroke joinstyle="miter"/>
                    <v:path gradientshapeok="t" o:connecttype="rect"/>
                  </v:shapetype>
                  <v:shape id="Text Box 2" o:spid="_x0000_s1026" type="#_x0000_t202" style="position:absolute;margin-left:126.5pt;margin-top:181.8pt;width:424.45pt;height:354.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" stroked="f">
                    <v:textbox>
                      <w:txbxContent>
                        <w:p w14:paraId="0FE62971" w14:textId="6565784C" w:rsidR="00A5595C" w:rsidRPr="00A5595C" w:rsidRDefault="00A5595C" w:rsidP="007B4CDA">
                          <w:pPr>
                            <w:spacing w:after="0" w:line="240" w:lineRule="auto"/>
                            <w:rPr>
                              <w:rFonts w:ascii="Verdana" w:hAnsi="Verdana"/>
                              <w:color w:val="002060"/>
                              <w:sz w:val="28"/>
                              <w:szCs w:val="28"/>
                            </w:rPr>
                          </w:pPr>
                          <w:r w:rsidRPr="00A5595C">
                            <w:rPr>
                              <w:rFonts w:ascii="Verdana" w:hAnsi="Verdana"/>
                              <w:color w:val="002060"/>
                              <w:sz w:val="28"/>
                              <w:szCs w:val="28"/>
                            </w:rPr>
                            <w:t xml:space="preserve">DRAFT </w:t>
                          </w:r>
                          <w:r w:rsidR="000D3483">
                            <w:rPr>
                              <w:rFonts w:ascii="Verdana" w:hAnsi="Verdana"/>
                              <w:color w:val="002060"/>
                              <w:sz w:val="28"/>
                              <w:szCs w:val="28"/>
                            </w:rPr>
                            <w:t>v. 1.0</w:t>
                          </w:r>
                        </w:p>
                        <w:p w14:paraId="5BDA8178" w14:textId="77777777" w:rsidR="00A5595C" w:rsidRPr="00A5595C" w:rsidRDefault="00A5595C" w:rsidP="007B4CDA">
                          <w:pPr>
                            <w:spacing w:after="0" w:line="240" w:lineRule="auto"/>
                            <w:rPr>
                              <w:rFonts w:ascii="Verdana" w:hAnsi="Verdana"/>
                              <w:color w:val="002060"/>
                              <w:sz w:val="28"/>
                              <w:szCs w:val="28"/>
                            </w:rPr>
                          </w:pPr>
                        </w:p>
                        <w:p w14:paraId="0E39C79E" w14:textId="0BD0946B" w:rsidR="00A5595C" w:rsidRPr="00A5595C" w:rsidRDefault="00A5595C" w:rsidP="007B4CDA">
                          <w:pPr>
                            <w:spacing w:after="0" w:line="240" w:lineRule="auto"/>
                            <w:rPr>
                              <w:rFonts w:ascii="Verdana" w:hAnsi="Verdana"/>
                              <w:b/>
                              <w:bCs/>
                              <w:color w:val="002060"/>
                              <w:sz w:val="28"/>
                              <w:szCs w:val="28"/>
                            </w:rPr>
                          </w:pPr>
                          <w:r w:rsidRPr="00A5595C">
                            <w:rPr>
                              <w:rFonts w:ascii="Verdana" w:hAnsi="Verdana"/>
                              <w:b/>
                              <w:bCs/>
                              <w:color w:val="002060"/>
                              <w:sz w:val="28"/>
                              <w:szCs w:val="28"/>
                            </w:rPr>
                            <w:t>November 10, 2021</w:t>
                          </w:r>
                        </w:p>
                        <w:p w14:paraId="44140324" w14:textId="68A5C610" w:rsidR="00A5595C" w:rsidRDefault="00A5595C" w:rsidP="007B4CDA">
                          <w:pPr>
                            <w:spacing w:after="0" w:line="240" w:lineRule="auto"/>
                            <w:rPr>
                              <w:rFonts w:ascii="Verdana" w:hAnsi="Verdana"/>
                              <w:color w:val="002060"/>
                              <w:sz w:val="24"/>
                              <w:szCs w:val="24"/>
                            </w:rPr>
                          </w:pPr>
                        </w:p>
                        <w:p w14:paraId="3AAC3C1D" w14:textId="77777777" w:rsidR="00A5595C" w:rsidRDefault="00A5595C" w:rsidP="007B4CDA">
                          <w:pPr>
                            <w:spacing w:after="0" w:line="240" w:lineRule="auto"/>
                            <w:rPr>
                              <w:rFonts w:ascii="Verdana" w:hAnsi="Verdana"/>
                              <w:color w:val="002060"/>
                              <w:sz w:val="24"/>
                              <w:szCs w:val="24"/>
                            </w:rPr>
                          </w:pPr>
                        </w:p>
                        <w:p w14:paraId="1B11DFA5" w14:textId="17BD6DA6" w:rsidR="00A5595C" w:rsidRDefault="00A5595C" w:rsidP="007B4CDA">
                          <w:pPr>
                            <w:spacing w:after="0" w:line="240" w:lineRule="auto"/>
                            <w:rPr>
                              <w:rFonts w:ascii="Verdana" w:hAnsi="Verdana"/>
                              <w:color w:val="002060"/>
                              <w:sz w:val="24"/>
                              <w:szCs w:val="24"/>
                            </w:rPr>
                          </w:pPr>
                        </w:p>
                        <w:p w14:paraId="59242F54" w14:textId="28A3BE0B" w:rsidR="00A5595C" w:rsidRDefault="00A5595C" w:rsidP="007B4CDA">
                          <w:pPr>
                            <w:spacing w:after="0" w:line="240" w:lineRule="auto"/>
                            <w:rPr>
                              <w:rFonts w:ascii="Verdana" w:hAnsi="Verdana"/>
                              <w:color w:val="002060"/>
                              <w:sz w:val="24"/>
                              <w:szCs w:val="24"/>
                            </w:rPr>
                          </w:pPr>
                        </w:p>
                        <w:p w14:paraId="2CBE6B76" w14:textId="202D61F0" w:rsidR="00A5595C" w:rsidRDefault="00A5595C" w:rsidP="007B4CDA">
                          <w:pPr>
                            <w:spacing w:after="0" w:line="240" w:lineRule="auto"/>
                            <w:rPr>
                              <w:rFonts w:ascii="Verdana" w:hAnsi="Verdana"/>
                              <w:color w:val="002060"/>
                              <w:sz w:val="24"/>
                              <w:szCs w:val="24"/>
                            </w:rPr>
                          </w:pPr>
                        </w:p>
                        <w:p w14:paraId="08130663" w14:textId="5CE8C168" w:rsidR="00A5595C" w:rsidRDefault="00A5595C" w:rsidP="007B4CDA">
                          <w:pPr>
                            <w:spacing w:after="0" w:line="240" w:lineRule="auto"/>
                            <w:rPr>
                              <w:rFonts w:ascii="Verdana" w:hAnsi="Verdana"/>
                              <w:color w:val="002060"/>
                              <w:sz w:val="24"/>
                              <w:szCs w:val="24"/>
                            </w:rPr>
                          </w:pPr>
                        </w:p>
                        <w:p w14:paraId="68508A85" w14:textId="74DF050D" w:rsidR="00A5595C" w:rsidRDefault="00A5595C" w:rsidP="007B4CDA">
                          <w:pPr>
                            <w:spacing w:after="0" w:line="240" w:lineRule="auto"/>
                            <w:rPr>
                              <w:rFonts w:ascii="Verdana" w:hAnsi="Verdana"/>
                              <w:color w:val="002060"/>
                              <w:sz w:val="24"/>
                              <w:szCs w:val="24"/>
                            </w:rPr>
                          </w:pPr>
                        </w:p>
                        <w:p w14:paraId="2AD1C3C7" w14:textId="4C506D1A" w:rsidR="00A5595C" w:rsidRDefault="00A5595C" w:rsidP="007B4CDA">
                          <w:pPr>
                            <w:spacing w:after="0" w:line="240" w:lineRule="auto"/>
                            <w:rPr>
                              <w:rFonts w:ascii="Verdana" w:hAnsi="Verdana"/>
                              <w:color w:val="002060"/>
                              <w:sz w:val="24"/>
                              <w:szCs w:val="24"/>
                            </w:rPr>
                          </w:pPr>
                        </w:p>
                        <w:p w14:paraId="41DD7CFD" w14:textId="6910C927" w:rsidR="00A5595C" w:rsidRDefault="00A5595C" w:rsidP="007B4CDA">
                          <w:pPr>
                            <w:spacing w:after="0" w:line="240" w:lineRule="auto"/>
                            <w:rPr>
                              <w:rFonts w:ascii="Verdana" w:hAnsi="Verdana"/>
                              <w:color w:val="002060"/>
                              <w:sz w:val="24"/>
                              <w:szCs w:val="24"/>
                            </w:rPr>
                          </w:pPr>
                        </w:p>
                        <w:p w14:paraId="0E6FE154" w14:textId="7B0A06EB" w:rsidR="009500B2" w:rsidRPr="002C16A2" w:rsidRDefault="00A5595C" w:rsidP="007B4CDA">
                          <w:pPr>
                            <w:spacing w:after="0" w:line="240" w:lineRule="auto"/>
                            <w:rPr>
                              <w:rFonts w:ascii="Verdana" w:hAnsi="Verdana"/>
                              <w:sz w:val="28"/>
                              <w:szCs w:val="28"/>
                            </w:rPr>
                          </w:pPr>
                          <w:r w:rsidRPr="002C16A2">
                            <w:rPr>
                              <w:rFonts w:ascii="Verdana" w:hAnsi="Verdana"/>
                              <w:sz w:val="28"/>
                              <w:szCs w:val="28"/>
                            </w:rPr>
                            <w:t>M</w:t>
                          </w:r>
                          <w:r w:rsidR="009500B2" w:rsidRPr="002C16A2">
                            <w:rPr>
                              <w:rFonts w:ascii="Verdana" w:hAnsi="Verdana"/>
                              <w:sz w:val="28"/>
                              <w:szCs w:val="28"/>
                            </w:rPr>
                            <w:t>assachusetts Department of Public Health</w:t>
                          </w:r>
                        </w:p>
                        <w:p w14:paraId="1D2198FC" w14:textId="76A76237" w:rsidR="009500B2" w:rsidRPr="002C16A2" w:rsidRDefault="009500B2" w:rsidP="007B4CDA">
                          <w:pPr>
                            <w:spacing w:after="0" w:line="240" w:lineRule="auto"/>
                            <w:rPr>
                              <w:rFonts w:ascii="Verdana" w:hAnsi="Verdana"/>
                              <w:sz w:val="28"/>
                              <w:szCs w:val="28"/>
                            </w:rPr>
                          </w:pPr>
                          <w:r w:rsidRPr="002C16A2">
                            <w:rPr>
                              <w:rFonts w:ascii="Verdana" w:hAnsi="Verdana"/>
                              <w:sz w:val="28"/>
                              <w:szCs w:val="28"/>
                            </w:rPr>
                            <w:t>Bureau of Environmental Health</w:t>
                          </w:r>
                        </w:p>
                        <w:p w14:paraId="4F074F3B" w14:textId="77777777" w:rsidR="0047239A" w:rsidRPr="002C16A2" w:rsidRDefault="009500B2" w:rsidP="007B4CDA">
                          <w:pPr>
                            <w:rPr>
                              <w:sz w:val="24"/>
                              <w:szCs w:val="24"/>
                            </w:rPr>
                          </w:pPr>
                          <w:r w:rsidRPr="002C16A2">
                            <w:rPr>
                              <w:rFonts w:ascii="Verdana" w:hAnsi="Verdana"/>
                              <w:sz w:val="28"/>
                              <w:szCs w:val="28"/>
                            </w:rPr>
                            <w:t>Environmental Toxicology Program</w:t>
                          </w:r>
                          <w:r w:rsidR="0047239A" w:rsidRPr="002C16A2">
                            <w:rPr>
                              <w:sz w:val="24"/>
                              <w:szCs w:val="24"/>
                            </w:rPr>
                            <w:t xml:space="preserve"> </w:t>
                          </w:r>
                        </w:p>
                        <w:p w14:paraId="05E168A4" w14:textId="66775D3A" w:rsidR="0047239A" w:rsidRPr="00A5595C" w:rsidRDefault="0047239A" w:rsidP="007B4CDA">
                          <w:pPr>
                            <w:rPr>
                              <w:rFonts w:ascii="Verdana" w:hAnsi="Verdana"/>
                              <w:b/>
                              <w:bCs/>
                              <w:color w:val="002060"/>
                              <w:sz w:val="28"/>
                              <w:szCs w:val="28"/>
                            </w:rPr>
                          </w:pPr>
                          <w:r w:rsidRPr="00A5595C">
                            <w:rPr>
                              <w:rFonts w:ascii="Verdana" w:hAnsi="Verdana"/>
                              <w:b/>
                              <w:bCs/>
                              <w:color w:val="002060"/>
                              <w:sz w:val="28"/>
                              <w:szCs w:val="28"/>
                            </w:rPr>
                            <w:t xml:space="preserve">DPHToxicology@mass.gov </w:t>
                          </w:r>
                          <w:r w:rsidRPr="000D3483">
                            <w:rPr>
                              <w:rFonts w:ascii="Verdana" w:hAnsi="Verdana"/>
                              <w:b/>
                              <w:bCs/>
                              <w:color w:val="808080" w:themeColor="background1" w:themeShade="80"/>
                              <w:sz w:val="28"/>
                              <w:szCs w:val="28"/>
                            </w:rPr>
                            <w:t>||</w:t>
                          </w:r>
                          <w:r w:rsidRPr="00A5595C">
                            <w:rPr>
                              <w:rFonts w:ascii="Verdana" w:hAnsi="Verdana"/>
                              <w:b/>
                              <w:bCs/>
                              <w:color w:val="002060"/>
                              <w:sz w:val="28"/>
                              <w:szCs w:val="28"/>
                            </w:rPr>
                            <w:t>www.mass.gov/dph</w:t>
                          </w:r>
                        </w:p>
                        <w:p w14:paraId="5B4798B1" w14:textId="60B61F98" w:rsidR="0047239A" w:rsidRPr="0047239A" w:rsidRDefault="0047239A" w:rsidP="007B4CDA">
                          <w:pPr>
                            <w:rPr>
                              <w:rFonts w:ascii="Verdana" w:hAnsi="Verdana"/>
                              <w:b/>
                              <w:bCs/>
                              <w:color w:val="002060"/>
                              <w:sz w:val="24"/>
                              <w:szCs w:val="24"/>
                            </w:rPr>
                          </w:pPr>
                        </w:p>
                        <w:p w14:paraId="45E6F24B" w14:textId="77777777" w:rsidR="0047239A" w:rsidRPr="007B4CDA" w:rsidRDefault="0047239A" w:rsidP="007B4CDA">
                          <w:pPr>
                            <w:rPr>
                              <w:rFonts w:ascii="Verdana" w:hAnsi="Verdana"/>
                              <w:sz w:val="24"/>
                              <w:szCs w:val="24"/>
                            </w:rPr>
                          </w:pP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2DD0FD94" wp14:editId="45304793">
                    <wp:simplePos x="0" y="0"/>
                    <wp:positionH relativeFrom="margin">
                      <wp:posOffset>1628775</wp:posOffset>
                    </wp:positionH>
                    <wp:positionV relativeFrom="page">
                      <wp:posOffset>2430145</wp:posOffset>
                    </wp:positionV>
                    <wp:extent cx="5314950" cy="370205"/>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14950" cy="37020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4B2EF" w14:textId="4E2EC518" w:rsidR="00A5595C" w:rsidRPr="00A5595C" w:rsidRDefault="00A5595C" w:rsidP="00A5595C">
                                <w:pPr>
                                  <w:pStyle w:val="NoSpacing"/>
                                  <w:spacing w:before="40" w:after="40"/>
                                  <w:rPr>
                                    <w:rFonts w:ascii="Verdana" w:hAnsi="Verdana"/>
                                    <w:b/>
                                    <w:bCs/>
                                    <w:color w:val="FFFFFF" w:themeColor="background1"/>
                                    <w:sz w:val="32"/>
                                    <w:szCs w:val="32"/>
                                  </w:rPr>
                                </w:pPr>
                                <w:r w:rsidRPr="00A5595C">
                                  <w:rPr>
                                    <w:rFonts w:ascii="Verdana" w:hAnsi="Verdana"/>
                                    <w:b/>
                                    <w:bCs/>
                                    <w:color w:val="FFFFFF" w:themeColor="background1"/>
                                    <w:sz w:val="32"/>
                                    <w:szCs w:val="32"/>
                                  </w:rPr>
                                  <w:t>Technical Support Document</w:t>
                                </w:r>
                              </w:p>
                              <w:p w14:paraId="0F7DEA2D" w14:textId="1CBDDF05" w:rsidR="009500B2" w:rsidRPr="0047239A" w:rsidRDefault="009500B2" w:rsidP="00470389">
                                <w:pPr>
                                  <w:pStyle w:val="NoSpacing"/>
                                  <w:rPr>
                                    <w:b/>
                                    <w:bCs/>
                                    <w:color w:val="FFFFFF" w:themeColor="background1"/>
                                    <w:sz w:val="28"/>
                                    <w:szCs w:val="28"/>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D0FD94" id="Rectangle 132" o:spid="_x0000_s1027" style="position:absolute;margin-left:128.25pt;margin-top:191.35pt;width:418.5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" fillcolor="#243f60 [1604]" stroked="f" strokeweight="2pt">
                    <o:lock v:ext="edit" aspectratio="t"/>
                    <v:textbox inset="3.6pt,,3.6pt">
                      <w:txbxContent>
                        <w:p w14:paraId="5E24B2EF" w14:textId="4E2EC518" w:rsidR="00A5595C" w:rsidRPr="00A5595C" w:rsidRDefault="00A5595C" w:rsidP="00A5595C">
                          <w:pPr>
                            <w:pStyle w:val="NoSpacing"/>
                            <w:spacing w:before="40" w:after="40"/>
                            <w:rPr>
                              <w:rFonts w:ascii="Verdana" w:hAnsi="Verdana"/>
                              <w:b/>
                              <w:bCs/>
                              <w:color w:val="FFFFFF" w:themeColor="background1"/>
                              <w:sz w:val="32"/>
                              <w:szCs w:val="32"/>
                            </w:rPr>
                          </w:pPr>
                          <w:r w:rsidRPr="00A5595C">
                            <w:rPr>
                              <w:rFonts w:ascii="Verdana" w:hAnsi="Verdana"/>
                              <w:b/>
                              <w:bCs/>
                              <w:color w:val="FFFFFF" w:themeColor="background1"/>
                              <w:sz w:val="32"/>
                              <w:szCs w:val="32"/>
                            </w:rPr>
                            <w:t>Technical Support Document</w:t>
                          </w:r>
                        </w:p>
                        <w:p w14:paraId="0F7DEA2D" w14:textId="1CBDDF05" w:rsidR="009500B2" w:rsidRPr="0047239A" w:rsidRDefault="009500B2" w:rsidP="00470389">
                          <w:pPr>
                            <w:pStyle w:val="NoSpacing"/>
                            <w:rPr>
                              <w:b/>
                              <w:bCs/>
                              <w:color w:val="FFFFFF" w:themeColor="background1"/>
                              <w:sz w:val="28"/>
                              <w:szCs w:val="28"/>
                            </w:rPr>
                          </w:pPr>
                        </w:p>
                      </w:txbxContent>
                    </v:textbox>
                    <w10:wrap anchorx="margin" anchory="page"/>
                  </v:rect>
                </w:pict>
              </mc:Fallback>
            </mc:AlternateContent>
          </w:r>
          <w:r>
            <w:rPr>
              <w:noProof/>
            </w:rPr>
            <mc:AlternateContent>
              <mc:Choice Requires="wps">
                <w:drawing>
                  <wp:anchor distT="0" distB="0" distL="182880" distR="182880" simplePos="0" relativeHeight="251660288" behindDoc="0" locked="0" layoutInCell="1" allowOverlap="1" wp14:anchorId="1C7EAB41" wp14:editId="116AD3AC">
                    <wp:simplePos x="0" y="0"/>
                    <wp:positionH relativeFrom="margin">
                      <wp:posOffset>1600200</wp:posOffset>
                    </wp:positionH>
                    <wp:positionV relativeFrom="page">
                      <wp:posOffset>1114425</wp:posOffset>
                    </wp:positionV>
                    <wp:extent cx="5572125" cy="274320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5572125"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147F5" w14:textId="470EACAA" w:rsidR="009500B2" w:rsidRPr="00A5595C" w:rsidRDefault="009500B2" w:rsidP="007B4CDA">
                                <w:pPr>
                                  <w:pStyle w:val="NoSpacing"/>
                                  <w:spacing w:line="216" w:lineRule="auto"/>
                                  <w:rPr>
                                    <w:rFonts w:ascii="Verdana" w:hAnsi="Verdana"/>
                                    <w:b/>
                                    <w:bCs/>
                                    <w:color w:val="244061" w:themeColor="accent1" w:themeShade="80"/>
                                    <w:sz w:val="56"/>
                                    <w:szCs w:val="56"/>
                                  </w:rPr>
                                </w:pPr>
                                <w:r w:rsidRPr="00A5595C">
                                  <w:rPr>
                                    <w:rFonts w:ascii="Verdana" w:hAnsi="Verdana"/>
                                    <w:b/>
                                    <w:bCs/>
                                    <w:color w:val="244061" w:themeColor="accent1" w:themeShade="80"/>
                                    <w:sz w:val="56"/>
                                    <w:szCs w:val="56"/>
                                  </w:rPr>
                                  <w:t>Evaluation of PFAS in Recreational Waterbodies in Massachusetts</w:t>
                                </w:r>
                              </w:p>
                              <w:p w14:paraId="5EB25612" w14:textId="11E01F7D" w:rsidR="009500B2" w:rsidRPr="007B4CDA" w:rsidRDefault="009500B2">
                                <w:pPr>
                                  <w:pStyle w:val="NoSpacing"/>
                                  <w:spacing w:before="40" w:after="40"/>
                                  <w:rPr>
                                    <w:rFonts w:ascii="Verdana" w:hAnsi="Verdana"/>
                                    <w:color w:val="215868" w:themeColor="accent5" w:themeShade="8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7EAB41" id="_x0000_t202" coordsize="21600,21600" o:spt="202" path="m,l,21600r21600,l21600,xe">
                    <v:stroke joinstyle="miter"/>
                    <v:path gradientshapeok="t" o:connecttype="rect"/>
                  </v:shapetype>
                  <v:shape id="Text Box 131" o:spid="_x0000_s1028" type="#_x0000_t202" style="position:absolute;margin-left:126pt;margin-top:87.75pt;width:438.75pt;height:3in;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" filled="f" stroked="f" strokeweight=".5pt">
                    <v:textbox inset="0,0,0,0">
                      <w:txbxContent>
                        <w:p w14:paraId="348147F5" w14:textId="470EACAA" w:rsidR="009500B2" w:rsidRPr="00A5595C" w:rsidRDefault="009500B2" w:rsidP="007B4CDA">
                          <w:pPr>
                            <w:pStyle w:val="NoSpacing"/>
                            <w:spacing w:line="216" w:lineRule="auto"/>
                            <w:rPr>
                              <w:rFonts w:ascii="Verdana" w:hAnsi="Verdana"/>
                              <w:b/>
                              <w:bCs/>
                              <w:color w:val="244061" w:themeColor="accent1" w:themeShade="80"/>
                              <w:sz w:val="56"/>
                              <w:szCs w:val="56"/>
                            </w:rPr>
                          </w:pPr>
                          <w:r w:rsidRPr="00A5595C">
                            <w:rPr>
                              <w:rFonts w:ascii="Verdana" w:hAnsi="Verdana"/>
                              <w:b/>
                              <w:bCs/>
                              <w:color w:val="244061" w:themeColor="accent1" w:themeShade="80"/>
                              <w:sz w:val="56"/>
                              <w:szCs w:val="56"/>
                            </w:rPr>
                            <w:t>Evaluation of PFAS in Recreational Waterbodies in Massachusetts</w:t>
                          </w:r>
                        </w:p>
                        <w:p w14:paraId="5EB25612" w14:textId="11E01F7D" w:rsidR="009500B2" w:rsidRPr="007B4CDA" w:rsidRDefault="009500B2">
                          <w:pPr>
                            <w:pStyle w:val="NoSpacing"/>
                            <w:spacing w:before="40" w:after="40"/>
                            <w:rPr>
                              <w:rFonts w:ascii="Verdana" w:hAnsi="Verdana"/>
                              <w:color w:val="215868" w:themeColor="accent5" w:themeShade="80"/>
                              <w:sz w:val="28"/>
                              <w:szCs w:val="28"/>
                            </w:rPr>
                          </w:pPr>
                        </w:p>
                      </w:txbxContent>
                    </v:textbox>
                    <w10:wrap type="square" anchorx="margin" anchory="page"/>
                  </v:shape>
                </w:pict>
              </mc:Fallback>
            </mc:AlternateContent>
          </w:r>
          <w:r>
            <w:rPr>
              <w:noProof/>
            </w:rPr>
            <w:drawing>
              <wp:inline distT="0" distB="0" distL="0" distR="0" wp14:anchorId="72B792AA" wp14:editId="357E9FF3">
                <wp:extent cx="1362075" cy="1388632"/>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88632"/>
                        </a:xfrm>
                        <a:prstGeom prst="rect">
                          <a:avLst/>
                        </a:prstGeom>
                        <a:noFill/>
                      </pic:spPr>
                    </pic:pic>
                  </a:graphicData>
                </a:graphic>
              </wp:inline>
            </w:drawing>
          </w:r>
          <w:r w:rsidR="001C0B76">
            <w:br w:type="page"/>
          </w:r>
        </w:p>
      </w:sdtContent>
    </w:sdt>
    <w:sdt>
      <w:sdtPr>
        <w:rPr>
          <w:rFonts w:asciiTheme="minorHAnsi" w:eastAsiaTheme="minorHAnsi" w:hAnsiTheme="minorHAnsi" w:cstheme="minorBidi"/>
          <w:color w:val="auto"/>
          <w:sz w:val="22"/>
          <w:szCs w:val="22"/>
        </w:rPr>
        <w:id w:val="-66731181"/>
        <w:docPartObj>
          <w:docPartGallery w:val="Table of Contents"/>
          <w:docPartUnique/>
        </w:docPartObj>
      </w:sdtPr>
      <w:sdtEndPr>
        <w:rPr>
          <w:b/>
          <w:bCs/>
          <w:noProof/>
        </w:rPr>
      </w:sdtEndPr>
      <w:sdtContent>
        <w:p w14:paraId="48136CA4" w14:textId="3049104E" w:rsidR="001C0B76" w:rsidRPr="009916DF" w:rsidRDefault="001C0B76">
          <w:pPr>
            <w:pStyle w:val="TOCHeading"/>
            <w:rPr>
              <w:rFonts w:asciiTheme="minorHAnsi" w:hAnsiTheme="minorHAnsi" w:cstheme="minorHAnsi"/>
              <w:b/>
              <w:bCs/>
              <w:color w:val="244061" w:themeColor="accent1" w:themeShade="80"/>
              <w:sz w:val="36"/>
              <w:szCs w:val="36"/>
            </w:rPr>
          </w:pPr>
          <w:r w:rsidRPr="009916DF">
            <w:rPr>
              <w:rFonts w:asciiTheme="minorHAnsi" w:hAnsiTheme="minorHAnsi" w:cstheme="minorHAnsi"/>
              <w:b/>
              <w:bCs/>
              <w:color w:val="244061" w:themeColor="accent1" w:themeShade="80"/>
              <w:sz w:val="36"/>
              <w:szCs w:val="36"/>
            </w:rPr>
            <w:t>Table of Contents</w:t>
          </w:r>
        </w:p>
        <w:p w14:paraId="1E9E6B45" w14:textId="6D5B082C" w:rsidR="00753772" w:rsidRDefault="001C0B76">
          <w:pPr>
            <w:pStyle w:val="TOC1"/>
            <w:tabs>
              <w:tab w:val="left" w:pos="440"/>
              <w:tab w:val="right" w:leader="dot" w:pos="9440"/>
            </w:tabs>
            <w:rPr>
              <w:rFonts w:eastAsiaTheme="minorEastAsia"/>
              <w:noProof/>
            </w:rPr>
          </w:pPr>
          <w:r w:rsidRPr="009916DF">
            <w:rPr>
              <w:sz w:val="24"/>
              <w:szCs w:val="24"/>
            </w:rPr>
            <w:fldChar w:fldCharType="begin"/>
          </w:r>
          <w:r w:rsidRPr="009916DF">
            <w:rPr>
              <w:sz w:val="24"/>
              <w:szCs w:val="24"/>
            </w:rPr>
            <w:instrText xml:space="preserve"> TOC \o "1-3" \h \z \u </w:instrText>
          </w:r>
          <w:r w:rsidRPr="009916DF">
            <w:rPr>
              <w:sz w:val="24"/>
              <w:szCs w:val="24"/>
            </w:rPr>
            <w:fldChar w:fldCharType="separate"/>
          </w:r>
          <w:hyperlink w:anchor="_Toc87445194" w:history="1">
            <w:r w:rsidR="00753772" w:rsidRPr="0049334C">
              <w:rPr>
                <w:rStyle w:val="Hyperlink"/>
                <w:noProof/>
              </w:rPr>
              <w:t>1.</w:t>
            </w:r>
            <w:r w:rsidR="00753772">
              <w:rPr>
                <w:rFonts w:eastAsiaTheme="minorEastAsia"/>
                <w:noProof/>
              </w:rPr>
              <w:tab/>
            </w:r>
            <w:r w:rsidR="00753772" w:rsidRPr="0049334C">
              <w:rPr>
                <w:rStyle w:val="Hyperlink"/>
                <w:noProof/>
              </w:rPr>
              <w:t>BACKGROUND AND OVERVIEW</w:t>
            </w:r>
            <w:r w:rsidR="00753772">
              <w:rPr>
                <w:noProof/>
                <w:webHidden/>
              </w:rPr>
              <w:tab/>
            </w:r>
            <w:r w:rsidR="00753772">
              <w:rPr>
                <w:noProof/>
                <w:webHidden/>
              </w:rPr>
              <w:fldChar w:fldCharType="begin"/>
            </w:r>
            <w:r w:rsidR="00753772">
              <w:rPr>
                <w:noProof/>
                <w:webHidden/>
              </w:rPr>
              <w:instrText xml:space="preserve"> PAGEREF _Toc87445194 \h </w:instrText>
            </w:r>
            <w:r w:rsidR="00753772">
              <w:rPr>
                <w:noProof/>
                <w:webHidden/>
              </w:rPr>
            </w:r>
            <w:r w:rsidR="00753772">
              <w:rPr>
                <w:noProof/>
                <w:webHidden/>
              </w:rPr>
              <w:fldChar w:fldCharType="separate"/>
            </w:r>
            <w:r w:rsidR="00EF7C62">
              <w:rPr>
                <w:noProof/>
                <w:webHidden/>
              </w:rPr>
              <w:t>1</w:t>
            </w:r>
            <w:r w:rsidR="00753772">
              <w:rPr>
                <w:noProof/>
                <w:webHidden/>
              </w:rPr>
              <w:fldChar w:fldCharType="end"/>
            </w:r>
          </w:hyperlink>
        </w:p>
        <w:p w14:paraId="3E85E619" w14:textId="20FB4D82" w:rsidR="00753772" w:rsidRDefault="00EF7C62">
          <w:pPr>
            <w:pStyle w:val="TOC1"/>
            <w:tabs>
              <w:tab w:val="left" w:pos="440"/>
              <w:tab w:val="right" w:leader="dot" w:pos="9440"/>
            </w:tabs>
            <w:rPr>
              <w:rFonts w:eastAsiaTheme="minorEastAsia"/>
              <w:noProof/>
            </w:rPr>
          </w:pPr>
          <w:hyperlink w:anchor="_Toc87445195" w:history="1">
            <w:r w:rsidR="00753772" w:rsidRPr="0049334C">
              <w:rPr>
                <w:rStyle w:val="Hyperlink"/>
                <w:noProof/>
              </w:rPr>
              <w:t>2.</w:t>
            </w:r>
            <w:r w:rsidR="00753772">
              <w:rPr>
                <w:rFonts w:eastAsiaTheme="minorEastAsia"/>
                <w:noProof/>
              </w:rPr>
              <w:tab/>
            </w:r>
            <w:r w:rsidR="00753772" w:rsidRPr="0049334C">
              <w:rPr>
                <w:rStyle w:val="Hyperlink"/>
                <w:noProof/>
              </w:rPr>
              <w:t>SCREENING AND EVALUATION RECCOMENDATION</w:t>
            </w:r>
            <w:r w:rsidR="00753772">
              <w:rPr>
                <w:noProof/>
                <w:webHidden/>
              </w:rPr>
              <w:tab/>
            </w:r>
            <w:r w:rsidR="00753772">
              <w:rPr>
                <w:noProof/>
                <w:webHidden/>
              </w:rPr>
              <w:fldChar w:fldCharType="begin"/>
            </w:r>
            <w:r w:rsidR="00753772">
              <w:rPr>
                <w:noProof/>
                <w:webHidden/>
              </w:rPr>
              <w:instrText xml:space="preserve"> PAGEREF _Toc87445195 \h </w:instrText>
            </w:r>
            <w:r w:rsidR="00753772">
              <w:rPr>
                <w:noProof/>
                <w:webHidden/>
              </w:rPr>
            </w:r>
            <w:r w:rsidR="00753772">
              <w:rPr>
                <w:noProof/>
                <w:webHidden/>
              </w:rPr>
              <w:fldChar w:fldCharType="separate"/>
            </w:r>
            <w:r>
              <w:rPr>
                <w:noProof/>
                <w:webHidden/>
              </w:rPr>
              <w:t>1</w:t>
            </w:r>
            <w:r w:rsidR="00753772">
              <w:rPr>
                <w:noProof/>
                <w:webHidden/>
              </w:rPr>
              <w:fldChar w:fldCharType="end"/>
            </w:r>
          </w:hyperlink>
        </w:p>
        <w:p w14:paraId="31D9111E" w14:textId="213BC35E" w:rsidR="00753772" w:rsidRDefault="00EF7C62">
          <w:pPr>
            <w:pStyle w:val="TOC2"/>
            <w:tabs>
              <w:tab w:val="left" w:pos="880"/>
              <w:tab w:val="right" w:leader="dot" w:pos="9440"/>
            </w:tabs>
            <w:rPr>
              <w:rFonts w:eastAsiaTheme="minorEastAsia"/>
              <w:noProof/>
            </w:rPr>
          </w:pPr>
          <w:hyperlink w:anchor="_Toc87445196" w:history="1">
            <w:r w:rsidR="00753772" w:rsidRPr="0049334C">
              <w:rPr>
                <w:rStyle w:val="Hyperlink"/>
                <w:noProof/>
              </w:rPr>
              <w:t>2.1</w:t>
            </w:r>
            <w:r w:rsidR="00753772">
              <w:rPr>
                <w:rFonts w:eastAsiaTheme="minorEastAsia"/>
                <w:noProof/>
              </w:rPr>
              <w:tab/>
            </w:r>
            <w:r w:rsidR="00753772" w:rsidRPr="0049334C">
              <w:rPr>
                <w:rStyle w:val="Hyperlink"/>
                <w:noProof/>
              </w:rPr>
              <w:t>Surface Water Action Level</w:t>
            </w:r>
            <w:r w:rsidR="00753772">
              <w:rPr>
                <w:noProof/>
                <w:webHidden/>
              </w:rPr>
              <w:tab/>
            </w:r>
            <w:r w:rsidR="00753772">
              <w:rPr>
                <w:noProof/>
                <w:webHidden/>
              </w:rPr>
              <w:fldChar w:fldCharType="begin"/>
            </w:r>
            <w:r w:rsidR="00753772">
              <w:rPr>
                <w:noProof/>
                <w:webHidden/>
              </w:rPr>
              <w:instrText xml:space="preserve"> PAGEREF _Toc87445196 \h </w:instrText>
            </w:r>
            <w:r w:rsidR="00753772">
              <w:rPr>
                <w:noProof/>
                <w:webHidden/>
              </w:rPr>
            </w:r>
            <w:r w:rsidR="00753772">
              <w:rPr>
                <w:noProof/>
                <w:webHidden/>
              </w:rPr>
              <w:fldChar w:fldCharType="separate"/>
            </w:r>
            <w:r>
              <w:rPr>
                <w:noProof/>
                <w:webHidden/>
              </w:rPr>
              <w:t>2</w:t>
            </w:r>
            <w:r w:rsidR="00753772">
              <w:rPr>
                <w:noProof/>
                <w:webHidden/>
              </w:rPr>
              <w:fldChar w:fldCharType="end"/>
            </w:r>
          </w:hyperlink>
        </w:p>
        <w:p w14:paraId="6F72830A" w14:textId="26A6719A" w:rsidR="00753772" w:rsidRDefault="00EF7C62">
          <w:pPr>
            <w:pStyle w:val="TOC2"/>
            <w:tabs>
              <w:tab w:val="left" w:pos="880"/>
              <w:tab w:val="right" w:leader="dot" w:pos="9440"/>
            </w:tabs>
            <w:rPr>
              <w:rFonts w:eastAsiaTheme="minorEastAsia"/>
              <w:noProof/>
            </w:rPr>
          </w:pPr>
          <w:hyperlink w:anchor="_Toc87445197" w:history="1">
            <w:r w:rsidR="00753772" w:rsidRPr="0049334C">
              <w:rPr>
                <w:rStyle w:val="Hyperlink"/>
                <w:noProof/>
              </w:rPr>
              <w:t>2.2</w:t>
            </w:r>
            <w:r w:rsidR="00753772">
              <w:rPr>
                <w:rFonts w:eastAsiaTheme="minorEastAsia"/>
                <w:noProof/>
              </w:rPr>
              <w:tab/>
            </w:r>
            <w:r w:rsidR="00753772" w:rsidRPr="0049334C">
              <w:rPr>
                <w:rStyle w:val="Hyperlink"/>
                <w:noProof/>
              </w:rPr>
              <w:t>Fish Tissue Action Level</w:t>
            </w:r>
            <w:r w:rsidR="00753772">
              <w:rPr>
                <w:noProof/>
                <w:webHidden/>
              </w:rPr>
              <w:tab/>
            </w:r>
            <w:r w:rsidR="00753772">
              <w:rPr>
                <w:noProof/>
                <w:webHidden/>
              </w:rPr>
              <w:fldChar w:fldCharType="begin"/>
            </w:r>
            <w:r w:rsidR="00753772">
              <w:rPr>
                <w:noProof/>
                <w:webHidden/>
              </w:rPr>
              <w:instrText xml:space="preserve"> PAGEREF _Toc87445197 \h </w:instrText>
            </w:r>
            <w:r w:rsidR="00753772">
              <w:rPr>
                <w:noProof/>
                <w:webHidden/>
              </w:rPr>
            </w:r>
            <w:r w:rsidR="00753772">
              <w:rPr>
                <w:noProof/>
                <w:webHidden/>
              </w:rPr>
              <w:fldChar w:fldCharType="separate"/>
            </w:r>
            <w:r>
              <w:rPr>
                <w:noProof/>
                <w:webHidden/>
              </w:rPr>
              <w:t>3</w:t>
            </w:r>
            <w:r w:rsidR="00753772">
              <w:rPr>
                <w:noProof/>
                <w:webHidden/>
              </w:rPr>
              <w:fldChar w:fldCharType="end"/>
            </w:r>
          </w:hyperlink>
        </w:p>
        <w:p w14:paraId="1719F9FE" w14:textId="537C59F8" w:rsidR="00753772" w:rsidRDefault="00EF7C62">
          <w:pPr>
            <w:pStyle w:val="TOC1"/>
            <w:tabs>
              <w:tab w:val="left" w:pos="440"/>
              <w:tab w:val="right" w:leader="dot" w:pos="9440"/>
            </w:tabs>
            <w:rPr>
              <w:rFonts w:eastAsiaTheme="minorEastAsia"/>
              <w:noProof/>
            </w:rPr>
          </w:pPr>
          <w:hyperlink w:anchor="_Toc87445198" w:history="1">
            <w:r w:rsidR="00753772" w:rsidRPr="0049334C">
              <w:rPr>
                <w:rStyle w:val="Hyperlink"/>
                <w:noProof/>
              </w:rPr>
              <w:t>3.</w:t>
            </w:r>
            <w:r w:rsidR="00753772">
              <w:rPr>
                <w:rFonts w:eastAsiaTheme="minorEastAsia"/>
                <w:noProof/>
              </w:rPr>
              <w:tab/>
            </w:r>
            <w:r w:rsidR="00753772" w:rsidRPr="0049334C">
              <w:rPr>
                <w:rStyle w:val="Hyperlink"/>
                <w:noProof/>
              </w:rPr>
              <w:t>WATERBODY-SPECIFIC RISK ASSESSMENT</w:t>
            </w:r>
            <w:r w:rsidR="00753772">
              <w:rPr>
                <w:noProof/>
                <w:webHidden/>
              </w:rPr>
              <w:tab/>
            </w:r>
            <w:r w:rsidR="00753772">
              <w:rPr>
                <w:noProof/>
                <w:webHidden/>
              </w:rPr>
              <w:fldChar w:fldCharType="begin"/>
            </w:r>
            <w:r w:rsidR="00753772">
              <w:rPr>
                <w:noProof/>
                <w:webHidden/>
              </w:rPr>
              <w:instrText xml:space="preserve"> PAGEREF _Toc87445198 \h </w:instrText>
            </w:r>
            <w:r w:rsidR="00753772">
              <w:rPr>
                <w:noProof/>
                <w:webHidden/>
              </w:rPr>
            </w:r>
            <w:r w:rsidR="00753772">
              <w:rPr>
                <w:noProof/>
                <w:webHidden/>
              </w:rPr>
              <w:fldChar w:fldCharType="separate"/>
            </w:r>
            <w:r>
              <w:rPr>
                <w:noProof/>
                <w:webHidden/>
              </w:rPr>
              <w:t>4</w:t>
            </w:r>
            <w:r w:rsidR="00753772">
              <w:rPr>
                <w:noProof/>
                <w:webHidden/>
              </w:rPr>
              <w:fldChar w:fldCharType="end"/>
            </w:r>
          </w:hyperlink>
        </w:p>
        <w:p w14:paraId="5A98335A" w14:textId="2C01C508" w:rsidR="00753772" w:rsidRDefault="00EF7C62">
          <w:pPr>
            <w:pStyle w:val="TOC2"/>
            <w:tabs>
              <w:tab w:val="left" w:pos="880"/>
              <w:tab w:val="right" w:leader="dot" w:pos="9440"/>
            </w:tabs>
            <w:rPr>
              <w:rFonts w:eastAsiaTheme="minorEastAsia"/>
              <w:noProof/>
            </w:rPr>
          </w:pPr>
          <w:hyperlink w:anchor="_Toc87445199" w:history="1">
            <w:r w:rsidR="00753772" w:rsidRPr="0049334C">
              <w:rPr>
                <w:rStyle w:val="Hyperlink"/>
                <w:noProof/>
              </w:rPr>
              <w:t>3.1</w:t>
            </w:r>
            <w:r w:rsidR="00753772">
              <w:rPr>
                <w:rFonts w:eastAsiaTheme="minorEastAsia"/>
                <w:noProof/>
              </w:rPr>
              <w:tab/>
            </w:r>
            <w:r w:rsidR="00753772" w:rsidRPr="0049334C">
              <w:rPr>
                <w:rStyle w:val="Hyperlink"/>
                <w:noProof/>
              </w:rPr>
              <w:t>Exposure Estimate</w:t>
            </w:r>
            <w:r w:rsidR="00753772">
              <w:rPr>
                <w:noProof/>
                <w:webHidden/>
              </w:rPr>
              <w:tab/>
            </w:r>
            <w:r w:rsidR="00753772">
              <w:rPr>
                <w:noProof/>
                <w:webHidden/>
              </w:rPr>
              <w:fldChar w:fldCharType="begin"/>
            </w:r>
            <w:r w:rsidR="00753772">
              <w:rPr>
                <w:noProof/>
                <w:webHidden/>
              </w:rPr>
              <w:instrText xml:space="preserve"> PAGEREF _Toc87445199 \h </w:instrText>
            </w:r>
            <w:r w:rsidR="00753772">
              <w:rPr>
                <w:noProof/>
                <w:webHidden/>
              </w:rPr>
            </w:r>
            <w:r w:rsidR="00753772">
              <w:rPr>
                <w:noProof/>
                <w:webHidden/>
              </w:rPr>
              <w:fldChar w:fldCharType="separate"/>
            </w:r>
            <w:r>
              <w:rPr>
                <w:noProof/>
                <w:webHidden/>
              </w:rPr>
              <w:t>5</w:t>
            </w:r>
            <w:r w:rsidR="00753772">
              <w:rPr>
                <w:noProof/>
                <w:webHidden/>
              </w:rPr>
              <w:fldChar w:fldCharType="end"/>
            </w:r>
          </w:hyperlink>
        </w:p>
        <w:p w14:paraId="1BF6F8BC" w14:textId="5706B1ED" w:rsidR="00753772" w:rsidRDefault="00EF7C62">
          <w:pPr>
            <w:pStyle w:val="TOC2"/>
            <w:tabs>
              <w:tab w:val="left" w:pos="880"/>
              <w:tab w:val="right" w:leader="dot" w:pos="9440"/>
            </w:tabs>
            <w:rPr>
              <w:rFonts w:eastAsiaTheme="minorEastAsia"/>
              <w:noProof/>
            </w:rPr>
          </w:pPr>
          <w:hyperlink w:anchor="_Toc87445200" w:history="1">
            <w:r w:rsidR="00753772" w:rsidRPr="0049334C">
              <w:rPr>
                <w:rStyle w:val="Hyperlink"/>
                <w:noProof/>
              </w:rPr>
              <w:t>3.2</w:t>
            </w:r>
            <w:r w:rsidR="00753772">
              <w:rPr>
                <w:rFonts w:eastAsiaTheme="minorEastAsia"/>
                <w:noProof/>
              </w:rPr>
              <w:tab/>
            </w:r>
            <w:r w:rsidR="00753772" w:rsidRPr="0049334C">
              <w:rPr>
                <w:rStyle w:val="Hyperlink"/>
                <w:noProof/>
              </w:rPr>
              <w:t>Toxicity Criteria</w:t>
            </w:r>
            <w:r w:rsidR="00753772">
              <w:rPr>
                <w:noProof/>
                <w:webHidden/>
              </w:rPr>
              <w:tab/>
            </w:r>
            <w:r w:rsidR="00753772">
              <w:rPr>
                <w:noProof/>
                <w:webHidden/>
              </w:rPr>
              <w:fldChar w:fldCharType="begin"/>
            </w:r>
            <w:r w:rsidR="00753772">
              <w:rPr>
                <w:noProof/>
                <w:webHidden/>
              </w:rPr>
              <w:instrText xml:space="preserve"> PAGEREF _Toc87445200 \h </w:instrText>
            </w:r>
            <w:r w:rsidR="00753772">
              <w:rPr>
                <w:noProof/>
                <w:webHidden/>
              </w:rPr>
            </w:r>
            <w:r w:rsidR="00753772">
              <w:rPr>
                <w:noProof/>
                <w:webHidden/>
              </w:rPr>
              <w:fldChar w:fldCharType="separate"/>
            </w:r>
            <w:r>
              <w:rPr>
                <w:noProof/>
                <w:webHidden/>
              </w:rPr>
              <w:t>5</w:t>
            </w:r>
            <w:r w:rsidR="00753772">
              <w:rPr>
                <w:noProof/>
                <w:webHidden/>
              </w:rPr>
              <w:fldChar w:fldCharType="end"/>
            </w:r>
          </w:hyperlink>
        </w:p>
        <w:p w14:paraId="6CB1137E" w14:textId="7FC330BB" w:rsidR="00753772" w:rsidRDefault="00EF7C62">
          <w:pPr>
            <w:pStyle w:val="TOC2"/>
            <w:tabs>
              <w:tab w:val="left" w:pos="880"/>
              <w:tab w:val="right" w:leader="dot" w:pos="9440"/>
            </w:tabs>
            <w:rPr>
              <w:rFonts w:eastAsiaTheme="minorEastAsia"/>
              <w:noProof/>
            </w:rPr>
          </w:pPr>
          <w:hyperlink w:anchor="_Toc87445201" w:history="1">
            <w:r w:rsidR="00753772" w:rsidRPr="0049334C">
              <w:rPr>
                <w:rStyle w:val="Hyperlink"/>
                <w:noProof/>
              </w:rPr>
              <w:t>3.3</w:t>
            </w:r>
            <w:r w:rsidR="00753772">
              <w:rPr>
                <w:rFonts w:eastAsiaTheme="minorEastAsia"/>
                <w:noProof/>
              </w:rPr>
              <w:tab/>
            </w:r>
            <w:r w:rsidR="00753772" w:rsidRPr="0049334C">
              <w:rPr>
                <w:rStyle w:val="Hyperlink"/>
                <w:noProof/>
              </w:rPr>
              <w:t>Risk Evaluation</w:t>
            </w:r>
            <w:r w:rsidR="00753772">
              <w:rPr>
                <w:noProof/>
                <w:webHidden/>
              </w:rPr>
              <w:tab/>
            </w:r>
            <w:r w:rsidR="00753772">
              <w:rPr>
                <w:noProof/>
                <w:webHidden/>
              </w:rPr>
              <w:fldChar w:fldCharType="begin"/>
            </w:r>
            <w:r w:rsidR="00753772">
              <w:rPr>
                <w:noProof/>
                <w:webHidden/>
              </w:rPr>
              <w:instrText xml:space="preserve"> PAGEREF _Toc87445201 \h </w:instrText>
            </w:r>
            <w:r w:rsidR="00753772">
              <w:rPr>
                <w:noProof/>
                <w:webHidden/>
              </w:rPr>
            </w:r>
            <w:r w:rsidR="00753772">
              <w:rPr>
                <w:noProof/>
                <w:webHidden/>
              </w:rPr>
              <w:fldChar w:fldCharType="separate"/>
            </w:r>
            <w:r>
              <w:rPr>
                <w:noProof/>
                <w:webHidden/>
              </w:rPr>
              <w:t>6</w:t>
            </w:r>
            <w:r w:rsidR="00753772">
              <w:rPr>
                <w:noProof/>
                <w:webHidden/>
              </w:rPr>
              <w:fldChar w:fldCharType="end"/>
            </w:r>
          </w:hyperlink>
        </w:p>
        <w:p w14:paraId="6045C8C0" w14:textId="4C375B52" w:rsidR="00753772" w:rsidRDefault="00EF7C62">
          <w:pPr>
            <w:pStyle w:val="TOC1"/>
            <w:tabs>
              <w:tab w:val="left" w:pos="440"/>
              <w:tab w:val="right" w:leader="dot" w:pos="9440"/>
            </w:tabs>
            <w:rPr>
              <w:rFonts w:eastAsiaTheme="minorEastAsia"/>
              <w:noProof/>
            </w:rPr>
          </w:pPr>
          <w:hyperlink w:anchor="_Toc87445202" w:history="1">
            <w:r w:rsidR="00753772" w:rsidRPr="0049334C">
              <w:rPr>
                <w:rStyle w:val="Hyperlink"/>
                <w:noProof/>
              </w:rPr>
              <w:t>4.</w:t>
            </w:r>
            <w:r w:rsidR="00753772">
              <w:rPr>
                <w:rFonts w:eastAsiaTheme="minorEastAsia"/>
                <w:noProof/>
              </w:rPr>
              <w:tab/>
            </w:r>
            <w:r w:rsidR="00753772" w:rsidRPr="0049334C">
              <w:rPr>
                <w:rStyle w:val="Hyperlink"/>
                <w:noProof/>
              </w:rPr>
              <w:t>FISH CONSUMPTION ADVISORIES</w:t>
            </w:r>
            <w:r w:rsidR="00753772">
              <w:rPr>
                <w:noProof/>
                <w:webHidden/>
              </w:rPr>
              <w:tab/>
            </w:r>
            <w:r w:rsidR="00753772">
              <w:rPr>
                <w:noProof/>
                <w:webHidden/>
              </w:rPr>
              <w:fldChar w:fldCharType="begin"/>
            </w:r>
            <w:r w:rsidR="00753772">
              <w:rPr>
                <w:noProof/>
                <w:webHidden/>
              </w:rPr>
              <w:instrText xml:space="preserve"> PAGEREF _Toc87445202 \h </w:instrText>
            </w:r>
            <w:r w:rsidR="00753772">
              <w:rPr>
                <w:noProof/>
                <w:webHidden/>
              </w:rPr>
            </w:r>
            <w:r w:rsidR="00753772">
              <w:rPr>
                <w:noProof/>
                <w:webHidden/>
              </w:rPr>
              <w:fldChar w:fldCharType="separate"/>
            </w:r>
            <w:r>
              <w:rPr>
                <w:noProof/>
                <w:webHidden/>
              </w:rPr>
              <w:t>6</w:t>
            </w:r>
            <w:r w:rsidR="00753772">
              <w:rPr>
                <w:noProof/>
                <w:webHidden/>
              </w:rPr>
              <w:fldChar w:fldCharType="end"/>
            </w:r>
          </w:hyperlink>
        </w:p>
        <w:p w14:paraId="703350E1" w14:textId="4AB08A0E" w:rsidR="00753772" w:rsidRDefault="00EF7C62">
          <w:pPr>
            <w:pStyle w:val="TOC1"/>
            <w:tabs>
              <w:tab w:val="left" w:pos="440"/>
              <w:tab w:val="right" w:leader="dot" w:pos="9440"/>
            </w:tabs>
            <w:rPr>
              <w:rFonts w:eastAsiaTheme="minorEastAsia"/>
              <w:noProof/>
            </w:rPr>
          </w:pPr>
          <w:hyperlink w:anchor="_Toc87445203" w:history="1">
            <w:r w:rsidR="00753772" w:rsidRPr="0049334C">
              <w:rPr>
                <w:rStyle w:val="Hyperlink"/>
                <w:noProof/>
              </w:rPr>
              <w:t>5.</w:t>
            </w:r>
            <w:r w:rsidR="00753772">
              <w:rPr>
                <w:rFonts w:eastAsiaTheme="minorEastAsia"/>
                <w:noProof/>
              </w:rPr>
              <w:tab/>
            </w:r>
            <w:r w:rsidR="00753772" w:rsidRPr="0049334C">
              <w:rPr>
                <w:rStyle w:val="Hyperlink"/>
                <w:noProof/>
              </w:rPr>
              <w:t>REFERENCES</w:t>
            </w:r>
            <w:r w:rsidR="00753772">
              <w:rPr>
                <w:noProof/>
                <w:webHidden/>
              </w:rPr>
              <w:tab/>
            </w:r>
            <w:r w:rsidR="00753772">
              <w:rPr>
                <w:noProof/>
                <w:webHidden/>
              </w:rPr>
              <w:fldChar w:fldCharType="begin"/>
            </w:r>
            <w:r w:rsidR="00753772">
              <w:rPr>
                <w:noProof/>
                <w:webHidden/>
              </w:rPr>
              <w:instrText xml:space="preserve"> PAGEREF _Toc87445203 \h </w:instrText>
            </w:r>
            <w:r w:rsidR="00753772">
              <w:rPr>
                <w:noProof/>
                <w:webHidden/>
              </w:rPr>
            </w:r>
            <w:r w:rsidR="00753772">
              <w:rPr>
                <w:noProof/>
                <w:webHidden/>
              </w:rPr>
              <w:fldChar w:fldCharType="separate"/>
            </w:r>
            <w:r>
              <w:rPr>
                <w:noProof/>
                <w:webHidden/>
              </w:rPr>
              <w:t>10</w:t>
            </w:r>
            <w:r w:rsidR="00753772">
              <w:rPr>
                <w:noProof/>
                <w:webHidden/>
              </w:rPr>
              <w:fldChar w:fldCharType="end"/>
            </w:r>
          </w:hyperlink>
        </w:p>
        <w:p w14:paraId="7BB2AD7D" w14:textId="17BDF423" w:rsidR="00753772" w:rsidRDefault="00EF7C62">
          <w:pPr>
            <w:pStyle w:val="TOC1"/>
            <w:tabs>
              <w:tab w:val="right" w:leader="dot" w:pos="9440"/>
            </w:tabs>
            <w:rPr>
              <w:rFonts w:eastAsiaTheme="minorEastAsia"/>
              <w:noProof/>
            </w:rPr>
          </w:pPr>
          <w:hyperlink w:anchor="_Toc87445204" w:history="1">
            <w:r w:rsidR="00753772" w:rsidRPr="0049334C">
              <w:rPr>
                <w:rStyle w:val="Hyperlink"/>
                <w:noProof/>
              </w:rPr>
              <w:t>APPENDICES</w:t>
            </w:r>
            <w:r w:rsidR="00753772">
              <w:rPr>
                <w:noProof/>
                <w:webHidden/>
              </w:rPr>
              <w:tab/>
            </w:r>
            <w:r w:rsidR="00753772">
              <w:rPr>
                <w:noProof/>
                <w:webHidden/>
              </w:rPr>
              <w:fldChar w:fldCharType="begin"/>
            </w:r>
            <w:r w:rsidR="00753772">
              <w:rPr>
                <w:noProof/>
                <w:webHidden/>
              </w:rPr>
              <w:instrText xml:space="preserve"> PAGEREF _Toc87445204 \h </w:instrText>
            </w:r>
            <w:r w:rsidR="00753772">
              <w:rPr>
                <w:noProof/>
                <w:webHidden/>
              </w:rPr>
            </w:r>
            <w:r w:rsidR="00753772">
              <w:rPr>
                <w:noProof/>
                <w:webHidden/>
              </w:rPr>
              <w:fldChar w:fldCharType="separate"/>
            </w:r>
            <w:r>
              <w:rPr>
                <w:noProof/>
                <w:webHidden/>
              </w:rPr>
              <w:t>12</w:t>
            </w:r>
            <w:r w:rsidR="00753772">
              <w:rPr>
                <w:noProof/>
                <w:webHidden/>
              </w:rPr>
              <w:fldChar w:fldCharType="end"/>
            </w:r>
          </w:hyperlink>
        </w:p>
        <w:p w14:paraId="10B68807" w14:textId="0AF28344" w:rsidR="00753772" w:rsidRDefault="00EF7C62">
          <w:pPr>
            <w:pStyle w:val="TOC2"/>
            <w:tabs>
              <w:tab w:val="right" w:leader="dot" w:pos="9440"/>
            </w:tabs>
            <w:rPr>
              <w:rFonts w:eastAsiaTheme="minorEastAsia"/>
              <w:noProof/>
            </w:rPr>
          </w:pPr>
          <w:hyperlink w:anchor="_Toc87445205" w:history="1">
            <w:r w:rsidR="00753772" w:rsidRPr="0049334C">
              <w:rPr>
                <w:rStyle w:val="Hyperlink"/>
                <w:noProof/>
              </w:rPr>
              <w:t>Appendix A – Calculation of Surface Water Action Levels</w:t>
            </w:r>
            <w:r w:rsidR="00753772">
              <w:rPr>
                <w:noProof/>
                <w:webHidden/>
              </w:rPr>
              <w:tab/>
            </w:r>
            <w:r w:rsidR="00753772">
              <w:rPr>
                <w:noProof/>
                <w:webHidden/>
              </w:rPr>
              <w:fldChar w:fldCharType="begin"/>
            </w:r>
            <w:r w:rsidR="00753772">
              <w:rPr>
                <w:noProof/>
                <w:webHidden/>
              </w:rPr>
              <w:instrText xml:space="preserve"> PAGEREF _Toc87445205 \h </w:instrText>
            </w:r>
            <w:r w:rsidR="00753772">
              <w:rPr>
                <w:noProof/>
                <w:webHidden/>
              </w:rPr>
            </w:r>
            <w:r w:rsidR="00753772">
              <w:rPr>
                <w:noProof/>
                <w:webHidden/>
              </w:rPr>
              <w:fldChar w:fldCharType="separate"/>
            </w:r>
            <w:r>
              <w:rPr>
                <w:noProof/>
                <w:webHidden/>
              </w:rPr>
              <w:t>13</w:t>
            </w:r>
            <w:r w:rsidR="00753772">
              <w:rPr>
                <w:noProof/>
                <w:webHidden/>
              </w:rPr>
              <w:fldChar w:fldCharType="end"/>
            </w:r>
          </w:hyperlink>
        </w:p>
        <w:p w14:paraId="458D3282" w14:textId="37DDEB13" w:rsidR="00753772" w:rsidRDefault="00EF7C62">
          <w:pPr>
            <w:pStyle w:val="TOC2"/>
            <w:tabs>
              <w:tab w:val="right" w:leader="dot" w:pos="9440"/>
            </w:tabs>
            <w:rPr>
              <w:rFonts w:eastAsiaTheme="minorEastAsia"/>
              <w:noProof/>
            </w:rPr>
          </w:pPr>
          <w:hyperlink w:anchor="_Toc87445206" w:history="1">
            <w:r w:rsidR="00753772" w:rsidRPr="0049334C">
              <w:rPr>
                <w:rStyle w:val="Hyperlink"/>
                <w:noProof/>
              </w:rPr>
              <w:t>Appendix B - Fish Consumption Advisories Supporting Information</w:t>
            </w:r>
            <w:r w:rsidR="00753772">
              <w:rPr>
                <w:noProof/>
                <w:webHidden/>
              </w:rPr>
              <w:tab/>
            </w:r>
            <w:r w:rsidR="00753772">
              <w:rPr>
                <w:noProof/>
                <w:webHidden/>
              </w:rPr>
              <w:fldChar w:fldCharType="begin"/>
            </w:r>
            <w:r w:rsidR="00753772">
              <w:rPr>
                <w:noProof/>
                <w:webHidden/>
              </w:rPr>
              <w:instrText xml:space="preserve"> PAGEREF _Toc87445206 \h </w:instrText>
            </w:r>
            <w:r w:rsidR="00753772">
              <w:rPr>
                <w:noProof/>
                <w:webHidden/>
              </w:rPr>
            </w:r>
            <w:r w:rsidR="00753772">
              <w:rPr>
                <w:noProof/>
                <w:webHidden/>
              </w:rPr>
              <w:fldChar w:fldCharType="separate"/>
            </w:r>
            <w:r>
              <w:rPr>
                <w:noProof/>
                <w:webHidden/>
              </w:rPr>
              <w:t>25</w:t>
            </w:r>
            <w:r w:rsidR="00753772">
              <w:rPr>
                <w:noProof/>
                <w:webHidden/>
              </w:rPr>
              <w:fldChar w:fldCharType="end"/>
            </w:r>
          </w:hyperlink>
        </w:p>
        <w:p w14:paraId="70F87EB5" w14:textId="2298D6ED" w:rsidR="00753772" w:rsidRPr="00EA359A" w:rsidRDefault="001C0B76" w:rsidP="00753772">
          <w:pPr>
            <w:rPr>
              <w:b/>
              <w:bCs/>
              <w:noProof/>
              <w:sz w:val="24"/>
              <w:szCs w:val="24"/>
            </w:rPr>
          </w:pPr>
          <w:r w:rsidRPr="009916DF">
            <w:rPr>
              <w:b/>
              <w:bCs/>
              <w:noProof/>
              <w:sz w:val="24"/>
              <w:szCs w:val="24"/>
            </w:rPr>
            <w:fldChar w:fldCharType="end"/>
          </w:r>
        </w:p>
      </w:sdtContent>
    </w:sdt>
    <w:p w14:paraId="14C8190D" w14:textId="77777777" w:rsidR="00753772" w:rsidRPr="00753772" w:rsidRDefault="00753772" w:rsidP="00753772"/>
    <w:p w14:paraId="4F8FBA35" w14:textId="77777777" w:rsidR="00753772" w:rsidRPr="00753772" w:rsidRDefault="00753772" w:rsidP="00753772"/>
    <w:p w14:paraId="61195CD4" w14:textId="77777777" w:rsidR="00753772" w:rsidRPr="00753772" w:rsidRDefault="00753772" w:rsidP="00753772"/>
    <w:p w14:paraId="61B63263" w14:textId="7605861C" w:rsidR="00753772" w:rsidRPr="00753772" w:rsidRDefault="00EA359A" w:rsidP="00753772">
      <w:r>
        <w:br w:type="page"/>
      </w:r>
    </w:p>
    <w:p w14:paraId="364F9185" w14:textId="77777777" w:rsidR="00EA359A" w:rsidRDefault="00EA359A" w:rsidP="00EA359A">
      <w:pPr>
        <w:tabs>
          <w:tab w:val="center" w:pos="4725"/>
        </w:tabs>
        <w:sectPr w:rsidR="00EA359A" w:rsidSect="00EA359A">
          <w:footerReference w:type="default" r:id="rId9"/>
          <w:pgSz w:w="12240" w:h="15840"/>
          <w:pgMar w:top="720" w:right="2070" w:bottom="720" w:left="720" w:header="720" w:footer="720" w:gutter="0"/>
          <w:pgNumType w:start="1"/>
          <w:cols w:space="720"/>
          <w:titlePg/>
          <w:docGrid w:linePitch="360"/>
        </w:sectPr>
      </w:pPr>
      <w:bookmarkStart w:id="0" w:name="_Toc87445194"/>
    </w:p>
    <w:p w14:paraId="7A9352D4" w14:textId="0D285CFE" w:rsidR="00FE501C" w:rsidRDefault="00FE501C" w:rsidP="00C46CD5">
      <w:pPr>
        <w:pStyle w:val="Heading1"/>
      </w:pPr>
      <w:r>
        <w:lastRenderedPageBreak/>
        <w:t>BACKGROUND</w:t>
      </w:r>
      <w:r w:rsidR="00A462D3">
        <w:t xml:space="preserve"> </w:t>
      </w:r>
      <w:r w:rsidR="00C820B1">
        <w:t>AND OVERVIEW</w:t>
      </w:r>
      <w:bookmarkEnd w:id="0"/>
    </w:p>
    <w:p w14:paraId="3110FF0C" w14:textId="3A23DC46" w:rsidR="005E3A41" w:rsidRDefault="005E3A41" w:rsidP="00B41682">
      <w:pPr>
        <w:spacing w:line="240" w:lineRule="auto"/>
        <w:jc w:val="both"/>
        <w:rPr>
          <w:sz w:val="24"/>
          <w:szCs w:val="24"/>
        </w:rPr>
      </w:pPr>
      <w:r w:rsidRPr="006A5EEE">
        <w:rPr>
          <w:sz w:val="24"/>
          <w:szCs w:val="24"/>
        </w:rPr>
        <w:t xml:space="preserve">Since 2015 PFAS have been detected in groundwater, surface water, and residential drinking water wells, associated with contaminated sites in Massachusetts. Recent surveillance of surface water by the Massachusetts Department of Environmental Protection (MassDEP) and the US Geological Survey indicates that PFAS may be present in Massachusetts </w:t>
      </w:r>
      <w:r w:rsidR="0049339C">
        <w:rPr>
          <w:sz w:val="24"/>
          <w:szCs w:val="24"/>
        </w:rPr>
        <w:t xml:space="preserve">waterbody </w:t>
      </w:r>
      <w:r w:rsidRPr="006A5EEE">
        <w:rPr>
          <w:sz w:val="24"/>
          <w:szCs w:val="24"/>
        </w:rPr>
        <w:t xml:space="preserve">locations </w:t>
      </w:r>
      <w:r w:rsidR="00201F80">
        <w:rPr>
          <w:sz w:val="24"/>
          <w:szCs w:val="24"/>
        </w:rPr>
        <w:t xml:space="preserve">at concentrations </w:t>
      </w:r>
      <w:r w:rsidRPr="006A5EEE">
        <w:rPr>
          <w:sz w:val="24"/>
          <w:szCs w:val="24"/>
        </w:rPr>
        <w:t>as high as 109</w:t>
      </w:r>
      <w:r w:rsidR="0049339C">
        <w:rPr>
          <w:sz w:val="24"/>
          <w:szCs w:val="24"/>
        </w:rPr>
        <w:t xml:space="preserve"> nanograms per liter (</w:t>
      </w:r>
      <w:r w:rsidR="0025343C">
        <w:rPr>
          <w:sz w:val="24"/>
          <w:szCs w:val="24"/>
        </w:rPr>
        <w:t>ng/L</w:t>
      </w:r>
      <w:r w:rsidR="0049339C">
        <w:rPr>
          <w:sz w:val="24"/>
          <w:szCs w:val="24"/>
        </w:rPr>
        <w:t>)</w:t>
      </w:r>
      <w:r w:rsidR="0025343C">
        <w:rPr>
          <w:sz w:val="24"/>
          <w:szCs w:val="24"/>
        </w:rPr>
        <w:t>, or parts per trillion (ppt)</w:t>
      </w:r>
      <w:r w:rsidR="00027D51">
        <w:rPr>
          <w:sz w:val="24"/>
          <w:szCs w:val="24"/>
        </w:rPr>
        <w:t xml:space="preserve"> (</w:t>
      </w:r>
      <w:r w:rsidR="00BD33A9">
        <w:rPr>
          <w:sz w:val="24"/>
          <w:szCs w:val="24"/>
        </w:rPr>
        <w:t>MassDEP, 2021</w:t>
      </w:r>
      <w:r w:rsidR="00027D51">
        <w:rPr>
          <w:sz w:val="24"/>
          <w:szCs w:val="24"/>
        </w:rPr>
        <w:t>)</w:t>
      </w:r>
      <w:r w:rsidRPr="006A5EEE">
        <w:rPr>
          <w:sz w:val="24"/>
          <w:szCs w:val="24"/>
        </w:rPr>
        <w:t xml:space="preserve">. As this PFAS may not always be associated with any known point-source or site-related contamination, </w:t>
      </w:r>
      <w:r w:rsidR="00201F80">
        <w:rPr>
          <w:sz w:val="24"/>
          <w:szCs w:val="24"/>
        </w:rPr>
        <w:t>the Massachusetts Department of Public Health (</w:t>
      </w:r>
      <w:r w:rsidRPr="006A5EEE">
        <w:rPr>
          <w:sz w:val="24"/>
          <w:szCs w:val="24"/>
        </w:rPr>
        <w:t>DPH</w:t>
      </w:r>
      <w:r w:rsidR="00201F80">
        <w:rPr>
          <w:sz w:val="24"/>
          <w:szCs w:val="24"/>
        </w:rPr>
        <w:t>)</w:t>
      </w:r>
      <w:r w:rsidRPr="006A5EEE">
        <w:rPr>
          <w:sz w:val="24"/>
          <w:szCs w:val="24"/>
        </w:rPr>
        <w:t xml:space="preserve"> may be asked to determine if these locations are safe for recreational activities such as swimming and fishing.</w:t>
      </w:r>
    </w:p>
    <w:p w14:paraId="06366A3D" w14:textId="7F1941C2" w:rsidR="006A5EEE" w:rsidRPr="006A5EEE" w:rsidRDefault="006A5EEE" w:rsidP="00BD4CEE">
      <w:pPr>
        <w:spacing w:line="240" w:lineRule="auto"/>
        <w:jc w:val="both"/>
        <w:rPr>
          <w:sz w:val="24"/>
          <w:szCs w:val="24"/>
        </w:rPr>
      </w:pPr>
      <w:r w:rsidRPr="006A5EEE">
        <w:rPr>
          <w:sz w:val="24"/>
          <w:szCs w:val="24"/>
        </w:rPr>
        <w:t>This document has been prepared to support emerging contaminant surveillance at recreational waterbodies conducted by the DP</w:t>
      </w:r>
      <w:r w:rsidR="00201F80">
        <w:rPr>
          <w:sz w:val="24"/>
          <w:szCs w:val="24"/>
        </w:rPr>
        <w:t>H</w:t>
      </w:r>
      <w:r w:rsidRPr="006A5EEE">
        <w:rPr>
          <w:sz w:val="24"/>
          <w:szCs w:val="24"/>
        </w:rPr>
        <w:t xml:space="preserve">. The purpose of this memorandum is to provide an overview of the methodology that </w:t>
      </w:r>
      <w:r w:rsidR="00201F80">
        <w:rPr>
          <w:sz w:val="24"/>
          <w:szCs w:val="24"/>
        </w:rPr>
        <w:t>DPH</w:t>
      </w:r>
      <w:r w:rsidRPr="006A5EEE">
        <w:rPr>
          <w:sz w:val="24"/>
          <w:szCs w:val="24"/>
        </w:rPr>
        <w:t xml:space="preserve"> will use to evaluate the human health risk of exposure to </w:t>
      </w:r>
      <w:r w:rsidR="00027D51">
        <w:rPr>
          <w:sz w:val="24"/>
          <w:szCs w:val="24"/>
        </w:rPr>
        <w:t xml:space="preserve">poly- and </w:t>
      </w:r>
      <w:proofErr w:type="spellStart"/>
      <w:r w:rsidRPr="006A5EEE">
        <w:rPr>
          <w:sz w:val="24"/>
          <w:szCs w:val="24"/>
        </w:rPr>
        <w:t>perfluorinated</w:t>
      </w:r>
      <w:proofErr w:type="spellEnd"/>
      <w:r w:rsidRPr="006A5EEE">
        <w:rPr>
          <w:sz w:val="24"/>
          <w:szCs w:val="24"/>
        </w:rPr>
        <w:t xml:space="preserve"> </w:t>
      </w:r>
      <w:r w:rsidR="00027D51">
        <w:rPr>
          <w:sz w:val="24"/>
          <w:szCs w:val="24"/>
        </w:rPr>
        <w:t>substances</w:t>
      </w:r>
      <w:r w:rsidRPr="006A5EEE">
        <w:rPr>
          <w:sz w:val="24"/>
          <w:szCs w:val="24"/>
        </w:rPr>
        <w:t xml:space="preserve"> (PFAS) in surface water and fish. </w:t>
      </w:r>
      <w:r>
        <w:rPr>
          <w:sz w:val="24"/>
          <w:szCs w:val="24"/>
        </w:rPr>
        <w:t>This includes both development of candidate Action Levels (</w:t>
      </w:r>
      <w:proofErr w:type="spellStart"/>
      <w:r>
        <w:rPr>
          <w:sz w:val="24"/>
          <w:szCs w:val="24"/>
        </w:rPr>
        <w:t>cALs</w:t>
      </w:r>
      <w:proofErr w:type="spellEnd"/>
      <w:r>
        <w:rPr>
          <w:sz w:val="24"/>
          <w:szCs w:val="24"/>
        </w:rPr>
        <w:t xml:space="preserve">) for surface water and fish, and follow-up actions when </w:t>
      </w:r>
      <w:proofErr w:type="spellStart"/>
      <w:r w:rsidR="00027D51">
        <w:rPr>
          <w:sz w:val="24"/>
          <w:szCs w:val="24"/>
        </w:rPr>
        <w:t>c</w:t>
      </w:r>
      <w:r>
        <w:rPr>
          <w:sz w:val="24"/>
          <w:szCs w:val="24"/>
        </w:rPr>
        <w:t>ALs</w:t>
      </w:r>
      <w:proofErr w:type="spellEnd"/>
      <w:r>
        <w:rPr>
          <w:sz w:val="24"/>
          <w:szCs w:val="24"/>
        </w:rPr>
        <w:t xml:space="preserve"> are exceeded. </w:t>
      </w:r>
    </w:p>
    <w:p w14:paraId="4431F547" w14:textId="4A451110" w:rsidR="00FE501C" w:rsidRPr="00C820B1" w:rsidRDefault="00201F80" w:rsidP="00BD4CEE">
      <w:pPr>
        <w:spacing w:line="240" w:lineRule="auto"/>
        <w:jc w:val="both"/>
        <w:rPr>
          <w:sz w:val="24"/>
          <w:szCs w:val="24"/>
        </w:rPr>
      </w:pPr>
      <w:r>
        <w:rPr>
          <w:sz w:val="24"/>
          <w:szCs w:val="24"/>
        </w:rPr>
        <w:t>M</w:t>
      </w:r>
      <w:r w:rsidR="00FE501C" w:rsidRPr="00C820B1">
        <w:rPr>
          <w:sz w:val="24"/>
          <w:szCs w:val="24"/>
        </w:rPr>
        <w:t xml:space="preserve">DPH has developed the following </w:t>
      </w:r>
      <w:proofErr w:type="spellStart"/>
      <w:r w:rsidR="00FE501C" w:rsidRPr="00C820B1">
        <w:rPr>
          <w:sz w:val="24"/>
          <w:szCs w:val="24"/>
        </w:rPr>
        <w:t>cALs</w:t>
      </w:r>
      <w:proofErr w:type="spellEnd"/>
      <w:r w:rsidR="00FE501C" w:rsidRPr="00C820B1">
        <w:rPr>
          <w:sz w:val="24"/>
          <w:szCs w:val="24"/>
        </w:rPr>
        <w:t xml:space="preserve"> for surface water (</w:t>
      </w:r>
      <w:proofErr w:type="spellStart"/>
      <w:r w:rsidR="00FE501C" w:rsidRPr="00C820B1">
        <w:rPr>
          <w:sz w:val="24"/>
          <w:szCs w:val="24"/>
        </w:rPr>
        <w:t>cSWAL</w:t>
      </w:r>
      <w:proofErr w:type="spellEnd"/>
      <w:r w:rsidR="00FE501C" w:rsidRPr="00C820B1">
        <w:rPr>
          <w:sz w:val="24"/>
          <w:szCs w:val="24"/>
        </w:rPr>
        <w:t>) and fish (</w:t>
      </w:r>
      <w:proofErr w:type="spellStart"/>
      <w:r w:rsidR="00FE501C" w:rsidRPr="00C820B1">
        <w:rPr>
          <w:sz w:val="24"/>
          <w:szCs w:val="24"/>
        </w:rPr>
        <w:t>cFAL</w:t>
      </w:r>
      <w:proofErr w:type="spellEnd"/>
      <w:r w:rsidR="00FE501C" w:rsidRPr="00C820B1">
        <w:rPr>
          <w:sz w:val="24"/>
          <w:szCs w:val="24"/>
        </w:rPr>
        <w:t>):</w:t>
      </w:r>
    </w:p>
    <w:p w14:paraId="32B3FD43" w14:textId="0CA8DCC4" w:rsidR="00F55AD4" w:rsidRPr="00027D51" w:rsidRDefault="0076216B" w:rsidP="0094497B">
      <w:pPr>
        <w:spacing w:after="0" w:line="240" w:lineRule="auto"/>
        <w:jc w:val="center"/>
        <w:rPr>
          <w:rFonts w:cs="Arial"/>
          <w:b/>
          <w:sz w:val="24"/>
          <w:szCs w:val="24"/>
        </w:rPr>
      </w:pPr>
      <w:r>
        <w:rPr>
          <w:rFonts w:cs="Arial"/>
          <w:b/>
          <w:sz w:val="24"/>
          <w:szCs w:val="24"/>
        </w:rPr>
        <w:t xml:space="preserve">Table 1.1.  </w:t>
      </w:r>
      <w:r w:rsidR="000D046E" w:rsidRPr="00027D51">
        <w:rPr>
          <w:rFonts w:cs="Arial"/>
          <w:b/>
          <w:sz w:val="24"/>
          <w:szCs w:val="24"/>
        </w:rPr>
        <w:t>Candidate Action Levels</w:t>
      </w:r>
    </w:p>
    <w:tbl>
      <w:tblPr>
        <w:tblStyle w:val="TableGrid"/>
        <w:tblW w:w="0" w:type="auto"/>
        <w:jc w:val="center"/>
        <w:tblLook w:val="04A0" w:firstRow="1" w:lastRow="0" w:firstColumn="1" w:lastColumn="0" w:noHBand="0" w:noVBand="1"/>
      </w:tblPr>
      <w:tblGrid>
        <w:gridCol w:w="2440"/>
        <w:gridCol w:w="1350"/>
      </w:tblGrid>
      <w:tr w:rsidR="00FE501C" w:rsidRPr="00646233" w14:paraId="79017915" w14:textId="12D41C26" w:rsidTr="001F1DE2">
        <w:trPr>
          <w:trHeight w:val="251"/>
          <w:jc w:val="center"/>
        </w:trPr>
        <w:tc>
          <w:tcPr>
            <w:tcW w:w="2440" w:type="dxa"/>
            <w:shd w:val="clear" w:color="auto" w:fill="DBE5F1" w:themeFill="accent1" w:themeFillTint="33"/>
            <w:vAlign w:val="center"/>
          </w:tcPr>
          <w:p w14:paraId="3E07CC6E" w14:textId="363C3629" w:rsidR="00FE501C" w:rsidRPr="007F051D" w:rsidRDefault="00FE501C" w:rsidP="00244B9E">
            <w:pPr>
              <w:rPr>
                <w:rFonts w:cs="Arial"/>
                <w:b/>
              </w:rPr>
            </w:pPr>
            <w:r w:rsidRPr="007F051D">
              <w:rPr>
                <w:rFonts w:cs="Arial"/>
                <w:b/>
              </w:rPr>
              <w:t>Media</w:t>
            </w:r>
          </w:p>
        </w:tc>
        <w:tc>
          <w:tcPr>
            <w:tcW w:w="1350" w:type="dxa"/>
            <w:shd w:val="clear" w:color="auto" w:fill="DBE5F1" w:themeFill="accent1" w:themeFillTint="33"/>
            <w:vAlign w:val="center"/>
          </w:tcPr>
          <w:p w14:paraId="2C7BF80E" w14:textId="6D4AD459" w:rsidR="00FE501C" w:rsidRPr="007F051D" w:rsidRDefault="00FE501C" w:rsidP="00646233">
            <w:pPr>
              <w:jc w:val="center"/>
              <w:rPr>
                <w:rFonts w:cs="Arial"/>
                <w:b/>
              </w:rPr>
            </w:pPr>
            <w:r w:rsidRPr="007F051D">
              <w:rPr>
                <w:rFonts w:cs="Arial"/>
                <w:b/>
              </w:rPr>
              <w:t>Value</w:t>
            </w:r>
          </w:p>
        </w:tc>
      </w:tr>
      <w:tr w:rsidR="00FE501C" w:rsidRPr="00646233" w14:paraId="571B1DB0" w14:textId="77777777" w:rsidTr="001F1DE2">
        <w:trPr>
          <w:jc w:val="center"/>
        </w:trPr>
        <w:tc>
          <w:tcPr>
            <w:tcW w:w="2440" w:type="dxa"/>
            <w:tcBorders>
              <w:bottom w:val="nil"/>
              <w:right w:val="single" w:sz="4" w:space="0" w:color="auto"/>
            </w:tcBorders>
            <w:shd w:val="clear" w:color="auto" w:fill="auto"/>
            <w:vAlign w:val="center"/>
          </w:tcPr>
          <w:p w14:paraId="5AA53FD4" w14:textId="3B5AB300" w:rsidR="00FE501C" w:rsidRPr="007F051D" w:rsidRDefault="00FE501C" w:rsidP="00B850CB">
            <w:pPr>
              <w:rPr>
                <w:rFonts w:cs="Arial"/>
              </w:rPr>
            </w:pPr>
            <w:r w:rsidRPr="007F051D">
              <w:rPr>
                <w:rFonts w:cs="Arial"/>
              </w:rPr>
              <w:t>Surface Water</w:t>
            </w:r>
            <w:r w:rsidR="0049339C">
              <w:rPr>
                <w:rFonts w:cs="Arial"/>
              </w:rPr>
              <w:t xml:space="preserve"> (</w:t>
            </w:r>
            <w:proofErr w:type="spellStart"/>
            <w:r w:rsidR="0049339C">
              <w:rPr>
                <w:rFonts w:cs="Arial"/>
              </w:rPr>
              <w:t>cSWAL</w:t>
            </w:r>
            <w:proofErr w:type="spellEnd"/>
            <w:r w:rsidR="0049339C">
              <w:rPr>
                <w:rFonts w:cs="Arial"/>
              </w:rPr>
              <w:t>)</w:t>
            </w:r>
          </w:p>
        </w:tc>
        <w:tc>
          <w:tcPr>
            <w:tcW w:w="1350" w:type="dxa"/>
            <w:tcBorders>
              <w:left w:val="single" w:sz="4" w:space="0" w:color="auto"/>
              <w:bottom w:val="nil"/>
              <w:right w:val="single" w:sz="4" w:space="0" w:color="auto"/>
            </w:tcBorders>
            <w:shd w:val="clear" w:color="auto" w:fill="auto"/>
          </w:tcPr>
          <w:p w14:paraId="4623FFB7" w14:textId="4F7C62F9" w:rsidR="00FE501C" w:rsidRPr="007F051D" w:rsidRDefault="0035385D" w:rsidP="00E05B96">
            <w:pPr>
              <w:jc w:val="center"/>
              <w:rPr>
                <w:rFonts w:cs="Arial"/>
              </w:rPr>
            </w:pPr>
            <w:r w:rsidRPr="007F051D">
              <w:rPr>
                <w:rFonts w:cs="Arial"/>
              </w:rPr>
              <w:t>23</w:t>
            </w:r>
            <w:r w:rsidR="00FE501C" w:rsidRPr="007F051D">
              <w:rPr>
                <w:rFonts w:cs="Arial"/>
              </w:rPr>
              <w:t xml:space="preserve"> </w:t>
            </w:r>
            <w:r w:rsidRPr="007F051D">
              <w:rPr>
                <w:rFonts w:cs="Arial"/>
              </w:rPr>
              <w:t>n</w:t>
            </w:r>
            <w:r w:rsidR="00FE501C" w:rsidRPr="007F051D">
              <w:rPr>
                <w:rFonts w:cs="Arial"/>
              </w:rPr>
              <w:t>g/L</w:t>
            </w:r>
          </w:p>
        </w:tc>
      </w:tr>
      <w:tr w:rsidR="00FE501C" w:rsidRPr="00646233" w14:paraId="7C509FF4" w14:textId="77777777" w:rsidTr="001F1DE2">
        <w:trPr>
          <w:jc w:val="center"/>
        </w:trPr>
        <w:tc>
          <w:tcPr>
            <w:tcW w:w="2440" w:type="dxa"/>
            <w:tcBorders>
              <w:top w:val="nil"/>
            </w:tcBorders>
            <w:shd w:val="clear" w:color="auto" w:fill="auto"/>
          </w:tcPr>
          <w:p w14:paraId="2C56435A" w14:textId="26D3E4D4" w:rsidR="00FE501C" w:rsidRPr="007F051D" w:rsidRDefault="00FE501C" w:rsidP="00237903">
            <w:pPr>
              <w:rPr>
                <w:rFonts w:cs="Arial"/>
              </w:rPr>
            </w:pPr>
            <w:r w:rsidRPr="007F051D">
              <w:rPr>
                <w:rFonts w:cs="Arial"/>
              </w:rPr>
              <w:t>Fish</w:t>
            </w:r>
            <w:r w:rsidR="0049339C">
              <w:rPr>
                <w:rFonts w:cs="Arial"/>
              </w:rPr>
              <w:t xml:space="preserve"> (</w:t>
            </w:r>
            <w:proofErr w:type="spellStart"/>
            <w:r w:rsidR="0049339C">
              <w:rPr>
                <w:rFonts w:cs="Arial"/>
              </w:rPr>
              <w:t>cFAL</w:t>
            </w:r>
            <w:proofErr w:type="spellEnd"/>
            <w:r w:rsidR="0049339C">
              <w:rPr>
                <w:rFonts w:cs="Arial"/>
              </w:rPr>
              <w:t>)</w:t>
            </w:r>
          </w:p>
        </w:tc>
        <w:tc>
          <w:tcPr>
            <w:tcW w:w="1350" w:type="dxa"/>
            <w:tcBorders>
              <w:top w:val="nil"/>
            </w:tcBorders>
            <w:shd w:val="clear" w:color="auto" w:fill="auto"/>
          </w:tcPr>
          <w:p w14:paraId="575DA150" w14:textId="13B22527" w:rsidR="00FE501C" w:rsidRPr="007F051D" w:rsidRDefault="00FE501C" w:rsidP="00237903">
            <w:pPr>
              <w:jc w:val="center"/>
              <w:rPr>
                <w:rFonts w:cs="Arial"/>
              </w:rPr>
            </w:pPr>
            <w:r w:rsidRPr="007F051D">
              <w:rPr>
                <w:rFonts w:cs="Arial"/>
              </w:rPr>
              <w:t>0.2</w:t>
            </w:r>
            <w:r w:rsidR="00D43ABE" w:rsidRPr="007F051D">
              <w:rPr>
                <w:rFonts w:cs="Arial"/>
              </w:rPr>
              <w:t>2</w:t>
            </w:r>
            <w:r w:rsidRPr="007F051D">
              <w:rPr>
                <w:rFonts w:cs="Arial"/>
              </w:rPr>
              <w:t xml:space="preserve"> µg/kg</w:t>
            </w:r>
          </w:p>
        </w:tc>
      </w:tr>
    </w:tbl>
    <w:p w14:paraId="25A5D456" w14:textId="77777777" w:rsidR="00244B9E" w:rsidRDefault="00244B9E" w:rsidP="00A6663A">
      <w:pPr>
        <w:spacing w:after="0" w:line="240" w:lineRule="auto"/>
        <w:jc w:val="both"/>
        <w:rPr>
          <w:rFonts w:cs="Arial"/>
          <w:sz w:val="24"/>
          <w:szCs w:val="24"/>
        </w:rPr>
      </w:pPr>
    </w:p>
    <w:p w14:paraId="254FCB36" w14:textId="06FCA172" w:rsidR="00BD2243" w:rsidRDefault="00BD2243" w:rsidP="00BD4CEE">
      <w:pPr>
        <w:spacing w:line="240" w:lineRule="auto"/>
        <w:jc w:val="both"/>
        <w:rPr>
          <w:rFonts w:cs="Arial"/>
          <w:sz w:val="24"/>
          <w:szCs w:val="24"/>
        </w:rPr>
      </w:pPr>
      <w:r w:rsidRPr="00646233">
        <w:rPr>
          <w:rFonts w:cs="Arial"/>
          <w:sz w:val="24"/>
          <w:szCs w:val="24"/>
        </w:rPr>
        <w:t xml:space="preserve">The </w:t>
      </w:r>
      <w:proofErr w:type="spellStart"/>
      <w:r w:rsidR="00FE501C">
        <w:rPr>
          <w:rFonts w:cs="Arial"/>
          <w:sz w:val="24"/>
          <w:szCs w:val="24"/>
        </w:rPr>
        <w:t>cALs</w:t>
      </w:r>
      <w:proofErr w:type="spellEnd"/>
      <w:r w:rsidRPr="00646233">
        <w:rPr>
          <w:rFonts w:cs="Arial"/>
          <w:sz w:val="24"/>
          <w:szCs w:val="24"/>
        </w:rPr>
        <w:t xml:space="preserve"> listed in Table </w:t>
      </w:r>
      <w:r w:rsidR="00A34A85">
        <w:rPr>
          <w:rFonts w:cs="Arial"/>
          <w:sz w:val="24"/>
          <w:szCs w:val="24"/>
        </w:rPr>
        <w:t>1</w:t>
      </w:r>
      <w:r w:rsidRPr="00646233">
        <w:rPr>
          <w:rFonts w:cs="Arial"/>
          <w:sz w:val="24"/>
          <w:szCs w:val="24"/>
        </w:rPr>
        <w:t>.1 are calculated using toxicity criteri</w:t>
      </w:r>
      <w:r w:rsidR="00027D51">
        <w:rPr>
          <w:rFonts w:cs="Arial"/>
          <w:sz w:val="24"/>
          <w:szCs w:val="24"/>
        </w:rPr>
        <w:t>on</w:t>
      </w:r>
      <w:r w:rsidRPr="00646233">
        <w:rPr>
          <w:rFonts w:cs="Arial"/>
          <w:sz w:val="24"/>
          <w:szCs w:val="24"/>
        </w:rPr>
        <w:t xml:space="preserve"> and exposure assumptions discussed </w:t>
      </w:r>
      <w:r w:rsidR="00143AFF">
        <w:rPr>
          <w:rFonts w:cs="Arial"/>
          <w:sz w:val="24"/>
          <w:szCs w:val="24"/>
        </w:rPr>
        <w:t xml:space="preserve">in Section </w:t>
      </w:r>
      <w:r w:rsidR="00A34A85">
        <w:rPr>
          <w:rFonts w:cs="Arial"/>
          <w:sz w:val="24"/>
          <w:szCs w:val="24"/>
        </w:rPr>
        <w:t>2</w:t>
      </w:r>
      <w:r w:rsidRPr="00646233">
        <w:rPr>
          <w:rFonts w:cs="Arial"/>
          <w:sz w:val="24"/>
          <w:szCs w:val="24"/>
        </w:rPr>
        <w:t xml:space="preserve">. </w:t>
      </w:r>
      <w:r w:rsidR="00CF0E59">
        <w:rPr>
          <w:rFonts w:cs="Arial"/>
          <w:sz w:val="24"/>
          <w:szCs w:val="24"/>
        </w:rPr>
        <w:t xml:space="preserve">The </w:t>
      </w:r>
      <w:proofErr w:type="spellStart"/>
      <w:r w:rsidR="00CF0E59">
        <w:rPr>
          <w:rFonts w:cs="Arial"/>
          <w:sz w:val="24"/>
          <w:szCs w:val="24"/>
        </w:rPr>
        <w:t>cALs</w:t>
      </w:r>
      <w:proofErr w:type="spellEnd"/>
      <w:r w:rsidR="00CF0E59">
        <w:rPr>
          <w:rFonts w:cs="Arial"/>
          <w:sz w:val="24"/>
          <w:szCs w:val="24"/>
        </w:rPr>
        <w:t xml:space="preserve"> will be used to screen waterbodies, to determine whether further evaluation or risk reduction measures are required. </w:t>
      </w:r>
      <w:r w:rsidR="00A462D3">
        <w:rPr>
          <w:rFonts w:cs="Arial"/>
          <w:sz w:val="24"/>
          <w:szCs w:val="24"/>
        </w:rPr>
        <w:t xml:space="preserve">If the </w:t>
      </w:r>
      <w:proofErr w:type="spellStart"/>
      <w:r w:rsidR="00A462D3">
        <w:rPr>
          <w:rFonts w:cs="Arial"/>
          <w:sz w:val="24"/>
          <w:szCs w:val="24"/>
        </w:rPr>
        <w:t>cSWAL</w:t>
      </w:r>
      <w:proofErr w:type="spellEnd"/>
      <w:r w:rsidR="00A462D3">
        <w:rPr>
          <w:rFonts w:cs="Arial"/>
          <w:sz w:val="24"/>
          <w:szCs w:val="24"/>
        </w:rPr>
        <w:t xml:space="preserve"> is exceeded, DPH will conduct a waterbody</w:t>
      </w:r>
      <w:r w:rsidR="00461FFC">
        <w:rPr>
          <w:rFonts w:cs="Arial"/>
          <w:sz w:val="24"/>
          <w:szCs w:val="24"/>
        </w:rPr>
        <w:t>-</w:t>
      </w:r>
      <w:r w:rsidR="00A462D3">
        <w:rPr>
          <w:rFonts w:cs="Arial"/>
          <w:sz w:val="24"/>
          <w:szCs w:val="24"/>
        </w:rPr>
        <w:t xml:space="preserve">specific risk assessment to determine which </w:t>
      </w:r>
      <w:r w:rsidR="00461FFC">
        <w:rPr>
          <w:rFonts w:cs="Arial"/>
          <w:sz w:val="24"/>
          <w:szCs w:val="24"/>
        </w:rPr>
        <w:t xml:space="preserve">recreational activities (e.g., swimming, boating, wading) are safe, </w:t>
      </w:r>
      <w:r w:rsidR="00A34A85">
        <w:rPr>
          <w:rFonts w:cs="Arial"/>
          <w:sz w:val="24"/>
          <w:szCs w:val="24"/>
        </w:rPr>
        <w:t>as outlined in Section 3</w:t>
      </w:r>
      <w:r w:rsidR="00C820B1">
        <w:rPr>
          <w:rFonts w:cs="Arial"/>
          <w:sz w:val="24"/>
          <w:szCs w:val="24"/>
        </w:rPr>
        <w:t xml:space="preserve">. If the </w:t>
      </w:r>
      <w:proofErr w:type="spellStart"/>
      <w:r w:rsidR="00C820B1">
        <w:rPr>
          <w:rFonts w:cs="Arial"/>
          <w:sz w:val="24"/>
          <w:szCs w:val="24"/>
        </w:rPr>
        <w:t>cFAL</w:t>
      </w:r>
      <w:proofErr w:type="spellEnd"/>
      <w:r w:rsidR="00C820B1">
        <w:rPr>
          <w:rFonts w:cs="Arial"/>
          <w:sz w:val="24"/>
          <w:szCs w:val="24"/>
        </w:rPr>
        <w:t xml:space="preserve"> is exceeded, DPH will issue fish consumption advisories, </w:t>
      </w:r>
      <w:r w:rsidR="00A34A85">
        <w:rPr>
          <w:rFonts w:cs="Arial"/>
          <w:sz w:val="24"/>
          <w:szCs w:val="24"/>
        </w:rPr>
        <w:t>as outlined in Section 4</w:t>
      </w:r>
      <w:r w:rsidR="00C820B1">
        <w:rPr>
          <w:rFonts w:cs="Arial"/>
          <w:sz w:val="24"/>
          <w:szCs w:val="24"/>
        </w:rPr>
        <w:t xml:space="preserve">. </w:t>
      </w:r>
      <w:r w:rsidRPr="00646233">
        <w:rPr>
          <w:rFonts w:cs="Arial"/>
          <w:sz w:val="24"/>
          <w:szCs w:val="24"/>
        </w:rPr>
        <w:t xml:space="preserve">The </w:t>
      </w:r>
      <w:proofErr w:type="spellStart"/>
      <w:r w:rsidR="00FE501C">
        <w:rPr>
          <w:rFonts w:cs="Arial"/>
          <w:sz w:val="24"/>
          <w:szCs w:val="24"/>
        </w:rPr>
        <w:t>cALs</w:t>
      </w:r>
      <w:proofErr w:type="spellEnd"/>
      <w:r w:rsidRPr="00646233">
        <w:rPr>
          <w:rFonts w:cs="Arial"/>
          <w:sz w:val="24"/>
          <w:szCs w:val="24"/>
        </w:rPr>
        <w:t xml:space="preserve"> will be updated</w:t>
      </w:r>
      <w:r w:rsidR="00E41056" w:rsidRPr="00646233">
        <w:rPr>
          <w:rFonts w:cs="Arial"/>
          <w:sz w:val="24"/>
          <w:szCs w:val="24"/>
        </w:rPr>
        <w:t xml:space="preserve"> as new toxicity criteria and/or exposure assumptions are available.</w:t>
      </w:r>
    </w:p>
    <w:p w14:paraId="27356FA4" w14:textId="77777777" w:rsidR="00A91685" w:rsidRDefault="00A91685" w:rsidP="00A6663A">
      <w:pPr>
        <w:spacing w:after="0" w:line="240" w:lineRule="auto"/>
        <w:jc w:val="both"/>
        <w:rPr>
          <w:rFonts w:cs="Arial"/>
        </w:rPr>
      </w:pPr>
    </w:p>
    <w:p w14:paraId="2A06F074" w14:textId="380D229D" w:rsidR="00AD610F" w:rsidRDefault="008D4F08" w:rsidP="00C46CD5">
      <w:pPr>
        <w:pStyle w:val="Heading1"/>
      </w:pPr>
      <w:bookmarkStart w:id="1" w:name="_Toc87445195"/>
      <w:r>
        <w:t xml:space="preserve">SCREENING AND </w:t>
      </w:r>
      <w:r w:rsidRPr="00C46CD5">
        <w:t>EVALUATION</w:t>
      </w:r>
      <w:r>
        <w:t xml:space="preserve"> RECCOMENDATION</w:t>
      </w:r>
      <w:bookmarkEnd w:id="1"/>
    </w:p>
    <w:p w14:paraId="28C470A0" w14:textId="24CA5088" w:rsidR="008D4F08" w:rsidRPr="008D4F08" w:rsidRDefault="008D4F08" w:rsidP="00BD4CEE">
      <w:pPr>
        <w:spacing w:line="240" w:lineRule="auto"/>
        <w:jc w:val="both"/>
        <w:rPr>
          <w:sz w:val="24"/>
          <w:szCs w:val="24"/>
        </w:rPr>
      </w:pPr>
      <w:r w:rsidRPr="008D4F08">
        <w:rPr>
          <w:sz w:val="24"/>
          <w:szCs w:val="24"/>
        </w:rPr>
        <w:t xml:space="preserve">Screening values, including the </w:t>
      </w:r>
      <w:proofErr w:type="spellStart"/>
      <w:r w:rsidRPr="008D4F08">
        <w:rPr>
          <w:sz w:val="24"/>
          <w:szCs w:val="24"/>
        </w:rPr>
        <w:t>cALs</w:t>
      </w:r>
      <w:proofErr w:type="spellEnd"/>
      <w:r w:rsidRPr="008D4F08">
        <w:rPr>
          <w:sz w:val="24"/>
          <w:szCs w:val="24"/>
        </w:rPr>
        <w:t xml:space="preserve"> described here, are risk-based concentrations that account for both toxicity and potential exposure, and represent a concentration that is expected to be safe for all individuals</w:t>
      </w:r>
      <w:r w:rsidR="00A80DFA">
        <w:rPr>
          <w:sz w:val="24"/>
          <w:szCs w:val="24"/>
        </w:rPr>
        <w:t>, including potentially sensitive or vulnerable individuals</w:t>
      </w:r>
      <w:r w:rsidRPr="008D4F08">
        <w:rPr>
          <w:sz w:val="24"/>
          <w:szCs w:val="24"/>
        </w:rPr>
        <w:t xml:space="preserve">. The </w:t>
      </w:r>
      <w:r w:rsidR="00A80DFA">
        <w:rPr>
          <w:sz w:val="24"/>
          <w:szCs w:val="24"/>
        </w:rPr>
        <w:t>toxicity</w:t>
      </w:r>
      <w:r w:rsidRPr="008D4F08">
        <w:rPr>
          <w:sz w:val="24"/>
          <w:szCs w:val="24"/>
        </w:rPr>
        <w:t xml:space="preserve"> (or </w:t>
      </w:r>
      <w:r w:rsidR="00A80DFA">
        <w:rPr>
          <w:sz w:val="24"/>
          <w:szCs w:val="24"/>
        </w:rPr>
        <w:t>potency</w:t>
      </w:r>
      <w:r w:rsidRPr="008D4F08">
        <w:rPr>
          <w:sz w:val="24"/>
          <w:szCs w:val="24"/>
        </w:rPr>
        <w:t>) is characterized by established criteria, which represent a dose, in milligrams of contaminant per kg of body weight, that individuals can be exposed to every day without experiencing adverse health effects. The potential exposure is estimated by characterizing the magnitude, frequency, and duration of contact with the environmental media (e.g., such as surface water when swimming, or the consumption of locally caught fish).</w:t>
      </w:r>
    </w:p>
    <w:p w14:paraId="080FA990" w14:textId="7268C3DD" w:rsidR="008D4F08" w:rsidRDefault="00A80DFA" w:rsidP="00BD4CEE">
      <w:pPr>
        <w:spacing w:line="240" w:lineRule="auto"/>
        <w:jc w:val="both"/>
        <w:rPr>
          <w:sz w:val="24"/>
          <w:szCs w:val="24"/>
        </w:rPr>
      </w:pPr>
      <w:r w:rsidRPr="008D4F08">
        <w:rPr>
          <w:sz w:val="24"/>
          <w:szCs w:val="24"/>
        </w:rPr>
        <w:t xml:space="preserve">Toxicity criteria </w:t>
      </w:r>
      <w:r>
        <w:rPr>
          <w:sz w:val="24"/>
          <w:szCs w:val="24"/>
        </w:rPr>
        <w:t xml:space="preserve">for PFAS </w:t>
      </w:r>
      <w:r w:rsidRPr="008D4F08">
        <w:rPr>
          <w:sz w:val="24"/>
          <w:szCs w:val="24"/>
        </w:rPr>
        <w:t>have been developed by the Agency for Toxic Substances and Disease Registry (ATSDR)</w:t>
      </w:r>
      <w:r>
        <w:rPr>
          <w:sz w:val="24"/>
          <w:szCs w:val="24"/>
        </w:rPr>
        <w:t xml:space="preserve">, </w:t>
      </w:r>
      <w:r w:rsidRPr="008D4F08">
        <w:rPr>
          <w:sz w:val="24"/>
          <w:szCs w:val="24"/>
        </w:rPr>
        <w:t xml:space="preserve">MassDEP </w:t>
      </w:r>
      <w:r>
        <w:rPr>
          <w:sz w:val="24"/>
          <w:szCs w:val="24"/>
        </w:rPr>
        <w:t>and the US Environmental Protection Agency (US EPA). ATSDR non-cancer toxicity criteria are referred to as a Minimal Risk Level (MRL); non-cancer toxicity criteria developed by MassDEP and US EPA are referred to as a Reference Dose (</w:t>
      </w:r>
      <w:proofErr w:type="spellStart"/>
      <w:r>
        <w:rPr>
          <w:sz w:val="24"/>
          <w:szCs w:val="24"/>
        </w:rPr>
        <w:t>RfD</w:t>
      </w:r>
      <w:proofErr w:type="spellEnd"/>
      <w:r>
        <w:rPr>
          <w:sz w:val="24"/>
          <w:szCs w:val="24"/>
        </w:rPr>
        <w:t xml:space="preserve">). Functionally, MRLs are equivalent to </w:t>
      </w:r>
      <w:proofErr w:type="spellStart"/>
      <w:r>
        <w:rPr>
          <w:sz w:val="24"/>
          <w:szCs w:val="24"/>
        </w:rPr>
        <w:t>RfDs</w:t>
      </w:r>
      <w:proofErr w:type="spellEnd"/>
      <w:r w:rsidR="00201F80">
        <w:rPr>
          <w:sz w:val="24"/>
          <w:szCs w:val="24"/>
        </w:rPr>
        <w:t xml:space="preserve">. </w:t>
      </w:r>
      <w:r w:rsidR="002261CB">
        <w:rPr>
          <w:sz w:val="24"/>
          <w:szCs w:val="24"/>
        </w:rPr>
        <w:t xml:space="preserve">Candidate Action Levels for both surface water and fish are based on </w:t>
      </w:r>
      <w:r w:rsidR="002261CB">
        <w:rPr>
          <w:sz w:val="24"/>
          <w:szCs w:val="24"/>
        </w:rPr>
        <w:lastRenderedPageBreak/>
        <w:t xml:space="preserve">ATSDR’s MRL of </w:t>
      </w:r>
      <w:r w:rsidR="002261CB" w:rsidRPr="008D4F08">
        <w:rPr>
          <w:sz w:val="24"/>
          <w:szCs w:val="24"/>
        </w:rPr>
        <w:t>2.0 x 10</w:t>
      </w:r>
      <w:r w:rsidR="002261CB" w:rsidRPr="008D4F08">
        <w:rPr>
          <w:sz w:val="24"/>
          <w:szCs w:val="24"/>
          <w:vertAlign w:val="superscript"/>
        </w:rPr>
        <w:t>-6</w:t>
      </w:r>
      <w:r w:rsidR="002261CB" w:rsidRPr="008D4F08">
        <w:rPr>
          <w:sz w:val="24"/>
          <w:szCs w:val="24"/>
        </w:rPr>
        <w:t xml:space="preserve"> mg</w:t>
      </w:r>
      <w:r w:rsidR="002261CB">
        <w:rPr>
          <w:sz w:val="24"/>
          <w:szCs w:val="24"/>
        </w:rPr>
        <w:t xml:space="preserve">/kg-day for PFOS, which </w:t>
      </w:r>
      <w:r w:rsidR="002261CB" w:rsidRPr="008D4F08">
        <w:rPr>
          <w:sz w:val="24"/>
          <w:szCs w:val="24"/>
        </w:rPr>
        <w:t xml:space="preserve">ATSDR has determined is the most potent of the PFAS compounds </w:t>
      </w:r>
      <w:r w:rsidR="002261CB">
        <w:rPr>
          <w:sz w:val="24"/>
          <w:szCs w:val="24"/>
        </w:rPr>
        <w:t>for which there are</w:t>
      </w:r>
      <w:r w:rsidR="002261CB" w:rsidRPr="008D4F08">
        <w:rPr>
          <w:sz w:val="24"/>
          <w:szCs w:val="24"/>
        </w:rPr>
        <w:t xml:space="preserve"> </w:t>
      </w:r>
      <w:r w:rsidR="006F3BB7">
        <w:rPr>
          <w:sz w:val="24"/>
          <w:szCs w:val="24"/>
        </w:rPr>
        <w:t xml:space="preserve">suitable </w:t>
      </w:r>
      <w:r w:rsidR="002261CB" w:rsidRPr="008D4F08">
        <w:rPr>
          <w:sz w:val="24"/>
          <w:szCs w:val="24"/>
        </w:rPr>
        <w:t>data</w:t>
      </w:r>
      <w:r w:rsidR="006F3BB7">
        <w:rPr>
          <w:sz w:val="24"/>
          <w:szCs w:val="24"/>
        </w:rPr>
        <w:t xml:space="preserve"> for deriving toxicity criteria</w:t>
      </w:r>
      <w:r w:rsidR="00201F80">
        <w:rPr>
          <w:sz w:val="24"/>
          <w:szCs w:val="24"/>
        </w:rPr>
        <w:t xml:space="preserve"> (ATSDR, 2021)</w:t>
      </w:r>
      <w:r w:rsidR="008D4F08" w:rsidRPr="008D4F08">
        <w:rPr>
          <w:sz w:val="24"/>
          <w:szCs w:val="24"/>
        </w:rPr>
        <w:t xml:space="preserve">. </w:t>
      </w:r>
    </w:p>
    <w:p w14:paraId="4956DC8E" w14:textId="4D6517AF" w:rsidR="00A80DFA" w:rsidRPr="008D4F08" w:rsidRDefault="00143159" w:rsidP="00BD4CEE">
      <w:pPr>
        <w:spacing w:line="240" w:lineRule="auto"/>
        <w:jc w:val="both"/>
        <w:rPr>
          <w:sz w:val="24"/>
          <w:szCs w:val="24"/>
        </w:rPr>
      </w:pPr>
      <w:r>
        <w:rPr>
          <w:sz w:val="24"/>
          <w:szCs w:val="24"/>
        </w:rPr>
        <w:t>T</w:t>
      </w:r>
      <w:r w:rsidR="00A80DFA">
        <w:rPr>
          <w:sz w:val="24"/>
          <w:szCs w:val="24"/>
        </w:rPr>
        <w:t xml:space="preserve">he </w:t>
      </w:r>
      <w:proofErr w:type="spellStart"/>
      <w:r w:rsidR="00A80DFA">
        <w:rPr>
          <w:sz w:val="24"/>
          <w:szCs w:val="24"/>
        </w:rPr>
        <w:t>cAL</w:t>
      </w:r>
      <w:proofErr w:type="spellEnd"/>
      <w:r w:rsidR="00A80DFA">
        <w:rPr>
          <w:sz w:val="24"/>
          <w:szCs w:val="24"/>
        </w:rPr>
        <w:t xml:space="preserve"> represents a concentration that all individuals, including </w:t>
      </w:r>
      <w:r w:rsidR="004A4E7F">
        <w:rPr>
          <w:sz w:val="24"/>
          <w:szCs w:val="24"/>
        </w:rPr>
        <w:t>those who may be exposed to greater amounts of PFAS (i.e.</w:t>
      </w:r>
      <w:r w:rsidR="00201F80">
        <w:rPr>
          <w:sz w:val="24"/>
          <w:szCs w:val="24"/>
        </w:rPr>
        <w:t>,</w:t>
      </w:r>
      <w:r w:rsidR="004A4E7F">
        <w:rPr>
          <w:sz w:val="24"/>
          <w:szCs w:val="24"/>
        </w:rPr>
        <w:t xml:space="preserve"> vulnerable </w:t>
      </w:r>
      <w:r w:rsidR="00622828">
        <w:rPr>
          <w:sz w:val="24"/>
          <w:szCs w:val="24"/>
        </w:rPr>
        <w:t>individuals</w:t>
      </w:r>
      <w:r w:rsidR="004A4E7F">
        <w:rPr>
          <w:sz w:val="24"/>
          <w:szCs w:val="24"/>
        </w:rPr>
        <w:t>)</w:t>
      </w:r>
      <w:r w:rsidR="00622828">
        <w:rPr>
          <w:sz w:val="24"/>
          <w:szCs w:val="24"/>
        </w:rPr>
        <w:t>,</w:t>
      </w:r>
      <w:r w:rsidR="004A4E7F">
        <w:rPr>
          <w:sz w:val="24"/>
          <w:szCs w:val="24"/>
        </w:rPr>
        <w:t xml:space="preserve"> can be exposed</w:t>
      </w:r>
      <w:r w:rsidR="00A80DFA">
        <w:rPr>
          <w:sz w:val="24"/>
          <w:szCs w:val="24"/>
        </w:rPr>
        <w:t xml:space="preserve"> to without experiencing adverse health effects</w:t>
      </w:r>
      <w:r>
        <w:rPr>
          <w:sz w:val="24"/>
          <w:szCs w:val="24"/>
        </w:rPr>
        <w:t>. To be protective of all individuals under all reasonably foreseen exposure scenarios,</w:t>
      </w:r>
      <w:r w:rsidR="00A80DFA">
        <w:rPr>
          <w:sz w:val="24"/>
          <w:szCs w:val="24"/>
        </w:rPr>
        <w:t xml:space="preserve"> they are derived </w:t>
      </w:r>
      <w:r w:rsidR="00A80DFA" w:rsidRPr="008D4F08">
        <w:rPr>
          <w:sz w:val="24"/>
          <w:szCs w:val="24"/>
        </w:rPr>
        <w:t>assuming maximum potential exposure</w:t>
      </w:r>
      <w:r w:rsidR="004A4E7F">
        <w:rPr>
          <w:sz w:val="24"/>
          <w:szCs w:val="24"/>
        </w:rPr>
        <w:t xml:space="preserve">. </w:t>
      </w:r>
      <w:r>
        <w:rPr>
          <w:sz w:val="24"/>
          <w:szCs w:val="24"/>
        </w:rPr>
        <w:t>As such</w:t>
      </w:r>
      <w:r w:rsidR="004A4E7F">
        <w:rPr>
          <w:sz w:val="24"/>
          <w:szCs w:val="24"/>
        </w:rPr>
        <w:t>, values for characterizing the magnitude, frequency and duration of contact will likely overestimate actual contact for most, if not all individuals.</w:t>
      </w:r>
    </w:p>
    <w:p w14:paraId="0542109B" w14:textId="2739B7D4" w:rsidR="008D4F08" w:rsidRPr="00C46CD5" w:rsidRDefault="00E349CB" w:rsidP="00BD4CEE">
      <w:pPr>
        <w:spacing w:line="240" w:lineRule="auto"/>
        <w:jc w:val="both"/>
        <w:rPr>
          <w:sz w:val="24"/>
          <w:szCs w:val="24"/>
        </w:rPr>
      </w:pPr>
      <w:r>
        <w:rPr>
          <w:sz w:val="24"/>
          <w:szCs w:val="24"/>
        </w:rPr>
        <w:t xml:space="preserve">If </w:t>
      </w:r>
      <w:r w:rsidR="008D4F08" w:rsidRPr="008D4F08">
        <w:rPr>
          <w:sz w:val="24"/>
          <w:szCs w:val="24"/>
        </w:rPr>
        <w:t>a surface water or fish action level</w:t>
      </w:r>
      <w:r>
        <w:rPr>
          <w:sz w:val="24"/>
          <w:szCs w:val="24"/>
        </w:rPr>
        <w:t xml:space="preserve"> is exceeded</w:t>
      </w:r>
      <w:r w:rsidR="008D4F08" w:rsidRPr="008D4F08">
        <w:rPr>
          <w:sz w:val="24"/>
          <w:szCs w:val="24"/>
        </w:rPr>
        <w:t xml:space="preserve">, </w:t>
      </w:r>
      <w:r>
        <w:rPr>
          <w:sz w:val="24"/>
          <w:szCs w:val="24"/>
        </w:rPr>
        <w:t xml:space="preserve">DPH will conduct </w:t>
      </w:r>
      <w:r w:rsidR="007F051D">
        <w:rPr>
          <w:sz w:val="24"/>
          <w:szCs w:val="24"/>
        </w:rPr>
        <w:t xml:space="preserve">a waterbody-specific </w:t>
      </w:r>
      <w:r>
        <w:rPr>
          <w:sz w:val="24"/>
          <w:szCs w:val="24"/>
        </w:rPr>
        <w:t>evaluation. For surface water, DPH will conduct a waterbody-specific risk assessment, using exposure parameters tailored to expected use of the waterbody in question. For fish, DPH will issue waterbody-specific fish consumption advisories, based on the concentration of PFAS detected in fish. Exceedance of action levels</w:t>
      </w:r>
      <w:r w:rsidR="008D4F08" w:rsidRPr="008D4F08">
        <w:rPr>
          <w:sz w:val="24"/>
          <w:szCs w:val="24"/>
        </w:rPr>
        <w:t xml:space="preserve"> will also trigger a consideration of non-recreational activities (</w:t>
      </w:r>
      <w:proofErr w:type="gramStart"/>
      <w:r w:rsidR="008D4F08" w:rsidRPr="008D4F08">
        <w:rPr>
          <w:sz w:val="24"/>
          <w:szCs w:val="24"/>
        </w:rPr>
        <w:t>e.g.</w:t>
      </w:r>
      <w:proofErr w:type="gramEnd"/>
      <w:r w:rsidR="008D4F08" w:rsidRPr="008D4F08">
        <w:rPr>
          <w:sz w:val="24"/>
          <w:szCs w:val="24"/>
        </w:rPr>
        <w:t xml:space="preserve"> subsistence fishing), that could result in </w:t>
      </w:r>
      <w:r w:rsidR="006F3BB7">
        <w:rPr>
          <w:sz w:val="24"/>
          <w:szCs w:val="24"/>
        </w:rPr>
        <w:t xml:space="preserve">potentially </w:t>
      </w:r>
      <w:r w:rsidR="008D4F08" w:rsidRPr="008D4F08">
        <w:rPr>
          <w:sz w:val="24"/>
          <w:szCs w:val="24"/>
        </w:rPr>
        <w:t>greater PFAS exposure</w:t>
      </w:r>
      <w:r w:rsidR="00201F80">
        <w:rPr>
          <w:sz w:val="24"/>
          <w:szCs w:val="24"/>
        </w:rPr>
        <w:t xml:space="preserve"> than would occur under a recreational exposure scenario</w:t>
      </w:r>
      <w:r w:rsidR="008D4F08" w:rsidRPr="008D4F08">
        <w:rPr>
          <w:sz w:val="24"/>
          <w:szCs w:val="24"/>
        </w:rPr>
        <w:t>.</w:t>
      </w:r>
    </w:p>
    <w:p w14:paraId="747004AE" w14:textId="5DCF6112" w:rsidR="005A3A0D" w:rsidRPr="00C46CD5" w:rsidRDefault="00764B20" w:rsidP="000D3483">
      <w:pPr>
        <w:pStyle w:val="Heading2"/>
      </w:pPr>
      <w:bookmarkStart w:id="2" w:name="_Toc87445196"/>
      <w:r>
        <w:t>2.1</w:t>
      </w:r>
      <w:r>
        <w:tab/>
      </w:r>
      <w:r w:rsidR="008D4F08" w:rsidRPr="00C46CD5">
        <w:t>Surface Water Action Level</w:t>
      </w:r>
      <w:bookmarkEnd w:id="2"/>
    </w:p>
    <w:p w14:paraId="09D47E30" w14:textId="06C65EEC" w:rsidR="000D046E" w:rsidRPr="000D046E" w:rsidRDefault="000D046E" w:rsidP="00BD4CEE">
      <w:pPr>
        <w:spacing w:line="240" w:lineRule="auto"/>
        <w:jc w:val="both"/>
        <w:rPr>
          <w:rFonts w:cstheme="minorHAnsi"/>
          <w:sz w:val="24"/>
          <w:szCs w:val="24"/>
        </w:rPr>
      </w:pPr>
      <w:r w:rsidRPr="000D046E">
        <w:rPr>
          <w:rFonts w:cstheme="minorHAnsi"/>
          <w:sz w:val="24"/>
          <w:szCs w:val="24"/>
        </w:rPr>
        <w:t xml:space="preserve">DPH recommends a </w:t>
      </w:r>
      <w:r w:rsidRPr="000D046E">
        <w:rPr>
          <w:rFonts w:cstheme="minorHAnsi"/>
          <w:b/>
          <w:sz w:val="24"/>
          <w:szCs w:val="24"/>
        </w:rPr>
        <w:t>candidate Surface Water Action Level (</w:t>
      </w:r>
      <w:proofErr w:type="spellStart"/>
      <w:r w:rsidRPr="000D046E">
        <w:rPr>
          <w:rFonts w:cstheme="minorHAnsi"/>
          <w:b/>
          <w:sz w:val="24"/>
          <w:szCs w:val="24"/>
        </w:rPr>
        <w:t>cSWAL</w:t>
      </w:r>
      <w:proofErr w:type="spellEnd"/>
      <w:r w:rsidRPr="000D046E">
        <w:rPr>
          <w:rFonts w:cstheme="minorHAnsi"/>
          <w:b/>
          <w:sz w:val="24"/>
          <w:szCs w:val="24"/>
        </w:rPr>
        <w:t xml:space="preserve">) of 23 ng of PFAS per </w:t>
      </w:r>
      <w:r w:rsidR="00E63A22">
        <w:rPr>
          <w:rFonts w:cstheme="minorHAnsi"/>
          <w:b/>
          <w:sz w:val="24"/>
          <w:szCs w:val="24"/>
        </w:rPr>
        <w:t>l</w:t>
      </w:r>
      <w:r w:rsidRPr="000D046E">
        <w:rPr>
          <w:rFonts w:cstheme="minorHAnsi"/>
          <w:b/>
          <w:sz w:val="24"/>
          <w:szCs w:val="24"/>
        </w:rPr>
        <w:t xml:space="preserve">iter of water </w:t>
      </w:r>
      <w:r w:rsidR="00060148">
        <w:rPr>
          <w:rFonts w:cstheme="minorHAnsi"/>
          <w:b/>
          <w:sz w:val="24"/>
          <w:szCs w:val="24"/>
        </w:rPr>
        <w:t xml:space="preserve">(ng/L) </w:t>
      </w:r>
      <w:r w:rsidRPr="000D046E">
        <w:rPr>
          <w:rFonts w:cstheme="minorHAnsi"/>
          <w:sz w:val="24"/>
          <w:szCs w:val="24"/>
        </w:rPr>
        <w:t xml:space="preserve">for surface waterbodies that are intended for swimming (e.g., permitted bathing beaches). Consistent with ATSDR recommendations for evaluating PFAS compounds individually, this value should be applied to individual measurements of </w:t>
      </w:r>
      <w:r w:rsidR="00A13574">
        <w:rPr>
          <w:rFonts w:cstheme="minorHAnsi"/>
          <w:sz w:val="24"/>
          <w:szCs w:val="24"/>
        </w:rPr>
        <w:t>all PFAS for which there are established toxicity criteria</w:t>
      </w:r>
      <w:r w:rsidR="00201F80">
        <w:rPr>
          <w:rFonts w:cstheme="minorHAnsi"/>
          <w:sz w:val="24"/>
          <w:szCs w:val="24"/>
        </w:rPr>
        <w:t xml:space="preserve">. Currently, there are </w:t>
      </w:r>
      <w:r w:rsidR="004604B0">
        <w:rPr>
          <w:rFonts w:cstheme="minorHAnsi"/>
          <w:sz w:val="24"/>
          <w:szCs w:val="24"/>
        </w:rPr>
        <w:t xml:space="preserve">established toxicity criteria for five PFAS, </w:t>
      </w:r>
      <w:r w:rsidR="00B149FB">
        <w:rPr>
          <w:rFonts w:cstheme="minorHAnsi"/>
          <w:sz w:val="24"/>
          <w:szCs w:val="24"/>
        </w:rPr>
        <w:t xml:space="preserve">including: </w:t>
      </w:r>
      <w:proofErr w:type="spellStart"/>
      <w:r w:rsidR="009D69F5">
        <w:rPr>
          <w:rFonts w:cstheme="minorHAnsi"/>
          <w:sz w:val="24"/>
          <w:szCs w:val="24"/>
        </w:rPr>
        <w:t>perfluorobutane</w:t>
      </w:r>
      <w:proofErr w:type="spellEnd"/>
      <w:r w:rsidR="009D69F5">
        <w:rPr>
          <w:rFonts w:cstheme="minorHAnsi"/>
          <w:sz w:val="24"/>
          <w:szCs w:val="24"/>
        </w:rPr>
        <w:t xml:space="preserve"> sulfonic acid (PFBS), </w:t>
      </w:r>
      <w:proofErr w:type="spellStart"/>
      <w:r w:rsidR="001F1DE2" w:rsidRPr="000D046E">
        <w:rPr>
          <w:rFonts w:cstheme="minorHAnsi"/>
          <w:sz w:val="24"/>
          <w:szCs w:val="24"/>
        </w:rPr>
        <w:t>perfluorohexane</w:t>
      </w:r>
      <w:proofErr w:type="spellEnd"/>
      <w:r w:rsidR="001F1DE2">
        <w:rPr>
          <w:rFonts w:cstheme="minorHAnsi"/>
          <w:sz w:val="24"/>
          <w:szCs w:val="24"/>
        </w:rPr>
        <w:t xml:space="preserve"> </w:t>
      </w:r>
      <w:r w:rsidR="001F1DE2" w:rsidRPr="000D046E">
        <w:rPr>
          <w:rFonts w:cstheme="minorHAnsi"/>
          <w:sz w:val="24"/>
          <w:szCs w:val="24"/>
        </w:rPr>
        <w:t>sulfonic acid (</w:t>
      </w:r>
      <w:proofErr w:type="spellStart"/>
      <w:r w:rsidR="001F1DE2" w:rsidRPr="000D046E">
        <w:rPr>
          <w:rFonts w:cstheme="minorHAnsi"/>
          <w:sz w:val="24"/>
          <w:szCs w:val="24"/>
        </w:rPr>
        <w:t>PFHxS</w:t>
      </w:r>
      <w:proofErr w:type="spellEnd"/>
      <w:r w:rsidR="001F1DE2" w:rsidRPr="000D046E">
        <w:rPr>
          <w:rFonts w:cstheme="minorHAnsi"/>
          <w:sz w:val="24"/>
          <w:szCs w:val="24"/>
        </w:rPr>
        <w:t>)</w:t>
      </w:r>
      <w:r w:rsidR="001F1DE2">
        <w:rPr>
          <w:rFonts w:cstheme="minorHAnsi"/>
          <w:sz w:val="24"/>
          <w:szCs w:val="24"/>
        </w:rPr>
        <w:t xml:space="preserve">, </w:t>
      </w:r>
      <w:r w:rsidRPr="000D046E">
        <w:rPr>
          <w:rFonts w:cstheme="minorHAnsi"/>
          <w:sz w:val="24"/>
          <w:szCs w:val="24"/>
        </w:rPr>
        <w:t xml:space="preserve">perfluorooctanoic acid (PFOA), </w:t>
      </w:r>
      <w:proofErr w:type="spellStart"/>
      <w:r w:rsidRPr="000D046E">
        <w:rPr>
          <w:rFonts w:cstheme="minorHAnsi"/>
          <w:sz w:val="24"/>
          <w:szCs w:val="24"/>
        </w:rPr>
        <w:t>perfluorooctane</w:t>
      </w:r>
      <w:proofErr w:type="spellEnd"/>
      <w:r w:rsidRPr="000D046E">
        <w:rPr>
          <w:rFonts w:cstheme="minorHAnsi"/>
          <w:sz w:val="24"/>
          <w:szCs w:val="24"/>
        </w:rPr>
        <w:t xml:space="preserve"> sulfon</w:t>
      </w:r>
      <w:r w:rsidR="001F1DE2">
        <w:rPr>
          <w:rFonts w:cstheme="minorHAnsi"/>
          <w:sz w:val="24"/>
          <w:szCs w:val="24"/>
        </w:rPr>
        <w:t>ic acid</w:t>
      </w:r>
      <w:r w:rsidRPr="000D046E">
        <w:rPr>
          <w:rFonts w:cstheme="minorHAnsi"/>
          <w:sz w:val="24"/>
          <w:szCs w:val="24"/>
        </w:rPr>
        <w:t xml:space="preserve"> (PFOS), </w:t>
      </w:r>
      <w:r w:rsidR="001F1DE2">
        <w:rPr>
          <w:rFonts w:cstheme="minorHAnsi"/>
          <w:sz w:val="24"/>
          <w:szCs w:val="24"/>
        </w:rPr>
        <w:t xml:space="preserve">and </w:t>
      </w:r>
      <w:proofErr w:type="spellStart"/>
      <w:r w:rsidRPr="000D046E">
        <w:rPr>
          <w:rFonts w:cstheme="minorHAnsi"/>
          <w:sz w:val="24"/>
          <w:szCs w:val="24"/>
        </w:rPr>
        <w:t>perfluorononanoic</w:t>
      </w:r>
      <w:proofErr w:type="spellEnd"/>
      <w:r w:rsidRPr="000D046E">
        <w:rPr>
          <w:rFonts w:cstheme="minorHAnsi"/>
          <w:sz w:val="24"/>
          <w:szCs w:val="24"/>
        </w:rPr>
        <w:t xml:space="preserve"> acid (PFNA)</w:t>
      </w:r>
      <w:r w:rsidR="001F1DE2">
        <w:rPr>
          <w:rFonts w:cstheme="minorHAnsi"/>
          <w:sz w:val="24"/>
          <w:szCs w:val="24"/>
        </w:rPr>
        <w:t>.</w:t>
      </w:r>
      <w:r w:rsidR="00143159" w:rsidRPr="000D046E">
        <w:rPr>
          <w:rFonts w:cstheme="minorHAnsi"/>
          <w:sz w:val="24"/>
          <w:szCs w:val="24"/>
        </w:rPr>
        <w:t xml:space="preserve"> </w:t>
      </w:r>
      <w:r w:rsidR="00143159">
        <w:rPr>
          <w:rFonts w:cstheme="minorHAnsi"/>
          <w:sz w:val="24"/>
          <w:szCs w:val="24"/>
        </w:rPr>
        <w:t>If the</w:t>
      </w:r>
      <w:r w:rsidR="00143159" w:rsidRPr="00231A7C">
        <w:rPr>
          <w:rFonts w:cstheme="minorHAnsi"/>
          <w:sz w:val="24"/>
          <w:szCs w:val="24"/>
        </w:rPr>
        <w:t xml:space="preserve"> concentration </w:t>
      </w:r>
      <w:r w:rsidR="00143159">
        <w:rPr>
          <w:rFonts w:cstheme="minorHAnsi"/>
          <w:sz w:val="24"/>
          <w:szCs w:val="24"/>
        </w:rPr>
        <w:t>of all five PFAS are less than</w:t>
      </w:r>
      <w:r w:rsidR="00143159" w:rsidRPr="00231A7C">
        <w:rPr>
          <w:rFonts w:cstheme="minorHAnsi"/>
          <w:sz w:val="24"/>
          <w:szCs w:val="24"/>
        </w:rPr>
        <w:t xml:space="preserve"> </w:t>
      </w:r>
      <w:r w:rsidR="00143159">
        <w:rPr>
          <w:rFonts w:cstheme="minorHAnsi"/>
          <w:sz w:val="24"/>
          <w:szCs w:val="24"/>
        </w:rPr>
        <w:t xml:space="preserve">23 ng/L, the waterbody would be safe for </w:t>
      </w:r>
      <w:r w:rsidR="00143159" w:rsidRPr="00231A7C">
        <w:rPr>
          <w:rFonts w:cstheme="minorHAnsi"/>
          <w:sz w:val="24"/>
          <w:szCs w:val="24"/>
        </w:rPr>
        <w:t>swimming</w:t>
      </w:r>
      <w:r w:rsidR="00143159">
        <w:rPr>
          <w:rFonts w:cstheme="minorHAnsi"/>
          <w:sz w:val="24"/>
          <w:szCs w:val="24"/>
        </w:rPr>
        <w:t>,</w:t>
      </w:r>
      <w:r w:rsidR="00143159" w:rsidRPr="00231A7C">
        <w:rPr>
          <w:rFonts w:cstheme="minorHAnsi"/>
          <w:sz w:val="24"/>
          <w:szCs w:val="24"/>
        </w:rPr>
        <w:t xml:space="preserve"> for all age groups.</w:t>
      </w:r>
      <w:r w:rsidR="00143159" w:rsidRPr="000D046E">
        <w:rPr>
          <w:rFonts w:cstheme="minorHAnsi"/>
          <w:sz w:val="24"/>
          <w:szCs w:val="24"/>
        </w:rPr>
        <w:t xml:space="preserve"> </w:t>
      </w:r>
      <w:r w:rsidRPr="000D046E">
        <w:rPr>
          <w:rFonts w:cstheme="minorHAnsi"/>
          <w:sz w:val="24"/>
          <w:szCs w:val="24"/>
        </w:rPr>
        <w:t xml:space="preserve">If </w:t>
      </w:r>
      <w:r w:rsidRPr="000D046E">
        <w:rPr>
          <w:rFonts w:cstheme="minorHAnsi"/>
          <w:i/>
          <w:sz w:val="24"/>
          <w:szCs w:val="24"/>
        </w:rPr>
        <w:t>any</w:t>
      </w:r>
      <w:r w:rsidRPr="000D046E">
        <w:rPr>
          <w:rFonts w:cstheme="minorHAnsi"/>
          <w:sz w:val="24"/>
          <w:szCs w:val="24"/>
        </w:rPr>
        <w:t xml:space="preserve"> of these compounds (individually) exceed a </w:t>
      </w:r>
      <w:proofErr w:type="spellStart"/>
      <w:r w:rsidRPr="000D046E">
        <w:rPr>
          <w:rFonts w:cstheme="minorHAnsi"/>
          <w:sz w:val="24"/>
          <w:szCs w:val="24"/>
        </w:rPr>
        <w:t>cSWAL</w:t>
      </w:r>
      <w:proofErr w:type="spellEnd"/>
      <w:r w:rsidRPr="000D046E">
        <w:rPr>
          <w:rFonts w:cstheme="minorHAnsi"/>
          <w:sz w:val="24"/>
          <w:szCs w:val="24"/>
        </w:rPr>
        <w:t xml:space="preserve"> of 23 </w:t>
      </w:r>
      <w:r w:rsidR="004F0497">
        <w:rPr>
          <w:rFonts w:cstheme="minorHAnsi"/>
          <w:sz w:val="24"/>
          <w:szCs w:val="24"/>
        </w:rPr>
        <w:t>ng/L,</w:t>
      </w:r>
      <w:r w:rsidRPr="000D046E">
        <w:rPr>
          <w:rFonts w:cstheme="minorHAnsi"/>
          <w:sz w:val="24"/>
          <w:szCs w:val="24"/>
        </w:rPr>
        <w:t xml:space="preserve"> a </w:t>
      </w:r>
      <w:r w:rsidR="00C6642F">
        <w:rPr>
          <w:rFonts w:cstheme="minorHAnsi"/>
          <w:sz w:val="24"/>
          <w:szCs w:val="24"/>
        </w:rPr>
        <w:t>waterbody-specific risk assessment</w:t>
      </w:r>
      <w:r w:rsidRPr="000D046E">
        <w:rPr>
          <w:rFonts w:cstheme="minorHAnsi"/>
          <w:sz w:val="24"/>
          <w:szCs w:val="24"/>
        </w:rPr>
        <w:t xml:space="preserve"> would be required.</w:t>
      </w:r>
      <w:r w:rsidR="00143159" w:rsidRPr="000D046E" w:rsidDel="00143159">
        <w:rPr>
          <w:rFonts w:cstheme="minorHAnsi"/>
          <w:sz w:val="24"/>
          <w:szCs w:val="24"/>
        </w:rPr>
        <w:t xml:space="preserve"> </w:t>
      </w:r>
    </w:p>
    <w:p w14:paraId="7F94AAE2" w14:textId="3788B1CC" w:rsidR="000D046E" w:rsidRPr="00231A7C" w:rsidRDefault="000D046E" w:rsidP="000D046E">
      <w:pPr>
        <w:jc w:val="both"/>
        <w:rPr>
          <w:rFonts w:cstheme="minorHAnsi"/>
          <w:sz w:val="24"/>
          <w:szCs w:val="24"/>
        </w:rPr>
      </w:pPr>
      <w:r w:rsidRPr="00231A7C">
        <w:rPr>
          <w:rFonts w:cstheme="minorHAnsi"/>
          <w:sz w:val="24"/>
          <w:szCs w:val="24"/>
        </w:rPr>
        <w:t>The development of th</w:t>
      </w:r>
      <w:r w:rsidR="004604B0">
        <w:rPr>
          <w:rFonts w:cstheme="minorHAnsi"/>
          <w:sz w:val="24"/>
          <w:szCs w:val="24"/>
        </w:rPr>
        <w:t>e</w:t>
      </w:r>
      <w:r w:rsidRPr="00231A7C">
        <w:rPr>
          <w:rFonts w:cstheme="minorHAnsi"/>
          <w:sz w:val="24"/>
          <w:szCs w:val="24"/>
        </w:rPr>
        <w:t xml:space="preserve"> </w:t>
      </w:r>
      <w:proofErr w:type="spellStart"/>
      <w:r w:rsidRPr="00231A7C">
        <w:rPr>
          <w:rFonts w:cstheme="minorHAnsi"/>
          <w:sz w:val="24"/>
          <w:szCs w:val="24"/>
        </w:rPr>
        <w:t>cSWAL</w:t>
      </w:r>
      <w:proofErr w:type="spellEnd"/>
      <w:r w:rsidRPr="00231A7C">
        <w:rPr>
          <w:rFonts w:cstheme="minorHAnsi"/>
          <w:sz w:val="24"/>
          <w:szCs w:val="24"/>
        </w:rPr>
        <w:t xml:space="preserve"> is based on the following assumptions</w:t>
      </w:r>
      <w:r w:rsidR="004D4027">
        <w:rPr>
          <w:rFonts w:cstheme="minorHAnsi"/>
          <w:sz w:val="24"/>
          <w:szCs w:val="24"/>
        </w:rPr>
        <w:t>:</w:t>
      </w:r>
    </w:p>
    <w:p w14:paraId="34235883" w14:textId="010CA61E" w:rsidR="000D046E" w:rsidRPr="007F051D" w:rsidRDefault="000D046E" w:rsidP="006F3BB7">
      <w:pPr>
        <w:pStyle w:val="ListParagraph"/>
        <w:numPr>
          <w:ilvl w:val="0"/>
          <w:numId w:val="17"/>
        </w:numPr>
        <w:spacing w:after="120" w:line="240" w:lineRule="auto"/>
        <w:contextualSpacing w:val="0"/>
        <w:jc w:val="both"/>
        <w:rPr>
          <w:rFonts w:cstheme="minorHAnsi"/>
          <w:sz w:val="24"/>
          <w:szCs w:val="24"/>
        </w:rPr>
      </w:pPr>
      <w:r w:rsidRPr="007F051D">
        <w:rPr>
          <w:rFonts w:cstheme="minorHAnsi"/>
          <w:sz w:val="24"/>
          <w:szCs w:val="24"/>
        </w:rPr>
        <w:t xml:space="preserve">A single </w:t>
      </w:r>
      <w:r w:rsidR="007F051D" w:rsidRPr="007F051D">
        <w:rPr>
          <w:rFonts w:cstheme="minorHAnsi"/>
          <w:sz w:val="24"/>
          <w:szCs w:val="24"/>
        </w:rPr>
        <w:t>screening value</w:t>
      </w:r>
      <w:r w:rsidRPr="007F051D">
        <w:rPr>
          <w:rFonts w:cstheme="minorHAnsi"/>
          <w:sz w:val="24"/>
          <w:szCs w:val="24"/>
        </w:rPr>
        <w:t xml:space="preserve"> </w:t>
      </w:r>
      <w:r w:rsidR="007F051D" w:rsidRPr="007F051D">
        <w:rPr>
          <w:rFonts w:cstheme="minorHAnsi"/>
          <w:sz w:val="24"/>
          <w:szCs w:val="24"/>
        </w:rPr>
        <w:t xml:space="preserve">that can be applied to all PFAS </w:t>
      </w:r>
      <w:r w:rsidRPr="007F051D">
        <w:rPr>
          <w:rFonts w:cstheme="minorHAnsi"/>
          <w:sz w:val="24"/>
          <w:szCs w:val="24"/>
        </w:rPr>
        <w:t xml:space="preserve">is needed to determine when </w:t>
      </w:r>
      <w:r w:rsidR="007F051D" w:rsidRPr="007F051D">
        <w:rPr>
          <w:rFonts w:cstheme="minorHAnsi"/>
          <w:sz w:val="24"/>
          <w:szCs w:val="24"/>
        </w:rPr>
        <w:t>a</w:t>
      </w:r>
      <w:r w:rsidRPr="007F051D">
        <w:rPr>
          <w:rFonts w:cstheme="minorHAnsi"/>
          <w:sz w:val="24"/>
          <w:szCs w:val="24"/>
        </w:rPr>
        <w:t xml:space="preserve"> waterbody is assumed to be safe for </w:t>
      </w:r>
      <w:r w:rsidR="001225E1" w:rsidRPr="007F051D">
        <w:rPr>
          <w:rFonts w:cstheme="minorHAnsi"/>
          <w:sz w:val="24"/>
          <w:szCs w:val="24"/>
        </w:rPr>
        <w:t xml:space="preserve">unlimited engagement in </w:t>
      </w:r>
      <w:r w:rsidRPr="007F051D">
        <w:rPr>
          <w:rFonts w:cstheme="minorHAnsi"/>
          <w:sz w:val="24"/>
          <w:szCs w:val="24"/>
        </w:rPr>
        <w:t>a</w:t>
      </w:r>
      <w:r w:rsidR="007F051D" w:rsidRPr="007F051D">
        <w:rPr>
          <w:rFonts w:cstheme="minorHAnsi"/>
          <w:sz w:val="24"/>
          <w:szCs w:val="24"/>
        </w:rPr>
        <w:t>ny</w:t>
      </w:r>
      <w:r w:rsidRPr="007F051D">
        <w:rPr>
          <w:rFonts w:cstheme="minorHAnsi"/>
          <w:sz w:val="24"/>
          <w:szCs w:val="24"/>
        </w:rPr>
        <w:t xml:space="preserve"> recreational activit</w:t>
      </w:r>
      <w:r w:rsidR="004604B0">
        <w:rPr>
          <w:rFonts w:cstheme="minorHAnsi"/>
          <w:sz w:val="24"/>
          <w:szCs w:val="24"/>
        </w:rPr>
        <w:t>y</w:t>
      </w:r>
      <w:r w:rsidR="00316EF5" w:rsidRPr="007F051D">
        <w:rPr>
          <w:rFonts w:cstheme="minorHAnsi"/>
          <w:sz w:val="24"/>
          <w:szCs w:val="24"/>
        </w:rPr>
        <w:t xml:space="preserve">, under all </w:t>
      </w:r>
      <w:r w:rsidR="001225E1" w:rsidRPr="007F051D">
        <w:rPr>
          <w:rFonts w:cstheme="minorHAnsi"/>
          <w:sz w:val="24"/>
          <w:szCs w:val="24"/>
        </w:rPr>
        <w:t xml:space="preserve">reasonably anticipated </w:t>
      </w:r>
      <w:r w:rsidR="00316EF5" w:rsidRPr="007F051D">
        <w:rPr>
          <w:rFonts w:cstheme="minorHAnsi"/>
          <w:sz w:val="24"/>
          <w:szCs w:val="24"/>
        </w:rPr>
        <w:t>circumstances</w:t>
      </w:r>
      <w:r w:rsidRPr="007F051D">
        <w:rPr>
          <w:rFonts w:cstheme="minorHAnsi"/>
          <w:sz w:val="24"/>
          <w:szCs w:val="24"/>
        </w:rPr>
        <w:t xml:space="preserve">. </w:t>
      </w:r>
    </w:p>
    <w:p w14:paraId="7928E604" w14:textId="2C1A8226" w:rsidR="000D046E" w:rsidRDefault="000D046E" w:rsidP="006F3BB7">
      <w:pPr>
        <w:pStyle w:val="ListParagraph"/>
        <w:numPr>
          <w:ilvl w:val="0"/>
          <w:numId w:val="17"/>
        </w:numPr>
        <w:spacing w:after="120" w:line="240" w:lineRule="auto"/>
        <w:contextualSpacing w:val="0"/>
        <w:jc w:val="both"/>
        <w:rPr>
          <w:rFonts w:cstheme="minorHAnsi"/>
          <w:sz w:val="24"/>
          <w:szCs w:val="24"/>
        </w:rPr>
      </w:pPr>
      <w:r w:rsidRPr="00231A7C">
        <w:rPr>
          <w:rFonts w:cstheme="minorHAnsi"/>
          <w:sz w:val="24"/>
          <w:szCs w:val="24"/>
        </w:rPr>
        <w:t xml:space="preserve">The primary </w:t>
      </w:r>
      <w:r w:rsidR="004604B0">
        <w:rPr>
          <w:rFonts w:cstheme="minorHAnsi"/>
          <w:sz w:val="24"/>
          <w:szCs w:val="24"/>
        </w:rPr>
        <w:t>route</w:t>
      </w:r>
      <w:r w:rsidRPr="00231A7C">
        <w:rPr>
          <w:rFonts w:cstheme="minorHAnsi"/>
          <w:sz w:val="24"/>
          <w:szCs w:val="24"/>
        </w:rPr>
        <w:t xml:space="preserve"> of exposure to PFAS in surface water is incidental, or non-intentional ingestion of water. The absorption of PFAS through the skin is a negligible source of potential exposure. Among all potential recreational activities (e.g., swimming, paddle boarding, kayaking, etc.), incidental/non-intentional ingestion is greatest during swimming.</w:t>
      </w:r>
    </w:p>
    <w:p w14:paraId="4F3490D2" w14:textId="3E51AD65" w:rsidR="00B57D5F" w:rsidRDefault="00B57D5F" w:rsidP="000D046E">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The most vulnerable receptor, based on surface water ingestion relative to body weight, is a young child, aged 2 to &lt; 6 years</w:t>
      </w:r>
      <w:r w:rsidR="004604B0">
        <w:rPr>
          <w:rFonts w:cstheme="minorHAnsi"/>
          <w:sz w:val="24"/>
          <w:szCs w:val="24"/>
        </w:rPr>
        <w:t>, with a body weight of 17.4 kg (ATSDR, 2016)</w:t>
      </w:r>
      <w:r>
        <w:rPr>
          <w:rFonts w:cstheme="minorHAnsi"/>
          <w:sz w:val="24"/>
          <w:szCs w:val="24"/>
        </w:rPr>
        <w:t>.</w:t>
      </w:r>
    </w:p>
    <w:p w14:paraId="5E75E3B1" w14:textId="77777777" w:rsidR="00354A73" w:rsidRPr="00354A73" w:rsidRDefault="00354A73" w:rsidP="00354A73">
      <w:pPr>
        <w:jc w:val="right"/>
      </w:pPr>
    </w:p>
    <w:p w14:paraId="52589A7A" w14:textId="7E2CA68D" w:rsidR="000D046E" w:rsidRPr="00231A7C" w:rsidRDefault="000D046E" w:rsidP="006F3BB7">
      <w:pPr>
        <w:pStyle w:val="ListParagraph"/>
        <w:numPr>
          <w:ilvl w:val="0"/>
          <w:numId w:val="17"/>
        </w:numPr>
        <w:spacing w:after="0" w:line="240" w:lineRule="auto"/>
        <w:contextualSpacing w:val="0"/>
        <w:jc w:val="both"/>
        <w:rPr>
          <w:rFonts w:cstheme="minorHAnsi"/>
          <w:sz w:val="24"/>
          <w:szCs w:val="24"/>
        </w:rPr>
      </w:pPr>
      <w:r w:rsidRPr="00231A7C">
        <w:rPr>
          <w:rFonts w:cstheme="minorHAnsi"/>
          <w:sz w:val="24"/>
          <w:szCs w:val="24"/>
        </w:rPr>
        <w:t xml:space="preserve">The </w:t>
      </w:r>
      <w:proofErr w:type="spellStart"/>
      <w:r w:rsidRPr="00231A7C">
        <w:rPr>
          <w:rFonts w:cstheme="minorHAnsi"/>
          <w:sz w:val="24"/>
          <w:szCs w:val="24"/>
        </w:rPr>
        <w:t>cSWAL</w:t>
      </w:r>
      <w:proofErr w:type="spellEnd"/>
      <w:r w:rsidRPr="00231A7C">
        <w:rPr>
          <w:rFonts w:cstheme="minorHAnsi"/>
          <w:sz w:val="24"/>
          <w:szCs w:val="24"/>
        </w:rPr>
        <w:t xml:space="preserve"> incorporates </w:t>
      </w:r>
      <w:r w:rsidR="007F051D">
        <w:rPr>
          <w:rFonts w:cstheme="minorHAnsi"/>
          <w:sz w:val="24"/>
          <w:szCs w:val="24"/>
        </w:rPr>
        <w:t xml:space="preserve">reasonable </w:t>
      </w:r>
      <w:r w:rsidRPr="00231A7C">
        <w:rPr>
          <w:rFonts w:cstheme="minorHAnsi"/>
          <w:sz w:val="24"/>
          <w:szCs w:val="24"/>
        </w:rPr>
        <w:t>maximum expected values for exposure related to incidental ingestion of water while swimming</w:t>
      </w:r>
      <w:r w:rsidR="005E01E8">
        <w:rPr>
          <w:rFonts w:cstheme="minorHAnsi"/>
          <w:sz w:val="24"/>
          <w:szCs w:val="24"/>
        </w:rPr>
        <w:t xml:space="preserve">, based on the </w:t>
      </w:r>
      <w:r w:rsidR="005E01E8" w:rsidRPr="00646233">
        <w:rPr>
          <w:rFonts w:cs="Arial"/>
          <w:sz w:val="24"/>
        </w:rPr>
        <w:t>National Human Activity Pattern Survey</w:t>
      </w:r>
      <w:r w:rsidR="005E01E8">
        <w:rPr>
          <w:rFonts w:cstheme="minorHAnsi"/>
          <w:sz w:val="24"/>
          <w:szCs w:val="24"/>
        </w:rPr>
        <w:t xml:space="preserve"> (US EPA, 1996). Specifically, the young child would</w:t>
      </w:r>
      <w:r w:rsidRPr="00231A7C">
        <w:rPr>
          <w:rFonts w:cstheme="minorHAnsi"/>
          <w:sz w:val="24"/>
          <w:szCs w:val="24"/>
        </w:rPr>
        <w:t xml:space="preserve">: </w:t>
      </w:r>
    </w:p>
    <w:p w14:paraId="6C9DFFD9" w14:textId="11FE6C0E" w:rsidR="005E01E8" w:rsidRDefault="005E01E8" w:rsidP="000D046E">
      <w:pPr>
        <w:pStyle w:val="ListParagraph"/>
        <w:numPr>
          <w:ilvl w:val="1"/>
          <w:numId w:val="17"/>
        </w:numPr>
        <w:spacing w:after="0" w:line="240" w:lineRule="auto"/>
        <w:contextualSpacing w:val="0"/>
        <w:jc w:val="both"/>
        <w:rPr>
          <w:rFonts w:cstheme="minorHAnsi"/>
          <w:sz w:val="24"/>
          <w:szCs w:val="24"/>
        </w:rPr>
      </w:pPr>
      <w:r>
        <w:rPr>
          <w:rFonts w:cstheme="minorHAnsi"/>
          <w:sz w:val="24"/>
          <w:szCs w:val="24"/>
        </w:rPr>
        <w:t>Swim five days/</w:t>
      </w:r>
      <w:proofErr w:type="gramStart"/>
      <w:r>
        <w:rPr>
          <w:rFonts w:cstheme="minorHAnsi"/>
          <w:sz w:val="24"/>
          <w:szCs w:val="24"/>
        </w:rPr>
        <w:t>week</w:t>
      </w:r>
      <w:r w:rsidR="007F051D">
        <w:rPr>
          <w:rFonts w:cstheme="minorHAnsi"/>
          <w:sz w:val="24"/>
          <w:szCs w:val="24"/>
        </w:rPr>
        <w:t>;</w:t>
      </w:r>
      <w:proofErr w:type="gramEnd"/>
    </w:p>
    <w:p w14:paraId="2C2B2D13" w14:textId="2C9113FB" w:rsidR="000D046E" w:rsidRPr="00231A7C" w:rsidRDefault="005E01E8" w:rsidP="000D046E">
      <w:pPr>
        <w:pStyle w:val="ListParagraph"/>
        <w:numPr>
          <w:ilvl w:val="1"/>
          <w:numId w:val="17"/>
        </w:numPr>
        <w:spacing w:after="0" w:line="240" w:lineRule="auto"/>
        <w:contextualSpacing w:val="0"/>
        <w:jc w:val="both"/>
        <w:rPr>
          <w:rFonts w:cstheme="minorHAnsi"/>
          <w:sz w:val="24"/>
          <w:szCs w:val="24"/>
        </w:rPr>
      </w:pPr>
      <w:r>
        <w:rPr>
          <w:rFonts w:cstheme="minorHAnsi"/>
          <w:sz w:val="24"/>
          <w:szCs w:val="24"/>
        </w:rPr>
        <w:t>Spend t</w:t>
      </w:r>
      <w:r w:rsidR="0021083B">
        <w:rPr>
          <w:rFonts w:cstheme="minorHAnsi"/>
          <w:sz w:val="24"/>
          <w:szCs w:val="24"/>
        </w:rPr>
        <w:t xml:space="preserve">hree hours </w:t>
      </w:r>
      <w:r w:rsidR="000D046E" w:rsidRPr="00231A7C">
        <w:rPr>
          <w:rFonts w:cstheme="minorHAnsi"/>
          <w:sz w:val="24"/>
          <w:szCs w:val="24"/>
        </w:rPr>
        <w:t>swimming per day</w:t>
      </w:r>
      <w:r w:rsidR="007F051D">
        <w:rPr>
          <w:rFonts w:cstheme="minorHAnsi"/>
          <w:sz w:val="24"/>
          <w:szCs w:val="24"/>
        </w:rPr>
        <w:t>; and</w:t>
      </w:r>
    </w:p>
    <w:p w14:paraId="6393BEC6" w14:textId="6F309812" w:rsidR="000D046E" w:rsidRPr="00231A7C" w:rsidRDefault="005E01E8" w:rsidP="00231A7C">
      <w:pPr>
        <w:pStyle w:val="ListParagraph"/>
        <w:numPr>
          <w:ilvl w:val="1"/>
          <w:numId w:val="17"/>
        </w:numPr>
        <w:spacing w:after="120" w:line="240" w:lineRule="auto"/>
        <w:contextualSpacing w:val="0"/>
        <w:jc w:val="both"/>
        <w:rPr>
          <w:rFonts w:cstheme="minorHAnsi"/>
          <w:sz w:val="24"/>
          <w:szCs w:val="24"/>
        </w:rPr>
      </w:pPr>
      <w:r>
        <w:rPr>
          <w:rFonts w:cstheme="minorHAnsi"/>
          <w:sz w:val="24"/>
          <w:szCs w:val="24"/>
        </w:rPr>
        <w:t>I</w:t>
      </w:r>
      <w:r w:rsidR="000D046E" w:rsidRPr="00231A7C">
        <w:rPr>
          <w:rFonts w:cstheme="minorHAnsi"/>
          <w:sz w:val="24"/>
          <w:szCs w:val="24"/>
        </w:rPr>
        <w:t>ngest</w:t>
      </w:r>
      <w:r>
        <w:rPr>
          <w:rFonts w:cstheme="minorHAnsi"/>
          <w:sz w:val="24"/>
          <w:szCs w:val="24"/>
        </w:rPr>
        <w:t xml:space="preserve"> approximately two cups of water</w:t>
      </w:r>
      <w:r w:rsidR="000D046E" w:rsidRPr="00231A7C">
        <w:rPr>
          <w:rFonts w:cstheme="minorHAnsi"/>
          <w:sz w:val="24"/>
          <w:szCs w:val="24"/>
        </w:rPr>
        <w:t xml:space="preserve"> while swimming</w:t>
      </w:r>
      <w:r w:rsidR="00AC2B73">
        <w:rPr>
          <w:rFonts w:cstheme="minorHAnsi"/>
          <w:sz w:val="24"/>
          <w:szCs w:val="24"/>
        </w:rPr>
        <w:t>.</w:t>
      </w:r>
    </w:p>
    <w:p w14:paraId="7C634395" w14:textId="1BDFAE5B" w:rsidR="00A63D4C" w:rsidRPr="00231A7C" w:rsidRDefault="00A63D4C" w:rsidP="006F3BB7">
      <w:pPr>
        <w:pStyle w:val="ListParagraph"/>
        <w:numPr>
          <w:ilvl w:val="0"/>
          <w:numId w:val="17"/>
        </w:numPr>
        <w:spacing w:after="120" w:line="240" w:lineRule="auto"/>
        <w:contextualSpacing w:val="0"/>
        <w:jc w:val="both"/>
        <w:rPr>
          <w:rFonts w:cstheme="minorHAnsi"/>
          <w:sz w:val="24"/>
          <w:szCs w:val="24"/>
        </w:rPr>
      </w:pPr>
      <w:r>
        <w:rPr>
          <w:rFonts w:cstheme="minorHAnsi"/>
          <w:sz w:val="24"/>
          <w:szCs w:val="24"/>
        </w:rPr>
        <w:t xml:space="preserve">Exposure to surface water while swimming </w:t>
      </w:r>
      <w:r w:rsidR="000B24AF">
        <w:rPr>
          <w:rFonts w:cstheme="minorHAnsi"/>
          <w:sz w:val="24"/>
          <w:szCs w:val="24"/>
        </w:rPr>
        <w:t>is</w:t>
      </w:r>
      <w:r>
        <w:rPr>
          <w:rFonts w:cstheme="minorHAnsi"/>
          <w:sz w:val="24"/>
          <w:szCs w:val="24"/>
        </w:rPr>
        <w:t xml:space="preserve"> averaged over the period between Memorial Day and Labor </w:t>
      </w:r>
      <w:proofErr w:type="gramStart"/>
      <w:r>
        <w:rPr>
          <w:rFonts w:cstheme="minorHAnsi"/>
          <w:sz w:val="24"/>
          <w:szCs w:val="24"/>
        </w:rPr>
        <w:t>Day, when</w:t>
      </w:r>
      <w:proofErr w:type="gramEnd"/>
      <w:r>
        <w:rPr>
          <w:rFonts w:cstheme="minorHAnsi"/>
          <w:sz w:val="24"/>
          <w:szCs w:val="24"/>
        </w:rPr>
        <w:t xml:space="preserve"> swimming </w:t>
      </w:r>
      <w:r w:rsidR="007F051D">
        <w:rPr>
          <w:rFonts w:cstheme="minorHAnsi"/>
          <w:sz w:val="24"/>
          <w:szCs w:val="24"/>
        </w:rPr>
        <w:t>is</w:t>
      </w:r>
      <w:r>
        <w:rPr>
          <w:rFonts w:cstheme="minorHAnsi"/>
          <w:sz w:val="24"/>
          <w:szCs w:val="24"/>
        </w:rPr>
        <w:t xml:space="preserve"> most likely to occur</w:t>
      </w:r>
      <w:r w:rsidR="00AC2B73">
        <w:rPr>
          <w:rFonts w:cstheme="minorHAnsi"/>
          <w:sz w:val="24"/>
          <w:szCs w:val="24"/>
        </w:rPr>
        <w:t>.</w:t>
      </w:r>
    </w:p>
    <w:p w14:paraId="507DD542" w14:textId="6C630B43" w:rsidR="000D046E" w:rsidRDefault="000D046E" w:rsidP="006F3BB7">
      <w:pPr>
        <w:pStyle w:val="ListParagraph"/>
        <w:numPr>
          <w:ilvl w:val="0"/>
          <w:numId w:val="17"/>
        </w:numPr>
        <w:spacing w:after="120" w:line="240" w:lineRule="auto"/>
        <w:contextualSpacing w:val="0"/>
        <w:jc w:val="both"/>
        <w:rPr>
          <w:rFonts w:cstheme="minorHAnsi"/>
          <w:sz w:val="24"/>
          <w:szCs w:val="24"/>
        </w:rPr>
      </w:pPr>
      <w:r w:rsidRPr="00231A7C">
        <w:rPr>
          <w:rFonts w:cstheme="minorHAnsi"/>
          <w:sz w:val="24"/>
          <w:szCs w:val="24"/>
        </w:rPr>
        <w:t xml:space="preserve">The </w:t>
      </w:r>
      <w:proofErr w:type="spellStart"/>
      <w:r w:rsidRPr="00231A7C">
        <w:rPr>
          <w:rFonts w:cstheme="minorHAnsi"/>
          <w:sz w:val="24"/>
          <w:szCs w:val="24"/>
        </w:rPr>
        <w:t>cSWAL</w:t>
      </w:r>
      <w:proofErr w:type="spellEnd"/>
      <w:r w:rsidRPr="00231A7C">
        <w:rPr>
          <w:rFonts w:cstheme="minorHAnsi"/>
          <w:sz w:val="24"/>
          <w:szCs w:val="24"/>
        </w:rPr>
        <w:t xml:space="preserve"> incorporates a relative source contribution of 20%, which accounts for exposure to PFAS from sources other </w:t>
      </w:r>
      <w:r w:rsidR="008F2F86">
        <w:rPr>
          <w:rFonts w:cstheme="minorHAnsi"/>
          <w:sz w:val="24"/>
          <w:szCs w:val="24"/>
        </w:rPr>
        <w:t xml:space="preserve">than </w:t>
      </w:r>
      <w:r w:rsidR="003E0A8F">
        <w:rPr>
          <w:rFonts w:cstheme="minorHAnsi"/>
          <w:sz w:val="24"/>
          <w:szCs w:val="24"/>
        </w:rPr>
        <w:t>surface water</w:t>
      </w:r>
      <w:r w:rsidRPr="00231A7C">
        <w:rPr>
          <w:rFonts w:cstheme="minorHAnsi"/>
          <w:sz w:val="24"/>
          <w:szCs w:val="24"/>
        </w:rPr>
        <w:t>, including</w:t>
      </w:r>
      <w:r w:rsidR="001741B0">
        <w:rPr>
          <w:rFonts w:cstheme="minorHAnsi"/>
          <w:sz w:val="24"/>
          <w:szCs w:val="24"/>
        </w:rPr>
        <w:t xml:space="preserve"> </w:t>
      </w:r>
      <w:r w:rsidRPr="00231A7C">
        <w:rPr>
          <w:rFonts w:cstheme="minorHAnsi"/>
          <w:sz w:val="24"/>
          <w:szCs w:val="24"/>
        </w:rPr>
        <w:t xml:space="preserve">dietary sources, as well as water and indoor dust. This value is informed by an analysis of dietary intake of PFAS conducted by the European Food Safety Authority (EFSA, 2020); and a study by </w:t>
      </w:r>
      <w:proofErr w:type="spellStart"/>
      <w:r w:rsidRPr="00231A7C">
        <w:rPr>
          <w:rFonts w:cstheme="minorHAnsi"/>
          <w:sz w:val="24"/>
          <w:szCs w:val="24"/>
        </w:rPr>
        <w:t>Egeghy</w:t>
      </w:r>
      <w:proofErr w:type="spellEnd"/>
      <w:r w:rsidRPr="00231A7C">
        <w:rPr>
          <w:rFonts w:cstheme="minorHAnsi"/>
          <w:sz w:val="24"/>
          <w:szCs w:val="24"/>
        </w:rPr>
        <w:t xml:space="preserve"> and Lorber (2011) </w:t>
      </w:r>
      <w:r w:rsidR="00AC2B73">
        <w:rPr>
          <w:rFonts w:cstheme="minorHAnsi"/>
          <w:sz w:val="24"/>
          <w:szCs w:val="24"/>
        </w:rPr>
        <w:t>that evaluated</w:t>
      </w:r>
      <w:r w:rsidRPr="00231A7C">
        <w:rPr>
          <w:rFonts w:cstheme="minorHAnsi"/>
          <w:sz w:val="24"/>
          <w:szCs w:val="24"/>
        </w:rPr>
        <w:t xml:space="preserve"> exposure from food, </w:t>
      </w:r>
      <w:proofErr w:type="gramStart"/>
      <w:r w:rsidRPr="00231A7C">
        <w:rPr>
          <w:rFonts w:cstheme="minorHAnsi"/>
          <w:sz w:val="24"/>
          <w:szCs w:val="24"/>
        </w:rPr>
        <w:t>water</w:t>
      </w:r>
      <w:proofErr w:type="gramEnd"/>
      <w:r w:rsidRPr="00231A7C">
        <w:rPr>
          <w:rFonts w:cstheme="minorHAnsi"/>
          <w:sz w:val="24"/>
          <w:szCs w:val="24"/>
        </w:rPr>
        <w:t xml:space="preserve"> and indoor dust. </w:t>
      </w:r>
    </w:p>
    <w:p w14:paraId="5AC1C34F" w14:textId="665EA0EC" w:rsidR="008B2F03" w:rsidRPr="00A34A85" w:rsidRDefault="008B2F03" w:rsidP="00BD4CEE">
      <w:pPr>
        <w:spacing w:line="240" w:lineRule="auto"/>
        <w:jc w:val="both"/>
        <w:rPr>
          <w:sz w:val="24"/>
          <w:szCs w:val="24"/>
        </w:rPr>
      </w:pPr>
      <w:r w:rsidRPr="00A34A85">
        <w:rPr>
          <w:sz w:val="24"/>
          <w:szCs w:val="24"/>
        </w:rPr>
        <w:t xml:space="preserve">Table 2.1 outlines the values and basis for the parameters used to calculate the </w:t>
      </w:r>
      <w:proofErr w:type="spellStart"/>
      <w:r w:rsidRPr="00A34A85">
        <w:rPr>
          <w:sz w:val="24"/>
          <w:szCs w:val="24"/>
        </w:rPr>
        <w:t>cSWAL</w:t>
      </w:r>
      <w:proofErr w:type="spellEnd"/>
      <w:r w:rsidR="00A34A85" w:rsidRPr="00A34A85">
        <w:rPr>
          <w:sz w:val="24"/>
          <w:szCs w:val="24"/>
        </w:rPr>
        <w:t>.</w:t>
      </w:r>
    </w:p>
    <w:p w14:paraId="5B9C4EA9" w14:textId="452A13E2" w:rsidR="00D51771" w:rsidRPr="007F051D" w:rsidRDefault="005E74EA" w:rsidP="005E74EA">
      <w:pPr>
        <w:keepNext/>
        <w:keepLines/>
        <w:spacing w:after="0" w:line="240" w:lineRule="auto"/>
        <w:rPr>
          <w:b/>
          <w:bCs/>
          <w:sz w:val="24"/>
          <w:szCs w:val="24"/>
        </w:rPr>
      </w:pPr>
      <w:r>
        <w:rPr>
          <w:b/>
          <w:bCs/>
          <w:sz w:val="24"/>
          <w:szCs w:val="24"/>
        </w:rPr>
        <w:t>Table 2.1</w:t>
      </w:r>
      <w:r w:rsidR="0076216B">
        <w:rPr>
          <w:b/>
          <w:bCs/>
          <w:sz w:val="24"/>
          <w:szCs w:val="24"/>
        </w:rPr>
        <w:t>.</w:t>
      </w:r>
      <w:r>
        <w:rPr>
          <w:b/>
          <w:bCs/>
          <w:sz w:val="24"/>
          <w:szCs w:val="24"/>
        </w:rPr>
        <w:t xml:space="preserve">  </w:t>
      </w:r>
      <w:r w:rsidR="004D153E">
        <w:rPr>
          <w:b/>
          <w:bCs/>
          <w:sz w:val="24"/>
          <w:szCs w:val="24"/>
        </w:rPr>
        <w:t xml:space="preserve">Input </w:t>
      </w:r>
      <w:r w:rsidR="00D51771" w:rsidRPr="007F051D">
        <w:rPr>
          <w:b/>
          <w:bCs/>
          <w:sz w:val="24"/>
          <w:szCs w:val="24"/>
        </w:rPr>
        <w:t>Parameters</w:t>
      </w:r>
      <w:r w:rsidR="008B2F03" w:rsidRPr="007F051D">
        <w:rPr>
          <w:b/>
          <w:bCs/>
          <w:sz w:val="24"/>
          <w:szCs w:val="24"/>
        </w:rPr>
        <w:t xml:space="preserve"> -</w:t>
      </w:r>
      <w:r w:rsidR="00D51771" w:rsidRPr="007F051D">
        <w:rPr>
          <w:b/>
          <w:bCs/>
          <w:sz w:val="24"/>
          <w:szCs w:val="24"/>
        </w:rPr>
        <w:t xml:space="preserve"> Candidate Surface Water Action Level (</w:t>
      </w:r>
      <w:proofErr w:type="spellStart"/>
      <w:r w:rsidR="00D51771" w:rsidRPr="007F051D">
        <w:rPr>
          <w:b/>
          <w:bCs/>
          <w:sz w:val="24"/>
          <w:szCs w:val="24"/>
        </w:rPr>
        <w:t>cSWAL</w:t>
      </w:r>
      <w:proofErr w:type="spellEnd"/>
      <w:r w:rsidR="00D51771" w:rsidRPr="007F051D">
        <w:rPr>
          <w:b/>
          <w:bCs/>
          <w:sz w:val="24"/>
          <w:szCs w:val="24"/>
        </w:rPr>
        <w:t xml:space="preserve">) for PFAS </w:t>
      </w:r>
    </w:p>
    <w:tbl>
      <w:tblPr>
        <w:tblStyle w:val="TableGrid"/>
        <w:tblW w:w="9985" w:type="dxa"/>
        <w:tblLook w:val="04A0" w:firstRow="1" w:lastRow="0" w:firstColumn="1" w:lastColumn="0" w:noHBand="0" w:noVBand="1"/>
      </w:tblPr>
      <w:tblGrid>
        <w:gridCol w:w="3685"/>
        <w:gridCol w:w="1080"/>
        <w:gridCol w:w="5220"/>
      </w:tblGrid>
      <w:tr w:rsidR="00D51771" w14:paraId="2089F33A" w14:textId="77777777" w:rsidTr="007F051D">
        <w:tc>
          <w:tcPr>
            <w:tcW w:w="3685" w:type="dxa"/>
            <w:tcBorders>
              <w:bottom w:val="double" w:sz="4" w:space="0" w:color="auto"/>
            </w:tcBorders>
            <w:shd w:val="clear" w:color="auto" w:fill="DBE5F1" w:themeFill="accent1" w:themeFillTint="33"/>
          </w:tcPr>
          <w:p w14:paraId="003988FA" w14:textId="6CDC6C29" w:rsidR="00D51771" w:rsidRPr="00D51771" w:rsidRDefault="00D51771" w:rsidP="00CE1B6D">
            <w:pPr>
              <w:keepNext/>
              <w:keepLines/>
              <w:rPr>
                <w:b/>
                <w:bCs/>
              </w:rPr>
            </w:pPr>
            <w:r w:rsidRPr="00D51771">
              <w:rPr>
                <w:b/>
                <w:bCs/>
              </w:rPr>
              <w:t>Parameter</w:t>
            </w:r>
          </w:p>
        </w:tc>
        <w:tc>
          <w:tcPr>
            <w:tcW w:w="1080" w:type="dxa"/>
            <w:tcBorders>
              <w:bottom w:val="double" w:sz="4" w:space="0" w:color="auto"/>
            </w:tcBorders>
            <w:shd w:val="clear" w:color="auto" w:fill="DBE5F1" w:themeFill="accent1" w:themeFillTint="33"/>
          </w:tcPr>
          <w:p w14:paraId="3A488722" w14:textId="2B41A4AA" w:rsidR="00D51771" w:rsidRDefault="00D51771" w:rsidP="00CE1B6D">
            <w:pPr>
              <w:keepNext/>
              <w:keepLines/>
              <w:jc w:val="center"/>
            </w:pPr>
            <w:r w:rsidRPr="00D51771">
              <w:rPr>
                <w:rFonts w:eastAsia="Times New Roman" w:cstheme="minorHAnsi"/>
                <w:b/>
                <w:color w:val="000000"/>
              </w:rPr>
              <w:t>Value</w:t>
            </w:r>
          </w:p>
        </w:tc>
        <w:tc>
          <w:tcPr>
            <w:tcW w:w="5220" w:type="dxa"/>
            <w:tcBorders>
              <w:bottom w:val="double" w:sz="4" w:space="0" w:color="auto"/>
            </w:tcBorders>
            <w:shd w:val="clear" w:color="auto" w:fill="DBE5F1" w:themeFill="accent1" w:themeFillTint="33"/>
          </w:tcPr>
          <w:p w14:paraId="0B74F28E" w14:textId="1B2920DD" w:rsidR="00D51771" w:rsidRPr="00CE1B6D" w:rsidRDefault="00D51771" w:rsidP="00CE1B6D">
            <w:pPr>
              <w:keepNext/>
              <w:keepLines/>
              <w:rPr>
                <w:b/>
                <w:bCs/>
              </w:rPr>
            </w:pPr>
            <w:r w:rsidRPr="00CE1B6D">
              <w:rPr>
                <w:b/>
                <w:bCs/>
              </w:rPr>
              <w:t>Basis</w:t>
            </w:r>
          </w:p>
        </w:tc>
      </w:tr>
      <w:tr w:rsidR="00D51771" w14:paraId="3AD0C180" w14:textId="77777777" w:rsidTr="004D4027">
        <w:tc>
          <w:tcPr>
            <w:tcW w:w="3685" w:type="dxa"/>
            <w:tcBorders>
              <w:top w:val="double" w:sz="4" w:space="0" w:color="auto"/>
            </w:tcBorders>
          </w:tcPr>
          <w:p w14:paraId="6744B00A" w14:textId="5AEBC141" w:rsidR="00D51771" w:rsidRDefault="004D4027" w:rsidP="00CE1B6D">
            <w:pPr>
              <w:keepNext/>
              <w:keepLines/>
            </w:pPr>
            <w:r>
              <w:rPr>
                <w:rFonts w:eastAsia="Times New Roman" w:cstheme="minorHAnsi"/>
                <w:bCs/>
                <w:color w:val="000000"/>
              </w:rPr>
              <w:t>Minimal Risk Level, MRL</w:t>
            </w:r>
            <w:r w:rsidR="00D51771">
              <w:rPr>
                <w:rFonts w:eastAsia="Times New Roman" w:cstheme="minorHAnsi"/>
                <w:bCs/>
                <w:color w:val="000000"/>
              </w:rPr>
              <w:t xml:space="preserve"> (</w:t>
            </w:r>
            <w:r w:rsidR="007D7183">
              <w:rPr>
                <w:rFonts w:eastAsia="Times New Roman" w:cstheme="minorHAnsi"/>
                <w:bCs/>
                <w:color w:val="000000"/>
              </w:rPr>
              <w:t>m</w:t>
            </w:r>
            <w:r w:rsidR="00D51771">
              <w:rPr>
                <w:rFonts w:eastAsia="Times New Roman" w:cstheme="minorHAnsi"/>
                <w:bCs/>
                <w:color w:val="000000"/>
              </w:rPr>
              <w:t>g/kg-day)</w:t>
            </w:r>
          </w:p>
        </w:tc>
        <w:tc>
          <w:tcPr>
            <w:tcW w:w="1080" w:type="dxa"/>
            <w:tcBorders>
              <w:top w:val="double" w:sz="4" w:space="0" w:color="auto"/>
            </w:tcBorders>
          </w:tcPr>
          <w:p w14:paraId="512263C5" w14:textId="42FCBB74" w:rsidR="00D51771" w:rsidRDefault="00D51771" w:rsidP="00CE1B6D">
            <w:pPr>
              <w:keepNext/>
              <w:keepLines/>
              <w:jc w:val="center"/>
            </w:pPr>
            <w:r>
              <w:t>2</w:t>
            </w:r>
            <w:r w:rsidR="007D7183">
              <w:t xml:space="preserve"> x 10</w:t>
            </w:r>
            <w:r w:rsidR="007D7183" w:rsidRPr="007D7183">
              <w:rPr>
                <w:vertAlign w:val="superscript"/>
              </w:rPr>
              <w:t>-6</w:t>
            </w:r>
          </w:p>
        </w:tc>
        <w:tc>
          <w:tcPr>
            <w:tcW w:w="5220" w:type="dxa"/>
            <w:tcBorders>
              <w:top w:val="double" w:sz="4" w:space="0" w:color="auto"/>
            </w:tcBorders>
          </w:tcPr>
          <w:p w14:paraId="2F5A6B3D" w14:textId="63CE5C01" w:rsidR="00D51771" w:rsidRDefault="00E901EB" w:rsidP="00CE1B6D">
            <w:pPr>
              <w:keepNext/>
              <w:keepLines/>
            </w:pPr>
            <w:r>
              <w:t>ATSDR Minimal Risk Level for PFOS</w:t>
            </w:r>
            <w:r w:rsidR="004D4027">
              <w:t xml:space="preserve"> (ATSDR, </w:t>
            </w:r>
            <w:r w:rsidR="00371F4B">
              <w:t>2021</w:t>
            </w:r>
            <w:r w:rsidR="004D4027">
              <w:t>)</w:t>
            </w:r>
          </w:p>
        </w:tc>
      </w:tr>
      <w:tr w:rsidR="00D51771" w14:paraId="4D34BB05" w14:textId="77777777" w:rsidTr="004D4027">
        <w:tc>
          <w:tcPr>
            <w:tcW w:w="3685" w:type="dxa"/>
          </w:tcPr>
          <w:p w14:paraId="759C2A22" w14:textId="2308CE5F" w:rsidR="00D51771" w:rsidRDefault="00D51771" w:rsidP="00CE1B6D">
            <w:pPr>
              <w:keepNext/>
              <w:keepLines/>
            </w:pPr>
            <w:r w:rsidRPr="00D51771">
              <w:rPr>
                <w:rFonts w:eastAsia="Times New Roman" w:cstheme="minorHAnsi"/>
                <w:bCs/>
                <w:color w:val="000000"/>
              </w:rPr>
              <w:t>Body Weight</w:t>
            </w:r>
            <w:r w:rsidR="004D4027">
              <w:rPr>
                <w:rFonts w:eastAsia="Times New Roman" w:cstheme="minorHAnsi"/>
                <w:bCs/>
                <w:color w:val="000000"/>
              </w:rPr>
              <w:t>, BW</w:t>
            </w:r>
            <w:r>
              <w:rPr>
                <w:rFonts w:eastAsia="Times New Roman" w:cstheme="minorHAnsi"/>
                <w:bCs/>
                <w:color w:val="000000"/>
              </w:rPr>
              <w:t xml:space="preserve"> (kg)</w:t>
            </w:r>
          </w:p>
        </w:tc>
        <w:tc>
          <w:tcPr>
            <w:tcW w:w="1080" w:type="dxa"/>
          </w:tcPr>
          <w:p w14:paraId="03094401" w14:textId="0109C52B" w:rsidR="00D51771" w:rsidRDefault="00D51771" w:rsidP="00CE1B6D">
            <w:pPr>
              <w:keepNext/>
              <w:keepLines/>
              <w:jc w:val="center"/>
            </w:pPr>
            <w:r>
              <w:t>17.4</w:t>
            </w:r>
          </w:p>
        </w:tc>
        <w:tc>
          <w:tcPr>
            <w:tcW w:w="5220" w:type="dxa"/>
          </w:tcPr>
          <w:p w14:paraId="15829256" w14:textId="25136B85" w:rsidR="00D51771" w:rsidRDefault="00E901EB" w:rsidP="00CE1B6D">
            <w:pPr>
              <w:keepNext/>
              <w:keepLines/>
            </w:pPr>
            <w:r>
              <w:t xml:space="preserve">Mean body weight for 2 - &lt; </w:t>
            </w:r>
            <w:proofErr w:type="gramStart"/>
            <w:r>
              <w:t>6 year old</w:t>
            </w:r>
            <w:proofErr w:type="gramEnd"/>
            <w:r>
              <w:t xml:space="preserve"> (ATSDR, </w:t>
            </w:r>
            <w:r w:rsidR="00371F4B">
              <w:t>2016</w:t>
            </w:r>
            <w:r w:rsidR="00BD33A9">
              <w:t>, US EPA, 2011</w:t>
            </w:r>
            <w:r>
              <w:t>)</w:t>
            </w:r>
          </w:p>
        </w:tc>
      </w:tr>
      <w:tr w:rsidR="00E901EB" w14:paraId="19D70703" w14:textId="77777777" w:rsidTr="004D4027">
        <w:tc>
          <w:tcPr>
            <w:tcW w:w="3685" w:type="dxa"/>
          </w:tcPr>
          <w:p w14:paraId="58B52006" w14:textId="39628BEE" w:rsidR="00E901EB" w:rsidRPr="00D51771" w:rsidRDefault="00E901EB" w:rsidP="00E901EB">
            <w:pPr>
              <w:keepNext/>
              <w:keepLines/>
              <w:rPr>
                <w:rFonts w:eastAsia="Times New Roman" w:cstheme="minorHAnsi"/>
                <w:bCs/>
                <w:color w:val="000000"/>
              </w:rPr>
            </w:pPr>
            <w:r w:rsidRPr="00D51771">
              <w:rPr>
                <w:rFonts w:eastAsia="Times New Roman" w:cstheme="minorHAnsi"/>
                <w:bCs/>
                <w:color w:val="000000"/>
              </w:rPr>
              <w:t>Exposure Frequency</w:t>
            </w:r>
            <w:r w:rsidR="004D4027">
              <w:rPr>
                <w:rFonts w:eastAsia="Times New Roman" w:cstheme="minorHAnsi"/>
                <w:bCs/>
                <w:color w:val="000000"/>
              </w:rPr>
              <w:t>, EF</w:t>
            </w:r>
            <w:r>
              <w:rPr>
                <w:rFonts w:eastAsia="Times New Roman" w:cstheme="minorHAnsi"/>
                <w:bCs/>
                <w:color w:val="000000"/>
              </w:rPr>
              <w:t xml:space="preserve"> (days/month)</w:t>
            </w:r>
          </w:p>
        </w:tc>
        <w:tc>
          <w:tcPr>
            <w:tcW w:w="1080" w:type="dxa"/>
          </w:tcPr>
          <w:p w14:paraId="379A68C9" w14:textId="29DC7E85" w:rsidR="00E901EB" w:rsidRDefault="00E901EB" w:rsidP="00E901EB">
            <w:pPr>
              <w:keepNext/>
              <w:keepLines/>
              <w:jc w:val="center"/>
            </w:pPr>
            <w:r>
              <w:t>20</w:t>
            </w:r>
          </w:p>
        </w:tc>
        <w:tc>
          <w:tcPr>
            <w:tcW w:w="5220" w:type="dxa"/>
          </w:tcPr>
          <w:p w14:paraId="39B2C25C" w14:textId="5FE58659" w:rsidR="00E901EB" w:rsidRDefault="00E901EB" w:rsidP="00E901EB">
            <w:pPr>
              <w:keepNext/>
              <w:keepLines/>
            </w:pPr>
            <w:r>
              <w:t>90</w:t>
            </w:r>
            <w:r w:rsidRPr="00E901EB">
              <w:rPr>
                <w:vertAlign w:val="superscript"/>
              </w:rPr>
              <w:t>th</w:t>
            </w:r>
            <w:r>
              <w:t xml:space="preserve"> percentile for exposure frequency (</w:t>
            </w:r>
            <w:r w:rsidR="00CB2E3B">
              <w:t>US EPA</w:t>
            </w:r>
            <w:r>
              <w:t>, 1996)</w:t>
            </w:r>
          </w:p>
        </w:tc>
      </w:tr>
      <w:tr w:rsidR="00E901EB" w14:paraId="1303E58F" w14:textId="77777777" w:rsidTr="004D4027">
        <w:tc>
          <w:tcPr>
            <w:tcW w:w="3685" w:type="dxa"/>
          </w:tcPr>
          <w:p w14:paraId="7AF78E1F" w14:textId="5C09F575" w:rsidR="00E901EB" w:rsidRDefault="00E901EB" w:rsidP="00E901EB">
            <w:pPr>
              <w:keepNext/>
              <w:keepLines/>
            </w:pPr>
            <w:r w:rsidRPr="00D51771">
              <w:rPr>
                <w:rFonts w:eastAsia="Times New Roman" w:cstheme="minorHAnsi"/>
                <w:bCs/>
                <w:color w:val="000000"/>
              </w:rPr>
              <w:t>Exposure Time</w:t>
            </w:r>
            <w:r w:rsidR="004D4027">
              <w:rPr>
                <w:rFonts w:eastAsia="Times New Roman" w:cstheme="minorHAnsi"/>
                <w:bCs/>
                <w:color w:val="000000"/>
              </w:rPr>
              <w:t>, ET</w:t>
            </w:r>
            <w:r>
              <w:rPr>
                <w:rFonts w:eastAsia="Times New Roman" w:cstheme="minorHAnsi"/>
                <w:bCs/>
                <w:color w:val="000000"/>
              </w:rPr>
              <w:t xml:space="preserve"> (hours/day)</w:t>
            </w:r>
          </w:p>
        </w:tc>
        <w:tc>
          <w:tcPr>
            <w:tcW w:w="1080" w:type="dxa"/>
          </w:tcPr>
          <w:p w14:paraId="06143D44" w14:textId="016E7B97" w:rsidR="00E901EB" w:rsidRDefault="00E901EB" w:rsidP="00E901EB">
            <w:pPr>
              <w:keepNext/>
              <w:keepLines/>
              <w:jc w:val="center"/>
            </w:pPr>
            <w:r>
              <w:t>3</w:t>
            </w:r>
          </w:p>
        </w:tc>
        <w:tc>
          <w:tcPr>
            <w:tcW w:w="5220" w:type="dxa"/>
          </w:tcPr>
          <w:p w14:paraId="517F12DF" w14:textId="6BB527F4" w:rsidR="00E901EB" w:rsidRDefault="00E901EB" w:rsidP="00E901EB">
            <w:pPr>
              <w:keepNext/>
              <w:keepLines/>
            </w:pPr>
            <w:r>
              <w:t>90</w:t>
            </w:r>
            <w:r w:rsidRPr="00E901EB">
              <w:rPr>
                <w:vertAlign w:val="superscript"/>
              </w:rPr>
              <w:t>th</w:t>
            </w:r>
            <w:r>
              <w:t xml:space="preserve"> percentile for time spent swimming (</w:t>
            </w:r>
            <w:r w:rsidR="00CB2E3B">
              <w:t>US EPA</w:t>
            </w:r>
            <w:r>
              <w:t>, 1996)</w:t>
            </w:r>
          </w:p>
        </w:tc>
      </w:tr>
      <w:tr w:rsidR="00E901EB" w14:paraId="3FB5C858" w14:textId="77777777" w:rsidTr="004D4027">
        <w:tc>
          <w:tcPr>
            <w:tcW w:w="3685" w:type="dxa"/>
          </w:tcPr>
          <w:p w14:paraId="66FFBD79" w14:textId="74DA20D6" w:rsidR="00E901EB" w:rsidRDefault="00E901EB" w:rsidP="00E901EB">
            <w:pPr>
              <w:keepNext/>
              <w:keepLines/>
            </w:pPr>
            <w:r w:rsidRPr="00D51771">
              <w:rPr>
                <w:rFonts w:eastAsia="Times New Roman" w:cstheme="minorHAnsi"/>
                <w:bCs/>
                <w:color w:val="000000"/>
              </w:rPr>
              <w:t>Ingestion Rate</w:t>
            </w:r>
            <w:r w:rsidR="004D4027">
              <w:rPr>
                <w:rFonts w:eastAsia="Times New Roman" w:cstheme="minorHAnsi"/>
                <w:bCs/>
                <w:color w:val="000000"/>
              </w:rPr>
              <w:t xml:space="preserve">, IR </w:t>
            </w:r>
            <w:r>
              <w:rPr>
                <w:rFonts w:eastAsia="Times New Roman" w:cstheme="minorHAnsi"/>
                <w:bCs/>
                <w:color w:val="000000"/>
              </w:rPr>
              <w:t>(</w:t>
            </w:r>
            <w:r w:rsidR="007D7183">
              <w:rPr>
                <w:rFonts w:eastAsia="Times New Roman" w:cstheme="minorHAnsi"/>
                <w:bCs/>
                <w:color w:val="000000"/>
              </w:rPr>
              <w:t>L</w:t>
            </w:r>
            <w:r>
              <w:rPr>
                <w:rFonts w:eastAsia="Times New Roman" w:cstheme="minorHAnsi"/>
                <w:bCs/>
                <w:color w:val="000000"/>
              </w:rPr>
              <w:t>/hour)</w:t>
            </w:r>
          </w:p>
        </w:tc>
        <w:tc>
          <w:tcPr>
            <w:tcW w:w="1080" w:type="dxa"/>
          </w:tcPr>
          <w:p w14:paraId="7C14CA55" w14:textId="54835C74" w:rsidR="00E901EB" w:rsidRDefault="007D7183" w:rsidP="00E901EB">
            <w:pPr>
              <w:keepNext/>
              <w:keepLines/>
              <w:jc w:val="center"/>
            </w:pPr>
            <w:r>
              <w:t>0.</w:t>
            </w:r>
            <w:r w:rsidR="00E901EB">
              <w:t>152</w:t>
            </w:r>
          </w:p>
        </w:tc>
        <w:tc>
          <w:tcPr>
            <w:tcW w:w="5220" w:type="dxa"/>
          </w:tcPr>
          <w:p w14:paraId="44A316FD" w14:textId="6AC8AFAF" w:rsidR="00E901EB" w:rsidRDefault="00E901EB" w:rsidP="00E901EB">
            <w:pPr>
              <w:keepNext/>
              <w:keepLines/>
            </w:pPr>
            <w:r>
              <w:t>90</w:t>
            </w:r>
            <w:r w:rsidRPr="00E901EB">
              <w:rPr>
                <w:vertAlign w:val="superscript"/>
              </w:rPr>
              <w:t>th</w:t>
            </w:r>
            <w:r>
              <w:t xml:space="preserve"> percentile for incidental ingestion</w:t>
            </w:r>
            <w:r w:rsidR="00473D3A">
              <w:t xml:space="preserve"> of surface water while swimming</w:t>
            </w:r>
            <w:r>
              <w:t xml:space="preserve"> (</w:t>
            </w:r>
            <w:r w:rsidR="004D27F0">
              <w:t>US EPA</w:t>
            </w:r>
            <w:r>
              <w:t xml:space="preserve">, </w:t>
            </w:r>
            <w:r w:rsidR="004D27F0">
              <w:t>2019</w:t>
            </w:r>
            <w:r>
              <w:t>)</w:t>
            </w:r>
          </w:p>
        </w:tc>
      </w:tr>
      <w:tr w:rsidR="00A63D4C" w14:paraId="0DB85401" w14:textId="77777777" w:rsidTr="009500B2">
        <w:tc>
          <w:tcPr>
            <w:tcW w:w="3685" w:type="dxa"/>
            <w:vAlign w:val="center"/>
          </w:tcPr>
          <w:p w14:paraId="5788112E" w14:textId="06AC35EE" w:rsidR="00A63D4C" w:rsidRPr="00D51771" w:rsidRDefault="00A63D4C" w:rsidP="00A63D4C">
            <w:pPr>
              <w:rPr>
                <w:rFonts w:eastAsia="Times New Roman" w:cstheme="minorHAnsi"/>
                <w:bCs/>
                <w:color w:val="000000"/>
              </w:rPr>
            </w:pPr>
            <w:r>
              <w:rPr>
                <w:rFonts w:eastAsia="Times New Roman" w:cstheme="minorHAnsi"/>
                <w:bCs/>
                <w:color w:val="000000"/>
              </w:rPr>
              <w:t>Exposure Duration, ED (months)</w:t>
            </w:r>
          </w:p>
        </w:tc>
        <w:tc>
          <w:tcPr>
            <w:tcW w:w="1080" w:type="dxa"/>
            <w:vAlign w:val="center"/>
          </w:tcPr>
          <w:p w14:paraId="1A0806AD" w14:textId="179DA203" w:rsidR="00A63D4C" w:rsidRDefault="00A63D4C" w:rsidP="00A63D4C">
            <w:pPr>
              <w:jc w:val="center"/>
            </w:pPr>
            <w:r>
              <w:t>3.3</w:t>
            </w:r>
          </w:p>
        </w:tc>
        <w:tc>
          <w:tcPr>
            <w:tcW w:w="5220" w:type="dxa"/>
          </w:tcPr>
          <w:p w14:paraId="40F4E314" w14:textId="155D098F" w:rsidR="00A63D4C" w:rsidRDefault="00A63D4C" w:rsidP="00A63D4C">
            <w:r>
              <w:t>Professional judgement that swimming would occur between Memorial Day and Labor Day</w:t>
            </w:r>
          </w:p>
        </w:tc>
      </w:tr>
      <w:tr w:rsidR="00A63D4C" w14:paraId="0A772FCA" w14:textId="77777777" w:rsidTr="004D4027">
        <w:tc>
          <w:tcPr>
            <w:tcW w:w="3685" w:type="dxa"/>
          </w:tcPr>
          <w:p w14:paraId="5DF7C767" w14:textId="6C31E952" w:rsidR="00A63D4C" w:rsidRPr="00D51771" w:rsidRDefault="00A63D4C" w:rsidP="00A63D4C">
            <w:pPr>
              <w:rPr>
                <w:rFonts w:eastAsia="Times New Roman" w:cstheme="minorHAnsi"/>
                <w:bCs/>
                <w:color w:val="000000"/>
              </w:rPr>
            </w:pPr>
            <w:r>
              <w:rPr>
                <w:rFonts w:eastAsia="Times New Roman" w:cstheme="minorHAnsi"/>
                <w:bCs/>
                <w:color w:val="000000"/>
              </w:rPr>
              <w:t>Averaging Time, AT (days)</w:t>
            </w:r>
          </w:p>
        </w:tc>
        <w:tc>
          <w:tcPr>
            <w:tcW w:w="1080" w:type="dxa"/>
          </w:tcPr>
          <w:p w14:paraId="05A9AAD0" w14:textId="24160015" w:rsidR="00A63D4C" w:rsidRDefault="00A63D4C" w:rsidP="00A63D4C">
            <w:pPr>
              <w:jc w:val="center"/>
            </w:pPr>
            <w:r>
              <w:t>10</w:t>
            </w:r>
            <w:r w:rsidR="004D27F0">
              <w:t>2</w:t>
            </w:r>
          </w:p>
        </w:tc>
        <w:tc>
          <w:tcPr>
            <w:tcW w:w="5220" w:type="dxa"/>
          </w:tcPr>
          <w:p w14:paraId="590AB2B8" w14:textId="57688E72" w:rsidR="00A63D4C" w:rsidRDefault="00A63D4C" w:rsidP="00A63D4C">
            <w:r>
              <w:t>Dictated by exposure duration</w:t>
            </w:r>
          </w:p>
        </w:tc>
      </w:tr>
      <w:tr w:rsidR="00A63D4C" w14:paraId="23F5C4EC" w14:textId="77777777" w:rsidTr="00AC0B25">
        <w:tc>
          <w:tcPr>
            <w:tcW w:w="3685" w:type="dxa"/>
            <w:vAlign w:val="center"/>
          </w:tcPr>
          <w:p w14:paraId="3BD3A90B" w14:textId="4E0309BB" w:rsidR="00A63D4C" w:rsidRDefault="00A63D4C" w:rsidP="00AC0B25">
            <w:r w:rsidRPr="00D51771">
              <w:rPr>
                <w:rFonts w:eastAsia="Times New Roman" w:cstheme="minorHAnsi"/>
                <w:bCs/>
                <w:color w:val="000000"/>
              </w:rPr>
              <w:t>Relative Source Contribution</w:t>
            </w:r>
            <w:r>
              <w:rPr>
                <w:rFonts w:eastAsia="Times New Roman" w:cstheme="minorHAnsi"/>
                <w:bCs/>
                <w:color w:val="000000"/>
              </w:rPr>
              <w:t>, RSC (%)</w:t>
            </w:r>
          </w:p>
        </w:tc>
        <w:tc>
          <w:tcPr>
            <w:tcW w:w="1080" w:type="dxa"/>
            <w:vAlign w:val="center"/>
          </w:tcPr>
          <w:p w14:paraId="4208D301" w14:textId="37DBAC51" w:rsidR="00A63D4C" w:rsidRDefault="00A63D4C" w:rsidP="00AC0B25">
            <w:pPr>
              <w:jc w:val="center"/>
            </w:pPr>
            <w:r>
              <w:t>20</w:t>
            </w:r>
          </w:p>
        </w:tc>
        <w:tc>
          <w:tcPr>
            <w:tcW w:w="5220" w:type="dxa"/>
          </w:tcPr>
          <w:p w14:paraId="67939631" w14:textId="2D0DE334" w:rsidR="00A63D4C" w:rsidRDefault="00A63D4C" w:rsidP="00A63D4C">
            <w:r>
              <w:t>Professional judgement</w:t>
            </w:r>
            <w:r w:rsidR="000578D0">
              <w:t xml:space="preserve">, considering </w:t>
            </w:r>
            <w:r w:rsidR="00473D3A">
              <w:t xml:space="preserve">exposure to </w:t>
            </w:r>
            <w:r w:rsidR="000578D0">
              <w:t xml:space="preserve">PFOS from sources other than </w:t>
            </w:r>
            <w:r w:rsidR="003E0A8F">
              <w:t>surface water</w:t>
            </w:r>
          </w:p>
        </w:tc>
      </w:tr>
    </w:tbl>
    <w:p w14:paraId="362E1AA7" w14:textId="31B3571F" w:rsidR="00D51771" w:rsidRDefault="00D51771" w:rsidP="00D51771"/>
    <w:p w14:paraId="48220738" w14:textId="3D78B85D" w:rsidR="006C3757" w:rsidRPr="00A34A85" w:rsidRDefault="006C3757" w:rsidP="00BD4CEE">
      <w:pPr>
        <w:spacing w:line="240" w:lineRule="auto"/>
        <w:rPr>
          <w:sz w:val="24"/>
          <w:szCs w:val="24"/>
        </w:rPr>
      </w:pPr>
      <w:r w:rsidRPr="00A34A85">
        <w:rPr>
          <w:sz w:val="24"/>
          <w:szCs w:val="24"/>
        </w:rPr>
        <w:t xml:space="preserve">Using the parameters in Table 2.1, the </w:t>
      </w:r>
      <w:proofErr w:type="spellStart"/>
      <w:r w:rsidRPr="00A34A85">
        <w:rPr>
          <w:sz w:val="24"/>
          <w:szCs w:val="24"/>
        </w:rPr>
        <w:t>cSWAL</w:t>
      </w:r>
      <w:proofErr w:type="spellEnd"/>
      <w:r w:rsidRPr="00A34A85">
        <w:rPr>
          <w:sz w:val="24"/>
          <w:szCs w:val="24"/>
        </w:rPr>
        <w:t xml:space="preserve"> </w:t>
      </w:r>
      <w:r w:rsidR="007D7183" w:rsidRPr="00A34A85">
        <w:rPr>
          <w:sz w:val="24"/>
          <w:szCs w:val="24"/>
        </w:rPr>
        <w:t xml:space="preserve">(ng/L) </w:t>
      </w:r>
      <w:r w:rsidRPr="00A34A85">
        <w:rPr>
          <w:sz w:val="24"/>
          <w:szCs w:val="24"/>
        </w:rPr>
        <w:t>is calculated as follows:</w:t>
      </w:r>
    </w:p>
    <w:p w14:paraId="6C35783E" w14:textId="77777777" w:rsidR="000B24AF" w:rsidRPr="00A34A85" w:rsidRDefault="000B24AF" w:rsidP="000B24AF">
      <w:pPr>
        <w:spacing w:after="0" w:line="240" w:lineRule="auto"/>
        <w:rPr>
          <w:rFonts w:cs="Arial"/>
          <w:sz w:val="24"/>
          <w:szCs w:val="24"/>
        </w:rPr>
      </w:pPr>
    </w:p>
    <w:p w14:paraId="5A52CA73" w14:textId="4C6878A6" w:rsidR="000B24AF" w:rsidRPr="00A34A85" w:rsidRDefault="000B24AF" w:rsidP="000B24AF">
      <w:pPr>
        <w:spacing w:after="0" w:line="240" w:lineRule="auto"/>
        <w:rPr>
          <w:rFonts w:cs="Arial"/>
          <w:sz w:val="24"/>
          <w:szCs w:val="24"/>
        </w:rPr>
      </w:pPr>
      <m:oMathPara>
        <m:oMath>
          <m:r>
            <w:rPr>
              <w:rFonts w:ascii="Cambria Math" w:hAnsi="Cambria Math" w:cs="Arial"/>
            </w:rPr>
            <m:t>cSWAL=MRL×</m:t>
          </m:r>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 xml:space="preserve"> ng</m:t>
                  </m:r>
                </m:num>
                <m:den>
                  <m:r>
                    <w:rPr>
                      <w:rFonts w:ascii="Cambria Math" w:hAnsi="Cambria Math" w:cs="Arial"/>
                    </w:rPr>
                    <m:t>mg</m:t>
                  </m:r>
                </m:den>
              </m:f>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BW×AT</m:t>
                  </m:r>
                </m:num>
                <m:den>
                  <m:r>
                    <w:rPr>
                      <w:rFonts w:ascii="Cambria Math" w:hAnsi="Cambria Math" w:cs="Arial"/>
                    </w:rPr>
                    <m:t>IR×ET×EF×ED</m:t>
                  </m:r>
                </m:den>
              </m:f>
            </m:e>
          </m:d>
          <m:r>
            <w:rPr>
              <w:rFonts w:ascii="Cambria Math" w:hAnsi="Cambria Math" w:cs="Arial"/>
            </w:rPr>
            <m:t>×RSC</m:t>
          </m:r>
        </m:oMath>
      </m:oMathPara>
    </w:p>
    <w:p w14:paraId="352D7538" w14:textId="7AF59555" w:rsidR="000B24AF" w:rsidRPr="00A34A85" w:rsidRDefault="000B24AF" w:rsidP="000B24AF">
      <w:pPr>
        <w:spacing w:after="0" w:line="240" w:lineRule="auto"/>
        <w:rPr>
          <w:rFonts w:cs="Arial"/>
          <w:sz w:val="24"/>
          <w:szCs w:val="24"/>
        </w:rPr>
      </w:pPr>
    </w:p>
    <w:p w14:paraId="3A6ECF52" w14:textId="3E355412" w:rsidR="00A34A85" w:rsidRPr="00A34A85" w:rsidRDefault="00A34A85" w:rsidP="006F3BB7">
      <w:pPr>
        <w:spacing w:line="240" w:lineRule="auto"/>
        <w:jc w:val="both"/>
        <w:rPr>
          <w:rFonts w:cs="Arial"/>
          <w:sz w:val="24"/>
          <w:szCs w:val="24"/>
        </w:rPr>
      </w:pPr>
      <w:r w:rsidRPr="00A34A85">
        <w:rPr>
          <w:rFonts w:cs="Arial"/>
          <w:sz w:val="24"/>
          <w:szCs w:val="24"/>
        </w:rPr>
        <w:t xml:space="preserve">Additional discussion of the basis for the exposure parameters, as well as exposure parameters for other age groups, </w:t>
      </w:r>
      <w:r w:rsidR="00D81CD7">
        <w:rPr>
          <w:rFonts w:cs="Arial"/>
          <w:sz w:val="24"/>
          <w:szCs w:val="24"/>
        </w:rPr>
        <w:t xml:space="preserve">are </w:t>
      </w:r>
      <w:r w:rsidRPr="00A34A85">
        <w:rPr>
          <w:rFonts w:cs="Arial"/>
          <w:sz w:val="24"/>
          <w:szCs w:val="24"/>
        </w:rPr>
        <w:t xml:space="preserve">included in </w:t>
      </w:r>
      <w:proofErr w:type="spellStart"/>
      <w:r w:rsidRPr="00A34A85">
        <w:rPr>
          <w:rFonts w:cs="Arial"/>
          <w:sz w:val="24"/>
          <w:szCs w:val="24"/>
        </w:rPr>
        <w:t>Apendix</w:t>
      </w:r>
      <w:proofErr w:type="spellEnd"/>
      <w:r w:rsidRPr="00A34A85">
        <w:rPr>
          <w:rFonts w:cs="Arial"/>
          <w:sz w:val="24"/>
          <w:szCs w:val="24"/>
        </w:rPr>
        <w:t xml:space="preserve"> </w:t>
      </w:r>
      <w:r w:rsidR="00D81CD7">
        <w:rPr>
          <w:rFonts w:cs="Arial"/>
          <w:sz w:val="24"/>
          <w:szCs w:val="24"/>
        </w:rPr>
        <w:t>A</w:t>
      </w:r>
      <w:r w:rsidRPr="00A34A85">
        <w:rPr>
          <w:rFonts w:cs="Arial"/>
          <w:sz w:val="24"/>
          <w:szCs w:val="24"/>
        </w:rPr>
        <w:t>.</w:t>
      </w:r>
      <w:r w:rsidR="001225E1">
        <w:rPr>
          <w:rFonts w:cs="Arial"/>
          <w:sz w:val="24"/>
          <w:szCs w:val="24"/>
        </w:rPr>
        <w:t xml:space="preserve"> Appendix </w:t>
      </w:r>
      <w:r w:rsidR="00D81CD7">
        <w:rPr>
          <w:rFonts w:cs="Arial"/>
          <w:sz w:val="24"/>
          <w:szCs w:val="24"/>
        </w:rPr>
        <w:t>A</w:t>
      </w:r>
      <w:r w:rsidR="001225E1">
        <w:rPr>
          <w:rFonts w:cs="Arial"/>
          <w:sz w:val="24"/>
          <w:szCs w:val="24"/>
        </w:rPr>
        <w:t xml:space="preserve"> also includes a discussion of a SWAL based on MassDEP exposure criteria and exposure assumptions.</w:t>
      </w:r>
    </w:p>
    <w:p w14:paraId="2F30E621" w14:textId="50123A97" w:rsidR="00231A7C" w:rsidRPr="00A34A85" w:rsidRDefault="004320AA" w:rsidP="00BD4CEE">
      <w:pPr>
        <w:spacing w:line="240" w:lineRule="auto"/>
        <w:jc w:val="both"/>
        <w:rPr>
          <w:sz w:val="24"/>
          <w:szCs w:val="24"/>
        </w:rPr>
      </w:pPr>
      <w:r w:rsidRPr="00A34A85">
        <w:rPr>
          <w:sz w:val="24"/>
          <w:szCs w:val="24"/>
        </w:rPr>
        <w:t xml:space="preserve">Section 3 outlines the approach for conducting a waterbody-specific risk assessment, when the </w:t>
      </w:r>
      <w:proofErr w:type="spellStart"/>
      <w:r w:rsidRPr="00A34A85">
        <w:rPr>
          <w:sz w:val="24"/>
          <w:szCs w:val="24"/>
        </w:rPr>
        <w:t>cSWAL</w:t>
      </w:r>
      <w:proofErr w:type="spellEnd"/>
      <w:r w:rsidRPr="00A34A85">
        <w:rPr>
          <w:sz w:val="24"/>
          <w:szCs w:val="24"/>
        </w:rPr>
        <w:t xml:space="preserve"> is exceeded</w:t>
      </w:r>
      <w:r w:rsidR="00A34A85">
        <w:rPr>
          <w:sz w:val="24"/>
          <w:szCs w:val="24"/>
        </w:rPr>
        <w:t>.</w:t>
      </w:r>
    </w:p>
    <w:p w14:paraId="6EFDC5F0" w14:textId="2B8FE3F8" w:rsidR="000D046E" w:rsidRDefault="00764B20" w:rsidP="000D3483">
      <w:pPr>
        <w:pStyle w:val="Heading2"/>
      </w:pPr>
      <w:bookmarkStart w:id="3" w:name="_Toc87445197"/>
      <w:r>
        <w:t>2.2</w:t>
      </w:r>
      <w:r>
        <w:tab/>
      </w:r>
      <w:r w:rsidR="000D046E">
        <w:t>Fish Tissue Action Level</w:t>
      </w:r>
      <w:bookmarkEnd w:id="3"/>
    </w:p>
    <w:p w14:paraId="604E12FF" w14:textId="29E6BB74" w:rsidR="00231A7C" w:rsidRPr="00231A7C" w:rsidRDefault="00231A7C" w:rsidP="00BD4CEE">
      <w:pPr>
        <w:spacing w:line="240" w:lineRule="auto"/>
        <w:jc w:val="both"/>
        <w:rPr>
          <w:rFonts w:cstheme="minorHAnsi"/>
          <w:sz w:val="24"/>
          <w:szCs w:val="24"/>
        </w:rPr>
      </w:pPr>
      <w:r w:rsidRPr="00231A7C">
        <w:rPr>
          <w:rFonts w:cstheme="minorHAnsi"/>
          <w:sz w:val="24"/>
          <w:szCs w:val="24"/>
        </w:rPr>
        <w:t xml:space="preserve">DPH recommends a </w:t>
      </w:r>
      <w:r w:rsidRPr="00231A7C">
        <w:rPr>
          <w:rFonts w:cstheme="minorHAnsi"/>
          <w:b/>
          <w:sz w:val="24"/>
          <w:szCs w:val="24"/>
        </w:rPr>
        <w:t>candidate Fish Action Level (</w:t>
      </w:r>
      <w:proofErr w:type="spellStart"/>
      <w:r w:rsidRPr="00231A7C">
        <w:rPr>
          <w:rFonts w:cstheme="minorHAnsi"/>
          <w:b/>
          <w:sz w:val="24"/>
          <w:szCs w:val="24"/>
        </w:rPr>
        <w:t>cFAL</w:t>
      </w:r>
      <w:proofErr w:type="spellEnd"/>
      <w:r w:rsidRPr="00231A7C">
        <w:rPr>
          <w:rFonts w:cstheme="minorHAnsi"/>
          <w:b/>
          <w:sz w:val="24"/>
          <w:szCs w:val="24"/>
        </w:rPr>
        <w:t>) of 0.2</w:t>
      </w:r>
      <w:r w:rsidR="00B72683">
        <w:rPr>
          <w:rFonts w:cstheme="minorHAnsi"/>
          <w:b/>
          <w:sz w:val="24"/>
          <w:szCs w:val="24"/>
        </w:rPr>
        <w:t>2</w:t>
      </w:r>
      <w:r w:rsidRPr="00231A7C">
        <w:rPr>
          <w:rFonts w:cstheme="minorHAnsi"/>
          <w:b/>
          <w:sz w:val="24"/>
          <w:szCs w:val="24"/>
        </w:rPr>
        <w:t xml:space="preserve"> µg of PFAS per kilogram of fish </w:t>
      </w:r>
      <w:r w:rsidR="00A77047">
        <w:rPr>
          <w:rFonts w:cstheme="minorHAnsi"/>
          <w:b/>
          <w:sz w:val="24"/>
          <w:szCs w:val="24"/>
        </w:rPr>
        <w:t>(</w:t>
      </w:r>
      <w:r w:rsidR="00A77047" w:rsidRPr="00A77047">
        <w:rPr>
          <w:rFonts w:cstheme="minorHAnsi"/>
          <w:b/>
          <w:sz w:val="24"/>
          <w:szCs w:val="24"/>
        </w:rPr>
        <w:t>µg</w:t>
      </w:r>
      <w:r w:rsidR="00A77047">
        <w:rPr>
          <w:rFonts w:cstheme="minorHAnsi"/>
          <w:b/>
          <w:sz w:val="24"/>
          <w:szCs w:val="24"/>
        </w:rPr>
        <w:t xml:space="preserve">/kg) </w:t>
      </w:r>
      <w:r w:rsidRPr="00231A7C">
        <w:rPr>
          <w:rFonts w:cstheme="minorHAnsi"/>
          <w:sz w:val="24"/>
          <w:szCs w:val="24"/>
        </w:rPr>
        <w:t>(</w:t>
      </w:r>
      <w:r w:rsidR="00B72683">
        <w:rPr>
          <w:rFonts w:cstheme="minorHAnsi"/>
          <w:sz w:val="24"/>
          <w:szCs w:val="24"/>
        </w:rPr>
        <w:t>equivalent to 0.22 ng PFAS per g of fish</w:t>
      </w:r>
      <w:r w:rsidRPr="00231A7C">
        <w:rPr>
          <w:rFonts w:cstheme="minorHAnsi"/>
          <w:sz w:val="24"/>
          <w:szCs w:val="24"/>
        </w:rPr>
        <w:t xml:space="preserve">). Consistent with ATSDR recommendations for evaluating PFAS compounds individually, this value should be applied to individual measurements of </w:t>
      </w:r>
      <w:r w:rsidR="008B4139">
        <w:rPr>
          <w:rFonts w:cstheme="minorHAnsi"/>
          <w:sz w:val="24"/>
          <w:szCs w:val="24"/>
        </w:rPr>
        <w:t xml:space="preserve">PFBS, PFHxS, </w:t>
      </w:r>
      <w:r w:rsidRPr="00231A7C">
        <w:rPr>
          <w:rFonts w:cstheme="minorHAnsi"/>
          <w:sz w:val="24"/>
          <w:szCs w:val="24"/>
        </w:rPr>
        <w:t xml:space="preserve">PFOA, PFOS, </w:t>
      </w:r>
      <w:r w:rsidR="008B4139">
        <w:rPr>
          <w:rFonts w:cstheme="minorHAnsi"/>
          <w:sz w:val="24"/>
          <w:szCs w:val="24"/>
        </w:rPr>
        <w:t xml:space="preserve">and </w:t>
      </w:r>
      <w:r w:rsidRPr="00231A7C">
        <w:rPr>
          <w:rFonts w:cstheme="minorHAnsi"/>
          <w:sz w:val="24"/>
          <w:szCs w:val="24"/>
        </w:rPr>
        <w:t xml:space="preserve">PFNA. </w:t>
      </w:r>
      <w:r w:rsidRPr="00C6642F">
        <w:rPr>
          <w:rFonts w:cstheme="minorHAnsi"/>
          <w:sz w:val="24"/>
          <w:szCs w:val="24"/>
        </w:rPr>
        <w:t xml:space="preserve">If </w:t>
      </w:r>
      <w:r w:rsidRPr="00C6642F">
        <w:rPr>
          <w:rFonts w:cstheme="minorHAnsi"/>
          <w:i/>
          <w:sz w:val="24"/>
          <w:szCs w:val="24"/>
        </w:rPr>
        <w:t>any</w:t>
      </w:r>
      <w:r w:rsidRPr="00C6642F">
        <w:rPr>
          <w:rFonts w:cstheme="minorHAnsi"/>
          <w:sz w:val="24"/>
          <w:szCs w:val="24"/>
        </w:rPr>
        <w:t xml:space="preserve"> of these compounds (individually) exceed a candidate Action Level (</w:t>
      </w:r>
      <w:proofErr w:type="spellStart"/>
      <w:r w:rsidRPr="00C6642F">
        <w:rPr>
          <w:rFonts w:cstheme="minorHAnsi"/>
          <w:sz w:val="24"/>
          <w:szCs w:val="24"/>
        </w:rPr>
        <w:t>cFAL</w:t>
      </w:r>
      <w:proofErr w:type="spellEnd"/>
      <w:r w:rsidRPr="00C6642F">
        <w:rPr>
          <w:rFonts w:cstheme="minorHAnsi"/>
          <w:sz w:val="24"/>
          <w:szCs w:val="24"/>
        </w:rPr>
        <w:t xml:space="preserve">) of </w:t>
      </w:r>
      <w:r w:rsidR="001806B9">
        <w:rPr>
          <w:rFonts w:cstheme="minorHAnsi"/>
          <w:sz w:val="24"/>
          <w:szCs w:val="24"/>
        </w:rPr>
        <w:t>0.</w:t>
      </w:r>
      <w:r w:rsidR="00392D0E" w:rsidRPr="00C6642F">
        <w:rPr>
          <w:rFonts w:cstheme="minorHAnsi"/>
          <w:sz w:val="24"/>
          <w:szCs w:val="24"/>
        </w:rPr>
        <w:t>2</w:t>
      </w:r>
      <w:r w:rsidR="00392D0E">
        <w:rPr>
          <w:rFonts w:cstheme="minorHAnsi"/>
          <w:sz w:val="24"/>
          <w:szCs w:val="24"/>
        </w:rPr>
        <w:t>2</w:t>
      </w:r>
      <w:r w:rsidR="00392D0E" w:rsidRPr="00C6642F">
        <w:rPr>
          <w:rFonts w:cstheme="minorHAnsi"/>
          <w:sz w:val="24"/>
          <w:szCs w:val="24"/>
        </w:rPr>
        <w:t xml:space="preserve"> </w:t>
      </w:r>
      <w:r w:rsidR="001C5415">
        <w:rPr>
          <w:rFonts w:cstheme="minorHAnsi"/>
          <w:sz w:val="24"/>
          <w:szCs w:val="24"/>
        </w:rPr>
        <w:t>µ</w:t>
      </w:r>
      <w:r w:rsidR="00C6642F" w:rsidRPr="00C6642F">
        <w:rPr>
          <w:rFonts w:cstheme="minorHAnsi"/>
          <w:sz w:val="24"/>
          <w:szCs w:val="24"/>
        </w:rPr>
        <w:t>g/</w:t>
      </w:r>
      <w:r w:rsidR="001C5415">
        <w:rPr>
          <w:rFonts w:cstheme="minorHAnsi"/>
          <w:sz w:val="24"/>
          <w:szCs w:val="24"/>
        </w:rPr>
        <w:t>k</w:t>
      </w:r>
      <w:r w:rsidR="00C6642F" w:rsidRPr="00C6642F">
        <w:rPr>
          <w:rFonts w:cstheme="minorHAnsi"/>
          <w:sz w:val="24"/>
          <w:szCs w:val="24"/>
        </w:rPr>
        <w:t>g,</w:t>
      </w:r>
      <w:r w:rsidRPr="00C6642F">
        <w:rPr>
          <w:rFonts w:cstheme="minorHAnsi"/>
          <w:sz w:val="24"/>
          <w:szCs w:val="24"/>
        </w:rPr>
        <w:t xml:space="preserve"> a waterbody-specific analys</w:t>
      </w:r>
      <w:r w:rsidR="00C6642F" w:rsidRPr="00C6642F">
        <w:rPr>
          <w:rFonts w:cstheme="minorHAnsi"/>
          <w:sz w:val="24"/>
          <w:szCs w:val="24"/>
        </w:rPr>
        <w:t>i</w:t>
      </w:r>
      <w:r w:rsidRPr="00C6642F">
        <w:rPr>
          <w:rFonts w:cstheme="minorHAnsi"/>
          <w:sz w:val="24"/>
          <w:szCs w:val="24"/>
        </w:rPr>
        <w:t>s to evaluate how frequently an individual should consume fish from the specific waterbody</w:t>
      </w:r>
      <w:r w:rsidR="00C6642F" w:rsidRPr="00C6642F">
        <w:rPr>
          <w:rFonts w:cstheme="minorHAnsi"/>
          <w:sz w:val="24"/>
          <w:szCs w:val="24"/>
        </w:rPr>
        <w:t xml:space="preserve"> would be required</w:t>
      </w:r>
      <w:r w:rsidRPr="00C6642F">
        <w:rPr>
          <w:rFonts w:cstheme="minorHAnsi"/>
          <w:sz w:val="24"/>
          <w:szCs w:val="24"/>
        </w:rPr>
        <w:t>.</w:t>
      </w:r>
      <w:r w:rsidR="00C6642F" w:rsidRPr="00C6642F">
        <w:rPr>
          <w:rFonts w:cstheme="minorHAnsi"/>
          <w:sz w:val="24"/>
          <w:szCs w:val="24"/>
        </w:rPr>
        <w:t xml:space="preserve"> </w:t>
      </w:r>
      <w:r w:rsidR="00C6642F" w:rsidRPr="00231A7C">
        <w:rPr>
          <w:rFonts w:cstheme="minorHAnsi"/>
          <w:sz w:val="24"/>
          <w:szCs w:val="24"/>
        </w:rPr>
        <w:t xml:space="preserve">A concentration below </w:t>
      </w:r>
      <w:r w:rsidR="00C6642F">
        <w:rPr>
          <w:rFonts w:cstheme="minorHAnsi"/>
          <w:sz w:val="24"/>
          <w:szCs w:val="24"/>
        </w:rPr>
        <w:t>0.2</w:t>
      </w:r>
      <w:r w:rsidR="00392D0E">
        <w:rPr>
          <w:rFonts w:cstheme="minorHAnsi"/>
          <w:sz w:val="24"/>
          <w:szCs w:val="24"/>
        </w:rPr>
        <w:t>2</w:t>
      </w:r>
      <w:r w:rsidR="00C6642F">
        <w:rPr>
          <w:rFonts w:cstheme="minorHAnsi"/>
          <w:sz w:val="24"/>
          <w:szCs w:val="24"/>
        </w:rPr>
        <w:t xml:space="preserve"> </w:t>
      </w:r>
      <w:r w:rsidR="001C5415">
        <w:rPr>
          <w:rFonts w:cstheme="minorHAnsi"/>
          <w:sz w:val="24"/>
          <w:szCs w:val="24"/>
        </w:rPr>
        <w:t>µ</w:t>
      </w:r>
      <w:r w:rsidR="00C6642F">
        <w:rPr>
          <w:rFonts w:cstheme="minorHAnsi"/>
          <w:sz w:val="24"/>
          <w:szCs w:val="24"/>
        </w:rPr>
        <w:t>g/</w:t>
      </w:r>
      <w:r w:rsidR="001C5415">
        <w:rPr>
          <w:rFonts w:cstheme="minorHAnsi"/>
          <w:sz w:val="24"/>
          <w:szCs w:val="24"/>
        </w:rPr>
        <w:t>k</w:t>
      </w:r>
      <w:r w:rsidR="00C6642F">
        <w:rPr>
          <w:rFonts w:cstheme="minorHAnsi"/>
          <w:sz w:val="24"/>
          <w:szCs w:val="24"/>
        </w:rPr>
        <w:t>g</w:t>
      </w:r>
      <w:r w:rsidR="00C6642F" w:rsidRPr="00231A7C">
        <w:rPr>
          <w:rFonts w:cstheme="minorHAnsi"/>
          <w:sz w:val="24"/>
          <w:szCs w:val="24"/>
        </w:rPr>
        <w:t xml:space="preserve"> for any of the</w:t>
      </w:r>
      <w:r w:rsidR="0079439E">
        <w:rPr>
          <w:rFonts w:cstheme="minorHAnsi"/>
          <w:sz w:val="24"/>
          <w:szCs w:val="24"/>
        </w:rPr>
        <w:t>se</w:t>
      </w:r>
      <w:r w:rsidR="00C6642F" w:rsidRPr="00231A7C">
        <w:rPr>
          <w:rFonts w:cstheme="minorHAnsi"/>
          <w:sz w:val="24"/>
          <w:szCs w:val="24"/>
        </w:rPr>
        <w:t xml:space="preserve"> PFAS compounds would be protective for unlimited </w:t>
      </w:r>
      <w:r w:rsidR="00C6642F">
        <w:rPr>
          <w:rFonts w:cstheme="minorHAnsi"/>
          <w:sz w:val="24"/>
          <w:szCs w:val="24"/>
        </w:rPr>
        <w:t>consumption of fish for both the general population and sensitive populations.</w:t>
      </w:r>
    </w:p>
    <w:p w14:paraId="40D87E06" w14:textId="77777777" w:rsidR="00231A7C" w:rsidRPr="00231A7C" w:rsidRDefault="00231A7C" w:rsidP="00BD4CEE">
      <w:pPr>
        <w:spacing w:line="240" w:lineRule="auto"/>
        <w:jc w:val="both"/>
        <w:rPr>
          <w:rFonts w:cstheme="minorHAnsi"/>
          <w:sz w:val="24"/>
          <w:szCs w:val="24"/>
        </w:rPr>
      </w:pPr>
      <w:r w:rsidRPr="00231A7C">
        <w:rPr>
          <w:rFonts w:cstheme="minorHAnsi"/>
          <w:sz w:val="24"/>
          <w:szCs w:val="24"/>
        </w:rPr>
        <w:t xml:space="preserve">The development of this </w:t>
      </w:r>
      <w:proofErr w:type="spellStart"/>
      <w:r w:rsidRPr="00231A7C">
        <w:rPr>
          <w:rFonts w:cstheme="minorHAnsi"/>
          <w:sz w:val="24"/>
          <w:szCs w:val="24"/>
        </w:rPr>
        <w:t>cFAL</w:t>
      </w:r>
      <w:proofErr w:type="spellEnd"/>
      <w:r w:rsidRPr="00231A7C">
        <w:rPr>
          <w:rFonts w:cstheme="minorHAnsi"/>
          <w:sz w:val="24"/>
          <w:szCs w:val="24"/>
        </w:rPr>
        <w:t xml:space="preserve"> is based on the following assumptions:</w:t>
      </w:r>
    </w:p>
    <w:p w14:paraId="740BC9D8" w14:textId="53896D3E" w:rsidR="00231A7C" w:rsidRPr="00411C04" w:rsidRDefault="006B204B" w:rsidP="00231A7C">
      <w:pPr>
        <w:numPr>
          <w:ilvl w:val="0"/>
          <w:numId w:val="18"/>
        </w:numPr>
        <w:tabs>
          <w:tab w:val="left" w:pos="8880"/>
        </w:tabs>
        <w:spacing w:after="0" w:line="240" w:lineRule="auto"/>
        <w:jc w:val="both"/>
        <w:rPr>
          <w:rFonts w:cstheme="minorHAnsi"/>
          <w:sz w:val="24"/>
          <w:szCs w:val="24"/>
        </w:rPr>
      </w:pPr>
      <w:r>
        <w:rPr>
          <w:rFonts w:cstheme="minorHAnsi"/>
          <w:sz w:val="24"/>
          <w:szCs w:val="24"/>
        </w:rPr>
        <w:t xml:space="preserve">The </w:t>
      </w:r>
      <w:proofErr w:type="spellStart"/>
      <w:r>
        <w:rPr>
          <w:rFonts w:cstheme="minorHAnsi"/>
          <w:sz w:val="24"/>
          <w:szCs w:val="24"/>
        </w:rPr>
        <w:t>cFAL</w:t>
      </w:r>
      <w:proofErr w:type="spellEnd"/>
      <w:r>
        <w:rPr>
          <w:rFonts w:cstheme="minorHAnsi"/>
          <w:sz w:val="24"/>
          <w:szCs w:val="24"/>
        </w:rPr>
        <w:t xml:space="preserve"> would allow for a sensitive individual</w:t>
      </w:r>
      <w:r w:rsidR="007F22CC">
        <w:rPr>
          <w:rFonts w:cstheme="minorHAnsi"/>
          <w:sz w:val="24"/>
          <w:szCs w:val="24"/>
        </w:rPr>
        <w:t xml:space="preserve"> (e.g., a young child, woman of child-bearing age) to </w:t>
      </w:r>
      <w:r w:rsidR="0079439E">
        <w:rPr>
          <w:rFonts w:cstheme="minorHAnsi"/>
          <w:sz w:val="24"/>
          <w:szCs w:val="24"/>
        </w:rPr>
        <w:t xml:space="preserve">eat one fish meal </w:t>
      </w:r>
      <w:r w:rsidR="00B72683" w:rsidRPr="00411C04">
        <w:rPr>
          <w:rFonts w:cstheme="minorHAnsi"/>
          <w:sz w:val="24"/>
          <w:szCs w:val="24"/>
        </w:rPr>
        <w:t>every day</w:t>
      </w:r>
      <w:r w:rsidR="00231A7C" w:rsidRPr="00411C04">
        <w:rPr>
          <w:rFonts w:cstheme="minorHAnsi"/>
          <w:sz w:val="24"/>
          <w:szCs w:val="24"/>
        </w:rPr>
        <w:t xml:space="preserve">, and still not </w:t>
      </w:r>
      <w:r w:rsidR="00647382" w:rsidRPr="00411C04">
        <w:rPr>
          <w:rFonts w:cstheme="minorHAnsi"/>
          <w:sz w:val="24"/>
          <w:szCs w:val="24"/>
        </w:rPr>
        <w:t>be exposed to a PFOS dose that exceeds</w:t>
      </w:r>
      <w:r w:rsidR="00231A7C" w:rsidRPr="00411C04">
        <w:rPr>
          <w:rFonts w:cstheme="minorHAnsi"/>
          <w:sz w:val="24"/>
          <w:szCs w:val="24"/>
        </w:rPr>
        <w:t xml:space="preserve"> the MRL.</w:t>
      </w:r>
    </w:p>
    <w:p w14:paraId="7B1C732E" w14:textId="1D72ADFC" w:rsidR="00231A7C" w:rsidRPr="00231A7C" w:rsidRDefault="007F22CC" w:rsidP="00954CB5">
      <w:pPr>
        <w:numPr>
          <w:ilvl w:val="0"/>
          <w:numId w:val="18"/>
        </w:numPr>
        <w:tabs>
          <w:tab w:val="left" w:pos="8880"/>
        </w:tabs>
        <w:spacing w:after="0" w:line="240" w:lineRule="auto"/>
        <w:jc w:val="both"/>
        <w:rPr>
          <w:rFonts w:cstheme="minorHAnsi"/>
          <w:sz w:val="24"/>
          <w:szCs w:val="24"/>
        </w:rPr>
      </w:pPr>
      <w:r>
        <w:rPr>
          <w:rFonts w:cstheme="minorHAnsi"/>
          <w:sz w:val="24"/>
          <w:szCs w:val="24"/>
        </w:rPr>
        <w:t xml:space="preserve">The most vulnerable individual, in terms of ingestion rate relative to body weight, is a </w:t>
      </w:r>
      <w:r w:rsidR="00231A7C" w:rsidRPr="00231A7C">
        <w:rPr>
          <w:rFonts w:cstheme="minorHAnsi"/>
          <w:sz w:val="24"/>
          <w:szCs w:val="24"/>
        </w:rPr>
        <w:t xml:space="preserve">toddler, aged 1 to &lt;3 years, </w:t>
      </w:r>
      <w:r>
        <w:rPr>
          <w:rFonts w:cstheme="minorHAnsi"/>
          <w:sz w:val="24"/>
          <w:szCs w:val="24"/>
        </w:rPr>
        <w:t xml:space="preserve">with a body </w:t>
      </w:r>
      <w:r w:rsidR="00231A7C" w:rsidRPr="00231A7C">
        <w:rPr>
          <w:rFonts w:cstheme="minorHAnsi"/>
          <w:sz w:val="24"/>
          <w:szCs w:val="24"/>
        </w:rPr>
        <w:t>weigh</w:t>
      </w:r>
      <w:r>
        <w:rPr>
          <w:rFonts w:cstheme="minorHAnsi"/>
          <w:sz w:val="24"/>
          <w:szCs w:val="24"/>
        </w:rPr>
        <w:t>t of</w:t>
      </w:r>
      <w:r w:rsidR="00231A7C" w:rsidRPr="00231A7C">
        <w:rPr>
          <w:rFonts w:cstheme="minorHAnsi"/>
          <w:sz w:val="24"/>
          <w:szCs w:val="24"/>
        </w:rPr>
        <w:t xml:space="preserve"> 12.6 kg (US EPA, 2011).</w:t>
      </w:r>
    </w:p>
    <w:p w14:paraId="0D7BAD31" w14:textId="54877D86" w:rsidR="00231A7C" w:rsidRPr="00231A7C" w:rsidRDefault="00231A7C" w:rsidP="00954CB5">
      <w:pPr>
        <w:numPr>
          <w:ilvl w:val="0"/>
          <w:numId w:val="18"/>
        </w:numPr>
        <w:tabs>
          <w:tab w:val="left" w:pos="8880"/>
        </w:tabs>
        <w:spacing w:after="0" w:line="240" w:lineRule="auto"/>
        <w:jc w:val="both"/>
        <w:rPr>
          <w:rFonts w:cstheme="minorHAnsi"/>
          <w:sz w:val="24"/>
          <w:szCs w:val="24"/>
        </w:rPr>
      </w:pPr>
      <w:bookmarkStart w:id="4" w:name="_Hlk84246194"/>
      <w:r w:rsidRPr="00231A7C">
        <w:rPr>
          <w:rFonts w:cstheme="minorHAnsi"/>
          <w:sz w:val="24"/>
          <w:szCs w:val="24"/>
        </w:rPr>
        <w:t xml:space="preserve">A health protective and reasonable maximum estimate of freshwater fish consumption </w:t>
      </w:r>
      <w:r w:rsidR="00411C04">
        <w:rPr>
          <w:rFonts w:cstheme="minorHAnsi"/>
          <w:sz w:val="24"/>
          <w:szCs w:val="24"/>
        </w:rPr>
        <w:t xml:space="preserve">for a toddler </w:t>
      </w:r>
      <w:r w:rsidRPr="00231A7C">
        <w:rPr>
          <w:rFonts w:cstheme="minorHAnsi"/>
          <w:sz w:val="24"/>
          <w:szCs w:val="24"/>
        </w:rPr>
        <w:t xml:space="preserve">is 113.4 grams per day (g/day).  </w:t>
      </w:r>
    </w:p>
    <w:p w14:paraId="408530FD" w14:textId="1E7820F2" w:rsidR="00465A81" w:rsidRDefault="00465A81" w:rsidP="00954CB5">
      <w:pPr>
        <w:numPr>
          <w:ilvl w:val="1"/>
          <w:numId w:val="18"/>
        </w:numPr>
        <w:tabs>
          <w:tab w:val="left" w:pos="8880"/>
        </w:tabs>
        <w:spacing w:after="0" w:line="240" w:lineRule="auto"/>
        <w:jc w:val="both"/>
        <w:rPr>
          <w:rFonts w:cstheme="minorHAnsi"/>
          <w:sz w:val="24"/>
          <w:szCs w:val="24"/>
        </w:rPr>
      </w:pPr>
      <w:r>
        <w:rPr>
          <w:rFonts w:cstheme="minorHAnsi"/>
          <w:sz w:val="24"/>
          <w:szCs w:val="24"/>
        </w:rPr>
        <w:t xml:space="preserve">This estimate </w:t>
      </w:r>
      <w:r w:rsidRPr="00231A7C">
        <w:rPr>
          <w:rFonts w:cstheme="minorHAnsi"/>
          <w:sz w:val="24"/>
          <w:szCs w:val="24"/>
        </w:rPr>
        <w:t xml:space="preserve">is </w:t>
      </w:r>
      <w:r>
        <w:rPr>
          <w:rFonts w:cstheme="minorHAnsi"/>
          <w:sz w:val="24"/>
          <w:szCs w:val="24"/>
        </w:rPr>
        <w:t>equivalent to</w:t>
      </w:r>
      <w:r w:rsidRPr="00231A7C">
        <w:rPr>
          <w:rFonts w:cstheme="minorHAnsi"/>
          <w:sz w:val="24"/>
          <w:szCs w:val="24"/>
        </w:rPr>
        <w:t xml:space="preserve"> a child eating a 4</w:t>
      </w:r>
      <w:r w:rsidR="007F22CC">
        <w:rPr>
          <w:rFonts w:cstheme="minorHAnsi"/>
          <w:sz w:val="24"/>
          <w:szCs w:val="24"/>
        </w:rPr>
        <w:t>-</w:t>
      </w:r>
      <w:r w:rsidRPr="00231A7C">
        <w:rPr>
          <w:rFonts w:cstheme="minorHAnsi"/>
          <w:sz w:val="24"/>
          <w:szCs w:val="24"/>
        </w:rPr>
        <w:t xml:space="preserve">ounce serving of fish every </w:t>
      </w:r>
      <w:proofErr w:type="gramStart"/>
      <w:r w:rsidRPr="00231A7C">
        <w:rPr>
          <w:rFonts w:cstheme="minorHAnsi"/>
          <w:sz w:val="24"/>
          <w:szCs w:val="24"/>
        </w:rPr>
        <w:t>day</w:t>
      </w:r>
      <w:r>
        <w:rPr>
          <w:rFonts w:cstheme="minorHAnsi"/>
          <w:sz w:val="24"/>
          <w:szCs w:val="24"/>
        </w:rPr>
        <w:t>,</w:t>
      </w:r>
      <w:r w:rsidRPr="006928C2">
        <w:rPr>
          <w:rFonts w:cstheme="minorHAnsi"/>
          <w:sz w:val="24"/>
          <w:szCs w:val="24"/>
        </w:rPr>
        <w:t xml:space="preserve"> </w:t>
      </w:r>
      <w:r w:rsidRPr="00A32330">
        <w:rPr>
          <w:rFonts w:cstheme="minorHAnsi"/>
          <w:sz w:val="24"/>
          <w:szCs w:val="24"/>
        </w:rPr>
        <w:t>and</w:t>
      </w:r>
      <w:proofErr w:type="gramEnd"/>
      <w:r w:rsidRPr="00A32330">
        <w:rPr>
          <w:rFonts w:cstheme="minorHAnsi"/>
          <w:sz w:val="24"/>
          <w:szCs w:val="24"/>
        </w:rPr>
        <w:t xml:space="preserve"> represents an unrestricted </w:t>
      </w:r>
      <w:r>
        <w:rPr>
          <w:rFonts w:cstheme="minorHAnsi"/>
          <w:sz w:val="24"/>
          <w:szCs w:val="24"/>
        </w:rPr>
        <w:t>consumption</w:t>
      </w:r>
      <w:r w:rsidRPr="00A32330">
        <w:rPr>
          <w:rFonts w:cstheme="minorHAnsi"/>
          <w:sz w:val="24"/>
          <w:szCs w:val="24"/>
        </w:rPr>
        <w:t xml:space="preserve"> of fish from a waterbody</w:t>
      </w:r>
      <w:r w:rsidR="00542221">
        <w:rPr>
          <w:rFonts w:cstheme="minorHAnsi"/>
          <w:sz w:val="24"/>
          <w:szCs w:val="24"/>
        </w:rPr>
        <w:t>, for recreational fish consumption.</w:t>
      </w:r>
    </w:p>
    <w:p w14:paraId="468D20F1" w14:textId="7280D0FA" w:rsidR="00231A7C" w:rsidRDefault="00EF06B4" w:rsidP="00954CB5">
      <w:pPr>
        <w:numPr>
          <w:ilvl w:val="1"/>
          <w:numId w:val="18"/>
        </w:numPr>
        <w:tabs>
          <w:tab w:val="left" w:pos="8880"/>
        </w:tabs>
        <w:spacing w:after="0" w:line="240" w:lineRule="auto"/>
        <w:jc w:val="both"/>
        <w:rPr>
          <w:rFonts w:cstheme="minorHAnsi"/>
          <w:sz w:val="24"/>
          <w:szCs w:val="24"/>
        </w:rPr>
      </w:pPr>
      <w:r>
        <w:rPr>
          <w:rFonts w:cstheme="minorHAnsi"/>
          <w:sz w:val="24"/>
          <w:szCs w:val="24"/>
        </w:rPr>
        <w:t xml:space="preserve">A 4-ounce serving size for a child is equal to half of the recommended serving size of fish for an adult (8 oz, or 227 grams). </w:t>
      </w:r>
      <w:r w:rsidR="00231A7C" w:rsidRPr="0076151F">
        <w:rPr>
          <w:rFonts w:cstheme="minorHAnsi"/>
          <w:sz w:val="24"/>
          <w:szCs w:val="24"/>
        </w:rPr>
        <w:t>Th</w:t>
      </w:r>
      <w:r w:rsidR="00AC0B25" w:rsidRPr="0076151F">
        <w:rPr>
          <w:rFonts w:cstheme="minorHAnsi"/>
          <w:sz w:val="24"/>
          <w:szCs w:val="24"/>
        </w:rPr>
        <w:t>e</w:t>
      </w:r>
      <w:r w:rsidR="00231A7C" w:rsidRPr="0076151F">
        <w:rPr>
          <w:rFonts w:cstheme="minorHAnsi"/>
          <w:sz w:val="24"/>
          <w:szCs w:val="24"/>
        </w:rPr>
        <w:t xml:space="preserve"> approach of basing a</w:t>
      </w:r>
      <w:r w:rsidR="007F22CC">
        <w:rPr>
          <w:rFonts w:cstheme="minorHAnsi"/>
          <w:sz w:val="24"/>
          <w:szCs w:val="24"/>
        </w:rPr>
        <w:t xml:space="preserve"> child’s</w:t>
      </w:r>
      <w:r w:rsidR="00231A7C" w:rsidRPr="0076151F">
        <w:rPr>
          <w:rFonts w:cstheme="minorHAnsi"/>
          <w:sz w:val="24"/>
          <w:szCs w:val="24"/>
        </w:rPr>
        <w:t xml:space="preserve"> ingestion rate on half of </w:t>
      </w:r>
      <w:r w:rsidR="007F22CC">
        <w:rPr>
          <w:rFonts w:cstheme="minorHAnsi"/>
          <w:sz w:val="24"/>
          <w:szCs w:val="24"/>
        </w:rPr>
        <w:t>the</w:t>
      </w:r>
      <w:r w:rsidR="00231A7C" w:rsidRPr="0076151F">
        <w:rPr>
          <w:rFonts w:cstheme="minorHAnsi"/>
          <w:sz w:val="24"/>
          <w:szCs w:val="24"/>
        </w:rPr>
        <w:t xml:space="preserve"> adult </w:t>
      </w:r>
      <w:r w:rsidR="007F22CC">
        <w:rPr>
          <w:rFonts w:cstheme="minorHAnsi"/>
          <w:sz w:val="24"/>
          <w:szCs w:val="24"/>
        </w:rPr>
        <w:t xml:space="preserve">ingestion rate </w:t>
      </w:r>
      <w:r w:rsidR="00231A7C" w:rsidRPr="0076151F">
        <w:rPr>
          <w:rFonts w:cstheme="minorHAnsi"/>
          <w:sz w:val="24"/>
          <w:szCs w:val="24"/>
        </w:rPr>
        <w:t xml:space="preserve">is consistent with </w:t>
      </w:r>
      <w:r w:rsidR="0013137D">
        <w:rPr>
          <w:rFonts w:cstheme="minorHAnsi"/>
          <w:sz w:val="24"/>
          <w:szCs w:val="24"/>
        </w:rPr>
        <w:t xml:space="preserve">US </w:t>
      </w:r>
      <w:r w:rsidR="002E5EC8">
        <w:rPr>
          <w:rFonts w:cstheme="minorHAnsi"/>
          <w:sz w:val="24"/>
          <w:szCs w:val="24"/>
        </w:rPr>
        <w:t>Food and Drug Administration (</w:t>
      </w:r>
      <w:r w:rsidR="007F22CC">
        <w:rPr>
          <w:rFonts w:cstheme="minorHAnsi"/>
          <w:sz w:val="24"/>
          <w:szCs w:val="24"/>
        </w:rPr>
        <w:t xml:space="preserve">US </w:t>
      </w:r>
      <w:r w:rsidR="00BD3F49">
        <w:rPr>
          <w:rFonts w:cstheme="minorHAnsi"/>
          <w:sz w:val="24"/>
          <w:szCs w:val="24"/>
        </w:rPr>
        <w:t>FDA</w:t>
      </w:r>
      <w:r w:rsidR="002E5EC8">
        <w:rPr>
          <w:rFonts w:cstheme="minorHAnsi"/>
          <w:sz w:val="24"/>
          <w:szCs w:val="24"/>
        </w:rPr>
        <w:t>)</w:t>
      </w:r>
      <w:r w:rsidR="00BD3F49" w:rsidRPr="0076151F">
        <w:rPr>
          <w:rFonts w:cstheme="minorHAnsi"/>
          <w:sz w:val="24"/>
          <w:szCs w:val="24"/>
        </w:rPr>
        <w:t xml:space="preserve"> </w:t>
      </w:r>
      <w:r w:rsidR="00AC0B25" w:rsidRPr="0076151F">
        <w:rPr>
          <w:rFonts w:cstheme="minorHAnsi"/>
          <w:sz w:val="24"/>
          <w:szCs w:val="24"/>
        </w:rPr>
        <w:t>and MassDEP</w:t>
      </w:r>
      <w:r w:rsidR="00231A7C" w:rsidRPr="0076151F">
        <w:rPr>
          <w:rFonts w:cstheme="minorHAnsi"/>
          <w:sz w:val="24"/>
          <w:szCs w:val="24"/>
        </w:rPr>
        <w:t xml:space="preserve"> guidance </w:t>
      </w:r>
      <w:r w:rsidR="00647382" w:rsidRPr="0076151F">
        <w:rPr>
          <w:rFonts w:cstheme="minorHAnsi"/>
          <w:sz w:val="24"/>
          <w:szCs w:val="24"/>
        </w:rPr>
        <w:t>(</w:t>
      </w:r>
      <w:r w:rsidR="006504C7">
        <w:rPr>
          <w:rFonts w:cstheme="minorHAnsi"/>
          <w:sz w:val="24"/>
          <w:szCs w:val="24"/>
        </w:rPr>
        <w:t xml:space="preserve">US FDA, 2019; </w:t>
      </w:r>
      <w:r w:rsidR="0013137D">
        <w:rPr>
          <w:rFonts w:cstheme="minorHAnsi"/>
          <w:sz w:val="24"/>
          <w:szCs w:val="24"/>
        </w:rPr>
        <w:t>MassDEP, 2008</w:t>
      </w:r>
      <w:r w:rsidR="002E5EC8">
        <w:rPr>
          <w:rFonts w:cstheme="minorHAnsi"/>
          <w:sz w:val="24"/>
          <w:szCs w:val="24"/>
        </w:rPr>
        <w:t>)</w:t>
      </w:r>
      <w:r w:rsidR="00360362">
        <w:rPr>
          <w:rFonts w:cstheme="minorHAnsi"/>
          <w:sz w:val="24"/>
          <w:szCs w:val="24"/>
        </w:rPr>
        <w:t xml:space="preserve"> </w:t>
      </w:r>
      <w:r w:rsidR="002E5EC8">
        <w:rPr>
          <w:rFonts w:cstheme="minorHAnsi"/>
          <w:sz w:val="24"/>
          <w:szCs w:val="24"/>
        </w:rPr>
        <w:t>as well as US EPA analyses (US E</w:t>
      </w:r>
      <w:r w:rsidR="00360362">
        <w:rPr>
          <w:rFonts w:cstheme="minorHAnsi"/>
          <w:sz w:val="24"/>
          <w:szCs w:val="24"/>
        </w:rPr>
        <w:t>PA</w:t>
      </w:r>
      <w:r w:rsidR="002E5EC8">
        <w:rPr>
          <w:rFonts w:cstheme="minorHAnsi"/>
          <w:sz w:val="24"/>
          <w:szCs w:val="24"/>
        </w:rPr>
        <w:t>,</w:t>
      </w:r>
      <w:r w:rsidR="00360362">
        <w:rPr>
          <w:rFonts w:cstheme="minorHAnsi"/>
          <w:sz w:val="24"/>
          <w:szCs w:val="24"/>
        </w:rPr>
        <w:t xml:space="preserve"> 2002</w:t>
      </w:r>
      <w:r w:rsidR="002E5EC8">
        <w:rPr>
          <w:rFonts w:cstheme="minorHAnsi"/>
          <w:sz w:val="24"/>
          <w:szCs w:val="24"/>
        </w:rPr>
        <w:t>;</w:t>
      </w:r>
      <w:r w:rsidR="00360362">
        <w:rPr>
          <w:rFonts w:cstheme="minorHAnsi"/>
          <w:sz w:val="24"/>
          <w:szCs w:val="24"/>
        </w:rPr>
        <w:t xml:space="preserve"> </w:t>
      </w:r>
      <w:r w:rsidR="007802EB">
        <w:rPr>
          <w:rFonts w:cstheme="minorHAnsi"/>
          <w:sz w:val="24"/>
          <w:szCs w:val="24"/>
        </w:rPr>
        <w:t xml:space="preserve">US EPA Region 1, </w:t>
      </w:r>
      <w:r w:rsidR="00360362">
        <w:rPr>
          <w:rFonts w:cstheme="minorHAnsi"/>
          <w:sz w:val="24"/>
          <w:szCs w:val="24"/>
        </w:rPr>
        <w:t>2005</w:t>
      </w:r>
      <w:r w:rsidR="00647382" w:rsidRPr="0076151F">
        <w:rPr>
          <w:rFonts w:cstheme="minorHAnsi"/>
          <w:sz w:val="24"/>
          <w:szCs w:val="24"/>
        </w:rPr>
        <w:t>)</w:t>
      </w:r>
      <w:r w:rsidR="00231A7C" w:rsidRPr="0076151F">
        <w:rPr>
          <w:rFonts w:cstheme="minorHAnsi"/>
          <w:sz w:val="24"/>
          <w:szCs w:val="24"/>
        </w:rPr>
        <w:t>.</w:t>
      </w:r>
    </w:p>
    <w:p w14:paraId="3C57D2E6" w14:textId="5BB18500" w:rsidR="00465A81" w:rsidRPr="0076151F" w:rsidRDefault="00465A81" w:rsidP="00954CB5">
      <w:pPr>
        <w:numPr>
          <w:ilvl w:val="1"/>
          <w:numId w:val="18"/>
        </w:numPr>
        <w:tabs>
          <w:tab w:val="left" w:pos="8880"/>
        </w:tabs>
        <w:spacing w:after="0" w:line="240" w:lineRule="auto"/>
        <w:jc w:val="both"/>
        <w:rPr>
          <w:rFonts w:cstheme="minorHAnsi"/>
          <w:sz w:val="24"/>
          <w:szCs w:val="24"/>
        </w:rPr>
      </w:pPr>
      <w:r>
        <w:rPr>
          <w:rFonts w:cstheme="minorHAnsi"/>
          <w:sz w:val="24"/>
          <w:szCs w:val="24"/>
        </w:rPr>
        <w:t xml:space="preserve">An intake of 113.4 g/day is </w:t>
      </w:r>
      <w:r w:rsidRPr="00231A7C">
        <w:rPr>
          <w:rFonts w:cstheme="minorHAnsi"/>
          <w:sz w:val="24"/>
          <w:szCs w:val="24"/>
        </w:rPr>
        <w:t xml:space="preserve">consistent with upper percentile daily fish consumption </w:t>
      </w:r>
      <w:r>
        <w:rPr>
          <w:rFonts w:cstheme="minorHAnsi"/>
          <w:sz w:val="24"/>
          <w:szCs w:val="24"/>
        </w:rPr>
        <w:t xml:space="preserve">estimates </w:t>
      </w:r>
      <w:r w:rsidR="00B310DD">
        <w:rPr>
          <w:rFonts w:cstheme="minorHAnsi"/>
          <w:sz w:val="24"/>
          <w:szCs w:val="24"/>
        </w:rPr>
        <w:t xml:space="preserve">for young children </w:t>
      </w:r>
      <w:r>
        <w:rPr>
          <w:rFonts w:cstheme="minorHAnsi"/>
          <w:sz w:val="24"/>
          <w:szCs w:val="24"/>
        </w:rPr>
        <w:t>of freshwater and estuarine finfish and shellfish</w:t>
      </w:r>
      <w:r w:rsidR="007F22CC">
        <w:rPr>
          <w:rFonts w:cstheme="minorHAnsi"/>
          <w:sz w:val="24"/>
          <w:szCs w:val="24"/>
        </w:rPr>
        <w:t xml:space="preserve"> (US EPA, 2002)</w:t>
      </w:r>
      <w:r>
        <w:rPr>
          <w:rFonts w:cstheme="minorHAnsi"/>
          <w:sz w:val="24"/>
          <w:szCs w:val="24"/>
        </w:rPr>
        <w:t>.</w:t>
      </w:r>
    </w:p>
    <w:bookmarkEnd w:id="4"/>
    <w:p w14:paraId="7F0AB033" w14:textId="443BE310" w:rsidR="00E63A22" w:rsidRPr="009E210F" w:rsidRDefault="00E63A22" w:rsidP="00E63A22">
      <w:pPr>
        <w:tabs>
          <w:tab w:val="left" w:pos="8880"/>
        </w:tabs>
        <w:spacing w:after="0" w:line="240" w:lineRule="auto"/>
        <w:jc w:val="both"/>
        <w:rPr>
          <w:rFonts w:cstheme="minorHAnsi"/>
          <w:sz w:val="24"/>
          <w:szCs w:val="24"/>
        </w:rPr>
      </w:pPr>
    </w:p>
    <w:p w14:paraId="5BF05BF5" w14:textId="5CC5F136" w:rsidR="008B2F03" w:rsidRPr="009E210F" w:rsidRDefault="008B2F03" w:rsidP="00BD4CEE">
      <w:pPr>
        <w:spacing w:line="240" w:lineRule="auto"/>
        <w:rPr>
          <w:sz w:val="24"/>
          <w:szCs w:val="24"/>
        </w:rPr>
      </w:pPr>
      <w:r w:rsidRPr="009E210F">
        <w:rPr>
          <w:sz w:val="24"/>
          <w:szCs w:val="24"/>
        </w:rPr>
        <w:t xml:space="preserve">Table 2.2 outlines the values and basis for the parameters used to calculate the </w:t>
      </w:r>
      <w:proofErr w:type="spellStart"/>
      <w:r w:rsidRPr="009E210F">
        <w:rPr>
          <w:sz w:val="24"/>
          <w:szCs w:val="24"/>
        </w:rPr>
        <w:t>cFAL</w:t>
      </w:r>
      <w:proofErr w:type="spellEnd"/>
      <w:r w:rsidR="009E210F" w:rsidRPr="009E210F">
        <w:rPr>
          <w:sz w:val="24"/>
          <w:szCs w:val="24"/>
        </w:rPr>
        <w:t>.</w:t>
      </w:r>
    </w:p>
    <w:p w14:paraId="5A0CDFE1" w14:textId="7A49A648" w:rsidR="00E63A22" w:rsidRPr="005E74EA" w:rsidRDefault="005E74EA" w:rsidP="005E74EA">
      <w:pPr>
        <w:keepNext/>
        <w:keepLines/>
        <w:spacing w:after="0" w:line="240" w:lineRule="auto"/>
        <w:rPr>
          <w:b/>
          <w:bCs/>
          <w:sz w:val="24"/>
          <w:szCs w:val="24"/>
        </w:rPr>
      </w:pPr>
      <w:r>
        <w:rPr>
          <w:b/>
          <w:bCs/>
          <w:sz w:val="24"/>
          <w:szCs w:val="24"/>
        </w:rPr>
        <w:t>Table 2.2</w:t>
      </w:r>
      <w:r w:rsidR="0076216B">
        <w:rPr>
          <w:b/>
          <w:bCs/>
          <w:sz w:val="24"/>
          <w:szCs w:val="24"/>
        </w:rPr>
        <w:t>.</w:t>
      </w:r>
      <w:r>
        <w:rPr>
          <w:b/>
          <w:bCs/>
          <w:sz w:val="24"/>
          <w:szCs w:val="24"/>
        </w:rPr>
        <w:t xml:space="preserve">  </w:t>
      </w:r>
      <w:r w:rsidR="004D153E">
        <w:rPr>
          <w:b/>
          <w:bCs/>
          <w:sz w:val="24"/>
          <w:szCs w:val="24"/>
        </w:rPr>
        <w:t xml:space="preserve">Input </w:t>
      </w:r>
      <w:r w:rsidR="00E63A22" w:rsidRPr="005E74EA">
        <w:rPr>
          <w:b/>
          <w:bCs/>
          <w:sz w:val="24"/>
          <w:szCs w:val="24"/>
        </w:rPr>
        <w:t xml:space="preserve">Parameters </w:t>
      </w:r>
      <w:r w:rsidR="008B2F03" w:rsidRPr="005E74EA">
        <w:rPr>
          <w:b/>
          <w:bCs/>
          <w:sz w:val="24"/>
          <w:szCs w:val="24"/>
        </w:rPr>
        <w:t>-</w:t>
      </w:r>
      <w:r w:rsidR="00E63A22" w:rsidRPr="005E74EA">
        <w:rPr>
          <w:b/>
          <w:bCs/>
          <w:sz w:val="24"/>
          <w:szCs w:val="24"/>
        </w:rPr>
        <w:t xml:space="preserve"> Candidate Fish Action Level (</w:t>
      </w:r>
      <w:proofErr w:type="spellStart"/>
      <w:r w:rsidR="00E63A22" w:rsidRPr="005E74EA">
        <w:rPr>
          <w:b/>
          <w:bCs/>
          <w:sz w:val="24"/>
          <w:szCs w:val="24"/>
        </w:rPr>
        <w:t>c</w:t>
      </w:r>
      <w:r w:rsidR="00A67F91">
        <w:rPr>
          <w:b/>
          <w:bCs/>
          <w:sz w:val="24"/>
          <w:szCs w:val="24"/>
        </w:rPr>
        <w:t>F</w:t>
      </w:r>
      <w:r w:rsidR="00E63A22" w:rsidRPr="005E74EA">
        <w:rPr>
          <w:b/>
          <w:bCs/>
          <w:sz w:val="24"/>
          <w:szCs w:val="24"/>
        </w:rPr>
        <w:t>AL</w:t>
      </w:r>
      <w:proofErr w:type="spellEnd"/>
      <w:r w:rsidR="00E63A22" w:rsidRPr="005E74EA">
        <w:rPr>
          <w:b/>
          <w:bCs/>
          <w:sz w:val="24"/>
          <w:szCs w:val="24"/>
        </w:rPr>
        <w:t xml:space="preserve">) for PFAS </w:t>
      </w:r>
    </w:p>
    <w:tbl>
      <w:tblPr>
        <w:tblStyle w:val="TableGrid"/>
        <w:tblW w:w="9985" w:type="dxa"/>
        <w:tblLook w:val="04A0" w:firstRow="1" w:lastRow="0" w:firstColumn="1" w:lastColumn="0" w:noHBand="0" w:noVBand="1"/>
      </w:tblPr>
      <w:tblGrid>
        <w:gridCol w:w="3685"/>
        <w:gridCol w:w="1080"/>
        <w:gridCol w:w="5220"/>
      </w:tblGrid>
      <w:tr w:rsidR="00E63A22" w14:paraId="06A0FDB9" w14:textId="77777777" w:rsidTr="0076151F">
        <w:tc>
          <w:tcPr>
            <w:tcW w:w="3685" w:type="dxa"/>
            <w:tcBorders>
              <w:bottom w:val="double" w:sz="4" w:space="0" w:color="auto"/>
            </w:tcBorders>
            <w:shd w:val="clear" w:color="auto" w:fill="DBE5F1" w:themeFill="accent1" w:themeFillTint="33"/>
          </w:tcPr>
          <w:p w14:paraId="3AF5B060" w14:textId="77777777" w:rsidR="00E63A22" w:rsidRPr="00D51771" w:rsidRDefault="00E63A22" w:rsidP="009500B2">
            <w:pPr>
              <w:keepNext/>
              <w:keepLines/>
              <w:rPr>
                <w:b/>
                <w:bCs/>
              </w:rPr>
            </w:pPr>
            <w:r w:rsidRPr="00D51771">
              <w:rPr>
                <w:b/>
                <w:bCs/>
              </w:rPr>
              <w:t>Parameter</w:t>
            </w:r>
          </w:p>
        </w:tc>
        <w:tc>
          <w:tcPr>
            <w:tcW w:w="1080" w:type="dxa"/>
            <w:tcBorders>
              <w:bottom w:val="double" w:sz="4" w:space="0" w:color="auto"/>
            </w:tcBorders>
            <w:shd w:val="clear" w:color="auto" w:fill="DBE5F1" w:themeFill="accent1" w:themeFillTint="33"/>
          </w:tcPr>
          <w:p w14:paraId="7E7C3374" w14:textId="77777777" w:rsidR="00E63A22" w:rsidRDefault="00E63A22" w:rsidP="009500B2">
            <w:pPr>
              <w:keepNext/>
              <w:keepLines/>
              <w:jc w:val="center"/>
            </w:pPr>
            <w:r w:rsidRPr="00D51771">
              <w:rPr>
                <w:rFonts w:eastAsia="Times New Roman" w:cstheme="minorHAnsi"/>
                <w:b/>
                <w:color w:val="000000"/>
              </w:rPr>
              <w:t>Value</w:t>
            </w:r>
          </w:p>
        </w:tc>
        <w:tc>
          <w:tcPr>
            <w:tcW w:w="5220" w:type="dxa"/>
            <w:tcBorders>
              <w:bottom w:val="double" w:sz="4" w:space="0" w:color="auto"/>
            </w:tcBorders>
            <w:shd w:val="clear" w:color="auto" w:fill="DBE5F1" w:themeFill="accent1" w:themeFillTint="33"/>
          </w:tcPr>
          <w:p w14:paraId="7DCEEE82" w14:textId="77777777" w:rsidR="00E63A22" w:rsidRPr="00CE1B6D" w:rsidRDefault="00E63A22" w:rsidP="009500B2">
            <w:pPr>
              <w:keepNext/>
              <w:keepLines/>
              <w:rPr>
                <w:b/>
                <w:bCs/>
              </w:rPr>
            </w:pPr>
            <w:r w:rsidRPr="00CE1B6D">
              <w:rPr>
                <w:b/>
                <w:bCs/>
              </w:rPr>
              <w:t>Basis</w:t>
            </w:r>
          </w:p>
        </w:tc>
      </w:tr>
      <w:tr w:rsidR="007D643A" w14:paraId="41F2F439" w14:textId="77777777" w:rsidTr="009500B2">
        <w:tc>
          <w:tcPr>
            <w:tcW w:w="3685" w:type="dxa"/>
            <w:tcBorders>
              <w:top w:val="double" w:sz="4" w:space="0" w:color="auto"/>
            </w:tcBorders>
          </w:tcPr>
          <w:p w14:paraId="6932457F" w14:textId="11FA9B73" w:rsidR="007D643A" w:rsidRDefault="007D643A" w:rsidP="007D643A">
            <w:pPr>
              <w:keepNext/>
              <w:keepLines/>
            </w:pPr>
            <w:r>
              <w:rPr>
                <w:rFonts w:eastAsia="Times New Roman" w:cstheme="minorHAnsi"/>
                <w:bCs/>
                <w:color w:val="000000"/>
              </w:rPr>
              <w:t>Minimal Risk Level, MRL (mg/kg-day)</w:t>
            </w:r>
          </w:p>
        </w:tc>
        <w:tc>
          <w:tcPr>
            <w:tcW w:w="1080" w:type="dxa"/>
            <w:tcBorders>
              <w:top w:val="double" w:sz="4" w:space="0" w:color="auto"/>
            </w:tcBorders>
          </w:tcPr>
          <w:p w14:paraId="48A1082E" w14:textId="2F74C056" w:rsidR="007D643A" w:rsidRDefault="007D643A" w:rsidP="007D643A">
            <w:pPr>
              <w:keepNext/>
              <w:keepLines/>
              <w:jc w:val="center"/>
            </w:pPr>
            <w:r>
              <w:t>2 x 10</w:t>
            </w:r>
            <w:r w:rsidRPr="007D7183">
              <w:rPr>
                <w:vertAlign w:val="superscript"/>
              </w:rPr>
              <w:t>-6</w:t>
            </w:r>
          </w:p>
        </w:tc>
        <w:tc>
          <w:tcPr>
            <w:tcW w:w="5220" w:type="dxa"/>
            <w:tcBorders>
              <w:top w:val="double" w:sz="4" w:space="0" w:color="auto"/>
            </w:tcBorders>
          </w:tcPr>
          <w:p w14:paraId="64C3ADE4" w14:textId="39524675" w:rsidR="007D643A" w:rsidRDefault="007D643A" w:rsidP="007D643A">
            <w:pPr>
              <w:keepNext/>
              <w:keepLines/>
            </w:pPr>
            <w:r>
              <w:t>ATSDR Minimal Risk Level for PFOS (ATSDR, 20</w:t>
            </w:r>
            <w:r w:rsidR="00B00013">
              <w:t>2</w:t>
            </w:r>
            <w:r>
              <w:t>1)</w:t>
            </w:r>
          </w:p>
        </w:tc>
      </w:tr>
      <w:tr w:rsidR="00E63A22" w14:paraId="0CC84E60" w14:textId="77777777" w:rsidTr="009500B2">
        <w:tc>
          <w:tcPr>
            <w:tcW w:w="3685" w:type="dxa"/>
          </w:tcPr>
          <w:p w14:paraId="208FF3DE" w14:textId="77777777" w:rsidR="00E63A22" w:rsidRDefault="00E63A22" w:rsidP="009500B2">
            <w:pPr>
              <w:keepNext/>
              <w:keepLines/>
            </w:pPr>
            <w:r w:rsidRPr="00D51771">
              <w:rPr>
                <w:rFonts w:eastAsia="Times New Roman" w:cstheme="minorHAnsi"/>
                <w:bCs/>
                <w:color w:val="000000"/>
              </w:rPr>
              <w:t>Body Weight</w:t>
            </w:r>
            <w:r>
              <w:rPr>
                <w:rFonts w:eastAsia="Times New Roman" w:cstheme="minorHAnsi"/>
                <w:bCs/>
                <w:color w:val="000000"/>
              </w:rPr>
              <w:t>, BW (kg)</w:t>
            </w:r>
          </w:p>
        </w:tc>
        <w:tc>
          <w:tcPr>
            <w:tcW w:w="1080" w:type="dxa"/>
          </w:tcPr>
          <w:p w14:paraId="4D8B583A" w14:textId="0723EB18" w:rsidR="00E63A22" w:rsidRDefault="00E63A22" w:rsidP="009500B2">
            <w:pPr>
              <w:keepNext/>
              <w:keepLines/>
              <w:jc w:val="center"/>
            </w:pPr>
            <w:r>
              <w:t>12.6</w:t>
            </w:r>
          </w:p>
        </w:tc>
        <w:tc>
          <w:tcPr>
            <w:tcW w:w="5220" w:type="dxa"/>
          </w:tcPr>
          <w:p w14:paraId="75C474F8" w14:textId="6BD95478" w:rsidR="00E63A22" w:rsidRDefault="00E63A22" w:rsidP="009500B2">
            <w:pPr>
              <w:keepNext/>
              <w:keepLines/>
            </w:pPr>
            <w:r>
              <w:t xml:space="preserve">Mean body weight for 1 - &lt; </w:t>
            </w:r>
            <w:proofErr w:type="gramStart"/>
            <w:r>
              <w:t>3 year old</w:t>
            </w:r>
            <w:proofErr w:type="gramEnd"/>
            <w:r>
              <w:t xml:space="preserve"> (US EPA, 2011)</w:t>
            </w:r>
          </w:p>
        </w:tc>
      </w:tr>
      <w:tr w:rsidR="00E63A22" w14:paraId="5DE10E3B" w14:textId="77777777" w:rsidTr="009500B2">
        <w:tc>
          <w:tcPr>
            <w:tcW w:w="3685" w:type="dxa"/>
          </w:tcPr>
          <w:p w14:paraId="76B2FC91" w14:textId="4988E14F" w:rsidR="00E63A22" w:rsidRDefault="00E63A22" w:rsidP="009500B2">
            <w:pPr>
              <w:keepNext/>
              <w:keepLines/>
            </w:pPr>
            <w:r w:rsidRPr="00D51771">
              <w:rPr>
                <w:rFonts w:eastAsia="Times New Roman" w:cstheme="minorHAnsi"/>
                <w:bCs/>
                <w:color w:val="000000"/>
              </w:rPr>
              <w:t>Ingestion Rate</w:t>
            </w:r>
            <w:r>
              <w:rPr>
                <w:rFonts w:eastAsia="Times New Roman" w:cstheme="minorHAnsi"/>
                <w:bCs/>
                <w:color w:val="000000"/>
              </w:rPr>
              <w:t>, IR (g/day)</w:t>
            </w:r>
          </w:p>
        </w:tc>
        <w:tc>
          <w:tcPr>
            <w:tcW w:w="1080" w:type="dxa"/>
          </w:tcPr>
          <w:p w14:paraId="4B903EDC" w14:textId="3B7C9FF5" w:rsidR="00E63A22" w:rsidRDefault="007D643A" w:rsidP="009500B2">
            <w:pPr>
              <w:keepNext/>
              <w:keepLines/>
              <w:jc w:val="center"/>
            </w:pPr>
            <w:r>
              <w:t>113</w:t>
            </w:r>
            <w:r w:rsidR="00A67F91">
              <w:t>.</w:t>
            </w:r>
            <w:r>
              <w:t>4</w:t>
            </w:r>
          </w:p>
        </w:tc>
        <w:tc>
          <w:tcPr>
            <w:tcW w:w="5220" w:type="dxa"/>
          </w:tcPr>
          <w:p w14:paraId="77C8653F" w14:textId="3594402D" w:rsidR="00E63A22" w:rsidRDefault="00E63A22" w:rsidP="009500B2">
            <w:pPr>
              <w:keepNext/>
              <w:keepLines/>
            </w:pPr>
            <w:r>
              <w:t>Equivalent to ingestion of 4 ounces/day</w:t>
            </w:r>
          </w:p>
        </w:tc>
      </w:tr>
    </w:tbl>
    <w:p w14:paraId="61326EE5" w14:textId="77777777" w:rsidR="00E63A22" w:rsidRDefault="00E63A22" w:rsidP="00E63A22"/>
    <w:p w14:paraId="66D53D5A" w14:textId="52600564" w:rsidR="00E63A22" w:rsidRPr="00B149FB" w:rsidRDefault="00E63A22" w:rsidP="00BD4CEE">
      <w:pPr>
        <w:spacing w:line="240" w:lineRule="auto"/>
        <w:jc w:val="both"/>
        <w:rPr>
          <w:sz w:val="24"/>
          <w:szCs w:val="24"/>
        </w:rPr>
      </w:pPr>
      <w:r w:rsidRPr="00A34A85">
        <w:rPr>
          <w:sz w:val="24"/>
          <w:szCs w:val="24"/>
        </w:rPr>
        <w:t xml:space="preserve">Using the parameters in Table 2.2, </w:t>
      </w:r>
      <w:r w:rsidRPr="00B149FB">
        <w:rPr>
          <w:sz w:val="24"/>
          <w:szCs w:val="24"/>
        </w:rPr>
        <w:t xml:space="preserve">the </w:t>
      </w:r>
      <w:proofErr w:type="spellStart"/>
      <w:r w:rsidRPr="00B149FB">
        <w:rPr>
          <w:sz w:val="24"/>
          <w:szCs w:val="24"/>
        </w:rPr>
        <w:t>c</w:t>
      </w:r>
      <w:r w:rsidR="007D643A" w:rsidRPr="00B149FB">
        <w:rPr>
          <w:sz w:val="24"/>
          <w:szCs w:val="24"/>
        </w:rPr>
        <w:t>F</w:t>
      </w:r>
      <w:r w:rsidRPr="00B149FB">
        <w:rPr>
          <w:sz w:val="24"/>
          <w:szCs w:val="24"/>
        </w:rPr>
        <w:t>AL</w:t>
      </w:r>
      <w:proofErr w:type="spellEnd"/>
      <w:r w:rsidRPr="00B149FB">
        <w:rPr>
          <w:sz w:val="24"/>
          <w:szCs w:val="24"/>
        </w:rPr>
        <w:t xml:space="preserve"> </w:t>
      </w:r>
      <w:r w:rsidR="007D643A" w:rsidRPr="00B149FB">
        <w:rPr>
          <w:sz w:val="24"/>
          <w:szCs w:val="24"/>
        </w:rPr>
        <w:t>(</w:t>
      </w:r>
      <w:bookmarkStart w:id="5" w:name="_Hlk84420392"/>
      <w:r w:rsidR="007D643A" w:rsidRPr="00B149FB">
        <w:rPr>
          <w:sz w:val="24"/>
          <w:szCs w:val="24"/>
        </w:rPr>
        <w:t>µ</w:t>
      </w:r>
      <w:bookmarkEnd w:id="5"/>
      <w:r w:rsidR="007D643A" w:rsidRPr="00B149FB">
        <w:rPr>
          <w:sz w:val="24"/>
          <w:szCs w:val="24"/>
        </w:rPr>
        <w:t xml:space="preserve">g/kg) </w:t>
      </w:r>
      <w:r w:rsidRPr="00B149FB">
        <w:rPr>
          <w:sz w:val="24"/>
          <w:szCs w:val="24"/>
        </w:rPr>
        <w:t>is calculated as follows:</w:t>
      </w:r>
    </w:p>
    <w:p w14:paraId="0D7EBED4" w14:textId="5E221793" w:rsidR="00E63A22" w:rsidRPr="009E210F" w:rsidRDefault="00E63A22" w:rsidP="00E63A22">
      <w:pPr>
        <w:spacing w:after="0" w:line="240" w:lineRule="auto"/>
        <w:rPr>
          <w:rFonts w:cs="Arial"/>
        </w:rPr>
      </w:pPr>
      <m:oMathPara>
        <m:oMath>
          <m:r>
            <w:rPr>
              <w:rFonts w:ascii="Cambria Math" w:hAnsi="Cambria Math" w:cs="Arial"/>
            </w:rPr>
            <m:t>cFAL=MRL×</m:t>
          </m:r>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 xml:space="preserve"> µg</m:t>
                  </m:r>
                </m:num>
                <m:den>
                  <m:r>
                    <w:rPr>
                      <w:rFonts w:ascii="Cambria Math" w:hAnsi="Cambria Math" w:cs="Arial"/>
                    </w:rPr>
                    <m:t>mg</m:t>
                  </m:r>
                </m:den>
              </m:f>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BW</m:t>
                  </m:r>
                </m:num>
                <m:den>
                  <m:r>
                    <w:rPr>
                      <w:rFonts w:ascii="Cambria Math" w:hAnsi="Cambria Math" w:cs="Arial"/>
                    </w:rPr>
                    <m:t>IR</m:t>
                  </m:r>
                </m:den>
              </m:f>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g</m:t>
                  </m:r>
                </m:num>
                <m:den>
                  <m:r>
                    <w:rPr>
                      <w:rFonts w:ascii="Cambria Math" w:hAnsi="Cambria Math" w:cs="Arial"/>
                    </w:rPr>
                    <m:t>kg</m:t>
                  </m:r>
                </m:den>
              </m:f>
            </m:e>
          </m:d>
        </m:oMath>
      </m:oMathPara>
    </w:p>
    <w:p w14:paraId="296C2C91" w14:textId="77777777" w:rsidR="008E6672" w:rsidRPr="00A34A85" w:rsidRDefault="008E6672" w:rsidP="00E63A22">
      <w:pPr>
        <w:tabs>
          <w:tab w:val="left" w:pos="8880"/>
        </w:tabs>
        <w:spacing w:after="0" w:line="240" w:lineRule="auto"/>
        <w:jc w:val="both"/>
        <w:rPr>
          <w:rFonts w:cstheme="minorHAnsi"/>
          <w:sz w:val="24"/>
          <w:szCs w:val="24"/>
        </w:rPr>
      </w:pPr>
    </w:p>
    <w:p w14:paraId="7676EE8A" w14:textId="6D61D598" w:rsidR="00E63A22" w:rsidRPr="00A34A85" w:rsidRDefault="008E6672" w:rsidP="006F3BB7">
      <w:pPr>
        <w:tabs>
          <w:tab w:val="left" w:pos="8880"/>
        </w:tabs>
        <w:spacing w:line="240" w:lineRule="auto"/>
        <w:jc w:val="both"/>
        <w:rPr>
          <w:rFonts w:cstheme="minorHAnsi"/>
          <w:sz w:val="24"/>
          <w:szCs w:val="24"/>
        </w:rPr>
      </w:pPr>
      <w:r w:rsidRPr="00A34A85">
        <w:rPr>
          <w:rFonts w:cstheme="minorHAnsi"/>
          <w:sz w:val="24"/>
          <w:szCs w:val="24"/>
        </w:rPr>
        <w:t xml:space="preserve">Section 4 outlines </w:t>
      </w:r>
      <w:r w:rsidR="006F3BB7">
        <w:rPr>
          <w:rFonts w:cstheme="minorHAnsi"/>
          <w:sz w:val="24"/>
          <w:szCs w:val="24"/>
        </w:rPr>
        <w:t xml:space="preserve">development of </w:t>
      </w:r>
      <w:r w:rsidRPr="00A34A85">
        <w:rPr>
          <w:rFonts w:cstheme="minorHAnsi"/>
          <w:sz w:val="24"/>
          <w:szCs w:val="24"/>
        </w:rPr>
        <w:t xml:space="preserve">fish consumption advisories for waterbodies where the </w:t>
      </w:r>
      <w:proofErr w:type="spellStart"/>
      <w:r w:rsidRPr="00A34A85">
        <w:rPr>
          <w:rFonts w:cstheme="minorHAnsi"/>
          <w:sz w:val="24"/>
          <w:szCs w:val="24"/>
        </w:rPr>
        <w:t>cFAL</w:t>
      </w:r>
      <w:proofErr w:type="spellEnd"/>
      <w:r w:rsidRPr="00A34A85">
        <w:rPr>
          <w:rFonts w:cstheme="minorHAnsi"/>
          <w:sz w:val="24"/>
          <w:szCs w:val="24"/>
        </w:rPr>
        <w:t xml:space="preserve"> is exceeded.</w:t>
      </w:r>
      <w:r w:rsidR="001225E1">
        <w:rPr>
          <w:rFonts w:cstheme="minorHAnsi"/>
          <w:sz w:val="24"/>
          <w:szCs w:val="24"/>
        </w:rPr>
        <w:t xml:space="preserve"> </w:t>
      </w:r>
    </w:p>
    <w:p w14:paraId="1D1355A3" w14:textId="77777777" w:rsidR="008E6672" w:rsidRPr="00231A7C" w:rsidRDefault="008E6672" w:rsidP="00E63A22">
      <w:pPr>
        <w:tabs>
          <w:tab w:val="left" w:pos="8880"/>
        </w:tabs>
        <w:spacing w:after="0" w:line="240" w:lineRule="auto"/>
        <w:jc w:val="both"/>
        <w:rPr>
          <w:rFonts w:cstheme="minorHAnsi"/>
          <w:sz w:val="24"/>
          <w:szCs w:val="24"/>
        </w:rPr>
      </w:pPr>
    </w:p>
    <w:p w14:paraId="5D48082D" w14:textId="59BE812E" w:rsidR="000D046E" w:rsidRDefault="004320AA" w:rsidP="004320AA">
      <w:pPr>
        <w:pStyle w:val="Heading1"/>
      </w:pPr>
      <w:bookmarkStart w:id="6" w:name="_Toc87445198"/>
      <w:r>
        <w:t>WATERBODY-SPECIFIC RISK ASSESSMENT</w:t>
      </w:r>
      <w:bookmarkEnd w:id="6"/>
    </w:p>
    <w:p w14:paraId="7C6EA48A" w14:textId="0C14C754" w:rsidR="004320AA" w:rsidRPr="009E210F" w:rsidRDefault="00951DF8" w:rsidP="00BD4CEE">
      <w:pPr>
        <w:spacing w:line="240" w:lineRule="auto"/>
        <w:jc w:val="both"/>
        <w:rPr>
          <w:sz w:val="24"/>
          <w:szCs w:val="24"/>
        </w:rPr>
      </w:pPr>
      <w:r w:rsidRPr="009E210F">
        <w:rPr>
          <w:sz w:val="24"/>
          <w:szCs w:val="24"/>
        </w:rPr>
        <w:t xml:space="preserve">If the surface water concentration for any of the PFAS for which there are toxicity criteria exceeds the </w:t>
      </w:r>
      <w:proofErr w:type="spellStart"/>
      <w:r w:rsidRPr="009E210F">
        <w:rPr>
          <w:sz w:val="24"/>
          <w:szCs w:val="24"/>
        </w:rPr>
        <w:t>cSWAL</w:t>
      </w:r>
      <w:proofErr w:type="spellEnd"/>
      <w:r w:rsidRPr="009E210F">
        <w:rPr>
          <w:sz w:val="24"/>
          <w:szCs w:val="24"/>
        </w:rPr>
        <w:t xml:space="preserve"> of 23 ng/L, a waterbody-specific risk assessment should be conducted</w:t>
      </w:r>
      <w:r w:rsidR="00BF4687" w:rsidRPr="009E210F">
        <w:rPr>
          <w:sz w:val="24"/>
          <w:szCs w:val="24"/>
        </w:rPr>
        <w:t>, relating exposure to toxicity</w:t>
      </w:r>
      <w:r w:rsidRPr="009E210F">
        <w:rPr>
          <w:sz w:val="24"/>
          <w:szCs w:val="24"/>
        </w:rPr>
        <w:t xml:space="preserve">. In contrast to the </w:t>
      </w:r>
      <w:proofErr w:type="spellStart"/>
      <w:r w:rsidRPr="009E210F">
        <w:rPr>
          <w:sz w:val="24"/>
          <w:szCs w:val="24"/>
        </w:rPr>
        <w:t>cSWAL</w:t>
      </w:r>
      <w:proofErr w:type="spellEnd"/>
      <w:r w:rsidRPr="009E210F">
        <w:rPr>
          <w:sz w:val="24"/>
          <w:szCs w:val="24"/>
        </w:rPr>
        <w:t xml:space="preserve">, which is based on reasonable maximum values for exposure parameters such as exposure time, exposure frequency and ingestion rate, the waterbody-specific risk assessment incorporates values for exposure parameters that reflect expected patterns of use for the waterbody in question. For example, exposure frequency for a young child may be less than five days per week for a waterbody with limited </w:t>
      </w:r>
      <w:r w:rsidR="001363C1">
        <w:rPr>
          <w:sz w:val="24"/>
          <w:szCs w:val="24"/>
        </w:rPr>
        <w:t xml:space="preserve">availability of </w:t>
      </w:r>
      <w:r w:rsidRPr="009E210F">
        <w:rPr>
          <w:sz w:val="24"/>
          <w:szCs w:val="24"/>
        </w:rPr>
        <w:t>parking.</w:t>
      </w:r>
      <w:r w:rsidR="00AC0B25" w:rsidRPr="009E210F">
        <w:rPr>
          <w:sz w:val="24"/>
          <w:szCs w:val="24"/>
        </w:rPr>
        <w:t xml:space="preserve"> The basic approach for conducting a waterbody-specific risk assessment is outlined below. </w:t>
      </w:r>
    </w:p>
    <w:p w14:paraId="0914F3C0" w14:textId="6D084A1A" w:rsidR="001134B9" w:rsidRDefault="001134B9" w:rsidP="000D3483">
      <w:pPr>
        <w:pStyle w:val="Heading2"/>
      </w:pPr>
      <w:bookmarkStart w:id="7" w:name="_Toc87445199"/>
      <w:r>
        <w:t>3.1</w:t>
      </w:r>
      <w:r>
        <w:tab/>
        <w:t>Exposure Estimate</w:t>
      </w:r>
      <w:bookmarkEnd w:id="7"/>
    </w:p>
    <w:p w14:paraId="6C1618D2" w14:textId="13E9B784" w:rsidR="007D7183" w:rsidRPr="009E210F" w:rsidRDefault="007D7183" w:rsidP="00BD4CEE">
      <w:pPr>
        <w:spacing w:line="240" w:lineRule="auto"/>
        <w:jc w:val="both"/>
        <w:rPr>
          <w:sz w:val="24"/>
          <w:szCs w:val="24"/>
        </w:rPr>
      </w:pPr>
      <w:r w:rsidRPr="009E210F">
        <w:rPr>
          <w:sz w:val="24"/>
          <w:szCs w:val="24"/>
        </w:rPr>
        <w:t>Using waterbody-specific exposure parameters, an exposure dose is calculated as follows:</w:t>
      </w:r>
      <w:r w:rsidR="00E349CB" w:rsidRPr="009E210F">
        <w:rPr>
          <w:sz w:val="24"/>
          <w:szCs w:val="24"/>
        </w:rPr>
        <w:t xml:space="preserve"> </w:t>
      </w:r>
    </w:p>
    <w:p w14:paraId="2EEE483C" w14:textId="5DA075A4" w:rsidR="004320AA" w:rsidRPr="009E210F" w:rsidRDefault="007D643A" w:rsidP="004320AA">
      <w:pPr>
        <w:rPr>
          <w:sz w:val="24"/>
          <w:szCs w:val="24"/>
        </w:rPr>
      </w:pPr>
      <m:oMathPara>
        <m:oMath>
          <m:r>
            <w:rPr>
              <w:rFonts w:ascii="Cambria Math" w:hAnsi="Cambria Math"/>
            </w:rPr>
            <m:t>Exposure Dose=EPC×</m:t>
          </m:r>
          <m:d>
            <m:dPr>
              <m:ctrlPr>
                <w:rPr>
                  <w:rFonts w:ascii="Cambria Math" w:hAnsi="Cambria Math"/>
                  <w:i/>
                </w:rPr>
              </m:ctrlPr>
            </m:dPr>
            <m:e>
              <m:f>
                <m:fPr>
                  <m:ctrlPr>
                    <w:rPr>
                      <w:rFonts w:ascii="Cambria Math" w:hAnsi="Cambria Math"/>
                      <w:i/>
                    </w:rPr>
                  </m:ctrlPr>
                </m:fPr>
                <m:num>
                  <m:r>
                    <w:rPr>
                      <w:rFonts w:ascii="Cambria Math" w:hAnsi="Cambria Math"/>
                    </w:rPr>
                    <m:t>IR×ET×EF×ED</m:t>
                  </m:r>
                </m:num>
                <m:den>
                  <m:r>
                    <w:rPr>
                      <w:rFonts w:ascii="Cambria Math" w:hAnsi="Cambria Math"/>
                    </w:rPr>
                    <m:t>BW×AT</m:t>
                  </m:r>
                </m:den>
              </m:f>
            </m:e>
          </m:d>
          <m:r>
            <w:rPr>
              <w:rFonts w:ascii="Cambria Math" w:hAnsi="Cambria Math"/>
            </w:rPr>
            <m:t>×</m:t>
          </m:r>
          <m:f>
            <m:fPr>
              <m:ctrlPr>
                <w:rPr>
                  <w:rFonts w:ascii="Cambria Math" w:hAnsi="Cambria Math"/>
                  <w:i/>
                </w:rPr>
              </m:ctrlPr>
            </m:fPr>
            <m:num>
              <m:r>
                <w:rPr>
                  <w:rFonts w:ascii="Cambria Math" w:hAnsi="Cambria Math"/>
                </w:rPr>
                <m:t>0.001 mg</m:t>
              </m:r>
            </m:num>
            <m:den>
              <m:r>
                <w:rPr>
                  <w:rFonts w:ascii="Cambria Math" w:hAnsi="Cambria Math"/>
                </w:rPr>
                <m:t>µg</m:t>
              </m:r>
            </m:den>
          </m:f>
        </m:oMath>
      </m:oMathPara>
    </w:p>
    <w:p w14:paraId="255784D4" w14:textId="77777777" w:rsidR="007D643A" w:rsidRPr="009E210F" w:rsidRDefault="007D643A" w:rsidP="007D643A">
      <w:pPr>
        <w:spacing w:after="0"/>
        <w:rPr>
          <w:i/>
          <w:iCs/>
          <w:sz w:val="24"/>
          <w:szCs w:val="24"/>
        </w:rPr>
      </w:pPr>
      <w:r w:rsidRPr="009E210F">
        <w:rPr>
          <w:i/>
          <w:iCs/>
          <w:sz w:val="24"/>
          <w:szCs w:val="24"/>
        </w:rPr>
        <w:t>Where:</w:t>
      </w:r>
    </w:p>
    <w:p w14:paraId="298F885E" w14:textId="77777777" w:rsidR="007D643A" w:rsidRPr="009E210F" w:rsidRDefault="007D643A" w:rsidP="007D643A">
      <w:pPr>
        <w:tabs>
          <w:tab w:val="left" w:pos="1080"/>
          <w:tab w:val="left" w:pos="1440"/>
        </w:tabs>
        <w:spacing w:after="40" w:line="240" w:lineRule="auto"/>
        <w:ind w:left="547"/>
        <w:rPr>
          <w:i/>
          <w:iCs/>
          <w:sz w:val="24"/>
          <w:szCs w:val="24"/>
        </w:rPr>
      </w:pPr>
      <w:r w:rsidRPr="009E210F">
        <w:rPr>
          <w:i/>
          <w:iCs/>
          <w:sz w:val="24"/>
          <w:szCs w:val="24"/>
        </w:rPr>
        <w:t>EPC</w:t>
      </w:r>
      <w:r w:rsidRPr="009E210F">
        <w:rPr>
          <w:i/>
          <w:iCs/>
          <w:sz w:val="24"/>
          <w:szCs w:val="24"/>
        </w:rPr>
        <w:tab/>
        <w:t>=</w:t>
      </w:r>
      <w:r w:rsidRPr="009E210F">
        <w:rPr>
          <w:i/>
          <w:iCs/>
          <w:sz w:val="24"/>
          <w:szCs w:val="24"/>
        </w:rPr>
        <w:tab/>
        <w:t>Exposure Point Concentration (µg/L</w:t>
      </w:r>
      <w:proofErr w:type="gramStart"/>
      <w:r w:rsidRPr="009E210F">
        <w:rPr>
          <w:i/>
          <w:iCs/>
          <w:sz w:val="24"/>
          <w:szCs w:val="24"/>
        </w:rPr>
        <w:t>);</w:t>
      </w:r>
      <w:proofErr w:type="gramEnd"/>
    </w:p>
    <w:p w14:paraId="026F3F57" w14:textId="10E8EC22" w:rsidR="007D643A" w:rsidRPr="009E210F" w:rsidRDefault="007D643A" w:rsidP="007D643A">
      <w:pPr>
        <w:tabs>
          <w:tab w:val="left" w:pos="1080"/>
          <w:tab w:val="left" w:pos="1440"/>
        </w:tabs>
        <w:spacing w:after="40" w:line="240" w:lineRule="auto"/>
        <w:ind w:left="547"/>
        <w:rPr>
          <w:i/>
          <w:iCs/>
          <w:sz w:val="24"/>
          <w:szCs w:val="24"/>
        </w:rPr>
      </w:pPr>
      <w:r w:rsidRPr="009E210F">
        <w:rPr>
          <w:i/>
          <w:iCs/>
          <w:sz w:val="24"/>
          <w:szCs w:val="24"/>
        </w:rPr>
        <w:t>I</w:t>
      </w:r>
      <w:r w:rsidR="00BF4687" w:rsidRPr="009E210F">
        <w:rPr>
          <w:i/>
          <w:iCs/>
          <w:sz w:val="24"/>
          <w:szCs w:val="24"/>
        </w:rPr>
        <w:t>R</w:t>
      </w:r>
      <w:r w:rsidR="00BF4687" w:rsidRPr="009E210F">
        <w:rPr>
          <w:i/>
          <w:iCs/>
          <w:sz w:val="24"/>
          <w:szCs w:val="24"/>
        </w:rPr>
        <w:tab/>
      </w:r>
      <w:r w:rsidRPr="009E210F">
        <w:rPr>
          <w:i/>
          <w:iCs/>
          <w:sz w:val="24"/>
          <w:szCs w:val="24"/>
        </w:rPr>
        <w:t>=</w:t>
      </w:r>
      <w:r w:rsidRPr="009E210F">
        <w:rPr>
          <w:i/>
          <w:iCs/>
          <w:sz w:val="24"/>
          <w:szCs w:val="24"/>
        </w:rPr>
        <w:tab/>
      </w:r>
      <w:r w:rsidR="00BF4687" w:rsidRPr="009E210F">
        <w:rPr>
          <w:i/>
          <w:iCs/>
          <w:sz w:val="24"/>
          <w:szCs w:val="24"/>
        </w:rPr>
        <w:t>Ingestion Rate</w:t>
      </w:r>
      <w:r w:rsidRPr="009E210F">
        <w:rPr>
          <w:i/>
          <w:iCs/>
          <w:sz w:val="24"/>
          <w:szCs w:val="24"/>
        </w:rPr>
        <w:t xml:space="preserve"> (L/</w:t>
      </w:r>
      <w:r w:rsidR="00BF4687" w:rsidRPr="009E210F">
        <w:rPr>
          <w:i/>
          <w:iCs/>
          <w:sz w:val="24"/>
          <w:szCs w:val="24"/>
        </w:rPr>
        <w:t>hour</w:t>
      </w:r>
      <w:proofErr w:type="gramStart"/>
      <w:r w:rsidRPr="009E210F">
        <w:rPr>
          <w:i/>
          <w:iCs/>
          <w:sz w:val="24"/>
          <w:szCs w:val="24"/>
        </w:rPr>
        <w:t>);</w:t>
      </w:r>
      <w:proofErr w:type="gramEnd"/>
      <w:r w:rsidRPr="009E210F">
        <w:rPr>
          <w:i/>
          <w:iCs/>
          <w:sz w:val="24"/>
          <w:szCs w:val="24"/>
        </w:rPr>
        <w:t xml:space="preserve"> </w:t>
      </w:r>
    </w:p>
    <w:p w14:paraId="52B77C10" w14:textId="1A56D883" w:rsidR="00BF4687" w:rsidRPr="009E210F" w:rsidRDefault="00BF4687" w:rsidP="007D643A">
      <w:pPr>
        <w:tabs>
          <w:tab w:val="left" w:pos="1080"/>
          <w:tab w:val="left" w:pos="1440"/>
        </w:tabs>
        <w:spacing w:after="40" w:line="240" w:lineRule="auto"/>
        <w:ind w:left="547"/>
        <w:rPr>
          <w:i/>
          <w:iCs/>
          <w:sz w:val="24"/>
          <w:szCs w:val="24"/>
        </w:rPr>
      </w:pPr>
      <w:r w:rsidRPr="009E210F">
        <w:rPr>
          <w:i/>
          <w:iCs/>
          <w:sz w:val="24"/>
          <w:szCs w:val="24"/>
        </w:rPr>
        <w:t>ET</w:t>
      </w:r>
      <w:r w:rsidRPr="009E210F">
        <w:rPr>
          <w:i/>
          <w:iCs/>
          <w:sz w:val="24"/>
          <w:szCs w:val="24"/>
        </w:rPr>
        <w:tab/>
        <w:t>=</w:t>
      </w:r>
      <w:r w:rsidRPr="009E210F">
        <w:rPr>
          <w:i/>
          <w:iCs/>
          <w:sz w:val="24"/>
          <w:szCs w:val="24"/>
        </w:rPr>
        <w:tab/>
        <w:t>Exposure Time (hours/day)</w:t>
      </w:r>
    </w:p>
    <w:p w14:paraId="10BCE319" w14:textId="666882FC" w:rsidR="00BF4687" w:rsidRPr="009E210F" w:rsidRDefault="00BF4687" w:rsidP="007D643A">
      <w:pPr>
        <w:tabs>
          <w:tab w:val="left" w:pos="1080"/>
          <w:tab w:val="left" w:pos="1440"/>
        </w:tabs>
        <w:spacing w:after="40" w:line="240" w:lineRule="auto"/>
        <w:ind w:left="547"/>
        <w:rPr>
          <w:i/>
          <w:iCs/>
          <w:sz w:val="24"/>
          <w:szCs w:val="24"/>
        </w:rPr>
      </w:pPr>
      <w:r w:rsidRPr="009E210F">
        <w:rPr>
          <w:i/>
          <w:iCs/>
          <w:sz w:val="24"/>
          <w:szCs w:val="24"/>
        </w:rPr>
        <w:t>EF</w:t>
      </w:r>
      <w:r w:rsidRPr="009E210F">
        <w:rPr>
          <w:i/>
          <w:iCs/>
          <w:sz w:val="24"/>
          <w:szCs w:val="24"/>
        </w:rPr>
        <w:tab/>
        <w:t>=</w:t>
      </w:r>
      <w:r w:rsidRPr="009E210F">
        <w:rPr>
          <w:i/>
          <w:iCs/>
          <w:sz w:val="24"/>
          <w:szCs w:val="24"/>
        </w:rPr>
        <w:tab/>
        <w:t>Exposure Frequency (days/month)</w:t>
      </w:r>
    </w:p>
    <w:p w14:paraId="5275E685" w14:textId="35E0874E" w:rsidR="00BF4687" w:rsidRPr="009E210F" w:rsidRDefault="00BF4687" w:rsidP="007D643A">
      <w:pPr>
        <w:tabs>
          <w:tab w:val="left" w:pos="1080"/>
          <w:tab w:val="left" w:pos="1440"/>
        </w:tabs>
        <w:spacing w:after="40" w:line="240" w:lineRule="auto"/>
        <w:ind w:left="547"/>
        <w:rPr>
          <w:i/>
          <w:iCs/>
          <w:sz w:val="24"/>
          <w:szCs w:val="24"/>
        </w:rPr>
      </w:pPr>
      <w:r w:rsidRPr="009E210F">
        <w:rPr>
          <w:i/>
          <w:iCs/>
          <w:sz w:val="24"/>
          <w:szCs w:val="24"/>
        </w:rPr>
        <w:t>ED</w:t>
      </w:r>
      <w:r w:rsidRPr="009E210F">
        <w:rPr>
          <w:i/>
          <w:iCs/>
          <w:sz w:val="24"/>
          <w:szCs w:val="24"/>
        </w:rPr>
        <w:tab/>
        <w:t>=</w:t>
      </w:r>
      <w:r w:rsidRPr="009E210F">
        <w:rPr>
          <w:i/>
          <w:iCs/>
          <w:sz w:val="24"/>
          <w:szCs w:val="24"/>
        </w:rPr>
        <w:tab/>
        <w:t>Exposure Duration (months)</w:t>
      </w:r>
    </w:p>
    <w:p w14:paraId="00DDA122" w14:textId="06447C3B" w:rsidR="007D643A" w:rsidRPr="009E210F" w:rsidRDefault="00BF4687" w:rsidP="007D643A">
      <w:pPr>
        <w:tabs>
          <w:tab w:val="left" w:pos="1080"/>
          <w:tab w:val="left" w:pos="1440"/>
        </w:tabs>
        <w:spacing w:after="40" w:line="240" w:lineRule="auto"/>
        <w:ind w:left="547"/>
        <w:rPr>
          <w:i/>
          <w:iCs/>
          <w:sz w:val="24"/>
          <w:szCs w:val="24"/>
        </w:rPr>
      </w:pPr>
      <w:r w:rsidRPr="009E210F">
        <w:rPr>
          <w:i/>
          <w:iCs/>
          <w:sz w:val="24"/>
          <w:szCs w:val="24"/>
        </w:rPr>
        <w:t>AT</w:t>
      </w:r>
      <w:r w:rsidR="007D643A" w:rsidRPr="009E210F">
        <w:rPr>
          <w:i/>
          <w:iCs/>
          <w:sz w:val="24"/>
          <w:szCs w:val="24"/>
          <w:vertAlign w:val="subscript"/>
        </w:rPr>
        <w:tab/>
      </w:r>
      <w:r w:rsidR="007D643A" w:rsidRPr="009E210F">
        <w:rPr>
          <w:i/>
          <w:iCs/>
          <w:sz w:val="24"/>
          <w:szCs w:val="24"/>
        </w:rPr>
        <w:t>=</w:t>
      </w:r>
      <w:r w:rsidR="007D643A" w:rsidRPr="009E210F">
        <w:rPr>
          <w:i/>
          <w:iCs/>
          <w:sz w:val="24"/>
          <w:szCs w:val="24"/>
        </w:rPr>
        <w:tab/>
      </w:r>
      <w:r w:rsidRPr="009E210F">
        <w:rPr>
          <w:i/>
          <w:iCs/>
          <w:sz w:val="24"/>
          <w:szCs w:val="24"/>
        </w:rPr>
        <w:t>Averaging Time</w:t>
      </w:r>
      <w:r w:rsidR="007D643A" w:rsidRPr="009E210F">
        <w:rPr>
          <w:i/>
          <w:iCs/>
          <w:sz w:val="24"/>
          <w:szCs w:val="24"/>
        </w:rPr>
        <w:t xml:space="preserve"> (day</w:t>
      </w:r>
      <w:r w:rsidRPr="009E210F">
        <w:rPr>
          <w:i/>
          <w:iCs/>
          <w:sz w:val="24"/>
          <w:szCs w:val="24"/>
        </w:rPr>
        <w:t>s</w:t>
      </w:r>
      <w:r w:rsidR="007D643A" w:rsidRPr="009E210F">
        <w:rPr>
          <w:i/>
          <w:iCs/>
          <w:sz w:val="24"/>
          <w:szCs w:val="24"/>
        </w:rPr>
        <w:t>); and</w:t>
      </w:r>
    </w:p>
    <w:p w14:paraId="2A0F5228" w14:textId="408ED11B" w:rsidR="009E210F" w:rsidRPr="009E210F" w:rsidRDefault="009E210F" w:rsidP="0010132C">
      <w:pPr>
        <w:spacing w:before="240" w:line="240" w:lineRule="auto"/>
        <w:jc w:val="both"/>
        <w:rPr>
          <w:sz w:val="24"/>
          <w:szCs w:val="24"/>
        </w:rPr>
      </w:pPr>
      <w:r>
        <w:rPr>
          <w:sz w:val="24"/>
          <w:szCs w:val="24"/>
        </w:rPr>
        <w:t>For waterbodies with multiple sampling locations, and samples with duplicate analyses, the EPC is</w:t>
      </w:r>
      <w:r w:rsidRPr="009E210F">
        <w:rPr>
          <w:sz w:val="24"/>
          <w:szCs w:val="24"/>
        </w:rPr>
        <w:t xml:space="preserve"> the maximum measured concentration.</w:t>
      </w:r>
    </w:p>
    <w:p w14:paraId="5C63833A" w14:textId="73AF6053" w:rsidR="00AC0B25" w:rsidRPr="009E210F" w:rsidRDefault="00AC0B25" w:rsidP="00BD4CEE">
      <w:pPr>
        <w:spacing w:line="240" w:lineRule="auto"/>
        <w:rPr>
          <w:sz w:val="24"/>
          <w:szCs w:val="24"/>
        </w:rPr>
      </w:pPr>
      <w:r w:rsidRPr="009E210F">
        <w:rPr>
          <w:sz w:val="24"/>
          <w:szCs w:val="24"/>
        </w:rPr>
        <w:t>Exposure doses are calculated for swimming, wading, and boating.</w:t>
      </w:r>
    </w:p>
    <w:p w14:paraId="50DA8AA4" w14:textId="2CDF3E36" w:rsidR="001134B9" w:rsidRDefault="001134B9" w:rsidP="000D3483">
      <w:pPr>
        <w:pStyle w:val="Heading2"/>
      </w:pPr>
      <w:bookmarkStart w:id="8" w:name="_Toc87445200"/>
      <w:r>
        <w:t>3.2</w:t>
      </w:r>
      <w:r>
        <w:tab/>
        <w:t>Toxicity Criteria</w:t>
      </w:r>
      <w:bookmarkEnd w:id="8"/>
    </w:p>
    <w:p w14:paraId="2A657719" w14:textId="19EE6373" w:rsidR="004320AA" w:rsidRPr="009E210F" w:rsidRDefault="00BF4687" w:rsidP="00BD4CEE">
      <w:pPr>
        <w:spacing w:line="240" w:lineRule="auto"/>
        <w:jc w:val="both"/>
        <w:rPr>
          <w:sz w:val="24"/>
          <w:szCs w:val="24"/>
        </w:rPr>
      </w:pPr>
      <w:r w:rsidRPr="009E210F">
        <w:rPr>
          <w:sz w:val="24"/>
          <w:szCs w:val="24"/>
        </w:rPr>
        <w:t xml:space="preserve">Toxicity criteria for individual PFAS have been established for </w:t>
      </w:r>
      <w:r w:rsidR="00D74E71">
        <w:rPr>
          <w:sz w:val="24"/>
          <w:szCs w:val="24"/>
        </w:rPr>
        <w:t>f</w:t>
      </w:r>
      <w:r w:rsidR="009D69F5">
        <w:rPr>
          <w:sz w:val="24"/>
          <w:szCs w:val="24"/>
        </w:rPr>
        <w:t>ive</w:t>
      </w:r>
      <w:r w:rsidR="00D74E71">
        <w:rPr>
          <w:sz w:val="24"/>
          <w:szCs w:val="24"/>
        </w:rPr>
        <w:t xml:space="preserve"> individual</w:t>
      </w:r>
      <w:r w:rsidRPr="009E210F">
        <w:rPr>
          <w:sz w:val="24"/>
          <w:szCs w:val="24"/>
        </w:rPr>
        <w:t xml:space="preserve"> PFAS</w:t>
      </w:r>
      <w:r w:rsidR="009D69F5">
        <w:rPr>
          <w:sz w:val="24"/>
          <w:szCs w:val="24"/>
        </w:rPr>
        <w:t>, including PFBS, PFHxS, PFOA, PFOS and PFNA</w:t>
      </w:r>
      <w:r w:rsidRPr="009E210F">
        <w:rPr>
          <w:sz w:val="24"/>
          <w:szCs w:val="24"/>
        </w:rPr>
        <w:t xml:space="preserve">. </w:t>
      </w:r>
      <w:r w:rsidR="00D74E71">
        <w:rPr>
          <w:sz w:val="24"/>
          <w:szCs w:val="24"/>
        </w:rPr>
        <w:t xml:space="preserve">MassDEP has also developed a toxicity criterion applicable to the sum of </w:t>
      </w:r>
      <w:r w:rsidR="009D69F5">
        <w:rPr>
          <w:sz w:val="24"/>
          <w:szCs w:val="24"/>
        </w:rPr>
        <w:t xml:space="preserve">six PFAS, including </w:t>
      </w:r>
      <w:r w:rsidR="00D74E71">
        <w:rPr>
          <w:sz w:val="24"/>
          <w:szCs w:val="24"/>
        </w:rPr>
        <w:t xml:space="preserve">PFHxS, PFOA, PFOS, PFNA, </w:t>
      </w:r>
      <w:proofErr w:type="spellStart"/>
      <w:r w:rsidR="00D74E71">
        <w:rPr>
          <w:sz w:val="24"/>
          <w:szCs w:val="24"/>
        </w:rPr>
        <w:t>perfluoroheptanoic</w:t>
      </w:r>
      <w:proofErr w:type="spellEnd"/>
      <w:r w:rsidR="00D74E71">
        <w:rPr>
          <w:sz w:val="24"/>
          <w:szCs w:val="24"/>
        </w:rPr>
        <w:t xml:space="preserve"> acid, and </w:t>
      </w:r>
      <w:proofErr w:type="spellStart"/>
      <w:r w:rsidR="00D74E71">
        <w:rPr>
          <w:sz w:val="24"/>
          <w:szCs w:val="24"/>
        </w:rPr>
        <w:t>perfluorodecanoic</w:t>
      </w:r>
      <w:proofErr w:type="spellEnd"/>
      <w:r w:rsidR="00D74E71">
        <w:rPr>
          <w:sz w:val="24"/>
          <w:szCs w:val="24"/>
        </w:rPr>
        <w:t xml:space="preserve"> acid. </w:t>
      </w:r>
      <w:r w:rsidRPr="009E210F">
        <w:rPr>
          <w:sz w:val="24"/>
          <w:szCs w:val="24"/>
        </w:rPr>
        <w:t>Toxicity criteria used in the waterbody-specific risk assessment are listed in Table 3.1</w:t>
      </w:r>
      <w:r w:rsidR="00AA24DA">
        <w:rPr>
          <w:sz w:val="24"/>
          <w:szCs w:val="24"/>
        </w:rPr>
        <w:t>.</w:t>
      </w:r>
      <w:r w:rsidRPr="009E210F">
        <w:rPr>
          <w:sz w:val="24"/>
          <w:szCs w:val="24"/>
        </w:rPr>
        <w:t xml:space="preserve"> </w:t>
      </w:r>
    </w:p>
    <w:p w14:paraId="42B5E397" w14:textId="7C4DB6E9" w:rsidR="00EB49BA" w:rsidRPr="00AA24DA" w:rsidRDefault="00EB49BA" w:rsidP="00EB49BA">
      <w:pPr>
        <w:keepNext/>
        <w:keepLines/>
        <w:spacing w:after="0"/>
        <w:rPr>
          <w:b/>
          <w:bCs/>
          <w:sz w:val="24"/>
          <w:szCs w:val="24"/>
        </w:rPr>
      </w:pPr>
      <w:r w:rsidRPr="00AA24DA">
        <w:rPr>
          <w:b/>
          <w:bCs/>
          <w:sz w:val="24"/>
          <w:szCs w:val="24"/>
        </w:rPr>
        <w:t xml:space="preserve">Table 3.1. </w:t>
      </w:r>
      <w:r w:rsidR="005E74EA" w:rsidRPr="00AA24DA">
        <w:rPr>
          <w:b/>
          <w:bCs/>
          <w:sz w:val="24"/>
          <w:szCs w:val="24"/>
        </w:rPr>
        <w:t xml:space="preserve"> </w:t>
      </w:r>
      <w:r w:rsidRPr="00AA24DA">
        <w:rPr>
          <w:b/>
          <w:bCs/>
          <w:sz w:val="24"/>
          <w:szCs w:val="24"/>
        </w:rPr>
        <w:t>PFAS Toxicity Criteria for Waterbody-Specific Risk Assessments</w:t>
      </w:r>
    </w:p>
    <w:tbl>
      <w:tblPr>
        <w:tblStyle w:val="TableGrid"/>
        <w:tblW w:w="0" w:type="auto"/>
        <w:tblLook w:val="04A0" w:firstRow="1" w:lastRow="0" w:firstColumn="1" w:lastColumn="0" w:noHBand="0" w:noVBand="1"/>
      </w:tblPr>
      <w:tblGrid>
        <w:gridCol w:w="1615"/>
        <w:gridCol w:w="1350"/>
        <w:gridCol w:w="2970"/>
        <w:gridCol w:w="1890"/>
        <w:gridCol w:w="1260"/>
      </w:tblGrid>
      <w:tr w:rsidR="00EB49BA" w14:paraId="6A1A4228" w14:textId="77777777" w:rsidTr="005E74EA">
        <w:tc>
          <w:tcPr>
            <w:tcW w:w="1615" w:type="dxa"/>
            <w:tcBorders>
              <w:bottom w:val="double" w:sz="4" w:space="0" w:color="auto"/>
            </w:tcBorders>
            <w:shd w:val="clear" w:color="auto" w:fill="DBE5F1" w:themeFill="accent1" w:themeFillTint="33"/>
            <w:vAlign w:val="bottom"/>
          </w:tcPr>
          <w:p w14:paraId="56E8F165" w14:textId="77777777" w:rsidR="00EB49BA" w:rsidRPr="00AB2B4F" w:rsidRDefault="00EB49BA" w:rsidP="009500B2">
            <w:pPr>
              <w:keepNext/>
              <w:keepLines/>
              <w:rPr>
                <w:b/>
                <w:bCs/>
              </w:rPr>
            </w:pPr>
            <w:r w:rsidRPr="00AB2B4F">
              <w:rPr>
                <w:b/>
                <w:bCs/>
              </w:rPr>
              <w:t>Contaminant</w:t>
            </w:r>
          </w:p>
        </w:tc>
        <w:tc>
          <w:tcPr>
            <w:tcW w:w="1350" w:type="dxa"/>
            <w:tcBorders>
              <w:bottom w:val="double" w:sz="4" w:space="0" w:color="auto"/>
            </w:tcBorders>
            <w:shd w:val="clear" w:color="auto" w:fill="DBE5F1" w:themeFill="accent1" w:themeFillTint="33"/>
          </w:tcPr>
          <w:p w14:paraId="41818BDA" w14:textId="77777777" w:rsidR="00EB49BA" w:rsidRPr="00AB2B4F" w:rsidRDefault="00EB49BA" w:rsidP="009500B2">
            <w:pPr>
              <w:keepNext/>
              <w:keepLines/>
              <w:jc w:val="center"/>
              <w:rPr>
                <w:b/>
                <w:bCs/>
              </w:rPr>
            </w:pPr>
            <w:r w:rsidRPr="00AB2B4F">
              <w:rPr>
                <w:b/>
                <w:bCs/>
              </w:rPr>
              <w:t>Value</w:t>
            </w:r>
          </w:p>
          <w:p w14:paraId="21DF1412" w14:textId="77777777" w:rsidR="00EB49BA" w:rsidRPr="00AB2B4F" w:rsidRDefault="00EB49BA" w:rsidP="009500B2">
            <w:pPr>
              <w:keepNext/>
              <w:keepLines/>
              <w:jc w:val="center"/>
              <w:rPr>
                <w:b/>
                <w:bCs/>
              </w:rPr>
            </w:pPr>
            <w:r w:rsidRPr="00AB2B4F">
              <w:rPr>
                <w:b/>
                <w:bCs/>
              </w:rPr>
              <w:t>(mg/kg-day)</w:t>
            </w:r>
          </w:p>
        </w:tc>
        <w:tc>
          <w:tcPr>
            <w:tcW w:w="2970" w:type="dxa"/>
            <w:tcBorders>
              <w:bottom w:val="double" w:sz="4" w:space="0" w:color="auto"/>
            </w:tcBorders>
            <w:shd w:val="clear" w:color="auto" w:fill="DBE5F1" w:themeFill="accent1" w:themeFillTint="33"/>
            <w:vAlign w:val="bottom"/>
          </w:tcPr>
          <w:p w14:paraId="0611C345" w14:textId="77777777" w:rsidR="00EB49BA" w:rsidRPr="00AB2B4F" w:rsidRDefault="00EB49BA" w:rsidP="009500B2">
            <w:pPr>
              <w:keepNext/>
              <w:keepLines/>
              <w:rPr>
                <w:b/>
                <w:bCs/>
              </w:rPr>
            </w:pPr>
            <w:r w:rsidRPr="00AB2B4F">
              <w:rPr>
                <w:b/>
                <w:bCs/>
              </w:rPr>
              <w:t>Critical Effect</w:t>
            </w:r>
          </w:p>
        </w:tc>
        <w:tc>
          <w:tcPr>
            <w:tcW w:w="1890" w:type="dxa"/>
            <w:tcBorders>
              <w:bottom w:val="double" w:sz="4" w:space="0" w:color="auto"/>
            </w:tcBorders>
            <w:shd w:val="clear" w:color="auto" w:fill="DBE5F1" w:themeFill="accent1" w:themeFillTint="33"/>
            <w:vAlign w:val="bottom"/>
          </w:tcPr>
          <w:p w14:paraId="727CE18A" w14:textId="77777777" w:rsidR="00EB49BA" w:rsidRPr="00AB2B4F" w:rsidRDefault="00EB49BA" w:rsidP="009500B2">
            <w:pPr>
              <w:keepNext/>
              <w:keepLines/>
              <w:jc w:val="center"/>
              <w:rPr>
                <w:b/>
                <w:bCs/>
              </w:rPr>
            </w:pPr>
            <w:r w:rsidRPr="00AB2B4F">
              <w:rPr>
                <w:b/>
                <w:bCs/>
              </w:rPr>
              <w:t>Type</w:t>
            </w:r>
          </w:p>
        </w:tc>
        <w:tc>
          <w:tcPr>
            <w:tcW w:w="1260" w:type="dxa"/>
            <w:tcBorders>
              <w:bottom w:val="double" w:sz="4" w:space="0" w:color="auto"/>
            </w:tcBorders>
            <w:shd w:val="clear" w:color="auto" w:fill="DBE5F1" w:themeFill="accent1" w:themeFillTint="33"/>
            <w:vAlign w:val="bottom"/>
          </w:tcPr>
          <w:p w14:paraId="3BE5632B" w14:textId="77777777" w:rsidR="00EB49BA" w:rsidRPr="00AB2B4F" w:rsidRDefault="00EB49BA" w:rsidP="009500B2">
            <w:pPr>
              <w:keepNext/>
              <w:keepLines/>
              <w:jc w:val="center"/>
              <w:rPr>
                <w:b/>
                <w:bCs/>
              </w:rPr>
            </w:pPr>
            <w:r w:rsidRPr="00AB2B4F">
              <w:rPr>
                <w:b/>
                <w:bCs/>
              </w:rPr>
              <w:t>Source</w:t>
            </w:r>
          </w:p>
        </w:tc>
      </w:tr>
      <w:tr w:rsidR="00EB49BA" w14:paraId="1D5B5765" w14:textId="77777777" w:rsidTr="009E6C8D">
        <w:tc>
          <w:tcPr>
            <w:tcW w:w="1615" w:type="dxa"/>
            <w:tcBorders>
              <w:top w:val="single" w:sz="4" w:space="0" w:color="auto"/>
            </w:tcBorders>
            <w:vAlign w:val="center"/>
          </w:tcPr>
          <w:p w14:paraId="0C68FB0F" w14:textId="6A53693F" w:rsidR="00EB49BA" w:rsidRPr="00AB2B4F" w:rsidRDefault="00EB49BA" w:rsidP="009E6C8D">
            <w:pPr>
              <w:keepNext/>
              <w:keepLines/>
            </w:pPr>
            <w:r w:rsidRPr="00AB2B4F">
              <w:t>PF</w:t>
            </w:r>
            <w:r w:rsidR="009D69F5">
              <w:t>B</w:t>
            </w:r>
            <w:r w:rsidRPr="00AB2B4F">
              <w:t>S</w:t>
            </w:r>
          </w:p>
        </w:tc>
        <w:tc>
          <w:tcPr>
            <w:tcW w:w="1350" w:type="dxa"/>
            <w:tcBorders>
              <w:top w:val="single" w:sz="4" w:space="0" w:color="auto"/>
            </w:tcBorders>
            <w:vAlign w:val="center"/>
          </w:tcPr>
          <w:p w14:paraId="327431F6" w14:textId="6D975782" w:rsidR="00EB49BA" w:rsidRPr="00AB2B4F" w:rsidRDefault="009E6C8D" w:rsidP="009E6C8D">
            <w:pPr>
              <w:keepNext/>
              <w:keepLines/>
              <w:jc w:val="center"/>
            </w:pPr>
            <w:r>
              <w:t>9</w:t>
            </w:r>
            <w:r w:rsidR="00EB49BA">
              <w:t xml:space="preserve"> x 10</w:t>
            </w:r>
            <w:r w:rsidR="00EB49BA" w:rsidRPr="00AB2B4F">
              <w:rPr>
                <w:vertAlign w:val="superscript"/>
              </w:rPr>
              <w:t>-</w:t>
            </w:r>
            <w:r>
              <w:rPr>
                <w:vertAlign w:val="superscript"/>
              </w:rPr>
              <w:t>4</w:t>
            </w:r>
          </w:p>
        </w:tc>
        <w:tc>
          <w:tcPr>
            <w:tcW w:w="2970" w:type="dxa"/>
            <w:tcBorders>
              <w:top w:val="single" w:sz="4" w:space="0" w:color="auto"/>
            </w:tcBorders>
            <w:vAlign w:val="center"/>
          </w:tcPr>
          <w:p w14:paraId="2EAD7718" w14:textId="3FEE584B" w:rsidR="00EB49BA" w:rsidRPr="00F04FE2" w:rsidRDefault="009E6C8D" w:rsidP="009E6C8D">
            <w:pPr>
              <w:keepNext/>
              <w:keepLines/>
              <w:jc w:val="center"/>
            </w:pPr>
            <w:r w:rsidRPr="00D43ABE">
              <w:t>Thyroid hormone perturbation</w:t>
            </w:r>
          </w:p>
        </w:tc>
        <w:tc>
          <w:tcPr>
            <w:tcW w:w="1890" w:type="dxa"/>
            <w:tcBorders>
              <w:top w:val="single" w:sz="4" w:space="0" w:color="auto"/>
            </w:tcBorders>
            <w:vAlign w:val="center"/>
          </w:tcPr>
          <w:p w14:paraId="6115189F" w14:textId="2A00BB78" w:rsidR="00EB49BA" w:rsidRPr="00AB2B4F" w:rsidRDefault="009D69F5" w:rsidP="009500B2">
            <w:pPr>
              <w:keepNext/>
              <w:keepLines/>
              <w:jc w:val="center"/>
            </w:pPr>
            <w:proofErr w:type="spellStart"/>
            <w:r>
              <w:t>Subchronic</w:t>
            </w:r>
            <w:proofErr w:type="spellEnd"/>
            <w:r>
              <w:t xml:space="preserve"> </w:t>
            </w:r>
            <w:proofErr w:type="spellStart"/>
            <w:r>
              <w:t>RfD</w:t>
            </w:r>
            <w:proofErr w:type="spellEnd"/>
          </w:p>
        </w:tc>
        <w:tc>
          <w:tcPr>
            <w:tcW w:w="1260" w:type="dxa"/>
            <w:tcBorders>
              <w:top w:val="single" w:sz="4" w:space="0" w:color="auto"/>
            </w:tcBorders>
            <w:vAlign w:val="center"/>
          </w:tcPr>
          <w:p w14:paraId="015E6528" w14:textId="077E90A3" w:rsidR="00EB49BA" w:rsidRPr="00AB2B4F" w:rsidRDefault="009E6C8D" w:rsidP="009500B2">
            <w:pPr>
              <w:keepNext/>
              <w:keepLines/>
              <w:jc w:val="center"/>
            </w:pPr>
            <w:r>
              <w:t>US EPA</w:t>
            </w:r>
            <w:r w:rsidR="00EB49BA" w:rsidRPr="00AB2B4F">
              <w:t>, 2021</w:t>
            </w:r>
          </w:p>
        </w:tc>
      </w:tr>
      <w:tr w:rsidR="009E6C8D" w14:paraId="4B448B81" w14:textId="77777777" w:rsidTr="009E6C8D">
        <w:tc>
          <w:tcPr>
            <w:tcW w:w="1615" w:type="dxa"/>
          </w:tcPr>
          <w:p w14:paraId="288BD8CF" w14:textId="220B4F6E" w:rsidR="009E6C8D" w:rsidRPr="00AB2B4F" w:rsidRDefault="009E6C8D" w:rsidP="009D69F5">
            <w:pPr>
              <w:keepNext/>
              <w:keepLines/>
            </w:pPr>
            <w:r w:rsidRPr="00AB2B4F">
              <w:t>PFHxS</w:t>
            </w:r>
          </w:p>
        </w:tc>
        <w:tc>
          <w:tcPr>
            <w:tcW w:w="1350" w:type="dxa"/>
          </w:tcPr>
          <w:p w14:paraId="18094416" w14:textId="501666A6" w:rsidR="009E6C8D" w:rsidRDefault="009E6C8D" w:rsidP="009D69F5">
            <w:pPr>
              <w:keepNext/>
              <w:keepLines/>
              <w:jc w:val="center"/>
            </w:pPr>
            <w:r>
              <w:t>2 x 10</w:t>
            </w:r>
            <w:r w:rsidRPr="00AB2B4F">
              <w:rPr>
                <w:vertAlign w:val="superscript"/>
              </w:rPr>
              <w:t>-5</w:t>
            </w:r>
          </w:p>
        </w:tc>
        <w:tc>
          <w:tcPr>
            <w:tcW w:w="2970" w:type="dxa"/>
          </w:tcPr>
          <w:p w14:paraId="3685AD06" w14:textId="066CDF3A" w:rsidR="009E6C8D" w:rsidRPr="00F04FE2" w:rsidRDefault="009E6C8D" w:rsidP="009D69F5">
            <w:pPr>
              <w:keepNext/>
              <w:keepLines/>
              <w:jc w:val="center"/>
            </w:pPr>
            <w:r w:rsidRPr="00F04FE2">
              <w:rPr>
                <w:rFonts w:cs="Arial"/>
              </w:rPr>
              <w:t>Thyroid follicular cell damage</w:t>
            </w:r>
          </w:p>
        </w:tc>
        <w:tc>
          <w:tcPr>
            <w:tcW w:w="1890" w:type="dxa"/>
            <w:vMerge w:val="restart"/>
            <w:vAlign w:val="center"/>
          </w:tcPr>
          <w:p w14:paraId="414B9F63" w14:textId="6EE4EFB2" w:rsidR="009E6C8D" w:rsidRPr="00AB2B4F" w:rsidRDefault="009E6C8D" w:rsidP="009E6C8D">
            <w:pPr>
              <w:keepNext/>
              <w:keepLines/>
              <w:jc w:val="center"/>
            </w:pPr>
            <w:r w:rsidRPr="00AB2B4F">
              <w:t>Intermediate</w:t>
            </w:r>
            <w:r>
              <w:t xml:space="preserve"> MRL</w:t>
            </w:r>
          </w:p>
        </w:tc>
        <w:tc>
          <w:tcPr>
            <w:tcW w:w="1260" w:type="dxa"/>
            <w:vMerge w:val="restart"/>
            <w:vAlign w:val="center"/>
          </w:tcPr>
          <w:p w14:paraId="0D2E7B80" w14:textId="5388154C" w:rsidR="009E6C8D" w:rsidRPr="00AB2B4F" w:rsidRDefault="009E6C8D" w:rsidP="009E6C8D">
            <w:pPr>
              <w:keepNext/>
              <w:keepLines/>
              <w:jc w:val="center"/>
            </w:pPr>
            <w:r w:rsidRPr="00AB2B4F">
              <w:t>ATSDR, 2021</w:t>
            </w:r>
          </w:p>
        </w:tc>
      </w:tr>
      <w:tr w:rsidR="009E6C8D" w14:paraId="3C7FE9F2" w14:textId="77777777" w:rsidTr="00EB49BA">
        <w:tc>
          <w:tcPr>
            <w:tcW w:w="1615" w:type="dxa"/>
            <w:vAlign w:val="center"/>
          </w:tcPr>
          <w:p w14:paraId="54348972" w14:textId="77777777" w:rsidR="009E6C8D" w:rsidRPr="00AB2B4F" w:rsidRDefault="009E6C8D" w:rsidP="009D69F5">
            <w:pPr>
              <w:keepNext/>
              <w:keepLines/>
            </w:pPr>
            <w:r w:rsidRPr="00AB2B4F">
              <w:t>PFOA</w:t>
            </w:r>
          </w:p>
        </w:tc>
        <w:tc>
          <w:tcPr>
            <w:tcW w:w="1350" w:type="dxa"/>
            <w:vAlign w:val="center"/>
          </w:tcPr>
          <w:p w14:paraId="7E89B1E4" w14:textId="77777777" w:rsidR="009E6C8D" w:rsidRPr="00AB2B4F" w:rsidRDefault="009E6C8D" w:rsidP="009D69F5">
            <w:pPr>
              <w:keepNext/>
              <w:keepLines/>
              <w:jc w:val="center"/>
            </w:pPr>
            <w:r>
              <w:t>3 x 10</w:t>
            </w:r>
            <w:r w:rsidRPr="00AB2B4F">
              <w:rPr>
                <w:vertAlign w:val="superscript"/>
              </w:rPr>
              <w:t>-</w:t>
            </w:r>
            <w:r>
              <w:rPr>
                <w:vertAlign w:val="superscript"/>
              </w:rPr>
              <w:t>6</w:t>
            </w:r>
          </w:p>
        </w:tc>
        <w:tc>
          <w:tcPr>
            <w:tcW w:w="2970" w:type="dxa"/>
          </w:tcPr>
          <w:p w14:paraId="037A6753" w14:textId="77777777" w:rsidR="009E6C8D" w:rsidRPr="00F04FE2" w:rsidRDefault="009E6C8D" w:rsidP="009D69F5">
            <w:pPr>
              <w:keepNext/>
              <w:keepLines/>
              <w:jc w:val="center"/>
            </w:pPr>
            <w:r w:rsidRPr="00F04FE2">
              <w:t>↑Pup activity</w:t>
            </w:r>
          </w:p>
          <w:p w14:paraId="09DA996C" w14:textId="77777777" w:rsidR="009E6C8D" w:rsidRPr="00AB2B4F" w:rsidRDefault="009E6C8D" w:rsidP="009D69F5">
            <w:pPr>
              <w:keepNext/>
              <w:keepLines/>
              <w:jc w:val="center"/>
            </w:pPr>
            <w:r w:rsidRPr="00F04FE2">
              <w:t>Skeletal alterations</w:t>
            </w:r>
          </w:p>
        </w:tc>
        <w:tc>
          <w:tcPr>
            <w:tcW w:w="1890" w:type="dxa"/>
            <w:vMerge/>
          </w:tcPr>
          <w:p w14:paraId="223C758A" w14:textId="77777777" w:rsidR="009E6C8D" w:rsidRPr="00AB2B4F" w:rsidRDefault="009E6C8D" w:rsidP="009D69F5">
            <w:pPr>
              <w:keepNext/>
              <w:keepLines/>
            </w:pPr>
          </w:p>
        </w:tc>
        <w:tc>
          <w:tcPr>
            <w:tcW w:w="1260" w:type="dxa"/>
            <w:vMerge/>
          </w:tcPr>
          <w:p w14:paraId="0475F68B" w14:textId="5D34F42C" w:rsidR="009E6C8D" w:rsidRPr="00AB2B4F" w:rsidRDefault="009E6C8D" w:rsidP="009D69F5">
            <w:pPr>
              <w:keepNext/>
              <w:keepLines/>
              <w:jc w:val="center"/>
            </w:pPr>
          </w:p>
        </w:tc>
      </w:tr>
      <w:tr w:rsidR="009E6C8D" w14:paraId="30278EA1" w14:textId="77777777" w:rsidTr="00EB49BA">
        <w:tc>
          <w:tcPr>
            <w:tcW w:w="1615" w:type="dxa"/>
            <w:vAlign w:val="center"/>
          </w:tcPr>
          <w:p w14:paraId="123EAC47" w14:textId="77777777" w:rsidR="009E6C8D" w:rsidRPr="00AB2B4F" w:rsidRDefault="009E6C8D" w:rsidP="009D69F5">
            <w:pPr>
              <w:keepNext/>
              <w:keepLines/>
            </w:pPr>
            <w:r w:rsidRPr="00AB2B4F">
              <w:t>PFOS</w:t>
            </w:r>
          </w:p>
        </w:tc>
        <w:tc>
          <w:tcPr>
            <w:tcW w:w="1350" w:type="dxa"/>
            <w:vAlign w:val="center"/>
          </w:tcPr>
          <w:p w14:paraId="0963DE96" w14:textId="77777777" w:rsidR="009E6C8D" w:rsidRPr="00AB2B4F" w:rsidRDefault="009E6C8D" w:rsidP="009D69F5">
            <w:pPr>
              <w:keepNext/>
              <w:keepLines/>
              <w:jc w:val="center"/>
            </w:pPr>
            <w:r>
              <w:t>2 x 10</w:t>
            </w:r>
            <w:r w:rsidRPr="00AB2B4F">
              <w:rPr>
                <w:vertAlign w:val="superscript"/>
              </w:rPr>
              <w:t>-</w:t>
            </w:r>
            <w:r>
              <w:rPr>
                <w:vertAlign w:val="superscript"/>
              </w:rPr>
              <w:t>6</w:t>
            </w:r>
          </w:p>
        </w:tc>
        <w:tc>
          <w:tcPr>
            <w:tcW w:w="2970" w:type="dxa"/>
          </w:tcPr>
          <w:p w14:paraId="575EDC35" w14:textId="77777777" w:rsidR="009E6C8D" w:rsidRPr="00D82EF2" w:rsidRDefault="009E6C8D" w:rsidP="009D69F5">
            <w:pPr>
              <w:keepNext/>
              <w:keepLines/>
              <w:jc w:val="center"/>
            </w:pPr>
            <w:r w:rsidRPr="00D82EF2">
              <w:t xml:space="preserve">↓Pup </w:t>
            </w:r>
            <w:r>
              <w:t>body weight</w:t>
            </w:r>
          </w:p>
          <w:p w14:paraId="6D32D48A" w14:textId="77777777" w:rsidR="009E6C8D" w:rsidRPr="00D82EF2" w:rsidRDefault="009E6C8D" w:rsidP="009D69F5">
            <w:pPr>
              <w:keepNext/>
              <w:keepLines/>
              <w:jc w:val="center"/>
            </w:pPr>
            <w:r w:rsidRPr="00D82EF2">
              <w:t>Delayed eye opening</w:t>
            </w:r>
          </w:p>
        </w:tc>
        <w:tc>
          <w:tcPr>
            <w:tcW w:w="1890" w:type="dxa"/>
            <w:vMerge/>
          </w:tcPr>
          <w:p w14:paraId="52109291" w14:textId="77777777" w:rsidR="009E6C8D" w:rsidRPr="00AB2B4F" w:rsidRDefault="009E6C8D" w:rsidP="009D69F5">
            <w:pPr>
              <w:keepNext/>
              <w:keepLines/>
            </w:pPr>
          </w:p>
        </w:tc>
        <w:tc>
          <w:tcPr>
            <w:tcW w:w="1260" w:type="dxa"/>
            <w:vMerge/>
          </w:tcPr>
          <w:p w14:paraId="60D395D2" w14:textId="77777777" w:rsidR="009E6C8D" w:rsidRPr="00AB2B4F" w:rsidRDefault="009E6C8D" w:rsidP="009D69F5">
            <w:pPr>
              <w:keepNext/>
              <w:keepLines/>
              <w:jc w:val="center"/>
            </w:pPr>
          </w:p>
        </w:tc>
      </w:tr>
      <w:tr w:rsidR="009E6C8D" w14:paraId="6EACB4E4" w14:textId="77777777" w:rsidTr="00EB49BA">
        <w:tc>
          <w:tcPr>
            <w:tcW w:w="1615" w:type="dxa"/>
            <w:vAlign w:val="center"/>
          </w:tcPr>
          <w:p w14:paraId="78977B32" w14:textId="77777777" w:rsidR="009E6C8D" w:rsidRPr="00AB2B4F" w:rsidRDefault="009E6C8D" w:rsidP="009D69F5">
            <w:pPr>
              <w:keepNext/>
              <w:keepLines/>
            </w:pPr>
            <w:r w:rsidRPr="00AB2B4F">
              <w:t>PFNA</w:t>
            </w:r>
          </w:p>
        </w:tc>
        <w:tc>
          <w:tcPr>
            <w:tcW w:w="1350" w:type="dxa"/>
            <w:vAlign w:val="center"/>
          </w:tcPr>
          <w:p w14:paraId="665E1CA8" w14:textId="77777777" w:rsidR="009E6C8D" w:rsidRPr="00AB2B4F" w:rsidRDefault="009E6C8D" w:rsidP="009D69F5">
            <w:pPr>
              <w:keepNext/>
              <w:keepLines/>
              <w:jc w:val="center"/>
            </w:pPr>
            <w:r>
              <w:t>3 x 10</w:t>
            </w:r>
            <w:r w:rsidRPr="00AB2B4F">
              <w:rPr>
                <w:vertAlign w:val="superscript"/>
              </w:rPr>
              <w:t>-</w:t>
            </w:r>
            <w:r>
              <w:rPr>
                <w:vertAlign w:val="superscript"/>
              </w:rPr>
              <w:t>6</w:t>
            </w:r>
          </w:p>
        </w:tc>
        <w:tc>
          <w:tcPr>
            <w:tcW w:w="2970" w:type="dxa"/>
          </w:tcPr>
          <w:p w14:paraId="437E3DA9" w14:textId="77777777" w:rsidR="009E6C8D" w:rsidRPr="00D82EF2" w:rsidRDefault="009E6C8D" w:rsidP="009D69F5">
            <w:pPr>
              <w:keepNext/>
              <w:keepLines/>
              <w:jc w:val="center"/>
            </w:pPr>
            <w:r w:rsidRPr="00D82EF2">
              <w:t>↓Pup</w:t>
            </w:r>
            <w:r>
              <w:t xml:space="preserve"> body weight</w:t>
            </w:r>
          </w:p>
          <w:p w14:paraId="5D10540F" w14:textId="77777777" w:rsidR="009E6C8D" w:rsidRPr="00D82EF2" w:rsidRDefault="009E6C8D" w:rsidP="009D69F5">
            <w:pPr>
              <w:keepNext/>
              <w:keepLines/>
              <w:jc w:val="center"/>
            </w:pPr>
            <w:r w:rsidRPr="00D82EF2">
              <w:t>Developmental delays</w:t>
            </w:r>
          </w:p>
        </w:tc>
        <w:tc>
          <w:tcPr>
            <w:tcW w:w="1890" w:type="dxa"/>
            <w:vMerge/>
          </w:tcPr>
          <w:p w14:paraId="5675B138" w14:textId="77777777" w:rsidR="009E6C8D" w:rsidRPr="00AB2B4F" w:rsidRDefault="009E6C8D" w:rsidP="009D69F5">
            <w:pPr>
              <w:keepNext/>
              <w:keepLines/>
            </w:pPr>
          </w:p>
        </w:tc>
        <w:tc>
          <w:tcPr>
            <w:tcW w:w="1260" w:type="dxa"/>
            <w:vMerge/>
          </w:tcPr>
          <w:p w14:paraId="7C1C8F27" w14:textId="77777777" w:rsidR="009E6C8D" w:rsidRPr="00AB2B4F" w:rsidRDefault="009E6C8D" w:rsidP="009D69F5">
            <w:pPr>
              <w:keepNext/>
              <w:keepLines/>
              <w:jc w:val="center"/>
            </w:pPr>
          </w:p>
        </w:tc>
      </w:tr>
      <w:tr w:rsidR="009D69F5" w14:paraId="7966F4EC" w14:textId="77777777" w:rsidTr="009500B2">
        <w:tc>
          <w:tcPr>
            <w:tcW w:w="1615" w:type="dxa"/>
            <w:vAlign w:val="center"/>
          </w:tcPr>
          <w:p w14:paraId="59C2A7FE" w14:textId="7B2EC933" w:rsidR="009D69F5" w:rsidRPr="00AB2B4F" w:rsidRDefault="009D69F5" w:rsidP="009D69F5">
            <w:pPr>
              <w:keepNext/>
              <w:keepLines/>
            </w:pPr>
            <w:r>
              <w:t xml:space="preserve">Sum 6 </w:t>
            </w:r>
            <w:proofErr w:type="spellStart"/>
            <w:r>
              <w:t>PFAS</w:t>
            </w:r>
            <w:r w:rsidRPr="00C974EB">
              <w:rPr>
                <w:vertAlign w:val="superscript"/>
              </w:rPr>
              <w:t>a</w:t>
            </w:r>
            <w:proofErr w:type="spellEnd"/>
          </w:p>
        </w:tc>
        <w:tc>
          <w:tcPr>
            <w:tcW w:w="1350" w:type="dxa"/>
            <w:vAlign w:val="center"/>
          </w:tcPr>
          <w:p w14:paraId="1BB3B3B0" w14:textId="1565D344" w:rsidR="009D69F5" w:rsidRDefault="009D69F5" w:rsidP="009D69F5">
            <w:pPr>
              <w:keepNext/>
              <w:keepLines/>
              <w:jc w:val="center"/>
            </w:pPr>
            <w:r>
              <w:t>5 x 10</w:t>
            </w:r>
            <w:r>
              <w:rPr>
                <w:vertAlign w:val="superscript"/>
              </w:rPr>
              <w:t>-6</w:t>
            </w:r>
          </w:p>
        </w:tc>
        <w:tc>
          <w:tcPr>
            <w:tcW w:w="2970" w:type="dxa"/>
            <w:vAlign w:val="bottom"/>
          </w:tcPr>
          <w:p w14:paraId="58011671" w14:textId="7E668C13" w:rsidR="009D69F5" w:rsidRPr="00D82EF2" w:rsidRDefault="009D69F5" w:rsidP="009D69F5">
            <w:pPr>
              <w:keepNext/>
              <w:keepLines/>
              <w:jc w:val="center"/>
            </w:pPr>
            <w:r>
              <w:t>Developmental, Liver toxicity, Immunotoxicity</w:t>
            </w:r>
          </w:p>
        </w:tc>
        <w:tc>
          <w:tcPr>
            <w:tcW w:w="1890" w:type="dxa"/>
            <w:vAlign w:val="center"/>
          </w:tcPr>
          <w:p w14:paraId="3CC6CD09" w14:textId="3F18B3D5" w:rsidR="009D69F5" w:rsidRPr="00AB2B4F" w:rsidRDefault="009D69F5" w:rsidP="009D69F5">
            <w:pPr>
              <w:keepNext/>
              <w:keepLines/>
              <w:jc w:val="center"/>
            </w:pPr>
            <w:proofErr w:type="spellStart"/>
            <w:r>
              <w:t>RfD</w:t>
            </w:r>
            <w:proofErr w:type="spellEnd"/>
          </w:p>
        </w:tc>
        <w:tc>
          <w:tcPr>
            <w:tcW w:w="1260" w:type="dxa"/>
          </w:tcPr>
          <w:p w14:paraId="31B49FE5" w14:textId="31B7C0D4" w:rsidR="009D69F5" w:rsidRPr="00AB2B4F" w:rsidRDefault="009D69F5" w:rsidP="009D69F5">
            <w:pPr>
              <w:keepNext/>
              <w:keepLines/>
              <w:jc w:val="center"/>
            </w:pPr>
            <w:r>
              <w:t>MassDEP, 2019</w:t>
            </w:r>
          </w:p>
        </w:tc>
      </w:tr>
    </w:tbl>
    <w:p w14:paraId="7B1C62B2" w14:textId="38DB60E8" w:rsidR="00EB49BA" w:rsidRDefault="00EB49BA" w:rsidP="00A91A5A">
      <w:pPr>
        <w:spacing w:after="0"/>
        <w:rPr>
          <w:i/>
          <w:iCs/>
          <w:sz w:val="20"/>
          <w:szCs w:val="20"/>
        </w:rPr>
      </w:pPr>
      <w:r>
        <w:rPr>
          <w:i/>
          <w:iCs/>
          <w:sz w:val="20"/>
          <w:szCs w:val="20"/>
        </w:rPr>
        <w:t xml:space="preserve">MRL – Minimal Risk Level; </w:t>
      </w:r>
      <w:r w:rsidR="009D69F5">
        <w:rPr>
          <w:i/>
          <w:iCs/>
          <w:sz w:val="20"/>
          <w:szCs w:val="20"/>
        </w:rPr>
        <w:t xml:space="preserve">PFBS – </w:t>
      </w:r>
      <w:proofErr w:type="spellStart"/>
      <w:r w:rsidR="009D69F5">
        <w:rPr>
          <w:i/>
          <w:iCs/>
          <w:sz w:val="20"/>
          <w:szCs w:val="20"/>
        </w:rPr>
        <w:t>perfluorobutane</w:t>
      </w:r>
      <w:proofErr w:type="spellEnd"/>
      <w:r w:rsidR="009D69F5">
        <w:rPr>
          <w:i/>
          <w:iCs/>
          <w:sz w:val="20"/>
          <w:szCs w:val="20"/>
        </w:rPr>
        <w:t xml:space="preserve"> sulfonic acid (PFBS); </w:t>
      </w:r>
      <w:proofErr w:type="spellStart"/>
      <w:r w:rsidRPr="000175F7">
        <w:rPr>
          <w:i/>
          <w:iCs/>
          <w:sz w:val="20"/>
          <w:szCs w:val="20"/>
        </w:rPr>
        <w:t>PFHxS</w:t>
      </w:r>
      <w:proofErr w:type="spellEnd"/>
      <w:r w:rsidRPr="000175F7">
        <w:rPr>
          <w:i/>
          <w:iCs/>
          <w:sz w:val="20"/>
          <w:szCs w:val="20"/>
        </w:rPr>
        <w:t xml:space="preserve"> – </w:t>
      </w:r>
      <w:proofErr w:type="spellStart"/>
      <w:r w:rsidRPr="000175F7">
        <w:rPr>
          <w:i/>
          <w:iCs/>
          <w:sz w:val="20"/>
          <w:szCs w:val="20"/>
        </w:rPr>
        <w:t>perfluorohexane</w:t>
      </w:r>
      <w:proofErr w:type="spellEnd"/>
      <w:r w:rsidRPr="000175F7">
        <w:rPr>
          <w:i/>
          <w:iCs/>
          <w:sz w:val="20"/>
          <w:szCs w:val="20"/>
        </w:rPr>
        <w:t xml:space="preserve"> sulfonic acid; PFOA – perfluorooctanoic acid; </w:t>
      </w:r>
      <w:r w:rsidR="00801103">
        <w:rPr>
          <w:i/>
          <w:iCs/>
          <w:sz w:val="20"/>
          <w:szCs w:val="20"/>
        </w:rPr>
        <w:t xml:space="preserve">PFOS - </w:t>
      </w:r>
      <w:proofErr w:type="spellStart"/>
      <w:r w:rsidRPr="000175F7">
        <w:rPr>
          <w:i/>
          <w:iCs/>
          <w:sz w:val="20"/>
          <w:szCs w:val="20"/>
        </w:rPr>
        <w:t>perfluorooctane</w:t>
      </w:r>
      <w:proofErr w:type="spellEnd"/>
      <w:r w:rsidRPr="000175F7">
        <w:rPr>
          <w:i/>
          <w:iCs/>
          <w:sz w:val="20"/>
          <w:szCs w:val="20"/>
        </w:rPr>
        <w:t xml:space="preserve"> sulfonic acid; PFNA – </w:t>
      </w:r>
      <w:proofErr w:type="spellStart"/>
      <w:r w:rsidRPr="000175F7">
        <w:rPr>
          <w:i/>
          <w:iCs/>
          <w:sz w:val="20"/>
          <w:szCs w:val="20"/>
        </w:rPr>
        <w:t>perfluorononanoic</w:t>
      </w:r>
      <w:proofErr w:type="spellEnd"/>
      <w:r w:rsidRPr="000175F7">
        <w:rPr>
          <w:i/>
          <w:iCs/>
          <w:sz w:val="20"/>
          <w:szCs w:val="20"/>
        </w:rPr>
        <w:t xml:space="preserve"> acid</w:t>
      </w:r>
      <w:r>
        <w:rPr>
          <w:i/>
          <w:iCs/>
          <w:sz w:val="20"/>
          <w:szCs w:val="20"/>
        </w:rPr>
        <w:t xml:space="preserve">; </w:t>
      </w:r>
      <w:proofErr w:type="spellStart"/>
      <w:r>
        <w:rPr>
          <w:i/>
          <w:iCs/>
          <w:sz w:val="20"/>
          <w:szCs w:val="20"/>
        </w:rPr>
        <w:t>RfD</w:t>
      </w:r>
      <w:proofErr w:type="spellEnd"/>
      <w:r>
        <w:rPr>
          <w:i/>
          <w:iCs/>
          <w:sz w:val="20"/>
          <w:szCs w:val="20"/>
        </w:rPr>
        <w:t xml:space="preserve"> – Reference Dose</w:t>
      </w:r>
    </w:p>
    <w:p w14:paraId="3CCAA98A" w14:textId="28E527E1" w:rsidR="00C974EB" w:rsidRDefault="00C974EB" w:rsidP="00EB49BA">
      <w:r>
        <w:rPr>
          <w:i/>
          <w:iCs/>
          <w:sz w:val="20"/>
          <w:szCs w:val="20"/>
        </w:rPr>
        <w:t xml:space="preserve">[a] Includes </w:t>
      </w:r>
      <w:proofErr w:type="spellStart"/>
      <w:r>
        <w:rPr>
          <w:i/>
          <w:iCs/>
          <w:sz w:val="20"/>
          <w:szCs w:val="20"/>
        </w:rPr>
        <w:t>PFHxS</w:t>
      </w:r>
      <w:proofErr w:type="spellEnd"/>
      <w:r>
        <w:rPr>
          <w:i/>
          <w:iCs/>
          <w:sz w:val="20"/>
          <w:szCs w:val="20"/>
        </w:rPr>
        <w:t xml:space="preserve">, </w:t>
      </w:r>
      <w:proofErr w:type="spellStart"/>
      <w:r w:rsidRPr="000175F7">
        <w:rPr>
          <w:i/>
          <w:iCs/>
          <w:sz w:val="20"/>
          <w:szCs w:val="20"/>
        </w:rPr>
        <w:t>perfluoroheptanoic</w:t>
      </w:r>
      <w:proofErr w:type="spellEnd"/>
      <w:r w:rsidRPr="000175F7">
        <w:rPr>
          <w:i/>
          <w:iCs/>
          <w:sz w:val="20"/>
          <w:szCs w:val="20"/>
        </w:rPr>
        <w:t xml:space="preserve"> acid</w:t>
      </w:r>
      <w:r>
        <w:rPr>
          <w:i/>
          <w:iCs/>
          <w:sz w:val="20"/>
          <w:szCs w:val="20"/>
        </w:rPr>
        <w:t xml:space="preserve"> (</w:t>
      </w:r>
      <w:proofErr w:type="spellStart"/>
      <w:r>
        <w:rPr>
          <w:i/>
          <w:iCs/>
          <w:sz w:val="20"/>
          <w:szCs w:val="20"/>
        </w:rPr>
        <w:t>PFHpA</w:t>
      </w:r>
      <w:proofErr w:type="spellEnd"/>
      <w:r>
        <w:rPr>
          <w:i/>
          <w:iCs/>
          <w:sz w:val="20"/>
          <w:szCs w:val="20"/>
        </w:rPr>
        <w:t>), PFOA, PFOS, PF</w:t>
      </w:r>
      <w:r w:rsidR="00B41682">
        <w:rPr>
          <w:i/>
          <w:iCs/>
          <w:sz w:val="20"/>
          <w:szCs w:val="20"/>
        </w:rPr>
        <w:t>NA</w:t>
      </w:r>
      <w:r>
        <w:rPr>
          <w:i/>
          <w:iCs/>
          <w:sz w:val="20"/>
          <w:szCs w:val="20"/>
        </w:rPr>
        <w:t xml:space="preserve"> and </w:t>
      </w:r>
      <w:r w:rsidRPr="000175F7">
        <w:rPr>
          <w:i/>
          <w:iCs/>
          <w:sz w:val="20"/>
          <w:szCs w:val="20"/>
        </w:rPr>
        <w:t>perfluorodecanoic acid</w:t>
      </w:r>
      <w:r>
        <w:rPr>
          <w:i/>
          <w:iCs/>
          <w:sz w:val="20"/>
          <w:szCs w:val="20"/>
        </w:rPr>
        <w:t xml:space="preserve"> (PFDA)</w:t>
      </w:r>
    </w:p>
    <w:p w14:paraId="60083087" w14:textId="46E96792" w:rsidR="004320AA" w:rsidRDefault="001134B9" w:rsidP="000D3483">
      <w:pPr>
        <w:pStyle w:val="Heading2"/>
      </w:pPr>
      <w:bookmarkStart w:id="9" w:name="_Toc87445201"/>
      <w:r>
        <w:t>3.3</w:t>
      </w:r>
      <w:r w:rsidR="00FE581C">
        <w:tab/>
        <w:t>Risk Evaluation</w:t>
      </w:r>
      <w:bookmarkEnd w:id="9"/>
    </w:p>
    <w:p w14:paraId="69F87605" w14:textId="77777777" w:rsidR="00FE581C" w:rsidRPr="00D1135A" w:rsidRDefault="00FE581C" w:rsidP="00BD4CEE">
      <w:pPr>
        <w:spacing w:line="240" w:lineRule="auto"/>
        <w:jc w:val="both"/>
        <w:rPr>
          <w:sz w:val="24"/>
          <w:szCs w:val="24"/>
        </w:rPr>
      </w:pPr>
      <w:r w:rsidRPr="00D1135A">
        <w:rPr>
          <w:sz w:val="24"/>
          <w:szCs w:val="24"/>
        </w:rPr>
        <w:t>Risks for individual exposure pathways and for individual contaminants are expressed as a hazard quotient (HQ), calculated as follows:</w:t>
      </w:r>
    </w:p>
    <w:p w14:paraId="7BD480A5" w14:textId="77777777" w:rsidR="00FE581C" w:rsidRPr="00D1135A" w:rsidRDefault="00FE581C" w:rsidP="00FE581C">
      <w:pPr>
        <w:rPr>
          <w:sz w:val="24"/>
          <w:szCs w:val="24"/>
        </w:rPr>
      </w:pPr>
      <m:oMathPara>
        <m:oMath>
          <m:r>
            <w:rPr>
              <w:rFonts w:ascii="Cambria Math" w:hAnsi="Cambria Math"/>
              <w:sz w:val="24"/>
              <w:szCs w:val="24"/>
            </w:rPr>
            <m:t>HQ=</m:t>
          </m:r>
          <m:f>
            <m:fPr>
              <m:ctrlPr>
                <w:rPr>
                  <w:rFonts w:ascii="Cambria Math" w:hAnsi="Cambria Math"/>
                  <w:i/>
                  <w:sz w:val="24"/>
                  <w:szCs w:val="24"/>
                </w:rPr>
              </m:ctrlPr>
            </m:fPr>
            <m:num>
              <m:r>
                <w:rPr>
                  <w:rFonts w:ascii="Cambria Math" w:hAnsi="Cambria Math"/>
                  <w:sz w:val="24"/>
                  <w:szCs w:val="24"/>
                </w:rPr>
                <m:t xml:space="preserve">Exposure Dose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kg-day</m:t>
                      </m:r>
                    </m:den>
                  </m:f>
                </m:e>
              </m:d>
            </m:num>
            <m:den>
              <m:r>
                <w:rPr>
                  <w:rFonts w:ascii="Cambria Math" w:hAnsi="Cambria Math"/>
                  <w:sz w:val="24"/>
                  <w:szCs w:val="24"/>
                </w:rPr>
                <m:t xml:space="preserve">MRL or RfD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mg</m:t>
                      </m:r>
                    </m:num>
                    <m:den>
                      <m:r>
                        <w:rPr>
                          <w:rFonts w:ascii="Cambria Math" w:hAnsi="Cambria Math"/>
                          <w:sz w:val="24"/>
                          <w:szCs w:val="24"/>
                        </w:rPr>
                        <m:t>kg-day</m:t>
                      </m:r>
                    </m:den>
                  </m:f>
                </m:e>
              </m:d>
              <m:r>
                <w:rPr>
                  <w:rFonts w:ascii="Cambria Math" w:hAnsi="Cambria Math"/>
                  <w:sz w:val="24"/>
                  <w:szCs w:val="24"/>
                </w:rPr>
                <m:t>×RSC</m:t>
              </m:r>
            </m:den>
          </m:f>
        </m:oMath>
      </m:oMathPara>
    </w:p>
    <w:p w14:paraId="22582A30" w14:textId="77777777" w:rsidR="00FE581C" w:rsidRPr="00D1135A" w:rsidRDefault="00FE581C" w:rsidP="00FE581C">
      <w:pPr>
        <w:spacing w:after="0"/>
        <w:rPr>
          <w:i/>
          <w:iCs/>
          <w:sz w:val="24"/>
          <w:szCs w:val="24"/>
        </w:rPr>
      </w:pPr>
      <w:r w:rsidRPr="00D1135A">
        <w:rPr>
          <w:i/>
          <w:iCs/>
          <w:sz w:val="24"/>
          <w:szCs w:val="24"/>
        </w:rPr>
        <w:t>Where:</w:t>
      </w:r>
    </w:p>
    <w:p w14:paraId="2B572AD0" w14:textId="77777777" w:rsidR="00FE581C" w:rsidRPr="00D1135A" w:rsidRDefault="00FE581C" w:rsidP="00FE581C">
      <w:pPr>
        <w:tabs>
          <w:tab w:val="left" w:pos="1080"/>
          <w:tab w:val="left" w:pos="1440"/>
        </w:tabs>
        <w:spacing w:after="40" w:line="240" w:lineRule="auto"/>
        <w:ind w:left="547"/>
        <w:rPr>
          <w:i/>
          <w:iCs/>
          <w:sz w:val="24"/>
          <w:szCs w:val="24"/>
        </w:rPr>
      </w:pPr>
      <w:r w:rsidRPr="00D1135A">
        <w:rPr>
          <w:i/>
          <w:iCs/>
          <w:sz w:val="24"/>
          <w:szCs w:val="24"/>
        </w:rPr>
        <w:t>MRL</w:t>
      </w:r>
      <w:r w:rsidRPr="00D1135A">
        <w:rPr>
          <w:i/>
          <w:iCs/>
          <w:sz w:val="24"/>
          <w:szCs w:val="24"/>
        </w:rPr>
        <w:tab/>
        <w:t>=</w:t>
      </w:r>
      <w:r w:rsidRPr="00D1135A">
        <w:rPr>
          <w:i/>
          <w:iCs/>
          <w:sz w:val="24"/>
          <w:szCs w:val="24"/>
        </w:rPr>
        <w:tab/>
        <w:t>ATSDR Minimal Risk Level (mg/kg-day</w:t>
      </w:r>
      <w:proofErr w:type="gramStart"/>
      <w:r w:rsidRPr="00D1135A">
        <w:rPr>
          <w:i/>
          <w:iCs/>
          <w:sz w:val="24"/>
          <w:szCs w:val="24"/>
        </w:rPr>
        <w:t>);</w:t>
      </w:r>
      <w:proofErr w:type="gramEnd"/>
    </w:p>
    <w:p w14:paraId="4A1229F4" w14:textId="710EF0B8" w:rsidR="00FE581C" w:rsidRPr="00D1135A" w:rsidRDefault="00FE581C" w:rsidP="00FE581C">
      <w:pPr>
        <w:tabs>
          <w:tab w:val="left" w:pos="1080"/>
          <w:tab w:val="left" w:pos="1440"/>
        </w:tabs>
        <w:spacing w:after="40" w:line="240" w:lineRule="auto"/>
        <w:ind w:left="547"/>
        <w:rPr>
          <w:i/>
          <w:iCs/>
          <w:sz w:val="24"/>
          <w:szCs w:val="24"/>
        </w:rPr>
      </w:pPr>
      <w:proofErr w:type="spellStart"/>
      <w:r w:rsidRPr="00D1135A">
        <w:rPr>
          <w:i/>
          <w:iCs/>
          <w:sz w:val="24"/>
          <w:szCs w:val="24"/>
        </w:rPr>
        <w:t>RfD</w:t>
      </w:r>
      <w:proofErr w:type="spellEnd"/>
      <w:r w:rsidRPr="00D1135A">
        <w:rPr>
          <w:i/>
          <w:iCs/>
          <w:sz w:val="24"/>
          <w:szCs w:val="24"/>
        </w:rPr>
        <w:tab/>
        <w:t>=</w:t>
      </w:r>
      <w:r w:rsidRPr="00D1135A">
        <w:rPr>
          <w:i/>
          <w:iCs/>
          <w:sz w:val="24"/>
          <w:szCs w:val="24"/>
        </w:rPr>
        <w:tab/>
        <w:t>MassDEP (mg/kg-day); and</w:t>
      </w:r>
    </w:p>
    <w:p w14:paraId="35E05EEA" w14:textId="3C512663" w:rsidR="00FE581C" w:rsidRPr="00D1135A" w:rsidRDefault="00FE581C" w:rsidP="00FE581C">
      <w:pPr>
        <w:tabs>
          <w:tab w:val="left" w:pos="1080"/>
          <w:tab w:val="left" w:pos="1440"/>
        </w:tabs>
        <w:spacing w:after="40" w:line="240" w:lineRule="auto"/>
        <w:ind w:left="547"/>
        <w:rPr>
          <w:i/>
          <w:iCs/>
          <w:sz w:val="24"/>
          <w:szCs w:val="24"/>
        </w:rPr>
      </w:pPr>
      <w:r w:rsidRPr="00D1135A">
        <w:rPr>
          <w:i/>
          <w:iCs/>
          <w:sz w:val="24"/>
          <w:szCs w:val="24"/>
        </w:rPr>
        <w:t>RSC</w:t>
      </w:r>
      <w:r w:rsidRPr="00D1135A">
        <w:rPr>
          <w:i/>
          <w:iCs/>
          <w:sz w:val="24"/>
          <w:szCs w:val="24"/>
        </w:rPr>
        <w:tab/>
        <w:t>=</w:t>
      </w:r>
      <w:r w:rsidRPr="00D1135A">
        <w:rPr>
          <w:i/>
          <w:iCs/>
          <w:sz w:val="24"/>
          <w:szCs w:val="24"/>
        </w:rPr>
        <w:tab/>
        <w:t>Relative Source contribution</w:t>
      </w:r>
      <w:r w:rsidR="00D208DA">
        <w:rPr>
          <w:i/>
          <w:iCs/>
          <w:sz w:val="24"/>
          <w:szCs w:val="24"/>
        </w:rPr>
        <w:t xml:space="preserve"> (unitless)</w:t>
      </w:r>
    </w:p>
    <w:p w14:paraId="7BA618B6" w14:textId="70738D50" w:rsidR="00FE581C" w:rsidRPr="00D1135A" w:rsidRDefault="00FE581C" w:rsidP="00BD4CEE">
      <w:pPr>
        <w:spacing w:before="240" w:line="240" w:lineRule="auto"/>
        <w:jc w:val="both"/>
        <w:rPr>
          <w:sz w:val="24"/>
          <w:szCs w:val="24"/>
        </w:rPr>
      </w:pPr>
      <w:r w:rsidRPr="00D1135A">
        <w:rPr>
          <w:sz w:val="24"/>
          <w:szCs w:val="24"/>
        </w:rPr>
        <w:t xml:space="preserve">The relative source contribution accounts for PFAS exposure from sources other than surface water, such as drinking water, food, or consumer products. </w:t>
      </w:r>
    </w:p>
    <w:p w14:paraId="0C34AB48" w14:textId="142F8A22" w:rsidR="00FE581C" w:rsidRPr="00D1135A" w:rsidRDefault="00FE581C" w:rsidP="00BD4CEE">
      <w:pPr>
        <w:spacing w:line="240" w:lineRule="auto"/>
        <w:jc w:val="both"/>
        <w:rPr>
          <w:sz w:val="24"/>
          <w:szCs w:val="24"/>
        </w:rPr>
      </w:pPr>
      <w:r w:rsidRPr="00D1135A">
        <w:rPr>
          <w:sz w:val="24"/>
          <w:szCs w:val="24"/>
        </w:rPr>
        <w:t xml:space="preserve">The Hazard Index (HI) sums individual HQs across contaminants with similar critical effects. If the </w:t>
      </w:r>
      <w:r w:rsidR="00C01566">
        <w:rPr>
          <w:sz w:val="24"/>
          <w:szCs w:val="24"/>
        </w:rPr>
        <w:t xml:space="preserve">HQ or HI </w:t>
      </w:r>
      <w:r w:rsidRPr="00D1135A">
        <w:rPr>
          <w:sz w:val="24"/>
          <w:szCs w:val="24"/>
        </w:rPr>
        <w:t xml:space="preserve">is greater than one, then exposure exceeds a level at which adverse health effects may occur. If the </w:t>
      </w:r>
      <w:r w:rsidR="00C01566">
        <w:rPr>
          <w:sz w:val="24"/>
          <w:szCs w:val="24"/>
        </w:rPr>
        <w:t xml:space="preserve">HQ or HI </w:t>
      </w:r>
      <w:r w:rsidRPr="00D1135A">
        <w:rPr>
          <w:sz w:val="24"/>
          <w:szCs w:val="24"/>
        </w:rPr>
        <w:t xml:space="preserve">is less one, exposure to PFAS </w:t>
      </w:r>
      <w:proofErr w:type="gramStart"/>
      <w:r w:rsidRPr="00D1135A">
        <w:rPr>
          <w:sz w:val="24"/>
          <w:szCs w:val="24"/>
        </w:rPr>
        <w:t>are</w:t>
      </w:r>
      <w:proofErr w:type="gramEnd"/>
      <w:r w:rsidRPr="00D1135A">
        <w:rPr>
          <w:sz w:val="24"/>
          <w:szCs w:val="24"/>
        </w:rPr>
        <w:t xml:space="preserve"> not likely to cause adverse health effects.</w:t>
      </w:r>
    </w:p>
    <w:p w14:paraId="24FC7641" w14:textId="13FF8634" w:rsidR="004320AA" w:rsidRDefault="008E6672" w:rsidP="008E6672">
      <w:pPr>
        <w:pStyle w:val="Heading1"/>
      </w:pPr>
      <w:bookmarkStart w:id="10" w:name="_Toc87445202"/>
      <w:r>
        <w:t>FISH CONSUMPTION ADVISORIES</w:t>
      </w:r>
      <w:bookmarkEnd w:id="10"/>
    </w:p>
    <w:p w14:paraId="692484D4" w14:textId="07F38AE7" w:rsidR="007B5B66" w:rsidRPr="00A32330" w:rsidRDefault="007B5B66" w:rsidP="00BD4CEE">
      <w:pPr>
        <w:spacing w:line="240" w:lineRule="auto"/>
        <w:jc w:val="both"/>
        <w:rPr>
          <w:rFonts w:cstheme="minorHAnsi"/>
          <w:sz w:val="24"/>
          <w:szCs w:val="24"/>
        </w:rPr>
      </w:pPr>
      <w:r w:rsidRPr="00A32330">
        <w:rPr>
          <w:rFonts w:cstheme="minorHAnsi"/>
          <w:sz w:val="24"/>
          <w:szCs w:val="24"/>
        </w:rPr>
        <w:t xml:space="preserve">Fish </w:t>
      </w:r>
      <w:r w:rsidR="00AA24DA">
        <w:rPr>
          <w:rFonts w:cstheme="minorHAnsi"/>
          <w:sz w:val="24"/>
          <w:szCs w:val="24"/>
        </w:rPr>
        <w:t>c</w:t>
      </w:r>
      <w:r w:rsidRPr="00A32330">
        <w:rPr>
          <w:rFonts w:cstheme="minorHAnsi"/>
          <w:sz w:val="24"/>
          <w:szCs w:val="24"/>
        </w:rPr>
        <w:t xml:space="preserve">onsumption </w:t>
      </w:r>
      <w:r w:rsidR="00AA24DA">
        <w:rPr>
          <w:rFonts w:cstheme="minorHAnsi"/>
          <w:sz w:val="24"/>
          <w:szCs w:val="24"/>
        </w:rPr>
        <w:t>a</w:t>
      </w:r>
      <w:r w:rsidRPr="00A32330">
        <w:rPr>
          <w:rFonts w:cstheme="minorHAnsi"/>
          <w:sz w:val="24"/>
          <w:szCs w:val="24"/>
        </w:rPr>
        <w:t xml:space="preserve">dvisories </w:t>
      </w:r>
      <w:r w:rsidR="00AA24DA">
        <w:rPr>
          <w:rFonts w:cstheme="minorHAnsi"/>
          <w:sz w:val="24"/>
          <w:szCs w:val="24"/>
        </w:rPr>
        <w:t xml:space="preserve">(FCAs) </w:t>
      </w:r>
      <w:r w:rsidRPr="00A32330">
        <w:rPr>
          <w:rFonts w:cstheme="minorHAnsi"/>
          <w:sz w:val="24"/>
          <w:szCs w:val="24"/>
        </w:rPr>
        <w:t xml:space="preserve">are typically risk-based recommendations of an estimated </w:t>
      </w:r>
      <w:r w:rsidR="001363C1">
        <w:rPr>
          <w:rFonts w:cstheme="minorHAnsi"/>
          <w:sz w:val="24"/>
          <w:szCs w:val="24"/>
        </w:rPr>
        <w:t>frequency</w:t>
      </w:r>
      <w:r w:rsidRPr="00A32330">
        <w:rPr>
          <w:rFonts w:cstheme="minorHAnsi"/>
          <w:sz w:val="24"/>
          <w:szCs w:val="24"/>
        </w:rPr>
        <w:t xml:space="preserve"> of fish consumption (e.g., servings per day, week, month, or year) </w:t>
      </w:r>
      <w:r w:rsidR="00AA24DA">
        <w:rPr>
          <w:rFonts w:cstheme="minorHAnsi"/>
          <w:sz w:val="24"/>
          <w:szCs w:val="24"/>
        </w:rPr>
        <w:t xml:space="preserve">associated with negligible risk of adverse health effects. Fish consumption advisories are </w:t>
      </w:r>
      <w:r w:rsidRPr="00A32330">
        <w:rPr>
          <w:rFonts w:cstheme="minorHAnsi"/>
          <w:sz w:val="24"/>
          <w:szCs w:val="24"/>
        </w:rPr>
        <w:t xml:space="preserve">informed by the measured concentration of contaminants in a sample of fish representative of a specific waterbody. The underlying basis for the recommendation is often an established potency (or toxicity) criterion, such as an MRL or </w:t>
      </w:r>
      <w:proofErr w:type="spellStart"/>
      <w:r w:rsidRPr="00A32330">
        <w:rPr>
          <w:rFonts w:cstheme="minorHAnsi"/>
          <w:sz w:val="24"/>
          <w:szCs w:val="24"/>
        </w:rPr>
        <w:t>RfD</w:t>
      </w:r>
      <w:proofErr w:type="spellEnd"/>
      <w:r w:rsidRPr="00A32330">
        <w:rPr>
          <w:rFonts w:cstheme="minorHAnsi"/>
          <w:sz w:val="24"/>
          <w:szCs w:val="24"/>
        </w:rPr>
        <w:t xml:space="preserve">. </w:t>
      </w:r>
      <w:proofErr w:type="gramStart"/>
      <w:r w:rsidRPr="00A32330">
        <w:rPr>
          <w:rFonts w:cstheme="minorHAnsi"/>
          <w:sz w:val="24"/>
          <w:szCs w:val="24"/>
        </w:rPr>
        <w:t>Generally speaking, there</w:t>
      </w:r>
      <w:proofErr w:type="gramEnd"/>
      <w:r w:rsidRPr="00A32330">
        <w:rPr>
          <w:rFonts w:cstheme="minorHAnsi"/>
          <w:sz w:val="24"/>
          <w:szCs w:val="24"/>
        </w:rPr>
        <w:t xml:space="preserve"> is an inverse relationship between contamina</w:t>
      </w:r>
      <w:r w:rsidR="00AA24DA">
        <w:rPr>
          <w:rFonts w:cstheme="minorHAnsi"/>
          <w:sz w:val="24"/>
          <w:szCs w:val="24"/>
        </w:rPr>
        <w:t>nt concentration in fish tissue</w:t>
      </w:r>
      <w:r w:rsidRPr="00A32330">
        <w:rPr>
          <w:rFonts w:cstheme="minorHAnsi"/>
          <w:sz w:val="24"/>
          <w:szCs w:val="24"/>
        </w:rPr>
        <w:t xml:space="preserve"> and </w:t>
      </w:r>
      <w:r w:rsidR="00AA24DA">
        <w:rPr>
          <w:rFonts w:cstheme="minorHAnsi"/>
          <w:sz w:val="24"/>
          <w:szCs w:val="24"/>
        </w:rPr>
        <w:t xml:space="preserve">recommended </w:t>
      </w:r>
      <w:r w:rsidRPr="00A32330">
        <w:rPr>
          <w:rFonts w:cstheme="minorHAnsi"/>
          <w:sz w:val="24"/>
          <w:szCs w:val="24"/>
        </w:rPr>
        <w:t xml:space="preserve">consumption </w:t>
      </w:r>
      <w:r w:rsidR="00AA24DA">
        <w:rPr>
          <w:rFonts w:cstheme="minorHAnsi"/>
          <w:sz w:val="24"/>
          <w:szCs w:val="24"/>
        </w:rPr>
        <w:t xml:space="preserve">level </w:t>
      </w:r>
      <w:r w:rsidRPr="00A32330">
        <w:rPr>
          <w:rFonts w:cstheme="minorHAnsi"/>
          <w:sz w:val="24"/>
          <w:szCs w:val="24"/>
        </w:rPr>
        <w:t xml:space="preserve">(i.e., </w:t>
      </w:r>
      <w:r w:rsidR="001363C1">
        <w:rPr>
          <w:rFonts w:cstheme="minorHAnsi"/>
          <w:sz w:val="24"/>
          <w:szCs w:val="24"/>
        </w:rPr>
        <w:t xml:space="preserve">as </w:t>
      </w:r>
      <w:r w:rsidRPr="00A32330">
        <w:rPr>
          <w:rFonts w:cstheme="minorHAnsi"/>
          <w:sz w:val="24"/>
          <w:szCs w:val="24"/>
        </w:rPr>
        <w:t xml:space="preserve">contamination </w:t>
      </w:r>
      <w:r w:rsidR="001363C1">
        <w:rPr>
          <w:rFonts w:cstheme="minorHAnsi"/>
          <w:sz w:val="24"/>
          <w:szCs w:val="24"/>
        </w:rPr>
        <w:t xml:space="preserve">concentration </w:t>
      </w:r>
      <w:r w:rsidRPr="00A32330">
        <w:rPr>
          <w:rFonts w:cstheme="minorHAnsi"/>
          <w:sz w:val="24"/>
          <w:szCs w:val="24"/>
        </w:rPr>
        <w:t>in fish</w:t>
      </w:r>
      <w:r w:rsidR="001363C1">
        <w:rPr>
          <w:rFonts w:cstheme="minorHAnsi"/>
          <w:sz w:val="24"/>
          <w:szCs w:val="24"/>
        </w:rPr>
        <w:t xml:space="preserve"> increases</w:t>
      </w:r>
      <w:r w:rsidRPr="00A32330">
        <w:rPr>
          <w:rFonts w:cstheme="minorHAnsi"/>
          <w:sz w:val="24"/>
          <w:szCs w:val="24"/>
        </w:rPr>
        <w:t xml:space="preserve">, the </w:t>
      </w:r>
      <w:r w:rsidR="001363C1">
        <w:rPr>
          <w:rFonts w:cstheme="minorHAnsi"/>
          <w:sz w:val="24"/>
          <w:szCs w:val="24"/>
        </w:rPr>
        <w:t>recommended frequency for consuming fish decreases</w:t>
      </w:r>
      <w:r w:rsidRPr="00A32330">
        <w:rPr>
          <w:rFonts w:cstheme="minorHAnsi"/>
          <w:sz w:val="24"/>
          <w:szCs w:val="24"/>
        </w:rPr>
        <w:t>).</w:t>
      </w:r>
    </w:p>
    <w:p w14:paraId="5407B273" w14:textId="261EF577" w:rsidR="007B5B66" w:rsidRPr="00A32330" w:rsidRDefault="007B5B66" w:rsidP="00BD4CEE">
      <w:pPr>
        <w:spacing w:line="240" w:lineRule="auto"/>
        <w:jc w:val="both"/>
        <w:rPr>
          <w:rFonts w:cstheme="minorHAnsi"/>
          <w:sz w:val="24"/>
          <w:szCs w:val="24"/>
        </w:rPr>
      </w:pPr>
      <w:r w:rsidRPr="00A32330">
        <w:rPr>
          <w:rFonts w:cstheme="minorHAnsi"/>
          <w:sz w:val="24"/>
          <w:szCs w:val="24"/>
        </w:rPr>
        <w:t xml:space="preserve">When a </w:t>
      </w:r>
      <w:r w:rsidR="00AA24DA">
        <w:rPr>
          <w:rFonts w:cstheme="minorHAnsi"/>
          <w:sz w:val="24"/>
          <w:szCs w:val="24"/>
        </w:rPr>
        <w:t>waterbody</w:t>
      </w:r>
      <w:r w:rsidRPr="00A32330">
        <w:rPr>
          <w:rFonts w:cstheme="minorHAnsi"/>
          <w:sz w:val="24"/>
          <w:szCs w:val="24"/>
        </w:rPr>
        <w:t xml:space="preserve">-specific assessment is required following an exceedance of the DPH PFAS </w:t>
      </w:r>
      <w:proofErr w:type="spellStart"/>
      <w:r w:rsidR="00F955BE" w:rsidRPr="00A32330">
        <w:rPr>
          <w:rFonts w:cstheme="minorHAnsi"/>
          <w:sz w:val="24"/>
          <w:szCs w:val="24"/>
        </w:rPr>
        <w:t>cFAL</w:t>
      </w:r>
      <w:proofErr w:type="spellEnd"/>
      <w:r w:rsidRPr="00A32330">
        <w:rPr>
          <w:rFonts w:cstheme="minorHAnsi"/>
          <w:sz w:val="24"/>
          <w:szCs w:val="24"/>
        </w:rPr>
        <w:t xml:space="preserve"> (0.22 </w:t>
      </w:r>
      <w:r w:rsidR="00AA24DA">
        <w:rPr>
          <w:rFonts w:cstheme="minorHAnsi"/>
          <w:sz w:val="24"/>
          <w:szCs w:val="24"/>
        </w:rPr>
        <w:t>µg</w:t>
      </w:r>
      <w:r w:rsidR="007D51A9">
        <w:rPr>
          <w:rFonts w:cstheme="minorHAnsi"/>
          <w:sz w:val="24"/>
          <w:szCs w:val="24"/>
        </w:rPr>
        <w:t>/</w:t>
      </w:r>
      <w:r w:rsidR="00AA24DA">
        <w:rPr>
          <w:rFonts w:cstheme="minorHAnsi"/>
          <w:sz w:val="24"/>
          <w:szCs w:val="24"/>
        </w:rPr>
        <w:t>kg</w:t>
      </w:r>
      <w:r w:rsidRPr="00A32330">
        <w:rPr>
          <w:rFonts w:cstheme="minorHAnsi"/>
          <w:sz w:val="24"/>
          <w:szCs w:val="24"/>
        </w:rPr>
        <w:t xml:space="preserve">), </w:t>
      </w:r>
      <w:r w:rsidR="00AA24DA">
        <w:rPr>
          <w:rFonts w:cstheme="minorHAnsi"/>
          <w:sz w:val="24"/>
          <w:szCs w:val="24"/>
        </w:rPr>
        <w:t>threshold</w:t>
      </w:r>
      <w:r w:rsidRPr="00A32330">
        <w:rPr>
          <w:rFonts w:cstheme="minorHAnsi"/>
          <w:sz w:val="24"/>
          <w:szCs w:val="24"/>
        </w:rPr>
        <w:t xml:space="preserve"> values that account for different </w:t>
      </w:r>
      <w:r w:rsidR="003F3345">
        <w:rPr>
          <w:rFonts w:cstheme="minorHAnsi"/>
          <w:sz w:val="24"/>
          <w:szCs w:val="24"/>
        </w:rPr>
        <w:t>populations (i.e., general population vs. sensitive individuals)</w:t>
      </w:r>
      <w:r w:rsidRPr="00A32330">
        <w:rPr>
          <w:rFonts w:cstheme="minorHAnsi"/>
          <w:sz w:val="24"/>
          <w:szCs w:val="24"/>
        </w:rPr>
        <w:t xml:space="preserve"> and consumption patterns will be used to develop more refined waterbody-specific recommendations. This location-specific assessment will also trigger local public health notification, </w:t>
      </w:r>
      <w:r w:rsidR="00542221">
        <w:rPr>
          <w:rFonts w:cstheme="minorHAnsi"/>
          <w:sz w:val="24"/>
          <w:szCs w:val="24"/>
        </w:rPr>
        <w:t>and</w:t>
      </w:r>
      <w:r w:rsidRPr="00A32330">
        <w:rPr>
          <w:rFonts w:cstheme="minorHAnsi"/>
          <w:sz w:val="24"/>
          <w:szCs w:val="24"/>
        </w:rPr>
        <w:t xml:space="preserve"> allow consideration of non-recreational activities (</w:t>
      </w:r>
      <w:proofErr w:type="gramStart"/>
      <w:r w:rsidRPr="00A32330">
        <w:rPr>
          <w:rFonts w:cstheme="minorHAnsi"/>
          <w:sz w:val="24"/>
          <w:szCs w:val="24"/>
        </w:rPr>
        <w:t>e.g.</w:t>
      </w:r>
      <w:proofErr w:type="gramEnd"/>
      <w:r w:rsidRPr="00A32330">
        <w:rPr>
          <w:rFonts w:cstheme="minorHAnsi"/>
          <w:sz w:val="24"/>
          <w:szCs w:val="24"/>
        </w:rPr>
        <w:t xml:space="preserve"> subsistence fishing) at a specific waterbody that may result in greater potential PFAS exposure </w:t>
      </w:r>
      <w:r w:rsidR="003F3345">
        <w:rPr>
          <w:rFonts w:cstheme="minorHAnsi"/>
          <w:sz w:val="24"/>
          <w:szCs w:val="24"/>
        </w:rPr>
        <w:t xml:space="preserve">(e.g., &gt; 1 meal/day) </w:t>
      </w:r>
      <w:r w:rsidRPr="00A32330">
        <w:rPr>
          <w:rFonts w:cstheme="minorHAnsi"/>
          <w:sz w:val="24"/>
          <w:szCs w:val="24"/>
        </w:rPr>
        <w:t>than evaluated in typical recreational use exposure scenarios.</w:t>
      </w:r>
    </w:p>
    <w:p w14:paraId="62C1A0C6" w14:textId="0755E739" w:rsidR="007B5B66" w:rsidRPr="00A32330" w:rsidRDefault="007B5B66" w:rsidP="00BD4CEE">
      <w:pPr>
        <w:tabs>
          <w:tab w:val="left" w:pos="8880"/>
        </w:tabs>
        <w:spacing w:line="240" w:lineRule="auto"/>
        <w:jc w:val="both"/>
        <w:rPr>
          <w:rFonts w:cstheme="minorHAnsi"/>
          <w:sz w:val="24"/>
          <w:szCs w:val="24"/>
        </w:rPr>
      </w:pPr>
      <w:r w:rsidRPr="00A32330">
        <w:rPr>
          <w:rFonts w:cstheme="minorHAnsi"/>
          <w:sz w:val="24"/>
          <w:szCs w:val="24"/>
        </w:rPr>
        <w:t>To derive specific level</w:t>
      </w:r>
      <w:r w:rsidR="00542221">
        <w:rPr>
          <w:rFonts w:cstheme="minorHAnsi"/>
          <w:sz w:val="24"/>
          <w:szCs w:val="24"/>
        </w:rPr>
        <w:t>s</w:t>
      </w:r>
      <w:r w:rsidRPr="00A32330">
        <w:rPr>
          <w:rFonts w:cstheme="minorHAnsi"/>
          <w:sz w:val="24"/>
          <w:szCs w:val="24"/>
        </w:rPr>
        <w:t xml:space="preserve"> of fish consumption </w:t>
      </w:r>
      <w:r w:rsidR="00954CB5">
        <w:rPr>
          <w:rFonts w:cstheme="minorHAnsi"/>
          <w:sz w:val="24"/>
          <w:szCs w:val="24"/>
        </w:rPr>
        <w:t xml:space="preserve">that would be safe to consume </w:t>
      </w:r>
      <w:r w:rsidRPr="00A32330">
        <w:rPr>
          <w:rFonts w:cstheme="minorHAnsi"/>
          <w:sz w:val="24"/>
          <w:szCs w:val="24"/>
        </w:rPr>
        <w:t xml:space="preserve">every day, </w:t>
      </w:r>
      <w:r w:rsidR="00542221">
        <w:rPr>
          <w:rFonts w:cstheme="minorHAnsi"/>
          <w:sz w:val="24"/>
          <w:szCs w:val="24"/>
        </w:rPr>
        <w:t xml:space="preserve">toxicity criteria for individual PFAS (either ATSDR MRLs, or US EPA </w:t>
      </w:r>
      <w:proofErr w:type="spellStart"/>
      <w:r w:rsidR="00542221">
        <w:rPr>
          <w:rFonts w:cstheme="minorHAnsi"/>
          <w:sz w:val="24"/>
          <w:szCs w:val="24"/>
        </w:rPr>
        <w:t>RfDs</w:t>
      </w:r>
      <w:proofErr w:type="spellEnd"/>
      <w:r w:rsidR="00542221">
        <w:rPr>
          <w:rFonts w:cstheme="minorHAnsi"/>
          <w:sz w:val="24"/>
          <w:szCs w:val="24"/>
        </w:rPr>
        <w:t xml:space="preserve">) </w:t>
      </w:r>
      <w:r w:rsidR="00FA0943">
        <w:rPr>
          <w:rFonts w:cstheme="minorHAnsi"/>
          <w:sz w:val="24"/>
          <w:szCs w:val="24"/>
        </w:rPr>
        <w:t>are used to</w:t>
      </w:r>
      <w:r w:rsidRPr="00A32330">
        <w:rPr>
          <w:rFonts w:cstheme="minorHAnsi"/>
          <w:sz w:val="24"/>
          <w:szCs w:val="24"/>
        </w:rPr>
        <w:t xml:space="preserve"> </w:t>
      </w:r>
      <w:r w:rsidR="00FA0943">
        <w:rPr>
          <w:rFonts w:cstheme="minorHAnsi"/>
          <w:sz w:val="24"/>
          <w:szCs w:val="24"/>
        </w:rPr>
        <w:t>derive</w:t>
      </w:r>
      <w:r w:rsidRPr="00A32330">
        <w:rPr>
          <w:rFonts w:cstheme="minorHAnsi"/>
          <w:sz w:val="24"/>
          <w:szCs w:val="24"/>
        </w:rPr>
        <w:t xml:space="preserve"> the </w:t>
      </w:r>
      <w:r w:rsidR="00FA0943">
        <w:rPr>
          <w:rFonts w:cstheme="minorHAnsi"/>
          <w:sz w:val="24"/>
          <w:szCs w:val="24"/>
        </w:rPr>
        <w:t xml:space="preserve">threshold </w:t>
      </w:r>
      <w:r w:rsidRPr="00A32330">
        <w:rPr>
          <w:rFonts w:cstheme="minorHAnsi"/>
          <w:sz w:val="24"/>
          <w:szCs w:val="24"/>
        </w:rPr>
        <w:t>amount of PF</w:t>
      </w:r>
      <w:r w:rsidR="00542221">
        <w:rPr>
          <w:rFonts w:cstheme="minorHAnsi"/>
          <w:sz w:val="24"/>
          <w:szCs w:val="24"/>
        </w:rPr>
        <w:t>A</w:t>
      </w:r>
      <w:r w:rsidRPr="00A32330">
        <w:rPr>
          <w:rFonts w:cstheme="minorHAnsi"/>
          <w:sz w:val="24"/>
          <w:szCs w:val="24"/>
        </w:rPr>
        <w:t>S that may be present in fish</w:t>
      </w:r>
      <w:r w:rsidR="00FA0943">
        <w:rPr>
          <w:rFonts w:cstheme="minorHAnsi"/>
          <w:sz w:val="24"/>
          <w:szCs w:val="24"/>
        </w:rPr>
        <w:t xml:space="preserve"> that an individual could consume, at specified frequencies, and still not exceed the toxicity criteria. These threshold amounts are derived for</w:t>
      </w:r>
      <w:r w:rsidRPr="00A32330">
        <w:rPr>
          <w:rFonts w:cstheme="minorHAnsi"/>
          <w:sz w:val="24"/>
          <w:szCs w:val="24"/>
        </w:rPr>
        <w:t xml:space="preserve"> </w:t>
      </w:r>
      <w:r w:rsidR="00542221">
        <w:rPr>
          <w:rFonts w:cstheme="minorHAnsi"/>
          <w:sz w:val="24"/>
          <w:szCs w:val="24"/>
        </w:rPr>
        <w:t>both</w:t>
      </w:r>
      <w:r w:rsidRPr="00A32330">
        <w:rPr>
          <w:rFonts w:cstheme="minorHAnsi"/>
          <w:sz w:val="24"/>
          <w:szCs w:val="24"/>
        </w:rPr>
        <w:t xml:space="preserve"> sensitive individual</w:t>
      </w:r>
      <w:r w:rsidR="00542221">
        <w:rPr>
          <w:rFonts w:cstheme="minorHAnsi"/>
          <w:sz w:val="24"/>
          <w:szCs w:val="24"/>
        </w:rPr>
        <w:t>s</w:t>
      </w:r>
      <w:r w:rsidRPr="00A32330">
        <w:rPr>
          <w:rFonts w:cstheme="minorHAnsi"/>
          <w:sz w:val="24"/>
          <w:szCs w:val="24"/>
        </w:rPr>
        <w:t xml:space="preserve"> and </w:t>
      </w:r>
      <w:r w:rsidR="00542221">
        <w:rPr>
          <w:rFonts w:cstheme="minorHAnsi"/>
          <w:sz w:val="24"/>
          <w:szCs w:val="24"/>
        </w:rPr>
        <w:t xml:space="preserve">the </w:t>
      </w:r>
      <w:proofErr w:type="gramStart"/>
      <w:r w:rsidR="00542221">
        <w:rPr>
          <w:rFonts w:cstheme="minorHAnsi"/>
          <w:sz w:val="24"/>
          <w:szCs w:val="24"/>
        </w:rPr>
        <w:t>general public</w:t>
      </w:r>
      <w:proofErr w:type="gramEnd"/>
      <w:r w:rsidRPr="00A32330">
        <w:rPr>
          <w:rFonts w:cstheme="minorHAnsi"/>
          <w:sz w:val="24"/>
          <w:szCs w:val="24"/>
        </w:rPr>
        <w:t xml:space="preserve">. </w:t>
      </w:r>
      <w:r w:rsidR="00A32330" w:rsidRPr="00A32330">
        <w:rPr>
          <w:rFonts w:cstheme="minorHAnsi"/>
          <w:sz w:val="24"/>
          <w:szCs w:val="24"/>
        </w:rPr>
        <w:t>Threshold Levels</w:t>
      </w:r>
      <w:r w:rsidRPr="00A32330">
        <w:rPr>
          <w:rFonts w:cstheme="minorHAnsi"/>
          <w:sz w:val="24"/>
          <w:szCs w:val="24"/>
        </w:rPr>
        <w:t xml:space="preserve"> for issuing FCAs </w:t>
      </w:r>
      <w:r w:rsidR="00A32330" w:rsidRPr="00A32330">
        <w:rPr>
          <w:rFonts w:cstheme="minorHAnsi"/>
          <w:sz w:val="24"/>
          <w:szCs w:val="24"/>
        </w:rPr>
        <w:t>are</w:t>
      </w:r>
      <w:r w:rsidRPr="00A32330">
        <w:rPr>
          <w:rFonts w:cstheme="minorHAnsi"/>
          <w:sz w:val="24"/>
          <w:szCs w:val="24"/>
        </w:rPr>
        <w:t xml:space="preserve"> based on the following assumptions:</w:t>
      </w:r>
    </w:p>
    <w:p w14:paraId="76A87151" w14:textId="7A50569B" w:rsidR="007B5B66" w:rsidRPr="00A32330" w:rsidRDefault="006928C2" w:rsidP="007B5B66">
      <w:pPr>
        <w:numPr>
          <w:ilvl w:val="0"/>
          <w:numId w:val="23"/>
        </w:numPr>
        <w:tabs>
          <w:tab w:val="left" w:pos="8880"/>
        </w:tabs>
        <w:spacing w:after="0" w:line="240" w:lineRule="auto"/>
        <w:jc w:val="both"/>
        <w:rPr>
          <w:rFonts w:cstheme="minorHAnsi"/>
          <w:sz w:val="24"/>
          <w:szCs w:val="24"/>
        </w:rPr>
      </w:pPr>
      <w:r>
        <w:rPr>
          <w:rFonts w:cstheme="minorHAnsi"/>
          <w:sz w:val="24"/>
          <w:szCs w:val="24"/>
        </w:rPr>
        <w:t>Threshold levels</w:t>
      </w:r>
      <w:r w:rsidR="007B5B66" w:rsidRPr="00A32330">
        <w:rPr>
          <w:rFonts w:cstheme="minorHAnsi"/>
          <w:sz w:val="24"/>
          <w:szCs w:val="24"/>
        </w:rPr>
        <w:t xml:space="preserve"> should specifically consider sensitive life stages (</w:t>
      </w:r>
      <w:r w:rsidR="003F3345">
        <w:rPr>
          <w:rFonts w:cstheme="minorHAnsi"/>
          <w:sz w:val="24"/>
          <w:szCs w:val="24"/>
        </w:rPr>
        <w:t xml:space="preserve">e.g., </w:t>
      </w:r>
      <w:r w:rsidR="007B5B66" w:rsidRPr="00A32330">
        <w:rPr>
          <w:rFonts w:cstheme="minorHAnsi"/>
          <w:sz w:val="24"/>
          <w:szCs w:val="24"/>
        </w:rPr>
        <w:t>children younger than 12 years o</w:t>
      </w:r>
      <w:r w:rsidR="007D51A9">
        <w:rPr>
          <w:rFonts w:cstheme="minorHAnsi"/>
          <w:sz w:val="24"/>
          <w:szCs w:val="24"/>
        </w:rPr>
        <w:t>f</w:t>
      </w:r>
      <w:r w:rsidR="007B5B66" w:rsidRPr="00A32330">
        <w:rPr>
          <w:rFonts w:cstheme="minorHAnsi"/>
          <w:sz w:val="24"/>
          <w:szCs w:val="24"/>
        </w:rPr>
        <w:t xml:space="preserve"> age, pregnant women, women of childbearing age who may become pregnant and nursing mothers).  </w:t>
      </w:r>
    </w:p>
    <w:p w14:paraId="124FDF11" w14:textId="77777777" w:rsidR="003F3345" w:rsidRDefault="007B5B66" w:rsidP="007B5B66">
      <w:pPr>
        <w:numPr>
          <w:ilvl w:val="1"/>
          <w:numId w:val="23"/>
        </w:numPr>
        <w:tabs>
          <w:tab w:val="left" w:pos="8880"/>
        </w:tabs>
        <w:spacing w:after="0" w:line="240" w:lineRule="auto"/>
        <w:jc w:val="both"/>
        <w:rPr>
          <w:rFonts w:cstheme="minorHAnsi"/>
          <w:sz w:val="24"/>
          <w:szCs w:val="24"/>
        </w:rPr>
      </w:pPr>
      <w:r w:rsidRPr="00A32330">
        <w:rPr>
          <w:rFonts w:cstheme="minorHAnsi"/>
          <w:b/>
          <w:sz w:val="24"/>
          <w:szCs w:val="24"/>
        </w:rPr>
        <w:t>To consider the most sensitive life stage</w:t>
      </w:r>
      <w:r w:rsidR="003F3345">
        <w:rPr>
          <w:rFonts w:cstheme="minorHAnsi"/>
          <w:sz w:val="24"/>
          <w:szCs w:val="24"/>
        </w:rPr>
        <w:t xml:space="preserve">, </w:t>
      </w:r>
      <w:r w:rsidR="00FA0943">
        <w:rPr>
          <w:rFonts w:cstheme="minorHAnsi"/>
          <w:sz w:val="24"/>
          <w:szCs w:val="24"/>
        </w:rPr>
        <w:t>threshold levels are derived for</w:t>
      </w:r>
      <w:r w:rsidRPr="00A32330">
        <w:rPr>
          <w:rFonts w:cstheme="minorHAnsi"/>
          <w:sz w:val="24"/>
          <w:szCs w:val="24"/>
        </w:rPr>
        <w:t xml:space="preserve"> a typical toddler, aged 1 to &lt;3 years, that weighs 12.6 kg (US EPA, 2011). </w:t>
      </w:r>
    </w:p>
    <w:p w14:paraId="023AACD8" w14:textId="0D7D1308" w:rsidR="007B5B66" w:rsidRPr="00A32330" w:rsidRDefault="007B5B66" w:rsidP="007B5B66">
      <w:pPr>
        <w:numPr>
          <w:ilvl w:val="1"/>
          <w:numId w:val="23"/>
        </w:numPr>
        <w:tabs>
          <w:tab w:val="left" w:pos="8880"/>
        </w:tabs>
        <w:spacing w:after="0" w:line="240" w:lineRule="auto"/>
        <w:jc w:val="both"/>
        <w:rPr>
          <w:rFonts w:cstheme="minorHAnsi"/>
          <w:sz w:val="24"/>
          <w:szCs w:val="24"/>
        </w:rPr>
      </w:pPr>
      <w:r w:rsidRPr="00A32330">
        <w:rPr>
          <w:rFonts w:cstheme="minorHAnsi"/>
          <w:sz w:val="24"/>
          <w:szCs w:val="24"/>
        </w:rPr>
        <w:t xml:space="preserve">A health protective and reasonable maximum estimate of freshwater fish consumption for a child is 113.4 grams per day (g/day).  </w:t>
      </w:r>
    </w:p>
    <w:p w14:paraId="20058D1F" w14:textId="7025C703" w:rsidR="007B5B66" w:rsidRPr="00A32330" w:rsidRDefault="00BB4AC8" w:rsidP="007B5B66">
      <w:pPr>
        <w:numPr>
          <w:ilvl w:val="2"/>
          <w:numId w:val="23"/>
        </w:numPr>
        <w:tabs>
          <w:tab w:val="left" w:pos="8880"/>
        </w:tabs>
        <w:spacing w:after="0" w:line="240" w:lineRule="auto"/>
        <w:jc w:val="both"/>
        <w:rPr>
          <w:rFonts w:cstheme="minorHAnsi"/>
          <w:sz w:val="24"/>
          <w:szCs w:val="24"/>
        </w:rPr>
      </w:pPr>
      <w:bookmarkStart w:id="11" w:name="_Hlk84247555"/>
      <w:r>
        <w:rPr>
          <w:rFonts w:cstheme="minorHAnsi"/>
          <w:sz w:val="24"/>
          <w:szCs w:val="24"/>
        </w:rPr>
        <w:t>This estimate</w:t>
      </w:r>
      <w:r w:rsidR="007B5B66" w:rsidRPr="00A32330">
        <w:rPr>
          <w:rFonts w:cstheme="minorHAnsi"/>
          <w:sz w:val="24"/>
          <w:szCs w:val="24"/>
        </w:rPr>
        <w:t xml:space="preserve"> is </w:t>
      </w:r>
      <w:r w:rsidR="006928C2">
        <w:rPr>
          <w:rFonts w:cstheme="minorHAnsi"/>
          <w:sz w:val="24"/>
          <w:szCs w:val="24"/>
        </w:rPr>
        <w:t>equivalent to</w:t>
      </w:r>
      <w:r w:rsidR="007B5B66" w:rsidRPr="00A32330">
        <w:rPr>
          <w:rFonts w:cstheme="minorHAnsi"/>
          <w:sz w:val="24"/>
          <w:szCs w:val="24"/>
        </w:rPr>
        <w:t xml:space="preserve"> a child eating a 4</w:t>
      </w:r>
      <w:r w:rsidR="003F3345">
        <w:rPr>
          <w:rFonts w:cstheme="minorHAnsi"/>
          <w:sz w:val="24"/>
          <w:szCs w:val="24"/>
        </w:rPr>
        <w:t>-</w:t>
      </w:r>
      <w:r w:rsidR="007B5B66" w:rsidRPr="00A32330">
        <w:rPr>
          <w:rFonts w:cstheme="minorHAnsi"/>
          <w:sz w:val="24"/>
          <w:szCs w:val="24"/>
        </w:rPr>
        <w:t xml:space="preserve">ounce serving of fish every </w:t>
      </w:r>
      <w:proofErr w:type="gramStart"/>
      <w:r w:rsidR="007B5B66" w:rsidRPr="00A32330">
        <w:rPr>
          <w:rFonts w:cstheme="minorHAnsi"/>
          <w:sz w:val="24"/>
          <w:szCs w:val="24"/>
        </w:rPr>
        <w:t>day</w:t>
      </w:r>
      <w:r w:rsidR="006928C2">
        <w:rPr>
          <w:rFonts w:cstheme="minorHAnsi"/>
          <w:sz w:val="24"/>
          <w:szCs w:val="24"/>
        </w:rPr>
        <w:t>,</w:t>
      </w:r>
      <w:r w:rsidR="006928C2" w:rsidRPr="006928C2">
        <w:rPr>
          <w:rFonts w:cstheme="minorHAnsi"/>
          <w:sz w:val="24"/>
          <w:szCs w:val="24"/>
        </w:rPr>
        <w:t xml:space="preserve"> </w:t>
      </w:r>
      <w:r w:rsidR="003469AF" w:rsidRPr="00A32330">
        <w:rPr>
          <w:rFonts w:cstheme="minorHAnsi"/>
          <w:sz w:val="24"/>
          <w:szCs w:val="24"/>
        </w:rPr>
        <w:t>and</w:t>
      </w:r>
      <w:proofErr w:type="gramEnd"/>
      <w:r w:rsidR="003469AF" w:rsidRPr="00A32330">
        <w:rPr>
          <w:rFonts w:cstheme="minorHAnsi"/>
          <w:sz w:val="24"/>
          <w:szCs w:val="24"/>
        </w:rPr>
        <w:t xml:space="preserve"> represents an unrestricted use of fish from a waterbody</w:t>
      </w:r>
      <w:r w:rsidR="00EF06B4">
        <w:rPr>
          <w:rFonts w:cstheme="minorHAnsi"/>
          <w:sz w:val="24"/>
          <w:szCs w:val="24"/>
        </w:rPr>
        <w:t>, for recreational fish consumption</w:t>
      </w:r>
      <w:r w:rsidR="003469AF" w:rsidRPr="00A32330">
        <w:rPr>
          <w:rFonts w:cstheme="minorHAnsi"/>
          <w:sz w:val="24"/>
          <w:szCs w:val="24"/>
        </w:rPr>
        <w:t>.</w:t>
      </w:r>
    </w:p>
    <w:p w14:paraId="78843416" w14:textId="2AEC991B" w:rsidR="007B5B66" w:rsidRDefault="00EF06B4" w:rsidP="006928C2">
      <w:pPr>
        <w:numPr>
          <w:ilvl w:val="2"/>
          <w:numId w:val="23"/>
        </w:numPr>
        <w:tabs>
          <w:tab w:val="left" w:pos="8880"/>
        </w:tabs>
        <w:spacing w:after="0" w:line="240" w:lineRule="auto"/>
        <w:jc w:val="both"/>
        <w:rPr>
          <w:rFonts w:cstheme="minorHAnsi"/>
          <w:sz w:val="24"/>
          <w:szCs w:val="24"/>
        </w:rPr>
      </w:pPr>
      <w:bookmarkStart w:id="12" w:name="_Hlk86414296"/>
      <w:r>
        <w:rPr>
          <w:rFonts w:cstheme="minorHAnsi"/>
          <w:sz w:val="24"/>
          <w:szCs w:val="24"/>
        </w:rPr>
        <w:t xml:space="preserve">A 4-ounce serving size for a child is equal to half of the recommended serving size of fish for an adult (8 oz, or 227 grams). </w:t>
      </w:r>
      <w:bookmarkEnd w:id="12"/>
      <w:r w:rsidR="007B5B66" w:rsidRPr="006928C2">
        <w:rPr>
          <w:rFonts w:cstheme="minorHAnsi"/>
          <w:sz w:val="24"/>
          <w:szCs w:val="24"/>
        </w:rPr>
        <w:t>Th</w:t>
      </w:r>
      <w:r w:rsidR="006928C2">
        <w:rPr>
          <w:rFonts w:cstheme="minorHAnsi"/>
          <w:sz w:val="24"/>
          <w:szCs w:val="24"/>
        </w:rPr>
        <w:t>e</w:t>
      </w:r>
      <w:r w:rsidR="007B5B66" w:rsidRPr="006928C2">
        <w:rPr>
          <w:rFonts w:cstheme="minorHAnsi"/>
          <w:sz w:val="24"/>
          <w:szCs w:val="24"/>
        </w:rPr>
        <w:t xml:space="preserve"> approach of basing </w:t>
      </w:r>
      <w:r w:rsidR="003F3345">
        <w:rPr>
          <w:rFonts w:cstheme="minorHAnsi"/>
          <w:sz w:val="24"/>
          <w:szCs w:val="24"/>
        </w:rPr>
        <w:t>the</w:t>
      </w:r>
      <w:r w:rsidR="007B5B66" w:rsidRPr="006928C2">
        <w:rPr>
          <w:rFonts w:cstheme="minorHAnsi"/>
          <w:sz w:val="24"/>
          <w:szCs w:val="24"/>
        </w:rPr>
        <w:t xml:space="preserve"> ingestion rate for a child on half </w:t>
      </w:r>
      <w:r w:rsidR="003F3345">
        <w:rPr>
          <w:rFonts w:cstheme="minorHAnsi"/>
          <w:sz w:val="24"/>
          <w:szCs w:val="24"/>
        </w:rPr>
        <w:t>the</w:t>
      </w:r>
      <w:r w:rsidR="007B5B66" w:rsidRPr="006928C2">
        <w:rPr>
          <w:rFonts w:cstheme="minorHAnsi"/>
          <w:sz w:val="24"/>
          <w:szCs w:val="24"/>
        </w:rPr>
        <w:t xml:space="preserve"> adult </w:t>
      </w:r>
      <w:r w:rsidR="003F3345">
        <w:rPr>
          <w:rFonts w:cstheme="minorHAnsi"/>
          <w:sz w:val="24"/>
          <w:szCs w:val="24"/>
        </w:rPr>
        <w:t>ingestion rate</w:t>
      </w:r>
      <w:r w:rsidR="007B5B66" w:rsidRPr="006928C2">
        <w:rPr>
          <w:rFonts w:cstheme="minorHAnsi"/>
          <w:sz w:val="24"/>
          <w:szCs w:val="24"/>
        </w:rPr>
        <w:t xml:space="preserve"> is consistent with </w:t>
      </w:r>
      <w:r w:rsidR="00B310DD">
        <w:rPr>
          <w:rFonts w:cstheme="minorHAnsi"/>
          <w:sz w:val="24"/>
          <w:szCs w:val="24"/>
        </w:rPr>
        <w:t xml:space="preserve">US EPA and MassDEP guidance (US FDA, 2019; MassDEP, 2008), as well as US </w:t>
      </w:r>
      <w:r w:rsidR="007B5B66" w:rsidRPr="006928C2">
        <w:rPr>
          <w:rFonts w:cstheme="minorHAnsi"/>
          <w:sz w:val="24"/>
          <w:szCs w:val="24"/>
        </w:rPr>
        <w:t xml:space="preserve">EPA </w:t>
      </w:r>
      <w:r w:rsidR="00B310DD">
        <w:rPr>
          <w:rFonts w:cstheme="minorHAnsi"/>
          <w:sz w:val="24"/>
          <w:szCs w:val="24"/>
        </w:rPr>
        <w:t>analyses (US EPA</w:t>
      </w:r>
      <w:r w:rsidR="007B5B66" w:rsidRPr="006928C2">
        <w:rPr>
          <w:rFonts w:cstheme="minorHAnsi"/>
          <w:sz w:val="24"/>
          <w:szCs w:val="24"/>
        </w:rPr>
        <w:t xml:space="preserve">, </w:t>
      </w:r>
      <w:r w:rsidR="00B310DD">
        <w:rPr>
          <w:rFonts w:cstheme="minorHAnsi"/>
          <w:sz w:val="24"/>
          <w:szCs w:val="24"/>
        </w:rPr>
        <w:t>2002; US EPA Region 1, 2005).</w:t>
      </w:r>
    </w:p>
    <w:p w14:paraId="3EF04042" w14:textId="749A1880" w:rsidR="005049C4" w:rsidRDefault="005049C4" w:rsidP="005049C4">
      <w:pPr>
        <w:numPr>
          <w:ilvl w:val="2"/>
          <w:numId w:val="23"/>
        </w:numPr>
        <w:tabs>
          <w:tab w:val="left" w:pos="8880"/>
        </w:tabs>
        <w:spacing w:after="0" w:line="240" w:lineRule="auto"/>
        <w:jc w:val="both"/>
        <w:rPr>
          <w:rFonts w:cstheme="minorHAnsi"/>
          <w:sz w:val="24"/>
          <w:szCs w:val="24"/>
        </w:rPr>
      </w:pPr>
      <w:r>
        <w:rPr>
          <w:rFonts w:cstheme="minorHAnsi"/>
          <w:sz w:val="24"/>
          <w:szCs w:val="24"/>
        </w:rPr>
        <w:t>An intake of 113.4 g/day is consistent with upper percentile daily fish consumption estimates for young children of freshwater and estuarine finfish and shellfish</w:t>
      </w:r>
      <w:r w:rsidR="003F3345">
        <w:rPr>
          <w:rFonts w:cstheme="minorHAnsi"/>
          <w:sz w:val="24"/>
          <w:szCs w:val="24"/>
        </w:rPr>
        <w:t xml:space="preserve"> (US EPA, 2002)</w:t>
      </w:r>
      <w:r>
        <w:rPr>
          <w:rFonts w:cstheme="minorHAnsi"/>
          <w:sz w:val="24"/>
          <w:szCs w:val="24"/>
        </w:rPr>
        <w:t>.</w:t>
      </w:r>
    </w:p>
    <w:bookmarkEnd w:id="11"/>
    <w:p w14:paraId="5DC14AA4" w14:textId="3ECCCD00" w:rsidR="007B5B66" w:rsidRPr="00A32330" w:rsidRDefault="007B5B66" w:rsidP="003F3345">
      <w:pPr>
        <w:keepNext/>
        <w:numPr>
          <w:ilvl w:val="0"/>
          <w:numId w:val="23"/>
        </w:numPr>
        <w:tabs>
          <w:tab w:val="left" w:pos="8880"/>
        </w:tabs>
        <w:spacing w:before="240" w:after="0" w:line="240" w:lineRule="auto"/>
        <w:jc w:val="both"/>
        <w:rPr>
          <w:rFonts w:cstheme="minorHAnsi"/>
          <w:sz w:val="24"/>
          <w:szCs w:val="24"/>
        </w:rPr>
      </w:pPr>
      <w:r w:rsidRPr="00A32330">
        <w:rPr>
          <w:rFonts w:cstheme="minorHAnsi"/>
          <w:b/>
          <w:sz w:val="24"/>
          <w:szCs w:val="24"/>
        </w:rPr>
        <w:t xml:space="preserve">When considering </w:t>
      </w:r>
      <w:r w:rsidR="000D643B">
        <w:rPr>
          <w:rFonts w:cstheme="minorHAnsi"/>
          <w:b/>
          <w:sz w:val="24"/>
          <w:szCs w:val="24"/>
        </w:rPr>
        <w:t>the general population</w:t>
      </w:r>
      <w:r w:rsidRPr="00A32330">
        <w:rPr>
          <w:rFonts w:cstheme="minorHAnsi"/>
          <w:sz w:val="24"/>
          <w:szCs w:val="24"/>
        </w:rPr>
        <w:t xml:space="preserve">, </w:t>
      </w:r>
      <w:r w:rsidR="00FA0943">
        <w:rPr>
          <w:rFonts w:cstheme="minorHAnsi"/>
          <w:sz w:val="24"/>
          <w:szCs w:val="24"/>
        </w:rPr>
        <w:t xml:space="preserve">threshold levels are derived for an </w:t>
      </w:r>
      <w:proofErr w:type="gramStart"/>
      <w:r w:rsidR="00FA0943">
        <w:rPr>
          <w:rFonts w:cstheme="minorHAnsi"/>
          <w:sz w:val="24"/>
          <w:szCs w:val="24"/>
        </w:rPr>
        <w:t>11-16 year old</w:t>
      </w:r>
      <w:proofErr w:type="gramEnd"/>
      <w:r w:rsidR="00FA0943">
        <w:rPr>
          <w:rFonts w:cstheme="minorHAnsi"/>
          <w:sz w:val="24"/>
          <w:szCs w:val="24"/>
        </w:rPr>
        <w:t xml:space="preserve">, with </w:t>
      </w:r>
      <w:r w:rsidRPr="00A32330">
        <w:rPr>
          <w:rFonts w:cstheme="minorHAnsi"/>
          <w:sz w:val="24"/>
          <w:szCs w:val="24"/>
        </w:rPr>
        <w:t xml:space="preserve">a </w:t>
      </w:r>
      <w:r w:rsidR="006928C2">
        <w:rPr>
          <w:rFonts w:cstheme="minorHAnsi"/>
          <w:sz w:val="24"/>
          <w:szCs w:val="24"/>
        </w:rPr>
        <w:t xml:space="preserve">body </w:t>
      </w:r>
      <w:r w:rsidRPr="00A32330">
        <w:rPr>
          <w:rFonts w:cstheme="minorHAnsi"/>
          <w:sz w:val="24"/>
          <w:szCs w:val="24"/>
        </w:rPr>
        <w:t xml:space="preserve">weight of </w:t>
      </w:r>
      <w:r w:rsidR="006928C2">
        <w:rPr>
          <w:rFonts w:cstheme="minorHAnsi"/>
          <w:sz w:val="24"/>
          <w:szCs w:val="24"/>
        </w:rPr>
        <w:t>56.8</w:t>
      </w:r>
      <w:r w:rsidRPr="00A32330">
        <w:rPr>
          <w:rFonts w:cstheme="minorHAnsi"/>
          <w:sz w:val="24"/>
          <w:szCs w:val="24"/>
        </w:rPr>
        <w:t xml:space="preserve"> kg (US EPA, 2011), and a reasonable maximum estimate of freshwater fish consumption of 227 grams per day (g/day).</w:t>
      </w:r>
    </w:p>
    <w:p w14:paraId="541B9E64" w14:textId="65AF6F67" w:rsidR="003F3345" w:rsidRPr="00A32330" w:rsidRDefault="003F3345" w:rsidP="003F3345">
      <w:pPr>
        <w:numPr>
          <w:ilvl w:val="1"/>
          <w:numId w:val="23"/>
        </w:numPr>
        <w:tabs>
          <w:tab w:val="left" w:pos="8880"/>
        </w:tabs>
        <w:spacing w:after="0" w:line="240" w:lineRule="auto"/>
        <w:jc w:val="both"/>
        <w:rPr>
          <w:rFonts w:cstheme="minorHAnsi"/>
          <w:sz w:val="24"/>
          <w:szCs w:val="24"/>
        </w:rPr>
      </w:pPr>
      <w:r>
        <w:rPr>
          <w:rFonts w:cstheme="minorHAnsi"/>
          <w:sz w:val="24"/>
          <w:szCs w:val="24"/>
        </w:rPr>
        <w:t xml:space="preserve">Deriving threshold levels based on an </w:t>
      </w:r>
      <w:proofErr w:type="gramStart"/>
      <w:r>
        <w:rPr>
          <w:rFonts w:cstheme="minorHAnsi"/>
          <w:sz w:val="24"/>
          <w:szCs w:val="24"/>
        </w:rPr>
        <w:t>11-16 year old</w:t>
      </w:r>
      <w:proofErr w:type="gramEnd"/>
      <w:r>
        <w:rPr>
          <w:rFonts w:cstheme="minorHAnsi"/>
          <w:sz w:val="24"/>
          <w:szCs w:val="24"/>
        </w:rPr>
        <w:t xml:space="preserve"> is consistent with DPH fish consumption advisories for the general population, which apply to individuals 12 years of age or older. Use of an adult intake rate for this age group is also consistent with US FDA guidance on eating fish, which assumes fish meal sizes for this age group are the same as adult meal sizes (US FDA, 2019).</w:t>
      </w:r>
    </w:p>
    <w:p w14:paraId="5B596453" w14:textId="738C35D3" w:rsidR="007B5B66" w:rsidRPr="003F3345" w:rsidRDefault="007B5B66" w:rsidP="003F3345">
      <w:pPr>
        <w:keepNext/>
        <w:numPr>
          <w:ilvl w:val="1"/>
          <w:numId w:val="23"/>
        </w:numPr>
        <w:tabs>
          <w:tab w:val="left" w:pos="8880"/>
        </w:tabs>
        <w:spacing w:after="0" w:line="240" w:lineRule="auto"/>
        <w:jc w:val="both"/>
        <w:rPr>
          <w:rFonts w:cstheme="minorHAnsi"/>
          <w:sz w:val="24"/>
          <w:szCs w:val="24"/>
        </w:rPr>
      </w:pPr>
      <w:r w:rsidRPr="003F3345">
        <w:rPr>
          <w:rFonts w:cstheme="minorHAnsi"/>
          <w:sz w:val="24"/>
          <w:szCs w:val="24"/>
        </w:rPr>
        <w:t xml:space="preserve">An intake rate of 227 g/day is consistent with an </w:t>
      </w:r>
      <w:r w:rsidR="000D643B" w:rsidRPr="003F3345">
        <w:rPr>
          <w:rFonts w:cstheme="minorHAnsi"/>
          <w:sz w:val="24"/>
          <w:szCs w:val="24"/>
        </w:rPr>
        <w:t>individual</w:t>
      </w:r>
      <w:r w:rsidRPr="003F3345">
        <w:rPr>
          <w:rFonts w:cstheme="minorHAnsi"/>
          <w:sz w:val="24"/>
          <w:szCs w:val="24"/>
        </w:rPr>
        <w:t xml:space="preserve"> eating an 8 ounce </w:t>
      </w:r>
      <w:r w:rsidR="00476064" w:rsidRPr="003F3345">
        <w:rPr>
          <w:rFonts w:cstheme="minorHAnsi"/>
          <w:sz w:val="24"/>
          <w:szCs w:val="24"/>
        </w:rPr>
        <w:t xml:space="preserve">(i.e., half a pound) </w:t>
      </w:r>
      <w:r w:rsidRPr="003F3345">
        <w:rPr>
          <w:rFonts w:cstheme="minorHAnsi"/>
          <w:sz w:val="24"/>
          <w:szCs w:val="24"/>
        </w:rPr>
        <w:t xml:space="preserve">serving of fish every day and represents unrestricted </w:t>
      </w:r>
      <w:r w:rsidR="00465A81" w:rsidRPr="003F3345">
        <w:rPr>
          <w:rFonts w:cstheme="minorHAnsi"/>
          <w:sz w:val="24"/>
          <w:szCs w:val="24"/>
        </w:rPr>
        <w:t>consumption</w:t>
      </w:r>
      <w:r w:rsidRPr="003F3345">
        <w:rPr>
          <w:rFonts w:cstheme="minorHAnsi"/>
          <w:sz w:val="24"/>
          <w:szCs w:val="24"/>
        </w:rPr>
        <w:t xml:space="preserve"> of fish from a waterbody.</w:t>
      </w:r>
    </w:p>
    <w:p w14:paraId="12EE9BFA" w14:textId="71356908" w:rsidR="00216747" w:rsidRDefault="00216747" w:rsidP="00863101">
      <w:pPr>
        <w:numPr>
          <w:ilvl w:val="1"/>
          <w:numId w:val="23"/>
        </w:numPr>
        <w:tabs>
          <w:tab w:val="left" w:pos="8880"/>
        </w:tabs>
        <w:spacing w:after="0" w:line="240" w:lineRule="auto"/>
        <w:jc w:val="both"/>
        <w:rPr>
          <w:rFonts w:cstheme="minorHAnsi"/>
          <w:sz w:val="24"/>
          <w:szCs w:val="24"/>
        </w:rPr>
      </w:pPr>
      <w:bookmarkStart w:id="13" w:name="_Hlk86266302"/>
      <w:r>
        <w:rPr>
          <w:rFonts w:cstheme="minorHAnsi"/>
          <w:sz w:val="24"/>
          <w:szCs w:val="24"/>
        </w:rPr>
        <w:t xml:space="preserve">An intake rate of 227 g/day </w:t>
      </w:r>
      <w:r w:rsidR="00EE0DEA">
        <w:rPr>
          <w:rFonts w:cstheme="minorHAnsi"/>
          <w:sz w:val="24"/>
          <w:szCs w:val="24"/>
        </w:rPr>
        <w:t xml:space="preserve">for adults </w:t>
      </w:r>
      <w:r>
        <w:rPr>
          <w:rFonts w:cstheme="minorHAnsi"/>
          <w:sz w:val="24"/>
          <w:szCs w:val="24"/>
        </w:rPr>
        <w:t>is</w:t>
      </w:r>
      <w:r w:rsidRPr="00A32330">
        <w:rPr>
          <w:rFonts w:cstheme="minorHAnsi"/>
          <w:sz w:val="24"/>
          <w:szCs w:val="24"/>
        </w:rPr>
        <w:t xml:space="preserve"> </w:t>
      </w:r>
      <w:r>
        <w:rPr>
          <w:rFonts w:cstheme="minorHAnsi"/>
          <w:sz w:val="24"/>
          <w:szCs w:val="24"/>
        </w:rPr>
        <w:t>used by</w:t>
      </w:r>
      <w:r w:rsidRPr="00A32330">
        <w:rPr>
          <w:rFonts w:cstheme="minorHAnsi"/>
          <w:sz w:val="24"/>
          <w:szCs w:val="24"/>
        </w:rPr>
        <w:t xml:space="preserve"> US EPA </w:t>
      </w:r>
      <w:r>
        <w:rPr>
          <w:rFonts w:cstheme="minorHAnsi"/>
          <w:sz w:val="24"/>
          <w:szCs w:val="24"/>
        </w:rPr>
        <w:t xml:space="preserve">as an </w:t>
      </w:r>
      <w:r w:rsidRPr="00A32330">
        <w:rPr>
          <w:rFonts w:cstheme="minorHAnsi"/>
          <w:sz w:val="24"/>
          <w:szCs w:val="24"/>
        </w:rPr>
        <w:t>upper percentile estimate of fish</w:t>
      </w:r>
      <w:r>
        <w:rPr>
          <w:rFonts w:cstheme="minorHAnsi"/>
          <w:sz w:val="24"/>
          <w:szCs w:val="24"/>
        </w:rPr>
        <w:t xml:space="preserve"> consumed per meal, as well as by other states, for the purpose establishing fish advisories (e.g., </w:t>
      </w:r>
      <w:r w:rsidR="00450787">
        <w:rPr>
          <w:rFonts w:cstheme="minorHAnsi"/>
          <w:sz w:val="24"/>
          <w:szCs w:val="24"/>
        </w:rPr>
        <w:t xml:space="preserve">CT DPH, 2018; Great Lakes Consortium, 2018; </w:t>
      </w:r>
      <w:r>
        <w:rPr>
          <w:rFonts w:cstheme="minorHAnsi"/>
          <w:sz w:val="24"/>
          <w:szCs w:val="24"/>
        </w:rPr>
        <w:t>M</w:t>
      </w:r>
      <w:r w:rsidR="00ED070D">
        <w:rPr>
          <w:rFonts w:cstheme="minorHAnsi"/>
          <w:sz w:val="24"/>
          <w:szCs w:val="24"/>
        </w:rPr>
        <w:t>DHHS</w:t>
      </w:r>
      <w:r w:rsidR="00450787">
        <w:rPr>
          <w:rFonts w:cstheme="minorHAnsi"/>
          <w:sz w:val="24"/>
          <w:szCs w:val="24"/>
        </w:rPr>
        <w:t>, 2016</w:t>
      </w:r>
      <w:r>
        <w:rPr>
          <w:rFonts w:cstheme="minorHAnsi"/>
          <w:sz w:val="24"/>
          <w:szCs w:val="24"/>
        </w:rPr>
        <w:t>)</w:t>
      </w:r>
      <w:r w:rsidRPr="00A32330">
        <w:rPr>
          <w:rFonts w:cstheme="minorHAnsi"/>
          <w:sz w:val="24"/>
          <w:szCs w:val="24"/>
        </w:rPr>
        <w:t>.</w:t>
      </w:r>
    </w:p>
    <w:bookmarkEnd w:id="13"/>
    <w:p w14:paraId="790C3392" w14:textId="0803A040" w:rsidR="008B2F03" w:rsidRPr="003469AF" w:rsidRDefault="008B2F03" w:rsidP="00BD4CEE">
      <w:pPr>
        <w:spacing w:before="240" w:line="240" w:lineRule="auto"/>
        <w:jc w:val="both"/>
        <w:rPr>
          <w:sz w:val="24"/>
          <w:szCs w:val="24"/>
        </w:rPr>
      </w:pPr>
      <w:r w:rsidRPr="003469AF">
        <w:rPr>
          <w:sz w:val="24"/>
          <w:szCs w:val="24"/>
        </w:rPr>
        <w:t>Table 4.1 outlines the values and basis used to calculate the advisory thresholds, according to frequency of consumption</w:t>
      </w:r>
      <w:r w:rsidR="00A41C36" w:rsidRPr="003469AF">
        <w:rPr>
          <w:sz w:val="24"/>
          <w:szCs w:val="24"/>
        </w:rPr>
        <w:t>.</w:t>
      </w:r>
    </w:p>
    <w:p w14:paraId="3B4C3C53" w14:textId="767D088C" w:rsidR="008B2F03" w:rsidRPr="00954CB5" w:rsidRDefault="00954CB5" w:rsidP="00954CB5">
      <w:pPr>
        <w:keepNext/>
        <w:keepLines/>
        <w:spacing w:after="0"/>
        <w:rPr>
          <w:b/>
          <w:bCs/>
          <w:sz w:val="24"/>
          <w:szCs w:val="24"/>
        </w:rPr>
      </w:pPr>
      <w:r w:rsidRPr="00954CB5">
        <w:rPr>
          <w:b/>
          <w:bCs/>
          <w:sz w:val="24"/>
          <w:szCs w:val="24"/>
        </w:rPr>
        <w:t>Table 4.1</w:t>
      </w:r>
      <w:r w:rsidR="0076216B">
        <w:rPr>
          <w:b/>
          <w:bCs/>
          <w:sz w:val="24"/>
          <w:szCs w:val="24"/>
        </w:rPr>
        <w:t>.</w:t>
      </w:r>
      <w:r w:rsidRPr="00954CB5">
        <w:rPr>
          <w:b/>
          <w:bCs/>
          <w:sz w:val="24"/>
          <w:szCs w:val="24"/>
        </w:rPr>
        <w:t xml:space="preserve">  </w:t>
      </w:r>
      <w:r w:rsidR="008B2F03" w:rsidRPr="00954CB5">
        <w:rPr>
          <w:b/>
          <w:bCs/>
          <w:sz w:val="24"/>
          <w:szCs w:val="24"/>
        </w:rPr>
        <w:t>Parameters – Advisory Threshold</w:t>
      </w:r>
    </w:p>
    <w:tbl>
      <w:tblPr>
        <w:tblStyle w:val="TableGrid"/>
        <w:tblW w:w="9985" w:type="dxa"/>
        <w:tblLook w:val="04A0" w:firstRow="1" w:lastRow="0" w:firstColumn="1" w:lastColumn="0" w:noHBand="0" w:noVBand="1"/>
      </w:tblPr>
      <w:tblGrid>
        <w:gridCol w:w="3955"/>
        <w:gridCol w:w="1080"/>
        <w:gridCol w:w="4950"/>
      </w:tblGrid>
      <w:tr w:rsidR="008B2F03" w14:paraId="172C190C" w14:textId="77777777" w:rsidTr="00473F2D">
        <w:tc>
          <w:tcPr>
            <w:tcW w:w="3955" w:type="dxa"/>
            <w:tcBorders>
              <w:bottom w:val="double" w:sz="4" w:space="0" w:color="auto"/>
            </w:tcBorders>
            <w:shd w:val="clear" w:color="auto" w:fill="BFBFBF" w:themeFill="background1" w:themeFillShade="BF"/>
          </w:tcPr>
          <w:p w14:paraId="76B31BC2" w14:textId="77777777" w:rsidR="008B2F03" w:rsidRPr="00D51771" w:rsidRDefault="008B2F03" w:rsidP="009500B2">
            <w:pPr>
              <w:keepNext/>
              <w:keepLines/>
              <w:rPr>
                <w:b/>
                <w:bCs/>
              </w:rPr>
            </w:pPr>
            <w:r w:rsidRPr="00D51771">
              <w:rPr>
                <w:b/>
                <w:bCs/>
              </w:rPr>
              <w:t>Parameter</w:t>
            </w:r>
          </w:p>
        </w:tc>
        <w:tc>
          <w:tcPr>
            <w:tcW w:w="1080" w:type="dxa"/>
            <w:tcBorders>
              <w:bottom w:val="double" w:sz="4" w:space="0" w:color="auto"/>
            </w:tcBorders>
            <w:shd w:val="clear" w:color="auto" w:fill="BFBFBF" w:themeFill="background1" w:themeFillShade="BF"/>
          </w:tcPr>
          <w:p w14:paraId="503CD8FD" w14:textId="77777777" w:rsidR="008B2F03" w:rsidRDefault="008B2F03" w:rsidP="009500B2">
            <w:pPr>
              <w:keepNext/>
              <w:keepLines/>
              <w:jc w:val="center"/>
            </w:pPr>
            <w:r w:rsidRPr="00D51771">
              <w:rPr>
                <w:rFonts w:eastAsia="Times New Roman" w:cstheme="minorHAnsi"/>
                <w:b/>
                <w:color w:val="000000"/>
              </w:rPr>
              <w:t>Value</w:t>
            </w:r>
          </w:p>
        </w:tc>
        <w:tc>
          <w:tcPr>
            <w:tcW w:w="4950" w:type="dxa"/>
            <w:tcBorders>
              <w:bottom w:val="double" w:sz="4" w:space="0" w:color="auto"/>
            </w:tcBorders>
            <w:shd w:val="clear" w:color="auto" w:fill="BFBFBF" w:themeFill="background1" w:themeFillShade="BF"/>
          </w:tcPr>
          <w:p w14:paraId="495D30F6" w14:textId="77777777" w:rsidR="008B2F03" w:rsidRPr="00CE1B6D" w:rsidRDefault="008B2F03" w:rsidP="009500B2">
            <w:pPr>
              <w:keepNext/>
              <w:keepLines/>
              <w:rPr>
                <w:b/>
                <w:bCs/>
              </w:rPr>
            </w:pPr>
            <w:r w:rsidRPr="00CE1B6D">
              <w:rPr>
                <w:b/>
                <w:bCs/>
              </w:rPr>
              <w:t>Basis</w:t>
            </w:r>
          </w:p>
        </w:tc>
      </w:tr>
      <w:tr w:rsidR="00473F2D" w:rsidRPr="007F1DF7" w14:paraId="70A6FC7B" w14:textId="77777777" w:rsidTr="00473F2D">
        <w:tc>
          <w:tcPr>
            <w:tcW w:w="3955" w:type="dxa"/>
            <w:tcBorders>
              <w:top w:val="double" w:sz="4" w:space="0" w:color="auto"/>
              <w:right w:val="nil"/>
            </w:tcBorders>
            <w:shd w:val="clear" w:color="auto" w:fill="D9D9D9" w:themeFill="background1" w:themeFillShade="D9"/>
            <w:vAlign w:val="center"/>
          </w:tcPr>
          <w:p w14:paraId="4400EAEE" w14:textId="2FEDD836" w:rsidR="00473F2D" w:rsidRPr="00473F2D" w:rsidRDefault="00473F2D" w:rsidP="00D876D7">
            <w:pPr>
              <w:keepNext/>
              <w:keepLines/>
              <w:rPr>
                <w:rFonts w:eastAsia="Times New Roman" w:cstheme="minorHAnsi"/>
                <w:bCs/>
                <w:i/>
                <w:iCs/>
                <w:color w:val="000000"/>
              </w:rPr>
            </w:pPr>
            <w:r w:rsidRPr="00473F2D">
              <w:rPr>
                <w:rFonts w:eastAsia="Times New Roman" w:cstheme="minorHAnsi"/>
                <w:bCs/>
                <w:i/>
                <w:iCs/>
                <w:color w:val="000000"/>
              </w:rPr>
              <w:t>Toxicity Criteria</w:t>
            </w:r>
          </w:p>
        </w:tc>
        <w:tc>
          <w:tcPr>
            <w:tcW w:w="1080" w:type="dxa"/>
            <w:tcBorders>
              <w:top w:val="double" w:sz="4" w:space="0" w:color="auto"/>
              <w:left w:val="nil"/>
              <w:right w:val="nil"/>
            </w:tcBorders>
            <w:shd w:val="clear" w:color="auto" w:fill="D9D9D9" w:themeFill="background1" w:themeFillShade="D9"/>
            <w:vAlign w:val="center"/>
          </w:tcPr>
          <w:p w14:paraId="724184E0" w14:textId="77777777" w:rsidR="00473F2D" w:rsidRDefault="00473F2D" w:rsidP="00D876D7">
            <w:pPr>
              <w:keepNext/>
              <w:keepLines/>
              <w:jc w:val="center"/>
            </w:pPr>
          </w:p>
        </w:tc>
        <w:tc>
          <w:tcPr>
            <w:tcW w:w="4950" w:type="dxa"/>
            <w:tcBorders>
              <w:top w:val="double" w:sz="4" w:space="0" w:color="auto"/>
              <w:left w:val="nil"/>
            </w:tcBorders>
            <w:shd w:val="clear" w:color="auto" w:fill="D9D9D9" w:themeFill="background1" w:themeFillShade="D9"/>
            <w:vAlign w:val="center"/>
          </w:tcPr>
          <w:p w14:paraId="56936C1A" w14:textId="77777777" w:rsidR="00473F2D" w:rsidRDefault="00473F2D" w:rsidP="00D876D7">
            <w:pPr>
              <w:keepNext/>
              <w:keepLines/>
            </w:pPr>
          </w:p>
        </w:tc>
      </w:tr>
      <w:tr w:rsidR="00473F2D" w:rsidRPr="007F1DF7" w14:paraId="5C7DA59D" w14:textId="77777777" w:rsidTr="002C2961">
        <w:tc>
          <w:tcPr>
            <w:tcW w:w="3955" w:type="dxa"/>
            <w:tcBorders>
              <w:right w:val="single" w:sz="4" w:space="0" w:color="auto"/>
            </w:tcBorders>
            <w:shd w:val="clear" w:color="auto" w:fill="auto"/>
            <w:vAlign w:val="center"/>
          </w:tcPr>
          <w:p w14:paraId="4F1CA7C6" w14:textId="761D29AE" w:rsidR="00473F2D" w:rsidRDefault="00473F2D" w:rsidP="00473F2D">
            <w:pPr>
              <w:keepNext/>
              <w:keepLines/>
              <w:rPr>
                <w:rFonts w:eastAsia="Times New Roman" w:cstheme="minorHAnsi"/>
                <w:bCs/>
                <w:color w:val="000000"/>
              </w:rPr>
            </w:pPr>
            <w:r>
              <w:rPr>
                <w:rFonts w:eastAsia="Times New Roman" w:cstheme="minorHAnsi"/>
                <w:bCs/>
                <w:color w:val="000000"/>
              </w:rPr>
              <w:t>PFBS</w:t>
            </w:r>
          </w:p>
        </w:tc>
        <w:tc>
          <w:tcPr>
            <w:tcW w:w="1080" w:type="dxa"/>
            <w:tcBorders>
              <w:left w:val="single" w:sz="4" w:space="0" w:color="auto"/>
              <w:right w:val="single" w:sz="4" w:space="0" w:color="auto"/>
            </w:tcBorders>
            <w:shd w:val="clear" w:color="auto" w:fill="auto"/>
            <w:vAlign w:val="center"/>
          </w:tcPr>
          <w:p w14:paraId="195D3844" w14:textId="38FCF648" w:rsidR="00473F2D" w:rsidRDefault="00473F2D" w:rsidP="00473F2D">
            <w:pPr>
              <w:keepNext/>
              <w:keepLines/>
              <w:jc w:val="center"/>
            </w:pPr>
            <w:r>
              <w:t>9 x 10</w:t>
            </w:r>
            <w:r w:rsidRPr="00AB2B4F">
              <w:rPr>
                <w:vertAlign w:val="superscript"/>
              </w:rPr>
              <w:t>-</w:t>
            </w:r>
            <w:r>
              <w:rPr>
                <w:vertAlign w:val="superscript"/>
              </w:rPr>
              <w:t>4</w:t>
            </w:r>
          </w:p>
        </w:tc>
        <w:tc>
          <w:tcPr>
            <w:tcW w:w="4950" w:type="dxa"/>
            <w:tcBorders>
              <w:left w:val="single" w:sz="4" w:space="0" w:color="auto"/>
            </w:tcBorders>
            <w:shd w:val="clear" w:color="auto" w:fill="auto"/>
            <w:vAlign w:val="center"/>
          </w:tcPr>
          <w:p w14:paraId="28443A4F" w14:textId="48F38933" w:rsidR="00473F2D" w:rsidRDefault="00473F2D" w:rsidP="00473F2D">
            <w:pPr>
              <w:keepNext/>
              <w:keepLines/>
            </w:pPr>
            <w:r>
              <w:t xml:space="preserve">Sub-chronic </w:t>
            </w:r>
            <w:proofErr w:type="spellStart"/>
            <w:r>
              <w:t>RfD</w:t>
            </w:r>
            <w:proofErr w:type="spellEnd"/>
            <w:r>
              <w:t xml:space="preserve"> (US EPA, 2021)</w:t>
            </w:r>
          </w:p>
        </w:tc>
      </w:tr>
      <w:tr w:rsidR="00473F2D" w:rsidRPr="007F1DF7" w14:paraId="296DDADF" w14:textId="77777777" w:rsidTr="009500B2">
        <w:tc>
          <w:tcPr>
            <w:tcW w:w="3955" w:type="dxa"/>
            <w:tcBorders>
              <w:right w:val="single" w:sz="4" w:space="0" w:color="auto"/>
            </w:tcBorders>
            <w:shd w:val="clear" w:color="auto" w:fill="auto"/>
            <w:vAlign w:val="center"/>
          </w:tcPr>
          <w:p w14:paraId="262B3368" w14:textId="4CD9740F" w:rsidR="00473F2D" w:rsidRDefault="00473F2D" w:rsidP="00473F2D">
            <w:pPr>
              <w:keepNext/>
              <w:keepLines/>
              <w:rPr>
                <w:rFonts w:eastAsia="Times New Roman" w:cstheme="minorHAnsi"/>
                <w:bCs/>
                <w:color w:val="000000"/>
              </w:rPr>
            </w:pPr>
            <w:r>
              <w:rPr>
                <w:rFonts w:eastAsia="Times New Roman" w:cstheme="minorHAnsi"/>
                <w:bCs/>
                <w:color w:val="000000"/>
              </w:rPr>
              <w:t>PFHxS</w:t>
            </w:r>
          </w:p>
        </w:tc>
        <w:tc>
          <w:tcPr>
            <w:tcW w:w="1080" w:type="dxa"/>
            <w:tcBorders>
              <w:left w:val="single" w:sz="4" w:space="0" w:color="auto"/>
              <w:right w:val="single" w:sz="4" w:space="0" w:color="auto"/>
            </w:tcBorders>
            <w:shd w:val="clear" w:color="auto" w:fill="auto"/>
          </w:tcPr>
          <w:p w14:paraId="625FF3C5" w14:textId="5B8101EB" w:rsidR="00473F2D" w:rsidRDefault="00473F2D" w:rsidP="00473F2D">
            <w:pPr>
              <w:keepNext/>
              <w:keepLines/>
              <w:jc w:val="center"/>
            </w:pPr>
            <w:r>
              <w:t>2 x 10</w:t>
            </w:r>
            <w:r w:rsidRPr="00AB2B4F">
              <w:rPr>
                <w:vertAlign w:val="superscript"/>
              </w:rPr>
              <w:t>-5</w:t>
            </w:r>
          </w:p>
        </w:tc>
        <w:tc>
          <w:tcPr>
            <w:tcW w:w="4950" w:type="dxa"/>
            <w:tcBorders>
              <w:left w:val="single" w:sz="4" w:space="0" w:color="auto"/>
            </w:tcBorders>
            <w:shd w:val="clear" w:color="auto" w:fill="auto"/>
            <w:vAlign w:val="center"/>
          </w:tcPr>
          <w:p w14:paraId="1617C85A" w14:textId="41E33967" w:rsidR="00473F2D" w:rsidRDefault="00473F2D" w:rsidP="00473F2D">
            <w:pPr>
              <w:keepNext/>
              <w:keepLines/>
            </w:pPr>
            <w:r>
              <w:t>MRL (ATSDR, 2021)</w:t>
            </w:r>
          </w:p>
        </w:tc>
      </w:tr>
      <w:tr w:rsidR="00473F2D" w:rsidRPr="007F1DF7" w14:paraId="1CA16489" w14:textId="77777777" w:rsidTr="002C2961">
        <w:tc>
          <w:tcPr>
            <w:tcW w:w="3955" w:type="dxa"/>
            <w:tcBorders>
              <w:right w:val="single" w:sz="4" w:space="0" w:color="auto"/>
            </w:tcBorders>
            <w:shd w:val="clear" w:color="auto" w:fill="auto"/>
            <w:vAlign w:val="center"/>
          </w:tcPr>
          <w:p w14:paraId="3B59DF66" w14:textId="19BE5C29" w:rsidR="00473F2D" w:rsidRDefault="00473F2D" w:rsidP="00473F2D">
            <w:pPr>
              <w:keepNext/>
              <w:keepLines/>
              <w:rPr>
                <w:rFonts w:eastAsia="Times New Roman" w:cstheme="minorHAnsi"/>
                <w:bCs/>
                <w:color w:val="000000"/>
              </w:rPr>
            </w:pPr>
            <w:r>
              <w:rPr>
                <w:rFonts w:eastAsia="Times New Roman" w:cstheme="minorHAnsi"/>
                <w:bCs/>
                <w:color w:val="000000"/>
              </w:rPr>
              <w:t>PFOA</w:t>
            </w:r>
          </w:p>
        </w:tc>
        <w:tc>
          <w:tcPr>
            <w:tcW w:w="1080" w:type="dxa"/>
            <w:tcBorders>
              <w:left w:val="single" w:sz="4" w:space="0" w:color="auto"/>
              <w:right w:val="single" w:sz="4" w:space="0" w:color="auto"/>
            </w:tcBorders>
            <w:shd w:val="clear" w:color="auto" w:fill="auto"/>
            <w:vAlign w:val="center"/>
          </w:tcPr>
          <w:p w14:paraId="01DC1B09" w14:textId="7F33856F" w:rsidR="00473F2D" w:rsidRDefault="00473F2D" w:rsidP="00473F2D">
            <w:pPr>
              <w:keepNext/>
              <w:keepLines/>
              <w:jc w:val="center"/>
            </w:pPr>
            <w:r>
              <w:t>3 x 10</w:t>
            </w:r>
            <w:r w:rsidRPr="00AB2B4F">
              <w:rPr>
                <w:vertAlign w:val="superscript"/>
              </w:rPr>
              <w:t>-</w:t>
            </w:r>
            <w:r>
              <w:rPr>
                <w:vertAlign w:val="superscript"/>
              </w:rPr>
              <w:t>6</w:t>
            </w:r>
          </w:p>
        </w:tc>
        <w:tc>
          <w:tcPr>
            <w:tcW w:w="4950" w:type="dxa"/>
            <w:tcBorders>
              <w:left w:val="single" w:sz="4" w:space="0" w:color="auto"/>
            </w:tcBorders>
            <w:shd w:val="clear" w:color="auto" w:fill="auto"/>
            <w:vAlign w:val="center"/>
          </w:tcPr>
          <w:p w14:paraId="7405C69D" w14:textId="451DF005" w:rsidR="00473F2D" w:rsidRDefault="00473F2D" w:rsidP="00473F2D">
            <w:pPr>
              <w:keepNext/>
              <w:keepLines/>
            </w:pPr>
            <w:r>
              <w:t>MRL (ATSDR, 2021)</w:t>
            </w:r>
          </w:p>
        </w:tc>
      </w:tr>
      <w:tr w:rsidR="00473F2D" w:rsidRPr="007F1DF7" w14:paraId="2601FD49" w14:textId="77777777" w:rsidTr="009500B2">
        <w:tc>
          <w:tcPr>
            <w:tcW w:w="3955" w:type="dxa"/>
            <w:tcBorders>
              <w:right w:val="single" w:sz="4" w:space="0" w:color="auto"/>
            </w:tcBorders>
            <w:shd w:val="clear" w:color="auto" w:fill="auto"/>
            <w:vAlign w:val="center"/>
          </w:tcPr>
          <w:p w14:paraId="29CBC03D" w14:textId="25FA8D6C" w:rsidR="00473F2D" w:rsidRPr="007F1DF7" w:rsidRDefault="00473F2D" w:rsidP="00473F2D">
            <w:pPr>
              <w:keepNext/>
              <w:keepLines/>
              <w:rPr>
                <w:rFonts w:eastAsia="Times New Roman" w:cstheme="minorHAnsi"/>
                <w:bCs/>
                <w:color w:val="000000"/>
              </w:rPr>
            </w:pPr>
            <w:r>
              <w:rPr>
                <w:rFonts w:eastAsia="Times New Roman" w:cstheme="minorHAnsi"/>
                <w:bCs/>
                <w:color w:val="000000"/>
              </w:rPr>
              <w:t>PFOS</w:t>
            </w:r>
          </w:p>
        </w:tc>
        <w:tc>
          <w:tcPr>
            <w:tcW w:w="1080" w:type="dxa"/>
            <w:tcBorders>
              <w:left w:val="single" w:sz="4" w:space="0" w:color="auto"/>
              <w:right w:val="single" w:sz="4" w:space="0" w:color="auto"/>
            </w:tcBorders>
            <w:shd w:val="clear" w:color="auto" w:fill="auto"/>
            <w:vAlign w:val="center"/>
          </w:tcPr>
          <w:p w14:paraId="089AA50D" w14:textId="7F222D60" w:rsidR="00473F2D" w:rsidRPr="007F1DF7" w:rsidRDefault="00473F2D" w:rsidP="00473F2D">
            <w:pPr>
              <w:keepNext/>
              <w:keepLines/>
              <w:jc w:val="center"/>
            </w:pPr>
            <w:r>
              <w:t>2 x 10</w:t>
            </w:r>
            <w:r w:rsidRPr="00AB2B4F">
              <w:rPr>
                <w:vertAlign w:val="superscript"/>
              </w:rPr>
              <w:t>-</w:t>
            </w:r>
            <w:r>
              <w:rPr>
                <w:vertAlign w:val="superscript"/>
              </w:rPr>
              <w:t>6</w:t>
            </w:r>
          </w:p>
        </w:tc>
        <w:tc>
          <w:tcPr>
            <w:tcW w:w="4950" w:type="dxa"/>
            <w:tcBorders>
              <w:left w:val="single" w:sz="4" w:space="0" w:color="auto"/>
            </w:tcBorders>
            <w:shd w:val="clear" w:color="auto" w:fill="auto"/>
          </w:tcPr>
          <w:p w14:paraId="2FBAA2BD" w14:textId="288DD439" w:rsidR="00473F2D" w:rsidRPr="007F1DF7" w:rsidRDefault="00473F2D" w:rsidP="00473F2D">
            <w:pPr>
              <w:keepNext/>
              <w:keepLines/>
            </w:pPr>
            <w:r>
              <w:t>MRL (ATSDR, 2021)</w:t>
            </w:r>
          </w:p>
        </w:tc>
      </w:tr>
      <w:tr w:rsidR="00473F2D" w:rsidRPr="007F1DF7" w14:paraId="412E4F0F" w14:textId="77777777" w:rsidTr="007F1DF7">
        <w:tc>
          <w:tcPr>
            <w:tcW w:w="3955" w:type="dxa"/>
            <w:tcBorders>
              <w:right w:val="single" w:sz="4" w:space="0" w:color="auto"/>
            </w:tcBorders>
            <w:shd w:val="clear" w:color="auto" w:fill="auto"/>
            <w:vAlign w:val="center"/>
          </w:tcPr>
          <w:p w14:paraId="6B3802D6" w14:textId="2C4797CF" w:rsidR="00473F2D" w:rsidRPr="007F1DF7" w:rsidRDefault="00473F2D" w:rsidP="00473F2D">
            <w:pPr>
              <w:keepNext/>
              <w:keepLines/>
              <w:rPr>
                <w:rFonts w:eastAsia="Times New Roman" w:cstheme="minorHAnsi"/>
                <w:bCs/>
                <w:color w:val="000000"/>
              </w:rPr>
            </w:pPr>
            <w:r>
              <w:rPr>
                <w:rFonts w:eastAsia="Times New Roman" w:cstheme="minorHAnsi"/>
                <w:bCs/>
                <w:color w:val="000000"/>
              </w:rPr>
              <w:t>PFNA</w:t>
            </w:r>
          </w:p>
        </w:tc>
        <w:tc>
          <w:tcPr>
            <w:tcW w:w="1080" w:type="dxa"/>
            <w:tcBorders>
              <w:left w:val="single" w:sz="4" w:space="0" w:color="auto"/>
              <w:right w:val="single" w:sz="4" w:space="0" w:color="auto"/>
            </w:tcBorders>
            <w:shd w:val="clear" w:color="auto" w:fill="auto"/>
            <w:vAlign w:val="center"/>
          </w:tcPr>
          <w:p w14:paraId="5ED1C174" w14:textId="5D33B196" w:rsidR="00473F2D" w:rsidRPr="007F1DF7" w:rsidRDefault="00473F2D" w:rsidP="00473F2D">
            <w:pPr>
              <w:keepNext/>
              <w:keepLines/>
              <w:jc w:val="center"/>
            </w:pPr>
            <w:r>
              <w:t>3 x 10</w:t>
            </w:r>
            <w:r w:rsidRPr="00AB2B4F">
              <w:rPr>
                <w:vertAlign w:val="superscript"/>
              </w:rPr>
              <w:t>-</w:t>
            </w:r>
            <w:r>
              <w:rPr>
                <w:vertAlign w:val="superscript"/>
              </w:rPr>
              <w:t>6</w:t>
            </w:r>
          </w:p>
        </w:tc>
        <w:tc>
          <w:tcPr>
            <w:tcW w:w="4950" w:type="dxa"/>
            <w:tcBorders>
              <w:left w:val="single" w:sz="4" w:space="0" w:color="auto"/>
            </w:tcBorders>
            <w:shd w:val="clear" w:color="auto" w:fill="auto"/>
            <w:vAlign w:val="center"/>
          </w:tcPr>
          <w:p w14:paraId="2FF766C5" w14:textId="08D20B40" w:rsidR="00473F2D" w:rsidRPr="007F1DF7" w:rsidRDefault="00473F2D" w:rsidP="00473F2D">
            <w:pPr>
              <w:keepNext/>
              <w:keepLines/>
            </w:pPr>
            <w:r>
              <w:t>MRL (ATSDR, 2021)</w:t>
            </w:r>
          </w:p>
        </w:tc>
      </w:tr>
      <w:tr w:rsidR="00473F2D" w14:paraId="74026840" w14:textId="77777777" w:rsidTr="007F1DF7">
        <w:tc>
          <w:tcPr>
            <w:tcW w:w="3955" w:type="dxa"/>
            <w:tcBorders>
              <w:right w:val="nil"/>
            </w:tcBorders>
            <w:shd w:val="clear" w:color="auto" w:fill="D9D9D9" w:themeFill="background1" w:themeFillShade="D9"/>
            <w:vAlign w:val="center"/>
          </w:tcPr>
          <w:p w14:paraId="6CB7F3AB" w14:textId="6FB3400F" w:rsidR="00473F2D" w:rsidRPr="00D876D7" w:rsidRDefault="00473F2D" w:rsidP="00473F2D">
            <w:pPr>
              <w:keepNext/>
              <w:keepLines/>
              <w:rPr>
                <w:rFonts w:eastAsia="Times New Roman" w:cstheme="minorHAnsi"/>
                <w:bCs/>
                <w:i/>
                <w:iCs/>
                <w:color w:val="000000"/>
              </w:rPr>
            </w:pPr>
            <w:r w:rsidRPr="00D876D7">
              <w:rPr>
                <w:rFonts w:eastAsia="Times New Roman" w:cstheme="minorHAnsi"/>
                <w:bCs/>
                <w:i/>
                <w:iCs/>
                <w:color w:val="000000"/>
              </w:rPr>
              <w:t>Sensitive Populations</w:t>
            </w:r>
          </w:p>
        </w:tc>
        <w:tc>
          <w:tcPr>
            <w:tcW w:w="1080" w:type="dxa"/>
            <w:tcBorders>
              <w:left w:val="nil"/>
              <w:right w:val="nil"/>
            </w:tcBorders>
            <w:shd w:val="clear" w:color="auto" w:fill="D9D9D9" w:themeFill="background1" w:themeFillShade="D9"/>
            <w:vAlign w:val="center"/>
          </w:tcPr>
          <w:p w14:paraId="680BC77A" w14:textId="77777777" w:rsidR="00473F2D" w:rsidRDefault="00473F2D" w:rsidP="00473F2D">
            <w:pPr>
              <w:keepNext/>
              <w:keepLines/>
              <w:jc w:val="center"/>
            </w:pPr>
          </w:p>
        </w:tc>
        <w:tc>
          <w:tcPr>
            <w:tcW w:w="4950" w:type="dxa"/>
            <w:tcBorders>
              <w:left w:val="nil"/>
            </w:tcBorders>
            <w:shd w:val="clear" w:color="auto" w:fill="D9D9D9" w:themeFill="background1" w:themeFillShade="D9"/>
            <w:vAlign w:val="center"/>
          </w:tcPr>
          <w:p w14:paraId="26F083F0" w14:textId="77777777" w:rsidR="00473F2D" w:rsidRDefault="00473F2D" w:rsidP="00473F2D">
            <w:pPr>
              <w:keepNext/>
              <w:keepLines/>
            </w:pPr>
          </w:p>
        </w:tc>
      </w:tr>
      <w:tr w:rsidR="00473F2D" w14:paraId="30952247" w14:textId="77777777" w:rsidTr="007F1DF7">
        <w:tc>
          <w:tcPr>
            <w:tcW w:w="3955" w:type="dxa"/>
            <w:vAlign w:val="center"/>
          </w:tcPr>
          <w:p w14:paraId="658DD58A" w14:textId="4AD2E18C" w:rsidR="00473F2D" w:rsidRDefault="00473F2D" w:rsidP="00473F2D">
            <w:pPr>
              <w:keepNext/>
              <w:keepLines/>
            </w:pPr>
            <w:r w:rsidRPr="00D51771">
              <w:rPr>
                <w:rFonts w:eastAsia="Times New Roman" w:cstheme="minorHAnsi"/>
                <w:bCs/>
                <w:color w:val="000000"/>
              </w:rPr>
              <w:t>Body Weight</w:t>
            </w:r>
            <w:r>
              <w:rPr>
                <w:rFonts w:eastAsia="Times New Roman" w:cstheme="minorHAnsi"/>
                <w:bCs/>
                <w:color w:val="000000"/>
              </w:rPr>
              <w:t>, BW (kg)</w:t>
            </w:r>
          </w:p>
        </w:tc>
        <w:tc>
          <w:tcPr>
            <w:tcW w:w="1080" w:type="dxa"/>
            <w:vAlign w:val="center"/>
          </w:tcPr>
          <w:p w14:paraId="0D45F770" w14:textId="77777777" w:rsidR="00473F2D" w:rsidRDefault="00473F2D" w:rsidP="00473F2D">
            <w:pPr>
              <w:keepNext/>
              <w:keepLines/>
              <w:jc w:val="center"/>
            </w:pPr>
            <w:r>
              <w:t>12.6</w:t>
            </w:r>
          </w:p>
        </w:tc>
        <w:tc>
          <w:tcPr>
            <w:tcW w:w="4950" w:type="dxa"/>
            <w:vAlign w:val="center"/>
          </w:tcPr>
          <w:p w14:paraId="5032312B" w14:textId="77777777" w:rsidR="00473F2D" w:rsidRDefault="00473F2D" w:rsidP="00473F2D">
            <w:pPr>
              <w:keepNext/>
              <w:keepLines/>
            </w:pPr>
            <w:r>
              <w:t xml:space="preserve">Mean body weight for 1 - &lt; </w:t>
            </w:r>
            <w:proofErr w:type="gramStart"/>
            <w:r>
              <w:t>3 year old</w:t>
            </w:r>
            <w:proofErr w:type="gramEnd"/>
            <w:r>
              <w:t xml:space="preserve"> (US EPA, 2011)</w:t>
            </w:r>
          </w:p>
        </w:tc>
      </w:tr>
      <w:tr w:rsidR="00473F2D" w14:paraId="04F2F660" w14:textId="77777777" w:rsidTr="007F1DF7">
        <w:tc>
          <w:tcPr>
            <w:tcW w:w="3955" w:type="dxa"/>
            <w:tcBorders>
              <w:bottom w:val="single" w:sz="4" w:space="0" w:color="auto"/>
            </w:tcBorders>
          </w:tcPr>
          <w:p w14:paraId="6450C798" w14:textId="4806979B" w:rsidR="00473F2D" w:rsidRDefault="00473F2D" w:rsidP="00473F2D">
            <w:pPr>
              <w:keepNext/>
              <w:keepLines/>
            </w:pPr>
            <w:r w:rsidRPr="00D51771">
              <w:rPr>
                <w:rFonts w:eastAsia="Times New Roman" w:cstheme="minorHAnsi"/>
                <w:bCs/>
                <w:color w:val="000000"/>
              </w:rPr>
              <w:t>Ingestion Rate</w:t>
            </w:r>
            <w:r>
              <w:rPr>
                <w:rFonts w:eastAsia="Times New Roman" w:cstheme="minorHAnsi"/>
                <w:bCs/>
                <w:color w:val="000000"/>
              </w:rPr>
              <w:t>, IR (g/day)</w:t>
            </w:r>
          </w:p>
        </w:tc>
        <w:tc>
          <w:tcPr>
            <w:tcW w:w="1080" w:type="dxa"/>
            <w:tcBorders>
              <w:bottom w:val="single" w:sz="4" w:space="0" w:color="auto"/>
            </w:tcBorders>
          </w:tcPr>
          <w:p w14:paraId="0A060F34" w14:textId="4AAD7ED4" w:rsidR="00473F2D" w:rsidRDefault="00473F2D" w:rsidP="00473F2D">
            <w:pPr>
              <w:keepNext/>
              <w:keepLines/>
              <w:jc w:val="center"/>
            </w:pPr>
            <w:r>
              <w:t>113.4</w:t>
            </w:r>
          </w:p>
        </w:tc>
        <w:tc>
          <w:tcPr>
            <w:tcW w:w="4950" w:type="dxa"/>
            <w:tcBorders>
              <w:bottom w:val="single" w:sz="4" w:space="0" w:color="auto"/>
            </w:tcBorders>
          </w:tcPr>
          <w:p w14:paraId="2581F078" w14:textId="77777777" w:rsidR="00473F2D" w:rsidRDefault="00473F2D" w:rsidP="00473F2D">
            <w:pPr>
              <w:keepNext/>
              <w:keepLines/>
            </w:pPr>
            <w:r>
              <w:t>Equivalent to ingestion of 4 ounces/day</w:t>
            </w:r>
          </w:p>
        </w:tc>
      </w:tr>
      <w:tr w:rsidR="00473F2D" w14:paraId="6AA56FB0" w14:textId="77777777" w:rsidTr="007F1DF7">
        <w:tc>
          <w:tcPr>
            <w:tcW w:w="3955" w:type="dxa"/>
            <w:tcBorders>
              <w:right w:val="nil"/>
            </w:tcBorders>
            <w:shd w:val="clear" w:color="auto" w:fill="D9D9D9" w:themeFill="background1" w:themeFillShade="D9"/>
          </w:tcPr>
          <w:p w14:paraId="0DD235B9" w14:textId="44390A57" w:rsidR="00473F2D" w:rsidRPr="00D876D7" w:rsidRDefault="00473F2D" w:rsidP="00473F2D">
            <w:pPr>
              <w:keepNext/>
              <w:keepLines/>
              <w:rPr>
                <w:rFonts w:eastAsia="Times New Roman" w:cstheme="minorHAnsi"/>
                <w:bCs/>
                <w:i/>
                <w:iCs/>
                <w:color w:val="000000"/>
              </w:rPr>
            </w:pPr>
            <w:r w:rsidRPr="00D876D7">
              <w:rPr>
                <w:rFonts w:eastAsia="Times New Roman" w:cstheme="minorHAnsi"/>
                <w:bCs/>
                <w:i/>
                <w:iCs/>
                <w:color w:val="000000"/>
              </w:rPr>
              <w:t>General Population</w:t>
            </w:r>
          </w:p>
        </w:tc>
        <w:tc>
          <w:tcPr>
            <w:tcW w:w="1080" w:type="dxa"/>
            <w:tcBorders>
              <w:left w:val="nil"/>
              <w:right w:val="nil"/>
            </w:tcBorders>
            <w:shd w:val="clear" w:color="auto" w:fill="D9D9D9" w:themeFill="background1" w:themeFillShade="D9"/>
          </w:tcPr>
          <w:p w14:paraId="5463BA6B" w14:textId="77777777" w:rsidR="00473F2D" w:rsidRDefault="00473F2D" w:rsidP="00473F2D">
            <w:pPr>
              <w:keepNext/>
              <w:keepLines/>
              <w:jc w:val="center"/>
            </w:pPr>
          </w:p>
        </w:tc>
        <w:tc>
          <w:tcPr>
            <w:tcW w:w="4950" w:type="dxa"/>
            <w:tcBorders>
              <w:left w:val="nil"/>
            </w:tcBorders>
            <w:shd w:val="clear" w:color="auto" w:fill="D9D9D9" w:themeFill="background1" w:themeFillShade="D9"/>
          </w:tcPr>
          <w:p w14:paraId="10F38E44" w14:textId="77777777" w:rsidR="00473F2D" w:rsidRDefault="00473F2D" w:rsidP="00473F2D">
            <w:pPr>
              <w:keepNext/>
              <w:keepLines/>
            </w:pPr>
          </w:p>
        </w:tc>
      </w:tr>
      <w:tr w:rsidR="00473F2D" w14:paraId="12A4D3F3" w14:textId="77777777" w:rsidTr="007F1DF7">
        <w:tc>
          <w:tcPr>
            <w:tcW w:w="3955" w:type="dxa"/>
            <w:vAlign w:val="center"/>
          </w:tcPr>
          <w:p w14:paraId="525FC898" w14:textId="16E27439" w:rsidR="00473F2D" w:rsidRPr="00D51771" w:rsidRDefault="00473F2D" w:rsidP="00473F2D">
            <w:pPr>
              <w:keepNext/>
              <w:keepLines/>
              <w:rPr>
                <w:rFonts w:eastAsia="Times New Roman" w:cstheme="minorHAnsi"/>
                <w:bCs/>
                <w:color w:val="000000"/>
              </w:rPr>
            </w:pPr>
            <w:r w:rsidRPr="00D51771">
              <w:rPr>
                <w:rFonts w:eastAsia="Times New Roman" w:cstheme="minorHAnsi"/>
                <w:bCs/>
                <w:color w:val="000000"/>
              </w:rPr>
              <w:t>Body Weight</w:t>
            </w:r>
            <w:r>
              <w:rPr>
                <w:rFonts w:eastAsia="Times New Roman" w:cstheme="minorHAnsi"/>
                <w:bCs/>
                <w:color w:val="000000"/>
              </w:rPr>
              <w:t>, BW (kg)</w:t>
            </w:r>
          </w:p>
        </w:tc>
        <w:tc>
          <w:tcPr>
            <w:tcW w:w="1080" w:type="dxa"/>
          </w:tcPr>
          <w:p w14:paraId="3F9F42B0" w14:textId="5931AD67" w:rsidR="00473F2D" w:rsidRDefault="00473F2D" w:rsidP="00473F2D">
            <w:pPr>
              <w:keepNext/>
              <w:keepLines/>
              <w:jc w:val="center"/>
            </w:pPr>
            <w:r>
              <w:t>56.8</w:t>
            </w:r>
          </w:p>
        </w:tc>
        <w:tc>
          <w:tcPr>
            <w:tcW w:w="4950" w:type="dxa"/>
            <w:vAlign w:val="center"/>
          </w:tcPr>
          <w:p w14:paraId="5BCE411D" w14:textId="1386D4A9" w:rsidR="00473F2D" w:rsidRDefault="00473F2D" w:rsidP="00473F2D">
            <w:pPr>
              <w:keepNext/>
              <w:keepLines/>
            </w:pPr>
            <w:r>
              <w:t>Mean body weight for adults (US EPA, 2011)</w:t>
            </w:r>
          </w:p>
        </w:tc>
      </w:tr>
      <w:tr w:rsidR="00473F2D" w14:paraId="4C7E272E" w14:textId="77777777" w:rsidTr="00473F2D">
        <w:tc>
          <w:tcPr>
            <w:tcW w:w="3955" w:type="dxa"/>
            <w:tcBorders>
              <w:bottom w:val="single" w:sz="4" w:space="0" w:color="auto"/>
            </w:tcBorders>
          </w:tcPr>
          <w:p w14:paraId="2A265461" w14:textId="089166E8" w:rsidR="00473F2D" w:rsidRPr="00D51771" w:rsidRDefault="00473F2D" w:rsidP="00473F2D">
            <w:pPr>
              <w:keepNext/>
              <w:keepLines/>
              <w:rPr>
                <w:rFonts w:eastAsia="Times New Roman" w:cstheme="minorHAnsi"/>
                <w:bCs/>
                <w:color w:val="000000"/>
              </w:rPr>
            </w:pPr>
            <w:r w:rsidRPr="00D51771">
              <w:rPr>
                <w:rFonts w:eastAsia="Times New Roman" w:cstheme="minorHAnsi"/>
                <w:bCs/>
                <w:color w:val="000000"/>
              </w:rPr>
              <w:t>Ingestion Rate</w:t>
            </w:r>
            <w:r>
              <w:rPr>
                <w:rFonts w:eastAsia="Times New Roman" w:cstheme="minorHAnsi"/>
                <w:bCs/>
                <w:color w:val="000000"/>
              </w:rPr>
              <w:t>, IR (g/day)</w:t>
            </w:r>
          </w:p>
        </w:tc>
        <w:tc>
          <w:tcPr>
            <w:tcW w:w="1080" w:type="dxa"/>
            <w:tcBorders>
              <w:bottom w:val="single" w:sz="4" w:space="0" w:color="auto"/>
            </w:tcBorders>
          </w:tcPr>
          <w:p w14:paraId="1B7FDB04" w14:textId="0C2AD5A0" w:rsidR="00473F2D" w:rsidRDefault="00473F2D" w:rsidP="00473F2D">
            <w:pPr>
              <w:keepNext/>
              <w:keepLines/>
              <w:jc w:val="center"/>
            </w:pPr>
            <w:r>
              <w:t>227</w:t>
            </w:r>
          </w:p>
        </w:tc>
        <w:tc>
          <w:tcPr>
            <w:tcW w:w="4950" w:type="dxa"/>
            <w:tcBorders>
              <w:bottom w:val="single" w:sz="4" w:space="0" w:color="auto"/>
            </w:tcBorders>
          </w:tcPr>
          <w:p w14:paraId="1301F0C3" w14:textId="51832537" w:rsidR="00473F2D" w:rsidRDefault="00473F2D" w:rsidP="00473F2D">
            <w:pPr>
              <w:keepNext/>
              <w:keepLines/>
            </w:pPr>
            <w:r>
              <w:t>Equivalent to ingestion of 8 ounces/day</w:t>
            </w:r>
          </w:p>
        </w:tc>
      </w:tr>
      <w:tr w:rsidR="00473F2D" w14:paraId="5D74434B" w14:textId="77777777" w:rsidTr="00473F2D">
        <w:tc>
          <w:tcPr>
            <w:tcW w:w="3955" w:type="dxa"/>
            <w:tcBorders>
              <w:right w:val="nil"/>
            </w:tcBorders>
            <w:shd w:val="clear" w:color="auto" w:fill="D9D9D9" w:themeFill="background1" w:themeFillShade="D9"/>
          </w:tcPr>
          <w:p w14:paraId="20E1ADEE" w14:textId="43364035" w:rsidR="00473F2D" w:rsidRPr="00473F2D" w:rsidRDefault="00473F2D" w:rsidP="00473F2D">
            <w:pPr>
              <w:keepNext/>
              <w:keepLines/>
              <w:rPr>
                <w:rFonts w:eastAsia="Times New Roman" w:cstheme="minorHAnsi"/>
                <w:bCs/>
                <w:i/>
                <w:iCs/>
                <w:color w:val="000000"/>
              </w:rPr>
            </w:pPr>
            <w:r w:rsidRPr="00473F2D">
              <w:rPr>
                <w:rFonts w:eastAsia="Times New Roman" w:cstheme="minorHAnsi"/>
                <w:bCs/>
                <w:i/>
                <w:iCs/>
                <w:color w:val="000000"/>
              </w:rPr>
              <w:t>All Populations</w:t>
            </w:r>
          </w:p>
        </w:tc>
        <w:tc>
          <w:tcPr>
            <w:tcW w:w="1080" w:type="dxa"/>
            <w:tcBorders>
              <w:left w:val="nil"/>
              <w:right w:val="nil"/>
            </w:tcBorders>
            <w:shd w:val="clear" w:color="auto" w:fill="D9D9D9" w:themeFill="background1" w:themeFillShade="D9"/>
          </w:tcPr>
          <w:p w14:paraId="0CDA525D" w14:textId="77777777" w:rsidR="00473F2D" w:rsidRDefault="00473F2D" w:rsidP="00473F2D">
            <w:pPr>
              <w:keepNext/>
              <w:keepLines/>
              <w:jc w:val="center"/>
            </w:pPr>
          </w:p>
        </w:tc>
        <w:tc>
          <w:tcPr>
            <w:tcW w:w="4950" w:type="dxa"/>
            <w:tcBorders>
              <w:left w:val="nil"/>
            </w:tcBorders>
            <w:shd w:val="clear" w:color="auto" w:fill="D9D9D9" w:themeFill="background1" w:themeFillShade="D9"/>
          </w:tcPr>
          <w:p w14:paraId="2E967787" w14:textId="77777777" w:rsidR="00473F2D" w:rsidRDefault="00473F2D" w:rsidP="00473F2D">
            <w:pPr>
              <w:keepNext/>
              <w:keepLines/>
            </w:pPr>
          </w:p>
        </w:tc>
      </w:tr>
      <w:tr w:rsidR="00473F2D" w14:paraId="49DDBDAE" w14:textId="77777777" w:rsidTr="009500B2">
        <w:tc>
          <w:tcPr>
            <w:tcW w:w="3955" w:type="dxa"/>
            <w:vAlign w:val="center"/>
          </w:tcPr>
          <w:p w14:paraId="7C201E36" w14:textId="6C5A18E4" w:rsidR="00473F2D" w:rsidRPr="00D51771" w:rsidRDefault="00473F2D" w:rsidP="00473F2D">
            <w:pPr>
              <w:keepNext/>
              <w:keepLines/>
              <w:rPr>
                <w:rFonts w:eastAsia="Times New Roman" w:cstheme="minorHAnsi"/>
                <w:bCs/>
                <w:color w:val="000000"/>
              </w:rPr>
            </w:pPr>
            <w:r>
              <w:rPr>
                <w:rFonts w:eastAsia="Times New Roman" w:cstheme="minorHAnsi"/>
                <w:bCs/>
                <w:color w:val="000000"/>
              </w:rPr>
              <w:t>Averaging Time (days/year)</w:t>
            </w:r>
          </w:p>
        </w:tc>
        <w:tc>
          <w:tcPr>
            <w:tcW w:w="1080" w:type="dxa"/>
            <w:vAlign w:val="center"/>
          </w:tcPr>
          <w:p w14:paraId="7733F8F2" w14:textId="5779D47E" w:rsidR="00473F2D" w:rsidRDefault="00473F2D" w:rsidP="00473F2D">
            <w:pPr>
              <w:keepNext/>
              <w:keepLines/>
              <w:jc w:val="center"/>
            </w:pPr>
            <w:r>
              <w:t>365</w:t>
            </w:r>
          </w:p>
        </w:tc>
        <w:tc>
          <w:tcPr>
            <w:tcW w:w="4950" w:type="dxa"/>
            <w:vAlign w:val="center"/>
          </w:tcPr>
          <w:p w14:paraId="1FE25B85" w14:textId="77D9D4BD" w:rsidR="00473F2D" w:rsidRDefault="00473F2D" w:rsidP="00473F2D">
            <w:pPr>
              <w:keepNext/>
              <w:keepLines/>
            </w:pPr>
            <w:r>
              <w:t>Dictated by advisory denominator</w:t>
            </w:r>
          </w:p>
        </w:tc>
      </w:tr>
      <w:tr w:rsidR="00473F2D" w14:paraId="17FCEBBA" w14:textId="77777777" w:rsidTr="009500B2">
        <w:tc>
          <w:tcPr>
            <w:tcW w:w="3955" w:type="dxa"/>
            <w:vAlign w:val="center"/>
          </w:tcPr>
          <w:p w14:paraId="1B6404E6" w14:textId="7AC3573C" w:rsidR="00473F2D" w:rsidRPr="00D51771" w:rsidRDefault="00473F2D" w:rsidP="00473F2D">
            <w:pPr>
              <w:keepNext/>
              <w:keepLines/>
              <w:rPr>
                <w:rFonts w:eastAsia="Times New Roman" w:cstheme="minorHAnsi"/>
                <w:bCs/>
                <w:color w:val="000000"/>
              </w:rPr>
            </w:pPr>
            <w:r>
              <w:rPr>
                <w:rFonts w:eastAsia="Times New Roman" w:cstheme="minorHAnsi"/>
                <w:bCs/>
                <w:color w:val="000000"/>
              </w:rPr>
              <w:t>Consumption Frequency, CF (meals/year)</w:t>
            </w:r>
          </w:p>
        </w:tc>
        <w:tc>
          <w:tcPr>
            <w:tcW w:w="1080" w:type="dxa"/>
            <w:vAlign w:val="center"/>
          </w:tcPr>
          <w:p w14:paraId="671CA8EB" w14:textId="32F68D50" w:rsidR="00473F2D" w:rsidRDefault="00473F2D" w:rsidP="00473F2D">
            <w:pPr>
              <w:keepNext/>
              <w:keepLines/>
              <w:jc w:val="center"/>
            </w:pPr>
            <w:r>
              <w:t>Varies</w:t>
            </w:r>
          </w:p>
        </w:tc>
        <w:tc>
          <w:tcPr>
            <w:tcW w:w="4950" w:type="dxa"/>
            <w:vAlign w:val="center"/>
          </w:tcPr>
          <w:p w14:paraId="51893682" w14:textId="3797FAEC" w:rsidR="00473F2D" w:rsidRDefault="00473F2D" w:rsidP="00473F2D">
            <w:pPr>
              <w:keepNext/>
              <w:keepLines/>
            </w:pPr>
            <w:r>
              <w:t>Dictated by advisory</w:t>
            </w:r>
          </w:p>
        </w:tc>
      </w:tr>
    </w:tbl>
    <w:p w14:paraId="003D959E" w14:textId="64B52422" w:rsidR="00473F2D" w:rsidRDefault="00473F2D" w:rsidP="00473F2D">
      <w:pPr>
        <w:spacing w:after="0"/>
        <w:rPr>
          <w:i/>
          <w:iCs/>
          <w:sz w:val="20"/>
          <w:szCs w:val="20"/>
        </w:rPr>
      </w:pPr>
      <w:r>
        <w:rPr>
          <w:i/>
          <w:iCs/>
          <w:sz w:val="20"/>
          <w:szCs w:val="20"/>
        </w:rPr>
        <w:t xml:space="preserve">MRL – Minimal Risk Level; PFBS – </w:t>
      </w:r>
      <w:proofErr w:type="spellStart"/>
      <w:r>
        <w:rPr>
          <w:i/>
          <w:iCs/>
          <w:sz w:val="20"/>
          <w:szCs w:val="20"/>
        </w:rPr>
        <w:t>perfluorobutane</w:t>
      </w:r>
      <w:proofErr w:type="spellEnd"/>
      <w:r>
        <w:rPr>
          <w:i/>
          <w:iCs/>
          <w:sz w:val="20"/>
          <w:szCs w:val="20"/>
        </w:rPr>
        <w:t xml:space="preserve"> sulfonic acid (PFBS); </w:t>
      </w:r>
      <w:proofErr w:type="spellStart"/>
      <w:r w:rsidRPr="000175F7">
        <w:rPr>
          <w:i/>
          <w:iCs/>
          <w:sz w:val="20"/>
          <w:szCs w:val="20"/>
        </w:rPr>
        <w:t>PFHxS</w:t>
      </w:r>
      <w:proofErr w:type="spellEnd"/>
      <w:r w:rsidRPr="000175F7">
        <w:rPr>
          <w:i/>
          <w:iCs/>
          <w:sz w:val="20"/>
          <w:szCs w:val="20"/>
        </w:rPr>
        <w:t xml:space="preserve"> – </w:t>
      </w:r>
      <w:proofErr w:type="spellStart"/>
      <w:r w:rsidRPr="000175F7">
        <w:rPr>
          <w:i/>
          <w:iCs/>
          <w:sz w:val="20"/>
          <w:szCs w:val="20"/>
        </w:rPr>
        <w:t>perfluorohexane</w:t>
      </w:r>
      <w:proofErr w:type="spellEnd"/>
      <w:r w:rsidRPr="000175F7">
        <w:rPr>
          <w:i/>
          <w:iCs/>
          <w:sz w:val="20"/>
          <w:szCs w:val="20"/>
        </w:rPr>
        <w:t xml:space="preserve"> sulfonic acid; PFOA – perfluorooctanoic acid; </w:t>
      </w:r>
      <w:r w:rsidR="00801103">
        <w:rPr>
          <w:i/>
          <w:iCs/>
          <w:sz w:val="20"/>
          <w:szCs w:val="20"/>
        </w:rPr>
        <w:t xml:space="preserve">PFOS - </w:t>
      </w:r>
      <w:proofErr w:type="spellStart"/>
      <w:r w:rsidRPr="000175F7">
        <w:rPr>
          <w:i/>
          <w:iCs/>
          <w:sz w:val="20"/>
          <w:szCs w:val="20"/>
        </w:rPr>
        <w:t>perfluorooctane</w:t>
      </w:r>
      <w:proofErr w:type="spellEnd"/>
      <w:r w:rsidRPr="000175F7">
        <w:rPr>
          <w:i/>
          <w:iCs/>
          <w:sz w:val="20"/>
          <w:szCs w:val="20"/>
        </w:rPr>
        <w:t xml:space="preserve"> sulfonic acid; PFNA – </w:t>
      </w:r>
      <w:proofErr w:type="spellStart"/>
      <w:r w:rsidRPr="000175F7">
        <w:rPr>
          <w:i/>
          <w:iCs/>
          <w:sz w:val="20"/>
          <w:szCs w:val="20"/>
        </w:rPr>
        <w:t>perfluorononanoic</w:t>
      </w:r>
      <w:proofErr w:type="spellEnd"/>
      <w:r w:rsidRPr="000175F7">
        <w:rPr>
          <w:i/>
          <w:iCs/>
          <w:sz w:val="20"/>
          <w:szCs w:val="20"/>
        </w:rPr>
        <w:t xml:space="preserve"> acid</w:t>
      </w:r>
      <w:r>
        <w:rPr>
          <w:i/>
          <w:iCs/>
          <w:sz w:val="20"/>
          <w:szCs w:val="20"/>
        </w:rPr>
        <w:t xml:space="preserve">; </w:t>
      </w:r>
      <w:proofErr w:type="spellStart"/>
      <w:r>
        <w:rPr>
          <w:i/>
          <w:iCs/>
          <w:sz w:val="20"/>
          <w:szCs w:val="20"/>
        </w:rPr>
        <w:t>RfD</w:t>
      </w:r>
      <w:proofErr w:type="spellEnd"/>
      <w:r>
        <w:rPr>
          <w:i/>
          <w:iCs/>
          <w:sz w:val="20"/>
          <w:szCs w:val="20"/>
        </w:rPr>
        <w:t xml:space="preserve"> – Reference Dose</w:t>
      </w:r>
    </w:p>
    <w:p w14:paraId="7566D84F" w14:textId="6FEEE892" w:rsidR="000B0974" w:rsidRPr="003469AF" w:rsidRDefault="000B0974" w:rsidP="00BD4CEE">
      <w:pPr>
        <w:spacing w:before="240" w:line="240" w:lineRule="auto"/>
        <w:jc w:val="both"/>
        <w:rPr>
          <w:sz w:val="24"/>
          <w:szCs w:val="24"/>
        </w:rPr>
      </w:pPr>
      <w:r w:rsidRPr="003469AF">
        <w:rPr>
          <w:sz w:val="24"/>
          <w:szCs w:val="24"/>
        </w:rPr>
        <w:t>Using the parameters in Table 4.1</w:t>
      </w:r>
      <w:r w:rsidR="008739D2">
        <w:rPr>
          <w:sz w:val="24"/>
          <w:szCs w:val="24"/>
        </w:rPr>
        <w:t xml:space="preserve">, </w:t>
      </w:r>
      <w:r w:rsidRPr="003469AF">
        <w:rPr>
          <w:sz w:val="24"/>
          <w:szCs w:val="24"/>
        </w:rPr>
        <w:t>advisory threshold concentrations, by consumption frequency, are calculated as follows:</w:t>
      </w:r>
    </w:p>
    <w:p w14:paraId="294FBF2C" w14:textId="0687292F" w:rsidR="000B0974" w:rsidRDefault="00476064" w:rsidP="000B0974">
      <m:oMathPara>
        <m:oMath>
          <m:r>
            <w:rPr>
              <w:rFonts w:ascii="Cambria Math" w:hAnsi="Cambria Math"/>
            </w:rPr>
            <m:t>Advisory Threshold =</m:t>
          </m:r>
          <m:d>
            <m:dPr>
              <m:ctrlPr>
                <w:rPr>
                  <w:rFonts w:ascii="Cambria Math" w:hAnsi="Cambria Math"/>
                  <w:i/>
                </w:rPr>
              </m:ctrlPr>
            </m:dPr>
            <m:e>
              <m:r>
                <w:rPr>
                  <w:rFonts w:ascii="Cambria Math" w:hAnsi="Cambria Math"/>
                </w:rPr>
                <m:t>MRL or RfD</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BW×AT</m:t>
                  </m:r>
                </m:num>
                <m:den>
                  <m:r>
                    <w:rPr>
                      <w:rFonts w:ascii="Cambria Math" w:hAnsi="Cambria Math"/>
                    </w:rPr>
                    <m:t>CF×IR</m:t>
                  </m:r>
                </m:den>
              </m:f>
            </m:e>
          </m:d>
        </m:oMath>
      </m:oMathPara>
    </w:p>
    <w:p w14:paraId="487B08F5" w14:textId="647176FC" w:rsidR="000B0974" w:rsidRPr="003469AF" w:rsidRDefault="000B0974" w:rsidP="00BD4CEE">
      <w:pPr>
        <w:spacing w:line="240" w:lineRule="auto"/>
        <w:jc w:val="both"/>
        <w:rPr>
          <w:sz w:val="24"/>
          <w:szCs w:val="24"/>
        </w:rPr>
      </w:pPr>
      <w:r w:rsidRPr="003469AF">
        <w:rPr>
          <w:sz w:val="24"/>
          <w:szCs w:val="24"/>
        </w:rPr>
        <w:t>Table 4.2 lists the advisory thresholds for issuing fish consumption advisories, for both the general population and sensitive populations, including children and women of child-bearing age.</w:t>
      </w:r>
    </w:p>
    <w:p w14:paraId="6FEE8041" w14:textId="0EC18012" w:rsidR="00385B14" w:rsidRPr="000B0974" w:rsidRDefault="00385B14" w:rsidP="00BD4CEE">
      <w:pPr>
        <w:spacing w:line="240" w:lineRule="auto"/>
        <w:jc w:val="both"/>
      </w:pPr>
      <w:r>
        <w:rPr>
          <w:rFonts w:cstheme="minorHAnsi"/>
          <w:sz w:val="24"/>
          <w:szCs w:val="24"/>
        </w:rPr>
        <w:t xml:space="preserve">Appendix </w:t>
      </w:r>
      <w:r w:rsidR="00E404A9">
        <w:rPr>
          <w:rFonts w:cstheme="minorHAnsi"/>
          <w:sz w:val="24"/>
          <w:szCs w:val="24"/>
        </w:rPr>
        <w:t>B</w:t>
      </w:r>
      <w:r>
        <w:rPr>
          <w:rFonts w:cstheme="minorHAnsi"/>
          <w:sz w:val="24"/>
          <w:szCs w:val="24"/>
        </w:rPr>
        <w:t xml:space="preserve"> includes fish consumption advisories based on MassDEP’s toxicity criterion and exposure assumptions, as well as fish consumption advisories developed by other jurisdictions.</w:t>
      </w:r>
    </w:p>
    <w:p w14:paraId="089AC6AE" w14:textId="081EA8FC" w:rsidR="007B5B66" w:rsidRDefault="007B5B66" w:rsidP="007B5B66">
      <w:pPr>
        <w:rPr>
          <w:rFonts w:ascii="Arial" w:hAnsi="Arial" w:cs="Arial"/>
          <w:b/>
          <w:sz w:val="24"/>
          <w:szCs w:val="24"/>
        </w:rPr>
      </w:pPr>
      <w:r>
        <w:rPr>
          <w:rFonts w:ascii="Arial" w:hAnsi="Arial" w:cs="Arial"/>
          <w:b/>
          <w:sz w:val="24"/>
          <w:szCs w:val="24"/>
        </w:rPr>
        <w:br w:type="page"/>
      </w:r>
    </w:p>
    <w:p w14:paraId="34C4C5B2" w14:textId="247D1602" w:rsidR="007B5B66" w:rsidRPr="00AC0B25" w:rsidRDefault="007B5B66" w:rsidP="00874351">
      <w:pPr>
        <w:spacing w:after="0"/>
        <w:rPr>
          <w:rFonts w:cstheme="minorHAnsi"/>
          <w:b/>
          <w:sz w:val="24"/>
          <w:szCs w:val="24"/>
        </w:rPr>
      </w:pPr>
      <w:r w:rsidRPr="00AC0B25">
        <w:rPr>
          <w:rFonts w:cstheme="minorHAnsi"/>
          <w:b/>
          <w:sz w:val="24"/>
          <w:szCs w:val="24"/>
        </w:rPr>
        <w:t xml:space="preserve">Table </w:t>
      </w:r>
      <w:r w:rsidR="003F1C2A" w:rsidRPr="00AC0B25">
        <w:rPr>
          <w:rFonts w:cstheme="minorHAnsi"/>
          <w:b/>
          <w:sz w:val="24"/>
          <w:szCs w:val="24"/>
        </w:rPr>
        <w:t>4.</w:t>
      </w:r>
      <w:r w:rsidR="000B0974" w:rsidRPr="00AC0B25">
        <w:rPr>
          <w:rFonts w:cstheme="minorHAnsi"/>
          <w:b/>
          <w:sz w:val="24"/>
          <w:szCs w:val="24"/>
        </w:rPr>
        <w:t>2</w:t>
      </w:r>
      <w:r w:rsidRPr="00AC0B25">
        <w:rPr>
          <w:rFonts w:cstheme="minorHAnsi"/>
          <w:b/>
          <w:sz w:val="24"/>
          <w:szCs w:val="24"/>
        </w:rPr>
        <w:t>.  DPH PFAS Guidelines for Issuing Recreational Fish Consumption Advisories</w:t>
      </w:r>
    </w:p>
    <w:tbl>
      <w:tblPr>
        <w:tblW w:w="9515" w:type="dxa"/>
        <w:tblInd w:w="-75" w:type="dxa"/>
        <w:tblCellMar>
          <w:left w:w="0" w:type="dxa"/>
          <w:right w:w="0" w:type="dxa"/>
        </w:tblCellMar>
        <w:tblLook w:val="04A0" w:firstRow="1" w:lastRow="0" w:firstColumn="1" w:lastColumn="0" w:noHBand="0" w:noVBand="1"/>
      </w:tblPr>
      <w:tblGrid>
        <w:gridCol w:w="1421"/>
        <w:gridCol w:w="1800"/>
        <w:gridCol w:w="1080"/>
        <w:gridCol w:w="1170"/>
        <w:gridCol w:w="1011"/>
        <w:gridCol w:w="1011"/>
        <w:gridCol w:w="1011"/>
        <w:gridCol w:w="1011"/>
      </w:tblGrid>
      <w:tr w:rsidR="00041E5D" w14:paraId="6F3C1513" w14:textId="694E2D14" w:rsidTr="00874351">
        <w:trPr>
          <w:trHeight w:val="548"/>
        </w:trPr>
        <w:tc>
          <w:tcPr>
            <w:tcW w:w="1421" w:type="dxa"/>
            <w:vMerge w:val="restart"/>
            <w:tcBorders>
              <w:top w:val="single" w:sz="4" w:space="0" w:color="auto"/>
              <w:left w:val="single" w:sz="4" w:space="0" w:color="auto"/>
              <w:right w:val="nil"/>
            </w:tcBorders>
            <w:shd w:val="clear" w:color="auto" w:fill="DBE5F1" w:themeFill="accent1" w:themeFillTint="33"/>
            <w:tcMar>
              <w:top w:w="15" w:type="dxa"/>
              <w:left w:w="15" w:type="dxa"/>
              <w:bottom w:w="0" w:type="dxa"/>
              <w:right w:w="15" w:type="dxa"/>
            </w:tcMar>
            <w:vAlign w:val="center"/>
            <w:hideMark/>
          </w:tcPr>
          <w:p w14:paraId="24E96111" w14:textId="106DA912" w:rsidR="00041E5D" w:rsidRPr="00874351" w:rsidRDefault="00041E5D" w:rsidP="00041E5D">
            <w:pPr>
              <w:spacing w:after="0" w:line="240" w:lineRule="auto"/>
              <w:jc w:val="center"/>
              <w:rPr>
                <w:rFonts w:cstheme="minorHAnsi"/>
                <w:b/>
                <w:bCs/>
                <w:color w:val="000000"/>
              </w:rPr>
            </w:pPr>
            <w:r w:rsidRPr="00874351">
              <w:rPr>
                <w:rFonts w:cstheme="minorHAnsi"/>
                <w:b/>
                <w:bCs/>
                <w:color w:val="000000"/>
              </w:rPr>
              <w:t>Target Population</w:t>
            </w:r>
          </w:p>
        </w:tc>
        <w:tc>
          <w:tcPr>
            <w:tcW w:w="1800" w:type="dxa"/>
            <w:vMerge w:val="restart"/>
            <w:tcBorders>
              <w:top w:val="single" w:sz="4" w:space="0" w:color="auto"/>
              <w:left w:val="nil"/>
              <w:right w:val="nil"/>
            </w:tcBorders>
            <w:shd w:val="clear" w:color="auto" w:fill="DBE5F1" w:themeFill="accent1" w:themeFillTint="33"/>
            <w:noWrap/>
            <w:tcMar>
              <w:top w:w="15" w:type="dxa"/>
              <w:left w:w="15" w:type="dxa"/>
              <w:bottom w:w="0" w:type="dxa"/>
              <w:right w:w="15" w:type="dxa"/>
            </w:tcMar>
            <w:vAlign w:val="center"/>
            <w:hideMark/>
          </w:tcPr>
          <w:p w14:paraId="283D9B26" w14:textId="6EF198FD" w:rsidR="00041E5D" w:rsidRPr="00874351" w:rsidRDefault="00041E5D" w:rsidP="00041E5D">
            <w:pPr>
              <w:spacing w:after="0" w:line="240" w:lineRule="auto"/>
              <w:jc w:val="center"/>
              <w:rPr>
                <w:rFonts w:cstheme="minorHAnsi"/>
                <w:b/>
                <w:bCs/>
                <w:color w:val="000000"/>
              </w:rPr>
            </w:pPr>
            <w:r w:rsidRPr="00874351">
              <w:rPr>
                <w:rFonts w:cstheme="minorHAnsi"/>
                <w:b/>
                <w:bCs/>
                <w:color w:val="000000"/>
              </w:rPr>
              <w:t xml:space="preserve">Consumption Frequency </w:t>
            </w:r>
          </w:p>
        </w:tc>
        <w:tc>
          <w:tcPr>
            <w:tcW w:w="1080" w:type="dxa"/>
            <w:vMerge w:val="restart"/>
            <w:tcBorders>
              <w:top w:val="single" w:sz="4" w:space="0" w:color="auto"/>
              <w:left w:val="nil"/>
              <w:right w:val="single" w:sz="4" w:space="0" w:color="auto"/>
            </w:tcBorders>
            <w:shd w:val="clear" w:color="auto" w:fill="DBE5F1" w:themeFill="accent1" w:themeFillTint="33"/>
            <w:noWrap/>
            <w:tcMar>
              <w:top w:w="15" w:type="dxa"/>
              <w:left w:w="15" w:type="dxa"/>
              <w:bottom w:w="0" w:type="dxa"/>
              <w:right w:w="15" w:type="dxa"/>
            </w:tcMar>
            <w:vAlign w:val="center"/>
            <w:hideMark/>
          </w:tcPr>
          <w:p w14:paraId="00E95EAF" w14:textId="02F43D05" w:rsidR="00041E5D" w:rsidRPr="00874351" w:rsidRDefault="00041E5D" w:rsidP="00041E5D">
            <w:pPr>
              <w:spacing w:after="0" w:line="240" w:lineRule="auto"/>
              <w:jc w:val="center"/>
              <w:rPr>
                <w:rFonts w:cstheme="minorHAnsi"/>
                <w:b/>
                <w:bCs/>
                <w:color w:val="000000"/>
              </w:rPr>
            </w:pPr>
            <w:r w:rsidRPr="00874351">
              <w:rPr>
                <w:rFonts w:cstheme="minorHAnsi"/>
                <w:b/>
                <w:bCs/>
                <w:color w:val="000000"/>
              </w:rPr>
              <w:t>Serving Size (g/day)</w:t>
            </w:r>
          </w:p>
        </w:tc>
        <w:tc>
          <w:tcPr>
            <w:tcW w:w="521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15" w:type="dxa"/>
              <w:bottom w:w="0" w:type="dxa"/>
              <w:right w:w="15" w:type="dxa"/>
            </w:tcMar>
            <w:vAlign w:val="center"/>
            <w:hideMark/>
          </w:tcPr>
          <w:p w14:paraId="7724535F" w14:textId="497C78B7" w:rsidR="00041E5D" w:rsidRPr="00874351" w:rsidRDefault="00041E5D" w:rsidP="00041E5D">
            <w:pPr>
              <w:spacing w:after="0" w:line="240" w:lineRule="auto"/>
              <w:ind w:left="-15" w:firstLine="15"/>
              <w:jc w:val="center"/>
              <w:rPr>
                <w:rFonts w:cstheme="minorHAnsi"/>
                <w:b/>
                <w:bCs/>
                <w:color w:val="000000"/>
              </w:rPr>
            </w:pPr>
            <w:r w:rsidRPr="00874351">
              <w:rPr>
                <w:rFonts w:cstheme="minorHAnsi"/>
                <w:b/>
                <w:bCs/>
                <w:color w:val="000000"/>
              </w:rPr>
              <w:t>Advisory Threshold</w:t>
            </w:r>
            <w:r w:rsidRPr="00874351">
              <w:rPr>
                <w:rFonts w:cstheme="minorHAnsi"/>
                <w:b/>
                <w:bCs/>
                <w:color w:val="000000"/>
              </w:rPr>
              <w:br/>
              <w:t>(µg/kg)</w:t>
            </w:r>
          </w:p>
        </w:tc>
      </w:tr>
      <w:tr w:rsidR="00041E5D" w14:paraId="2A01F5EF" w14:textId="77777777" w:rsidTr="00041E5D">
        <w:trPr>
          <w:trHeight w:val="398"/>
        </w:trPr>
        <w:tc>
          <w:tcPr>
            <w:tcW w:w="1421" w:type="dxa"/>
            <w:vMerge/>
            <w:tcBorders>
              <w:left w:val="single" w:sz="4" w:space="0" w:color="auto"/>
              <w:bottom w:val="single" w:sz="4" w:space="0" w:color="auto"/>
              <w:right w:val="nil"/>
            </w:tcBorders>
            <w:tcMar>
              <w:top w:w="15" w:type="dxa"/>
              <w:left w:w="15" w:type="dxa"/>
              <w:bottom w:w="0" w:type="dxa"/>
              <w:right w:w="15" w:type="dxa"/>
            </w:tcMar>
            <w:vAlign w:val="center"/>
          </w:tcPr>
          <w:p w14:paraId="22C762DE" w14:textId="77777777" w:rsidR="00041E5D" w:rsidRPr="00874351" w:rsidRDefault="00041E5D" w:rsidP="00041E5D">
            <w:pPr>
              <w:spacing w:after="0" w:line="240" w:lineRule="auto"/>
              <w:jc w:val="center"/>
              <w:rPr>
                <w:rFonts w:cstheme="minorHAnsi"/>
                <w:b/>
                <w:bCs/>
                <w:color w:val="000000"/>
              </w:rPr>
            </w:pPr>
          </w:p>
        </w:tc>
        <w:tc>
          <w:tcPr>
            <w:tcW w:w="1800" w:type="dxa"/>
            <w:vMerge/>
            <w:tcBorders>
              <w:left w:val="nil"/>
              <w:bottom w:val="single" w:sz="4" w:space="0" w:color="auto"/>
              <w:right w:val="nil"/>
            </w:tcBorders>
            <w:noWrap/>
            <w:tcMar>
              <w:top w:w="15" w:type="dxa"/>
              <w:left w:w="15" w:type="dxa"/>
              <w:bottom w:w="0" w:type="dxa"/>
              <w:right w:w="15" w:type="dxa"/>
            </w:tcMar>
            <w:vAlign w:val="center"/>
          </w:tcPr>
          <w:p w14:paraId="56289DD0" w14:textId="77777777" w:rsidR="00041E5D" w:rsidRPr="00874351" w:rsidRDefault="00041E5D" w:rsidP="00041E5D">
            <w:pPr>
              <w:spacing w:after="0" w:line="240" w:lineRule="auto"/>
              <w:jc w:val="center"/>
              <w:rPr>
                <w:rFonts w:cstheme="minorHAnsi"/>
                <w:b/>
                <w:bCs/>
                <w:color w:val="000000"/>
              </w:rPr>
            </w:pPr>
          </w:p>
        </w:tc>
        <w:tc>
          <w:tcPr>
            <w:tcW w:w="1080" w:type="dxa"/>
            <w:vMerge/>
            <w:tcBorders>
              <w:left w:val="nil"/>
              <w:bottom w:val="single" w:sz="4" w:space="0" w:color="auto"/>
              <w:right w:val="single" w:sz="4" w:space="0" w:color="auto"/>
            </w:tcBorders>
            <w:noWrap/>
            <w:tcMar>
              <w:top w:w="15" w:type="dxa"/>
              <w:left w:w="15" w:type="dxa"/>
              <w:bottom w:w="0" w:type="dxa"/>
              <w:right w:w="15" w:type="dxa"/>
            </w:tcMar>
            <w:vAlign w:val="center"/>
          </w:tcPr>
          <w:p w14:paraId="6F3B131F" w14:textId="77777777" w:rsidR="00041E5D" w:rsidRPr="00874351" w:rsidRDefault="00041E5D" w:rsidP="00041E5D">
            <w:pPr>
              <w:spacing w:after="0" w:line="240" w:lineRule="auto"/>
              <w:jc w:val="center"/>
              <w:rPr>
                <w:rFonts w:cstheme="minorHAnsi"/>
                <w:b/>
                <w:bCs/>
                <w:color w:val="000000"/>
              </w:rPr>
            </w:pPr>
          </w:p>
        </w:tc>
        <w:tc>
          <w:tcPr>
            <w:tcW w:w="117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5796EE26" w14:textId="3E492E3F" w:rsidR="00041E5D" w:rsidRPr="00874351" w:rsidRDefault="00041E5D" w:rsidP="00041E5D">
            <w:pPr>
              <w:spacing w:after="0" w:line="240" w:lineRule="auto"/>
              <w:ind w:left="-15" w:firstLine="15"/>
              <w:jc w:val="center"/>
              <w:rPr>
                <w:rFonts w:cstheme="minorHAnsi"/>
                <w:b/>
                <w:bCs/>
                <w:color w:val="000000"/>
              </w:rPr>
            </w:pPr>
            <w:r w:rsidRPr="00874351">
              <w:rPr>
                <w:rFonts w:cstheme="minorHAnsi"/>
                <w:b/>
                <w:bCs/>
                <w:color w:val="000000"/>
              </w:rPr>
              <w:t>PFOS</w:t>
            </w:r>
          </w:p>
        </w:tc>
        <w:tc>
          <w:tcPr>
            <w:tcW w:w="1011" w:type="dxa"/>
            <w:tcBorders>
              <w:top w:val="single" w:sz="4" w:space="0" w:color="auto"/>
              <w:bottom w:val="single" w:sz="4" w:space="0" w:color="auto"/>
            </w:tcBorders>
            <w:vAlign w:val="center"/>
          </w:tcPr>
          <w:p w14:paraId="543B00F8" w14:textId="46B37F3D" w:rsidR="00041E5D" w:rsidRPr="00874351" w:rsidRDefault="00041E5D" w:rsidP="00041E5D">
            <w:pPr>
              <w:spacing w:after="0" w:line="240" w:lineRule="auto"/>
              <w:ind w:left="-15" w:firstLine="15"/>
              <w:jc w:val="center"/>
              <w:rPr>
                <w:rFonts w:cstheme="minorHAnsi"/>
                <w:b/>
                <w:bCs/>
                <w:color w:val="000000"/>
              </w:rPr>
            </w:pPr>
            <w:r w:rsidRPr="00874351">
              <w:rPr>
                <w:rFonts w:cstheme="minorHAnsi"/>
                <w:b/>
                <w:bCs/>
                <w:color w:val="000000"/>
              </w:rPr>
              <w:t>PFBS</w:t>
            </w:r>
          </w:p>
        </w:tc>
        <w:tc>
          <w:tcPr>
            <w:tcW w:w="1011" w:type="dxa"/>
            <w:tcBorders>
              <w:top w:val="single" w:sz="4" w:space="0" w:color="auto"/>
              <w:bottom w:val="single" w:sz="4" w:space="0" w:color="auto"/>
            </w:tcBorders>
            <w:vAlign w:val="center"/>
          </w:tcPr>
          <w:p w14:paraId="76A109C6" w14:textId="5CBB67D1" w:rsidR="00041E5D" w:rsidRPr="00874351" w:rsidRDefault="00041E5D" w:rsidP="00041E5D">
            <w:pPr>
              <w:spacing w:after="0" w:line="240" w:lineRule="auto"/>
              <w:ind w:left="-15" w:firstLine="15"/>
              <w:jc w:val="center"/>
              <w:rPr>
                <w:rFonts w:cstheme="minorHAnsi"/>
                <w:b/>
                <w:bCs/>
                <w:color w:val="000000"/>
              </w:rPr>
            </w:pPr>
            <w:r w:rsidRPr="00874351">
              <w:rPr>
                <w:rFonts w:cstheme="minorHAnsi"/>
                <w:b/>
                <w:bCs/>
                <w:color w:val="000000"/>
              </w:rPr>
              <w:t>PFHxS</w:t>
            </w:r>
          </w:p>
        </w:tc>
        <w:tc>
          <w:tcPr>
            <w:tcW w:w="1011" w:type="dxa"/>
            <w:tcBorders>
              <w:top w:val="single" w:sz="4" w:space="0" w:color="auto"/>
              <w:bottom w:val="single" w:sz="4" w:space="0" w:color="auto"/>
            </w:tcBorders>
            <w:vAlign w:val="center"/>
          </w:tcPr>
          <w:p w14:paraId="1B00EF69" w14:textId="6B52F1E8" w:rsidR="00041E5D" w:rsidRPr="00874351" w:rsidRDefault="00041E5D" w:rsidP="00041E5D">
            <w:pPr>
              <w:spacing w:after="0" w:line="240" w:lineRule="auto"/>
              <w:ind w:left="-15" w:firstLine="15"/>
              <w:jc w:val="center"/>
              <w:rPr>
                <w:rFonts w:cstheme="minorHAnsi"/>
                <w:b/>
                <w:bCs/>
                <w:color w:val="000000"/>
              </w:rPr>
            </w:pPr>
            <w:r w:rsidRPr="00874351">
              <w:rPr>
                <w:rFonts w:cstheme="minorHAnsi"/>
                <w:b/>
                <w:bCs/>
                <w:color w:val="000000"/>
              </w:rPr>
              <w:t>PFOA</w:t>
            </w:r>
          </w:p>
        </w:tc>
        <w:tc>
          <w:tcPr>
            <w:tcW w:w="1011" w:type="dxa"/>
            <w:tcBorders>
              <w:top w:val="single" w:sz="4" w:space="0" w:color="auto"/>
              <w:bottom w:val="single" w:sz="4" w:space="0" w:color="auto"/>
              <w:right w:val="single" w:sz="4" w:space="0" w:color="auto"/>
            </w:tcBorders>
            <w:vAlign w:val="center"/>
          </w:tcPr>
          <w:p w14:paraId="48596EF1" w14:textId="590440B7" w:rsidR="00041E5D" w:rsidRPr="00874351" w:rsidRDefault="00041E5D" w:rsidP="00041E5D">
            <w:pPr>
              <w:spacing w:after="0" w:line="240" w:lineRule="auto"/>
              <w:ind w:left="-15" w:firstLine="15"/>
              <w:jc w:val="center"/>
              <w:rPr>
                <w:rFonts w:cstheme="minorHAnsi"/>
                <w:b/>
                <w:bCs/>
                <w:color w:val="000000"/>
              </w:rPr>
            </w:pPr>
            <w:r w:rsidRPr="00874351">
              <w:rPr>
                <w:rFonts w:cstheme="minorHAnsi"/>
                <w:b/>
                <w:bCs/>
                <w:color w:val="000000"/>
              </w:rPr>
              <w:t>PFNA</w:t>
            </w:r>
          </w:p>
        </w:tc>
      </w:tr>
      <w:tr w:rsidR="00D4356D" w14:paraId="71D6567B" w14:textId="479F4E0F" w:rsidTr="00D4356D">
        <w:trPr>
          <w:trHeight w:val="55"/>
        </w:trPr>
        <w:tc>
          <w:tcPr>
            <w:tcW w:w="1421" w:type="dxa"/>
            <w:vMerge w:val="restart"/>
            <w:tcBorders>
              <w:top w:val="single" w:sz="4" w:space="0" w:color="auto"/>
              <w:left w:val="single" w:sz="4" w:space="0" w:color="auto"/>
              <w:right w:val="nil"/>
            </w:tcBorders>
            <w:noWrap/>
            <w:tcMar>
              <w:top w:w="15" w:type="dxa"/>
              <w:left w:w="15" w:type="dxa"/>
              <w:bottom w:w="0" w:type="dxa"/>
              <w:right w:w="15" w:type="dxa"/>
            </w:tcMar>
            <w:vAlign w:val="center"/>
          </w:tcPr>
          <w:p w14:paraId="5254FEF6" w14:textId="1CDEC54D" w:rsidR="00D4356D" w:rsidRPr="00874351" w:rsidRDefault="00D4356D" w:rsidP="00D4356D">
            <w:pPr>
              <w:spacing w:after="0" w:line="240" w:lineRule="auto"/>
              <w:jc w:val="center"/>
              <w:rPr>
                <w:rFonts w:cstheme="minorHAnsi"/>
                <w:b/>
                <w:bCs/>
                <w:color w:val="000000"/>
              </w:rPr>
            </w:pPr>
            <w:r w:rsidRPr="00874351">
              <w:rPr>
                <w:rFonts w:cstheme="minorHAnsi"/>
                <w:b/>
                <w:bCs/>
                <w:color w:val="000000"/>
              </w:rPr>
              <w:t>Sensitive Population</w:t>
            </w:r>
          </w:p>
        </w:tc>
        <w:tc>
          <w:tcPr>
            <w:tcW w:w="1800" w:type="dxa"/>
            <w:tcBorders>
              <w:top w:val="single" w:sz="4" w:space="0" w:color="auto"/>
              <w:left w:val="nil"/>
              <w:bottom w:val="nil"/>
              <w:right w:val="nil"/>
            </w:tcBorders>
            <w:noWrap/>
            <w:tcMar>
              <w:top w:w="15" w:type="dxa"/>
              <w:left w:w="15" w:type="dxa"/>
              <w:bottom w:w="0" w:type="dxa"/>
              <w:right w:w="15" w:type="dxa"/>
            </w:tcMar>
            <w:vAlign w:val="bottom"/>
          </w:tcPr>
          <w:p w14:paraId="21C60959" w14:textId="2943D412" w:rsidR="00D4356D" w:rsidRPr="00874351" w:rsidRDefault="00D4356D" w:rsidP="00D4356D">
            <w:pPr>
              <w:spacing w:after="0" w:line="240" w:lineRule="auto"/>
              <w:jc w:val="center"/>
              <w:rPr>
                <w:rFonts w:cstheme="minorHAnsi"/>
                <w:color w:val="000000"/>
              </w:rPr>
            </w:pPr>
            <w:r w:rsidRPr="00874351">
              <w:rPr>
                <w:rFonts w:cstheme="minorHAnsi"/>
                <w:b/>
                <w:color w:val="000000"/>
              </w:rPr>
              <w:t>1 meal/day</w:t>
            </w:r>
          </w:p>
        </w:tc>
        <w:tc>
          <w:tcPr>
            <w:tcW w:w="10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456156FA" w14:textId="2A2B79C0" w:rsidR="00D4356D" w:rsidRPr="00874351" w:rsidRDefault="00D4356D" w:rsidP="00D4356D">
            <w:pPr>
              <w:spacing w:after="0" w:line="240" w:lineRule="auto"/>
              <w:jc w:val="center"/>
              <w:rPr>
                <w:rFonts w:cstheme="minorHAnsi"/>
                <w:color w:val="000000"/>
              </w:rPr>
            </w:pPr>
            <w:r w:rsidRPr="00874351">
              <w:rPr>
                <w:rFonts w:cstheme="minorHAnsi"/>
                <w:b/>
                <w:color w:val="000000"/>
              </w:rPr>
              <w:t>113.4</w:t>
            </w:r>
          </w:p>
        </w:tc>
        <w:tc>
          <w:tcPr>
            <w:tcW w:w="117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42527EC6" w14:textId="3B20A48E" w:rsidR="00D4356D" w:rsidRPr="00874351" w:rsidRDefault="00D4356D" w:rsidP="00D4356D">
            <w:pPr>
              <w:spacing w:after="0" w:line="240" w:lineRule="auto"/>
              <w:jc w:val="center"/>
              <w:rPr>
                <w:rFonts w:cstheme="minorHAnsi"/>
                <w:color w:val="000000"/>
              </w:rPr>
            </w:pPr>
            <w:r w:rsidRPr="00874351">
              <w:rPr>
                <w:rFonts w:cstheme="minorHAnsi"/>
                <w:b/>
                <w:color w:val="000000"/>
                <w:u w:val="single"/>
              </w:rPr>
              <w:t>&lt;</w:t>
            </w:r>
            <w:r w:rsidRPr="00874351">
              <w:rPr>
                <w:rFonts w:cstheme="minorHAnsi"/>
                <w:b/>
                <w:color w:val="000000"/>
              </w:rPr>
              <w:t xml:space="preserve"> 0.22</w:t>
            </w:r>
            <w:r w:rsidRPr="00874351">
              <w:rPr>
                <w:rFonts w:cstheme="minorHAnsi"/>
                <w:b/>
                <w:i/>
                <w:iCs/>
                <w:color w:val="000000"/>
                <w:vertAlign w:val="superscript"/>
              </w:rPr>
              <w:t>a</w:t>
            </w:r>
          </w:p>
        </w:tc>
        <w:tc>
          <w:tcPr>
            <w:tcW w:w="1011" w:type="dxa"/>
            <w:tcBorders>
              <w:top w:val="single" w:sz="4" w:space="0" w:color="auto"/>
              <w:left w:val="nil"/>
              <w:bottom w:val="nil"/>
              <w:right w:val="single" w:sz="4" w:space="0" w:color="auto"/>
            </w:tcBorders>
            <w:shd w:val="clear" w:color="auto" w:fill="auto"/>
          </w:tcPr>
          <w:p w14:paraId="4E5CCDA9" w14:textId="45F8C923" w:rsidR="00D4356D" w:rsidRPr="00F16FC4" w:rsidRDefault="00D4356D" w:rsidP="00D4356D">
            <w:pPr>
              <w:spacing w:after="0" w:line="240" w:lineRule="auto"/>
              <w:jc w:val="center"/>
              <w:rPr>
                <w:rFonts w:cstheme="minorHAnsi"/>
                <w:bCs/>
                <w:color w:val="000000"/>
              </w:rPr>
            </w:pPr>
            <w:r w:rsidRPr="00F16FC4">
              <w:rPr>
                <w:rFonts w:cstheme="minorHAnsi"/>
                <w:bCs/>
                <w:color w:val="000000"/>
                <w:u w:val="single"/>
              </w:rPr>
              <w:t>&lt;</w:t>
            </w:r>
            <w:r w:rsidRPr="00F16FC4">
              <w:rPr>
                <w:rFonts w:cstheme="minorHAnsi"/>
                <w:bCs/>
                <w:color w:val="000000"/>
              </w:rPr>
              <w:t xml:space="preserve"> 100</w:t>
            </w:r>
          </w:p>
        </w:tc>
        <w:tc>
          <w:tcPr>
            <w:tcW w:w="1011" w:type="dxa"/>
            <w:tcBorders>
              <w:top w:val="single" w:sz="4" w:space="0" w:color="auto"/>
              <w:left w:val="nil"/>
              <w:bottom w:val="nil"/>
              <w:right w:val="single" w:sz="4" w:space="0" w:color="auto"/>
            </w:tcBorders>
            <w:shd w:val="clear" w:color="auto" w:fill="auto"/>
          </w:tcPr>
          <w:p w14:paraId="1F5F2D4A" w14:textId="5FCBA846" w:rsidR="00D4356D" w:rsidRPr="00F16FC4" w:rsidRDefault="00D4356D" w:rsidP="00D4356D">
            <w:pPr>
              <w:spacing w:after="0" w:line="240" w:lineRule="auto"/>
              <w:jc w:val="center"/>
              <w:rPr>
                <w:rFonts w:cstheme="minorHAnsi"/>
                <w:bCs/>
                <w:color w:val="000000"/>
              </w:rPr>
            </w:pPr>
            <w:r w:rsidRPr="00F16FC4">
              <w:rPr>
                <w:rFonts w:cstheme="minorHAnsi"/>
                <w:bCs/>
                <w:color w:val="000000"/>
                <w:u w:val="single"/>
              </w:rPr>
              <w:t>&lt;</w:t>
            </w:r>
            <w:r w:rsidRPr="00F16FC4">
              <w:rPr>
                <w:rFonts w:cstheme="minorHAnsi"/>
                <w:bCs/>
                <w:color w:val="000000"/>
              </w:rPr>
              <w:t xml:space="preserve"> </w:t>
            </w:r>
            <w:r>
              <w:rPr>
                <w:rFonts w:cstheme="minorHAnsi"/>
                <w:bCs/>
                <w:color w:val="000000"/>
              </w:rPr>
              <w:t>2.22</w:t>
            </w:r>
          </w:p>
        </w:tc>
        <w:tc>
          <w:tcPr>
            <w:tcW w:w="1011" w:type="dxa"/>
            <w:tcBorders>
              <w:top w:val="single" w:sz="4" w:space="0" w:color="auto"/>
              <w:left w:val="nil"/>
              <w:bottom w:val="nil"/>
              <w:right w:val="single" w:sz="4" w:space="0" w:color="auto"/>
            </w:tcBorders>
            <w:shd w:val="clear" w:color="auto" w:fill="auto"/>
          </w:tcPr>
          <w:p w14:paraId="1CDBEDD9" w14:textId="01797F72" w:rsidR="00D4356D" w:rsidRPr="00F16FC4" w:rsidRDefault="00D4356D" w:rsidP="00D4356D">
            <w:pPr>
              <w:spacing w:after="0" w:line="240" w:lineRule="auto"/>
              <w:jc w:val="center"/>
              <w:rPr>
                <w:rFonts w:cstheme="minorHAnsi"/>
                <w:bCs/>
                <w:color w:val="000000"/>
              </w:rPr>
            </w:pPr>
            <w:r w:rsidRPr="00F16FC4">
              <w:rPr>
                <w:rFonts w:cstheme="minorHAnsi"/>
                <w:bCs/>
                <w:color w:val="000000"/>
                <w:u w:val="single"/>
              </w:rPr>
              <w:t>&lt;</w:t>
            </w:r>
            <w:r w:rsidRPr="00F16FC4">
              <w:rPr>
                <w:rFonts w:cstheme="minorHAnsi"/>
                <w:bCs/>
                <w:color w:val="000000"/>
              </w:rPr>
              <w:t xml:space="preserve"> </w:t>
            </w:r>
            <w:r>
              <w:rPr>
                <w:rFonts w:cstheme="minorHAnsi"/>
                <w:bCs/>
                <w:color w:val="000000"/>
              </w:rPr>
              <w:t>0.33</w:t>
            </w:r>
          </w:p>
        </w:tc>
        <w:tc>
          <w:tcPr>
            <w:tcW w:w="1011" w:type="dxa"/>
            <w:tcBorders>
              <w:top w:val="single" w:sz="4" w:space="0" w:color="auto"/>
              <w:left w:val="nil"/>
              <w:bottom w:val="nil"/>
              <w:right w:val="single" w:sz="4" w:space="0" w:color="auto"/>
            </w:tcBorders>
            <w:shd w:val="clear" w:color="auto" w:fill="auto"/>
          </w:tcPr>
          <w:p w14:paraId="45827AAD" w14:textId="2EF930F4" w:rsidR="00D4356D" w:rsidRPr="0006596A" w:rsidRDefault="00D4356D" w:rsidP="00D4356D">
            <w:pPr>
              <w:spacing w:after="0" w:line="240" w:lineRule="auto"/>
              <w:jc w:val="center"/>
              <w:rPr>
                <w:rFonts w:cstheme="minorHAnsi"/>
                <w:bCs/>
                <w:color w:val="000000"/>
              </w:rPr>
            </w:pPr>
            <w:r w:rsidRPr="00F16FC4">
              <w:rPr>
                <w:rFonts w:cstheme="minorHAnsi"/>
                <w:bCs/>
                <w:color w:val="000000"/>
                <w:u w:val="single"/>
              </w:rPr>
              <w:t>&lt;</w:t>
            </w:r>
            <w:r w:rsidRPr="00F16FC4">
              <w:rPr>
                <w:rFonts w:cstheme="minorHAnsi"/>
                <w:bCs/>
                <w:color w:val="000000"/>
              </w:rPr>
              <w:t xml:space="preserve"> </w:t>
            </w:r>
            <w:r>
              <w:rPr>
                <w:rFonts w:cstheme="minorHAnsi"/>
                <w:bCs/>
                <w:color w:val="000000"/>
              </w:rPr>
              <w:t>0.33</w:t>
            </w:r>
          </w:p>
        </w:tc>
      </w:tr>
      <w:tr w:rsidR="00D4356D" w14:paraId="6A80C190" w14:textId="39A927E6" w:rsidTr="00D4356D">
        <w:trPr>
          <w:trHeight w:val="288"/>
        </w:trPr>
        <w:tc>
          <w:tcPr>
            <w:tcW w:w="1421" w:type="dxa"/>
            <w:vMerge/>
            <w:tcBorders>
              <w:left w:val="single" w:sz="4" w:space="0" w:color="auto"/>
              <w:right w:val="nil"/>
            </w:tcBorders>
            <w:noWrap/>
            <w:tcMar>
              <w:top w:w="15" w:type="dxa"/>
              <w:left w:w="15" w:type="dxa"/>
              <w:bottom w:w="0" w:type="dxa"/>
              <w:right w:w="15" w:type="dxa"/>
            </w:tcMar>
            <w:vAlign w:val="center"/>
          </w:tcPr>
          <w:p w14:paraId="15B0A4EE"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nil"/>
              <w:right w:val="nil"/>
            </w:tcBorders>
            <w:noWrap/>
            <w:tcMar>
              <w:top w:w="15" w:type="dxa"/>
              <w:left w:w="15" w:type="dxa"/>
              <w:bottom w:w="0" w:type="dxa"/>
              <w:right w:w="15" w:type="dxa"/>
            </w:tcMar>
            <w:vAlign w:val="bottom"/>
          </w:tcPr>
          <w:p w14:paraId="34B40246" w14:textId="21EE9B0E" w:rsidR="00D4356D" w:rsidRPr="00874351" w:rsidRDefault="00D4356D" w:rsidP="00D4356D">
            <w:pPr>
              <w:spacing w:after="0" w:line="240" w:lineRule="auto"/>
              <w:jc w:val="center"/>
              <w:rPr>
                <w:rFonts w:cstheme="minorHAnsi"/>
                <w:color w:val="000000"/>
              </w:rPr>
            </w:pPr>
            <w:r w:rsidRPr="00874351">
              <w:rPr>
                <w:rFonts w:cstheme="minorHAnsi"/>
                <w:color w:val="000000"/>
              </w:rPr>
              <w:t>2 meals/week</w:t>
            </w:r>
          </w:p>
        </w:tc>
        <w:tc>
          <w:tcPr>
            <w:tcW w:w="1080" w:type="dxa"/>
            <w:tcBorders>
              <w:left w:val="nil"/>
              <w:bottom w:val="nil"/>
              <w:right w:val="single" w:sz="4" w:space="0" w:color="auto"/>
            </w:tcBorders>
            <w:noWrap/>
            <w:tcMar>
              <w:top w:w="15" w:type="dxa"/>
              <w:left w:w="15" w:type="dxa"/>
              <w:bottom w:w="0" w:type="dxa"/>
              <w:right w:w="15" w:type="dxa"/>
            </w:tcMar>
            <w:vAlign w:val="bottom"/>
          </w:tcPr>
          <w:p w14:paraId="78C7F9AA" w14:textId="59BF3842" w:rsidR="00D4356D" w:rsidRPr="00874351" w:rsidRDefault="00D4356D" w:rsidP="00D4356D">
            <w:pPr>
              <w:spacing w:after="0" w:line="240" w:lineRule="auto"/>
              <w:jc w:val="center"/>
              <w:rPr>
                <w:rFonts w:cstheme="minorHAnsi"/>
                <w:color w:val="000000"/>
              </w:rPr>
            </w:pPr>
            <w:r w:rsidRPr="00874351">
              <w:rPr>
                <w:rFonts w:cstheme="minorHAnsi"/>
                <w:color w:val="000000"/>
              </w:rPr>
              <w:t>32.3</w:t>
            </w:r>
          </w:p>
        </w:tc>
        <w:tc>
          <w:tcPr>
            <w:tcW w:w="1170" w:type="dxa"/>
            <w:tcBorders>
              <w:left w:val="single" w:sz="4" w:space="0" w:color="auto"/>
              <w:bottom w:val="nil"/>
              <w:right w:val="single" w:sz="4" w:space="0" w:color="auto"/>
            </w:tcBorders>
            <w:noWrap/>
            <w:tcMar>
              <w:top w:w="15" w:type="dxa"/>
              <w:left w:w="15" w:type="dxa"/>
              <w:bottom w:w="0" w:type="dxa"/>
              <w:right w:w="15" w:type="dxa"/>
            </w:tcMar>
            <w:vAlign w:val="center"/>
          </w:tcPr>
          <w:p w14:paraId="2AC1DE7A" w14:textId="17DE2375"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0.78</w:t>
            </w:r>
          </w:p>
        </w:tc>
        <w:tc>
          <w:tcPr>
            <w:tcW w:w="1011" w:type="dxa"/>
            <w:tcBorders>
              <w:left w:val="nil"/>
              <w:bottom w:val="nil"/>
              <w:right w:val="single" w:sz="4" w:space="0" w:color="auto"/>
            </w:tcBorders>
            <w:shd w:val="clear" w:color="auto" w:fill="auto"/>
          </w:tcPr>
          <w:p w14:paraId="1F3164F9" w14:textId="3B1F0007"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351</w:t>
            </w:r>
          </w:p>
        </w:tc>
        <w:tc>
          <w:tcPr>
            <w:tcW w:w="1011" w:type="dxa"/>
            <w:tcBorders>
              <w:left w:val="nil"/>
              <w:bottom w:val="nil"/>
              <w:right w:val="single" w:sz="4" w:space="0" w:color="auto"/>
            </w:tcBorders>
            <w:shd w:val="clear" w:color="auto" w:fill="auto"/>
          </w:tcPr>
          <w:p w14:paraId="75605E90" w14:textId="230361D2"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7.80</w:t>
            </w:r>
          </w:p>
        </w:tc>
        <w:tc>
          <w:tcPr>
            <w:tcW w:w="1011" w:type="dxa"/>
            <w:tcBorders>
              <w:left w:val="nil"/>
              <w:bottom w:val="nil"/>
              <w:right w:val="single" w:sz="4" w:space="0" w:color="auto"/>
            </w:tcBorders>
            <w:shd w:val="clear" w:color="auto" w:fill="auto"/>
          </w:tcPr>
          <w:p w14:paraId="0ACC91C1" w14:textId="2D1ADC15"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1.17</w:t>
            </w:r>
          </w:p>
        </w:tc>
        <w:tc>
          <w:tcPr>
            <w:tcW w:w="1011" w:type="dxa"/>
            <w:tcBorders>
              <w:left w:val="nil"/>
              <w:bottom w:val="nil"/>
              <w:right w:val="single" w:sz="4" w:space="0" w:color="auto"/>
            </w:tcBorders>
            <w:shd w:val="clear" w:color="auto" w:fill="auto"/>
          </w:tcPr>
          <w:p w14:paraId="296C6F5C" w14:textId="7B305A80"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1.17</w:t>
            </w:r>
          </w:p>
        </w:tc>
      </w:tr>
      <w:tr w:rsidR="00D4356D" w14:paraId="2BCD1EDC" w14:textId="3FF8D6DE" w:rsidTr="00D4356D">
        <w:trPr>
          <w:trHeight w:val="288"/>
        </w:trPr>
        <w:tc>
          <w:tcPr>
            <w:tcW w:w="1421" w:type="dxa"/>
            <w:vMerge/>
            <w:tcBorders>
              <w:left w:val="single" w:sz="4" w:space="0" w:color="auto"/>
              <w:right w:val="nil"/>
            </w:tcBorders>
            <w:noWrap/>
            <w:tcMar>
              <w:top w:w="15" w:type="dxa"/>
              <w:left w:w="15" w:type="dxa"/>
              <w:bottom w:w="0" w:type="dxa"/>
              <w:right w:w="15" w:type="dxa"/>
            </w:tcMar>
            <w:vAlign w:val="center"/>
          </w:tcPr>
          <w:p w14:paraId="1B4A5F33"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nil"/>
              <w:right w:val="nil"/>
            </w:tcBorders>
            <w:noWrap/>
            <w:tcMar>
              <w:top w:w="15" w:type="dxa"/>
              <w:left w:w="15" w:type="dxa"/>
              <w:bottom w:w="0" w:type="dxa"/>
              <w:right w:w="15" w:type="dxa"/>
            </w:tcMar>
            <w:vAlign w:val="bottom"/>
          </w:tcPr>
          <w:p w14:paraId="0F32D6A9" w14:textId="4002ED10" w:rsidR="00D4356D" w:rsidRPr="00874351" w:rsidRDefault="00D4356D" w:rsidP="00D4356D">
            <w:pPr>
              <w:spacing w:after="0" w:line="240" w:lineRule="auto"/>
              <w:jc w:val="center"/>
              <w:rPr>
                <w:rFonts w:cstheme="minorHAnsi"/>
                <w:color w:val="000000"/>
              </w:rPr>
            </w:pPr>
            <w:r w:rsidRPr="00874351">
              <w:rPr>
                <w:rFonts w:cstheme="minorHAnsi"/>
                <w:color w:val="000000"/>
              </w:rPr>
              <w:t>1 meal/week</w:t>
            </w:r>
          </w:p>
        </w:tc>
        <w:tc>
          <w:tcPr>
            <w:tcW w:w="1080" w:type="dxa"/>
            <w:tcBorders>
              <w:left w:val="nil"/>
              <w:bottom w:val="nil"/>
              <w:right w:val="single" w:sz="4" w:space="0" w:color="auto"/>
            </w:tcBorders>
            <w:noWrap/>
            <w:tcMar>
              <w:top w:w="15" w:type="dxa"/>
              <w:left w:w="15" w:type="dxa"/>
              <w:bottom w:w="0" w:type="dxa"/>
              <w:right w:w="15" w:type="dxa"/>
            </w:tcMar>
            <w:vAlign w:val="bottom"/>
          </w:tcPr>
          <w:p w14:paraId="2C61CE8A" w14:textId="4B4D4312" w:rsidR="00D4356D" w:rsidRPr="00874351" w:rsidRDefault="00D4356D" w:rsidP="00D4356D">
            <w:pPr>
              <w:spacing w:after="0" w:line="240" w:lineRule="auto"/>
              <w:jc w:val="center"/>
              <w:rPr>
                <w:rFonts w:cstheme="minorHAnsi"/>
                <w:color w:val="000000"/>
              </w:rPr>
            </w:pPr>
            <w:r w:rsidRPr="00874351">
              <w:rPr>
                <w:rFonts w:cstheme="minorHAnsi"/>
                <w:color w:val="000000"/>
              </w:rPr>
              <w:t>16.2</w:t>
            </w:r>
          </w:p>
        </w:tc>
        <w:tc>
          <w:tcPr>
            <w:tcW w:w="1170" w:type="dxa"/>
            <w:tcBorders>
              <w:left w:val="single" w:sz="4" w:space="0" w:color="auto"/>
              <w:bottom w:val="nil"/>
              <w:right w:val="single" w:sz="4" w:space="0" w:color="auto"/>
            </w:tcBorders>
            <w:noWrap/>
            <w:tcMar>
              <w:top w:w="15" w:type="dxa"/>
              <w:left w:w="15" w:type="dxa"/>
              <w:bottom w:w="0" w:type="dxa"/>
              <w:right w:w="15" w:type="dxa"/>
            </w:tcMar>
            <w:vAlign w:val="center"/>
          </w:tcPr>
          <w:p w14:paraId="3F3D4000" w14:textId="6E12F595"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1.56</w:t>
            </w:r>
          </w:p>
        </w:tc>
        <w:tc>
          <w:tcPr>
            <w:tcW w:w="1011" w:type="dxa"/>
            <w:tcBorders>
              <w:left w:val="nil"/>
              <w:bottom w:val="nil"/>
              <w:right w:val="single" w:sz="4" w:space="0" w:color="auto"/>
            </w:tcBorders>
            <w:shd w:val="clear" w:color="auto" w:fill="auto"/>
          </w:tcPr>
          <w:p w14:paraId="7AAB2F02" w14:textId="2F50E0B0"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702</w:t>
            </w:r>
          </w:p>
        </w:tc>
        <w:tc>
          <w:tcPr>
            <w:tcW w:w="1011" w:type="dxa"/>
            <w:tcBorders>
              <w:left w:val="nil"/>
              <w:bottom w:val="nil"/>
              <w:right w:val="single" w:sz="4" w:space="0" w:color="auto"/>
            </w:tcBorders>
            <w:shd w:val="clear" w:color="auto" w:fill="auto"/>
          </w:tcPr>
          <w:p w14:paraId="07621B05" w14:textId="53CC6757"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15.6</w:t>
            </w:r>
          </w:p>
        </w:tc>
        <w:tc>
          <w:tcPr>
            <w:tcW w:w="1011" w:type="dxa"/>
            <w:tcBorders>
              <w:left w:val="nil"/>
              <w:bottom w:val="nil"/>
              <w:right w:val="single" w:sz="4" w:space="0" w:color="auto"/>
            </w:tcBorders>
            <w:shd w:val="clear" w:color="auto" w:fill="auto"/>
          </w:tcPr>
          <w:p w14:paraId="576A4FD2" w14:textId="7A79D6C9"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2.34</w:t>
            </w:r>
          </w:p>
        </w:tc>
        <w:tc>
          <w:tcPr>
            <w:tcW w:w="1011" w:type="dxa"/>
            <w:tcBorders>
              <w:left w:val="nil"/>
              <w:bottom w:val="nil"/>
              <w:right w:val="single" w:sz="4" w:space="0" w:color="auto"/>
            </w:tcBorders>
            <w:shd w:val="clear" w:color="auto" w:fill="auto"/>
          </w:tcPr>
          <w:p w14:paraId="4857D033" w14:textId="4CADDB61"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2.34</w:t>
            </w:r>
          </w:p>
        </w:tc>
      </w:tr>
      <w:tr w:rsidR="00D4356D" w14:paraId="66A3C18F" w14:textId="6BDB0E4A" w:rsidTr="00D4356D">
        <w:trPr>
          <w:trHeight w:val="288"/>
        </w:trPr>
        <w:tc>
          <w:tcPr>
            <w:tcW w:w="1421" w:type="dxa"/>
            <w:vMerge/>
            <w:tcBorders>
              <w:left w:val="single" w:sz="4" w:space="0" w:color="auto"/>
              <w:right w:val="nil"/>
            </w:tcBorders>
            <w:noWrap/>
            <w:tcMar>
              <w:top w:w="15" w:type="dxa"/>
              <w:left w:w="15" w:type="dxa"/>
              <w:bottom w:w="0" w:type="dxa"/>
              <w:right w:w="15" w:type="dxa"/>
            </w:tcMar>
            <w:vAlign w:val="center"/>
          </w:tcPr>
          <w:p w14:paraId="231F27A7"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nil"/>
              <w:right w:val="nil"/>
            </w:tcBorders>
            <w:noWrap/>
            <w:tcMar>
              <w:top w:w="15" w:type="dxa"/>
              <w:left w:w="15" w:type="dxa"/>
              <w:bottom w:w="0" w:type="dxa"/>
              <w:right w:w="15" w:type="dxa"/>
            </w:tcMar>
            <w:vAlign w:val="bottom"/>
          </w:tcPr>
          <w:p w14:paraId="7D40F2A1" w14:textId="6864527B" w:rsidR="00D4356D" w:rsidRPr="00874351" w:rsidRDefault="00D4356D" w:rsidP="00D4356D">
            <w:pPr>
              <w:spacing w:after="0" w:line="240" w:lineRule="auto"/>
              <w:jc w:val="center"/>
              <w:rPr>
                <w:rFonts w:cstheme="minorHAnsi"/>
                <w:color w:val="000000"/>
              </w:rPr>
            </w:pPr>
            <w:r w:rsidRPr="00874351">
              <w:rPr>
                <w:rFonts w:cstheme="minorHAnsi"/>
                <w:color w:val="000000"/>
              </w:rPr>
              <w:t>2 meals/month</w:t>
            </w:r>
          </w:p>
        </w:tc>
        <w:tc>
          <w:tcPr>
            <w:tcW w:w="1080" w:type="dxa"/>
            <w:tcBorders>
              <w:left w:val="nil"/>
              <w:bottom w:val="nil"/>
              <w:right w:val="single" w:sz="4" w:space="0" w:color="auto"/>
            </w:tcBorders>
            <w:noWrap/>
            <w:tcMar>
              <w:top w:w="15" w:type="dxa"/>
              <w:left w:w="15" w:type="dxa"/>
              <w:bottom w:w="0" w:type="dxa"/>
              <w:right w:w="15" w:type="dxa"/>
            </w:tcMar>
            <w:vAlign w:val="bottom"/>
          </w:tcPr>
          <w:p w14:paraId="3FA8F6D6" w14:textId="6BBD348A" w:rsidR="00D4356D" w:rsidRPr="00874351" w:rsidRDefault="00D4356D" w:rsidP="00D4356D">
            <w:pPr>
              <w:spacing w:after="0" w:line="240" w:lineRule="auto"/>
              <w:jc w:val="center"/>
              <w:rPr>
                <w:rFonts w:cstheme="minorHAnsi"/>
                <w:color w:val="000000"/>
              </w:rPr>
            </w:pPr>
            <w:r w:rsidRPr="00874351">
              <w:rPr>
                <w:rFonts w:cstheme="minorHAnsi"/>
                <w:color w:val="000000"/>
              </w:rPr>
              <w:t>7.5</w:t>
            </w:r>
          </w:p>
        </w:tc>
        <w:tc>
          <w:tcPr>
            <w:tcW w:w="1170" w:type="dxa"/>
            <w:tcBorders>
              <w:left w:val="single" w:sz="4" w:space="0" w:color="auto"/>
              <w:bottom w:val="nil"/>
              <w:right w:val="single" w:sz="4" w:space="0" w:color="auto"/>
            </w:tcBorders>
            <w:noWrap/>
            <w:tcMar>
              <w:top w:w="15" w:type="dxa"/>
              <w:left w:w="15" w:type="dxa"/>
              <w:bottom w:w="0" w:type="dxa"/>
              <w:right w:w="15" w:type="dxa"/>
            </w:tcMar>
            <w:vAlign w:val="center"/>
          </w:tcPr>
          <w:p w14:paraId="50123C65" w14:textId="549575A3"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3.38</w:t>
            </w:r>
          </w:p>
        </w:tc>
        <w:tc>
          <w:tcPr>
            <w:tcW w:w="1011" w:type="dxa"/>
            <w:tcBorders>
              <w:left w:val="nil"/>
              <w:bottom w:val="nil"/>
              <w:right w:val="single" w:sz="4" w:space="0" w:color="auto"/>
            </w:tcBorders>
            <w:shd w:val="clear" w:color="auto" w:fill="auto"/>
          </w:tcPr>
          <w:p w14:paraId="2B28C20E" w14:textId="4CC8991A"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1,520</w:t>
            </w:r>
          </w:p>
        </w:tc>
        <w:tc>
          <w:tcPr>
            <w:tcW w:w="1011" w:type="dxa"/>
            <w:tcBorders>
              <w:left w:val="nil"/>
              <w:bottom w:val="nil"/>
              <w:right w:val="single" w:sz="4" w:space="0" w:color="auto"/>
            </w:tcBorders>
            <w:shd w:val="clear" w:color="auto" w:fill="auto"/>
          </w:tcPr>
          <w:p w14:paraId="4BB2B80C" w14:textId="63A55B55"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33.8</w:t>
            </w:r>
          </w:p>
        </w:tc>
        <w:tc>
          <w:tcPr>
            <w:tcW w:w="1011" w:type="dxa"/>
            <w:tcBorders>
              <w:left w:val="nil"/>
              <w:bottom w:val="nil"/>
              <w:right w:val="single" w:sz="4" w:space="0" w:color="auto"/>
            </w:tcBorders>
            <w:shd w:val="clear" w:color="auto" w:fill="auto"/>
          </w:tcPr>
          <w:p w14:paraId="1E7E9086" w14:textId="2F31DB76"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5.07</w:t>
            </w:r>
          </w:p>
        </w:tc>
        <w:tc>
          <w:tcPr>
            <w:tcW w:w="1011" w:type="dxa"/>
            <w:tcBorders>
              <w:left w:val="nil"/>
              <w:bottom w:val="nil"/>
              <w:right w:val="single" w:sz="4" w:space="0" w:color="auto"/>
            </w:tcBorders>
            <w:shd w:val="clear" w:color="auto" w:fill="auto"/>
          </w:tcPr>
          <w:p w14:paraId="4DC01DF3" w14:textId="779FE98C"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5.07</w:t>
            </w:r>
          </w:p>
        </w:tc>
      </w:tr>
      <w:tr w:rsidR="00D4356D" w14:paraId="53730712" w14:textId="5E49D0DC" w:rsidTr="00D4356D">
        <w:trPr>
          <w:trHeight w:val="288"/>
        </w:trPr>
        <w:tc>
          <w:tcPr>
            <w:tcW w:w="1421" w:type="dxa"/>
            <w:vMerge/>
            <w:tcBorders>
              <w:left w:val="single" w:sz="4" w:space="0" w:color="auto"/>
              <w:right w:val="nil"/>
            </w:tcBorders>
            <w:noWrap/>
            <w:tcMar>
              <w:top w:w="15" w:type="dxa"/>
              <w:left w:w="15" w:type="dxa"/>
              <w:bottom w:w="0" w:type="dxa"/>
              <w:right w:w="15" w:type="dxa"/>
            </w:tcMar>
            <w:vAlign w:val="center"/>
          </w:tcPr>
          <w:p w14:paraId="318A2C9D"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nil"/>
              <w:right w:val="nil"/>
            </w:tcBorders>
            <w:noWrap/>
            <w:tcMar>
              <w:top w:w="15" w:type="dxa"/>
              <w:left w:w="15" w:type="dxa"/>
              <w:bottom w:w="0" w:type="dxa"/>
              <w:right w:w="15" w:type="dxa"/>
            </w:tcMar>
            <w:vAlign w:val="bottom"/>
          </w:tcPr>
          <w:p w14:paraId="1CDE4F3D" w14:textId="04CED073" w:rsidR="00D4356D" w:rsidRPr="00874351" w:rsidRDefault="00D4356D" w:rsidP="00D4356D">
            <w:pPr>
              <w:spacing w:after="0" w:line="240" w:lineRule="auto"/>
              <w:jc w:val="center"/>
              <w:rPr>
                <w:rFonts w:cstheme="minorHAnsi"/>
                <w:color w:val="000000"/>
              </w:rPr>
            </w:pPr>
            <w:r w:rsidRPr="00874351">
              <w:rPr>
                <w:rFonts w:cstheme="minorHAnsi"/>
                <w:color w:val="000000"/>
              </w:rPr>
              <w:t>1 meal/month</w:t>
            </w:r>
          </w:p>
        </w:tc>
        <w:tc>
          <w:tcPr>
            <w:tcW w:w="1080" w:type="dxa"/>
            <w:tcBorders>
              <w:left w:val="nil"/>
              <w:bottom w:val="nil"/>
              <w:right w:val="single" w:sz="4" w:space="0" w:color="auto"/>
            </w:tcBorders>
            <w:noWrap/>
            <w:tcMar>
              <w:top w:w="15" w:type="dxa"/>
              <w:left w:w="15" w:type="dxa"/>
              <w:bottom w:w="0" w:type="dxa"/>
              <w:right w:w="15" w:type="dxa"/>
            </w:tcMar>
            <w:vAlign w:val="bottom"/>
          </w:tcPr>
          <w:p w14:paraId="1792A696" w14:textId="0D1F8447" w:rsidR="00D4356D" w:rsidRPr="00874351" w:rsidRDefault="00D4356D" w:rsidP="00D4356D">
            <w:pPr>
              <w:spacing w:after="0" w:line="240" w:lineRule="auto"/>
              <w:jc w:val="center"/>
              <w:rPr>
                <w:rFonts w:cstheme="minorHAnsi"/>
                <w:color w:val="000000"/>
              </w:rPr>
            </w:pPr>
            <w:r w:rsidRPr="00874351">
              <w:rPr>
                <w:rFonts w:cstheme="minorHAnsi"/>
                <w:color w:val="000000"/>
              </w:rPr>
              <w:t>3.7</w:t>
            </w:r>
          </w:p>
        </w:tc>
        <w:tc>
          <w:tcPr>
            <w:tcW w:w="1170" w:type="dxa"/>
            <w:tcBorders>
              <w:left w:val="single" w:sz="4" w:space="0" w:color="auto"/>
              <w:bottom w:val="nil"/>
              <w:right w:val="single" w:sz="4" w:space="0" w:color="auto"/>
            </w:tcBorders>
            <w:noWrap/>
            <w:tcMar>
              <w:top w:w="15" w:type="dxa"/>
              <w:left w:w="15" w:type="dxa"/>
              <w:bottom w:w="0" w:type="dxa"/>
              <w:right w:w="15" w:type="dxa"/>
            </w:tcMar>
            <w:vAlign w:val="center"/>
          </w:tcPr>
          <w:p w14:paraId="700D90A5" w14:textId="0D2249A0"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6.76</w:t>
            </w:r>
          </w:p>
        </w:tc>
        <w:tc>
          <w:tcPr>
            <w:tcW w:w="1011" w:type="dxa"/>
            <w:tcBorders>
              <w:left w:val="nil"/>
              <w:bottom w:val="nil"/>
              <w:right w:val="single" w:sz="4" w:space="0" w:color="auto"/>
            </w:tcBorders>
            <w:shd w:val="clear" w:color="auto" w:fill="auto"/>
          </w:tcPr>
          <w:p w14:paraId="5D1590AD" w14:textId="46A65A21"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3,040</w:t>
            </w:r>
          </w:p>
        </w:tc>
        <w:tc>
          <w:tcPr>
            <w:tcW w:w="1011" w:type="dxa"/>
            <w:tcBorders>
              <w:left w:val="nil"/>
              <w:bottom w:val="nil"/>
              <w:right w:val="single" w:sz="4" w:space="0" w:color="auto"/>
            </w:tcBorders>
            <w:shd w:val="clear" w:color="auto" w:fill="auto"/>
          </w:tcPr>
          <w:p w14:paraId="48687757" w14:textId="59ADA6D7"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67.6</w:t>
            </w:r>
          </w:p>
        </w:tc>
        <w:tc>
          <w:tcPr>
            <w:tcW w:w="1011" w:type="dxa"/>
            <w:tcBorders>
              <w:left w:val="nil"/>
              <w:bottom w:val="nil"/>
              <w:right w:val="single" w:sz="4" w:space="0" w:color="auto"/>
            </w:tcBorders>
            <w:shd w:val="clear" w:color="auto" w:fill="auto"/>
          </w:tcPr>
          <w:p w14:paraId="288523BC" w14:textId="26BD1875"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10.1</w:t>
            </w:r>
          </w:p>
        </w:tc>
        <w:tc>
          <w:tcPr>
            <w:tcW w:w="1011" w:type="dxa"/>
            <w:tcBorders>
              <w:left w:val="nil"/>
              <w:bottom w:val="nil"/>
              <w:right w:val="single" w:sz="4" w:space="0" w:color="auto"/>
            </w:tcBorders>
            <w:shd w:val="clear" w:color="auto" w:fill="auto"/>
          </w:tcPr>
          <w:p w14:paraId="50DE831A" w14:textId="54F72F14"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10.1</w:t>
            </w:r>
          </w:p>
        </w:tc>
      </w:tr>
      <w:tr w:rsidR="00D4356D" w14:paraId="34BD1010" w14:textId="03586DF7" w:rsidTr="00D4356D">
        <w:trPr>
          <w:trHeight w:val="288"/>
        </w:trPr>
        <w:tc>
          <w:tcPr>
            <w:tcW w:w="1421" w:type="dxa"/>
            <w:vMerge/>
            <w:tcBorders>
              <w:left w:val="single" w:sz="4" w:space="0" w:color="auto"/>
              <w:right w:val="nil"/>
            </w:tcBorders>
            <w:noWrap/>
            <w:tcMar>
              <w:top w:w="15" w:type="dxa"/>
              <w:left w:w="15" w:type="dxa"/>
              <w:bottom w:w="0" w:type="dxa"/>
              <w:right w:w="15" w:type="dxa"/>
            </w:tcMar>
            <w:vAlign w:val="center"/>
          </w:tcPr>
          <w:p w14:paraId="35E6307C"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nil"/>
              <w:right w:val="nil"/>
            </w:tcBorders>
            <w:noWrap/>
            <w:tcMar>
              <w:top w:w="15" w:type="dxa"/>
              <w:left w:w="15" w:type="dxa"/>
              <w:bottom w:w="0" w:type="dxa"/>
              <w:right w:w="15" w:type="dxa"/>
            </w:tcMar>
            <w:vAlign w:val="bottom"/>
          </w:tcPr>
          <w:p w14:paraId="5ADEDFA2" w14:textId="776F2A95" w:rsidR="00D4356D" w:rsidRPr="00874351" w:rsidRDefault="00D4356D" w:rsidP="00D4356D">
            <w:pPr>
              <w:spacing w:after="0" w:line="240" w:lineRule="auto"/>
              <w:jc w:val="center"/>
              <w:rPr>
                <w:rFonts w:cstheme="minorHAnsi"/>
                <w:color w:val="000000"/>
              </w:rPr>
            </w:pPr>
            <w:r w:rsidRPr="00874351">
              <w:rPr>
                <w:rFonts w:cstheme="minorHAnsi"/>
                <w:color w:val="000000"/>
              </w:rPr>
              <w:t>1 meal/2 months</w:t>
            </w:r>
          </w:p>
        </w:tc>
        <w:tc>
          <w:tcPr>
            <w:tcW w:w="1080" w:type="dxa"/>
            <w:tcBorders>
              <w:left w:val="nil"/>
              <w:bottom w:val="nil"/>
              <w:right w:val="single" w:sz="4" w:space="0" w:color="auto"/>
            </w:tcBorders>
            <w:noWrap/>
            <w:tcMar>
              <w:top w:w="15" w:type="dxa"/>
              <w:left w:w="15" w:type="dxa"/>
              <w:bottom w:w="0" w:type="dxa"/>
              <w:right w:w="15" w:type="dxa"/>
            </w:tcMar>
            <w:vAlign w:val="bottom"/>
          </w:tcPr>
          <w:p w14:paraId="33363AD8" w14:textId="7EC17D74" w:rsidR="00D4356D" w:rsidRPr="00874351" w:rsidRDefault="00D4356D" w:rsidP="00D4356D">
            <w:pPr>
              <w:spacing w:after="0" w:line="240" w:lineRule="auto"/>
              <w:jc w:val="center"/>
              <w:rPr>
                <w:rFonts w:cstheme="minorHAnsi"/>
                <w:color w:val="000000"/>
              </w:rPr>
            </w:pPr>
            <w:r w:rsidRPr="00874351">
              <w:rPr>
                <w:rFonts w:cstheme="minorHAnsi"/>
                <w:color w:val="000000"/>
              </w:rPr>
              <w:t>1.9</w:t>
            </w:r>
          </w:p>
        </w:tc>
        <w:tc>
          <w:tcPr>
            <w:tcW w:w="1170" w:type="dxa"/>
            <w:tcBorders>
              <w:left w:val="single" w:sz="4" w:space="0" w:color="auto"/>
              <w:bottom w:val="nil"/>
              <w:right w:val="single" w:sz="4" w:space="0" w:color="auto"/>
            </w:tcBorders>
            <w:noWrap/>
            <w:tcMar>
              <w:top w:w="15" w:type="dxa"/>
              <w:left w:w="15" w:type="dxa"/>
              <w:bottom w:w="0" w:type="dxa"/>
              <w:right w:w="15" w:type="dxa"/>
            </w:tcMar>
            <w:vAlign w:val="center"/>
          </w:tcPr>
          <w:p w14:paraId="427C4703" w14:textId="44A0ABB1"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13.5</w:t>
            </w:r>
          </w:p>
        </w:tc>
        <w:tc>
          <w:tcPr>
            <w:tcW w:w="1011" w:type="dxa"/>
            <w:tcBorders>
              <w:left w:val="nil"/>
              <w:bottom w:val="nil"/>
              <w:right w:val="single" w:sz="4" w:space="0" w:color="auto"/>
            </w:tcBorders>
            <w:shd w:val="clear" w:color="auto" w:fill="auto"/>
          </w:tcPr>
          <w:p w14:paraId="2EADA3C5" w14:textId="76DC7C1A"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6,080</w:t>
            </w:r>
          </w:p>
        </w:tc>
        <w:tc>
          <w:tcPr>
            <w:tcW w:w="1011" w:type="dxa"/>
            <w:tcBorders>
              <w:left w:val="nil"/>
              <w:bottom w:val="nil"/>
              <w:right w:val="single" w:sz="4" w:space="0" w:color="auto"/>
            </w:tcBorders>
            <w:shd w:val="clear" w:color="auto" w:fill="auto"/>
          </w:tcPr>
          <w:p w14:paraId="103CD463" w14:textId="75E67393"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135</w:t>
            </w:r>
          </w:p>
        </w:tc>
        <w:tc>
          <w:tcPr>
            <w:tcW w:w="1011" w:type="dxa"/>
            <w:tcBorders>
              <w:left w:val="nil"/>
              <w:bottom w:val="nil"/>
              <w:right w:val="single" w:sz="4" w:space="0" w:color="auto"/>
            </w:tcBorders>
            <w:shd w:val="clear" w:color="auto" w:fill="auto"/>
          </w:tcPr>
          <w:p w14:paraId="467C4D90" w14:textId="3F600B22"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20.3</w:t>
            </w:r>
          </w:p>
        </w:tc>
        <w:tc>
          <w:tcPr>
            <w:tcW w:w="1011" w:type="dxa"/>
            <w:tcBorders>
              <w:left w:val="nil"/>
              <w:bottom w:val="nil"/>
              <w:right w:val="single" w:sz="4" w:space="0" w:color="auto"/>
            </w:tcBorders>
            <w:shd w:val="clear" w:color="auto" w:fill="auto"/>
          </w:tcPr>
          <w:p w14:paraId="727F5752" w14:textId="0ED83919"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20.3</w:t>
            </w:r>
          </w:p>
        </w:tc>
      </w:tr>
      <w:tr w:rsidR="00D4356D" w14:paraId="773B75F7" w14:textId="1A45E6A4" w:rsidTr="00D4356D">
        <w:trPr>
          <w:trHeight w:val="288"/>
        </w:trPr>
        <w:tc>
          <w:tcPr>
            <w:tcW w:w="1421" w:type="dxa"/>
            <w:vMerge/>
            <w:tcBorders>
              <w:left w:val="single" w:sz="4" w:space="0" w:color="auto"/>
              <w:right w:val="nil"/>
            </w:tcBorders>
            <w:noWrap/>
            <w:tcMar>
              <w:top w:w="15" w:type="dxa"/>
              <w:left w:w="15" w:type="dxa"/>
              <w:bottom w:w="0" w:type="dxa"/>
              <w:right w:w="15" w:type="dxa"/>
            </w:tcMar>
            <w:vAlign w:val="center"/>
          </w:tcPr>
          <w:p w14:paraId="0DD0732B"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nil"/>
              <w:right w:val="nil"/>
            </w:tcBorders>
            <w:noWrap/>
            <w:tcMar>
              <w:top w:w="15" w:type="dxa"/>
              <w:left w:w="15" w:type="dxa"/>
              <w:bottom w:w="0" w:type="dxa"/>
              <w:right w:w="15" w:type="dxa"/>
            </w:tcMar>
            <w:vAlign w:val="bottom"/>
          </w:tcPr>
          <w:p w14:paraId="10DEEE46" w14:textId="16ECE2DC" w:rsidR="00D4356D" w:rsidRPr="00874351" w:rsidRDefault="00D4356D" w:rsidP="00D4356D">
            <w:pPr>
              <w:spacing w:after="0" w:line="240" w:lineRule="auto"/>
              <w:jc w:val="center"/>
              <w:rPr>
                <w:rFonts w:cstheme="minorHAnsi"/>
                <w:color w:val="000000"/>
              </w:rPr>
            </w:pPr>
            <w:r w:rsidRPr="00874351">
              <w:rPr>
                <w:rFonts w:cstheme="minorHAnsi"/>
                <w:color w:val="000000"/>
              </w:rPr>
              <w:t>1 meal/6 months</w:t>
            </w:r>
          </w:p>
        </w:tc>
        <w:tc>
          <w:tcPr>
            <w:tcW w:w="1080" w:type="dxa"/>
            <w:tcBorders>
              <w:left w:val="nil"/>
              <w:bottom w:val="nil"/>
              <w:right w:val="single" w:sz="4" w:space="0" w:color="auto"/>
            </w:tcBorders>
            <w:noWrap/>
            <w:tcMar>
              <w:top w:w="15" w:type="dxa"/>
              <w:left w:w="15" w:type="dxa"/>
              <w:bottom w:w="0" w:type="dxa"/>
              <w:right w:w="15" w:type="dxa"/>
            </w:tcMar>
            <w:vAlign w:val="bottom"/>
          </w:tcPr>
          <w:p w14:paraId="5367A901" w14:textId="18C7D9B5" w:rsidR="00D4356D" w:rsidRPr="00874351" w:rsidRDefault="00D4356D" w:rsidP="00D4356D">
            <w:pPr>
              <w:spacing w:after="0" w:line="240" w:lineRule="auto"/>
              <w:jc w:val="center"/>
              <w:rPr>
                <w:rFonts w:cstheme="minorHAnsi"/>
                <w:color w:val="000000"/>
              </w:rPr>
            </w:pPr>
            <w:r w:rsidRPr="00874351">
              <w:rPr>
                <w:rFonts w:cstheme="minorHAnsi"/>
                <w:color w:val="000000"/>
              </w:rPr>
              <w:t>0.62</w:t>
            </w:r>
          </w:p>
        </w:tc>
        <w:tc>
          <w:tcPr>
            <w:tcW w:w="1170" w:type="dxa"/>
            <w:tcBorders>
              <w:left w:val="single" w:sz="4" w:space="0" w:color="auto"/>
              <w:bottom w:val="nil"/>
              <w:right w:val="single" w:sz="4" w:space="0" w:color="auto"/>
            </w:tcBorders>
            <w:noWrap/>
            <w:tcMar>
              <w:top w:w="15" w:type="dxa"/>
              <w:left w:w="15" w:type="dxa"/>
              <w:bottom w:w="0" w:type="dxa"/>
              <w:right w:w="15" w:type="dxa"/>
            </w:tcMar>
            <w:vAlign w:val="center"/>
          </w:tcPr>
          <w:p w14:paraId="4ACB6055" w14:textId="62E77014"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40.6</w:t>
            </w:r>
          </w:p>
        </w:tc>
        <w:tc>
          <w:tcPr>
            <w:tcW w:w="1011" w:type="dxa"/>
            <w:tcBorders>
              <w:left w:val="nil"/>
              <w:bottom w:val="nil"/>
              <w:right w:val="single" w:sz="4" w:space="0" w:color="auto"/>
            </w:tcBorders>
            <w:shd w:val="clear" w:color="auto" w:fill="auto"/>
          </w:tcPr>
          <w:p w14:paraId="35D161C7" w14:textId="0391E2AA"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18,200</w:t>
            </w:r>
          </w:p>
        </w:tc>
        <w:tc>
          <w:tcPr>
            <w:tcW w:w="1011" w:type="dxa"/>
            <w:tcBorders>
              <w:left w:val="nil"/>
              <w:bottom w:val="nil"/>
              <w:right w:val="single" w:sz="4" w:space="0" w:color="auto"/>
            </w:tcBorders>
            <w:shd w:val="clear" w:color="auto" w:fill="auto"/>
          </w:tcPr>
          <w:p w14:paraId="616FBA8E" w14:textId="24ECB6B4"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406</w:t>
            </w:r>
          </w:p>
        </w:tc>
        <w:tc>
          <w:tcPr>
            <w:tcW w:w="1011" w:type="dxa"/>
            <w:tcBorders>
              <w:left w:val="nil"/>
              <w:bottom w:val="nil"/>
              <w:right w:val="single" w:sz="4" w:space="0" w:color="auto"/>
            </w:tcBorders>
            <w:shd w:val="clear" w:color="auto" w:fill="auto"/>
          </w:tcPr>
          <w:p w14:paraId="20E465A8" w14:textId="6297EDE4"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60.8</w:t>
            </w:r>
          </w:p>
        </w:tc>
        <w:tc>
          <w:tcPr>
            <w:tcW w:w="1011" w:type="dxa"/>
            <w:tcBorders>
              <w:left w:val="nil"/>
              <w:bottom w:val="nil"/>
              <w:right w:val="single" w:sz="4" w:space="0" w:color="auto"/>
            </w:tcBorders>
            <w:shd w:val="clear" w:color="auto" w:fill="auto"/>
          </w:tcPr>
          <w:p w14:paraId="06ADF32E" w14:textId="2FF5E0BD"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60.8</w:t>
            </w:r>
          </w:p>
        </w:tc>
      </w:tr>
      <w:tr w:rsidR="00D4356D" w14:paraId="70976722" w14:textId="5A56D7C4" w:rsidTr="00D4356D">
        <w:trPr>
          <w:trHeight w:val="288"/>
        </w:trPr>
        <w:tc>
          <w:tcPr>
            <w:tcW w:w="1421" w:type="dxa"/>
            <w:vMerge/>
            <w:tcBorders>
              <w:left w:val="single" w:sz="4" w:space="0" w:color="auto"/>
              <w:right w:val="nil"/>
            </w:tcBorders>
            <w:noWrap/>
            <w:tcMar>
              <w:top w:w="15" w:type="dxa"/>
              <w:left w:w="15" w:type="dxa"/>
              <w:bottom w:w="0" w:type="dxa"/>
              <w:right w:w="15" w:type="dxa"/>
            </w:tcMar>
            <w:vAlign w:val="center"/>
          </w:tcPr>
          <w:p w14:paraId="7FA9605B"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nil"/>
              <w:right w:val="nil"/>
            </w:tcBorders>
            <w:noWrap/>
            <w:tcMar>
              <w:top w:w="15" w:type="dxa"/>
              <w:left w:w="15" w:type="dxa"/>
              <w:bottom w:w="0" w:type="dxa"/>
              <w:right w:w="15" w:type="dxa"/>
            </w:tcMar>
            <w:vAlign w:val="bottom"/>
          </w:tcPr>
          <w:p w14:paraId="1FE27E8B" w14:textId="490EF054" w:rsidR="00D4356D" w:rsidRPr="00874351" w:rsidRDefault="00D4356D" w:rsidP="00D4356D">
            <w:pPr>
              <w:spacing w:after="0" w:line="240" w:lineRule="auto"/>
              <w:jc w:val="center"/>
              <w:rPr>
                <w:rFonts w:cstheme="minorHAnsi"/>
                <w:color w:val="000000"/>
              </w:rPr>
            </w:pPr>
            <w:r w:rsidRPr="00874351">
              <w:rPr>
                <w:rFonts w:cstheme="minorHAnsi"/>
                <w:color w:val="000000"/>
              </w:rPr>
              <w:t>1 meal/year</w:t>
            </w:r>
          </w:p>
        </w:tc>
        <w:tc>
          <w:tcPr>
            <w:tcW w:w="1080" w:type="dxa"/>
            <w:tcBorders>
              <w:left w:val="nil"/>
              <w:bottom w:val="nil"/>
              <w:right w:val="single" w:sz="4" w:space="0" w:color="auto"/>
            </w:tcBorders>
            <w:noWrap/>
            <w:tcMar>
              <w:top w:w="15" w:type="dxa"/>
              <w:left w:w="15" w:type="dxa"/>
              <w:bottom w:w="0" w:type="dxa"/>
              <w:right w:w="15" w:type="dxa"/>
            </w:tcMar>
            <w:vAlign w:val="bottom"/>
          </w:tcPr>
          <w:p w14:paraId="4F1D5B29" w14:textId="5D26AD8A" w:rsidR="00D4356D" w:rsidRPr="00874351" w:rsidRDefault="00D4356D" w:rsidP="00D4356D">
            <w:pPr>
              <w:spacing w:after="0" w:line="240" w:lineRule="auto"/>
              <w:jc w:val="center"/>
              <w:rPr>
                <w:rFonts w:cstheme="minorHAnsi"/>
                <w:color w:val="000000"/>
              </w:rPr>
            </w:pPr>
            <w:r w:rsidRPr="00874351">
              <w:rPr>
                <w:rFonts w:cstheme="minorHAnsi"/>
                <w:color w:val="000000"/>
              </w:rPr>
              <w:t>0.31</w:t>
            </w:r>
          </w:p>
        </w:tc>
        <w:tc>
          <w:tcPr>
            <w:tcW w:w="1170" w:type="dxa"/>
            <w:tcBorders>
              <w:left w:val="single" w:sz="4" w:space="0" w:color="auto"/>
              <w:bottom w:val="nil"/>
              <w:right w:val="single" w:sz="4" w:space="0" w:color="auto"/>
            </w:tcBorders>
            <w:noWrap/>
            <w:tcMar>
              <w:top w:w="15" w:type="dxa"/>
              <w:left w:w="15" w:type="dxa"/>
              <w:bottom w:w="0" w:type="dxa"/>
              <w:right w:w="15" w:type="dxa"/>
            </w:tcMar>
            <w:vAlign w:val="center"/>
          </w:tcPr>
          <w:p w14:paraId="343F045E" w14:textId="63C393BE"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81.1</w:t>
            </w:r>
          </w:p>
        </w:tc>
        <w:tc>
          <w:tcPr>
            <w:tcW w:w="1011" w:type="dxa"/>
            <w:tcBorders>
              <w:left w:val="nil"/>
              <w:bottom w:val="nil"/>
              <w:right w:val="single" w:sz="4" w:space="0" w:color="auto"/>
            </w:tcBorders>
            <w:shd w:val="clear" w:color="auto" w:fill="auto"/>
          </w:tcPr>
          <w:p w14:paraId="0150CF3B" w14:textId="0EB158EC"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36,500</w:t>
            </w:r>
          </w:p>
        </w:tc>
        <w:tc>
          <w:tcPr>
            <w:tcW w:w="1011" w:type="dxa"/>
            <w:tcBorders>
              <w:left w:val="nil"/>
              <w:bottom w:val="nil"/>
              <w:right w:val="single" w:sz="4" w:space="0" w:color="auto"/>
            </w:tcBorders>
            <w:shd w:val="clear" w:color="auto" w:fill="auto"/>
          </w:tcPr>
          <w:p w14:paraId="4B06C7AC" w14:textId="2829EB3D"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811</w:t>
            </w:r>
          </w:p>
        </w:tc>
        <w:tc>
          <w:tcPr>
            <w:tcW w:w="1011" w:type="dxa"/>
            <w:tcBorders>
              <w:left w:val="nil"/>
              <w:bottom w:val="nil"/>
              <w:right w:val="single" w:sz="4" w:space="0" w:color="auto"/>
            </w:tcBorders>
            <w:shd w:val="clear" w:color="auto" w:fill="auto"/>
          </w:tcPr>
          <w:p w14:paraId="63C1FD00" w14:textId="798E3C29"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122</w:t>
            </w:r>
          </w:p>
        </w:tc>
        <w:tc>
          <w:tcPr>
            <w:tcW w:w="1011" w:type="dxa"/>
            <w:tcBorders>
              <w:left w:val="nil"/>
              <w:bottom w:val="nil"/>
              <w:right w:val="single" w:sz="4" w:space="0" w:color="auto"/>
            </w:tcBorders>
            <w:shd w:val="clear" w:color="auto" w:fill="auto"/>
          </w:tcPr>
          <w:p w14:paraId="50A072E9" w14:textId="605826B8"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122</w:t>
            </w:r>
          </w:p>
        </w:tc>
      </w:tr>
      <w:tr w:rsidR="00D4356D" w14:paraId="072E8B35" w14:textId="36654663" w:rsidTr="00D4356D">
        <w:trPr>
          <w:trHeight w:val="288"/>
        </w:trPr>
        <w:tc>
          <w:tcPr>
            <w:tcW w:w="1421" w:type="dxa"/>
            <w:vMerge/>
            <w:tcBorders>
              <w:left w:val="single" w:sz="4" w:space="0" w:color="auto"/>
              <w:bottom w:val="single" w:sz="4" w:space="0" w:color="auto"/>
              <w:right w:val="nil"/>
            </w:tcBorders>
            <w:noWrap/>
            <w:tcMar>
              <w:top w:w="15" w:type="dxa"/>
              <w:left w:w="15" w:type="dxa"/>
              <w:bottom w:w="0" w:type="dxa"/>
              <w:right w:w="15" w:type="dxa"/>
            </w:tcMar>
            <w:vAlign w:val="center"/>
          </w:tcPr>
          <w:p w14:paraId="48F4B630" w14:textId="77777777" w:rsidR="00D4356D" w:rsidRPr="00874351" w:rsidRDefault="00D4356D" w:rsidP="00D4356D">
            <w:pPr>
              <w:spacing w:after="0" w:line="240" w:lineRule="auto"/>
              <w:jc w:val="center"/>
              <w:rPr>
                <w:rFonts w:cstheme="minorHAnsi"/>
                <w:b/>
                <w:bCs/>
                <w:color w:val="000000"/>
              </w:rPr>
            </w:pPr>
          </w:p>
        </w:tc>
        <w:tc>
          <w:tcPr>
            <w:tcW w:w="1800" w:type="dxa"/>
            <w:tcBorders>
              <w:left w:val="nil"/>
              <w:bottom w:val="single" w:sz="4" w:space="0" w:color="auto"/>
              <w:right w:val="nil"/>
            </w:tcBorders>
            <w:noWrap/>
            <w:tcMar>
              <w:top w:w="15" w:type="dxa"/>
              <w:left w:w="15" w:type="dxa"/>
              <w:bottom w:w="0" w:type="dxa"/>
              <w:right w:w="15" w:type="dxa"/>
            </w:tcMar>
            <w:vAlign w:val="bottom"/>
          </w:tcPr>
          <w:p w14:paraId="6EFE32A4" w14:textId="38D97015" w:rsidR="00D4356D" w:rsidRPr="00874351" w:rsidRDefault="00D4356D" w:rsidP="00D4356D">
            <w:pPr>
              <w:spacing w:after="0" w:line="240" w:lineRule="auto"/>
              <w:jc w:val="center"/>
              <w:rPr>
                <w:rFonts w:cstheme="minorHAnsi"/>
                <w:color w:val="000000"/>
              </w:rPr>
            </w:pPr>
            <w:r w:rsidRPr="00874351">
              <w:rPr>
                <w:rFonts w:cstheme="minorHAnsi"/>
                <w:color w:val="000000"/>
              </w:rPr>
              <w:t>Do Not Consume</w:t>
            </w:r>
          </w:p>
        </w:tc>
        <w:tc>
          <w:tcPr>
            <w:tcW w:w="1080" w:type="dxa"/>
            <w:tcBorders>
              <w:left w:val="nil"/>
              <w:bottom w:val="single" w:sz="4" w:space="0" w:color="auto"/>
              <w:right w:val="single" w:sz="4" w:space="0" w:color="auto"/>
            </w:tcBorders>
            <w:noWrap/>
            <w:tcMar>
              <w:top w:w="15" w:type="dxa"/>
              <w:left w:w="15" w:type="dxa"/>
              <w:bottom w:w="0" w:type="dxa"/>
              <w:right w:w="15" w:type="dxa"/>
            </w:tcMar>
            <w:vAlign w:val="bottom"/>
          </w:tcPr>
          <w:p w14:paraId="28E9AA4D" w14:textId="08AD9911" w:rsidR="00D4356D" w:rsidRPr="00874351" w:rsidRDefault="00D4356D" w:rsidP="00D4356D">
            <w:pPr>
              <w:spacing w:after="0" w:line="240" w:lineRule="auto"/>
              <w:jc w:val="center"/>
              <w:rPr>
                <w:rFonts w:cstheme="minorHAnsi"/>
                <w:color w:val="000000"/>
              </w:rPr>
            </w:pPr>
            <w:r w:rsidRPr="00874351">
              <w:rPr>
                <w:rFonts w:cstheme="minorHAnsi"/>
                <w:color w:val="000000"/>
              </w:rPr>
              <w:t>--</w:t>
            </w:r>
          </w:p>
        </w:tc>
        <w:tc>
          <w:tcPr>
            <w:tcW w:w="1170" w:type="dxa"/>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371508" w14:textId="44ACFBF3" w:rsidR="00D4356D" w:rsidRPr="00874351" w:rsidRDefault="00D4356D" w:rsidP="00D4356D">
            <w:pPr>
              <w:spacing w:after="0" w:line="240" w:lineRule="auto"/>
              <w:jc w:val="center"/>
              <w:rPr>
                <w:rFonts w:cstheme="minorHAnsi"/>
                <w:color w:val="000000"/>
              </w:rPr>
            </w:pPr>
            <w:r w:rsidRPr="00874351">
              <w:rPr>
                <w:rFonts w:cstheme="minorHAnsi"/>
                <w:color w:val="000000"/>
              </w:rPr>
              <w:t>&gt;</w:t>
            </w:r>
            <w:r>
              <w:rPr>
                <w:rFonts w:cstheme="minorHAnsi"/>
                <w:color w:val="000000"/>
              </w:rPr>
              <w:t xml:space="preserve"> </w:t>
            </w:r>
            <w:r w:rsidRPr="00874351">
              <w:rPr>
                <w:rFonts w:cstheme="minorHAnsi"/>
                <w:color w:val="000000"/>
              </w:rPr>
              <w:t>81.1</w:t>
            </w:r>
          </w:p>
        </w:tc>
        <w:tc>
          <w:tcPr>
            <w:tcW w:w="1011" w:type="dxa"/>
            <w:tcBorders>
              <w:left w:val="nil"/>
              <w:bottom w:val="single" w:sz="4" w:space="0" w:color="auto"/>
              <w:right w:val="single" w:sz="4" w:space="0" w:color="auto"/>
            </w:tcBorders>
            <w:shd w:val="clear" w:color="auto" w:fill="auto"/>
          </w:tcPr>
          <w:p w14:paraId="454056C7" w14:textId="347F25C4" w:rsidR="00D4356D" w:rsidRPr="00F16FC4" w:rsidRDefault="00D4356D" w:rsidP="00D4356D">
            <w:pPr>
              <w:spacing w:after="0" w:line="240" w:lineRule="auto"/>
              <w:jc w:val="center"/>
              <w:rPr>
                <w:rFonts w:cstheme="minorHAnsi"/>
                <w:color w:val="000000"/>
              </w:rPr>
            </w:pPr>
            <w:r>
              <w:rPr>
                <w:rFonts w:cstheme="minorHAnsi"/>
                <w:color w:val="000000"/>
              </w:rPr>
              <w:t>&gt; 36,500</w:t>
            </w:r>
          </w:p>
        </w:tc>
        <w:tc>
          <w:tcPr>
            <w:tcW w:w="1011" w:type="dxa"/>
            <w:tcBorders>
              <w:left w:val="nil"/>
              <w:bottom w:val="single" w:sz="4" w:space="0" w:color="auto"/>
              <w:right w:val="single" w:sz="4" w:space="0" w:color="auto"/>
            </w:tcBorders>
            <w:shd w:val="clear" w:color="auto" w:fill="auto"/>
          </w:tcPr>
          <w:p w14:paraId="190CDF13" w14:textId="307B0DDE" w:rsidR="00D4356D" w:rsidRPr="00F16FC4" w:rsidRDefault="00D4356D" w:rsidP="00D4356D">
            <w:pPr>
              <w:spacing w:after="0" w:line="240" w:lineRule="auto"/>
              <w:jc w:val="center"/>
              <w:rPr>
                <w:rFonts w:cstheme="minorHAnsi"/>
                <w:color w:val="000000"/>
              </w:rPr>
            </w:pPr>
            <w:r>
              <w:rPr>
                <w:rFonts w:cstheme="minorHAnsi"/>
                <w:color w:val="000000"/>
              </w:rPr>
              <w:t>&gt; 811</w:t>
            </w:r>
          </w:p>
        </w:tc>
        <w:tc>
          <w:tcPr>
            <w:tcW w:w="1011" w:type="dxa"/>
            <w:tcBorders>
              <w:left w:val="nil"/>
              <w:bottom w:val="single" w:sz="4" w:space="0" w:color="auto"/>
              <w:right w:val="single" w:sz="4" w:space="0" w:color="auto"/>
            </w:tcBorders>
            <w:shd w:val="clear" w:color="auto" w:fill="auto"/>
          </w:tcPr>
          <w:p w14:paraId="286DDE04" w14:textId="2B453558" w:rsidR="00D4356D" w:rsidRPr="00F16FC4" w:rsidRDefault="00D4356D" w:rsidP="00D4356D">
            <w:pPr>
              <w:spacing w:after="0" w:line="240" w:lineRule="auto"/>
              <w:jc w:val="center"/>
              <w:rPr>
                <w:rFonts w:cstheme="minorHAnsi"/>
                <w:color w:val="000000"/>
              </w:rPr>
            </w:pPr>
            <w:r>
              <w:rPr>
                <w:rFonts w:cstheme="minorHAnsi"/>
                <w:color w:val="000000"/>
              </w:rPr>
              <w:t>&gt; 122</w:t>
            </w:r>
          </w:p>
        </w:tc>
        <w:tc>
          <w:tcPr>
            <w:tcW w:w="1011" w:type="dxa"/>
            <w:tcBorders>
              <w:left w:val="nil"/>
              <w:bottom w:val="single" w:sz="4" w:space="0" w:color="auto"/>
              <w:right w:val="single" w:sz="4" w:space="0" w:color="auto"/>
            </w:tcBorders>
            <w:shd w:val="clear" w:color="auto" w:fill="auto"/>
          </w:tcPr>
          <w:p w14:paraId="664A1376" w14:textId="6044BACC" w:rsidR="00D4356D" w:rsidRPr="00F16FC4" w:rsidRDefault="00D4356D" w:rsidP="00D4356D">
            <w:pPr>
              <w:spacing w:after="0" w:line="240" w:lineRule="auto"/>
              <w:jc w:val="center"/>
              <w:rPr>
                <w:rFonts w:cstheme="minorHAnsi"/>
                <w:color w:val="000000"/>
              </w:rPr>
            </w:pPr>
            <w:r>
              <w:rPr>
                <w:rFonts w:cstheme="minorHAnsi"/>
                <w:color w:val="000000"/>
              </w:rPr>
              <w:t>&gt; 122</w:t>
            </w:r>
          </w:p>
        </w:tc>
      </w:tr>
      <w:tr w:rsidR="00D4356D" w14:paraId="76F1D787" w14:textId="42D98B5B" w:rsidTr="00D4356D">
        <w:trPr>
          <w:trHeight w:val="288"/>
        </w:trPr>
        <w:tc>
          <w:tcPr>
            <w:tcW w:w="1421" w:type="dxa"/>
            <w:vMerge w:val="restar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121CB56" w14:textId="5146804D" w:rsidR="00D4356D" w:rsidRPr="00874351" w:rsidRDefault="00D4356D" w:rsidP="00D4356D">
            <w:pPr>
              <w:jc w:val="center"/>
              <w:rPr>
                <w:rFonts w:cstheme="minorHAnsi"/>
                <w:b/>
                <w:bCs/>
                <w:color w:val="000000"/>
              </w:rPr>
            </w:pPr>
            <w:r w:rsidRPr="00874351">
              <w:rPr>
                <w:rFonts w:cstheme="minorHAnsi"/>
                <w:b/>
                <w:bCs/>
                <w:color w:val="000000"/>
              </w:rPr>
              <w:t xml:space="preserve">General </w:t>
            </w:r>
            <w:proofErr w:type="spellStart"/>
            <w:r w:rsidRPr="00874351">
              <w:rPr>
                <w:rFonts w:cstheme="minorHAnsi"/>
                <w:b/>
                <w:bCs/>
                <w:color w:val="000000"/>
              </w:rPr>
              <w:t>Population</w:t>
            </w:r>
            <w:r w:rsidRPr="00874351">
              <w:rPr>
                <w:rFonts w:cstheme="minorHAnsi"/>
                <w:b/>
                <w:bCs/>
                <w:i/>
                <w:iCs/>
                <w:color w:val="000000"/>
                <w:vertAlign w:val="superscript"/>
              </w:rPr>
              <w:t>b</w:t>
            </w:r>
            <w:proofErr w:type="spellEnd"/>
          </w:p>
        </w:tc>
        <w:tc>
          <w:tcPr>
            <w:tcW w:w="1800" w:type="dxa"/>
            <w:tcBorders>
              <w:top w:val="single" w:sz="4" w:space="0" w:color="auto"/>
              <w:left w:val="nil"/>
              <w:bottom w:val="nil"/>
              <w:right w:val="nil"/>
            </w:tcBorders>
            <w:noWrap/>
            <w:tcMar>
              <w:top w:w="15" w:type="dxa"/>
              <w:left w:w="15" w:type="dxa"/>
              <w:bottom w:w="0" w:type="dxa"/>
              <w:right w:w="15" w:type="dxa"/>
            </w:tcMar>
            <w:vAlign w:val="bottom"/>
            <w:hideMark/>
          </w:tcPr>
          <w:p w14:paraId="58824C80"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 meal/day</w:t>
            </w:r>
          </w:p>
        </w:tc>
        <w:tc>
          <w:tcPr>
            <w:tcW w:w="1080"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14:paraId="1DE5D1CB"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226.8</w:t>
            </w:r>
          </w:p>
        </w:tc>
        <w:tc>
          <w:tcPr>
            <w:tcW w:w="117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14AE1F42" w14:textId="13E10C63" w:rsidR="00D4356D" w:rsidRPr="00874351" w:rsidRDefault="00D4356D" w:rsidP="00D4356D">
            <w:pPr>
              <w:spacing w:after="0" w:line="240" w:lineRule="auto"/>
              <w:jc w:val="center"/>
              <w:rPr>
                <w:rFonts w:cstheme="minorHAnsi"/>
                <w:color w:val="000000"/>
              </w:rPr>
            </w:pPr>
            <w:r w:rsidRPr="00874351">
              <w:rPr>
                <w:rFonts w:cstheme="minorHAnsi"/>
                <w:color w:val="000000"/>
              </w:rPr>
              <w:t xml:space="preserve"> </w:t>
            </w:r>
            <w:r w:rsidRPr="00874351">
              <w:rPr>
                <w:rFonts w:cstheme="minorHAnsi"/>
                <w:color w:val="000000"/>
                <w:u w:val="single"/>
              </w:rPr>
              <w:t>&lt;</w:t>
            </w:r>
            <w:r w:rsidRPr="00874351">
              <w:rPr>
                <w:rFonts w:cstheme="minorHAnsi"/>
                <w:color w:val="000000"/>
              </w:rPr>
              <w:t xml:space="preserve"> 0.50</w:t>
            </w:r>
          </w:p>
        </w:tc>
        <w:tc>
          <w:tcPr>
            <w:tcW w:w="1011" w:type="dxa"/>
            <w:tcBorders>
              <w:top w:val="single" w:sz="4" w:space="0" w:color="auto"/>
              <w:left w:val="nil"/>
              <w:bottom w:val="nil"/>
              <w:right w:val="single" w:sz="4" w:space="0" w:color="auto"/>
            </w:tcBorders>
            <w:shd w:val="clear" w:color="auto" w:fill="auto"/>
          </w:tcPr>
          <w:p w14:paraId="56E6E9E3" w14:textId="3A7016FC" w:rsidR="00D4356D" w:rsidRPr="00874351"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225</w:t>
            </w:r>
          </w:p>
        </w:tc>
        <w:tc>
          <w:tcPr>
            <w:tcW w:w="1011" w:type="dxa"/>
            <w:tcBorders>
              <w:top w:val="single" w:sz="4" w:space="0" w:color="auto"/>
              <w:left w:val="nil"/>
              <w:bottom w:val="nil"/>
              <w:right w:val="single" w:sz="4" w:space="0" w:color="auto"/>
            </w:tcBorders>
            <w:shd w:val="clear" w:color="auto" w:fill="auto"/>
          </w:tcPr>
          <w:p w14:paraId="4AFF7125" w14:textId="6B324073" w:rsidR="00D4356D" w:rsidRPr="00874351"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5.01</w:t>
            </w:r>
          </w:p>
        </w:tc>
        <w:tc>
          <w:tcPr>
            <w:tcW w:w="1011" w:type="dxa"/>
            <w:tcBorders>
              <w:top w:val="single" w:sz="4" w:space="0" w:color="auto"/>
              <w:left w:val="nil"/>
              <w:bottom w:val="nil"/>
              <w:right w:val="single" w:sz="4" w:space="0" w:color="auto"/>
            </w:tcBorders>
            <w:shd w:val="clear" w:color="auto" w:fill="auto"/>
          </w:tcPr>
          <w:p w14:paraId="69087D01" w14:textId="60A6E628" w:rsidR="00D4356D" w:rsidRPr="00874351"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0.75</w:t>
            </w:r>
          </w:p>
        </w:tc>
        <w:tc>
          <w:tcPr>
            <w:tcW w:w="1011" w:type="dxa"/>
            <w:tcBorders>
              <w:top w:val="single" w:sz="4" w:space="0" w:color="auto"/>
              <w:left w:val="nil"/>
              <w:bottom w:val="nil"/>
              <w:right w:val="single" w:sz="4" w:space="0" w:color="auto"/>
            </w:tcBorders>
            <w:shd w:val="clear" w:color="auto" w:fill="auto"/>
          </w:tcPr>
          <w:p w14:paraId="2EC3F4B5" w14:textId="1088F835" w:rsidR="00D4356D" w:rsidRPr="00874351"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0.75</w:t>
            </w:r>
          </w:p>
        </w:tc>
      </w:tr>
      <w:tr w:rsidR="00D4356D" w14:paraId="7FAB2EEA" w14:textId="2E8F84A5"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36E64ADB" w14:textId="77777777" w:rsidR="00D4356D" w:rsidRPr="00874351" w:rsidRDefault="00D4356D" w:rsidP="00D4356D">
            <w:pPr>
              <w:rPr>
                <w:rFonts w:cstheme="minorHAnsi"/>
                <w:b/>
                <w:bCs/>
                <w:color w:val="000000"/>
              </w:rPr>
            </w:pPr>
          </w:p>
        </w:tc>
        <w:tc>
          <w:tcPr>
            <w:tcW w:w="1800" w:type="dxa"/>
            <w:noWrap/>
            <w:tcMar>
              <w:top w:w="15" w:type="dxa"/>
              <w:left w:w="15" w:type="dxa"/>
              <w:bottom w:w="0" w:type="dxa"/>
              <w:right w:w="15" w:type="dxa"/>
            </w:tcMar>
            <w:vAlign w:val="bottom"/>
            <w:hideMark/>
          </w:tcPr>
          <w:p w14:paraId="3BD2944B"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2 meals/week</w:t>
            </w:r>
          </w:p>
        </w:tc>
        <w:tc>
          <w:tcPr>
            <w:tcW w:w="1080" w:type="dxa"/>
            <w:tcBorders>
              <w:right w:val="single" w:sz="4" w:space="0" w:color="auto"/>
            </w:tcBorders>
            <w:noWrap/>
            <w:tcMar>
              <w:top w:w="15" w:type="dxa"/>
              <w:left w:w="15" w:type="dxa"/>
              <w:bottom w:w="0" w:type="dxa"/>
              <w:right w:w="15" w:type="dxa"/>
            </w:tcMar>
            <w:vAlign w:val="bottom"/>
            <w:hideMark/>
          </w:tcPr>
          <w:p w14:paraId="5EF1EDE6"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64.6</w:t>
            </w:r>
          </w:p>
        </w:tc>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02408140" w14:textId="71429D7B"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w:t>
            </w:r>
            <w:r>
              <w:rPr>
                <w:rFonts w:cstheme="minorHAnsi"/>
                <w:color w:val="000000"/>
              </w:rPr>
              <w:t>1.76</w:t>
            </w:r>
          </w:p>
        </w:tc>
        <w:tc>
          <w:tcPr>
            <w:tcW w:w="1011" w:type="dxa"/>
            <w:tcBorders>
              <w:top w:val="nil"/>
              <w:left w:val="nil"/>
              <w:bottom w:val="nil"/>
              <w:right w:val="single" w:sz="4" w:space="0" w:color="auto"/>
            </w:tcBorders>
            <w:shd w:val="clear" w:color="auto" w:fill="auto"/>
          </w:tcPr>
          <w:p w14:paraId="7EF47B85" w14:textId="792E8714"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sidRPr="00F16FC4">
              <w:rPr>
                <w:rFonts w:cstheme="minorHAnsi"/>
                <w:color w:val="000000"/>
              </w:rPr>
              <w:t>791</w:t>
            </w:r>
          </w:p>
        </w:tc>
        <w:tc>
          <w:tcPr>
            <w:tcW w:w="1011" w:type="dxa"/>
            <w:tcBorders>
              <w:top w:val="nil"/>
              <w:left w:val="nil"/>
              <w:bottom w:val="nil"/>
              <w:right w:val="single" w:sz="4" w:space="0" w:color="auto"/>
            </w:tcBorders>
            <w:shd w:val="clear" w:color="auto" w:fill="auto"/>
          </w:tcPr>
          <w:p w14:paraId="71E0FB6C" w14:textId="01DF6BF3"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17.6</w:t>
            </w:r>
          </w:p>
        </w:tc>
        <w:tc>
          <w:tcPr>
            <w:tcW w:w="1011" w:type="dxa"/>
            <w:tcBorders>
              <w:top w:val="nil"/>
              <w:left w:val="nil"/>
              <w:bottom w:val="nil"/>
              <w:right w:val="single" w:sz="4" w:space="0" w:color="auto"/>
            </w:tcBorders>
            <w:shd w:val="clear" w:color="auto" w:fill="auto"/>
          </w:tcPr>
          <w:p w14:paraId="60838ABA" w14:textId="7DD870B5"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2.64</w:t>
            </w:r>
          </w:p>
        </w:tc>
        <w:tc>
          <w:tcPr>
            <w:tcW w:w="1011" w:type="dxa"/>
            <w:tcBorders>
              <w:top w:val="nil"/>
              <w:left w:val="nil"/>
              <w:bottom w:val="nil"/>
              <w:right w:val="single" w:sz="4" w:space="0" w:color="auto"/>
            </w:tcBorders>
            <w:shd w:val="clear" w:color="auto" w:fill="auto"/>
          </w:tcPr>
          <w:p w14:paraId="52E06CF5" w14:textId="30F00864" w:rsidR="00D4356D" w:rsidRPr="00874351" w:rsidRDefault="00D4356D" w:rsidP="00D4356D">
            <w:pPr>
              <w:spacing w:after="0" w:line="240" w:lineRule="auto"/>
              <w:jc w:val="center"/>
              <w:rPr>
                <w:rFonts w:cstheme="minorHAnsi"/>
                <w:color w:val="000000"/>
                <w:u w:val="single"/>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2.64</w:t>
            </w:r>
          </w:p>
        </w:tc>
      </w:tr>
      <w:tr w:rsidR="00D4356D" w14:paraId="30BE35E4" w14:textId="06C0C3A1"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6533CFD4" w14:textId="77777777" w:rsidR="00D4356D" w:rsidRPr="00874351" w:rsidRDefault="00D4356D" w:rsidP="00D4356D">
            <w:pPr>
              <w:rPr>
                <w:rFonts w:cstheme="minorHAnsi"/>
                <w:b/>
                <w:bCs/>
                <w:color w:val="000000"/>
              </w:rPr>
            </w:pPr>
          </w:p>
        </w:tc>
        <w:tc>
          <w:tcPr>
            <w:tcW w:w="1800" w:type="dxa"/>
            <w:noWrap/>
            <w:tcMar>
              <w:top w:w="15" w:type="dxa"/>
              <w:left w:w="15" w:type="dxa"/>
              <w:bottom w:w="0" w:type="dxa"/>
              <w:right w:w="15" w:type="dxa"/>
            </w:tcMar>
            <w:vAlign w:val="bottom"/>
            <w:hideMark/>
          </w:tcPr>
          <w:p w14:paraId="0FB8DC7F"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 meal/week</w:t>
            </w:r>
          </w:p>
        </w:tc>
        <w:tc>
          <w:tcPr>
            <w:tcW w:w="1080" w:type="dxa"/>
            <w:tcBorders>
              <w:right w:val="single" w:sz="4" w:space="0" w:color="auto"/>
            </w:tcBorders>
            <w:noWrap/>
            <w:tcMar>
              <w:top w:w="15" w:type="dxa"/>
              <w:left w:w="15" w:type="dxa"/>
              <w:bottom w:w="0" w:type="dxa"/>
              <w:right w:w="15" w:type="dxa"/>
            </w:tcMar>
            <w:vAlign w:val="bottom"/>
            <w:hideMark/>
          </w:tcPr>
          <w:p w14:paraId="2553BD4D"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32.3</w:t>
            </w:r>
          </w:p>
        </w:tc>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1891E9AC" w14:textId="20BF140D"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w:t>
            </w:r>
            <w:r>
              <w:rPr>
                <w:rFonts w:cstheme="minorHAnsi"/>
                <w:color w:val="000000"/>
              </w:rPr>
              <w:t>3.52</w:t>
            </w:r>
          </w:p>
        </w:tc>
        <w:tc>
          <w:tcPr>
            <w:tcW w:w="1011" w:type="dxa"/>
            <w:tcBorders>
              <w:top w:val="nil"/>
              <w:left w:val="nil"/>
              <w:bottom w:val="nil"/>
              <w:right w:val="single" w:sz="4" w:space="0" w:color="auto"/>
            </w:tcBorders>
            <w:shd w:val="clear" w:color="auto" w:fill="auto"/>
          </w:tcPr>
          <w:p w14:paraId="484EEA2C" w14:textId="0900F9B0"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1,580</w:t>
            </w:r>
          </w:p>
        </w:tc>
        <w:tc>
          <w:tcPr>
            <w:tcW w:w="1011" w:type="dxa"/>
            <w:tcBorders>
              <w:top w:val="nil"/>
              <w:left w:val="nil"/>
              <w:bottom w:val="nil"/>
              <w:right w:val="single" w:sz="4" w:space="0" w:color="auto"/>
            </w:tcBorders>
            <w:shd w:val="clear" w:color="auto" w:fill="auto"/>
          </w:tcPr>
          <w:p w14:paraId="113B654C" w14:textId="733CF99A"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35.2</w:t>
            </w:r>
          </w:p>
        </w:tc>
        <w:tc>
          <w:tcPr>
            <w:tcW w:w="1011" w:type="dxa"/>
            <w:tcBorders>
              <w:top w:val="nil"/>
              <w:left w:val="nil"/>
              <w:bottom w:val="nil"/>
              <w:right w:val="single" w:sz="4" w:space="0" w:color="auto"/>
            </w:tcBorders>
            <w:shd w:val="clear" w:color="auto" w:fill="auto"/>
          </w:tcPr>
          <w:p w14:paraId="6110BF96" w14:textId="7368CA55"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5.27</w:t>
            </w:r>
          </w:p>
        </w:tc>
        <w:tc>
          <w:tcPr>
            <w:tcW w:w="1011" w:type="dxa"/>
            <w:tcBorders>
              <w:top w:val="nil"/>
              <w:left w:val="nil"/>
              <w:bottom w:val="nil"/>
              <w:right w:val="single" w:sz="4" w:space="0" w:color="auto"/>
            </w:tcBorders>
            <w:shd w:val="clear" w:color="auto" w:fill="auto"/>
          </w:tcPr>
          <w:p w14:paraId="2C1DBC0D" w14:textId="5DCC9A77" w:rsidR="00D4356D" w:rsidRPr="00874351" w:rsidRDefault="00D4356D" w:rsidP="00D4356D">
            <w:pPr>
              <w:spacing w:after="0" w:line="240" w:lineRule="auto"/>
              <w:jc w:val="center"/>
              <w:rPr>
                <w:rFonts w:cstheme="minorHAnsi"/>
                <w:color w:val="000000"/>
                <w:u w:val="single"/>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5.27</w:t>
            </w:r>
          </w:p>
        </w:tc>
      </w:tr>
      <w:tr w:rsidR="00D4356D" w14:paraId="24279D89" w14:textId="0BC3F9EB"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0C262D78" w14:textId="77777777" w:rsidR="00D4356D" w:rsidRPr="00874351" w:rsidRDefault="00D4356D" w:rsidP="00D4356D">
            <w:pPr>
              <w:rPr>
                <w:rFonts w:cstheme="minorHAnsi"/>
                <w:b/>
                <w:bCs/>
                <w:color w:val="000000"/>
              </w:rPr>
            </w:pPr>
          </w:p>
        </w:tc>
        <w:tc>
          <w:tcPr>
            <w:tcW w:w="1800" w:type="dxa"/>
            <w:noWrap/>
            <w:tcMar>
              <w:top w:w="15" w:type="dxa"/>
              <w:left w:w="15" w:type="dxa"/>
              <w:bottom w:w="0" w:type="dxa"/>
              <w:right w:w="15" w:type="dxa"/>
            </w:tcMar>
            <w:vAlign w:val="bottom"/>
            <w:hideMark/>
          </w:tcPr>
          <w:p w14:paraId="2FAB0C91"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2 meals/month</w:t>
            </w:r>
          </w:p>
        </w:tc>
        <w:tc>
          <w:tcPr>
            <w:tcW w:w="1080" w:type="dxa"/>
            <w:tcBorders>
              <w:right w:val="single" w:sz="4" w:space="0" w:color="auto"/>
            </w:tcBorders>
            <w:noWrap/>
            <w:tcMar>
              <w:top w:w="15" w:type="dxa"/>
              <w:left w:w="15" w:type="dxa"/>
              <w:bottom w:w="0" w:type="dxa"/>
              <w:right w:w="15" w:type="dxa"/>
            </w:tcMar>
            <w:vAlign w:val="bottom"/>
            <w:hideMark/>
          </w:tcPr>
          <w:p w14:paraId="4001FE72"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14.9</w:t>
            </w:r>
          </w:p>
        </w:tc>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278B401F" w14:textId="7A02BBC9"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w:t>
            </w:r>
            <w:r>
              <w:rPr>
                <w:rFonts w:cstheme="minorHAnsi"/>
                <w:color w:val="000000"/>
              </w:rPr>
              <w:t>7.62</w:t>
            </w:r>
          </w:p>
        </w:tc>
        <w:tc>
          <w:tcPr>
            <w:tcW w:w="1011" w:type="dxa"/>
            <w:tcBorders>
              <w:top w:val="nil"/>
              <w:left w:val="nil"/>
              <w:bottom w:val="nil"/>
              <w:right w:val="single" w:sz="4" w:space="0" w:color="auto"/>
            </w:tcBorders>
            <w:shd w:val="clear" w:color="auto" w:fill="auto"/>
          </w:tcPr>
          <w:p w14:paraId="70D46D2D" w14:textId="05778C50"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3,420</w:t>
            </w:r>
          </w:p>
        </w:tc>
        <w:tc>
          <w:tcPr>
            <w:tcW w:w="1011" w:type="dxa"/>
            <w:tcBorders>
              <w:top w:val="nil"/>
              <w:left w:val="nil"/>
              <w:bottom w:val="nil"/>
              <w:right w:val="single" w:sz="4" w:space="0" w:color="auto"/>
            </w:tcBorders>
            <w:shd w:val="clear" w:color="auto" w:fill="auto"/>
          </w:tcPr>
          <w:p w14:paraId="444DD011" w14:textId="05408F39"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76.2</w:t>
            </w:r>
          </w:p>
        </w:tc>
        <w:tc>
          <w:tcPr>
            <w:tcW w:w="1011" w:type="dxa"/>
            <w:tcBorders>
              <w:top w:val="nil"/>
              <w:left w:val="nil"/>
              <w:bottom w:val="nil"/>
              <w:right w:val="single" w:sz="4" w:space="0" w:color="auto"/>
            </w:tcBorders>
            <w:shd w:val="clear" w:color="auto" w:fill="auto"/>
          </w:tcPr>
          <w:p w14:paraId="4DA65A7A" w14:textId="16272561"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11.4</w:t>
            </w:r>
          </w:p>
        </w:tc>
        <w:tc>
          <w:tcPr>
            <w:tcW w:w="1011" w:type="dxa"/>
            <w:tcBorders>
              <w:top w:val="nil"/>
              <w:left w:val="nil"/>
              <w:bottom w:val="nil"/>
              <w:right w:val="single" w:sz="4" w:space="0" w:color="auto"/>
            </w:tcBorders>
            <w:shd w:val="clear" w:color="auto" w:fill="auto"/>
          </w:tcPr>
          <w:p w14:paraId="785772E0" w14:textId="0D292B1A" w:rsidR="00D4356D" w:rsidRPr="00874351" w:rsidRDefault="00D4356D" w:rsidP="00D4356D">
            <w:pPr>
              <w:spacing w:after="0" w:line="240" w:lineRule="auto"/>
              <w:jc w:val="center"/>
              <w:rPr>
                <w:rFonts w:cstheme="minorHAnsi"/>
                <w:color w:val="000000"/>
                <w:u w:val="single"/>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11.4</w:t>
            </w:r>
          </w:p>
        </w:tc>
      </w:tr>
      <w:tr w:rsidR="00D4356D" w14:paraId="1B2B8C97" w14:textId="4DDEF8A8"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1ED3540F" w14:textId="77777777" w:rsidR="00D4356D" w:rsidRPr="00874351" w:rsidRDefault="00D4356D" w:rsidP="00D4356D">
            <w:pPr>
              <w:rPr>
                <w:rFonts w:cstheme="minorHAnsi"/>
                <w:b/>
                <w:bCs/>
                <w:color w:val="000000"/>
              </w:rPr>
            </w:pPr>
          </w:p>
        </w:tc>
        <w:tc>
          <w:tcPr>
            <w:tcW w:w="1800" w:type="dxa"/>
            <w:noWrap/>
            <w:tcMar>
              <w:top w:w="15" w:type="dxa"/>
              <w:left w:w="15" w:type="dxa"/>
              <w:bottom w:w="0" w:type="dxa"/>
              <w:right w:w="15" w:type="dxa"/>
            </w:tcMar>
            <w:vAlign w:val="bottom"/>
            <w:hideMark/>
          </w:tcPr>
          <w:p w14:paraId="2C4C7B46"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 meal/month</w:t>
            </w:r>
          </w:p>
        </w:tc>
        <w:tc>
          <w:tcPr>
            <w:tcW w:w="1080" w:type="dxa"/>
            <w:tcBorders>
              <w:right w:val="single" w:sz="4" w:space="0" w:color="auto"/>
            </w:tcBorders>
            <w:noWrap/>
            <w:tcMar>
              <w:top w:w="15" w:type="dxa"/>
              <w:left w:w="15" w:type="dxa"/>
              <w:bottom w:w="0" w:type="dxa"/>
              <w:right w:w="15" w:type="dxa"/>
            </w:tcMar>
            <w:vAlign w:val="bottom"/>
            <w:hideMark/>
          </w:tcPr>
          <w:p w14:paraId="6971E39D"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7.5</w:t>
            </w:r>
          </w:p>
        </w:tc>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5135E1FD" w14:textId="556341A2"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w:t>
            </w:r>
            <w:r>
              <w:rPr>
                <w:rFonts w:cstheme="minorHAnsi"/>
                <w:color w:val="000000"/>
              </w:rPr>
              <w:t>15.2</w:t>
            </w:r>
          </w:p>
        </w:tc>
        <w:tc>
          <w:tcPr>
            <w:tcW w:w="1011" w:type="dxa"/>
            <w:tcBorders>
              <w:top w:val="nil"/>
              <w:left w:val="nil"/>
              <w:bottom w:val="nil"/>
              <w:right w:val="single" w:sz="4" w:space="0" w:color="auto"/>
            </w:tcBorders>
            <w:shd w:val="clear" w:color="auto" w:fill="auto"/>
          </w:tcPr>
          <w:p w14:paraId="1E966475" w14:textId="564E9574"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6,850</w:t>
            </w:r>
          </w:p>
        </w:tc>
        <w:tc>
          <w:tcPr>
            <w:tcW w:w="1011" w:type="dxa"/>
            <w:tcBorders>
              <w:top w:val="nil"/>
              <w:left w:val="nil"/>
              <w:bottom w:val="nil"/>
              <w:right w:val="single" w:sz="4" w:space="0" w:color="auto"/>
            </w:tcBorders>
            <w:shd w:val="clear" w:color="auto" w:fill="auto"/>
          </w:tcPr>
          <w:p w14:paraId="7CB9A5E3" w14:textId="18C33515"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152</w:t>
            </w:r>
          </w:p>
        </w:tc>
        <w:tc>
          <w:tcPr>
            <w:tcW w:w="1011" w:type="dxa"/>
            <w:tcBorders>
              <w:top w:val="nil"/>
              <w:left w:val="nil"/>
              <w:bottom w:val="nil"/>
              <w:right w:val="single" w:sz="4" w:space="0" w:color="auto"/>
            </w:tcBorders>
            <w:shd w:val="clear" w:color="auto" w:fill="auto"/>
          </w:tcPr>
          <w:p w14:paraId="01D64212" w14:textId="76D1AF82"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22.8</w:t>
            </w:r>
          </w:p>
        </w:tc>
        <w:tc>
          <w:tcPr>
            <w:tcW w:w="1011" w:type="dxa"/>
            <w:tcBorders>
              <w:top w:val="nil"/>
              <w:left w:val="nil"/>
              <w:bottom w:val="nil"/>
              <w:right w:val="single" w:sz="4" w:space="0" w:color="auto"/>
            </w:tcBorders>
            <w:shd w:val="clear" w:color="auto" w:fill="auto"/>
          </w:tcPr>
          <w:p w14:paraId="7DF6137A" w14:textId="25ADADAE" w:rsidR="00D4356D" w:rsidRPr="00874351" w:rsidRDefault="00D4356D" w:rsidP="00D4356D">
            <w:pPr>
              <w:spacing w:after="0" w:line="240" w:lineRule="auto"/>
              <w:jc w:val="center"/>
              <w:rPr>
                <w:rFonts w:cstheme="minorHAnsi"/>
                <w:color w:val="000000"/>
                <w:u w:val="single"/>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22.8</w:t>
            </w:r>
          </w:p>
        </w:tc>
      </w:tr>
      <w:tr w:rsidR="00D4356D" w14:paraId="09899A9C" w14:textId="64563657"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70BD42FC" w14:textId="77777777" w:rsidR="00D4356D" w:rsidRPr="00874351" w:rsidRDefault="00D4356D" w:rsidP="00D4356D">
            <w:pPr>
              <w:rPr>
                <w:rFonts w:cstheme="minorHAnsi"/>
                <w:b/>
                <w:bCs/>
                <w:color w:val="000000"/>
              </w:rPr>
            </w:pPr>
          </w:p>
        </w:tc>
        <w:tc>
          <w:tcPr>
            <w:tcW w:w="1800" w:type="dxa"/>
            <w:noWrap/>
            <w:tcMar>
              <w:top w:w="15" w:type="dxa"/>
              <w:left w:w="15" w:type="dxa"/>
              <w:bottom w:w="0" w:type="dxa"/>
              <w:right w:w="15" w:type="dxa"/>
            </w:tcMar>
            <w:vAlign w:val="bottom"/>
            <w:hideMark/>
          </w:tcPr>
          <w:p w14:paraId="27BFBE5A"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 meal/2 months</w:t>
            </w:r>
          </w:p>
        </w:tc>
        <w:tc>
          <w:tcPr>
            <w:tcW w:w="1080" w:type="dxa"/>
            <w:tcBorders>
              <w:right w:val="single" w:sz="4" w:space="0" w:color="auto"/>
            </w:tcBorders>
            <w:noWrap/>
            <w:tcMar>
              <w:top w:w="15" w:type="dxa"/>
              <w:left w:w="15" w:type="dxa"/>
              <w:bottom w:w="0" w:type="dxa"/>
              <w:right w:w="15" w:type="dxa"/>
            </w:tcMar>
            <w:vAlign w:val="bottom"/>
            <w:hideMark/>
          </w:tcPr>
          <w:p w14:paraId="5EED779E"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3.7</w:t>
            </w:r>
          </w:p>
        </w:tc>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5712DBDD" w14:textId="469709B7"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w:t>
            </w:r>
            <w:r>
              <w:rPr>
                <w:rFonts w:cstheme="minorHAnsi"/>
                <w:color w:val="000000"/>
              </w:rPr>
              <w:t>30.5</w:t>
            </w:r>
          </w:p>
        </w:tc>
        <w:tc>
          <w:tcPr>
            <w:tcW w:w="1011" w:type="dxa"/>
            <w:tcBorders>
              <w:top w:val="nil"/>
              <w:left w:val="nil"/>
              <w:bottom w:val="nil"/>
              <w:right w:val="single" w:sz="4" w:space="0" w:color="auto"/>
            </w:tcBorders>
            <w:shd w:val="clear" w:color="auto" w:fill="auto"/>
          </w:tcPr>
          <w:p w14:paraId="1AAFF829" w14:textId="1FC86C6B"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13,700</w:t>
            </w:r>
          </w:p>
        </w:tc>
        <w:tc>
          <w:tcPr>
            <w:tcW w:w="1011" w:type="dxa"/>
            <w:tcBorders>
              <w:top w:val="nil"/>
              <w:left w:val="nil"/>
              <w:bottom w:val="nil"/>
              <w:right w:val="single" w:sz="4" w:space="0" w:color="auto"/>
            </w:tcBorders>
            <w:shd w:val="clear" w:color="auto" w:fill="auto"/>
          </w:tcPr>
          <w:p w14:paraId="0F26DEB2" w14:textId="13D82306"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305</w:t>
            </w:r>
          </w:p>
        </w:tc>
        <w:tc>
          <w:tcPr>
            <w:tcW w:w="1011" w:type="dxa"/>
            <w:tcBorders>
              <w:top w:val="nil"/>
              <w:left w:val="nil"/>
              <w:bottom w:val="nil"/>
              <w:right w:val="single" w:sz="4" w:space="0" w:color="auto"/>
            </w:tcBorders>
            <w:shd w:val="clear" w:color="auto" w:fill="auto"/>
          </w:tcPr>
          <w:p w14:paraId="17FF53A4" w14:textId="6547140C"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45.7</w:t>
            </w:r>
          </w:p>
        </w:tc>
        <w:tc>
          <w:tcPr>
            <w:tcW w:w="1011" w:type="dxa"/>
            <w:tcBorders>
              <w:top w:val="nil"/>
              <w:left w:val="nil"/>
              <w:bottom w:val="nil"/>
              <w:right w:val="single" w:sz="4" w:space="0" w:color="auto"/>
            </w:tcBorders>
            <w:shd w:val="clear" w:color="auto" w:fill="auto"/>
          </w:tcPr>
          <w:p w14:paraId="5A6F8DBB" w14:textId="615296F8" w:rsidR="00D4356D" w:rsidRPr="00874351" w:rsidRDefault="00D4356D" w:rsidP="00D4356D">
            <w:pPr>
              <w:spacing w:after="0" w:line="240" w:lineRule="auto"/>
              <w:jc w:val="center"/>
              <w:rPr>
                <w:rFonts w:cstheme="minorHAnsi"/>
                <w:color w:val="000000"/>
                <w:u w:val="single"/>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45.7</w:t>
            </w:r>
          </w:p>
        </w:tc>
      </w:tr>
      <w:tr w:rsidR="00D4356D" w14:paraId="100AB2CF" w14:textId="049D2EE1"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7EFD06AB" w14:textId="77777777" w:rsidR="00D4356D" w:rsidRPr="00874351" w:rsidRDefault="00D4356D" w:rsidP="00D4356D">
            <w:pPr>
              <w:rPr>
                <w:rFonts w:cstheme="minorHAnsi"/>
                <w:b/>
                <w:bCs/>
                <w:color w:val="000000"/>
              </w:rPr>
            </w:pPr>
          </w:p>
        </w:tc>
        <w:tc>
          <w:tcPr>
            <w:tcW w:w="1800" w:type="dxa"/>
            <w:noWrap/>
            <w:tcMar>
              <w:top w:w="15" w:type="dxa"/>
              <w:left w:w="15" w:type="dxa"/>
              <w:bottom w:w="0" w:type="dxa"/>
              <w:right w:w="15" w:type="dxa"/>
            </w:tcMar>
            <w:vAlign w:val="bottom"/>
            <w:hideMark/>
          </w:tcPr>
          <w:p w14:paraId="4BF5D092"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 meal/6 months</w:t>
            </w:r>
          </w:p>
        </w:tc>
        <w:tc>
          <w:tcPr>
            <w:tcW w:w="1080" w:type="dxa"/>
            <w:tcBorders>
              <w:right w:val="single" w:sz="4" w:space="0" w:color="auto"/>
            </w:tcBorders>
            <w:noWrap/>
            <w:tcMar>
              <w:top w:w="15" w:type="dxa"/>
              <w:left w:w="15" w:type="dxa"/>
              <w:bottom w:w="0" w:type="dxa"/>
              <w:right w:w="15" w:type="dxa"/>
            </w:tcMar>
            <w:vAlign w:val="bottom"/>
            <w:hideMark/>
          </w:tcPr>
          <w:p w14:paraId="6E571BA1"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1.2</w:t>
            </w:r>
          </w:p>
        </w:tc>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1ECBEB32" w14:textId="6BACAD2A"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w:t>
            </w:r>
            <w:r>
              <w:rPr>
                <w:rFonts w:cstheme="minorHAnsi"/>
                <w:color w:val="000000"/>
              </w:rPr>
              <w:t>91.4</w:t>
            </w:r>
          </w:p>
        </w:tc>
        <w:tc>
          <w:tcPr>
            <w:tcW w:w="1011" w:type="dxa"/>
            <w:tcBorders>
              <w:top w:val="nil"/>
              <w:left w:val="nil"/>
              <w:bottom w:val="nil"/>
              <w:right w:val="single" w:sz="4" w:space="0" w:color="auto"/>
            </w:tcBorders>
            <w:shd w:val="clear" w:color="auto" w:fill="auto"/>
          </w:tcPr>
          <w:p w14:paraId="22E0A2B6" w14:textId="66F40036"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41,100</w:t>
            </w:r>
          </w:p>
        </w:tc>
        <w:tc>
          <w:tcPr>
            <w:tcW w:w="1011" w:type="dxa"/>
            <w:tcBorders>
              <w:top w:val="nil"/>
              <w:left w:val="nil"/>
              <w:bottom w:val="nil"/>
              <w:right w:val="single" w:sz="4" w:space="0" w:color="auto"/>
            </w:tcBorders>
            <w:shd w:val="clear" w:color="auto" w:fill="auto"/>
          </w:tcPr>
          <w:p w14:paraId="0C6BC956" w14:textId="65C46017"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914</w:t>
            </w:r>
          </w:p>
        </w:tc>
        <w:tc>
          <w:tcPr>
            <w:tcW w:w="1011" w:type="dxa"/>
            <w:tcBorders>
              <w:top w:val="nil"/>
              <w:left w:val="nil"/>
              <w:bottom w:val="nil"/>
              <w:right w:val="single" w:sz="4" w:space="0" w:color="auto"/>
            </w:tcBorders>
            <w:shd w:val="clear" w:color="auto" w:fill="auto"/>
          </w:tcPr>
          <w:p w14:paraId="47E31632" w14:textId="72D8FA15"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137</w:t>
            </w:r>
          </w:p>
        </w:tc>
        <w:tc>
          <w:tcPr>
            <w:tcW w:w="1011" w:type="dxa"/>
            <w:tcBorders>
              <w:top w:val="nil"/>
              <w:left w:val="nil"/>
              <w:bottom w:val="nil"/>
              <w:right w:val="single" w:sz="4" w:space="0" w:color="auto"/>
            </w:tcBorders>
            <w:shd w:val="clear" w:color="auto" w:fill="auto"/>
          </w:tcPr>
          <w:p w14:paraId="1D1C2F74" w14:textId="5CAC63EF" w:rsidR="00D4356D" w:rsidRPr="00874351" w:rsidRDefault="00D4356D" w:rsidP="00D4356D">
            <w:pPr>
              <w:spacing w:after="0" w:line="240" w:lineRule="auto"/>
              <w:jc w:val="center"/>
              <w:rPr>
                <w:rFonts w:cstheme="minorHAnsi"/>
                <w:color w:val="000000"/>
                <w:u w:val="single"/>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137</w:t>
            </w:r>
          </w:p>
        </w:tc>
      </w:tr>
      <w:tr w:rsidR="00D4356D" w14:paraId="648AAEB1" w14:textId="5D553414"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057A7A48" w14:textId="77777777" w:rsidR="00D4356D" w:rsidRPr="00874351" w:rsidRDefault="00D4356D" w:rsidP="00D4356D">
            <w:pPr>
              <w:rPr>
                <w:rFonts w:cstheme="minorHAnsi"/>
                <w:b/>
                <w:bCs/>
                <w:color w:val="000000"/>
              </w:rPr>
            </w:pPr>
          </w:p>
        </w:tc>
        <w:tc>
          <w:tcPr>
            <w:tcW w:w="1800" w:type="dxa"/>
            <w:noWrap/>
            <w:tcMar>
              <w:top w:w="15" w:type="dxa"/>
              <w:left w:w="15" w:type="dxa"/>
              <w:bottom w:w="0" w:type="dxa"/>
              <w:right w:w="15" w:type="dxa"/>
            </w:tcMar>
            <w:vAlign w:val="bottom"/>
            <w:hideMark/>
          </w:tcPr>
          <w:p w14:paraId="46B1CFC8"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1 meal/year</w:t>
            </w:r>
          </w:p>
        </w:tc>
        <w:tc>
          <w:tcPr>
            <w:tcW w:w="1080" w:type="dxa"/>
            <w:tcBorders>
              <w:right w:val="single" w:sz="4" w:space="0" w:color="auto"/>
            </w:tcBorders>
            <w:noWrap/>
            <w:tcMar>
              <w:top w:w="15" w:type="dxa"/>
              <w:left w:w="15" w:type="dxa"/>
              <w:bottom w:w="0" w:type="dxa"/>
              <w:right w:w="15" w:type="dxa"/>
            </w:tcMar>
            <w:vAlign w:val="bottom"/>
            <w:hideMark/>
          </w:tcPr>
          <w:p w14:paraId="0E2600DB"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0.6</w:t>
            </w:r>
          </w:p>
        </w:tc>
        <w:tc>
          <w:tcPr>
            <w:tcW w:w="1170"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62FB7A2B" w14:textId="2166CF96" w:rsidR="00D4356D" w:rsidRPr="00874351" w:rsidRDefault="00D4356D" w:rsidP="00D4356D">
            <w:pPr>
              <w:spacing w:after="0" w:line="240" w:lineRule="auto"/>
              <w:jc w:val="center"/>
              <w:rPr>
                <w:rFonts w:cstheme="minorHAnsi"/>
                <w:color w:val="000000"/>
              </w:rPr>
            </w:pPr>
            <w:r w:rsidRPr="00874351">
              <w:rPr>
                <w:rFonts w:cstheme="minorHAnsi"/>
                <w:color w:val="000000"/>
                <w:u w:val="single"/>
              </w:rPr>
              <w:t>&lt;</w:t>
            </w:r>
            <w:r w:rsidRPr="00874351">
              <w:rPr>
                <w:rFonts w:cstheme="minorHAnsi"/>
                <w:color w:val="000000"/>
              </w:rPr>
              <w:t xml:space="preserve"> </w:t>
            </w:r>
            <w:r>
              <w:rPr>
                <w:rFonts w:cstheme="minorHAnsi"/>
                <w:color w:val="000000"/>
              </w:rPr>
              <w:t>183</w:t>
            </w:r>
          </w:p>
        </w:tc>
        <w:tc>
          <w:tcPr>
            <w:tcW w:w="1011" w:type="dxa"/>
            <w:tcBorders>
              <w:top w:val="nil"/>
              <w:left w:val="nil"/>
              <w:bottom w:val="nil"/>
              <w:right w:val="single" w:sz="4" w:space="0" w:color="auto"/>
            </w:tcBorders>
            <w:shd w:val="clear" w:color="auto" w:fill="auto"/>
          </w:tcPr>
          <w:p w14:paraId="03E80E3C" w14:textId="39B9126D" w:rsidR="00D4356D" w:rsidRPr="00F16FC4" w:rsidRDefault="00D4356D" w:rsidP="00D4356D">
            <w:pPr>
              <w:spacing w:after="0" w:line="240" w:lineRule="auto"/>
              <w:jc w:val="center"/>
              <w:rPr>
                <w:rFonts w:cstheme="minorHAnsi"/>
                <w:color w:val="000000"/>
              </w:rPr>
            </w:pPr>
            <w:r w:rsidRPr="00F16FC4">
              <w:rPr>
                <w:rFonts w:cstheme="minorHAnsi"/>
                <w:bCs/>
                <w:color w:val="000000"/>
                <w:u w:val="single"/>
              </w:rPr>
              <w:t>&lt;</w:t>
            </w:r>
            <w:r w:rsidRPr="00F16FC4">
              <w:rPr>
                <w:rFonts w:cstheme="minorHAnsi"/>
                <w:bCs/>
                <w:color w:val="000000"/>
              </w:rPr>
              <w:t xml:space="preserve"> </w:t>
            </w:r>
            <w:r>
              <w:rPr>
                <w:rFonts w:cstheme="minorHAnsi"/>
                <w:color w:val="000000"/>
              </w:rPr>
              <w:t>82,200</w:t>
            </w:r>
          </w:p>
        </w:tc>
        <w:tc>
          <w:tcPr>
            <w:tcW w:w="1011" w:type="dxa"/>
            <w:tcBorders>
              <w:top w:val="nil"/>
              <w:left w:val="nil"/>
              <w:bottom w:val="nil"/>
              <w:right w:val="single" w:sz="4" w:space="0" w:color="auto"/>
            </w:tcBorders>
            <w:shd w:val="clear" w:color="auto" w:fill="auto"/>
          </w:tcPr>
          <w:p w14:paraId="0BF9E54B" w14:textId="7C092F96"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18</w:t>
            </w:r>
            <w:r>
              <w:rPr>
                <w:rFonts w:cstheme="minorHAnsi"/>
                <w:color w:val="000000"/>
              </w:rPr>
              <w:t>2</w:t>
            </w:r>
            <w:r w:rsidRPr="00491395">
              <w:rPr>
                <w:rFonts w:cstheme="minorHAnsi"/>
                <w:color w:val="000000"/>
              </w:rPr>
              <w:t>0</w:t>
            </w:r>
          </w:p>
        </w:tc>
        <w:tc>
          <w:tcPr>
            <w:tcW w:w="1011" w:type="dxa"/>
            <w:tcBorders>
              <w:top w:val="nil"/>
              <w:left w:val="nil"/>
              <w:bottom w:val="nil"/>
              <w:right w:val="single" w:sz="4" w:space="0" w:color="auto"/>
            </w:tcBorders>
            <w:shd w:val="clear" w:color="auto" w:fill="auto"/>
          </w:tcPr>
          <w:p w14:paraId="79365418" w14:textId="08FEDCC9" w:rsidR="00D4356D" w:rsidRPr="00491395" w:rsidRDefault="00D4356D" w:rsidP="00D4356D">
            <w:pPr>
              <w:spacing w:after="0" w:line="240" w:lineRule="auto"/>
              <w:jc w:val="center"/>
              <w:rPr>
                <w:rFonts w:cstheme="minorHAnsi"/>
                <w:color w:val="000000"/>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274</w:t>
            </w:r>
          </w:p>
        </w:tc>
        <w:tc>
          <w:tcPr>
            <w:tcW w:w="1011" w:type="dxa"/>
            <w:tcBorders>
              <w:top w:val="nil"/>
              <w:left w:val="nil"/>
              <w:bottom w:val="nil"/>
              <w:right w:val="single" w:sz="4" w:space="0" w:color="auto"/>
            </w:tcBorders>
            <w:shd w:val="clear" w:color="auto" w:fill="auto"/>
          </w:tcPr>
          <w:p w14:paraId="28BBD349" w14:textId="0AB6BD57" w:rsidR="00D4356D" w:rsidRPr="00874351" w:rsidRDefault="00D4356D" w:rsidP="00D4356D">
            <w:pPr>
              <w:spacing w:after="0" w:line="240" w:lineRule="auto"/>
              <w:jc w:val="center"/>
              <w:rPr>
                <w:rFonts w:cstheme="minorHAnsi"/>
                <w:color w:val="000000"/>
                <w:u w:val="single"/>
              </w:rPr>
            </w:pPr>
            <w:r w:rsidRPr="00491395">
              <w:rPr>
                <w:rFonts w:cstheme="minorHAnsi"/>
                <w:bCs/>
                <w:color w:val="000000"/>
                <w:u w:val="single"/>
              </w:rPr>
              <w:t>&lt;</w:t>
            </w:r>
            <w:r w:rsidRPr="00491395">
              <w:rPr>
                <w:rFonts w:cstheme="minorHAnsi"/>
                <w:bCs/>
                <w:color w:val="000000"/>
              </w:rPr>
              <w:t xml:space="preserve"> </w:t>
            </w:r>
            <w:r w:rsidRPr="00491395">
              <w:rPr>
                <w:rFonts w:cstheme="minorHAnsi"/>
                <w:color w:val="000000"/>
              </w:rPr>
              <w:t>274</w:t>
            </w:r>
          </w:p>
        </w:tc>
      </w:tr>
      <w:tr w:rsidR="00D4356D" w14:paraId="64CBC013" w14:textId="48A56033" w:rsidTr="00D4356D">
        <w:trPr>
          <w:trHeight w:val="288"/>
        </w:trPr>
        <w:tc>
          <w:tcPr>
            <w:tcW w:w="1421" w:type="dxa"/>
            <w:vMerge/>
            <w:tcBorders>
              <w:top w:val="single" w:sz="4" w:space="0" w:color="auto"/>
              <w:left w:val="single" w:sz="4" w:space="0" w:color="auto"/>
              <w:bottom w:val="single" w:sz="4" w:space="0" w:color="auto"/>
              <w:right w:val="nil"/>
            </w:tcBorders>
            <w:vAlign w:val="center"/>
            <w:hideMark/>
          </w:tcPr>
          <w:p w14:paraId="375CABCC" w14:textId="77777777" w:rsidR="00D4356D" w:rsidRPr="00874351" w:rsidRDefault="00D4356D" w:rsidP="00D4356D">
            <w:pPr>
              <w:rPr>
                <w:rFonts w:cstheme="minorHAnsi"/>
                <w:b/>
                <w:bCs/>
                <w:color w:val="000000"/>
              </w:rPr>
            </w:pPr>
          </w:p>
        </w:tc>
        <w:tc>
          <w:tcPr>
            <w:tcW w:w="1800" w:type="dxa"/>
            <w:tcBorders>
              <w:top w:val="nil"/>
              <w:left w:val="nil"/>
              <w:bottom w:val="single" w:sz="4" w:space="0" w:color="auto"/>
              <w:right w:val="nil"/>
            </w:tcBorders>
            <w:noWrap/>
            <w:tcMar>
              <w:top w:w="15" w:type="dxa"/>
              <w:left w:w="15" w:type="dxa"/>
              <w:bottom w:w="0" w:type="dxa"/>
              <w:right w:w="15" w:type="dxa"/>
            </w:tcMar>
            <w:vAlign w:val="bottom"/>
            <w:hideMark/>
          </w:tcPr>
          <w:p w14:paraId="79376F5F"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Do Not Consume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91AD50D" w14:textId="77777777" w:rsidR="00D4356D" w:rsidRPr="00874351" w:rsidRDefault="00D4356D" w:rsidP="00D4356D">
            <w:pPr>
              <w:spacing w:after="0" w:line="240" w:lineRule="auto"/>
              <w:jc w:val="center"/>
              <w:rPr>
                <w:rFonts w:cstheme="minorHAnsi"/>
                <w:color w:val="000000"/>
              </w:rPr>
            </w:pPr>
            <w:r w:rsidRPr="00874351">
              <w:rPr>
                <w:rFonts w:cstheme="minorHAnsi"/>
                <w:color w:val="000000"/>
              </w:rPr>
              <w:t>--</w:t>
            </w:r>
          </w:p>
        </w:tc>
        <w:tc>
          <w:tcPr>
            <w:tcW w:w="11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6C3F78" w14:textId="3B4A652E" w:rsidR="00D4356D" w:rsidRPr="00874351" w:rsidRDefault="00D4356D" w:rsidP="00D4356D">
            <w:pPr>
              <w:spacing w:after="0" w:line="240" w:lineRule="auto"/>
              <w:jc w:val="center"/>
              <w:rPr>
                <w:rFonts w:cstheme="minorHAnsi"/>
                <w:color w:val="000000"/>
              </w:rPr>
            </w:pPr>
            <w:r w:rsidRPr="00874351">
              <w:rPr>
                <w:rFonts w:cstheme="minorHAnsi"/>
                <w:color w:val="000000"/>
              </w:rPr>
              <w:t>&gt;</w:t>
            </w:r>
            <w:r>
              <w:rPr>
                <w:rFonts w:cstheme="minorHAnsi"/>
                <w:color w:val="000000"/>
              </w:rPr>
              <w:t xml:space="preserve"> 183</w:t>
            </w:r>
          </w:p>
        </w:tc>
        <w:tc>
          <w:tcPr>
            <w:tcW w:w="1011" w:type="dxa"/>
            <w:tcBorders>
              <w:top w:val="nil"/>
              <w:left w:val="nil"/>
              <w:bottom w:val="single" w:sz="4" w:space="0" w:color="auto"/>
              <w:right w:val="single" w:sz="4" w:space="0" w:color="auto"/>
            </w:tcBorders>
            <w:shd w:val="clear" w:color="auto" w:fill="auto"/>
          </w:tcPr>
          <w:p w14:paraId="7E466B6D" w14:textId="2A9E82A1" w:rsidR="00D4356D" w:rsidRPr="00F16FC4" w:rsidRDefault="00D4356D" w:rsidP="00D4356D">
            <w:pPr>
              <w:spacing w:after="0" w:line="240" w:lineRule="auto"/>
              <w:jc w:val="center"/>
              <w:rPr>
                <w:rFonts w:cstheme="minorHAnsi"/>
                <w:color w:val="000000"/>
              </w:rPr>
            </w:pPr>
            <w:r>
              <w:rPr>
                <w:rFonts w:cstheme="minorHAnsi"/>
                <w:color w:val="000000"/>
              </w:rPr>
              <w:t>&gt; 82,200</w:t>
            </w:r>
          </w:p>
        </w:tc>
        <w:tc>
          <w:tcPr>
            <w:tcW w:w="1011" w:type="dxa"/>
            <w:tcBorders>
              <w:top w:val="nil"/>
              <w:left w:val="nil"/>
              <w:bottom w:val="single" w:sz="4" w:space="0" w:color="auto"/>
              <w:right w:val="single" w:sz="4" w:space="0" w:color="auto"/>
            </w:tcBorders>
            <w:shd w:val="clear" w:color="auto" w:fill="auto"/>
          </w:tcPr>
          <w:p w14:paraId="41BD7C80" w14:textId="0773763F" w:rsidR="00D4356D" w:rsidRPr="00874351" w:rsidRDefault="00D4356D" w:rsidP="00D4356D">
            <w:pPr>
              <w:spacing w:after="0" w:line="240" w:lineRule="auto"/>
              <w:jc w:val="center"/>
              <w:rPr>
                <w:rFonts w:cstheme="minorHAnsi"/>
                <w:color w:val="000000"/>
              </w:rPr>
            </w:pPr>
            <w:r>
              <w:rPr>
                <w:rFonts w:cstheme="minorHAnsi"/>
                <w:color w:val="000000"/>
              </w:rPr>
              <w:t>&gt; 1820</w:t>
            </w:r>
          </w:p>
        </w:tc>
        <w:tc>
          <w:tcPr>
            <w:tcW w:w="1011" w:type="dxa"/>
            <w:tcBorders>
              <w:top w:val="nil"/>
              <w:left w:val="nil"/>
              <w:bottom w:val="single" w:sz="4" w:space="0" w:color="auto"/>
              <w:right w:val="single" w:sz="4" w:space="0" w:color="auto"/>
            </w:tcBorders>
            <w:shd w:val="clear" w:color="auto" w:fill="auto"/>
          </w:tcPr>
          <w:p w14:paraId="56E1449B" w14:textId="191C42CB" w:rsidR="00D4356D" w:rsidRPr="00874351" w:rsidRDefault="00D4356D" w:rsidP="00D4356D">
            <w:pPr>
              <w:spacing w:after="0" w:line="240" w:lineRule="auto"/>
              <w:jc w:val="center"/>
              <w:rPr>
                <w:rFonts w:cstheme="minorHAnsi"/>
                <w:color w:val="000000"/>
              </w:rPr>
            </w:pPr>
            <w:r>
              <w:rPr>
                <w:rFonts w:cstheme="minorHAnsi"/>
                <w:color w:val="000000"/>
              </w:rPr>
              <w:t>&gt; 274</w:t>
            </w:r>
          </w:p>
        </w:tc>
        <w:tc>
          <w:tcPr>
            <w:tcW w:w="1011" w:type="dxa"/>
            <w:tcBorders>
              <w:top w:val="nil"/>
              <w:left w:val="nil"/>
              <w:bottom w:val="single" w:sz="4" w:space="0" w:color="auto"/>
              <w:right w:val="single" w:sz="4" w:space="0" w:color="auto"/>
            </w:tcBorders>
            <w:shd w:val="clear" w:color="auto" w:fill="auto"/>
          </w:tcPr>
          <w:p w14:paraId="0B6865B6" w14:textId="1CD3F5C9" w:rsidR="00D4356D" w:rsidRPr="00874351" w:rsidRDefault="00D4356D" w:rsidP="00D4356D">
            <w:pPr>
              <w:spacing w:after="0" w:line="240" w:lineRule="auto"/>
              <w:jc w:val="center"/>
              <w:rPr>
                <w:rFonts w:cstheme="minorHAnsi"/>
                <w:color w:val="000000"/>
              </w:rPr>
            </w:pPr>
            <w:r>
              <w:rPr>
                <w:rFonts w:cstheme="minorHAnsi"/>
                <w:color w:val="000000"/>
              </w:rPr>
              <w:t>&gt; 274</w:t>
            </w:r>
          </w:p>
        </w:tc>
      </w:tr>
    </w:tbl>
    <w:p w14:paraId="5B80F888" w14:textId="77777777" w:rsidR="003469AF" w:rsidRDefault="00874351" w:rsidP="003469AF">
      <w:pPr>
        <w:spacing w:after="0"/>
        <w:rPr>
          <w:rFonts w:cstheme="minorHAnsi"/>
          <w:i/>
          <w:iCs/>
          <w:sz w:val="20"/>
          <w:szCs w:val="20"/>
        </w:rPr>
      </w:pPr>
      <w:r>
        <w:rPr>
          <w:rFonts w:cstheme="minorHAnsi"/>
          <w:i/>
          <w:iCs/>
          <w:sz w:val="20"/>
          <w:szCs w:val="20"/>
        </w:rPr>
        <w:t xml:space="preserve">[a] </w:t>
      </w:r>
      <w:r w:rsidR="007B5B66" w:rsidRPr="00874351">
        <w:rPr>
          <w:rFonts w:cstheme="minorHAnsi"/>
          <w:i/>
          <w:iCs/>
          <w:sz w:val="20"/>
          <w:szCs w:val="20"/>
        </w:rPr>
        <w:t>This value also serves as the DPH Fish Action level (FAL).  Exceeding this level would trigger a waterbody specific advisory and a FCA recommendation.</w:t>
      </w:r>
    </w:p>
    <w:p w14:paraId="00199D76" w14:textId="6048B81B" w:rsidR="003469AF" w:rsidRDefault="003469AF" w:rsidP="007B5B66">
      <w:pPr>
        <w:rPr>
          <w:rFonts w:cstheme="minorHAnsi"/>
          <w:i/>
          <w:iCs/>
          <w:sz w:val="20"/>
          <w:szCs w:val="20"/>
        </w:rPr>
      </w:pPr>
      <w:r>
        <w:rPr>
          <w:rFonts w:cstheme="minorHAnsi"/>
          <w:i/>
          <w:iCs/>
          <w:sz w:val="20"/>
          <w:szCs w:val="20"/>
        </w:rPr>
        <w:t>[b] Applies to individuals older than 12 years of age</w:t>
      </w:r>
    </w:p>
    <w:p w14:paraId="0363A0C8" w14:textId="23F9AFB2" w:rsidR="007B5B66" w:rsidRDefault="007B5B66" w:rsidP="007B5B66">
      <w:pPr>
        <w:rPr>
          <w:rFonts w:cstheme="minorHAnsi"/>
          <w:i/>
          <w:iCs/>
          <w:sz w:val="20"/>
          <w:szCs w:val="20"/>
        </w:rPr>
      </w:pPr>
      <w:r w:rsidRPr="00874351">
        <w:rPr>
          <w:rFonts w:cstheme="minorHAnsi"/>
          <w:i/>
          <w:iCs/>
          <w:sz w:val="20"/>
          <w:szCs w:val="20"/>
        </w:rPr>
        <w:br w:type="page"/>
      </w:r>
    </w:p>
    <w:p w14:paraId="3DDB7901" w14:textId="73287938" w:rsidR="00A62CE6" w:rsidRDefault="00A62CE6" w:rsidP="00A62CE6">
      <w:pPr>
        <w:pStyle w:val="Heading1"/>
      </w:pPr>
      <w:bookmarkStart w:id="14" w:name="_Toc87445203"/>
      <w:r>
        <w:t>REFERENCES</w:t>
      </w:r>
      <w:bookmarkEnd w:id="14"/>
    </w:p>
    <w:p w14:paraId="3227D7D6" w14:textId="77777777" w:rsidR="00A5595C" w:rsidRDefault="00A5595C" w:rsidP="00A5595C">
      <w:pPr>
        <w:spacing w:after="0" w:line="240" w:lineRule="auto"/>
        <w:jc w:val="both"/>
        <w:rPr>
          <w:rFonts w:cs="Arial"/>
          <w:sz w:val="24"/>
          <w:szCs w:val="24"/>
        </w:rPr>
      </w:pPr>
    </w:p>
    <w:p w14:paraId="674150F7" w14:textId="4BFFDF57" w:rsidR="00A964B3" w:rsidRPr="00A5595C" w:rsidRDefault="00A964B3" w:rsidP="00A5595C">
      <w:pPr>
        <w:spacing w:after="0" w:line="240" w:lineRule="auto"/>
        <w:rPr>
          <w:rFonts w:cs="Arial"/>
          <w:sz w:val="24"/>
          <w:szCs w:val="24"/>
        </w:rPr>
      </w:pPr>
      <w:r w:rsidRPr="00A5595C">
        <w:rPr>
          <w:rFonts w:cs="Arial"/>
          <w:sz w:val="24"/>
          <w:szCs w:val="24"/>
        </w:rPr>
        <w:t>Agency for Toxic Substances and Disease Registry (ATSDR). 2016.</w:t>
      </w:r>
      <w:r w:rsidR="00A43AF6" w:rsidRPr="00A5595C">
        <w:rPr>
          <w:rFonts w:cs="Arial"/>
          <w:sz w:val="24"/>
          <w:szCs w:val="24"/>
        </w:rPr>
        <w:t xml:space="preserve"> Exposure Dose Guidance for Body Weight. Atlanta, GA: U.S. Department of Health and Human Services, Public Health Service, October 26</w:t>
      </w:r>
    </w:p>
    <w:p w14:paraId="55B5FDB4" w14:textId="77777777" w:rsidR="00A5595C" w:rsidRDefault="00A5595C" w:rsidP="00A5595C">
      <w:pPr>
        <w:spacing w:after="0" w:line="240" w:lineRule="auto"/>
        <w:rPr>
          <w:rFonts w:cs="Arial"/>
          <w:sz w:val="24"/>
          <w:szCs w:val="24"/>
        </w:rPr>
      </w:pPr>
    </w:p>
    <w:p w14:paraId="39941BC9" w14:textId="3D8FEE4E" w:rsidR="00A964B3" w:rsidRPr="00A5595C" w:rsidRDefault="00A964B3" w:rsidP="00A5595C">
      <w:pPr>
        <w:spacing w:after="0" w:line="240" w:lineRule="auto"/>
        <w:rPr>
          <w:rFonts w:cstheme="minorHAnsi"/>
          <w:sz w:val="24"/>
          <w:szCs w:val="24"/>
        </w:rPr>
      </w:pPr>
      <w:r w:rsidRPr="00A5595C">
        <w:rPr>
          <w:rFonts w:cs="Arial"/>
          <w:sz w:val="24"/>
          <w:szCs w:val="24"/>
        </w:rPr>
        <w:t>Agency for Toxic Substances and Disease Registry (ATSDR). 2021. Toxicological Profile for Perfluoroalkyls. Atlanta, GA. Division of Toxicology and Environmental Medicine/Applied Toxicology Branch.</w:t>
      </w:r>
      <w:r w:rsidRPr="00A5595C">
        <w:rPr>
          <w:rFonts w:cstheme="minorHAnsi"/>
          <w:sz w:val="24"/>
          <w:szCs w:val="24"/>
        </w:rPr>
        <w:t xml:space="preserve"> May. </w:t>
      </w:r>
      <w:r w:rsidR="0013215E" w:rsidRPr="00A5595C">
        <w:rPr>
          <w:sz w:val="24"/>
          <w:szCs w:val="24"/>
        </w:rPr>
        <w:t xml:space="preserve">Available online at: </w:t>
      </w:r>
      <w:hyperlink r:id="rId10" w:history="1">
        <w:r w:rsidRPr="00A5595C">
          <w:rPr>
            <w:rStyle w:val="Hyperlink"/>
            <w:sz w:val="24"/>
            <w:szCs w:val="24"/>
          </w:rPr>
          <w:t>https://www.atsdr.cdc.gov/ToxProfiles/tp200.pdf</w:t>
        </w:r>
      </w:hyperlink>
    </w:p>
    <w:p w14:paraId="4B5B42D0" w14:textId="77777777" w:rsidR="00A5595C" w:rsidRDefault="00A5595C" w:rsidP="00A5595C">
      <w:pPr>
        <w:spacing w:after="0" w:line="240" w:lineRule="auto"/>
        <w:rPr>
          <w:sz w:val="24"/>
          <w:szCs w:val="24"/>
        </w:rPr>
      </w:pPr>
    </w:p>
    <w:p w14:paraId="257B10CF" w14:textId="071F0DCB" w:rsidR="00450787" w:rsidRPr="00A5595C" w:rsidRDefault="00450787" w:rsidP="00A5595C">
      <w:pPr>
        <w:spacing w:after="0" w:line="240" w:lineRule="auto"/>
        <w:rPr>
          <w:sz w:val="24"/>
          <w:szCs w:val="24"/>
        </w:rPr>
      </w:pPr>
      <w:r w:rsidRPr="00A5595C">
        <w:rPr>
          <w:sz w:val="24"/>
          <w:szCs w:val="24"/>
        </w:rPr>
        <w:t xml:space="preserve">Connecticut Department of Public Health (CT DPH). 2018. Health Consultation, </w:t>
      </w:r>
      <w:r w:rsidR="003B551E" w:rsidRPr="00A5595C">
        <w:rPr>
          <w:sz w:val="24"/>
          <w:szCs w:val="24"/>
        </w:rPr>
        <w:t>Public Health Evaluation of Fish Tissue from O’Sullivan’s Island Site, Derby, CT.</w:t>
      </w:r>
      <w:r w:rsidRPr="00A5595C">
        <w:rPr>
          <w:sz w:val="24"/>
          <w:szCs w:val="24"/>
        </w:rPr>
        <w:t xml:space="preserve"> Prepared under Cooperative Agreement with Agency for Toxic Substances and Disease Registry. January 23.</w:t>
      </w:r>
      <w:r w:rsidR="0013215E" w:rsidRPr="00A5595C">
        <w:rPr>
          <w:sz w:val="24"/>
          <w:szCs w:val="24"/>
        </w:rPr>
        <w:t xml:space="preserve"> Available online at:</w:t>
      </w:r>
      <w:r w:rsidRPr="00A5595C">
        <w:rPr>
          <w:sz w:val="24"/>
          <w:szCs w:val="24"/>
        </w:rPr>
        <w:t xml:space="preserve"> </w:t>
      </w:r>
      <w:hyperlink r:id="rId11" w:history="1">
        <w:r w:rsidRPr="00A5595C">
          <w:rPr>
            <w:rStyle w:val="Hyperlink"/>
            <w:sz w:val="24"/>
            <w:szCs w:val="24"/>
          </w:rPr>
          <w:t>https://portal.ct.gov/-/media/Departments-and-Agencies/DPH/dph/environmental_health/eoha/ATSDR/OSullivans-Island-PCBs-and-PFAS-in-fish.pdf?la=en</w:t>
        </w:r>
      </w:hyperlink>
    </w:p>
    <w:p w14:paraId="15628AC1" w14:textId="77777777" w:rsidR="00A5595C" w:rsidRDefault="00A5595C" w:rsidP="00A5595C">
      <w:pPr>
        <w:spacing w:after="0" w:line="240" w:lineRule="auto"/>
        <w:rPr>
          <w:rFonts w:cs="Arial"/>
          <w:sz w:val="24"/>
          <w:szCs w:val="24"/>
        </w:rPr>
      </w:pPr>
    </w:p>
    <w:p w14:paraId="52EC6F3E" w14:textId="4D60CB42" w:rsidR="00CB2E3B" w:rsidRPr="00A5595C" w:rsidRDefault="00CB2E3B" w:rsidP="00A5595C">
      <w:pPr>
        <w:spacing w:after="0" w:line="240" w:lineRule="auto"/>
        <w:rPr>
          <w:rFonts w:cs="Arial"/>
          <w:sz w:val="24"/>
          <w:szCs w:val="24"/>
        </w:rPr>
      </w:pPr>
      <w:proofErr w:type="spellStart"/>
      <w:r w:rsidRPr="00A5595C">
        <w:rPr>
          <w:rFonts w:cs="Arial"/>
          <w:sz w:val="24"/>
          <w:szCs w:val="24"/>
        </w:rPr>
        <w:t>Egegy</w:t>
      </w:r>
      <w:proofErr w:type="spellEnd"/>
      <w:r w:rsidRPr="00A5595C">
        <w:rPr>
          <w:rFonts w:cs="Arial"/>
          <w:sz w:val="24"/>
          <w:szCs w:val="24"/>
        </w:rPr>
        <w:t xml:space="preserve">, PP, M Lorber. 2011. An assessment of the exposure of Americans to </w:t>
      </w:r>
      <w:proofErr w:type="spellStart"/>
      <w:r w:rsidRPr="00A5595C">
        <w:rPr>
          <w:rFonts w:cs="Arial"/>
          <w:sz w:val="24"/>
          <w:szCs w:val="24"/>
        </w:rPr>
        <w:t>perfluorooctane</w:t>
      </w:r>
      <w:proofErr w:type="spellEnd"/>
      <w:r w:rsidRPr="00A5595C">
        <w:rPr>
          <w:rFonts w:cs="Arial"/>
          <w:sz w:val="24"/>
          <w:szCs w:val="24"/>
        </w:rPr>
        <w:t xml:space="preserve"> sulfonate: A comparison of estimated intake with values inferred from NHANES data. J Exp Sci </w:t>
      </w:r>
      <w:proofErr w:type="spellStart"/>
      <w:r w:rsidRPr="00A5595C">
        <w:rPr>
          <w:rFonts w:cs="Arial"/>
          <w:sz w:val="24"/>
          <w:szCs w:val="24"/>
        </w:rPr>
        <w:t>Envion</w:t>
      </w:r>
      <w:proofErr w:type="spellEnd"/>
      <w:r w:rsidRPr="00A5595C">
        <w:rPr>
          <w:rFonts w:cs="Arial"/>
          <w:sz w:val="24"/>
          <w:szCs w:val="24"/>
        </w:rPr>
        <w:t xml:space="preserve"> Epidemiol. 21:152-168.</w:t>
      </w:r>
    </w:p>
    <w:p w14:paraId="2A66C9A3" w14:textId="77777777" w:rsidR="00A5595C" w:rsidRDefault="00A5595C" w:rsidP="00A5595C">
      <w:pPr>
        <w:spacing w:after="0" w:line="240" w:lineRule="auto"/>
        <w:rPr>
          <w:sz w:val="24"/>
          <w:szCs w:val="24"/>
        </w:rPr>
      </w:pPr>
    </w:p>
    <w:p w14:paraId="0D3E3FF6" w14:textId="0071D78C" w:rsidR="00A43AF6" w:rsidRPr="00A5595C" w:rsidRDefault="00A43AF6" w:rsidP="00A5595C">
      <w:pPr>
        <w:spacing w:after="0" w:line="240" w:lineRule="auto"/>
        <w:rPr>
          <w:sz w:val="24"/>
          <w:szCs w:val="24"/>
        </w:rPr>
      </w:pPr>
      <w:r w:rsidRPr="00A5595C">
        <w:rPr>
          <w:sz w:val="24"/>
          <w:szCs w:val="24"/>
        </w:rPr>
        <w:t>European Food Safety Authority (EFSA). 2020. Risk to human health related to the presence of perfluoroalkyl substances in food. EFSA Journal 18:622</w:t>
      </w:r>
      <w:r w:rsidR="0013215E" w:rsidRPr="00A5595C">
        <w:rPr>
          <w:sz w:val="24"/>
          <w:szCs w:val="24"/>
        </w:rPr>
        <w:t xml:space="preserve">. Available online at: </w:t>
      </w:r>
      <w:r w:rsidRPr="00A5595C">
        <w:rPr>
          <w:sz w:val="24"/>
          <w:szCs w:val="24"/>
        </w:rPr>
        <w:t xml:space="preserve"> </w:t>
      </w:r>
      <w:hyperlink r:id="rId12" w:history="1">
        <w:r w:rsidRPr="00A5595C">
          <w:rPr>
            <w:rStyle w:val="Hyperlink"/>
            <w:sz w:val="24"/>
            <w:szCs w:val="24"/>
          </w:rPr>
          <w:t>https://efsa.onlinelibrary.wiley.com/doi/pdf/10.2903/j.efsa.2020.6223</w:t>
        </w:r>
      </w:hyperlink>
    </w:p>
    <w:p w14:paraId="2170D277" w14:textId="77777777" w:rsidR="00A5595C" w:rsidRDefault="00A5595C" w:rsidP="00A5595C">
      <w:pPr>
        <w:spacing w:after="0" w:line="240" w:lineRule="auto"/>
        <w:rPr>
          <w:sz w:val="24"/>
          <w:szCs w:val="24"/>
        </w:rPr>
      </w:pPr>
    </w:p>
    <w:p w14:paraId="6AC5CD66" w14:textId="44523966" w:rsidR="00450787" w:rsidRPr="00A5595C" w:rsidRDefault="00450787" w:rsidP="00A5595C">
      <w:pPr>
        <w:spacing w:after="0" w:line="240" w:lineRule="auto"/>
        <w:rPr>
          <w:sz w:val="24"/>
          <w:szCs w:val="24"/>
        </w:rPr>
      </w:pPr>
      <w:r w:rsidRPr="00A5595C">
        <w:rPr>
          <w:sz w:val="24"/>
          <w:szCs w:val="24"/>
        </w:rPr>
        <w:t xml:space="preserve">Great Lakes Consortium for Fish Consumption Advisories (Great Lakes Consortium). 2018. Best Practice for </w:t>
      </w:r>
      <w:proofErr w:type="spellStart"/>
      <w:r w:rsidRPr="00A5595C">
        <w:rPr>
          <w:sz w:val="24"/>
          <w:szCs w:val="24"/>
        </w:rPr>
        <w:t>Perfluorooctane</w:t>
      </w:r>
      <w:proofErr w:type="spellEnd"/>
      <w:r w:rsidRPr="00A5595C">
        <w:rPr>
          <w:sz w:val="24"/>
          <w:szCs w:val="24"/>
        </w:rPr>
        <w:t xml:space="preserve"> Sulfonate (PFOS) Guidelines</w:t>
      </w:r>
      <w:r w:rsidR="00EA0AD1" w:rsidRPr="00A5595C">
        <w:rPr>
          <w:sz w:val="24"/>
          <w:szCs w:val="24"/>
        </w:rPr>
        <w:t xml:space="preserve">. November. </w:t>
      </w:r>
      <w:r w:rsidR="0013215E" w:rsidRPr="00A5595C">
        <w:rPr>
          <w:sz w:val="24"/>
          <w:szCs w:val="24"/>
        </w:rPr>
        <w:t xml:space="preserve">Available online at: </w:t>
      </w:r>
      <w:hyperlink r:id="rId13" w:history="1">
        <w:r w:rsidR="00EA0AD1" w:rsidRPr="00A5595C">
          <w:rPr>
            <w:rStyle w:val="Hyperlink"/>
            <w:sz w:val="24"/>
            <w:szCs w:val="24"/>
          </w:rPr>
          <w:t>https://www.health.state.mn.us/communities/environment/fish/docs/consortium/bestpracticepfos.pdf</w:t>
        </w:r>
      </w:hyperlink>
    </w:p>
    <w:p w14:paraId="38BD938A" w14:textId="77777777" w:rsidR="00A5595C" w:rsidRDefault="00A5595C" w:rsidP="00A5595C">
      <w:pPr>
        <w:spacing w:after="0" w:line="240" w:lineRule="auto"/>
        <w:rPr>
          <w:sz w:val="24"/>
          <w:szCs w:val="24"/>
        </w:rPr>
      </w:pPr>
    </w:p>
    <w:p w14:paraId="74A664B1" w14:textId="0046D748" w:rsidR="00BB73DF" w:rsidRPr="00A5595C" w:rsidRDefault="0013137D" w:rsidP="00A5595C">
      <w:pPr>
        <w:spacing w:after="0" w:line="240" w:lineRule="auto"/>
        <w:rPr>
          <w:sz w:val="24"/>
          <w:szCs w:val="24"/>
        </w:rPr>
      </w:pPr>
      <w:r w:rsidRPr="00A5595C">
        <w:rPr>
          <w:sz w:val="24"/>
          <w:szCs w:val="24"/>
        </w:rPr>
        <w:t>Massachusetts Department of Environmental Protection (MassDEP). 2008.</w:t>
      </w:r>
      <w:r w:rsidR="00BB73DF" w:rsidRPr="00A5595C">
        <w:rPr>
          <w:sz w:val="24"/>
          <w:szCs w:val="24"/>
        </w:rPr>
        <w:t xml:space="preserve"> Default Fish Ingestion Rates and Exposure Assumptions for Human Health Risk Assessments. </w:t>
      </w:r>
      <w:r w:rsidR="0013215E" w:rsidRPr="00A5595C">
        <w:rPr>
          <w:sz w:val="24"/>
          <w:szCs w:val="24"/>
        </w:rPr>
        <w:t xml:space="preserve">Available online at: </w:t>
      </w:r>
      <w:hyperlink r:id="rId14" w:history="1">
        <w:r w:rsidR="00BB73DF" w:rsidRPr="00A5595C">
          <w:rPr>
            <w:rStyle w:val="Hyperlink"/>
            <w:sz w:val="24"/>
            <w:szCs w:val="24"/>
          </w:rPr>
          <w:t>https://www.mass.gov/doc/technical-update-default-fish-ingestion-rates-and-exposure-assumptions-for-human-health-risk/download</w:t>
        </w:r>
      </w:hyperlink>
      <w:r w:rsidR="00BB73DF" w:rsidRPr="00A5595C">
        <w:rPr>
          <w:sz w:val="24"/>
          <w:szCs w:val="24"/>
        </w:rPr>
        <w:t xml:space="preserve"> </w:t>
      </w:r>
    </w:p>
    <w:p w14:paraId="1C8AEBE5" w14:textId="77777777" w:rsidR="00A5595C" w:rsidRDefault="00A5595C" w:rsidP="00A5595C">
      <w:pPr>
        <w:pStyle w:val="NormalWeb"/>
        <w:rPr>
          <w:rFonts w:ascii="Calibri" w:hAnsi="Calibri"/>
          <w:color w:val="000000"/>
        </w:rPr>
      </w:pPr>
    </w:p>
    <w:p w14:paraId="5EF1FED6" w14:textId="5BD1D951" w:rsidR="00CA60AC" w:rsidRPr="00A5595C" w:rsidRDefault="00CA60AC" w:rsidP="00A5595C">
      <w:pPr>
        <w:pStyle w:val="NormalWeb"/>
        <w:rPr>
          <w:rFonts w:ascii="Calibri" w:hAnsi="Calibri"/>
          <w:color w:val="000000"/>
        </w:rPr>
      </w:pPr>
      <w:r w:rsidRPr="00A5595C">
        <w:rPr>
          <w:rFonts w:ascii="Calibri" w:hAnsi="Calibri"/>
          <w:color w:val="000000"/>
        </w:rPr>
        <w:t>Massachusetts Department of Environmental Protection (MassDEP). 2019. Technical Support Document, Per- and Polyfluoroalkyl Substances (PFAS): An Updated Subgroup Approach to Groundwater and Drinking Water Values. Office of Research and Standards. December 26.</w:t>
      </w:r>
    </w:p>
    <w:p w14:paraId="42DD4EDF" w14:textId="77777777" w:rsidR="00A5595C" w:rsidRDefault="00A5595C" w:rsidP="00A5595C">
      <w:pPr>
        <w:spacing w:after="0" w:line="240" w:lineRule="auto"/>
        <w:rPr>
          <w:sz w:val="24"/>
          <w:szCs w:val="24"/>
        </w:rPr>
      </w:pPr>
    </w:p>
    <w:p w14:paraId="6C3369F1" w14:textId="18886026" w:rsidR="00BD33A9" w:rsidRPr="00A5595C" w:rsidRDefault="00BD33A9" w:rsidP="00A5595C">
      <w:pPr>
        <w:spacing w:after="0" w:line="240" w:lineRule="auto"/>
        <w:rPr>
          <w:sz w:val="24"/>
          <w:szCs w:val="24"/>
        </w:rPr>
      </w:pPr>
      <w:r w:rsidRPr="00A5595C">
        <w:rPr>
          <w:sz w:val="24"/>
          <w:szCs w:val="24"/>
        </w:rPr>
        <w:t xml:space="preserve">Massachusetts Department of Environmental Protection (MassDEP). 2021. PFAS in Massachusetts Rivers. </w:t>
      </w:r>
      <w:r w:rsidR="0013215E" w:rsidRPr="00A5595C">
        <w:rPr>
          <w:sz w:val="24"/>
          <w:szCs w:val="24"/>
        </w:rPr>
        <w:t xml:space="preserve">Available online at: </w:t>
      </w:r>
      <w:hyperlink r:id="rId15" w:anchor="pfas-in-massachusetts-rivers-" w:history="1">
        <w:r w:rsidRPr="00A5595C">
          <w:rPr>
            <w:rStyle w:val="Hyperlink"/>
            <w:sz w:val="24"/>
            <w:szCs w:val="24"/>
          </w:rPr>
          <w:t>https://www.mass.gov/info-details/per-and-polyfluoroalkyl-substances-pfas#pfas-in-massachusetts-rivers-</w:t>
        </w:r>
      </w:hyperlink>
    </w:p>
    <w:p w14:paraId="6DA30C68" w14:textId="77777777" w:rsidR="00A5595C" w:rsidRDefault="00A5595C" w:rsidP="00A5595C">
      <w:pPr>
        <w:spacing w:after="0" w:line="240" w:lineRule="auto"/>
        <w:rPr>
          <w:rFonts w:cs="Arial"/>
          <w:sz w:val="24"/>
          <w:szCs w:val="24"/>
        </w:rPr>
      </w:pPr>
    </w:p>
    <w:p w14:paraId="0C3A2969" w14:textId="3F279C46" w:rsidR="0045453F" w:rsidRPr="00A5595C" w:rsidRDefault="0045453F" w:rsidP="00A5595C">
      <w:pPr>
        <w:spacing w:after="0" w:line="240" w:lineRule="auto"/>
        <w:rPr>
          <w:rFonts w:cs="Arial"/>
          <w:sz w:val="24"/>
          <w:szCs w:val="24"/>
        </w:rPr>
      </w:pPr>
      <w:r w:rsidRPr="00A5595C">
        <w:rPr>
          <w:rFonts w:cs="Arial"/>
          <w:sz w:val="24"/>
          <w:szCs w:val="24"/>
        </w:rPr>
        <w:t xml:space="preserve">Michigan Department of Health and Human Services (MDHHS). 2016. Michigan Fish Consumption Advisory Program Guidance Document. September 14. </w:t>
      </w:r>
      <w:r w:rsidR="0013215E" w:rsidRPr="00A5595C">
        <w:rPr>
          <w:sz w:val="24"/>
          <w:szCs w:val="24"/>
        </w:rPr>
        <w:t xml:space="preserve">Available online at: </w:t>
      </w:r>
      <w:hyperlink r:id="rId16" w:history="1">
        <w:r w:rsidRPr="00A5595C">
          <w:rPr>
            <w:rStyle w:val="Hyperlink"/>
            <w:rFonts w:cs="Arial"/>
            <w:sz w:val="24"/>
            <w:szCs w:val="24"/>
          </w:rPr>
          <w:t>https://www.michigan.gov/documents/mdch/MFCAP_Guidance_Document_500546_7.pdf</w:t>
        </w:r>
      </w:hyperlink>
    </w:p>
    <w:p w14:paraId="1B4585B7" w14:textId="77777777" w:rsidR="00A5595C" w:rsidRDefault="00A5595C" w:rsidP="00A5595C">
      <w:pPr>
        <w:spacing w:after="0" w:line="240" w:lineRule="auto"/>
        <w:rPr>
          <w:rFonts w:cs="Arial"/>
          <w:sz w:val="24"/>
          <w:szCs w:val="24"/>
        </w:rPr>
      </w:pPr>
    </w:p>
    <w:p w14:paraId="0C425B2D" w14:textId="231FEFF6" w:rsidR="00CB2E3B" w:rsidRPr="00A5595C" w:rsidRDefault="00CB2E3B" w:rsidP="00A5595C">
      <w:pPr>
        <w:spacing w:after="0" w:line="240" w:lineRule="auto"/>
        <w:rPr>
          <w:rFonts w:ascii="Arial" w:hAnsi="Arial" w:cs="Arial"/>
          <w:sz w:val="24"/>
          <w:szCs w:val="24"/>
        </w:rPr>
      </w:pPr>
      <w:r w:rsidRPr="00A5595C">
        <w:rPr>
          <w:rFonts w:cs="Arial"/>
          <w:sz w:val="24"/>
          <w:szCs w:val="24"/>
        </w:rPr>
        <w:t xml:space="preserve">U.S. Environmental Protection Agency (US EPA). 1996. Descriptive Statistics Tables from a Detailed Analysis of the National Human Activity Pattern Survey (NHAPS) Data. Office of Research and Development, Washington, DC. EPA/600/R-96/148. July. </w:t>
      </w:r>
    </w:p>
    <w:p w14:paraId="3BFE1CEB" w14:textId="685123B1" w:rsidR="008B51A4" w:rsidRPr="00A5595C" w:rsidRDefault="008B51A4" w:rsidP="00A5595C">
      <w:pPr>
        <w:spacing w:after="0" w:line="240" w:lineRule="auto"/>
        <w:rPr>
          <w:sz w:val="24"/>
          <w:szCs w:val="24"/>
        </w:rPr>
      </w:pPr>
      <w:r w:rsidRPr="00A5595C">
        <w:rPr>
          <w:sz w:val="24"/>
          <w:szCs w:val="24"/>
        </w:rPr>
        <w:t>U.S. Environmental Protection Agency (US EPA). 2002. Estimated Per Capita Fish Consumption in the United States. EPA</w:t>
      </w:r>
      <w:r w:rsidR="00DB2ECE" w:rsidRPr="00A5595C">
        <w:rPr>
          <w:sz w:val="24"/>
          <w:szCs w:val="24"/>
        </w:rPr>
        <w:t>/</w:t>
      </w:r>
      <w:r w:rsidRPr="00A5595C">
        <w:rPr>
          <w:sz w:val="24"/>
          <w:szCs w:val="24"/>
        </w:rPr>
        <w:t>821</w:t>
      </w:r>
      <w:r w:rsidR="00DB2ECE" w:rsidRPr="00A5595C">
        <w:rPr>
          <w:sz w:val="24"/>
          <w:szCs w:val="24"/>
        </w:rPr>
        <w:t>/</w:t>
      </w:r>
      <w:r w:rsidRPr="00A5595C">
        <w:rPr>
          <w:sz w:val="24"/>
          <w:szCs w:val="24"/>
        </w:rPr>
        <w:t>C-02</w:t>
      </w:r>
      <w:r w:rsidR="00DB2ECE" w:rsidRPr="00A5595C">
        <w:rPr>
          <w:sz w:val="24"/>
          <w:szCs w:val="24"/>
        </w:rPr>
        <w:t>/</w:t>
      </w:r>
      <w:r w:rsidRPr="00A5595C">
        <w:rPr>
          <w:sz w:val="24"/>
          <w:szCs w:val="24"/>
        </w:rPr>
        <w:t>003. August.</w:t>
      </w:r>
    </w:p>
    <w:p w14:paraId="6481600C" w14:textId="77777777" w:rsidR="00A5595C" w:rsidRDefault="00A5595C" w:rsidP="00A5595C">
      <w:pPr>
        <w:spacing w:after="0" w:line="240" w:lineRule="auto"/>
        <w:rPr>
          <w:sz w:val="24"/>
          <w:szCs w:val="24"/>
        </w:rPr>
      </w:pPr>
    </w:p>
    <w:p w14:paraId="4DC84909" w14:textId="55276CAF" w:rsidR="00CB2E3B" w:rsidRPr="00A5595C" w:rsidRDefault="00CB2E3B" w:rsidP="00A5595C">
      <w:pPr>
        <w:spacing w:after="0" w:line="240" w:lineRule="auto"/>
        <w:rPr>
          <w:sz w:val="24"/>
          <w:szCs w:val="24"/>
        </w:rPr>
      </w:pPr>
      <w:r w:rsidRPr="00A5595C">
        <w:rPr>
          <w:sz w:val="24"/>
          <w:szCs w:val="24"/>
        </w:rPr>
        <w:t>U.S. Environmental Protection Agency (US EPA). 2011. Exposure Factors Handbook: 2011 Final. Washington DC. National Center for Environmental Assessment, Washington, DC. EPA/600/R-090/052A. Available online at</w:t>
      </w:r>
      <w:r w:rsidR="0013215E" w:rsidRPr="00A5595C">
        <w:rPr>
          <w:sz w:val="24"/>
          <w:szCs w:val="24"/>
        </w:rPr>
        <w:t>:</w:t>
      </w:r>
      <w:r w:rsidRPr="00A5595C">
        <w:rPr>
          <w:sz w:val="24"/>
          <w:szCs w:val="24"/>
        </w:rPr>
        <w:t xml:space="preserve"> </w:t>
      </w:r>
      <w:hyperlink r:id="rId17" w:history="1">
        <w:r w:rsidRPr="00A5595C">
          <w:rPr>
            <w:rStyle w:val="Hyperlink"/>
            <w:rFonts w:cs="Arial"/>
            <w:sz w:val="24"/>
            <w:szCs w:val="24"/>
          </w:rPr>
          <w:t>https://cfpub.epa.gov/ncea/risk/recordisplay.cfm?deid=236252</w:t>
        </w:r>
      </w:hyperlink>
      <w:r w:rsidRPr="00A5595C">
        <w:rPr>
          <w:sz w:val="24"/>
          <w:szCs w:val="24"/>
        </w:rPr>
        <w:t xml:space="preserve">  </w:t>
      </w:r>
    </w:p>
    <w:p w14:paraId="2A22FCD4" w14:textId="77777777" w:rsidR="00A5595C" w:rsidRDefault="00A5595C" w:rsidP="00A5595C">
      <w:pPr>
        <w:spacing w:after="0" w:line="240" w:lineRule="auto"/>
        <w:rPr>
          <w:sz w:val="24"/>
          <w:szCs w:val="24"/>
        </w:rPr>
      </w:pPr>
    </w:p>
    <w:p w14:paraId="6120533D" w14:textId="524E8A78" w:rsidR="007E1B82" w:rsidRPr="00A5595C" w:rsidRDefault="007E1B82" w:rsidP="00A5595C">
      <w:pPr>
        <w:spacing w:after="0" w:line="240" w:lineRule="auto"/>
        <w:rPr>
          <w:sz w:val="24"/>
          <w:szCs w:val="24"/>
        </w:rPr>
      </w:pPr>
      <w:r w:rsidRPr="00A5595C">
        <w:rPr>
          <w:sz w:val="24"/>
          <w:szCs w:val="24"/>
        </w:rPr>
        <w:t xml:space="preserve">U.S. Environmental Protection Agency (US EPA). 2021. Human Health Toxicity Values for </w:t>
      </w:r>
      <w:proofErr w:type="spellStart"/>
      <w:r w:rsidRPr="00A5595C">
        <w:rPr>
          <w:sz w:val="24"/>
          <w:szCs w:val="24"/>
        </w:rPr>
        <w:t>Perfluorobutane</w:t>
      </w:r>
      <w:proofErr w:type="spellEnd"/>
      <w:r w:rsidRPr="00A5595C">
        <w:rPr>
          <w:sz w:val="24"/>
          <w:szCs w:val="24"/>
        </w:rPr>
        <w:t xml:space="preserve"> </w:t>
      </w:r>
      <w:proofErr w:type="spellStart"/>
      <w:r w:rsidRPr="00A5595C">
        <w:rPr>
          <w:sz w:val="24"/>
          <w:szCs w:val="24"/>
        </w:rPr>
        <w:t>Sulfoni</w:t>
      </w:r>
      <w:proofErr w:type="spellEnd"/>
      <w:r w:rsidRPr="00A5595C">
        <w:rPr>
          <w:sz w:val="24"/>
          <w:szCs w:val="24"/>
        </w:rPr>
        <w:t xml:space="preserve"> Acid (CASRN 375-73-5) and Related Compound Potassium </w:t>
      </w:r>
      <w:proofErr w:type="spellStart"/>
      <w:r w:rsidRPr="00A5595C">
        <w:rPr>
          <w:sz w:val="24"/>
          <w:szCs w:val="24"/>
        </w:rPr>
        <w:t>Perfluorobutane</w:t>
      </w:r>
      <w:proofErr w:type="spellEnd"/>
      <w:r w:rsidRPr="00A5595C">
        <w:rPr>
          <w:sz w:val="24"/>
          <w:szCs w:val="24"/>
        </w:rPr>
        <w:t xml:space="preserve"> Sulfonate (CASRN 29420-49-3). Office of Research and Development, Center for Public Health and Environmental Assessment. Washington, DC. EPA/600/R-20/345F. April.</w:t>
      </w:r>
    </w:p>
    <w:p w14:paraId="06948E28" w14:textId="77777777" w:rsidR="00A5595C" w:rsidRDefault="00A5595C" w:rsidP="00A5595C">
      <w:pPr>
        <w:spacing w:after="0" w:line="240" w:lineRule="auto"/>
        <w:rPr>
          <w:sz w:val="24"/>
          <w:szCs w:val="24"/>
        </w:rPr>
      </w:pPr>
    </w:p>
    <w:p w14:paraId="5591558E" w14:textId="1B4A25B0" w:rsidR="00BD33A9" w:rsidRPr="00A5595C" w:rsidRDefault="007802EB" w:rsidP="00A5595C">
      <w:pPr>
        <w:spacing w:after="0" w:line="240" w:lineRule="auto"/>
        <w:rPr>
          <w:sz w:val="24"/>
          <w:szCs w:val="24"/>
        </w:rPr>
      </w:pPr>
      <w:r w:rsidRPr="00A5595C">
        <w:rPr>
          <w:sz w:val="24"/>
          <w:szCs w:val="24"/>
        </w:rPr>
        <w:t>U.S. Environmental Protection Agency Region 1 (US EPA Region 1). 2005. Human Health Risk Assessment, GE/Housatonic River Site Rest of River, Volume 1. Prepared for U.S. Army Corps of Engineers, New England District, and U.S. EPA, New England Region, by Weston Solutions, Inc.</w:t>
      </w:r>
    </w:p>
    <w:p w14:paraId="030A8BE4" w14:textId="77777777" w:rsidR="00A5595C" w:rsidRDefault="00A5595C" w:rsidP="00A5595C">
      <w:pPr>
        <w:keepNext/>
        <w:keepLines/>
        <w:spacing w:after="0" w:line="240" w:lineRule="auto"/>
        <w:rPr>
          <w:sz w:val="24"/>
          <w:szCs w:val="24"/>
        </w:rPr>
      </w:pPr>
    </w:p>
    <w:p w14:paraId="18771E05" w14:textId="0C1E575F" w:rsidR="005C1083" w:rsidRPr="00A5595C" w:rsidRDefault="00863101" w:rsidP="00A5595C">
      <w:pPr>
        <w:keepNext/>
        <w:keepLines/>
        <w:spacing w:after="0" w:line="240" w:lineRule="auto"/>
        <w:rPr>
          <w:color w:val="0000FF" w:themeColor="hyperlink"/>
          <w:sz w:val="24"/>
          <w:szCs w:val="24"/>
          <w:u w:val="single"/>
        </w:rPr>
      </w:pPr>
      <w:r w:rsidRPr="00A5595C">
        <w:rPr>
          <w:sz w:val="24"/>
          <w:szCs w:val="24"/>
        </w:rPr>
        <w:t xml:space="preserve">U.S. Food and Drug Administration (US FDA). 2019. </w:t>
      </w:r>
      <w:r w:rsidR="00001D69" w:rsidRPr="00A5595C">
        <w:rPr>
          <w:sz w:val="24"/>
          <w:szCs w:val="24"/>
        </w:rPr>
        <w:t xml:space="preserve">Advice about Eating Fish for </w:t>
      </w:r>
      <w:proofErr w:type="spellStart"/>
      <w:r w:rsidR="00001D69" w:rsidRPr="00A5595C">
        <w:rPr>
          <w:sz w:val="24"/>
          <w:szCs w:val="24"/>
        </w:rPr>
        <w:t>Woment</w:t>
      </w:r>
      <w:proofErr w:type="spellEnd"/>
      <w:r w:rsidR="00001D69" w:rsidRPr="00A5595C">
        <w:rPr>
          <w:sz w:val="24"/>
          <w:szCs w:val="24"/>
        </w:rPr>
        <w:t xml:space="preserve"> Who Are or Might Become Pregnant, Breastfeeding Mothers, and Young Children. </w:t>
      </w:r>
      <w:r w:rsidR="0013215E" w:rsidRPr="00A5595C">
        <w:rPr>
          <w:sz w:val="24"/>
          <w:szCs w:val="24"/>
        </w:rPr>
        <w:t xml:space="preserve">Available online at: </w:t>
      </w:r>
      <w:hyperlink r:id="rId18" w:anchor="III" w:history="1">
        <w:r w:rsidR="00001D69" w:rsidRPr="00A5595C">
          <w:rPr>
            <w:rStyle w:val="Hyperlink"/>
            <w:sz w:val="24"/>
            <w:szCs w:val="24"/>
          </w:rPr>
          <w:t>https://www.fda.gov/food/consumers/questions-answers-fdaepa-advice-about-eating-fish-women-who-are-or-might-become-pregnant#III</w:t>
        </w:r>
      </w:hyperlink>
    </w:p>
    <w:p w14:paraId="0E6C8BA6" w14:textId="77777777" w:rsidR="00F75182" w:rsidRDefault="00F75182">
      <w:pPr>
        <w:rPr>
          <w:rFonts w:cstheme="minorHAnsi"/>
          <w:i/>
          <w:iCs/>
          <w:sz w:val="20"/>
          <w:szCs w:val="20"/>
        </w:rPr>
        <w:sectPr w:rsidR="00F75182" w:rsidSect="00EA359A">
          <w:footerReference w:type="default" r:id="rId19"/>
          <w:footerReference w:type="first" r:id="rId20"/>
          <w:pgSz w:w="12240" w:h="15840"/>
          <w:pgMar w:top="720" w:right="2070" w:bottom="720" w:left="720" w:header="720" w:footer="720" w:gutter="0"/>
          <w:pgNumType w:start="1"/>
          <w:cols w:space="720"/>
          <w:docGrid w:linePitch="360"/>
        </w:sectPr>
      </w:pPr>
    </w:p>
    <w:p w14:paraId="041A71DC" w14:textId="60C7356B" w:rsidR="00D06970" w:rsidRDefault="00D06970" w:rsidP="002A3EB0">
      <w:pPr>
        <w:pStyle w:val="Heading1"/>
        <w:numPr>
          <w:ilvl w:val="0"/>
          <w:numId w:val="0"/>
        </w:numPr>
        <w:jc w:val="center"/>
      </w:pPr>
      <w:bookmarkStart w:id="15" w:name="_Toc87445204"/>
      <w:r>
        <w:t>APPENDICES</w:t>
      </w:r>
      <w:bookmarkEnd w:id="15"/>
    </w:p>
    <w:p w14:paraId="6EC91BA1" w14:textId="77777777" w:rsidR="00EA359A" w:rsidRDefault="00EA359A" w:rsidP="00EA359A">
      <w:bookmarkStart w:id="16" w:name="_Toc87445205"/>
    </w:p>
    <w:p w14:paraId="65DDDF4E" w14:textId="77777777" w:rsidR="00733892" w:rsidRDefault="00733892" w:rsidP="00EA359A"/>
    <w:p w14:paraId="45C8D58C" w14:textId="77777777" w:rsidR="00733892" w:rsidRDefault="00733892" w:rsidP="00EA359A"/>
    <w:p w14:paraId="7832D62D" w14:textId="77777777" w:rsidR="00733892" w:rsidRDefault="00733892" w:rsidP="00EA359A"/>
    <w:p w14:paraId="71F9B880" w14:textId="77777777" w:rsidR="00733892" w:rsidRDefault="00733892" w:rsidP="00EA359A"/>
    <w:p w14:paraId="5D6DE662" w14:textId="77777777" w:rsidR="00733892" w:rsidRDefault="00733892" w:rsidP="00EA359A"/>
    <w:p w14:paraId="22D9B83C" w14:textId="77777777" w:rsidR="00733892" w:rsidRDefault="00733892" w:rsidP="00EA359A"/>
    <w:p w14:paraId="0C896E49" w14:textId="77777777" w:rsidR="00733892" w:rsidRDefault="00733892" w:rsidP="00EA359A"/>
    <w:p w14:paraId="55FBB317" w14:textId="77777777" w:rsidR="00733892" w:rsidRDefault="00733892" w:rsidP="00EA359A"/>
    <w:p w14:paraId="40F13599" w14:textId="77777777" w:rsidR="00733892" w:rsidRDefault="00733892" w:rsidP="00EA359A"/>
    <w:p w14:paraId="655A6FB0" w14:textId="77777777" w:rsidR="00733892" w:rsidRDefault="00733892" w:rsidP="00EA359A"/>
    <w:p w14:paraId="7410E8B6" w14:textId="77777777" w:rsidR="00733892" w:rsidRDefault="00733892" w:rsidP="00EA359A"/>
    <w:p w14:paraId="24EF5118" w14:textId="77777777" w:rsidR="00733892" w:rsidRDefault="00733892" w:rsidP="00EA359A"/>
    <w:p w14:paraId="7B2C0B9D" w14:textId="77777777" w:rsidR="00733892" w:rsidRDefault="00733892" w:rsidP="00EA359A"/>
    <w:p w14:paraId="5255011E" w14:textId="77777777" w:rsidR="00733892" w:rsidRDefault="00733892" w:rsidP="00EA359A"/>
    <w:p w14:paraId="2777170D" w14:textId="77777777" w:rsidR="00733892" w:rsidRDefault="00733892" w:rsidP="00EA359A"/>
    <w:p w14:paraId="31948484" w14:textId="77777777" w:rsidR="00733892" w:rsidRDefault="00733892" w:rsidP="00EA359A"/>
    <w:p w14:paraId="586F32CB" w14:textId="77777777" w:rsidR="00733892" w:rsidRDefault="00733892" w:rsidP="00EA359A"/>
    <w:p w14:paraId="3E28DE72" w14:textId="77777777" w:rsidR="00733892" w:rsidRDefault="00733892" w:rsidP="00EA359A"/>
    <w:p w14:paraId="0155DCD5" w14:textId="77777777" w:rsidR="00733892" w:rsidRDefault="00733892" w:rsidP="00EA359A"/>
    <w:p w14:paraId="30058A34" w14:textId="77777777" w:rsidR="00733892" w:rsidRDefault="00733892" w:rsidP="00EA359A"/>
    <w:p w14:paraId="424A5078" w14:textId="77777777" w:rsidR="00733892" w:rsidRDefault="00733892" w:rsidP="00EA359A"/>
    <w:p w14:paraId="2268E439" w14:textId="77777777" w:rsidR="00733892" w:rsidRDefault="00733892" w:rsidP="00EA359A"/>
    <w:p w14:paraId="2BA84FFC" w14:textId="77777777" w:rsidR="00733892" w:rsidRDefault="00733892" w:rsidP="00EA359A"/>
    <w:p w14:paraId="7ABE7234" w14:textId="77777777" w:rsidR="00733892" w:rsidRDefault="00733892" w:rsidP="00EA359A"/>
    <w:p w14:paraId="0C6F4E21" w14:textId="77777777" w:rsidR="00733892" w:rsidRDefault="00733892" w:rsidP="00EA359A"/>
    <w:p w14:paraId="30C6587D" w14:textId="77777777" w:rsidR="00733892" w:rsidRDefault="00733892" w:rsidP="00733892">
      <w:pPr>
        <w:jc w:val="right"/>
      </w:pPr>
    </w:p>
    <w:p w14:paraId="5642CC80" w14:textId="2514F9F8" w:rsidR="000D046E" w:rsidRPr="002C2961" w:rsidRDefault="00776FA8" w:rsidP="00EA359A">
      <w:r>
        <w:t xml:space="preserve">Appendix </w:t>
      </w:r>
      <w:r w:rsidR="002C2961">
        <w:t>A</w:t>
      </w:r>
      <w:r w:rsidR="00D06970">
        <w:t xml:space="preserve"> </w:t>
      </w:r>
      <w:r>
        <w:t>–</w:t>
      </w:r>
      <w:r w:rsidR="00D06970">
        <w:t xml:space="preserve"> </w:t>
      </w:r>
      <w:r>
        <w:t>Calculation of Surface Water Action Levels</w:t>
      </w:r>
      <w:bookmarkEnd w:id="16"/>
    </w:p>
    <w:p w14:paraId="557068DE" w14:textId="226BFF41" w:rsidR="00DD359D" w:rsidRDefault="007F1DF7" w:rsidP="00BD4CEE">
      <w:pPr>
        <w:spacing w:line="240" w:lineRule="auto"/>
        <w:jc w:val="both"/>
        <w:rPr>
          <w:rFonts w:cs="Arial"/>
          <w:sz w:val="24"/>
        </w:rPr>
      </w:pPr>
      <w:r>
        <w:rPr>
          <w:rFonts w:cs="Arial"/>
          <w:sz w:val="24"/>
        </w:rPr>
        <w:t>Surface Water Action Levels</w:t>
      </w:r>
      <w:r w:rsidR="0094497B" w:rsidRPr="00646233">
        <w:rPr>
          <w:rFonts w:cs="Arial"/>
          <w:sz w:val="24"/>
        </w:rPr>
        <w:t xml:space="preserve"> (</w:t>
      </w:r>
      <w:r>
        <w:rPr>
          <w:rFonts w:cs="Arial"/>
          <w:sz w:val="24"/>
        </w:rPr>
        <w:t>SWALs</w:t>
      </w:r>
      <w:r w:rsidR="0094497B" w:rsidRPr="00646233">
        <w:rPr>
          <w:rFonts w:cs="Arial"/>
          <w:sz w:val="24"/>
        </w:rPr>
        <w:t>)</w:t>
      </w:r>
      <w:r w:rsidR="001F764C" w:rsidRPr="00646233">
        <w:rPr>
          <w:rFonts w:cs="Arial"/>
          <w:sz w:val="24"/>
        </w:rPr>
        <w:t xml:space="preserve"> are developed for incidental ingestion </w:t>
      </w:r>
      <w:r w:rsidR="0044579F" w:rsidRPr="00646233">
        <w:rPr>
          <w:rFonts w:cs="Arial"/>
          <w:sz w:val="24"/>
        </w:rPr>
        <w:t>while swimming</w:t>
      </w:r>
      <w:r w:rsidR="00136C66">
        <w:rPr>
          <w:rFonts w:cs="Arial"/>
          <w:sz w:val="24"/>
        </w:rPr>
        <w:t>,</w:t>
      </w:r>
      <w:r w:rsidR="0044579F" w:rsidRPr="00646233">
        <w:rPr>
          <w:rFonts w:cs="Arial"/>
          <w:sz w:val="24"/>
        </w:rPr>
        <w:t xml:space="preserve"> for intermediate exposure</w:t>
      </w:r>
      <w:r w:rsidR="00136C66">
        <w:rPr>
          <w:rFonts w:cs="Arial"/>
          <w:sz w:val="24"/>
        </w:rPr>
        <w:t>,</w:t>
      </w:r>
      <w:r w:rsidR="0044579F" w:rsidRPr="00646233">
        <w:rPr>
          <w:rFonts w:cs="Arial"/>
          <w:sz w:val="24"/>
        </w:rPr>
        <w:t xml:space="preserve"> </w:t>
      </w:r>
      <w:r w:rsidR="00BF20CD" w:rsidRPr="00646233">
        <w:rPr>
          <w:rFonts w:cs="Arial"/>
          <w:sz w:val="24"/>
        </w:rPr>
        <w:t xml:space="preserve">and for </w:t>
      </w:r>
      <w:r w:rsidR="0044579F" w:rsidRPr="00646233">
        <w:rPr>
          <w:rFonts w:cs="Arial"/>
          <w:sz w:val="24"/>
        </w:rPr>
        <w:t>non</w:t>
      </w:r>
      <w:r w:rsidR="0094497B" w:rsidRPr="00646233">
        <w:rPr>
          <w:rFonts w:cs="Arial"/>
          <w:sz w:val="24"/>
        </w:rPr>
        <w:t>-</w:t>
      </w:r>
      <w:r w:rsidR="0044579F" w:rsidRPr="00646233">
        <w:rPr>
          <w:rFonts w:cs="Arial"/>
          <w:sz w:val="24"/>
        </w:rPr>
        <w:t xml:space="preserve">cancer </w:t>
      </w:r>
      <w:r w:rsidR="0094497B" w:rsidRPr="00646233">
        <w:rPr>
          <w:rFonts w:cs="Arial"/>
          <w:sz w:val="24"/>
        </w:rPr>
        <w:t>e</w:t>
      </w:r>
      <w:r w:rsidR="001024CF">
        <w:rPr>
          <w:rFonts w:cs="Arial"/>
          <w:sz w:val="24"/>
        </w:rPr>
        <w:t>ndpoints</w:t>
      </w:r>
      <w:r w:rsidR="0044579F" w:rsidRPr="00646233">
        <w:rPr>
          <w:rFonts w:cs="Arial"/>
          <w:sz w:val="24"/>
        </w:rPr>
        <w:t>.</w:t>
      </w:r>
      <w:r w:rsidR="0094497B" w:rsidRPr="00646233">
        <w:rPr>
          <w:rFonts w:cs="Arial"/>
          <w:sz w:val="24"/>
        </w:rPr>
        <w:t xml:space="preserve"> </w:t>
      </w:r>
      <w:r w:rsidR="0044579F" w:rsidRPr="00646233">
        <w:rPr>
          <w:rFonts w:cs="Arial"/>
          <w:sz w:val="24"/>
        </w:rPr>
        <w:t>Equations and exposure assumptions are</w:t>
      </w:r>
      <w:r w:rsidR="00BF20CD" w:rsidRPr="00646233">
        <w:rPr>
          <w:rFonts w:cs="Arial"/>
          <w:sz w:val="24"/>
        </w:rPr>
        <w:t xml:space="preserve"> </w:t>
      </w:r>
      <w:r w:rsidR="001F764C" w:rsidRPr="00646233">
        <w:rPr>
          <w:rFonts w:cs="Arial"/>
          <w:sz w:val="24"/>
        </w:rPr>
        <w:t>based on guidance from the Agency for Toxic Substances and Disease Registry (ATSDR) and the U.S. Environmental Protection Agency (US EPA) (</w:t>
      </w:r>
      <w:r w:rsidR="0044579F" w:rsidRPr="00646233">
        <w:rPr>
          <w:rFonts w:cs="Arial"/>
          <w:sz w:val="24"/>
        </w:rPr>
        <w:t xml:space="preserve">e.g., </w:t>
      </w:r>
      <w:r w:rsidR="001F764C" w:rsidRPr="00646233">
        <w:rPr>
          <w:rFonts w:cs="Arial"/>
          <w:sz w:val="24"/>
        </w:rPr>
        <w:t>ATSDR, 2016</w:t>
      </w:r>
      <w:r w:rsidR="007F1B9D" w:rsidRPr="00646233">
        <w:rPr>
          <w:rFonts w:cs="Arial"/>
          <w:sz w:val="24"/>
        </w:rPr>
        <w:t>a</w:t>
      </w:r>
      <w:r w:rsidR="00B61A91">
        <w:rPr>
          <w:rFonts w:cs="Arial"/>
          <w:sz w:val="24"/>
        </w:rPr>
        <w:t>, b</w:t>
      </w:r>
      <w:r w:rsidR="001F764C" w:rsidRPr="00646233">
        <w:rPr>
          <w:rFonts w:cs="Arial"/>
          <w:sz w:val="24"/>
        </w:rPr>
        <w:t xml:space="preserve">; US EPA, </w:t>
      </w:r>
      <w:r w:rsidR="0044579F" w:rsidRPr="00646233">
        <w:rPr>
          <w:rFonts w:cs="Arial"/>
          <w:sz w:val="24"/>
        </w:rPr>
        <w:t>1989</w:t>
      </w:r>
      <w:r w:rsidR="001F764C" w:rsidRPr="00646233">
        <w:rPr>
          <w:rFonts w:cs="Arial"/>
          <w:sz w:val="24"/>
        </w:rPr>
        <w:t>)</w:t>
      </w:r>
      <w:r w:rsidR="00DD359D">
        <w:rPr>
          <w:rFonts w:cs="Arial"/>
          <w:sz w:val="24"/>
        </w:rPr>
        <w:t>, as well as professional judgement</w:t>
      </w:r>
      <w:r w:rsidR="001F764C" w:rsidRPr="00646233">
        <w:rPr>
          <w:rFonts w:cs="Arial"/>
          <w:sz w:val="24"/>
        </w:rPr>
        <w:t xml:space="preserve">. </w:t>
      </w:r>
      <w:r w:rsidR="00801103">
        <w:rPr>
          <w:rFonts w:cs="Arial"/>
          <w:sz w:val="24"/>
        </w:rPr>
        <w:t xml:space="preserve">SWALs are calculated for </w:t>
      </w:r>
      <w:proofErr w:type="spellStart"/>
      <w:r w:rsidR="00801103">
        <w:rPr>
          <w:rFonts w:cs="Arial"/>
          <w:sz w:val="24"/>
        </w:rPr>
        <w:t>perfluorooctane</w:t>
      </w:r>
      <w:proofErr w:type="spellEnd"/>
      <w:r w:rsidR="00801103">
        <w:rPr>
          <w:rFonts w:cs="Arial"/>
          <w:sz w:val="24"/>
        </w:rPr>
        <w:t xml:space="preserve"> sulfonic acid (PFOS), as the most potent of the PFAS for which there are toxicity criteria, for age groups ranging from birth to adult. The </w:t>
      </w:r>
      <w:proofErr w:type="spellStart"/>
      <w:r w:rsidR="00801103">
        <w:rPr>
          <w:rFonts w:cs="Arial"/>
          <w:sz w:val="24"/>
        </w:rPr>
        <w:t>cSWAL</w:t>
      </w:r>
      <w:proofErr w:type="spellEnd"/>
      <w:r w:rsidR="00801103">
        <w:rPr>
          <w:rFonts w:cs="Arial"/>
          <w:sz w:val="24"/>
        </w:rPr>
        <w:t xml:space="preserve"> is selected as the minimum SWAL among age groups.</w:t>
      </w:r>
    </w:p>
    <w:p w14:paraId="67436D7A" w14:textId="67627A08" w:rsidR="00307CAF" w:rsidRPr="00646233" w:rsidRDefault="00801103" w:rsidP="00A6663A">
      <w:pPr>
        <w:spacing w:after="0" w:line="240" w:lineRule="auto"/>
        <w:jc w:val="both"/>
        <w:rPr>
          <w:rFonts w:cs="Arial"/>
          <w:sz w:val="24"/>
        </w:rPr>
      </w:pPr>
      <w:r>
        <w:rPr>
          <w:rFonts w:cs="Arial"/>
          <w:sz w:val="24"/>
        </w:rPr>
        <w:t>For each age group, t</w:t>
      </w:r>
      <w:r w:rsidR="00307CAF" w:rsidRPr="00646233">
        <w:rPr>
          <w:rFonts w:cs="Arial"/>
          <w:sz w:val="24"/>
        </w:rPr>
        <w:t xml:space="preserve">he </w:t>
      </w:r>
      <w:r w:rsidR="00DD359D">
        <w:rPr>
          <w:rFonts w:cs="Arial"/>
          <w:sz w:val="24"/>
        </w:rPr>
        <w:t>SWAL is calculated according to the following equation:</w:t>
      </w:r>
    </w:p>
    <w:p w14:paraId="20CBCB45" w14:textId="77777777" w:rsidR="00307CAF" w:rsidRPr="00646233" w:rsidRDefault="00307CAF" w:rsidP="00E05B96">
      <w:pPr>
        <w:spacing w:after="0" w:line="240" w:lineRule="auto"/>
        <w:rPr>
          <w:rFonts w:cs="Arial"/>
          <w:sz w:val="24"/>
        </w:rPr>
      </w:pPr>
    </w:p>
    <w:p w14:paraId="2FEA9EB2" w14:textId="2F1705C3" w:rsidR="008B78EF" w:rsidRPr="00646233" w:rsidRDefault="008B78EF" w:rsidP="008B78EF">
      <w:pPr>
        <w:spacing w:after="0" w:line="240" w:lineRule="auto"/>
        <w:rPr>
          <w:rFonts w:ascii="Cambria Math" w:hAnsi="Cambria Math" w:cs="Arial"/>
          <w:sz w:val="24"/>
        </w:rPr>
      </w:pPr>
      <m:oMathPara>
        <m:oMath>
          <m:r>
            <w:rPr>
              <w:rFonts w:ascii="Cambria Math" w:hAnsi="Cambria Math" w:cs="Arial"/>
              <w:sz w:val="24"/>
            </w:rPr>
            <m:t>SWAL=THI ×</m:t>
          </m:r>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MRL</m:t>
                  </m:r>
                </m:num>
                <m:den>
                  <m:r>
                    <w:rPr>
                      <w:rFonts w:ascii="Cambria Math" w:hAnsi="Cambria Math" w:cs="Arial"/>
                      <w:sz w:val="24"/>
                    </w:rPr>
                    <m:t>IF</m:t>
                  </m:r>
                </m:den>
              </m:f>
            </m:e>
          </m:d>
          <m:r>
            <w:rPr>
              <w:rFonts w:ascii="Cambria Math" w:hAnsi="Cambria Math" w:cs="Arial"/>
              <w:sz w:val="24"/>
            </w:rPr>
            <m:t>×RSC</m:t>
          </m:r>
        </m:oMath>
      </m:oMathPara>
    </w:p>
    <w:p w14:paraId="56D6EC94" w14:textId="77777777" w:rsidR="008B78EF" w:rsidRPr="00646233" w:rsidRDefault="008B78EF" w:rsidP="008B78EF">
      <w:pPr>
        <w:spacing w:after="0" w:line="240" w:lineRule="auto"/>
        <w:rPr>
          <w:rFonts w:cs="Arial"/>
          <w:sz w:val="24"/>
        </w:rPr>
      </w:pPr>
    </w:p>
    <w:p w14:paraId="0E3EC269" w14:textId="77777777" w:rsidR="008B78EF" w:rsidRPr="00646233" w:rsidRDefault="008B78EF" w:rsidP="008B78EF">
      <w:pPr>
        <w:spacing w:after="0" w:line="240" w:lineRule="auto"/>
        <w:rPr>
          <w:rFonts w:cs="Arial"/>
          <w:sz w:val="24"/>
        </w:rPr>
      </w:pPr>
      <w:r w:rsidRPr="00646233">
        <w:rPr>
          <w:rFonts w:cs="Arial"/>
          <w:sz w:val="24"/>
        </w:rPr>
        <w:t>Where:</w:t>
      </w:r>
    </w:p>
    <w:p w14:paraId="18B4E50D" w14:textId="3E80866A" w:rsidR="008B78EF" w:rsidRPr="00646233" w:rsidRDefault="008B78EF" w:rsidP="008B78EF">
      <w:pPr>
        <w:tabs>
          <w:tab w:val="left" w:pos="1620"/>
          <w:tab w:val="left" w:pos="1980"/>
        </w:tabs>
        <w:spacing w:after="0" w:line="240" w:lineRule="auto"/>
        <w:ind w:left="720"/>
        <w:rPr>
          <w:rFonts w:cs="Arial"/>
          <w:sz w:val="24"/>
        </w:rPr>
      </w:pPr>
      <w:r w:rsidRPr="00646233">
        <w:rPr>
          <w:rFonts w:cs="Arial"/>
          <w:sz w:val="24"/>
        </w:rPr>
        <w:t>THI</w:t>
      </w:r>
      <w:r w:rsidRPr="00646233">
        <w:rPr>
          <w:rFonts w:cs="Arial"/>
          <w:sz w:val="24"/>
        </w:rPr>
        <w:tab/>
        <w:t>=</w:t>
      </w:r>
      <w:r w:rsidRPr="00646233">
        <w:rPr>
          <w:rFonts w:cs="Arial"/>
          <w:sz w:val="24"/>
        </w:rPr>
        <w:tab/>
        <w:t>Target Hazard Index (unitless</w:t>
      </w:r>
      <w:proofErr w:type="gramStart"/>
      <w:r w:rsidRPr="00646233">
        <w:rPr>
          <w:rFonts w:cs="Arial"/>
          <w:sz w:val="24"/>
        </w:rPr>
        <w:t>)</w:t>
      </w:r>
      <w:r>
        <w:rPr>
          <w:rFonts w:cs="Arial"/>
          <w:sz w:val="24"/>
        </w:rPr>
        <w:t>;</w:t>
      </w:r>
      <w:proofErr w:type="gramEnd"/>
      <w:r w:rsidRPr="00646233">
        <w:rPr>
          <w:rFonts w:cs="Arial"/>
          <w:sz w:val="24"/>
        </w:rPr>
        <w:t xml:space="preserve"> </w:t>
      </w:r>
    </w:p>
    <w:p w14:paraId="1AB82175" w14:textId="119CA09F" w:rsidR="00AD07A1" w:rsidRPr="00646233" w:rsidRDefault="008B78EF" w:rsidP="00AD07A1">
      <w:pPr>
        <w:tabs>
          <w:tab w:val="left" w:pos="1620"/>
          <w:tab w:val="left" w:pos="1980"/>
        </w:tabs>
        <w:spacing w:after="0" w:line="240" w:lineRule="auto"/>
        <w:ind w:left="720"/>
        <w:rPr>
          <w:rFonts w:cs="Arial"/>
          <w:sz w:val="24"/>
        </w:rPr>
      </w:pPr>
      <w:r w:rsidRPr="00646233">
        <w:rPr>
          <w:rFonts w:cs="Arial"/>
          <w:sz w:val="24"/>
        </w:rPr>
        <w:t>MRL</w:t>
      </w:r>
      <w:r w:rsidRPr="00646233">
        <w:rPr>
          <w:rFonts w:cs="Arial"/>
          <w:sz w:val="24"/>
        </w:rPr>
        <w:tab/>
        <w:t>=</w:t>
      </w:r>
      <w:r w:rsidRPr="00646233">
        <w:rPr>
          <w:rFonts w:cs="Arial"/>
          <w:sz w:val="24"/>
        </w:rPr>
        <w:tab/>
      </w:r>
      <w:r>
        <w:rPr>
          <w:rFonts w:cs="Arial"/>
          <w:sz w:val="24"/>
        </w:rPr>
        <w:t xml:space="preserve">PFOS </w:t>
      </w:r>
      <w:r w:rsidRPr="00646233">
        <w:rPr>
          <w:rFonts w:cs="Arial"/>
          <w:sz w:val="24"/>
        </w:rPr>
        <w:t>Minimal Risk Level (mg/kg-day</w:t>
      </w:r>
      <w:proofErr w:type="gramStart"/>
      <w:r w:rsidRPr="00646233">
        <w:rPr>
          <w:rFonts w:cs="Arial"/>
          <w:sz w:val="24"/>
        </w:rPr>
        <w:t>)</w:t>
      </w:r>
      <w:r>
        <w:rPr>
          <w:rFonts w:cs="Arial"/>
          <w:sz w:val="24"/>
        </w:rPr>
        <w:t>;</w:t>
      </w:r>
      <w:proofErr w:type="gramEnd"/>
    </w:p>
    <w:p w14:paraId="6117E756" w14:textId="45C64548" w:rsidR="008B78EF" w:rsidRPr="00646233" w:rsidRDefault="008B78EF" w:rsidP="008B78EF">
      <w:pPr>
        <w:tabs>
          <w:tab w:val="left" w:pos="1620"/>
          <w:tab w:val="left" w:pos="1980"/>
        </w:tabs>
        <w:spacing w:after="0" w:line="240" w:lineRule="auto"/>
        <w:ind w:left="720"/>
        <w:rPr>
          <w:rFonts w:cs="Arial"/>
          <w:sz w:val="24"/>
        </w:rPr>
      </w:pPr>
      <w:r w:rsidRPr="00646233">
        <w:rPr>
          <w:rFonts w:cs="Arial"/>
          <w:sz w:val="24"/>
        </w:rPr>
        <w:t>IF</w:t>
      </w:r>
      <w:r w:rsidRPr="00646233">
        <w:rPr>
          <w:rFonts w:cs="Arial"/>
          <w:sz w:val="24"/>
        </w:rPr>
        <w:tab/>
        <w:t>=</w:t>
      </w:r>
      <w:r w:rsidRPr="00646233">
        <w:rPr>
          <w:rFonts w:cs="Arial"/>
          <w:sz w:val="24"/>
        </w:rPr>
        <w:tab/>
        <w:t>Intake Factor (L/kg-day)</w:t>
      </w:r>
      <w:r>
        <w:rPr>
          <w:rFonts w:cs="Arial"/>
          <w:sz w:val="24"/>
        </w:rPr>
        <w:t>; and</w:t>
      </w:r>
    </w:p>
    <w:p w14:paraId="6D12B112" w14:textId="77777777" w:rsidR="008B78EF" w:rsidRPr="00646233" w:rsidRDefault="008B78EF" w:rsidP="008B78EF">
      <w:pPr>
        <w:tabs>
          <w:tab w:val="left" w:pos="1620"/>
          <w:tab w:val="left" w:pos="1980"/>
        </w:tabs>
        <w:spacing w:after="0" w:line="240" w:lineRule="auto"/>
        <w:ind w:left="720"/>
        <w:rPr>
          <w:rFonts w:cs="Arial"/>
          <w:sz w:val="24"/>
        </w:rPr>
      </w:pPr>
      <w:r>
        <w:rPr>
          <w:rFonts w:cs="Arial"/>
          <w:sz w:val="24"/>
        </w:rPr>
        <w:t>RSC</w:t>
      </w:r>
      <w:r>
        <w:rPr>
          <w:rFonts w:cs="Arial"/>
          <w:sz w:val="24"/>
        </w:rPr>
        <w:tab/>
        <w:t>=</w:t>
      </w:r>
      <w:r>
        <w:rPr>
          <w:rFonts w:cs="Arial"/>
          <w:sz w:val="24"/>
        </w:rPr>
        <w:tab/>
        <w:t>Relative Source Contribution (unitless)</w:t>
      </w:r>
    </w:p>
    <w:p w14:paraId="65CDD4AF" w14:textId="77777777" w:rsidR="00307CAF" w:rsidRPr="005C25E6" w:rsidRDefault="00307CAF" w:rsidP="00E05B96">
      <w:pPr>
        <w:spacing w:after="0" w:line="240" w:lineRule="auto"/>
        <w:rPr>
          <w:rFonts w:cs="Arial"/>
        </w:rPr>
      </w:pPr>
    </w:p>
    <w:p w14:paraId="58F80311" w14:textId="53216C96" w:rsidR="008C7D9E" w:rsidRDefault="008A18D3" w:rsidP="00BD4CEE">
      <w:pPr>
        <w:spacing w:line="240" w:lineRule="auto"/>
        <w:jc w:val="both"/>
        <w:rPr>
          <w:rFonts w:cs="Arial"/>
          <w:sz w:val="24"/>
        </w:rPr>
      </w:pPr>
      <w:r>
        <w:rPr>
          <w:rFonts w:cs="Arial"/>
          <w:sz w:val="24"/>
        </w:rPr>
        <w:t>As noted by ATSDR (2021)</w:t>
      </w:r>
      <w:r w:rsidR="00801103">
        <w:rPr>
          <w:rFonts w:cs="Arial"/>
          <w:sz w:val="24"/>
        </w:rPr>
        <w:t>,</w:t>
      </w:r>
      <w:r>
        <w:rPr>
          <w:rFonts w:cs="Arial"/>
          <w:sz w:val="24"/>
        </w:rPr>
        <w:t xml:space="preserve"> exposure to PFOS via dermal absorption is expected to be of minimal concern. Moreover, information required to evaluate dermal exposure to PFOS, such as dermal permeability or octanol-water partition coefficient, are not available for PFOS. As such, dermal exposure to PFOS is not evaluated.</w:t>
      </w:r>
    </w:p>
    <w:p w14:paraId="000B2206" w14:textId="72C67A10" w:rsidR="00AD07A1" w:rsidRDefault="00AD07A1" w:rsidP="00BD4CEE">
      <w:pPr>
        <w:spacing w:line="240" w:lineRule="auto"/>
        <w:jc w:val="both"/>
        <w:rPr>
          <w:rFonts w:cs="Arial"/>
          <w:color w:val="000000" w:themeColor="text1"/>
          <w:sz w:val="24"/>
          <w:szCs w:val="24"/>
        </w:rPr>
      </w:pPr>
      <w:r>
        <w:rPr>
          <w:rFonts w:cs="Arial"/>
          <w:sz w:val="24"/>
        </w:rPr>
        <w:t xml:space="preserve">For comparison purposes, and to provide perspective on the </w:t>
      </w:r>
      <w:proofErr w:type="spellStart"/>
      <w:r>
        <w:rPr>
          <w:rFonts w:cs="Arial"/>
          <w:sz w:val="24"/>
        </w:rPr>
        <w:t>cSWAL</w:t>
      </w:r>
      <w:proofErr w:type="spellEnd"/>
      <w:r>
        <w:rPr>
          <w:rFonts w:cs="Arial"/>
          <w:sz w:val="24"/>
        </w:rPr>
        <w:t xml:space="preserve">, a Surface Water Action Level (SWAL) </w:t>
      </w:r>
      <w:r w:rsidR="00DC01A4">
        <w:rPr>
          <w:rFonts w:cs="Arial"/>
          <w:sz w:val="24"/>
        </w:rPr>
        <w:t>based on Massachusetts Contingency Plan (MCP) guidance</w:t>
      </w:r>
      <w:r w:rsidR="00C01566">
        <w:rPr>
          <w:rFonts w:cs="Arial"/>
          <w:sz w:val="24"/>
        </w:rPr>
        <w:t xml:space="preserve"> is also presented</w:t>
      </w:r>
      <w:r w:rsidR="00DC01A4">
        <w:rPr>
          <w:rFonts w:cs="Arial"/>
          <w:sz w:val="24"/>
        </w:rPr>
        <w:t>. The MCP-based SWAL is calculated using the Massachusetts Department of Environmental Protection (</w:t>
      </w:r>
      <w:r>
        <w:rPr>
          <w:rFonts w:cs="Arial"/>
          <w:sz w:val="24"/>
        </w:rPr>
        <w:t>MassDEP</w:t>
      </w:r>
      <w:r w:rsidR="00DC01A4">
        <w:rPr>
          <w:rFonts w:cs="Arial"/>
          <w:sz w:val="24"/>
        </w:rPr>
        <w:t>) Reference Dose</w:t>
      </w:r>
      <w:r>
        <w:rPr>
          <w:rFonts w:cs="Arial"/>
          <w:sz w:val="24"/>
        </w:rPr>
        <w:t xml:space="preserve"> </w:t>
      </w:r>
      <w:r w:rsidR="00DC01A4">
        <w:rPr>
          <w:rFonts w:cs="Arial"/>
          <w:sz w:val="24"/>
        </w:rPr>
        <w:t>(</w:t>
      </w:r>
      <w:proofErr w:type="spellStart"/>
      <w:r>
        <w:rPr>
          <w:rFonts w:cs="Arial"/>
          <w:sz w:val="24"/>
        </w:rPr>
        <w:t>RfD</w:t>
      </w:r>
      <w:proofErr w:type="spellEnd"/>
      <w:r w:rsidR="00DC01A4">
        <w:rPr>
          <w:rFonts w:cs="Arial"/>
          <w:sz w:val="24"/>
        </w:rPr>
        <w:t>)</w:t>
      </w:r>
      <w:r>
        <w:rPr>
          <w:rFonts w:cs="Arial"/>
          <w:sz w:val="24"/>
        </w:rPr>
        <w:t xml:space="preserve"> for the six PFAS regulated by MassDEP (Sum</w:t>
      </w:r>
      <w:r w:rsidR="00860FA7">
        <w:rPr>
          <w:rFonts w:cs="Arial"/>
          <w:sz w:val="24"/>
        </w:rPr>
        <w:t xml:space="preserve"> </w:t>
      </w:r>
      <w:r>
        <w:rPr>
          <w:rFonts w:cs="Arial"/>
          <w:sz w:val="24"/>
        </w:rPr>
        <w:t>6</w:t>
      </w:r>
      <w:r w:rsidR="008A18D3">
        <w:rPr>
          <w:rFonts w:cs="Arial"/>
          <w:sz w:val="24"/>
        </w:rPr>
        <w:t xml:space="preserve"> PFAS</w:t>
      </w:r>
      <w:r>
        <w:rPr>
          <w:rFonts w:cs="Arial"/>
          <w:sz w:val="24"/>
        </w:rPr>
        <w:t xml:space="preserve">), which include </w:t>
      </w:r>
      <w:proofErr w:type="spellStart"/>
      <w:r w:rsidR="008A18D3">
        <w:rPr>
          <w:rFonts w:cs="Arial"/>
          <w:sz w:val="24"/>
        </w:rPr>
        <w:t>perfluorohexane</w:t>
      </w:r>
      <w:proofErr w:type="spellEnd"/>
      <w:r w:rsidR="008A18D3">
        <w:rPr>
          <w:rFonts w:cs="Arial"/>
          <w:sz w:val="24"/>
        </w:rPr>
        <w:t xml:space="preserve"> sulfon</w:t>
      </w:r>
      <w:r w:rsidR="00535CEF">
        <w:rPr>
          <w:rFonts w:cs="Arial"/>
          <w:sz w:val="24"/>
        </w:rPr>
        <w:t>ic acid</w:t>
      </w:r>
      <w:r w:rsidR="008A18D3">
        <w:rPr>
          <w:rFonts w:cs="Arial"/>
          <w:sz w:val="24"/>
        </w:rPr>
        <w:t xml:space="preserve"> (</w:t>
      </w:r>
      <w:proofErr w:type="spellStart"/>
      <w:r w:rsidR="008A18D3">
        <w:rPr>
          <w:rFonts w:cs="Arial"/>
          <w:sz w:val="24"/>
        </w:rPr>
        <w:t>PF</w:t>
      </w:r>
      <w:r w:rsidR="005B03D3">
        <w:rPr>
          <w:rFonts w:cs="Arial"/>
          <w:sz w:val="24"/>
        </w:rPr>
        <w:t>HxS</w:t>
      </w:r>
      <w:proofErr w:type="spellEnd"/>
      <w:r w:rsidR="005B03D3" w:rsidRPr="00535CEF">
        <w:rPr>
          <w:rFonts w:cs="Arial"/>
          <w:sz w:val="24"/>
          <w:szCs w:val="24"/>
        </w:rPr>
        <w:t xml:space="preserve">), </w:t>
      </w:r>
      <w:proofErr w:type="spellStart"/>
      <w:r w:rsidR="005B03D3" w:rsidRPr="00535CEF">
        <w:rPr>
          <w:color w:val="000000" w:themeColor="text1"/>
          <w:sz w:val="24"/>
          <w:szCs w:val="24"/>
        </w:rPr>
        <w:t>perfluoroheptanoic</w:t>
      </w:r>
      <w:proofErr w:type="spellEnd"/>
      <w:r w:rsidR="005B03D3" w:rsidRPr="00535CEF">
        <w:rPr>
          <w:color w:val="000000" w:themeColor="text1"/>
          <w:sz w:val="24"/>
          <w:szCs w:val="24"/>
        </w:rPr>
        <w:t xml:space="preserve"> acid</w:t>
      </w:r>
      <w:r w:rsidR="005B03D3" w:rsidRPr="00535CEF">
        <w:rPr>
          <w:rFonts w:cs="Arial"/>
          <w:color w:val="000000" w:themeColor="text1"/>
          <w:sz w:val="24"/>
          <w:szCs w:val="24"/>
        </w:rPr>
        <w:t xml:space="preserve"> (</w:t>
      </w:r>
      <w:proofErr w:type="spellStart"/>
      <w:r w:rsidR="005B03D3" w:rsidRPr="00535CEF">
        <w:rPr>
          <w:rFonts w:cs="Arial"/>
          <w:color w:val="000000" w:themeColor="text1"/>
          <w:sz w:val="24"/>
          <w:szCs w:val="24"/>
        </w:rPr>
        <w:t>PFHpA</w:t>
      </w:r>
      <w:proofErr w:type="spellEnd"/>
      <w:r w:rsidR="005B03D3" w:rsidRPr="00535CEF">
        <w:rPr>
          <w:rFonts w:cs="Arial"/>
          <w:color w:val="000000" w:themeColor="text1"/>
          <w:sz w:val="24"/>
          <w:szCs w:val="24"/>
        </w:rPr>
        <w:t xml:space="preserve">), perfluorooctanoic acid (PFOA), </w:t>
      </w:r>
      <w:r w:rsidR="00535CEF" w:rsidRPr="00535CEF">
        <w:rPr>
          <w:rFonts w:cs="Arial"/>
          <w:color w:val="000000" w:themeColor="text1"/>
          <w:sz w:val="24"/>
          <w:szCs w:val="24"/>
        </w:rPr>
        <w:t xml:space="preserve">PFOS, </w:t>
      </w:r>
      <w:proofErr w:type="spellStart"/>
      <w:r w:rsidR="00535CEF" w:rsidRPr="00535CEF">
        <w:rPr>
          <w:color w:val="000000" w:themeColor="text1"/>
          <w:sz w:val="24"/>
          <w:szCs w:val="24"/>
        </w:rPr>
        <w:t>perfluorononanoic</w:t>
      </w:r>
      <w:proofErr w:type="spellEnd"/>
      <w:r w:rsidR="00535CEF" w:rsidRPr="00535CEF">
        <w:rPr>
          <w:color w:val="000000" w:themeColor="text1"/>
          <w:sz w:val="24"/>
          <w:szCs w:val="24"/>
        </w:rPr>
        <w:t xml:space="preserve"> acid</w:t>
      </w:r>
      <w:r w:rsidR="00535CEF" w:rsidRPr="00535CEF">
        <w:rPr>
          <w:rFonts w:cs="Arial"/>
          <w:color w:val="000000" w:themeColor="text1"/>
          <w:sz w:val="24"/>
          <w:szCs w:val="24"/>
        </w:rPr>
        <w:t xml:space="preserve"> (PFNA) and </w:t>
      </w:r>
      <w:r w:rsidR="00535CEF" w:rsidRPr="00535CEF">
        <w:rPr>
          <w:color w:val="000000" w:themeColor="text1"/>
          <w:sz w:val="24"/>
          <w:szCs w:val="24"/>
        </w:rPr>
        <w:t>perfluorodecanoic acid</w:t>
      </w:r>
      <w:r w:rsidR="00535CEF" w:rsidRPr="00535CEF">
        <w:rPr>
          <w:rFonts w:cs="Arial"/>
          <w:color w:val="000000" w:themeColor="text1"/>
          <w:sz w:val="24"/>
          <w:szCs w:val="24"/>
        </w:rPr>
        <w:t xml:space="preserve"> (PFDA)</w:t>
      </w:r>
      <w:r w:rsidR="00535CEF">
        <w:rPr>
          <w:rFonts w:cs="Arial"/>
          <w:color w:val="000000" w:themeColor="text1"/>
          <w:sz w:val="24"/>
          <w:szCs w:val="24"/>
        </w:rPr>
        <w:t>; along with MCP exposure assumptions, where available.</w:t>
      </w:r>
    </w:p>
    <w:p w14:paraId="4345B970" w14:textId="64E7E0D1" w:rsidR="00733892" w:rsidRPr="00733892" w:rsidRDefault="00733892" w:rsidP="00733892">
      <w:pPr>
        <w:rPr>
          <w:rFonts w:cs="Arial"/>
          <w:sz w:val="24"/>
        </w:rPr>
      </w:pPr>
    </w:p>
    <w:p w14:paraId="2EA897AE" w14:textId="14CFBB51" w:rsidR="00733892" w:rsidRPr="00733892" w:rsidRDefault="00733892" w:rsidP="00733892">
      <w:pPr>
        <w:rPr>
          <w:rFonts w:cs="Arial"/>
          <w:sz w:val="24"/>
        </w:rPr>
      </w:pPr>
    </w:p>
    <w:p w14:paraId="0051C262" w14:textId="5B9AE6AB" w:rsidR="00733892" w:rsidRPr="00733892" w:rsidRDefault="00733892" w:rsidP="00733892">
      <w:pPr>
        <w:rPr>
          <w:rFonts w:cs="Arial"/>
          <w:sz w:val="24"/>
        </w:rPr>
      </w:pPr>
    </w:p>
    <w:p w14:paraId="60900962" w14:textId="10C4E5F9" w:rsidR="00733892" w:rsidRPr="00733892" w:rsidRDefault="00733892" w:rsidP="00733892">
      <w:pPr>
        <w:rPr>
          <w:rFonts w:cs="Arial"/>
          <w:sz w:val="24"/>
        </w:rPr>
      </w:pPr>
    </w:p>
    <w:p w14:paraId="6CB72E1D" w14:textId="4A70F244" w:rsidR="00733892" w:rsidRPr="00733892" w:rsidRDefault="00733892" w:rsidP="00733892">
      <w:pPr>
        <w:rPr>
          <w:rFonts w:cs="Arial"/>
          <w:sz w:val="24"/>
        </w:rPr>
      </w:pPr>
    </w:p>
    <w:p w14:paraId="6A0AEB8C" w14:textId="3FFB59B0" w:rsidR="00733892" w:rsidRPr="00733892" w:rsidRDefault="00733892" w:rsidP="00733892">
      <w:pPr>
        <w:rPr>
          <w:rFonts w:cs="Arial"/>
          <w:sz w:val="24"/>
        </w:rPr>
      </w:pPr>
    </w:p>
    <w:p w14:paraId="28AC8A22" w14:textId="77777777" w:rsidR="00733892" w:rsidRPr="00733892" w:rsidRDefault="00733892" w:rsidP="00733892">
      <w:pPr>
        <w:jc w:val="right"/>
        <w:rPr>
          <w:rFonts w:cs="Arial"/>
          <w:sz w:val="24"/>
        </w:rPr>
      </w:pPr>
    </w:p>
    <w:p w14:paraId="365C697A" w14:textId="68EA6117" w:rsidR="008C7D9E" w:rsidRPr="00776FA8" w:rsidRDefault="008C7D9E" w:rsidP="00776FA8">
      <w:pPr>
        <w:keepNext/>
        <w:rPr>
          <w:b/>
          <w:bCs/>
          <w:sz w:val="28"/>
          <w:szCs w:val="28"/>
        </w:rPr>
      </w:pPr>
      <w:r w:rsidRPr="00776FA8">
        <w:rPr>
          <w:b/>
          <w:bCs/>
          <w:sz w:val="28"/>
          <w:szCs w:val="28"/>
        </w:rPr>
        <w:t xml:space="preserve">A.1 </w:t>
      </w:r>
      <w:r w:rsidR="00FD553E">
        <w:rPr>
          <w:b/>
          <w:bCs/>
          <w:sz w:val="28"/>
          <w:szCs w:val="28"/>
        </w:rPr>
        <w:tab/>
      </w:r>
      <w:r w:rsidRPr="00776FA8">
        <w:rPr>
          <w:b/>
          <w:bCs/>
          <w:sz w:val="28"/>
          <w:szCs w:val="28"/>
        </w:rPr>
        <w:t>Toxicity</w:t>
      </w:r>
    </w:p>
    <w:p w14:paraId="12472F43" w14:textId="026DBE79" w:rsidR="008C7D9E" w:rsidRPr="001C0B76" w:rsidRDefault="008C7D9E" w:rsidP="001C0B76">
      <w:pPr>
        <w:keepNext/>
        <w:rPr>
          <w:b/>
          <w:bCs/>
          <w:i/>
          <w:iCs/>
        </w:rPr>
      </w:pPr>
      <w:r w:rsidRPr="001C0B76">
        <w:rPr>
          <w:b/>
          <w:bCs/>
          <w:i/>
          <w:iCs/>
        </w:rPr>
        <w:t>Toxicity Criteri</w:t>
      </w:r>
      <w:r w:rsidR="00C01566" w:rsidRPr="001C0B76">
        <w:rPr>
          <w:b/>
          <w:bCs/>
          <w:i/>
          <w:iCs/>
        </w:rPr>
        <w:t>a</w:t>
      </w:r>
    </w:p>
    <w:p w14:paraId="4A2DBDF2" w14:textId="2F65AD7E" w:rsidR="008C7D9E" w:rsidRPr="00F025F3" w:rsidRDefault="00535CEF" w:rsidP="00BD4CEE">
      <w:pPr>
        <w:keepNext/>
        <w:keepLines/>
        <w:spacing w:after="0" w:line="240" w:lineRule="auto"/>
        <w:rPr>
          <w:rFonts w:cs="Arial"/>
          <w:color w:val="000000" w:themeColor="text1"/>
          <w:sz w:val="24"/>
          <w:szCs w:val="24"/>
        </w:rPr>
      </w:pPr>
      <w:r w:rsidRPr="00F025F3">
        <w:rPr>
          <w:rFonts w:cs="Arial"/>
          <w:color w:val="000000" w:themeColor="text1"/>
          <w:sz w:val="24"/>
          <w:szCs w:val="24"/>
        </w:rPr>
        <w:t>Toxicity is evaluated using the following toxicity criteria:</w:t>
      </w:r>
    </w:p>
    <w:p w14:paraId="07C5D0BB" w14:textId="35BDCE62" w:rsidR="00CF3A08" w:rsidRPr="00D60671" w:rsidRDefault="00CF3A08" w:rsidP="00F025F3">
      <w:pPr>
        <w:keepNext/>
        <w:keepLines/>
        <w:spacing w:before="120" w:after="0"/>
        <w:rPr>
          <w:b/>
          <w:bCs/>
          <w:sz w:val="24"/>
          <w:szCs w:val="24"/>
        </w:rPr>
      </w:pPr>
      <w:r w:rsidRPr="00D60671">
        <w:rPr>
          <w:b/>
          <w:bCs/>
          <w:sz w:val="24"/>
          <w:szCs w:val="24"/>
        </w:rPr>
        <w:t xml:space="preserve">Table </w:t>
      </w:r>
      <w:r w:rsidR="00F025F3">
        <w:rPr>
          <w:b/>
          <w:bCs/>
          <w:sz w:val="24"/>
          <w:szCs w:val="24"/>
        </w:rPr>
        <w:t>A.1</w:t>
      </w:r>
      <w:r w:rsidRPr="00D60671">
        <w:rPr>
          <w:b/>
          <w:bCs/>
          <w:sz w:val="24"/>
          <w:szCs w:val="24"/>
        </w:rPr>
        <w:t xml:space="preserve">. </w:t>
      </w:r>
      <w:r w:rsidR="0076216B">
        <w:rPr>
          <w:b/>
          <w:bCs/>
          <w:sz w:val="24"/>
          <w:szCs w:val="24"/>
        </w:rPr>
        <w:t xml:space="preserve"> </w:t>
      </w:r>
      <w:r w:rsidRPr="00D60671">
        <w:rPr>
          <w:b/>
          <w:bCs/>
          <w:sz w:val="24"/>
          <w:szCs w:val="24"/>
        </w:rPr>
        <w:t>Toxicity Criteria</w:t>
      </w:r>
      <w:r w:rsidR="00F025F3">
        <w:rPr>
          <w:b/>
          <w:bCs/>
          <w:sz w:val="24"/>
          <w:szCs w:val="24"/>
        </w:rPr>
        <w:t xml:space="preserve"> for calculating SWALs</w:t>
      </w:r>
    </w:p>
    <w:tbl>
      <w:tblPr>
        <w:tblStyle w:val="TableGrid"/>
        <w:tblW w:w="0" w:type="auto"/>
        <w:tblLook w:val="04A0" w:firstRow="1" w:lastRow="0" w:firstColumn="1" w:lastColumn="0" w:noHBand="0" w:noVBand="1"/>
      </w:tblPr>
      <w:tblGrid>
        <w:gridCol w:w="1615"/>
        <w:gridCol w:w="1350"/>
        <w:gridCol w:w="2970"/>
        <w:gridCol w:w="1890"/>
        <w:gridCol w:w="1260"/>
      </w:tblGrid>
      <w:tr w:rsidR="00CF3A08" w14:paraId="10D4BE43" w14:textId="77777777" w:rsidTr="009500B2">
        <w:tc>
          <w:tcPr>
            <w:tcW w:w="1615" w:type="dxa"/>
            <w:tcBorders>
              <w:bottom w:val="double" w:sz="4" w:space="0" w:color="auto"/>
            </w:tcBorders>
            <w:shd w:val="clear" w:color="auto" w:fill="A6A6A6" w:themeFill="background1" w:themeFillShade="A6"/>
            <w:vAlign w:val="bottom"/>
          </w:tcPr>
          <w:p w14:paraId="4AE53D45" w14:textId="77777777" w:rsidR="00CF3A08" w:rsidRPr="00AB2B4F" w:rsidRDefault="00CF3A08" w:rsidP="009500B2">
            <w:pPr>
              <w:keepNext/>
              <w:keepLines/>
              <w:rPr>
                <w:b/>
                <w:bCs/>
              </w:rPr>
            </w:pPr>
            <w:r w:rsidRPr="00AB2B4F">
              <w:rPr>
                <w:b/>
                <w:bCs/>
              </w:rPr>
              <w:t>Contaminant</w:t>
            </w:r>
          </w:p>
        </w:tc>
        <w:tc>
          <w:tcPr>
            <w:tcW w:w="1350" w:type="dxa"/>
            <w:tcBorders>
              <w:bottom w:val="double" w:sz="4" w:space="0" w:color="auto"/>
            </w:tcBorders>
            <w:shd w:val="clear" w:color="auto" w:fill="A6A6A6" w:themeFill="background1" w:themeFillShade="A6"/>
          </w:tcPr>
          <w:p w14:paraId="576C67C4" w14:textId="77777777" w:rsidR="00CF3A08" w:rsidRPr="00AB2B4F" w:rsidRDefault="00CF3A08" w:rsidP="009500B2">
            <w:pPr>
              <w:keepNext/>
              <w:keepLines/>
              <w:jc w:val="center"/>
              <w:rPr>
                <w:b/>
                <w:bCs/>
              </w:rPr>
            </w:pPr>
            <w:r w:rsidRPr="00AB2B4F">
              <w:rPr>
                <w:b/>
                <w:bCs/>
              </w:rPr>
              <w:t>Value</w:t>
            </w:r>
          </w:p>
          <w:p w14:paraId="74D5B306" w14:textId="77777777" w:rsidR="00CF3A08" w:rsidRPr="00AB2B4F" w:rsidRDefault="00CF3A08" w:rsidP="009500B2">
            <w:pPr>
              <w:keepNext/>
              <w:keepLines/>
              <w:jc w:val="center"/>
              <w:rPr>
                <w:b/>
                <w:bCs/>
              </w:rPr>
            </w:pPr>
            <w:r w:rsidRPr="00AB2B4F">
              <w:rPr>
                <w:b/>
                <w:bCs/>
              </w:rPr>
              <w:t>(mg/kg-day)</w:t>
            </w:r>
          </w:p>
        </w:tc>
        <w:tc>
          <w:tcPr>
            <w:tcW w:w="2970" w:type="dxa"/>
            <w:tcBorders>
              <w:bottom w:val="double" w:sz="4" w:space="0" w:color="auto"/>
            </w:tcBorders>
            <w:shd w:val="clear" w:color="auto" w:fill="A6A6A6" w:themeFill="background1" w:themeFillShade="A6"/>
            <w:vAlign w:val="bottom"/>
          </w:tcPr>
          <w:p w14:paraId="4541F1CE" w14:textId="77777777" w:rsidR="00CF3A08" w:rsidRPr="00AB2B4F" w:rsidRDefault="00CF3A08" w:rsidP="009500B2">
            <w:pPr>
              <w:keepNext/>
              <w:keepLines/>
              <w:rPr>
                <w:b/>
                <w:bCs/>
              </w:rPr>
            </w:pPr>
            <w:r w:rsidRPr="00AB2B4F">
              <w:rPr>
                <w:b/>
                <w:bCs/>
              </w:rPr>
              <w:t>Critical Effect</w:t>
            </w:r>
          </w:p>
        </w:tc>
        <w:tc>
          <w:tcPr>
            <w:tcW w:w="1890" w:type="dxa"/>
            <w:tcBorders>
              <w:bottom w:val="double" w:sz="4" w:space="0" w:color="auto"/>
            </w:tcBorders>
            <w:shd w:val="clear" w:color="auto" w:fill="A6A6A6" w:themeFill="background1" w:themeFillShade="A6"/>
            <w:vAlign w:val="bottom"/>
          </w:tcPr>
          <w:p w14:paraId="0DE632CC" w14:textId="77777777" w:rsidR="00CF3A08" w:rsidRPr="00AB2B4F" w:rsidRDefault="00CF3A08" w:rsidP="009500B2">
            <w:pPr>
              <w:keepNext/>
              <w:keepLines/>
              <w:jc w:val="center"/>
              <w:rPr>
                <w:b/>
                <w:bCs/>
              </w:rPr>
            </w:pPr>
            <w:r w:rsidRPr="00AB2B4F">
              <w:rPr>
                <w:b/>
                <w:bCs/>
              </w:rPr>
              <w:t>Type</w:t>
            </w:r>
          </w:p>
        </w:tc>
        <w:tc>
          <w:tcPr>
            <w:tcW w:w="1260" w:type="dxa"/>
            <w:tcBorders>
              <w:bottom w:val="double" w:sz="4" w:space="0" w:color="auto"/>
            </w:tcBorders>
            <w:shd w:val="clear" w:color="auto" w:fill="A6A6A6" w:themeFill="background1" w:themeFillShade="A6"/>
            <w:vAlign w:val="bottom"/>
          </w:tcPr>
          <w:p w14:paraId="5337701C" w14:textId="77777777" w:rsidR="00CF3A08" w:rsidRPr="00AB2B4F" w:rsidRDefault="00CF3A08" w:rsidP="009500B2">
            <w:pPr>
              <w:keepNext/>
              <w:keepLines/>
              <w:jc w:val="center"/>
              <w:rPr>
                <w:b/>
                <w:bCs/>
              </w:rPr>
            </w:pPr>
            <w:r w:rsidRPr="00AB2B4F">
              <w:rPr>
                <w:b/>
                <w:bCs/>
              </w:rPr>
              <w:t>Source</w:t>
            </w:r>
          </w:p>
        </w:tc>
      </w:tr>
      <w:tr w:rsidR="00CF3A08" w14:paraId="3767C393" w14:textId="77777777" w:rsidTr="00F025F3">
        <w:tc>
          <w:tcPr>
            <w:tcW w:w="1615" w:type="dxa"/>
            <w:vAlign w:val="center"/>
          </w:tcPr>
          <w:p w14:paraId="72537945" w14:textId="77777777" w:rsidR="00CF3A08" w:rsidRPr="00AB2B4F" w:rsidRDefault="00CF3A08" w:rsidP="00F025F3">
            <w:pPr>
              <w:keepNext/>
              <w:keepLines/>
            </w:pPr>
            <w:r w:rsidRPr="00AB2B4F">
              <w:t>PFOS</w:t>
            </w:r>
          </w:p>
        </w:tc>
        <w:tc>
          <w:tcPr>
            <w:tcW w:w="1350" w:type="dxa"/>
            <w:vAlign w:val="center"/>
          </w:tcPr>
          <w:p w14:paraId="07603665" w14:textId="77777777" w:rsidR="00CF3A08" w:rsidRPr="00AB2B4F" w:rsidRDefault="00CF3A08" w:rsidP="00F025F3">
            <w:pPr>
              <w:keepNext/>
              <w:keepLines/>
              <w:jc w:val="center"/>
            </w:pPr>
            <w:r>
              <w:t>2 x 10</w:t>
            </w:r>
            <w:r w:rsidRPr="00AB2B4F">
              <w:rPr>
                <w:vertAlign w:val="superscript"/>
              </w:rPr>
              <w:t>-</w:t>
            </w:r>
            <w:r>
              <w:rPr>
                <w:vertAlign w:val="superscript"/>
              </w:rPr>
              <w:t>6</w:t>
            </w:r>
          </w:p>
        </w:tc>
        <w:tc>
          <w:tcPr>
            <w:tcW w:w="2970" w:type="dxa"/>
            <w:vAlign w:val="center"/>
          </w:tcPr>
          <w:p w14:paraId="11136A94" w14:textId="77777777" w:rsidR="00CF3A08" w:rsidRPr="00D82EF2" w:rsidRDefault="00CF3A08" w:rsidP="00F025F3">
            <w:pPr>
              <w:keepNext/>
              <w:keepLines/>
              <w:jc w:val="center"/>
            </w:pPr>
            <w:r w:rsidRPr="00D82EF2">
              <w:t xml:space="preserve">↓Pup </w:t>
            </w:r>
            <w:r>
              <w:t>body weight</w:t>
            </w:r>
          </w:p>
          <w:p w14:paraId="30EC77D9" w14:textId="77777777" w:rsidR="00CF3A08" w:rsidRPr="00D82EF2" w:rsidRDefault="00CF3A08" w:rsidP="00F025F3">
            <w:pPr>
              <w:keepNext/>
              <w:keepLines/>
              <w:jc w:val="center"/>
            </w:pPr>
            <w:r w:rsidRPr="00D82EF2">
              <w:t>Delayed eye opening</w:t>
            </w:r>
          </w:p>
        </w:tc>
        <w:tc>
          <w:tcPr>
            <w:tcW w:w="1890" w:type="dxa"/>
            <w:vAlign w:val="center"/>
          </w:tcPr>
          <w:p w14:paraId="7ABE8FA1" w14:textId="0F94FBCE" w:rsidR="00CF3A08" w:rsidRPr="00AB2B4F" w:rsidRDefault="00F025F3" w:rsidP="00F025F3">
            <w:pPr>
              <w:keepNext/>
              <w:keepLines/>
              <w:jc w:val="center"/>
            </w:pPr>
            <w:r>
              <w:t>Intermediate MRL</w:t>
            </w:r>
          </w:p>
        </w:tc>
        <w:tc>
          <w:tcPr>
            <w:tcW w:w="1260" w:type="dxa"/>
            <w:vAlign w:val="center"/>
          </w:tcPr>
          <w:p w14:paraId="7B98FE7C" w14:textId="45570ABA" w:rsidR="00CF3A08" w:rsidRPr="00AB2B4F" w:rsidRDefault="00F025F3" w:rsidP="00F025F3">
            <w:pPr>
              <w:keepNext/>
              <w:keepLines/>
              <w:jc w:val="center"/>
            </w:pPr>
            <w:r>
              <w:t>ATSDR, 2021</w:t>
            </w:r>
          </w:p>
        </w:tc>
      </w:tr>
      <w:tr w:rsidR="00CF3A08" w14:paraId="09279D1E" w14:textId="77777777" w:rsidTr="009500B2">
        <w:tc>
          <w:tcPr>
            <w:tcW w:w="1615" w:type="dxa"/>
            <w:vAlign w:val="center"/>
          </w:tcPr>
          <w:p w14:paraId="1C7024C8" w14:textId="77777777" w:rsidR="00CF3A08" w:rsidRPr="00AB2B4F" w:rsidRDefault="00CF3A08" w:rsidP="009500B2">
            <w:pPr>
              <w:keepNext/>
              <w:keepLines/>
            </w:pPr>
            <w:r>
              <w:t>Sum 6</w:t>
            </w:r>
            <w:r w:rsidRPr="00AB2B4F">
              <w:t xml:space="preserve"> PFAS</w:t>
            </w:r>
          </w:p>
        </w:tc>
        <w:tc>
          <w:tcPr>
            <w:tcW w:w="1350" w:type="dxa"/>
            <w:vAlign w:val="center"/>
          </w:tcPr>
          <w:p w14:paraId="153FDEEE" w14:textId="77777777" w:rsidR="00CF3A08" w:rsidRPr="00AB2B4F" w:rsidRDefault="00CF3A08" w:rsidP="009500B2">
            <w:pPr>
              <w:keepNext/>
              <w:keepLines/>
              <w:jc w:val="center"/>
            </w:pPr>
            <w:r>
              <w:t>5 x 10</w:t>
            </w:r>
            <w:r w:rsidRPr="00AB2B4F">
              <w:rPr>
                <w:vertAlign w:val="superscript"/>
              </w:rPr>
              <w:t>-</w:t>
            </w:r>
            <w:r>
              <w:rPr>
                <w:vertAlign w:val="superscript"/>
              </w:rPr>
              <w:t>6</w:t>
            </w:r>
          </w:p>
        </w:tc>
        <w:tc>
          <w:tcPr>
            <w:tcW w:w="2970" w:type="dxa"/>
            <w:vAlign w:val="bottom"/>
          </w:tcPr>
          <w:p w14:paraId="2F178FAA" w14:textId="77777777" w:rsidR="00C01566" w:rsidRDefault="00CF3A08" w:rsidP="009500B2">
            <w:pPr>
              <w:keepNext/>
              <w:keepLines/>
              <w:jc w:val="center"/>
            </w:pPr>
            <w:r>
              <w:t>Developmental</w:t>
            </w:r>
            <w:r w:rsidR="00C01566">
              <w:t xml:space="preserve"> toxicity</w:t>
            </w:r>
          </w:p>
          <w:p w14:paraId="3BC9C178" w14:textId="77777777" w:rsidR="00C01566" w:rsidRDefault="00CF3A08" w:rsidP="009500B2">
            <w:pPr>
              <w:keepNext/>
              <w:keepLines/>
              <w:jc w:val="center"/>
            </w:pPr>
            <w:r>
              <w:t>Liver toxicity</w:t>
            </w:r>
          </w:p>
          <w:p w14:paraId="4E5814DF" w14:textId="047FF43F" w:rsidR="00CF3A08" w:rsidRPr="00AB2B4F" w:rsidRDefault="00CF3A08" w:rsidP="009500B2">
            <w:pPr>
              <w:keepNext/>
              <w:keepLines/>
              <w:jc w:val="center"/>
            </w:pPr>
            <w:r>
              <w:t>Immunotoxicity</w:t>
            </w:r>
          </w:p>
        </w:tc>
        <w:tc>
          <w:tcPr>
            <w:tcW w:w="1890" w:type="dxa"/>
            <w:vAlign w:val="center"/>
          </w:tcPr>
          <w:p w14:paraId="242582A2" w14:textId="77777777" w:rsidR="00CF3A08" w:rsidRPr="00AB2B4F" w:rsidRDefault="00CF3A08" w:rsidP="009500B2">
            <w:pPr>
              <w:keepNext/>
              <w:keepLines/>
              <w:jc w:val="center"/>
            </w:pPr>
            <w:proofErr w:type="spellStart"/>
            <w:r>
              <w:t>RfD</w:t>
            </w:r>
            <w:proofErr w:type="spellEnd"/>
          </w:p>
        </w:tc>
        <w:tc>
          <w:tcPr>
            <w:tcW w:w="1260" w:type="dxa"/>
          </w:tcPr>
          <w:p w14:paraId="4E114F9A" w14:textId="77777777" w:rsidR="00CF3A08" w:rsidRPr="00AB2B4F" w:rsidRDefault="00CF3A08" w:rsidP="009500B2">
            <w:pPr>
              <w:keepNext/>
              <w:keepLines/>
              <w:jc w:val="center"/>
            </w:pPr>
            <w:r w:rsidRPr="00AB2B4F">
              <w:t>MassDEP</w:t>
            </w:r>
            <w:r>
              <w:t xml:space="preserve">, </w:t>
            </w:r>
            <w:r w:rsidRPr="00AB2B4F">
              <w:t>2019</w:t>
            </w:r>
          </w:p>
        </w:tc>
      </w:tr>
    </w:tbl>
    <w:p w14:paraId="4FC33707" w14:textId="5615DD9C" w:rsidR="00CF3A08" w:rsidRDefault="00CF3A08" w:rsidP="00CF3A08">
      <w:r>
        <w:rPr>
          <w:i/>
          <w:iCs/>
          <w:sz w:val="20"/>
          <w:szCs w:val="20"/>
        </w:rPr>
        <w:t xml:space="preserve">MRL – Minimal Risk Level; </w:t>
      </w:r>
      <w:r w:rsidR="00FA6D0E">
        <w:rPr>
          <w:i/>
          <w:iCs/>
          <w:sz w:val="20"/>
          <w:szCs w:val="20"/>
        </w:rPr>
        <w:t xml:space="preserve">PFAS – per- and polyfluoroalkyl substances; </w:t>
      </w:r>
      <w:r w:rsidR="00F025F3">
        <w:rPr>
          <w:i/>
          <w:iCs/>
          <w:sz w:val="20"/>
          <w:szCs w:val="20"/>
        </w:rPr>
        <w:t xml:space="preserve">PFOS - </w:t>
      </w:r>
      <w:proofErr w:type="spellStart"/>
      <w:r w:rsidRPr="000175F7">
        <w:rPr>
          <w:i/>
          <w:iCs/>
          <w:sz w:val="20"/>
          <w:szCs w:val="20"/>
        </w:rPr>
        <w:t>perfluorooctane</w:t>
      </w:r>
      <w:proofErr w:type="spellEnd"/>
      <w:r w:rsidRPr="000175F7">
        <w:rPr>
          <w:i/>
          <w:iCs/>
          <w:sz w:val="20"/>
          <w:szCs w:val="20"/>
        </w:rPr>
        <w:t xml:space="preserve"> sulfonic acid; </w:t>
      </w:r>
      <w:proofErr w:type="spellStart"/>
      <w:r>
        <w:rPr>
          <w:i/>
          <w:iCs/>
          <w:sz w:val="20"/>
          <w:szCs w:val="20"/>
        </w:rPr>
        <w:t>RfD</w:t>
      </w:r>
      <w:proofErr w:type="spellEnd"/>
      <w:r>
        <w:rPr>
          <w:i/>
          <w:iCs/>
          <w:sz w:val="20"/>
          <w:szCs w:val="20"/>
        </w:rPr>
        <w:t xml:space="preserve"> – Reference Dose</w:t>
      </w:r>
    </w:p>
    <w:p w14:paraId="2DA7DAD4" w14:textId="71CB1063" w:rsidR="008C7D9E" w:rsidRPr="001C0B76" w:rsidRDefault="008C7D9E" w:rsidP="001C0B76">
      <w:pPr>
        <w:rPr>
          <w:b/>
          <w:bCs/>
          <w:i/>
          <w:iCs/>
        </w:rPr>
      </w:pPr>
      <w:r w:rsidRPr="001C0B76">
        <w:rPr>
          <w:b/>
          <w:bCs/>
          <w:i/>
          <w:iCs/>
        </w:rPr>
        <w:t>Target Hazard Index</w:t>
      </w:r>
    </w:p>
    <w:p w14:paraId="1B82D55A" w14:textId="0B2880EB" w:rsidR="008C7D9E" w:rsidRDefault="008C7D9E" w:rsidP="00BD4CEE">
      <w:pPr>
        <w:spacing w:after="0" w:line="240" w:lineRule="auto"/>
        <w:jc w:val="both"/>
        <w:rPr>
          <w:sz w:val="24"/>
        </w:rPr>
      </w:pPr>
      <w:r>
        <w:rPr>
          <w:sz w:val="24"/>
        </w:rPr>
        <w:t>SWALs</w:t>
      </w:r>
      <w:r w:rsidRPr="00646233">
        <w:rPr>
          <w:sz w:val="24"/>
        </w:rPr>
        <w:t xml:space="preserve"> are calculated for a target hazard index of 1.</w:t>
      </w:r>
    </w:p>
    <w:p w14:paraId="2BE65D10" w14:textId="77777777" w:rsidR="00776FA8" w:rsidRPr="00646233" w:rsidRDefault="00776FA8" w:rsidP="008C7D9E">
      <w:pPr>
        <w:spacing w:after="0" w:line="240" w:lineRule="auto"/>
        <w:jc w:val="both"/>
        <w:rPr>
          <w:sz w:val="24"/>
        </w:rPr>
      </w:pPr>
    </w:p>
    <w:p w14:paraId="3EC34CF8" w14:textId="5D729D0B" w:rsidR="00307CAF" w:rsidRPr="00776FA8" w:rsidRDefault="002A3455" w:rsidP="00776FA8">
      <w:pPr>
        <w:rPr>
          <w:b/>
          <w:bCs/>
          <w:sz w:val="28"/>
          <w:szCs w:val="28"/>
        </w:rPr>
      </w:pPr>
      <w:r w:rsidRPr="00776FA8">
        <w:rPr>
          <w:b/>
          <w:bCs/>
          <w:sz w:val="28"/>
          <w:szCs w:val="28"/>
        </w:rPr>
        <w:t>A</w:t>
      </w:r>
      <w:r w:rsidR="00AD610F" w:rsidRPr="00776FA8">
        <w:rPr>
          <w:b/>
          <w:bCs/>
          <w:sz w:val="28"/>
          <w:szCs w:val="28"/>
        </w:rPr>
        <w:t>.</w:t>
      </w:r>
      <w:r w:rsidR="008C7D9E" w:rsidRPr="00776FA8">
        <w:rPr>
          <w:b/>
          <w:bCs/>
          <w:sz w:val="28"/>
          <w:szCs w:val="28"/>
        </w:rPr>
        <w:t>2</w:t>
      </w:r>
      <w:r w:rsidR="00AD610F" w:rsidRPr="00776FA8">
        <w:rPr>
          <w:b/>
          <w:bCs/>
          <w:sz w:val="28"/>
          <w:szCs w:val="28"/>
        </w:rPr>
        <w:tab/>
      </w:r>
      <w:r w:rsidR="008B78EF" w:rsidRPr="00776FA8">
        <w:rPr>
          <w:b/>
          <w:bCs/>
          <w:sz w:val="28"/>
          <w:szCs w:val="28"/>
        </w:rPr>
        <w:t>Exposure</w:t>
      </w:r>
      <w:r w:rsidR="008C7D9E" w:rsidRPr="00776FA8">
        <w:rPr>
          <w:b/>
          <w:bCs/>
          <w:sz w:val="28"/>
          <w:szCs w:val="28"/>
        </w:rPr>
        <w:t xml:space="preserve"> Calculation</w:t>
      </w:r>
    </w:p>
    <w:p w14:paraId="7607130B" w14:textId="16A88B9A" w:rsidR="008B78EF" w:rsidRPr="00BD4CEE" w:rsidRDefault="008B78EF" w:rsidP="00BD4CEE">
      <w:pPr>
        <w:spacing w:line="240" w:lineRule="auto"/>
        <w:jc w:val="both"/>
        <w:rPr>
          <w:sz w:val="24"/>
          <w:szCs w:val="24"/>
        </w:rPr>
      </w:pPr>
      <w:r w:rsidRPr="00BD4CEE">
        <w:rPr>
          <w:sz w:val="24"/>
          <w:szCs w:val="24"/>
        </w:rPr>
        <w:t xml:space="preserve">Exposure to surface water is characterized by an Intake Factor (IF), which quantifies the volume of surface water an individual is exposed </w:t>
      </w:r>
      <w:r w:rsidR="00007E06" w:rsidRPr="00BD4CEE">
        <w:rPr>
          <w:sz w:val="24"/>
          <w:szCs w:val="24"/>
        </w:rPr>
        <w:t xml:space="preserve">to </w:t>
      </w:r>
      <w:r w:rsidRPr="00BD4CEE">
        <w:rPr>
          <w:sz w:val="24"/>
          <w:szCs w:val="24"/>
        </w:rPr>
        <w:t>normalized to body weight, in units of liters per kg per day (L/kg-day). The IF is calculated as follows:</w:t>
      </w:r>
    </w:p>
    <w:p w14:paraId="134EC4DA" w14:textId="0DDF0B61" w:rsidR="002A3EB8" w:rsidRPr="00646233" w:rsidRDefault="008B78EF" w:rsidP="00E05B96">
      <w:pPr>
        <w:spacing w:after="0" w:line="240" w:lineRule="auto"/>
        <w:rPr>
          <w:rFonts w:ascii="Cambria Math" w:hAnsi="Cambria Math" w:cs="Arial"/>
          <w:sz w:val="24"/>
        </w:rPr>
      </w:pPr>
      <m:oMathPara>
        <m:oMath>
          <m:r>
            <w:rPr>
              <w:rFonts w:ascii="Cambria Math" w:hAnsi="Cambria Math" w:cs="Arial"/>
              <w:sz w:val="24"/>
            </w:rPr>
            <m:t xml:space="preserve">IF= </m:t>
          </m:r>
          <m:f>
            <m:fPr>
              <m:ctrlPr>
                <w:rPr>
                  <w:rFonts w:ascii="Cambria Math" w:hAnsi="Cambria Math" w:cs="Arial"/>
                  <w:i/>
                  <w:sz w:val="24"/>
                </w:rPr>
              </m:ctrlPr>
            </m:fPr>
            <m:num>
              <m:d>
                <m:dPr>
                  <m:ctrlPr>
                    <w:rPr>
                      <w:rFonts w:ascii="Cambria Math" w:hAnsi="Cambria Math" w:cs="Arial"/>
                      <w:i/>
                      <w:sz w:val="24"/>
                    </w:rPr>
                  </m:ctrlPr>
                </m:dPr>
                <m:e>
                  <m:r>
                    <w:rPr>
                      <w:rFonts w:ascii="Cambria Math" w:hAnsi="Cambria Math" w:cs="Arial"/>
                      <w:sz w:val="24"/>
                    </w:rPr>
                    <m:t>IR×</m:t>
                  </m:r>
                  <m:sSub>
                    <m:sSubPr>
                      <m:ctrlPr>
                        <w:rPr>
                          <w:rFonts w:ascii="Cambria Math" w:hAnsi="Cambria Math" w:cs="Arial"/>
                          <w:i/>
                          <w:sz w:val="24"/>
                        </w:rPr>
                      </m:ctrlPr>
                    </m:sSubPr>
                    <m:e>
                      <m:r>
                        <w:rPr>
                          <w:rFonts w:ascii="Cambria Math" w:hAnsi="Cambria Math" w:cs="Arial"/>
                          <w:sz w:val="24"/>
                        </w:rPr>
                        <m:t>t</m:t>
                      </m:r>
                    </m:e>
                    <m:sub>
                      <m:r>
                        <w:rPr>
                          <w:rFonts w:ascii="Cambria Math" w:hAnsi="Cambria Math" w:cs="Arial"/>
                          <w:sz w:val="24"/>
                        </w:rPr>
                        <m:t>event</m:t>
                      </m:r>
                    </m:sub>
                  </m:sSub>
                  <m:r>
                    <w:rPr>
                      <w:rFonts w:ascii="Cambria Math" w:hAnsi="Cambria Math" w:cs="Arial"/>
                      <w:sz w:val="24"/>
                    </w:rPr>
                    <m:t>×EV×EF×ED</m:t>
                  </m:r>
                </m:e>
              </m:d>
            </m:num>
            <m:den>
              <m:d>
                <m:dPr>
                  <m:ctrlPr>
                    <w:rPr>
                      <w:rFonts w:ascii="Cambria Math" w:hAnsi="Cambria Math" w:cs="Arial"/>
                      <w:i/>
                      <w:sz w:val="24"/>
                    </w:rPr>
                  </m:ctrlPr>
                </m:dPr>
                <m:e>
                  <m:r>
                    <w:rPr>
                      <w:rFonts w:ascii="Cambria Math" w:hAnsi="Cambria Math" w:cs="Arial"/>
                      <w:sz w:val="24"/>
                    </w:rPr>
                    <m:t>BW×AT</m:t>
                  </m:r>
                </m:e>
              </m:d>
            </m:den>
          </m:f>
        </m:oMath>
      </m:oMathPara>
    </w:p>
    <w:p w14:paraId="4FE2A3FB" w14:textId="77777777" w:rsidR="002A3EB8" w:rsidRPr="00646233" w:rsidRDefault="002A3EB8" w:rsidP="00E05B96">
      <w:pPr>
        <w:spacing w:after="0" w:line="240" w:lineRule="auto"/>
        <w:rPr>
          <w:rFonts w:cs="Arial"/>
          <w:sz w:val="24"/>
        </w:rPr>
      </w:pPr>
    </w:p>
    <w:p w14:paraId="44B9A448" w14:textId="77777777" w:rsidR="002A3EB8" w:rsidRPr="00646233" w:rsidRDefault="002A3EB8" w:rsidP="00E05B96">
      <w:pPr>
        <w:spacing w:after="0" w:line="240" w:lineRule="auto"/>
        <w:rPr>
          <w:rFonts w:cs="Arial"/>
          <w:sz w:val="24"/>
          <w:szCs w:val="24"/>
        </w:rPr>
      </w:pPr>
      <w:r w:rsidRPr="00646233">
        <w:rPr>
          <w:rFonts w:cs="Arial"/>
          <w:sz w:val="24"/>
          <w:szCs w:val="24"/>
        </w:rPr>
        <w:t>Where:</w:t>
      </w:r>
    </w:p>
    <w:p w14:paraId="20E03EAB" w14:textId="77777777" w:rsidR="002A3EB8" w:rsidRPr="00646233" w:rsidRDefault="002A3EB8" w:rsidP="00E05B96">
      <w:pPr>
        <w:tabs>
          <w:tab w:val="left" w:pos="1620"/>
          <w:tab w:val="left" w:pos="1980"/>
        </w:tabs>
        <w:spacing w:after="0" w:line="240" w:lineRule="auto"/>
        <w:ind w:left="720"/>
        <w:rPr>
          <w:rFonts w:cs="Arial"/>
          <w:sz w:val="24"/>
          <w:szCs w:val="24"/>
        </w:rPr>
      </w:pPr>
      <w:r w:rsidRPr="00646233">
        <w:rPr>
          <w:rFonts w:cs="Arial"/>
          <w:sz w:val="24"/>
          <w:szCs w:val="24"/>
        </w:rPr>
        <w:t>IR</w:t>
      </w:r>
      <w:r w:rsidRPr="00646233">
        <w:rPr>
          <w:rFonts w:cs="Arial"/>
          <w:sz w:val="24"/>
          <w:szCs w:val="24"/>
        </w:rPr>
        <w:tab/>
        <w:t>=</w:t>
      </w:r>
      <w:r w:rsidRPr="00646233">
        <w:rPr>
          <w:rFonts w:cs="Arial"/>
          <w:sz w:val="24"/>
          <w:szCs w:val="24"/>
        </w:rPr>
        <w:tab/>
        <w:t>Surface water incidental ingestion rate (L/</w:t>
      </w:r>
      <w:proofErr w:type="spellStart"/>
      <w:r w:rsidRPr="00646233">
        <w:rPr>
          <w:rFonts w:cs="Arial"/>
          <w:sz w:val="24"/>
          <w:szCs w:val="24"/>
        </w:rPr>
        <w:t>hr</w:t>
      </w:r>
      <w:proofErr w:type="spellEnd"/>
      <w:r w:rsidRPr="00646233">
        <w:rPr>
          <w:rFonts w:cs="Arial"/>
          <w:sz w:val="24"/>
          <w:szCs w:val="24"/>
        </w:rPr>
        <w:t xml:space="preserve">) </w:t>
      </w:r>
    </w:p>
    <w:p w14:paraId="55D0D7CC" w14:textId="77777777" w:rsidR="002A3EB8" w:rsidRPr="00646233" w:rsidRDefault="002A3EB8" w:rsidP="00E05B96">
      <w:pPr>
        <w:tabs>
          <w:tab w:val="left" w:pos="1620"/>
          <w:tab w:val="left" w:pos="1980"/>
        </w:tabs>
        <w:spacing w:after="0" w:line="240" w:lineRule="auto"/>
        <w:ind w:left="720"/>
        <w:rPr>
          <w:rFonts w:cs="Arial"/>
          <w:sz w:val="24"/>
          <w:szCs w:val="24"/>
        </w:rPr>
      </w:pPr>
      <w:proofErr w:type="spellStart"/>
      <w:r w:rsidRPr="00646233">
        <w:rPr>
          <w:rFonts w:cs="Arial"/>
          <w:sz w:val="24"/>
          <w:szCs w:val="24"/>
        </w:rPr>
        <w:t>t</w:t>
      </w:r>
      <w:r w:rsidRPr="00646233">
        <w:rPr>
          <w:rFonts w:cs="Arial"/>
          <w:sz w:val="24"/>
          <w:szCs w:val="24"/>
          <w:vertAlign w:val="subscript"/>
        </w:rPr>
        <w:t>event</w:t>
      </w:r>
      <w:proofErr w:type="spellEnd"/>
      <w:r w:rsidRPr="00646233">
        <w:rPr>
          <w:rFonts w:cs="Arial"/>
          <w:sz w:val="24"/>
          <w:szCs w:val="24"/>
        </w:rPr>
        <w:tab/>
        <w:t>=</w:t>
      </w:r>
      <w:r w:rsidRPr="00646233">
        <w:rPr>
          <w:rFonts w:cs="Arial"/>
          <w:sz w:val="24"/>
          <w:szCs w:val="24"/>
        </w:rPr>
        <w:tab/>
        <w:t>Duration of recreational event (</w:t>
      </w:r>
      <w:proofErr w:type="spellStart"/>
      <w:r w:rsidRPr="00646233">
        <w:rPr>
          <w:rFonts w:cs="Arial"/>
          <w:sz w:val="24"/>
          <w:szCs w:val="24"/>
        </w:rPr>
        <w:t>hr</w:t>
      </w:r>
      <w:proofErr w:type="spellEnd"/>
      <w:r w:rsidRPr="00646233">
        <w:rPr>
          <w:rFonts w:cs="Arial"/>
          <w:sz w:val="24"/>
          <w:szCs w:val="24"/>
        </w:rPr>
        <w:t>/event)</w:t>
      </w:r>
    </w:p>
    <w:p w14:paraId="47F3975C" w14:textId="77777777" w:rsidR="002A3EB8" w:rsidRPr="00646233" w:rsidRDefault="002A3EB8" w:rsidP="00E05B96">
      <w:pPr>
        <w:tabs>
          <w:tab w:val="left" w:pos="1620"/>
          <w:tab w:val="left" w:pos="1980"/>
        </w:tabs>
        <w:spacing w:after="0" w:line="240" w:lineRule="auto"/>
        <w:ind w:left="720"/>
        <w:rPr>
          <w:rFonts w:cs="Arial"/>
          <w:sz w:val="24"/>
          <w:szCs w:val="24"/>
        </w:rPr>
      </w:pPr>
      <w:r w:rsidRPr="00646233">
        <w:rPr>
          <w:rFonts w:cs="Arial"/>
          <w:sz w:val="24"/>
          <w:szCs w:val="24"/>
        </w:rPr>
        <w:t>EV</w:t>
      </w:r>
      <w:r w:rsidRPr="00646233">
        <w:rPr>
          <w:rFonts w:cs="Arial"/>
          <w:sz w:val="24"/>
          <w:szCs w:val="24"/>
        </w:rPr>
        <w:tab/>
        <w:t>=</w:t>
      </w:r>
      <w:r w:rsidRPr="00646233">
        <w:rPr>
          <w:rFonts w:cs="Arial"/>
          <w:sz w:val="24"/>
          <w:szCs w:val="24"/>
        </w:rPr>
        <w:tab/>
        <w:t>Events per day (day)</w:t>
      </w:r>
      <w:r w:rsidRPr="00646233">
        <w:rPr>
          <w:rFonts w:cs="Arial"/>
          <w:sz w:val="24"/>
          <w:szCs w:val="24"/>
          <w:vertAlign w:val="superscript"/>
        </w:rPr>
        <w:t>-1</w:t>
      </w:r>
    </w:p>
    <w:p w14:paraId="67026DA0" w14:textId="5F65BDB1" w:rsidR="002A3EB8" w:rsidRPr="00646233" w:rsidRDefault="002A3EB8" w:rsidP="00E05B96">
      <w:pPr>
        <w:tabs>
          <w:tab w:val="left" w:pos="1620"/>
          <w:tab w:val="left" w:pos="1980"/>
        </w:tabs>
        <w:spacing w:after="0" w:line="240" w:lineRule="auto"/>
        <w:ind w:left="720"/>
        <w:rPr>
          <w:rFonts w:cs="Arial"/>
          <w:sz w:val="24"/>
          <w:szCs w:val="24"/>
        </w:rPr>
      </w:pPr>
      <w:r w:rsidRPr="00646233">
        <w:rPr>
          <w:rFonts w:cs="Arial"/>
          <w:sz w:val="24"/>
          <w:szCs w:val="24"/>
        </w:rPr>
        <w:t>EF</w:t>
      </w:r>
      <w:r w:rsidRPr="00646233">
        <w:rPr>
          <w:rFonts w:cs="Arial"/>
          <w:sz w:val="24"/>
          <w:szCs w:val="24"/>
        </w:rPr>
        <w:tab/>
        <w:t>=</w:t>
      </w:r>
      <w:r w:rsidRPr="00646233">
        <w:rPr>
          <w:rFonts w:cs="Arial"/>
          <w:sz w:val="24"/>
          <w:szCs w:val="24"/>
        </w:rPr>
        <w:tab/>
        <w:t>Exposure frequency (days/</w:t>
      </w:r>
      <w:r w:rsidR="008A2103">
        <w:rPr>
          <w:rFonts w:cs="Arial"/>
          <w:sz w:val="24"/>
          <w:szCs w:val="24"/>
        </w:rPr>
        <w:t>month</w:t>
      </w:r>
      <w:r w:rsidRPr="00646233">
        <w:rPr>
          <w:rFonts w:cs="Arial"/>
          <w:sz w:val="24"/>
          <w:szCs w:val="24"/>
        </w:rPr>
        <w:t>)</w:t>
      </w:r>
    </w:p>
    <w:p w14:paraId="63347EB8" w14:textId="31BA070C" w:rsidR="002A3EB8" w:rsidRPr="00646233" w:rsidRDefault="002A3EB8" w:rsidP="00E05B96">
      <w:pPr>
        <w:tabs>
          <w:tab w:val="left" w:pos="1620"/>
          <w:tab w:val="left" w:pos="1980"/>
        </w:tabs>
        <w:spacing w:after="0" w:line="240" w:lineRule="auto"/>
        <w:ind w:left="720"/>
        <w:rPr>
          <w:rFonts w:cs="Arial"/>
          <w:sz w:val="24"/>
          <w:szCs w:val="24"/>
        </w:rPr>
      </w:pPr>
      <w:r w:rsidRPr="00646233">
        <w:rPr>
          <w:rFonts w:cs="Arial"/>
          <w:sz w:val="24"/>
          <w:szCs w:val="24"/>
        </w:rPr>
        <w:t>ED</w:t>
      </w:r>
      <w:r w:rsidRPr="00646233">
        <w:rPr>
          <w:rFonts w:cs="Arial"/>
          <w:sz w:val="24"/>
          <w:szCs w:val="24"/>
        </w:rPr>
        <w:tab/>
        <w:t>=</w:t>
      </w:r>
      <w:r w:rsidRPr="00646233">
        <w:rPr>
          <w:rFonts w:cs="Arial"/>
          <w:sz w:val="24"/>
          <w:szCs w:val="24"/>
        </w:rPr>
        <w:tab/>
        <w:t>Exposure duration (</w:t>
      </w:r>
      <w:r w:rsidR="008A2103">
        <w:rPr>
          <w:rFonts w:cs="Arial"/>
          <w:sz w:val="24"/>
          <w:szCs w:val="24"/>
        </w:rPr>
        <w:t>month</w:t>
      </w:r>
      <w:r w:rsidRPr="00646233">
        <w:rPr>
          <w:rFonts w:cs="Arial"/>
          <w:sz w:val="24"/>
          <w:szCs w:val="24"/>
        </w:rPr>
        <w:t>s)</w:t>
      </w:r>
    </w:p>
    <w:p w14:paraId="6FEE52C0" w14:textId="77777777" w:rsidR="002A3EB8" w:rsidRPr="00646233" w:rsidRDefault="002A3EB8" w:rsidP="00E05B96">
      <w:pPr>
        <w:tabs>
          <w:tab w:val="left" w:pos="1620"/>
          <w:tab w:val="left" w:pos="1980"/>
        </w:tabs>
        <w:spacing w:after="0" w:line="240" w:lineRule="auto"/>
        <w:ind w:left="720"/>
        <w:rPr>
          <w:rFonts w:cs="Arial"/>
          <w:sz w:val="24"/>
          <w:szCs w:val="24"/>
        </w:rPr>
      </w:pPr>
      <w:r w:rsidRPr="00646233">
        <w:rPr>
          <w:rFonts w:cs="Arial"/>
          <w:sz w:val="24"/>
          <w:szCs w:val="24"/>
        </w:rPr>
        <w:t>BW</w:t>
      </w:r>
      <w:r w:rsidRPr="00646233">
        <w:rPr>
          <w:rFonts w:cs="Arial"/>
          <w:sz w:val="24"/>
          <w:szCs w:val="24"/>
        </w:rPr>
        <w:tab/>
        <w:t>=</w:t>
      </w:r>
      <w:r w:rsidRPr="00646233">
        <w:rPr>
          <w:rFonts w:cs="Arial"/>
          <w:sz w:val="24"/>
          <w:szCs w:val="24"/>
        </w:rPr>
        <w:tab/>
        <w:t>Body weight (kg)</w:t>
      </w:r>
    </w:p>
    <w:p w14:paraId="24E97DE6" w14:textId="0EBD3454" w:rsidR="002A3EB8" w:rsidRPr="00646233" w:rsidRDefault="002A3EB8" w:rsidP="00E05B96">
      <w:pPr>
        <w:tabs>
          <w:tab w:val="left" w:pos="1620"/>
          <w:tab w:val="left" w:pos="1980"/>
        </w:tabs>
        <w:spacing w:after="0" w:line="240" w:lineRule="auto"/>
        <w:ind w:left="720"/>
        <w:rPr>
          <w:rFonts w:cs="Arial"/>
          <w:sz w:val="24"/>
          <w:szCs w:val="24"/>
        </w:rPr>
      </w:pPr>
      <w:r w:rsidRPr="00646233">
        <w:rPr>
          <w:rFonts w:cs="Arial"/>
          <w:sz w:val="24"/>
          <w:szCs w:val="24"/>
        </w:rPr>
        <w:t>AT</w:t>
      </w:r>
      <w:r w:rsidRPr="00646233">
        <w:rPr>
          <w:rFonts w:cs="Arial"/>
          <w:sz w:val="24"/>
          <w:szCs w:val="24"/>
        </w:rPr>
        <w:tab/>
        <w:t>=</w:t>
      </w:r>
      <w:r w:rsidRPr="00646233">
        <w:rPr>
          <w:rFonts w:cs="Arial"/>
          <w:sz w:val="24"/>
          <w:szCs w:val="24"/>
        </w:rPr>
        <w:tab/>
        <w:t>Averaging time (days)</w:t>
      </w:r>
    </w:p>
    <w:p w14:paraId="1CEB8A60" w14:textId="77777777" w:rsidR="00776FA8" w:rsidRDefault="00776FA8" w:rsidP="00776FA8"/>
    <w:p w14:paraId="20BF218E" w14:textId="15D008B2" w:rsidR="00E643FC" w:rsidRPr="00776FA8" w:rsidRDefault="00D81B39" w:rsidP="00776FA8">
      <w:pPr>
        <w:rPr>
          <w:b/>
          <w:bCs/>
          <w:sz w:val="28"/>
          <w:szCs w:val="28"/>
        </w:rPr>
      </w:pPr>
      <w:r w:rsidRPr="00776FA8">
        <w:rPr>
          <w:b/>
          <w:bCs/>
          <w:sz w:val="28"/>
          <w:szCs w:val="28"/>
        </w:rPr>
        <w:t>A</w:t>
      </w:r>
      <w:r w:rsidR="005A3A0D" w:rsidRPr="00776FA8">
        <w:rPr>
          <w:b/>
          <w:bCs/>
          <w:sz w:val="28"/>
          <w:szCs w:val="28"/>
        </w:rPr>
        <w:t xml:space="preserve">.3 </w:t>
      </w:r>
      <w:r w:rsidR="00FD553E">
        <w:rPr>
          <w:b/>
          <w:bCs/>
          <w:sz w:val="28"/>
          <w:szCs w:val="28"/>
        </w:rPr>
        <w:tab/>
      </w:r>
      <w:r w:rsidR="00E643FC" w:rsidRPr="00776FA8">
        <w:rPr>
          <w:b/>
          <w:bCs/>
          <w:sz w:val="28"/>
          <w:szCs w:val="28"/>
        </w:rPr>
        <w:t>E</w:t>
      </w:r>
      <w:r w:rsidR="005A3A0D" w:rsidRPr="00776FA8">
        <w:rPr>
          <w:b/>
          <w:bCs/>
          <w:sz w:val="28"/>
          <w:szCs w:val="28"/>
        </w:rPr>
        <w:t>xposure</w:t>
      </w:r>
      <w:r w:rsidR="00E643FC" w:rsidRPr="00776FA8">
        <w:rPr>
          <w:b/>
          <w:bCs/>
          <w:sz w:val="28"/>
          <w:szCs w:val="28"/>
        </w:rPr>
        <w:t xml:space="preserve"> A</w:t>
      </w:r>
      <w:r w:rsidR="005A3A0D" w:rsidRPr="00776FA8">
        <w:rPr>
          <w:b/>
          <w:bCs/>
          <w:sz w:val="28"/>
          <w:szCs w:val="28"/>
        </w:rPr>
        <w:t>ssumptions</w:t>
      </w:r>
    </w:p>
    <w:p w14:paraId="5F770373" w14:textId="200E91CB" w:rsidR="004F28F5" w:rsidRDefault="008C7D9E" w:rsidP="00A6663A">
      <w:pPr>
        <w:spacing w:after="0" w:line="240" w:lineRule="auto"/>
        <w:jc w:val="both"/>
        <w:rPr>
          <w:sz w:val="24"/>
        </w:rPr>
      </w:pPr>
      <w:r>
        <w:rPr>
          <w:sz w:val="24"/>
        </w:rPr>
        <w:t>Surface Water Action Levels</w:t>
      </w:r>
      <w:r w:rsidR="00D706A6" w:rsidRPr="00646233">
        <w:rPr>
          <w:sz w:val="24"/>
        </w:rPr>
        <w:t xml:space="preserve"> </w:t>
      </w:r>
      <w:r w:rsidR="0044579F" w:rsidRPr="00646233">
        <w:rPr>
          <w:sz w:val="24"/>
        </w:rPr>
        <w:t>a</w:t>
      </w:r>
      <w:r w:rsidR="00D706A6" w:rsidRPr="00646233">
        <w:rPr>
          <w:sz w:val="24"/>
        </w:rPr>
        <w:t xml:space="preserve">re calculated for different age </w:t>
      </w:r>
      <w:r w:rsidR="00007E06">
        <w:rPr>
          <w:sz w:val="24"/>
        </w:rPr>
        <w:t>groups</w:t>
      </w:r>
      <w:r w:rsidR="00D706A6" w:rsidRPr="00646233">
        <w:rPr>
          <w:sz w:val="24"/>
        </w:rPr>
        <w:t>, based on expected differences in the magnitude and/or frequency of e</w:t>
      </w:r>
      <w:r w:rsidR="00CB6BF8" w:rsidRPr="00646233">
        <w:rPr>
          <w:sz w:val="24"/>
        </w:rPr>
        <w:t xml:space="preserve">xposure. </w:t>
      </w:r>
      <w:r w:rsidR="00F900F0" w:rsidRPr="00646233">
        <w:rPr>
          <w:sz w:val="24"/>
        </w:rPr>
        <w:t xml:space="preserve">Age ranges for children (up to 20 years of age) are based on ATSDR’s Exposure Dose Guidance (ATSDR, </w:t>
      </w:r>
      <w:r w:rsidR="00D4356D" w:rsidRPr="00646233">
        <w:rPr>
          <w:sz w:val="24"/>
        </w:rPr>
        <w:t>201</w:t>
      </w:r>
      <w:r w:rsidR="00D4356D">
        <w:rPr>
          <w:sz w:val="24"/>
        </w:rPr>
        <w:t>6b</w:t>
      </w:r>
      <w:r w:rsidR="00F900F0" w:rsidRPr="00646233">
        <w:rPr>
          <w:sz w:val="24"/>
        </w:rPr>
        <w:t>). Adult exposure</w:t>
      </w:r>
      <w:r w:rsidR="00D4356D">
        <w:rPr>
          <w:sz w:val="24"/>
        </w:rPr>
        <w:t>s are</w:t>
      </w:r>
      <w:r w:rsidR="00F64321">
        <w:rPr>
          <w:sz w:val="24"/>
        </w:rPr>
        <w:t xml:space="preserve"> </w:t>
      </w:r>
      <w:r w:rsidR="00D4356D" w:rsidRPr="00646233">
        <w:rPr>
          <w:sz w:val="24"/>
        </w:rPr>
        <w:t>calculat</w:t>
      </w:r>
      <w:r w:rsidR="00D4356D">
        <w:rPr>
          <w:sz w:val="24"/>
        </w:rPr>
        <w:t xml:space="preserve">ed for </w:t>
      </w:r>
      <w:r w:rsidR="00F900F0" w:rsidRPr="00646233">
        <w:rPr>
          <w:sz w:val="24"/>
        </w:rPr>
        <w:t>wom</w:t>
      </w:r>
      <w:r w:rsidR="00BD6660" w:rsidRPr="00646233">
        <w:rPr>
          <w:sz w:val="24"/>
        </w:rPr>
        <w:t>en of child</w:t>
      </w:r>
      <w:r w:rsidR="00ED14DC">
        <w:rPr>
          <w:sz w:val="24"/>
        </w:rPr>
        <w:t>-</w:t>
      </w:r>
      <w:r w:rsidR="00BD6660" w:rsidRPr="00646233">
        <w:rPr>
          <w:sz w:val="24"/>
        </w:rPr>
        <w:t>bearing age (WOCBA)</w:t>
      </w:r>
      <w:r w:rsidR="00D4356D">
        <w:rPr>
          <w:sz w:val="24"/>
        </w:rPr>
        <w:t>, which</w:t>
      </w:r>
      <w:r w:rsidR="00BD6660" w:rsidRPr="00646233">
        <w:rPr>
          <w:sz w:val="24"/>
        </w:rPr>
        <w:t xml:space="preserve"> </w:t>
      </w:r>
      <w:r w:rsidR="007F1B9D" w:rsidRPr="00646233">
        <w:rPr>
          <w:sz w:val="24"/>
        </w:rPr>
        <w:t>ATSDR defines as 15 – 45 years</w:t>
      </w:r>
      <w:r w:rsidR="00D4356D">
        <w:rPr>
          <w:sz w:val="24"/>
        </w:rPr>
        <w:t xml:space="preserve"> of age</w:t>
      </w:r>
      <w:r w:rsidR="007F1B9D" w:rsidRPr="00646233">
        <w:rPr>
          <w:sz w:val="24"/>
        </w:rPr>
        <w:t xml:space="preserve"> (ATSDR, 2016b). </w:t>
      </w:r>
      <w:r w:rsidR="00EF38AC" w:rsidRPr="00646233">
        <w:rPr>
          <w:sz w:val="24"/>
        </w:rPr>
        <w:t xml:space="preserve">Consistent with US EPA guidance (US EPA, 1989) </w:t>
      </w:r>
      <w:r w:rsidR="002C2961">
        <w:rPr>
          <w:sz w:val="24"/>
        </w:rPr>
        <w:t>SWAL</w:t>
      </w:r>
      <w:r w:rsidR="00EF38AC" w:rsidRPr="00646233">
        <w:rPr>
          <w:sz w:val="24"/>
        </w:rPr>
        <w:t xml:space="preserve">s are calculated reasonable maximum exposure assumptions </w:t>
      </w:r>
      <w:r w:rsidR="00A9508C" w:rsidRPr="00646233">
        <w:rPr>
          <w:sz w:val="24"/>
        </w:rPr>
        <w:t>(e.g., 95</w:t>
      </w:r>
      <w:r w:rsidR="00A9508C" w:rsidRPr="00646233">
        <w:rPr>
          <w:sz w:val="24"/>
          <w:vertAlign w:val="superscript"/>
        </w:rPr>
        <w:t>th</w:t>
      </w:r>
      <w:r w:rsidR="00A9508C" w:rsidRPr="00646233">
        <w:rPr>
          <w:sz w:val="24"/>
        </w:rPr>
        <w:t xml:space="preserve"> or 90</w:t>
      </w:r>
      <w:r w:rsidR="00A9508C" w:rsidRPr="00646233">
        <w:rPr>
          <w:sz w:val="24"/>
          <w:vertAlign w:val="superscript"/>
        </w:rPr>
        <w:t>th</w:t>
      </w:r>
      <w:r w:rsidR="00A9508C" w:rsidRPr="00646233">
        <w:rPr>
          <w:sz w:val="24"/>
        </w:rPr>
        <w:t xml:space="preserve"> percentile, or approximation thereof) </w:t>
      </w:r>
      <w:r w:rsidR="00EF38AC" w:rsidRPr="00646233">
        <w:rPr>
          <w:sz w:val="24"/>
        </w:rPr>
        <w:t>for parameters related to magnitude of exposure (e.g., ingestion rate, exposure frequency, exposure duration)</w:t>
      </w:r>
      <w:r w:rsidR="00C92926">
        <w:rPr>
          <w:sz w:val="24"/>
        </w:rPr>
        <w:t>.</w:t>
      </w:r>
      <w:r w:rsidR="00EF38AC" w:rsidRPr="00646233">
        <w:rPr>
          <w:sz w:val="24"/>
        </w:rPr>
        <w:t xml:space="preserve"> </w:t>
      </w:r>
      <w:r w:rsidR="00C92926">
        <w:rPr>
          <w:sz w:val="24"/>
        </w:rPr>
        <w:t>C</w:t>
      </w:r>
      <w:r w:rsidR="00EF38AC" w:rsidRPr="00646233">
        <w:rPr>
          <w:sz w:val="24"/>
        </w:rPr>
        <w:t xml:space="preserve">entral tendency assumptions </w:t>
      </w:r>
      <w:r w:rsidR="00C92926">
        <w:rPr>
          <w:sz w:val="24"/>
        </w:rPr>
        <w:t xml:space="preserve">are used </w:t>
      </w:r>
      <w:r w:rsidR="00EF38AC" w:rsidRPr="00646233">
        <w:rPr>
          <w:sz w:val="24"/>
        </w:rPr>
        <w:t>for parameters related to body si</w:t>
      </w:r>
      <w:r w:rsidR="00103D43" w:rsidRPr="00646233">
        <w:rPr>
          <w:sz w:val="24"/>
        </w:rPr>
        <w:t>ze (e.g., weight, surface area</w:t>
      </w:r>
      <w:r w:rsidR="00EF38AC" w:rsidRPr="00646233">
        <w:rPr>
          <w:sz w:val="24"/>
        </w:rPr>
        <w:t>)</w:t>
      </w:r>
      <w:r w:rsidR="00A9508C" w:rsidRPr="00646233">
        <w:rPr>
          <w:sz w:val="24"/>
        </w:rPr>
        <w:t xml:space="preserve">. </w:t>
      </w:r>
    </w:p>
    <w:p w14:paraId="73CC3BD3" w14:textId="77777777" w:rsidR="000C4014" w:rsidRPr="00646233" w:rsidRDefault="000C4014" w:rsidP="00E05B96">
      <w:pPr>
        <w:spacing w:after="0" w:line="240" w:lineRule="auto"/>
        <w:rPr>
          <w:sz w:val="24"/>
        </w:rPr>
      </w:pPr>
    </w:p>
    <w:p w14:paraId="67C603CB" w14:textId="5670A91F" w:rsidR="00EC4821" w:rsidRDefault="00EC4821" w:rsidP="00A6663A">
      <w:pPr>
        <w:spacing w:after="0" w:line="240" w:lineRule="auto"/>
        <w:jc w:val="both"/>
        <w:rPr>
          <w:sz w:val="24"/>
        </w:rPr>
      </w:pPr>
      <w:r w:rsidRPr="00646233">
        <w:rPr>
          <w:sz w:val="24"/>
        </w:rPr>
        <w:t xml:space="preserve">Table </w:t>
      </w:r>
      <w:r w:rsidR="008C7D9E">
        <w:rPr>
          <w:sz w:val="24"/>
        </w:rPr>
        <w:t>A.</w:t>
      </w:r>
      <w:r w:rsidR="00846B34">
        <w:rPr>
          <w:sz w:val="24"/>
        </w:rPr>
        <w:t>2</w:t>
      </w:r>
      <w:r w:rsidR="00C92926">
        <w:rPr>
          <w:sz w:val="24"/>
        </w:rPr>
        <w:t xml:space="preserve"> </w:t>
      </w:r>
      <w:r w:rsidRPr="00646233">
        <w:rPr>
          <w:sz w:val="24"/>
        </w:rPr>
        <w:t>lists exposure assumptions</w:t>
      </w:r>
      <w:r w:rsidR="00DC01A4">
        <w:rPr>
          <w:sz w:val="24"/>
        </w:rPr>
        <w:t xml:space="preserve"> for the </w:t>
      </w:r>
      <w:r w:rsidR="0076216B">
        <w:rPr>
          <w:sz w:val="24"/>
        </w:rPr>
        <w:t xml:space="preserve">DPH </w:t>
      </w:r>
      <w:r w:rsidR="00DC01A4">
        <w:rPr>
          <w:sz w:val="24"/>
        </w:rPr>
        <w:t>SWAL</w:t>
      </w:r>
      <w:r w:rsidR="0076216B">
        <w:rPr>
          <w:sz w:val="24"/>
        </w:rPr>
        <w:t>s</w:t>
      </w:r>
      <w:r w:rsidR="00DC01A4">
        <w:rPr>
          <w:sz w:val="24"/>
        </w:rPr>
        <w:t>; Table A.</w:t>
      </w:r>
      <w:r w:rsidR="00846B34">
        <w:rPr>
          <w:sz w:val="24"/>
        </w:rPr>
        <w:t>3</w:t>
      </w:r>
      <w:r w:rsidR="00DC01A4">
        <w:rPr>
          <w:sz w:val="24"/>
        </w:rPr>
        <w:t xml:space="preserve"> lists exposure assumptions for the MassDEP SWAL.</w:t>
      </w:r>
      <w:r w:rsidR="00AD07A1">
        <w:rPr>
          <w:sz w:val="24"/>
        </w:rPr>
        <w:t xml:space="preserve"> </w:t>
      </w:r>
      <w:r w:rsidR="00007E06">
        <w:rPr>
          <w:sz w:val="24"/>
        </w:rPr>
        <w:t>Discussion of t</w:t>
      </w:r>
      <w:r w:rsidRPr="00646233">
        <w:rPr>
          <w:sz w:val="24"/>
        </w:rPr>
        <w:t>he basis for the exposure assumptions follow</w:t>
      </w:r>
      <w:r w:rsidR="00DC01A4">
        <w:rPr>
          <w:sz w:val="24"/>
        </w:rPr>
        <w:t>s the tables</w:t>
      </w:r>
      <w:r w:rsidRPr="00646233">
        <w:rPr>
          <w:sz w:val="24"/>
        </w:rPr>
        <w:t>.</w:t>
      </w:r>
    </w:p>
    <w:p w14:paraId="3974A72A" w14:textId="77777777" w:rsidR="00BF20CD" w:rsidRDefault="00BF20CD" w:rsidP="00E05B96">
      <w:pPr>
        <w:spacing w:after="0" w:line="240" w:lineRule="auto"/>
      </w:pPr>
    </w:p>
    <w:p w14:paraId="4B3DBA11" w14:textId="77777777" w:rsidR="00CE1E3F" w:rsidRDefault="00CE1E3F" w:rsidP="00E05B96">
      <w:pPr>
        <w:spacing w:after="0" w:line="240" w:lineRule="auto"/>
        <w:sectPr w:rsidR="00CE1E3F" w:rsidSect="00733892">
          <w:headerReference w:type="default" r:id="rId21"/>
          <w:footerReference w:type="first" r:id="rId22"/>
          <w:pgSz w:w="12240" w:h="15840"/>
          <w:pgMar w:top="720" w:right="2070" w:bottom="720" w:left="720" w:header="720" w:footer="720" w:gutter="0"/>
          <w:cols w:space="720"/>
          <w:titlePg/>
          <w:docGrid w:linePitch="360"/>
        </w:sectPr>
      </w:pPr>
    </w:p>
    <w:p w14:paraId="1A1806C7" w14:textId="77777777" w:rsidR="00D706A6" w:rsidRDefault="00D706A6" w:rsidP="00E05B96">
      <w:pPr>
        <w:spacing w:after="0" w:line="240" w:lineRule="auto"/>
      </w:pPr>
    </w:p>
    <w:p w14:paraId="26C8C9A6" w14:textId="4DA35241" w:rsidR="00B04C2F" w:rsidRPr="00834878" w:rsidRDefault="00B04C2F" w:rsidP="008B2200">
      <w:pPr>
        <w:keepNext/>
        <w:keepLines/>
        <w:spacing w:after="0" w:line="240" w:lineRule="auto"/>
        <w:ind w:left="90"/>
        <w:rPr>
          <w:b/>
          <w:sz w:val="24"/>
          <w:szCs w:val="24"/>
        </w:rPr>
      </w:pPr>
      <w:r w:rsidRPr="00834878">
        <w:rPr>
          <w:b/>
          <w:sz w:val="24"/>
          <w:szCs w:val="24"/>
        </w:rPr>
        <w:t xml:space="preserve">Table </w:t>
      </w:r>
      <w:r w:rsidR="00AD07A1">
        <w:rPr>
          <w:b/>
          <w:sz w:val="24"/>
          <w:szCs w:val="24"/>
        </w:rPr>
        <w:t>A.</w:t>
      </w:r>
      <w:r w:rsidR="00846B34">
        <w:rPr>
          <w:b/>
          <w:sz w:val="24"/>
          <w:szCs w:val="24"/>
        </w:rPr>
        <w:t>2</w:t>
      </w:r>
      <w:r w:rsidR="0076216B">
        <w:rPr>
          <w:b/>
          <w:sz w:val="24"/>
          <w:szCs w:val="24"/>
        </w:rPr>
        <w:t>.</w:t>
      </w:r>
      <w:r w:rsidRPr="00834878">
        <w:rPr>
          <w:b/>
          <w:sz w:val="24"/>
          <w:szCs w:val="24"/>
        </w:rPr>
        <w:t xml:space="preserve"> </w:t>
      </w:r>
      <w:r w:rsidR="00007E06">
        <w:rPr>
          <w:b/>
          <w:sz w:val="24"/>
          <w:szCs w:val="24"/>
        </w:rPr>
        <w:t xml:space="preserve"> </w:t>
      </w:r>
      <w:r w:rsidRPr="00834878">
        <w:rPr>
          <w:b/>
          <w:sz w:val="24"/>
          <w:szCs w:val="24"/>
        </w:rPr>
        <w:t>Exposure Assumptions for Recreational Exposure to Surface Water</w:t>
      </w:r>
      <w:r w:rsidR="00674E8D">
        <w:rPr>
          <w:b/>
          <w:sz w:val="24"/>
          <w:szCs w:val="24"/>
        </w:rPr>
        <w:t xml:space="preserve"> </w:t>
      </w:r>
      <w:r w:rsidR="00C92926">
        <w:rPr>
          <w:b/>
          <w:sz w:val="24"/>
          <w:szCs w:val="24"/>
        </w:rPr>
        <w:t>–</w:t>
      </w:r>
      <w:r w:rsidR="00674E8D">
        <w:rPr>
          <w:b/>
          <w:sz w:val="24"/>
          <w:szCs w:val="24"/>
        </w:rPr>
        <w:t xml:space="preserve"> </w:t>
      </w:r>
      <w:r w:rsidR="00DC01A4">
        <w:rPr>
          <w:b/>
          <w:sz w:val="24"/>
          <w:szCs w:val="24"/>
        </w:rPr>
        <w:t>DPH SWAL</w:t>
      </w:r>
    </w:p>
    <w:tbl>
      <w:tblPr>
        <w:tblW w:w="13945" w:type="dxa"/>
        <w:tblLook w:val="04A0" w:firstRow="1" w:lastRow="0" w:firstColumn="1" w:lastColumn="0" w:noHBand="0" w:noVBand="1"/>
      </w:tblPr>
      <w:tblGrid>
        <w:gridCol w:w="3055"/>
        <w:gridCol w:w="271"/>
        <w:gridCol w:w="719"/>
        <w:gridCol w:w="720"/>
        <w:gridCol w:w="720"/>
        <w:gridCol w:w="900"/>
        <w:gridCol w:w="900"/>
        <w:gridCol w:w="810"/>
        <w:gridCol w:w="1012"/>
        <w:gridCol w:w="4838"/>
      </w:tblGrid>
      <w:tr w:rsidR="00F427E7" w14:paraId="6EEA40E3" w14:textId="77777777" w:rsidTr="00F427E7">
        <w:trPr>
          <w:trHeight w:val="290"/>
        </w:trPr>
        <w:tc>
          <w:tcPr>
            <w:tcW w:w="3326" w:type="dxa"/>
            <w:gridSpan w:val="2"/>
            <w:vMerge w:val="restart"/>
            <w:tcBorders>
              <w:top w:val="single" w:sz="4" w:space="0" w:color="auto"/>
              <w:left w:val="single" w:sz="4" w:space="0" w:color="auto"/>
              <w:bottom w:val="single" w:sz="4" w:space="0" w:color="auto"/>
              <w:right w:val="nil"/>
            </w:tcBorders>
            <w:shd w:val="clear" w:color="auto" w:fill="A6A6A6" w:themeFill="background1" w:themeFillShade="A6"/>
            <w:noWrap/>
            <w:vAlign w:val="bottom"/>
            <w:hideMark/>
          </w:tcPr>
          <w:p w14:paraId="3B2D9DE8" w14:textId="77777777" w:rsidR="00F427E7" w:rsidRDefault="00F427E7">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EXPOSURE PARAMETERS</w:t>
            </w:r>
          </w:p>
        </w:tc>
        <w:tc>
          <w:tcPr>
            <w:tcW w:w="5781" w:type="dxa"/>
            <w:gridSpan w:val="7"/>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600F900A" w14:textId="77777777" w:rsidR="00F427E7" w:rsidRDefault="00F427E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AGE (YEARS)</w:t>
            </w:r>
          </w:p>
        </w:tc>
        <w:tc>
          <w:tcPr>
            <w:tcW w:w="4838" w:type="dxa"/>
            <w:vMerge w:val="restart"/>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14:paraId="5015C9C4" w14:textId="77777777" w:rsidR="00F427E7" w:rsidRDefault="00F427E7">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BASIS</w:t>
            </w:r>
          </w:p>
        </w:tc>
      </w:tr>
      <w:tr w:rsidR="00F427E7" w14:paraId="50A59B9C" w14:textId="77777777" w:rsidTr="00F427E7">
        <w:trPr>
          <w:trHeight w:val="300"/>
        </w:trPr>
        <w:tc>
          <w:tcPr>
            <w:tcW w:w="0" w:type="auto"/>
            <w:gridSpan w:val="2"/>
            <w:vMerge/>
            <w:tcBorders>
              <w:top w:val="single" w:sz="4" w:space="0" w:color="auto"/>
              <w:left w:val="single" w:sz="4" w:space="0" w:color="auto"/>
              <w:bottom w:val="single" w:sz="4" w:space="0" w:color="auto"/>
              <w:right w:val="nil"/>
            </w:tcBorders>
            <w:vAlign w:val="center"/>
            <w:hideMark/>
          </w:tcPr>
          <w:p w14:paraId="2BC838C1" w14:textId="77777777" w:rsidR="00F427E7" w:rsidRDefault="00F427E7">
            <w:pPr>
              <w:spacing w:after="0"/>
              <w:rPr>
                <w:rFonts w:ascii="Calibri" w:eastAsia="Times New Roman" w:hAnsi="Calibri" w:cs="Calibri"/>
                <w:b/>
                <w:bCs/>
                <w:color w:val="000000"/>
                <w:sz w:val="24"/>
                <w:szCs w:val="24"/>
              </w:rPr>
            </w:pPr>
          </w:p>
        </w:tc>
        <w:tc>
          <w:tcPr>
            <w:tcW w:w="719" w:type="dxa"/>
            <w:tcBorders>
              <w:top w:val="nil"/>
              <w:left w:val="single" w:sz="4" w:space="0" w:color="auto"/>
              <w:bottom w:val="single" w:sz="4" w:space="0" w:color="auto"/>
              <w:right w:val="nil"/>
            </w:tcBorders>
            <w:shd w:val="clear" w:color="auto" w:fill="A6A6A6" w:themeFill="background1" w:themeFillShade="A6"/>
            <w:noWrap/>
            <w:vAlign w:val="bottom"/>
            <w:hideMark/>
          </w:tcPr>
          <w:p w14:paraId="3B361A5B" w14:textId="77777777"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birth to&lt;1</w:t>
            </w:r>
          </w:p>
        </w:tc>
        <w:tc>
          <w:tcPr>
            <w:tcW w:w="720" w:type="dxa"/>
            <w:tcBorders>
              <w:top w:val="nil"/>
              <w:left w:val="nil"/>
              <w:bottom w:val="single" w:sz="4" w:space="0" w:color="auto"/>
              <w:right w:val="nil"/>
            </w:tcBorders>
            <w:shd w:val="clear" w:color="auto" w:fill="A6A6A6" w:themeFill="background1" w:themeFillShade="A6"/>
            <w:noWrap/>
            <w:vAlign w:val="bottom"/>
            <w:hideMark/>
          </w:tcPr>
          <w:p w14:paraId="259DF186"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1 </w:t>
            </w:r>
          </w:p>
          <w:p w14:paraId="37475AB3"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&lt;2</w:t>
            </w:r>
          </w:p>
        </w:tc>
        <w:tc>
          <w:tcPr>
            <w:tcW w:w="720" w:type="dxa"/>
            <w:tcBorders>
              <w:top w:val="nil"/>
              <w:left w:val="nil"/>
              <w:bottom w:val="single" w:sz="4" w:space="0" w:color="auto"/>
              <w:right w:val="nil"/>
            </w:tcBorders>
            <w:shd w:val="clear" w:color="auto" w:fill="A6A6A6" w:themeFill="background1" w:themeFillShade="A6"/>
            <w:noWrap/>
            <w:vAlign w:val="bottom"/>
            <w:hideMark/>
          </w:tcPr>
          <w:p w14:paraId="476F67A2"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2 </w:t>
            </w:r>
          </w:p>
          <w:p w14:paraId="17E78D31"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&lt;6</w:t>
            </w:r>
          </w:p>
        </w:tc>
        <w:tc>
          <w:tcPr>
            <w:tcW w:w="900" w:type="dxa"/>
            <w:tcBorders>
              <w:top w:val="nil"/>
              <w:left w:val="nil"/>
              <w:bottom w:val="single" w:sz="4" w:space="0" w:color="auto"/>
              <w:right w:val="nil"/>
            </w:tcBorders>
            <w:shd w:val="clear" w:color="auto" w:fill="A6A6A6" w:themeFill="background1" w:themeFillShade="A6"/>
            <w:noWrap/>
            <w:vAlign w:val="bottom"/>
            <w:hideMark/>
          </w:tcPr>
          <w:p w14:paraId="29205463"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6 </w:t>
            </w:r>
          </w:p>
          <w:p w14:paraId="58522DA9" w14:textId="4B331BC0"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&lt;11</w:t>
            </w:r>
          </w:p>
        </w:tc>
        <w:tc>
          <w:tcPr>
            <w:tcW w:w="900" w:type="dxa"/>
            <w:tcBorders>
              <w:top w:val="nil"/>
              <w:left w:val="nil"/>
              <w:bottom w:val="single" w:sz="4" w:space="0" w:color="auto"/>
              <w:right w:val="nil"/>
            </w:tcBorders>
            <w:shd w:val="clear" w:color="auto" w:fill="A6A6A6" w:themeFill="background1" w:themeFillShade="A6"/>
            <w:noWrap/>
            <w:vAlign w:val="bottom"/>
            <w:hideMark/>
          </w:tcPr>
          <w:p w14:paraId="63AE821C"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11 </w:t>
            </w:r>
          </w:p>
          <w:p w14:paraId="38C26495"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&lt;16</w:t>
            </w:r>
          </w:p>
        </w:tc>
        <w:tc>
          <w:tcPr>
            <w:tcW w:w="810" w:type="dxa"/>
            <w:tcBorders>
              <w:top w:val="nil"/>
              <w:left w:val="nil"/>
              <w:bottom w:val="single" w:sz="4" w:space="0" w:color="auto"/>
              <w:right w:val="nil"/>
            </w:tcBorders>
            <w:shd w:val="clear" w:color="auto" w:fill="A6A6A6" w:themeFill="background1" w:themeFillShade="A6"/>
            <w:noWrap/>
            <w:vAlign w:val="bottom"/>
            <w:hideMark/>
          </w:tcPr>
          <w:p w14:paraId="14997E00"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16 </w:t>
            </w:r>
          </w:p>
          <w:p w14:paraId="5F837F9E" w14:textId="77777777" w:rsidR="00F427E7" w:rsidRDefault="00F427E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&lt;21</w:t>
            </w:r>
          </w:p>
        </w:tc>
        <w:tc>
          <w:tcPr>
            <w:tcW w:w="1012" w:type="dxa"/>
            <w:tcBorders>
              <w:top w:val="nil"/>
              <w:left w:val="nil"/>
              <w:bottom w:val="single" w:sz="4" w:space="0" w:color="auto"/>
              <w:right w:val="single" w:sz="4" w:space="0" w:color="auto"/>
            </w:tcBorders>
            <w:shd w:val="clear" w:color="auto" w:fill="A6A6A6" w:themeFill="background1" w:themeFillShade="A6"/>
            <w:vAlign w:val="bottom"/>
            <w:hideMark/>
          </w:tcPr>
          <w:p w14:paraId="52C3C463" w14:textId="77777777" w:rsidR="00F427E7" w:rsidRDefault="00F427E7">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WOCBA</w:t>
            </w:r>
            <w:r>
              <w:rPr>
                <w:rFonts w:ascii="Calibri" w:eastAsia="Times New Roman" w:hAnsi="Calibri" w:cs="Calibri"/>
                <w:b/>
                <w:bCs/>
                <w:i/>
                <w:iCs/>
                <w:color w:val="000000"/>
                <w:vertAlign w:val="superscript"/>
              </w:rPr>
              <w:t>a</w:t>
            </w:r>
            <w:proofErr w:type="spellEnd"/>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B51EAB3" w14:textId="77777777" w:rsidR="00F427E7" w:rsidRDefault="00F427E7">
            <w:pPr>
              <w:spacing w:after="0"/>
              <w:rPr>
                <w:rFonts w:ascii="Calibri" w:eastAsia="Times New Roman" w:hAnsi="Calibri" w:cs="Calibri"/>
                <w:b/>
                <w:bCs/>
                <w:color w:val="000000"/>
                <w:sz w:val="24"/>
                <w:szCs w:val="24"/>
              </w:rPr>
            </w:pPr>
          </w:p>
        </w:tc>
      </w:tr>
      <w:tr w:rsidR="00497206" w14:paraId="60D86350" w14:textId="77777777" w:rsidTr="009500B2">
        <w:trPr>
          <w:trHeight w:val="490"/>
        </w:trPr>
        <w:tc>
          <w:tcPr>
            <w:tcW w:w="3326" w:type="dxa"/>
            <w:gridSpan w:val="2"/>
            <w:tcBorders>
              <w:top w:val="single" w:sz="4" w:space="0" w:color="auto"/>
              <w:left w:val="single" w:sz="4" w:space="0" w:color="auto"/>
              <w:bottom w:val="nil"/>
              <w:right w:val="single" w:sz="4" w:space="0" w:color="000000"/>
            </w:tcBorders>
            <w:noWrap/>
            <w:vAlign w:val="center"/>
            <w:hideMark/>
          </w:tcPr>
          <w:p w14:paraId="7C4F8D8E" w14:textId="77777777" w:rsidR="00497206" w:rsidRDefault="0049720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Event Duration, </w:t>
            </w:r>
            <w:proofErr w:type="spellStart"/>
            <w:r>
              <w:rPr>
                <w:rFonts w:ascii="Calibri" w:eastAsia="Times New Roman" w:hAnsi="Calibri" w:cs="Calibri"/>
                <w:b/>
                <w:bCs/>
                <w:color w:val="000000"/>
              </w:rPr>
              <w:t>t</w:t>
            </w:r>
            <w:r>
              <w:rPr>
                <w:rFonts w:ascii="Calibri" w:eastAsia="Times New Roman" w:hAnsi="Calibri" w:cs="Calibri"/>
                <w:b/>
                <w:bCs/>
                <w:color w:val="000000"/>
                <w:vertAlign w:val="subscript"/>
              </w:rPr>
              <w:t>event</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hrs</w:t>
            </w:r>
            <w:proofErr w:type="spellEnd"/>
            <w:r>
              <w:rPr>
                <w:rFonts w:ascii="Calibri" w:eastAsia="Times New Roman" w:hAnsi="Calibri" w:cs="Calibri"/>
                <w:b/>
                <w:bCs/>
                <w:color w:val="000000"/>
              </w:rPr>
              <w:t>/event)</w:t>
            </w:r>
          </w:p>
        </w:tc>
        <w:tc>
          <w:tcPr>
            <w:tcW w:w="719" w:type="dxa"/>
            <w:noWrap/>
            <w:vAlign w:val="center"/>
            <w:hideMark/>
          </w:tcPr>
          <w:p w14:paraId="12F67148" w14:textId="77777777" w:rsidR="00497206" w:rsidRDefault="00497206">
            <w:pPr>
              <w:spacing w:after="0" w:line="240" w:lineRule="auto"/>
              <w:jc w:val="center"/>
              <w:rPr>
                <w:rFonts w:eastAsia="Times New Roman" w:cstheme="minorHAnsi"/>
                <w:color w:val="000000"/>
              </w:rPr>
            </w:pPr>
            <w:r>
              <w:rPr>
                <w:rFonts w:eastAsia="Times New Roman" w:cstheme="minorHAnsi"/>
                <w:color w:val="000000"/>
              </w:rPr>
              <w:t>1</w:t>
            </w:r>
          </w:p>
        </w:tc>
        <w:tc>
          <w:tcPr>
            <w:tcW w:w="720" w:type="dxa"/>
            <w:noWrap/>
            <w:vAlign w:val="center"/>
            <w:hideMark/>
          </w:tcPr>
          <w:p w14:paraId="136491D4" w14:textId="77777777" w:rsidR="00497206" w:rsidRDefault="00497206">
            <w:pPr>
              <w:spacing w:after="0" w:line="240" w:lineRule="auto"/>
              <w:jc w:val="center"/>
              <w:rPr>
                <w:rFonts w:eastAsia="Times New Roman" w:cstheme="minorHAnsi"/>
                <w:color w:val="000000"/>
              </w:rPr>
            </w:pPr>
            <w:r>
              <w:rPr>
                <w:rFonts w:eastAsia="Times New Roman" w:cstheme="minorHAnsi"/>
                <w:color w:val="000000"/>
              </w:rPr>
              <w:t>1</w:t>
            </w:r>
          </w:p>
        </w:tc>
        <w:tc>
          <w:tcPr>
            <w:tcW w:w="720" w:type="dxa"/>
            <w:noWrap/>
            <w:vAlign w:val="center"/>
            <w:hideMark/>
          </w:tcPr>
          <w:p w14:paraId="143B2E1C" w14:textId="77777777" w:rsidR="00497206" w:rsidRDefault="00497206">
            <w:pPr>
              <w:spacing w:after="0" w:line="240" w:lineRule="auto"/>
              <w:jc w:val="center"/>
              <w:rPr>
                <w:rFonts w:eastAsia="Times New Roman" w:cstheme="minorHAnsi"/>
                <w:color w:val="000000"/>
              </w:rPr>
            </w:pPr>
            <w:r>
              <w:rPr>
                <w:rFonts w:eastAsia="Times New Roman" w:cstheme="minorHAnsi"/>
                <w:color w:val="000000"/>
              </w:rPr>
              <w:t>1</w:t>
            </w:r>
          </w:p>
        </w:tc>
        <w:tc>
          <w:tcPr>
            <w:tcW w:w="900" w:type="dxa"/>
            <w:noWrap/>
            <w:vAlign w:val="center"/>
            <w:hideMark/>
          </w:tcPr>
          <w:p w14:paraId="3D64B593" w14:textId="77777777" w:rsidR="00497206" w:rsidRDefault="00497206">
            <w:pPr>
              <w:spacing w:after="0" w:line="240" w:lineRule="auto"/>
              <w:jc w:val="center"/>
              <w:rPr>
                <w:rFonts w:eastAsia="Times New Roman" w:cstheme="minorHAnsi"/>
                <w:color w:val="000000"/>
              </w:rPr>
            </w:pPr>
            <w:r>
              <w:rPr>
                <w:rFonts w:eastAsia="Times New Roman" w:cstheme="minorHAnsi"/>
                <w:color w:val="000000"/>
              </w:rPr>
              <w:t>1</w:t>
            </w:r>
          </w:p>
        </w:tc>
        <w:tc>
          <w:tcPr>
            <w:tcW w:w="900" w:type="dxa"/>
            <w:noWrap/>
            <w:vAlign w:val="center"/>
            <w:hideMark/>
          </w:tcPr>
          <w:p w14:paraId="5B96943A" w14:textId="77777777" w:rsidR="00497206" w:rsidRDefault="00497206">
            <w:pPr>
              <w:spacing w:after="0" w:line="240" w:lineRule="auto"/>
              <w:jc w:val="center"/>
              <w:rPr>
                <w:rFonts w:eastAsia="Times New Roman" w:cstheme="minorHAnsi"/>
                <w:color w:val="000000"/>
              </w:rPr>
            </w:pPr>
            <w:r>
              <w:rPr>
                <w:rFonts w:eastAsia="Times New Roman" w:cstheme="minorHAnsi"/>
                <w:color w:val="000000"/>
              </w:rPr>
              <w:t>1</w:t>
            </w:r>
          </w:p>
        </w:tc>
        <w:tc>
          <w:tcPr>
            <w:tcW w:w="810" w:type="dxa"/>
            <w:noWrap/>
            <w:vAlign w:val="center"/>
            <w:hideMark/>
          </w:tcPr>
          <w:p w14:paraId="3AC16E61" w14:textId="77777777" w:rsidR="00497206" w:rsidRDefault="00497206">
            <w:pPr>
              <w:spacing w:after="0" w:line="240" w:lineRule="auto"/>
              <w:jc w:val="center"/>
              <w:rPr>
                <w:rFonts w:eastAsia="Times New Roman" w:cstheme="minorHAnsi"/>
                <w:color w:val="000000"/>
              </w:rPr>
            </w:pPr>
            <w:r>
              <w:rPr>
                <w:rFonts w:eastAsia="Times New Roman" w:cstheme="minorHAnsi"/>
                <w:color w:val="000000"/>
              </w:rPr>
              <w:t>1</w:t>
            </w:r>
          </w:p>
        </w:tc>
        <w:tc>
          <w:tcPr>
            <w:tcW w:w="1012" w:type="dxa"/>
            <w:noWrap/>
            <w:vAlign w:val="center"/>
            <w:hideMark/>
          </w:tcPr>
          <w:p w14:paraId="29B45C00" w14:textId="77777777" w:rsidR="00497206" w:rsidRDefault="00497206">
            <w:pPr>
              <w:spacing w:after="0" w:line="240" w:lineRule="auto"/>
              <w:jc w:val="center"/>
              <w:rPr>
                <w:rFonts w:eastAsia="Times New Roman" w:cstheme="minorHAnsi"/>
                <w:color w:val="000000"/>
              </w:rPr>
            </w:pPr>
            <w:r>
              <w:rPr>
                <w:rFonts w:eastAsia="Times New Roman" w:cstheme="minorHAnsi"/>
                <w:color w:val="000000"/>
              </w:rPr>
              <w:t>1</w:t>
            </w:r>
          </w:p>
        </w:tc>
        <w:tc>
          <w:tcPr>
            <w:tcW w:w="4838" w:type="dxa"/>
            <w:tcBorders>
              <w:top w:val="single" w:sz="4" w:space="0" w:color="auto"/>
              <w:left w:val="single" w:sz="4" w:space="0" w:color="auto"/>
              <w:right w:val="single" w:sz="4" w:space="0" w:color="auto"/>
            </w:tcBorders>
            <w:vAlign w:val="center"/>
            <w:hideMark/>
          </w:tcPr>
          <w:p w14:paraId="073A40E6" w14:textId="052A2A43" w:rsidR="00497206" w:rsidRDefault="00497206">
            <w:pPr>
              <w:spacing w:after="0" w:line="240" w:lineRule="auto"/>
              <w:rPr>
                <w:rFonts w:ascii="Calibri" w:eastAsia="Times New Roman" w:hAnsi="Calibri" w:cs="Calibri"/>
                <w:color w:val="000000"/>
              </w:rPr>
            </w:pPr>
            <w:r>
              <w:rPr>
                <w:rFonts w:ascii="Calibri" w:eastAsia="Times New Roman" w:hAnsi="Calibri" w:cs="Calibri"/>
                <w:color w:val="000000"/>
              </w:rPr>
              <w:t>Professional judgement</w:t>
            </w:r>
          </w:p>
        </w:tc>
      </w:tr>
      <w:tr w:rsidR="00497206" w14:paraId="705D6360" w14:textId="77777777" w:rsidTr="001247C7">
        <w:trPr>
          <w:trHeight w:val="490"/>
        </w:trPr>
        <w:tc>
          <w:tcPr>
            <w:tcW w:w="332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14:paraId="6866D0E6" w14:textId="77777777" w:rsidR="00497206" w:rsidRDefault="00497206">
            <w:pPr>
              <w:spacing w:after="0" w:line="240" w:lineRule="auto"/>
              <w:rPr>
                <w:rFonts w:ascii="Calibri" w:eastAsia="Times New Roman" w:hAnsi="Calibri" w:cs="Calibri"/>
                <w:b/>
                <w:bCs/>
              </w:rPr>
            </w:pPr>
            <w:r>
              <w:rPr>
                <w:rFonts w:ascii="Calibri" w:eastAsia="Times New Roman" w:hAnsi="Calibri" w:cs="Calibri"/>
                <w:b/>
                <w:bCs/>
              </w:rPr>
              <w:t>Event Frequency, EV (events/day)</w:t>
            </w:r>
          </w:p>
        </w:tc>
        <w:tc>
          <w:tcPr>
            <w:tcW w:w="719" w:type="dxa"/>
            <w:shd w:val="clear" w:color="auto" w:fill="D9D9D9" w:themeFill="background1" w:themeFillShade="D9"/>
            <w:noWrap/>
            <w:vAlign w:val="center"/>
            <w:hideMark/>
          </w:tcPr>
          <w:p w14:paraId="4B68E36B" w14:textId="77777777" w:rsidR="00497206" w:rsidRDefault="00497206">
            <w:pPr>
              <w:spacing w:after="0" w:line="240" w:lineRule="auto"/>
              <w:jc w:val="center"/>
              <w:rPr>
                <w:rFonts w:eastAsia="Times New Roman" w:cstheme="minorHAnsi"/>
              </w:rPr>
            </w:pPr>
            <w:r>
              <w:rPr>
                <w:rFonts w:eastAsia="Times New Roman" w:cstheme="minorHAnsi"/>
              </w:rPr>
              <w:t>1</w:t>
            </w:r>
          </w:p>
        </w:tc>
        <w:tc>
          <w:tcPr>
            <w:tcW w:w="720" w:type="dxa"/>
            <w:shd w:val="clear" w:color="auto" w:fill="D9D9D9" w:themeFill="background1" w:themeFillShade="D9"/>
            <w:noWrap/>
            <w:vAlign w:val="center"/>
            <w:hideMark/>
          </w:tcPr>
          <w:p w14:paraId="11E94DE0" w14:textId="07167AFB" w:rsidR="00497206" w:rsidRDefault="00497206">
            <w:pPr>
              <w:spacing w:after="0" w:line="240" w:lineRule="auto"/>
              <w:jc w:val="center"/>
              <w:rPr>
                <w:rFonts w:eastAsia="Times New Roman" w:cstheme="minorHAnsi"/>
              </w:rPr>
            </w:pPr>
            <w:r>
              <w:rPr>
                <w:rFonts w:eastAsia="Times New Roman" w:cstheme="minorHAnsi"/>
              </w:rPr>
              <w:t>1</w:t>
            </w:r>
          </w:p>
        </w:tc>
        <w:tc>
          <w:tcPr>
            <w:tcW w:w="720" w:type="dxa"/>
            <w:shd w:val="clear" w:color="auto" w:fill="D9D9D9" w:themeFill="background1" w:themeFillShade="D9"/>
            <w:noWrap/>
            <w:vAlign w:val="center"/>
            <w:hideMark/>
          </w:tcPr>
          <w:p w14:paraId="3E5D4139" w14:textId="25CAFF20" w:rsidR="00497206" w:rsidRDefault="00497206">
            <w:pPr>
              <w:spacing w:after="0" w:line="240" w:lineRule="auto"/>
              <w:jc w:val="center"/>
              <w:rPr>
                <w:rFonts w:eastAsia="Times New Roman" w:cstheme="minorHAnsi"/>
              </w:rPr>
            </w:pPr>
            <w:r>
              <w:rPr>
                <w:rFonts w:eastAsia="Times New Roman" w:cstheme="minorHAnsi"/>
              </w:rPr>
              <w:t>3</w:t>
            </w:r>
          </w:p>
        </w:tc>
        <w:tc>
          <w:tcPr>
            <w:tcW w:w="900" w:type="dxa"/>
            <w:shd w:val="clear" w:color="auto" w:fill="D9D9D9" w:themeFill="background1" w:themeFillShade="D9"/>
            <w:noWrap/>
            <w:vAlign w:val="center"/>
            <w:hideMark/>
          </w:tcPr>
          <w:p w14:paraId="1A9C000D" w14:textId="72439441" w:rsidR="00497206" w:rsidRDefault="00497206">
            <w:pPr>
              <w:spacing w:after="0" w:line="240" w:lineRule="auto"/>
              <w:jc w:val="center"/>
              <w:rPr>
                <w:rFonts w:eastAsia="Times New Roman" w:cstheme="minorHAnsi"/>
              </w:rPr>
            </w:pPr>
            <w:r>
              <w:rPr>
                <w:rFonts w:eastAsia="Times New Roman" w:cstheme="minorHAnsi"/>
              </w:rPr>
              <w:t>3</w:t>
            </w:r>
          </w:p>
        </w:tc>
        <w:tc>
          <w:tcPr>
            <w:tcW w:w="900" w:type="dxa"/>
            <w:shd w:val="clear" w:color="auto" w:fill="D9D9D9" w:themeFill="background1" w:themeFillShade="D9"/>
            <w:noWrap/>
            <w:vAlign w:val="center"/>
            <w:hideMark/>
          </w:tcPr>
          <w:p w14:paraId="6DBAAC1E" w14:textId="579C9A05" w:rsidR="00497206" w:rsidRDefault="00497206">
            <w:pPr>
              <w:spacing w:after="0" w:line="240" w:lineRule="auto"/>
              <w:jc w:val="center"/>
              <w:rPr>
                <w:rFonts w:eastAsia="Times New Roman" w:cstheme="minorHAnsi"/>
              </w:rPr>
            </w:pPr>
            <w:r>
              <w:rPr>
                <w:rFonts w:eastAsia="Times New Roman" w:cstheme="minorHAnsi"/>
              </w:rPr>
              <w:t>3</w:t>
            </w:r>
          </w:p>
        </w:tc>
        <w:tc>
          <w:tcPr>
            <w:tcW w:w="810" w:type="dxa"/>
            <w:shd w:val="clear" w:color="auto" w:fill="D9D9D9" w:themeFill="background1" w:themeFillShade="D9"/>
            <w:noWrap/>
            <w:vAlign w:val="center"/>
            <w:hideMark/>
          </w:tcPr>
          <w:p w14:paraId="2D69D9FC" w14:textId="42BE0ED5" w:rsidR="00497206" w:rsidRDefault="00497206">
            <w:pPr>
              <w:spacing w:after="0" w:line="240" w:lineRule="auto"/>
              <w:jc w:val="center"/>
              <w:rPr>
                <w:rFonts w:eastAsia="Times New Roman" w:cstheme="minorHAnsi"/>
              </w:rPr>
            </w:pPr>
            <w:r>
              <w:rPr>
                <w:rFonts w:eastAsia="Times New Roman" w:cstheme="minorHAnsi"/>
              </w:rPr>
              <w:t>3</w:t>
            </w:r>
          </w:p>
        </w:tc>
        <w:tc>
          <w:tcPr>
            <w:tcW w:w="1012" w:type="dxa"/>
            <w:tcBorders>
              <w:top w:val="nil"/>
              <w:left w:val="nil"/>
              <w:bottom w:val="nil"/>
              <w:right w:val="single" w:sz="4" w:space="0" w:color="auto"/>
            </w:tcBorders>
            <w:shd w:val="clear" w:color="auto" w:fill="D9D9D9" w:themeFill="background1" w:themeFillShade="D9"/>
            <w:noWrap/>
            <w:vAlign w:val="center"/>
            <w:hideMark/>
          </w:tcPr>
          <w:p w14:paraId="50DC5F5A" w14:textId="5788D2FC" w:rsidR="00497206" w:rsidRDefault="00497206">
            <w:pPr>
              <w:spacing w:after="0" w:line="240" w:lineRule="auto"/>
              <w:jc w:val="center"/>
              <w:rPr>
                <w:rFonts w:eastAsia="Times New Roman" w:cstheme="minorHAnsi"/>
              </w:rPr>
            </w:pPr>
            <w:r>
              <w:rPr>
                <w:rFonts w:eastAsia="Times New Roman" w:cstheme="minorHAnsi"/>
              </w:rPr>
              <w:t>3</w:t>
            </w:r>
          </w:p>
        </w:tc>
        <w:tc>
          <w:tcPr>
            <w:tcW w:w="0" w:type="auto"/>
            <w:tcBorders>
              <w:left w:val="single" w:sz="4" w:space="0" w:color="auto"/>
              <w:bottom w:val="nil"/>
              <w:right w:val="single" w:sz="4" w:space="0" w:color="auto"/>
            </w:tcBorders>
            <w:shd w:val="clear" w:color="auto" w:fill="D9D9D9" w:themeFill="background1" w:themeFillShade="D9"/>
            <w:vAlign w:val="center"/>
            <w:hideMark/>
          </w:tcPr>
          <w:p w14:paraId="344FB77F" w14:textId="77777777" w:rsidR="001247C7" w:rsidRDefault="001247C7" w:rsidP="001247C7">
            <w:pPr>
              <w:spacing w:after="0" w:line="240" w:lineRule="auto"/>
              <w:rPr>
                <w:rFonts w:ascii="Calibri" w:eastAsia="Times New Roman" w:hAnsi="Calibri" w:cs="Calibri"/>
                <w:color w:val="000000"/>
              </w:rPr>
            </w:pPr>
            <w:r>
              <w:rPr>
                <w:rFonts w:ascii="Calibri" w:eastAsia="Times New Roman" w:hAnsi="Calibri" w:cs="Calibri"/>
                <w:i/>
                <w:iCs/>
                <w:color w:val="000000"/>
              </w:rPr>
              <w:t>Birth - &lt;2:</w:t>
            </w:r>
            <w:r>
              <w:rPr>
                <w:rFonts w:ascii="Calibri" w:eastAsia="Times New Roman" w:hAnsi="Calibri" w:cs="Calibri"/>
                <w:color w:val="000000"/>
              </w:rPr>
              <w:t xml:space="preserve"> Professional judgement</w:t>
            </w:r>
          </w:p>
          <w:p w14:paraId="3142F27D" w14:textId="713F5EB2" w:rsidR="00497206" w:rsidRDefault="001247C7">
            <w:pPr>
              <w:spacing w:after="0"/>
              <w:rPr>
                <w:rFonts w:ascii="Calibri" w:eastAsia="Times New Roman" w:hAnsi="Calibri" w:cs="Calibri"/>
                <w:color w:val="000000"/>
              </w:rPr>
            </w:pPr>
            <w:r>
              <w:rPr>
                <w:rFonts w:ascii="Calibri" w:eastAsia="Times New Roman" w:hAnsi="Calibri" w:cs="Calibri"/>
                <w:i/>
                <w:iCs/>
                <w:color w:val="000000"/>
              </w:rPr>
              <w:t>2 - WOCBA:</w:t>
            </w:r>
            <w:r>
              <w:rPr>
                <w:rFonts w:ascii="Calibri" w:eastAsia="Times New Roman" w:hAnsi="Calibri" w:cs="Calibri"/>
                <w:color w:val="000000"/>
              </w:rPr>
              <w:t xml:space="preserve"> US EPA (1996) Table QBNp-17h;</w:t>
            </w:r>
          </w:p>
        </w:tc>
      </w:tr>
      <w:tr w:rsidR="00F427E7" w14:paraId="176F852E" w14:textId="77777777" w:rsidTr="002F68EA">
        <w:trPr>
          <w:trHeight w:val="558"/>
        </w:trPr>
        <w:tc>
          <w:tcPr>
            <w:tcW w:w="3326" w:type="dxa"/>
            <w:gridSpan w:val="2"/>
            <w:tcBorders>
              <w:top w:val="nil"/>
              <w:left w:val="single" w:sz="4" w:space="0" w:color="auto"/>
              <w:bottom w:val="nil"/>
              <w:right w:val="single" w:sz="4" w:space="0" w:color="000000"/>
            </w:tcBorders>
            <w:shd w:val="clear" w:color="auto" w:fill="auto"/>
            <w:noWrap/>
            <w:vAlign w:val="center"/>
            <w:hideMark/>
          </w:tcPr>
          <w:p w14:paraId="49BA3C08" w14:textId="77777777"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Exposure Frequency, EF (days/month)</w:t>
            </w:r>
          </w:p>
        </w:tc>
        <w:tc>
          <w:tcPr>
            <w:tcW w:w="719" w:type="dxa"/>
            <w:shd w:val="clear" w:color="auto" w:fill="auto"/>
            <w:noWrap/>
            <w:vAlign w:val="center"/>
            <w:hideMark/>
          </w:tcPr>
          <w:p w14:paraId="089DD6F3" w14:textId="74F7C713" w:rsidR="00F427E7" w:rsidRDefault="003C40EE">
            <w:pPr>
              <w:spacing w:after="0" w:line="240" w:lineRule="auto"/>
              <w:jc w:val="center"/>
              <w:rPr>
                <w:rFonts w:eastAsia="Times New Roman" w:cstheme="minorHAnsi"/>
                <w:color w:val="000000"/>
              </w:rPr>
            </w:pPr>
            <w:r>
              <w:rPr>
                <w:rFonts w:eastAsia="Times New Roman" w:cstheme="minorHAnsi"/>
                <w:color w:val="000000"/>
              </w:rPr>
              <w:t>20</w:t>
            </w:r>
          </w:p>
        </w:tc>
        <w:tc>
          <w:tcPr>
            <w:tcW w:w="720" w:type="dxa"/>
            <w:shd w:val="clear" w:color="auto" w:fill="auto"/>
            <w:noWrap/>
            <w:vAlign w:val="center"/>
            <w:hideMark/>
          </w:tcPr>
          <w:p w14:paraId="2A4BEC2A" w14:textId="2E471076" w:rsidR="00F427E7" w:rsidRDefault="003C40EE">
            <w:pPr>
              <w:spacing w:after="0" w:line="240" w:lineRule="auto"/>
              <w:jc w:val="center"/>
              <w:rPr>
                <w:rFonts w:eastAsia="Times New Roman" w:cstheme="minorHAnsi"/>
                <w:color w:val="000000"/>
              </w:rPr>
            </w:pPr>
            <w:r>
              <w:rPr>
                <w:rFonts w:eastAsia="Times New Roman" w:cstheme="minorHAnsi"/>
                <w:color w:val="000000"/>
              </w:rPr>
              <w:t>20</w:t>
            </w:r>
          </w:p>
        </w:tc>
        <w:tc>
          <w:tcPr>
            <w:tcW w:w="720" w:type="dxa"/>
            <w:shd w:val="clear" w:color="auto" w:fill="auto"/>
            <w:noWrap/>
            <w:vAlign w:val="center"/>
            <w:hideMark/>
          </w:tcPr>
          <w:p w14:paraId="3DAFD077"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20</w:t>
            </w:r>
          </w:p>
        </w:tc>
        <w:tc>
          <w:tcPr>
            <w:tcW w:w="900" w:type="dxa"/>
            <w:shd w:val="clear" w:color="auto" w:fill="auto"/>
            <w:noWrap/>
            <w:vAlign w:val="center"/>
            <w:hideMark/>
          </w:tcPr>
          <w:p w14:paraId="1CDD2A77" w14:textId="351FE212" w:rsidR="00F427E7" w:rsidRDefault="003C40EE">
            <w:pPr>
              <w:spacing w:after="0" w:line="240" w:lineRule="auto"/>
              <w:jc w:val="center"/>
              <w:rPr>
                <w:rFonts w:eastAsia="Times New Roman" w:cstheme="minorHAnsi"/>
                <w:color w:val="000000"/>
              </w:rPr>
            </w:pPr>
            <w:r>
              <w:rPr>
                <w:rFonts w:eastAsia="Times New Roman" w:cstheme="minorHAnsi"/>
                <w:color w:val="000000"/>
              </w:rPr>
              <w:t>3</w:t>
            </w:r>
            <w:r w:rsidR="00F427E7">
              <w:rPr>
                <w:rFonts w:eastAsia="Times New Roman" w:cstheme="minorHAnsi"/>
                <w:color w:val="000000"/>
              </w:rPr>
              <w:t>0</w:t>
            </w:r>
          </w:p>
        </w:tc>
        <w:tc>
          <w:tcPr>
            <w:tcW w:w="900" w:type="dxa"/>
            <w:shd w:val="clear" w:color="auto" w:fill="auto"/>
            <w:noWrap/>
            <w:vAlign w:val="center"/>
            <w:hideMark/>
          </w:tcPr>
          <w:p w14:paraId="6BB2EAC6" w14:textId="1CA52653" w:rsidR="00F427E7" w:rsidRDefault="003C40EE">
            <w:pPr>
              <w:spacing w:after="0" w:line="240" w:lineRule="auto"/>
              <w:jc w:val="center"/>
              <w:rPr>
                <w:rFonts w:eastAsia="Times New Roman" w:cstheme="minorHAnsi"/>
                <w:color w:val="000000"/>
              </w:rPr>
            </w:pPr>
            <w:r>
              <w:rPr>
                <w:rFonts w:eastAsia="Times New Roman" w:cstheme="minorHAnsi"/>
                <w:color w:val="000000"/>
              </w:rPr>
              <w:t>3</w:t>
            </w:r>
            <w:r w:rsidR="00F427E7">
              <w:rPr>
                <w:rFonts w:eastAsia="Times New Roman" w:cstheme="minorHAnsi"/>
                <w:color w:val="000000"/>
              </w:rPr>
              <w:t>0</w:t>
            </w:r>
          </w:p>
        </w:tc>
        <w:tc>
          <w:tcPr>
            <w:tcW w:w="810" w:type="dxa"/>
            <w:shd w:val="clear" w:color="auto" w:fill="auto"/>
            <w:noWrap/>
            <w:vAlign w:val="center"/>
            <w:hideMark/>
          </w:tcPr>
          <w:p w14:paraId="49E59C13" w14:textId="7805878C" w:rsidR="00F427E7" w:rsidRDefault="003C40EE">
            <w:pPr>
              <w:spacing w:after="0" w:line="240" w:lineRule="auto"/>
              <w:jc w:val="center"/>
              <w:rPr>
                <w:rFonts w:eastAsia="Times New Roman" w:cstheme="minorHAnsi"/>
                <w:color w:val="000000"/>
              </w:rPr>
            </w:pPr>
            <w:r>
              <w:rPr>
                <w:rFonts w:eastAsia="Times New Roman" w:cstheme="minorHAnsi"/>
                <w:color w:val="000000"/>
              </w:rPr>
              <w:t>3</w:t>
            </w:r>
            <w:r w:rsidR="00F427E7">
              <w:rPr>
                <w:rFonts w:eastAsia="Times New Roman" w:cstheme="minorHAnsi"/>
                <w:color w:val="000000"/>
              </w:rPr>
              <w:t>0</w:t>
            </w:r>
          </w:p>
        </w:tc>
        <w:tc>
          <w:tcPr>
            <w:tcW w:w="1012" w:type="dxa"/>
            <w:shd w:val="clear" w:color="auto" w:fill="auto"/>
            <w:noWrap/>
            <w:vAlign w:val="center"/>
            <w:hideMark/>
          </w:tcPr>
          <w:p w14:paraId="08A15F58"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20</w:t>
            </w:r>
          </w:p>
        </w:tc>
        <w:tc>
          <w:tcPr>
            <w:tcW w:w="4838" w:type="dxa"/>
            <w:tcBorders>
              <w:top w:val="nil"/>
              <w:left w:val="single" w:sz="4" w:space="0" w:color="auto"/>
              <w:bottom w:val="nil"/>
              <w:right w:val="single" w:sz="4" w:space="0" w:color="000000"/>
            </w:tcBorders>
            <w:shd w:val="clear" w:color="auto" w:fill="auto"/>
            <w:vAlign w:val="center"/>
            <w:hideMark/>
          </w:tcPr>
          <w:p w14:paraId="31D36FA9" w14:textId="33650853" w:rsidR="00F427E7" w:rsidRPr="00497206" w:rsidRDefault="003C40EE" w:rsidP="00497206">
            <w:pPr>
              <w:spacing w:after="0" w:line="240" w:lineRule="auto"/>
              <w:rPr>
                <w:rFonts w:ascii="Calibri" w:eastAsia="Times New Roman" w:hAnsi="Calibri" w:cs="Calibri"/>
                <w:color w:val="000000"/>
              </w:rPr>
            </w:pPr>
            <w:r w:rsidRPr="00497206">
              <w:rPr>
                <w:rFonts w:ascii="Calibri" w:eastAsia="Times New Roman" w:hAnsi="Calibri" w:cs="Calibri"/>
                <w:color w:val="000000"/>
              </w:rPr>
              <w:t>US EPA</w:t>
            </w:r>
            <w:r w:rsidR="00497206" w:rsidRPr="00497206">
              <w:rPr>
                <w:rFonts w:ascii="Calibri" w:eastAsia="Times New Roman" w:hAnsi="Calibri" w:cs="Calibri"/>
                <w:color w:val="000000"/>
              </w:rPr>
              <w:t xml:space="preserve"> (1996) </w:t>
            </w:r>
            <w:r w:rsidRPr="00497206">
              <w:rPr>
                <w:rFonts w:ascii="Calibri" w:eastAsia="Times New Roman" w:hAnsi="Calibri" w:cs="Calibri"/>
                <w:color w:val="000000"/>
              </w:rPr>
              <w:t>Table QBS-17g</w:t>
            </w:r>
            <w:r w:rsidR="00497206" w:rsidRPr="00497206">
              <w:rPr>
                <w:rFonts w:ascii="Calibri" w:eastAsia="Times New Roman" w:hAnsi="Calibri" w:cs="Calibri"/>
                <w:color w:val="000000"/>
              </w:rPr>
              <w:t xml:space="preserve"> </w:t>
            </w:r>
          </w:p>
        </w:tc>
      </w:tr>
      <w:tr w:rsidR="00F427E7" w14:paraId="5B0A131F" w14:textId="77777777" w:rsidTr="001247C7">
        <w:trPr>
          <w:trHeight w:val="330"/>
        </w:trPr>
        <w:tc>
          <w:tcPr>
            <w:tcW w:w="332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14:paraId="2C5506EF" w14:textId="26A2F73C"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Exposure Duration, ED (months)</w:t>
            </w:r>
          </w:p>
        </w:tc>
        <w:tc>
          <w:tcPr>
            <w:tcW w:w="719" w:type="dxa"/>
            <w:shd w:val="clear" w:color="auto" w:fill="D9D9D9" w:themeFill="background1" w:themeFillShade="D9"/>
            <w:noWrap/>
            <w:vAlign w:val="center"/>
            <w:hideMark/>
          </w:tcPr>
          <w:p w14:paraId="54F7D4C4"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3.3</w:t>
            </w:r>
          </w:p>
        </w:tc>
        <w:tc>
          <w:tcPr>
            <w:tcW w:w="720" w:type="dxa"/>
            <w:shd w:val="clear" w:color="auto" w:fill="D9D9D9" w:themeFill="background1" w:themeFillShade="D9"/>
            <w:noWrap/>
            <w:vAlign w:val="center"/>
            <w:hideMark/>
          </w:tcPr>
          <w:p w14:paraId="42AA4A28"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3.3</w:t>
            </w:r>
          </w:p>
        </w:tc>
        <w:tc>
          <w:tcPr>
            <w:tcW w:w="720" w:type="dxa"/>
            <w:shd w:val="clear" w:color="auto" w:fill="D9D9D9" w:themeFill="background1" w:themeFillShade="D9"/>
            <w:noWrap/>
            <w:vAlign w:val="center"/>
            <w:hideMark/>
          </w:tcPr>
          <w:p w14:paraId="19EBAA0A"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3.3</w:t>
            </w:r>
          </w:p>
        </w:tc>
        <w:tc>
          <w:tcPr>
            <w:tcW w:w="900" w:type="dxa"/>
            <w:shd w:val="clear" w:color="auto" w:fill="D9D9D9" w:themeFill="background1" w:themeFillShade="D9"/>
            <w:noWrap/>
            <w:vAlign w:val="center"/>
            <w:hideMark/>
          </w:tcPr>
          <w:p w14:paraId="00E6FC61"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3.3</w:t>
            </w:r>
          </w:p>
        </w:tc>
        <w:tc>
          <w:tcPr>
            <w:tcW w:w="900" w:type="dxa"/>
            <w:shd w:val="clear" w:color="auto" w:fill="D9D9D9" w:themeFill="background1" w:themeFillShade="D9"/>
            <w:noWrap/>
            <w:vAlign w:val="center"/>
            <w:hideMark/>
          </w:tcPr>
          <w:p w14:paraId="386CD84D"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3.3</w:t>
            </w:r>
          </w:p>
        </w:tc>
        <w:tc>
          <w:tcPr>
            <w:tcW w:w="810" w:type="dxa"/>
            <w:shd w:val="clear" w:color="auto" w:fill="D9D9D9" w:themeFill="background1" w:themeFillShade="D9"/>
            <w:noWrap/>
            <w:vAlign w:val="center"/>
            <w:hideMark/>
          </w:tcPr>
          <w:p w14:paraId="42B2CB41"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3.3</w:t>
            </w:r>
          </w:p>
        </w:tc>
        <w:tc>
          <w:tcPr>
            <w:tcW w:w="1012" w:type="dxa"/>
            <w:shd w:val="clear" w:color="auto" w:fill="D9D9D9" w:themeFill="background1" w:themeFillShade="D9"/>
            <w:noWrap/>
            <w:vAlign w:val="center"/>
            <w:hideMark/>
          </w:tcPr>
          <w:p w14:paraId="602C5447"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3.3</w:t>
            </w:r>
          </w:p>
        </w:tc>
        <w:tc>
          <w:tcPr>
            <w:tcW w:w="4838" w:type="dxa"/>
            <w:tcBorders>
              <w:top w:val="nil"/>
              <w:left w:val="single" w:sz="4" w:space="0" w:color="auto"/>
              <w:bottom w:val="nil"/>
              <w:right w:val="single" w:sz="4" w:space="0" w:color="000000"/>
            </w:tcBorders>
            <w:shd w:val="clear" w:color="auto" w:fill="D9D9D9" w:themeFill="background1" w:themeFillShade="D9"/>
            <w:noWrap/>
            <w:vAlign w:val="center"/>
            <w:hideMark/>
          </w:tcPr>
          <w:p w14:paraId="1FAA1591" w14:textId="77777777" w:rsidR="00F427E7" w:rsidRDefault="00F427E7">
            <w:pPr>
              <w:spacing w:after="0" w:line="240" w:lineRule="auto"/>
              <w:rPr>
                <w:rFonts w:ascii="Calibri" w:eastAsia="Times New Roman" w:hAnsi="Calibri" w:cs="Calibri"/>
                <w:color w:val="000000"/>
              </w:rPr>
            </w:pPr>
            <w:r>
              <w:rPr>
                <w:rFonts w:ascii="Calibri" w:eastAsia="Times New Roman" w:hAnsi="Calibri" w:cs="Calibri"/>
                <w:color w:val="000000"/>
              </w:rPr>
              <w:t>Professional judgement that swimming occurs between Memorial Day and Labor Day</w:t>
            </w:r>
          </w:p>
        </w:tc>
      </w:tr>
      <w:tr w:rsidR="00F427E7" w14:paraId="5B7FD1B5" w14:textId="77777777" w:rsidTr="001247C7">
        <w:trPr>
          <w:trHeight w:val="330"/>
        </w:trPr>
        <w:tc>
          <w:tcPr>
            <w:tcW w:w="3055" w:type="dxa"/>
            <w:tcBorders>
              <w:top w:val="nil"/>
              <w:left w:val="single" w:sz="4" w:space="0" w:color="auto"/>
              <w:bottom w:val="nil"/>
              <w:right w:val="nil"/>
            </w:tcBorders>
            <w:shd w:val="clear" w:color="auto" w:fill="auto"/>
            <w:noWrap/>
            <w:vAlign w:val="center"/>
            <w:hideMark/>
          </w:tcPr>
          <w:p w14:paraId="2C8C75FD" w14:textId="77777777"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Averaging Time, AT (days)</w:t>
            </w:r>
          </w:p>
        </w:tc>
        <w:tc>
          <w:tcPr>
            <w:tcW w:w="271" w:type="dxa"/>
            <w:tcBorders>
              <w:top w:val="nil"/>
              <w:left w:val="nil"/>
              <w:bottom w:val="nil"/>
              <w:right w:val="single" w:sz="4" w:space="0" w:color="auto"/>
            </w:tcBorders>
            <w:shd w:val="clear" w:color="auto" w:fill="auto"/>
            <w:noWrap/>
            <w:vAlign w:val="bottom"/>
            <w:hideMark/>
          </w:tcPr>
          <w:p w14:paraId="239729B4" w14:textId="77777777"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719" w:type="dxa"/>
            <w:shd w:val="clear" w:color="auto" w:fill="auto"/>
            <w:noWrap/>
            <w:vAlign w:val="center"/>
            <w:hideMark/>
          </w:tcPr>
          <w:p w14:paraId="79279A1B"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102</w:t>
            </w:r>
          </w:p>
        </w:tc>
        <w:tc>
          <w:tcPr>
            <w:tcW w:w="720" w:type="dxa"/>
            <w:shd w:val="clear" w:color="auto" w:fill="auto"/>
            <w:noWrap/>
            <w:vAlign w:val="center"/>
            <w:hideMark/>
          </w:tcPr>
          <w:p w14:paraId="7F4FF517"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102</w:t>
            </w:r>
          </w:p>
        </w:tc>
        <w:tc>
          <w:tcPr>
            <w:tcW w:w="720" w:type="dxa"/>
            <w:shd w:val="clear" w:color="auto" w:fill="auto"/>
            <w:noWrap/>
            <w:vAlign w:val="center"/>
            <w:hideMark/>
          </w:tcPr>
          <w:p w14:paraId="397A7A27"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102</w:t>
            </w:r>
          </w:p>
        </w:tc>
        <w:tc>
          <w:tcPr>
            <w:tcW w:w="900" w:type="dxa"/>
            <w:shd w:val="clear" w:color="auto" w:fill="auto"/>
            <w:noWrap/>
            <w:vAlign w:val="center"/>
            <w:hideMark/>
          </w:tcPr>
          <w:p w14:paraId="2AACFB51"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102</w:t>
            </w:r>
          </w:p>
        </w:tc>
        <w:tc>
          <w:tcPr>
            <w:tcW w:w="900" w:type="dxa"/>
            <w:shd w:val="clear" w:color="auto" w:fill="auto"/>
            <w:noWrap/>
            <w:vAlign w:val="center"/>
            <w:hideMark/>
          </w:tcPr>
          <w:p w14:paraId="49322166"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102</w:t>
            </w:r>
          </w:p>
        </w:tc>
        <w:tc>
          <w:tcPr>
            <w:tcW w:w="810" w:type="dxa"/>
            <w:shd w:val="clear" w:color="auto" w:fill="auto"/>
            <w:noWrap/>
            <w:vAlign w:val="center"/>
            <w:hideMark/>
          </w:tcPr>
          <w:p w14:paraId="23383121"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102</w:t>
            </w:r>
          </w:p>
        </w:tc>
        <w:tc>
          <w:tcPr>
            <w:tcW w:w="1012" w:type="dxa"/>
            <w:shd w:val="clear" w:color="auto" w:fill="auto"/>
            <w:noWrap/>
            <w:vAlign w:val="center"/>
            <w:hideMark/>
          </w:tcPr>
          <w:p w14:paraId="3DC1881E"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102</w:t>
            </w:r>
          </w:p>
        </w:tc>
        <w:tc>
          <w:tcPr>
            <w:tcW w:w="4838" w:type="dxa"/>
            <w:tcBorders>
              <w:top w:val="nil"/>
              <w:left w:val="single" w:sz="4" w:space="0" w:color="auto"/>
              <w:bottom w:val="nil"/>
              <w:right w:val="single" w:sz="4" w:space="0" w:color="000000"/>
            </w:tcBorders>
            <w:shd w:val="clear" w:color="auto" w:fill="auto"/>
            <w:noWrap/>
            <w:vAlign w:val="center"/>
            <w:hideMark/>
          </w:tcPr>
          <w:p w14:paraId="448FCB87" w14:textId="77777777" w:rsidR="00F427E7" w:rsidRDefault="00F427E7">
            <w:pPr>
              <w:spacing w:after="0" w:line="240" w:lineRule="auto"/>
              <w:rPr>
                <w:rFonts w:ascii="Calibri" w:eastAsia="Times New Roman" w:hAnsi="Calibri" w:cs="Calibri"/>
                <w:color w:val="000000"/>
              </w:rPr>
            </w:pPr>
            <w:r>
              <w:rPr>
                <w:rFonts w:ascii="Calibri" w:eastAsia="Times New Roman" w:hAnsi="Calibri" w:cs="Calibri"/>
                <w:color w:val="000000"/>
              </w:rPr>
              <w:t>Dictated by exposure duration</w:t>
            </w:r>
          </w:p>
        </w:tc>
      </w:tr>
      <w:tr w:rsidR="00F427E7" w14:paraId="0C5D8E1F" w14:textId="77777777" w:rsidTr="00585550">
        <w:trPr>
          <w:trHeight w:val="290"/>
        </w:trPr>
        <w:tc>
          <w:tcPr>
            <w:tcW w:w="3055" w:type="dxa"/>
            <w:tcBorders>
              <w:top w:val="nil"/>
              <w:left w:val="single" w:sz="4" w:space="0" w:color="auto"/>
              <w:right w:val="nil"/>
            </w:tcBorders>
            <w:shd w:val="clear" w:color="auto" w:fill="D9D9D9" w:themeFill="background1" w:themeFillShade="D9"/>
            <w:noWrap/>
            <w:vAlign w:val="center"/>
            <w:hideMark/>
          </w:tcPr>
          <w:p w14:paraId="519CFA86" w14:textId="77777777"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Body Weight, BW (kg)</w:t>
            </w:r>
          </w:p>
        </w:tc>
        <w:tc>
          <w:tcPr>
            <w:tcW w:w="271" w:type="dxa"/>
            <w:tcBorders>
              <w:top w:val="nil"/>
              <w:left w:val="nil"/>
              <w:right w:val="single" w:sz="4" w:space="0" w:color="auto"/>
            </w:tcBorders>
            <w:shd w:val="clear" w:color="auto" w:fill="D9D9D9" w:themeFill="background1" w:themeFillShade="D9"/>
            <w:noWrap/>
            <w:vAlign w:val="bottom"/>
            <w:hideMark/>
          </w:tcPr>
          <w:p w14:paraId="0E43C47E" w14:textId="77777777" w:rsidR="00F427E7" w:rsidRDefault="00F427E7">
            <w:pPr>
              <w:rPr>
                <w:rFonts w:ascii="Calibri" w:eastAsia="Times New Roman" w:hAnsi="Calibri" w:cs="Calibri"/>
                <w:b/>
                <w:bCs/>
                <w:color w:val="000000"/>
              </w:rPr>
            </w:pPr>
          </w:p>
        </w:tc>
        <w:tc>
          <w:tcPr>
            <w:tcW w:w="719" w:type="dxa"/>
            <w:shd w:val="clear" w:color="auto" w:fill="D9D9D9" w:themeFill="background1" w:themeFillShade="D9"/>
            <w:noWrap/>
            <w:vAlign w:val="center"/>
            <w:hideMark/>
          </w:tcPr>
          <w:p w14:paraId="58D5D922"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7.8</w:t>
            </w:r>
          </w:p>
        </w:tc>
        <w:tc>
          <w:tcPr>
            <w:tcW w:w="720" w:type="dxa"/>
            <w:shd w:val="clear" w:color="auto" w:fill="D9D9D9" w:themeFill="background1" w:themeFillShade="D9"/>
            <w:noWrap/>
            <w:vAlign w:val="center"/>
            <w:hideMark/>
          </w:tcPr>
          <w:p w14:paraId="1EF7D282"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11.4</w:t>
            </w:r>
          </w:p>
        </w:tc>
        <w:tc>
          <w:tcPr>
            <w:tcW w:w="720" w:type="dxa"/>
            <w:shd w:val="clear" w:color="auto" w:fill="D9D9D9" w:themeFill="background1" w:themeFillShade="D9"/>
            <w:noWrap/>
            <w:vAlign w:val="center"/>
            <w:hideMark/>
          </w:tcPr>
          <w:p w14:paraId="245380F2"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17.4</w:t>
            </w:r>
          </w:p>
        </w:tc>
        <w:tc>
          <w:tcPr>
            <w:tcW w:w="900" w:type="dxa"/>
            <w:shd w:val="clear" w:color="auto" w:fill="D9D9D9" w:themeFill="background1" w:themeFillShade="D9"/>
            <w:noWrap/>
            <w:vAlign w:val="center"/>
            <w:hideMark/>
          </w:tcPr>
          <w:p w14:paraId="328694D6"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31.8</w:t>
            </w:r>
          </w:p>
        </w:tc>
        <w:tc>
          <w:tcPr>
            <w:tcW w:w="900" w:type="dxa"/>
            <w:shd w:val="clear" w:color="auto" w:fill="D9D9D9" w:themeFill="background1" w:themeFillShade="D9"/>
            <w:noWrap/>
            <w:vAlign w:val="center"/>
            <w:hideMark/>
          </w:tcPr>
          <w:p w14:paraId="7008B62C"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56.8</w:t>
            </w:r>
          </w:p>
        </w:tc>
        <w:tc>
          <w:tcPr>
            <w:tcW w:w="810" w:type="dxa"/>
            <w:shd w:val="clear" w:color="auto" w:fill="D9D9D9" w:themeFill="background1" w:themeFillShade="D9"/>
            <w:noWrap/>
            <w:vAlign w:val="center"/>
            <w:hideMark/>
          </w:tcPr>
          <w:p w14:paraId="1941AD6C"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71.6</w:t>
            </w:r>
          </w:p>
        </w:tc>
        <w:tc>
          <w:tcPr>
            <w:tcW w:w="1012" w:type="dxa"/>
            <w:tcBorders>
              <w:top w:val="nil"/>
              <w:left w:val="nil"/>
              <w:right w:val="single" w:sz="4" w:space="0" w:color="auto"/>
            </w:tcBorders>
            <w:shd w:val="clear" w:color="auto" w:fill="D9D9D9" w:themeFill="background1" w:themeFillShade="D9"/>
            <w:noWrap/>
            <w:vAlign w:val="center"/>
            <w:hideMark/>
          </w:tcPr>
          <w:p w14:paraId="07A6D065" w14:textId="77777777" w:rsidR="00F427E7" w:rsidRDefault="00F427E7">
            <w:pPr>
              <w:spacing w:after="0" w:line="240" w:lineRule="auto"/>
              <w:jc w:val="center"/>
              <w:rPr>
                <w:rFonts w:eastAsia="Times New Roman" w:cstheme="minorHAnsi"/>
                <w:color w:val="000000"/>
              </w:rPr>
            </w:pPr>
            <w:r>
              <w:rPr>
                <w:rFonts w:eastAsia="Times New Roman" w:cstheme="minorHAnsi"/>
                <w:color w:val="000000"/>
              </w:rPr>
              <w:t>68</w:t>
            </w:r>
          </w:p>
        </w:tc>
        <w:tc>
          <w:tcPr>
            <w:tcW w:w="4838" w:type="dxa"/>
            <w:tcBorders>
              <w:top w:val="nil"/>
              <w:left w:val="nil"/>
              <w:right w:val="single" w:sz="4" w:space="0" w:color="000000"/>
            </w:tcBorders>
            <w:shd w:val="clear" w:color="auto" w:fill="D9D9D9" w:themeFill="background1" w:themeFillShade="D9"/>
            <w:noWrap/>
            <w:vAlign w:val="bottom"/>
            <w:hideMark/>
          </w:tcPr>
          <w:p w14:paraId="25956319" w14:textId="77777777" w:rsidR="00F427E7" w:rsidRDefault="00F427E7">
            <w:pPr>
              <w:spacing w:after="0" w:line="240" w:lineRule="auto"/>
              <w:rPr>
                <w:rFonts w:ascii="Calibri" w:eastAsia="Times New Roman" w:hAnsi="Calibri" w:cs="Calibri"/>
                <w:color w:val="000000"/>
              </w:rPr>
            </w:pPr>
            <w:r>
              <w:rPr>
                <w:rFonts w:ascii="Calibri" w:eastAsia="Times New Roman" w:hAnsi="Calibri" w:cs="Calibri"/>
                <w:i/>
                <w:iCs/>
                <w:color w:val="000000"/>
              </w:rPr>
              <w:t>Birth - &lt; 21:</w:t>
            </w:r>
            <w:r>
              <w:rPr>
                <w:rFonts w:ascii="Calibri" w:eastAsia="Times New Roman" w:hAnsi="Calibri" w:cs="Calibri"/>
                <w:color w:val="000000"/>
              </w:rPr>
              <w:t xml:space="preserve"> Mean for 1999-2006 NHANES (US EPA, 2011)</w:t>
            </w:r>
          </w:p>
          <w:p w14:paraId="6F077698" w14:textId="77777777" w:rsidR="00F427E7" w:rsidRDefault="00F427E7">
            <w:pPr>
              <w:spacing w:after="0" w:line="240" w:lineRule="auto"/>
              <w:rPr>
                <w:rFonts w:ascii="Calibri" w:eastAsia="Times New Roman" w:hAnsi="Calibri" w:cs="Calibri"/>
                <w:color w:val="000000"/>
              </w:rPr>
            </w:pPr>
            <w:r>
              <w:rPr>
                <w:rFonts w:ascii="Calibri" w:eastAsia="Times New Roman" w:hAnsi="Calibri" w:cs="Calibri"/>
                <w:i/>
                <w:iCs/>
                <w:color w:val="000000"/>
              </w:rPr>
              <w:t>WOCBA:</w:t>
            </w:r>
            <w:r>
              <w:rPr>
                <w:rFonts w:ascii="Calibri" w:eastAsia="Times New Roman" w:hAnsi="Calibri" w:cs="Calibri"/>
                <w:color w:val="000000"/>
              </w:rPr>
              <w:t xml:space="preserve"> Exposure Dose Guidance (ATSDR, 2016)</w:t>
            </w:r>
          </w:p>
        </w:tc>
      </w:tr>
      <w:tr w:rsidR="00F427E7" w14:paraId="51E6922A" w14:textId="77777777" w:rsidTr="00585550">
        <w:trPr>
          <w:trHeight w:val="350"/>
        </w:trPr>
        <w:tc>
          <w:tcPr>
            <w:tcW w:w="3055" w:type="dxa"/>
            <w:tcBorders>
              <w:top w:val="nil"/>
              <w:left w:val="single" w:sz="4" w:space="0" w:color="auto"/>
              <w:bottom w:val="single" w:sz="4" w:space="0" w:color="auto"/>
              <w:right w:val="nil"/>
            </w:tcBorders>
            <w:shd w:val="clear" w:color="auto" w:fill="auto"/>
            <w:noWrap/>
            <w:vAlign w:val="center"/>
            <w:hideMark/>
          </w:tcPr>
          <w:p w14:paraId="7C21FA20" w14:textId="77777777"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SW Ingestion Rate, IR (L/</w:t>
            </w:r>
            <w:proofErr w:type="spellStart"/>
            <w:r>
              <w:rPr>
                <w:rFonts w:ascii="Calibri" w:eastAsia="Times New Roman" w:hAnsi="Calibri" w:cs="Calibri"/>
                <w:b/>
                <w:bCs/>
                <w:color w:val="000000"/>
              </w:rPr>
              <w:t>hr</w:t>
            </w:r>
            <w:proofErr w:type="spellEnd"/>
            <w:r>
              <w:rPr>
                <w:rFonts w:ascii="Calibri" w:eastAsia="Times New Roman" w:hAnsi="Calibri" w:cs="Calibri"/>
                <w:b/>
                <w:bCs/>
                <w:color w:val="000000"/>
              </w:rPr>
              <w:t xml:space="preserve">) </w:t>
            </w:r>
          </w:p>
        </w:tc>
        <w:tc>
          <w:tcPr>
            <w:tcW w:w="271" w:type="dxa"/>
            <w:tcBorders>
              <w:bottom w:val="single" w:sz="4" w:space="0" w:color="auto"/>
            </w:tcBorders>
            <w:shd w:val="clear" w:color="auto" w:fill="auto"/>
            <w:noWrap/>
            <w:vAlign w:val="center"/>
            <w:hideMark/>
          </w:tcPr>
          <w:p w14:paraId="3E8586AD" w14:textId="77777777" w:rsidR="00F427E7" w:rsidRDefault="00F427E7">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719" w:type="dxa"/>
            <w:tcBorders>
              <w:top w:val="nil"/>
              <w:left w:val="single" w:sz="4" w:space="0" w:color="auto"/>
              <w:bottom w:val="single" w:sz="4" w:space="0" w:color="auto"/>
              <w:right w:val="nil"/>
            </w:tcBorders>
            <w:shd w:val="clear" w:color="auto" w:fill="auto"/>
            <w:noWrap/>
            <w:vAlign w:val="center"/>
            <w:hideMark/>
          </w:tcPr>
          <w:p w14:paraId="238C67CD" w14:textId="2DF3C16B" w:rsidR="00F427E7" w:rsidRDefault="00F427E7">
            <w:pPr>
              <w:spacing w:after="0" w:line="240" w:lineRule="auto"/>
              <w:jc w:val="center"/>
              <w:rPr>
                <w:rFonts w:eastAsia="Times New Roman" w:cstheme="minorHAnsi"/>
                <w:color w:val="000000"/>
              </w:rPr>
            </w:pPr>
            <w:r>
              <w:rPr>
                <w:rFonts w:eastAsia="Times New Roman" w:cstheme="minorHAnsi"/>
                <w:color w:val="000000"/>
              </w:rPr>
              <w:t>0.</w:t>
            </w:r>
            <w:r w:rsidR="003C40EE">
              <w:rPr>
                <w:rFonts w:eastAsia="Times New Roman" w:cstheme="minorHAnsi"/>
                <w:color w:val="000000"/>
              </w:rPr>
              <w:t>152</w:t>
            </w:r>
          </w:p>
        </w:tc>
        <w:tc>
          <w:tcPr>
            <w:tcW w:w="720" w:type="dxa"/>
            <w:tcBorders>
              <w:bottom w:val="single" w:sz="4" w:space="0" w:color="auto"/>
            </w:tcBorders>
            <w:shd w:val="clear" w:color="auto" w:fill="auto"/>
            <w:noWrap/>
            <w:vAlign w:val="center"/>
            <w:hideMark/>
          </w:tcPr>
          <w:p w14:paraId="5C76EBDA" w14:textId="1EBAF3DA" w:rsidR="00F427E7" w:rsidRDefault="00F427E7">
            <w:pPr>
              <w:spacing w:after="0" w:line="240" w:lineRule="auto"/>
              <w:jc w:val="center"/>
              <w:rPr>
                <w:rFonts w:eastAsia="Times New Roman" w:cstheme="minorHAnsi"/>
                <w:color w:val="000000"/>
              </w:rPr>
            </w:pPr>
            <w:r>
              <w:rPr>
                <w:rFonts w:eastAsia="Times New Roman" w:cstheme="minorHAnsi"/>
                <w:color w:val="000000"/>
              </w:rPr>
              <w:t>0.</w:t>
            </w:r>
            <w:r w:rsidR="003C40EE">
              <w:rPr>
                <w:rFonts w:eastAsia="Times New Roman" w:cstheme="minorHAnsi"/>
                <w:color w:val="000000"/>
              </w:rPr>
              <w:t>152</w:t>
            </w:r>
          </w:p>
        </w:tc>
        <w:tc>
          <w:tcPr>
            <w:tcW w:w="720" w:type="dxa"/>
            <w:tcBorders>
              <w:bottom w:val="single" w:sz="4" w:space="0" w:color="auto"/>
            </w:tcBorders>
            <w:shd w:val="clear" w:color="auto" w:fill="auto"/>
            <w:noWrap/>
            <w:vAlign w:val="center"/>
            <w:hideMark/>
          </w:tcPr>
          <w:p w14:paraId="5942F5DE" w14:textId="67AD03CB" w:rsidR="00F427E7" w:rsidRDefault="00F427E7">
            <w:pPr>
              <w:spacing w:after="0" w:line="240" w:lineRule="auto"/>
              <w:jc w:val="center"/>
              <w:rPr>
                <w:rFonts w:eastAsia="Times New Roman" w:cstheme="minorHAnsi"/>
                <w:color w:val="000000"/>
              </w:rPr>
            </w:pPr>
            <w:r>
              <w:rPr>
                <w:rFonts w:eastAsia="Times New Roman" w:cstheme="minorHAnsi"/>
                <w:color w:val="000000"/>
              </w:rPr>
              <w:t>0.</w:t>
            </w:r>
            <w:r w:rsidR="003C40EE">
              <w:rPr>
                <w:rFonts w:eastAsia="Times New Roman" w:cstheme="minorHAnsi"/>
                <w:color w:val="000000"/>
              </w:rPr>
              <w:t>152</w:t>
            </w:r>
          </w:p>
        </w:tc>
        <w:tc>
          <w:tcPr>
            <w:tcW w:w="900" w:type="dxa"/>
            <w:tcBorders>
              <w:bottom w:val="single" w:sz="4" w:space="0" w:color="auto"/>
            </w:tcBorders>
            <w:shd w:val="clear" w:color="auto" w:fill="auto"/>
            <w:noWrap/>
            <w:vAlign w:val="center"/>
            <w:hideMark/>
          </w:tcPr>
          <w:p w14:paraId="78DF2029" w14:textId="6D14988E" w:rsidR="00F427E7" w:rsidRDefault="00F427E7">
            <w:pPr>
              <w:spacing w:after="0" w:line="240" w:lineRule="auto"/>
              <w:jc w:val="center"/>
              <w:rPr>
                <w:rFonts w:eastAsia="Times New Roman" w:cstheme="minorHAnsi"/>
                <w:color w:val="000000"/>
              </w:rPr>
            </w:pPr>
            <w:r>
              <w:rPr>
                <w:rFonts w:eastAsia="Times New Roman" w:cstheme="minorHAnsi"/>
                <w:color w:val="000000"/>
              </w:rPr>
              <w:t>0.</w:t>
            </w:r>
            <w:r w:rsidR="003C40EE">
              <w:rPr>
                <w:rFonts w:eastAsia="Times New Roman" w:cstheme="minorHAnsi"/>
                <w:color w:val="000000"/>
              </w:rPr>
              <w:t>152</w:t>
            </w:r>
          </w:p>
        </w:tc>
        <w:tc>
          <w:tcPr>
            <w:tcW w:w="900" w:type="dxa"/>
            <w:tcBorders>
              <w:bottom w:val="single" w:sz="4" w:space="0" w:color="auto"/>
            </w:tcBorders>
            <w:shd w:val="clear" w:color="auto" w:fill="auto"/>
            <w:noWrap/>
            <w:vAlign w:val="center"/>
            <w:hideMark/>
          </w:tcPr>
          <w:p w14:paraId="22E1AEEC" w14:textId="3772E34F" w:rsidR="00F427E7" w:rsidRDefault="00F427E7">
            <w:pPr>
              <w:spacing w:after="0" w:line="240" w:lineRule="auto"/>
              <w:jc w:val="center"/>
              <w:rPr>
                <w:rFonts w:eastAsia="Times New Roman" w:cstheme="minorHAnsi"/>
                <w:color w:val="000000"/>
              </w:rPr>
            </w:pPr>
            <w:r>
              <w:rPr>
                <w:rFonts w:eastAsia="Times New Roman" w:cstheme="minorHAnsi"/>
                <w:color w:val="000000"/>
              </w:rPr>
              <w:t>0.</w:t>
            </w:r>
            <w:r w:rsidR="003C40EE">
              <w:rPr>
                <w:rFonts w:eastAsia="Times New Roman" w:cstheme="minorHAnsi"/>
                <w:color w:val="000000"/>
              </w:rPr>
              <w:t>152</w:t>
            </w:r>
          </w:p>
        </w:tc>
        <w:tc>
          <w:tcPr>
            <w:tcW w:w="810" w:type="dxa"/>
            <w:tcBorders>
              <w:bottom w:val="single" w:sz="4" w:space="0" w:color="auto"/>
            </w:tcBorders>
            <w:shd w:val="clear" w:color="auto" w:fill="auto"/>
            <w:noWrap/>
            <w:vAlign w:val="center"/>
            <w:hideMark/>
          </w:tcPr>
          <w:p w14:paraId="4700481C" w14:textId="2B6179C2" w:rsidR="00F427E7" w:rsidRDefault="00F427E7">
            <w:pPr>
              <w:spacing w:after="0" w:line="240" w:lineRule="auto"/>
              <w:jc w:val="center"/>
              <w:rPr>
                <w:rFonts w:eastAsia="Times New Roman" w:cstheme="minorHAnsi"/>
                <w:color w:val="000000"/>
              </w:rPr>
            </w:pPr>
            <w:r>
              <w:rPr>
                <w:rFonts w:eastAsia="Times New Roman" w:cstheme="minorHAnsi"/>
                <w:color w:val="000000"/>
              </w:rPr>
              <w:t>0.</w:t>
            </w:r>
            <w:r w:rsidR="003C40EE">
              <w:rPr>
                <w:rFonts w:eastAsia="Times New Roman" w:cstheme="minorHAnsi"/>
                <w:color w:val="000000"/>
              </w:rPr>
              <w:t>105</w:t>
            </w:r>
          </w:p>
        </w:tc>
        <w:tc>
          <w:tcPr>
            <w:tcW w:w="1012" w:type="dxa"/>
            <w:tcBorders>
              <w:top w:val="nil"/>
              <w:left w:val="nil"/>
              <w:bottom w:val="single" w:sz="4" w:space="0" w:color="auto"/>
              <w:right w:val="single" w:sz="4" w:space="0" w:color="auto"/>
            </w:tcBorders>
            <w:shd w:val="clear" w:color="auto" w:fill="auto"/>
            <w:noWrap/>
            <w:vAlign w:val="center"/>
            <w:hideMark/>
          </w:tcPr>
          <w:p w14:paraId="70DB32BC" w14:textId="2753B65A" w:rsidR="00F427E7" w:rsidRDefault="00F427E7">
            <w:pPr>
              <w:spacing w:after="0" w:line="240" w:lineRule="auto"/>
              <w:jc w:val="center"/>
              <w:rPr>
                <w:rFonts w:eastAsia="Times New Roman" w:cstheme="minorHAnsi"/>
                <w:color w:val="000000"/>
              </w:rPr>
            </w:pPr>
            <w:r>
              <w:rPr>
                <w:rFonts w:eastAsia="Times New Roman" w:cstheme="minorHAnsi"/>
                <w:color w:val="000000"/>
              </w:rPr>
              <w:t>0.</w:t>
            </w:r>
            <w:r w:rsidR="003C40EE">
              <w:rPr>
                <w:rFonts w:eastAsia="Times New Roman" w:cstheme="minorHAnsi"/>
                <w:color w:val="000000"/>
              </w:rPr>
              <w:t>152</w:t>
            </w:r>
          </w:p>
        </w:tc>
        <w:tc>
          <w:tcPr>
            <w:tcW w:w="4838" w:type="dxa"/>
            <w:tcBorders>
              <w:top w:val="nil"/>
              <w:left w:val="nil"/>
              <w:bottom w:val="single" w:sz="4" w:space="0" w:color="auto"/>
              <w:right w:val="single" w:sz="4" w:space="0" w:color="000000"/>
            </w:tcBorders>
            <w:shd w:val="clear" w:color="auto" w:fill="auto"/>
            <w:vAlign w:val="center"/>
            <w:hideMark/>
          </w:tcPr>
          <w:p w14:paraId="24364AF6" w14:textId="001E8E0B" w:rsidR="00F427E7" w:rsidRPr="00674CE5" w:rsidRDefault="00674CE5" w:rsidP="001247C7">
            <w:pPr>
              <w:spacing w:after="0"/>
              <w:rPr>
                <w:rFonts w:ascii="Calibri" w:hAnsi="Calibri" w:cs="Calibri"/>
                <w:color w:val="000000"/>
              </w:rPr>
            </w:pPr>
            <w:r w:rsidRPr="001247C7">
              <w:rPr>
                <w:rFonts w:ascii="Calibri" w:hAnsi="Calibri" w:cs="Calibri"/>
                <w:color w:val="000000"/>
              </w:rPr>
              <w:t xml:space="preserve">US EPA </w:t>
            </w:r>
            <w:r w:rsidR="001247C7" w:rsidRPr="001247C7">
              <w:rPr>
                <w:rFonts w:ascii="Calibri" w:hAnsi="Calibri" w:cs="Calibri"/>
                <w:color w:val="000000"/>
              </w:rPr>
              <w:t>(</w:t>
            </w:r>
            <w:r w:rsidRPr="001247C7">
              <w:rPr>
                <w:rFonts w:ascii="Calibri" w:hAnsi="Calibri" w:cs="Calibri"/>
                <w:color w:val="000000"/>
              </w:rPr>
              <w:t>2019) Table 3-93</w:t>
            </w:r>
          </w:p>
        </w:tc>
      </w:tr>
    </w:tbl>
    <w:p w14:paraId="08ED36B3" w14:textId="6F9F7DC5" w:rsidR="00C92926" w:rsidRDefault="00F427E7" w:rsidP="00497206">
      <w:pPr>
        <w:spacing w:after="0"/>
        <w:rPr>
          <w:sz w:val="18"/>
          <w:szCs w:val="18"/>
        </w:rPr>
      </w:pPr>
      <w:r>
        <w:rPr>
          <w:i/>
          <w:iCs/>
          <w:sz w:val="20"/>
          <w:szCs w:val="20"/>
        </w:rPr>
        <w:t>[a] Women of Child-Bearing Age; 15-4</w:t>
      </w:r>
      <w:r w:rsidR="007D0F47">
        <w:rPr>
          <w:i/>
          <w:iCs/>
          <w:sz w:val="20"/>
          <w:szCs w:val="20"/>
        </w:rPr>
        <w:t>5</w:t>
      </w:r>
      <w:r>
        <w:rPr>
          <w:i/>
          <w:iCs/>
          <w:sz w:val="20"/>
          <w:szCs w:val="20"/>
        </w:rPr>
        <w:t xml:space="preserve"> years is used for this calculation per ATSDR (2016</w:t>
      </w:r>
      <w:r w:rsidR="000D7FBF">
        <w:rPr>
          <w:i/>
          <w:iCs/>
          <w:sz w:val="20"/>
          <w:szCs w:val="20"/>
        </w:rPr>
        <w:t>b</w:t>
      </w:r>
      <w:r>
        <w:rPr>
          <w:i/>
          <w:iCs/>
          <w:sz w:val="20"/>
          <w:szCs w:val="20"/>
        </w:rPr>
        <w:t>).</w:t>
      </w:r>
      <w:r w:rsidR="00C92926">
        <w:rPr>
          <w:sz w:val="18"/>
          <w:szCs w:val="18"/>
        </w:rPr>
        <w:br w:type="page"/>
      </w:r>
    </w:p>
    <w:p w14:paraId="5491C640" w14:textId="02771CD8" w:rsidR="00C92926" w:rsidRPr="00834878" w:rsidRDefault="00C92926" w:rsidP="008B2200">
      <w:pPr>
        <w:keepNext/>
        <w:keepLines/>
        <w:spacing w:after="0" w:line="240" w:lineRule="auto"/>
        <w:ind w:left="90"/>
        <w:rPr>
          <w:b/>
          <w:sz w:val="24"/>
          <w:szCs w:val="24"/>
        </w:rPr>
      </w:pPr>
      <w:r w:rsidRPr="00834878">
        <w:rPr>
          <w:b/>
          <w:sz w:val="24"/>
          <w:szCs w:val="24"/>
        </w:rPr>
        <w:t xml:space="preserve">Table </w:t>
      </w:r>
      <w:r w:rsidR="00DC01A4">
        <w:rPr>
          <w:b/>
          <w:sz w:val="24"/>
          <w:szCs w:val="24"/>
        </w:rPr>
        <w:t>A</w:t>
      </w:r>
      <w:r w:rsidR="0001329E">
        <w:rPr>
          <w:b/>
          <w:sz w:val="24"/>
          <w:szCs w:val="24"/>
        </w:rPr>
        <w:t>.</w:t>
      </w:r>
      <w:r w:rsidR="00846B34">
        <w:rPr>
          <w:b/>
          <w:sz w:val="24"/>
          <w:szCs w:val="24"/>
        </w:rPr>
        <w:t>3</w:t>
      </w:r>
      <w:r w:rsidR="0076216B">
        <w:rPr>
          <w:b/>
          <w:sz w:val="24"/>
          <w:szCs w:val="24"/>
        </w:rPr>
        <w:t xml:space="preserve">. </w:t>
      </w:r>
      <w:r w:rsidRPr="00834878">
        <w:rPr>
          <w:b/>
          <w:sz w:val="24"/>
          <w:szCs w:val="24"/>
        </w:rPr>
        <w:t xml:space="preserve"> Exposure Assumptions for Recreational Exposure to Surface Water</w:t>
      </w:r>
      <w:r>
        <w:rPr>
          <w:b/>
          <w:sz w:val="24"/>
          <w:szCs w:val="24"/>
        </w:rPr>
        <w:t xml:space="preserve"> – </w:t>
      </w:r>
      <w:r w:rsidR="00DC01A4">
        <w:rPr>
          <w:b/>
          <w:sz w:val="24"/>
          <w:szCs w:val="24"/>
        </w:rPr>
        <w:t>MCP/MassDEP-Based SWAL</w:t>
      </w:r>
      <w:r>
        <w:rPr>
          <w:b/>
          <w:sz w:val="24"/>
          <w:szCs w:val="24"/>
        </w:rPr>
        <w:t xml:space="preserve"> </w:t>
      </w:r>
    </w:p>
    <w:tbl>
      <w:tblPr>
        <w:tblW w:w="11595" w:type="dxa"/>
        <w:tblLook w:val="04A0" w:firstRow="1" w:lastRow="0" w:firstColumn="1" w:lastColumn="0" w:noHBand="0" w:noVBand="1"/>
      </w:tblPr>
      <w:tblGrid>
        <w:gridCol w:w="3055"/>
        <w:gridCol w:w="271"/>
        <w:gridCol w:w="1169"/>
        <w:gridCol w:w="900"/>
        <w:gridCol w:w="1350"/>
        <w:gridCol w:w="4850"/>
      </w:tblGrid>
      <w:tr w:rsidR="001247C7" w14:paraId="5F88FAB7" w14:textId="77777777" w:rsidTr="002F68EA">
        <w:trPr>
          <w:trHeight w:val="290"/>
        </w:trPr>
        <w:tc>
          <w:tcPr>
            <w:tcW w:w="3326" w:type="dxa"/>
            <w:gridSpan w:val="2"/>
            <w:vMerge w:val="restart"/>
            <w:tcBorders>
              <w:top w:val="single" w:sz="4" w:space="0" w:color="auto"/>
              <w:left w:val="single" w:sz="4" w:space="0" w:color="auto"/>
              <w:bottom w:val="single" w:sz="4" w:space="0" w:color="auto"/>
              <w:right w:val="nil"/>
            </w:tcBorders>
            <w:shd w:val="clear" w:color="auto" w:fill="A6A6A6" w:themeFill="background1" w:themeFillShade="A6"/>
            <w:noWrap/>
            <w:vAlign w:val="bottom"/>
            <w:hideMark/>
          </w:tcPr>
          <w:p w14:paraId="19E61CD6" w14:textId="77777777" w:rsidR="001247C7" w:rsidRDefault="001247C7" w:rsidP="009500B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EXPOSURE PARAMETERS</w:t>
            </w:r>
          </w:p>
        </w:tc>
        <w:tc>
          <w:tcPr>
            <w:tcW w:w="3419" w:type="dxa"/>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bottom"/>
          </w:tcPr>
          <w:p w14:paraId="50480B41" w14:textId="2D0A53B4" w:rsidR="001247C7" w:rsidRDefault="001247C7" w:rsidP="009500B2">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AGE (YEARS)</w:t>
            </w:r>
          </w:p>
        </w:tc>
        <w:tc>
          <w:tcPr>
            <w:tcW w:w="4850" w:type="dxa"/>
            <w:vMerge w:val="restart"/>
            <w:tcBorders>
              <w:top w:val="single" w:sz="4" w:space="0" w:color="auto"/>
              <w:left w:val="single" w:sz="4" w:space="0" w:color="auto"/>
              <w:right w:val="single" w:sz="4" w:space="0" w:color="000000"/>
            </w:tcBorders>
            <w:shd w:val="clear" w:color="auto" w:fill="A6A6A6" w:themeFill="background1" w:themeFillShade="A6"/>
            <w:noWrap/>
            <w:vAlign w:val="bottom"/>
            <w:hideMark/>
          </w:tcPr>
          <w:p w14:paraId="3BD7C40D" w14:textId="77777777" w:rsidR="001247C7" w:rsidRDefault="001247C7" w:rsidP="009500B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BASIS</w:t>
            </w:r>
          </w:p>
        </w:tc>
      </w:tr>
      <w:tr w:rsidR="001247C7" w14:paraId="30228556" w14:textId="77777777" w:rsidTr="002F68EA">
        <w:trPr>
          <w:trHeight w:val="300"/>
        </w:trPr>
        <w:tc>
          <w:tcPr>
            <w:tcW w:w="0" w:type="auto"/>
            <w:gridSpan w:val="2"/>
            <w:vMerge/>
            <w:tcBorders>
              <w:top w:val="single" w:sz="4" w:space="0" w:color="auto"/>
              <w:left w:val="single" w:sz="4" w:space="0" w:color="auto"/>
              <w:bottom w:val="single" w:sz="4" w:space="0" w:color="auto"/>
              <w:right w:val="single" w:sz="4" w:space="0" w:color="000000" w:themeColor="text1"/>
            </w:tcBorders>
            <w:vAlign w:val="center"/>
            <w:hideMark/>
          </w:tcPr>
          <w:p w14:paraId="25073013" w14:textId="77777777" w:rsidR="001247C7" w:rsidRDefault="001247C7" w:rsidP="009500B2">
            <w:pPr>
              <w:spacing w:after="0"/>
              <w:rPr>
                <w:rFonts w:ascii="Calibri" w:eastAsia="Times New Roman" w:hAnsi="Calibri" w:cs="Calibri"/>
                <w:b/>
                <w:bCs/>
                <w:color w:val="000000"/>
                <w:sz w:val="24"/>
                <w:szCs w:val="24"/>
              </w:rPr>
            </w:pPr>
          </w:p>
        </w:tc>
        <w:tc>
          <w:tcPr>
            <w:tcW w:w="1169" w:type="dxa"/>
            <w:tcBorders>
              <w:top w:val="single" w:sz="4" w:space="0" w:color="auto"/>
              <w:left w:val="single" w:sz="4" w:space="0" w:color="000000" w:themeColor="text1"/>
              <w:bottom w:val="single" w:sz="4" w:space="0" w:color="auto"/>
              <w:right w:val="nil"/>
            </w:tcBorders>
            <w:shd w:val="clear" w:color="auto" w:fill="A6A6A6" w:themeFill="background1" w:themeFillShade="A6"/>
            <w:noWrap/>
            <w:vAlign w:val="bottom"/>
            <w:hideMark/>
          </w:tcPr>
          <w:p w14:paraId="71BA4E98" w14:textId="77777777" w:rsidR="001247C7" w:rsidRDefault="001247C7" w:rsidP="002F68EA">
            <w:pPr>
              <w:pBdr>
                <w:bottom w:val="single" w:sz="4" w:space="1" w:color="000000" w:themeColor="text1"/>
              </w:pBd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1 </w:t>
            </w:r>
          </w:p>
          <w:p w14:paraId="1366157B" w14:textId="77777777" w:rsidR="001247C7" w:rsidRDefault="001247C7" w:rsidP="002F68EA">
            <w:pPr>
              <w:pBdr>
                <w:bottom w:val="single" w:sz="4" w:space="1" w:color="000000" w:themeColor="text1"/>
              </w:pBd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&lt;2</w:t>
            </w:r>
          </w:p>
        </w:tc>
        <w:tc>
          <w:tcPr>
            <w:tcW w:w="900" w:type="dxa"/>
            <w:tcBorders>
              <w:top w:val="single" w:sz="4" w:space="0" w:color="auto"/>
              <w:left w:val="nil"/>
              <w:bottom w:val="single" w:sz="4" w:space="0" w:color="auto"/>
              <w:right w:val="nil"/>
            </w:tcBorders>
            <w:shd w:val="clear" w:color="auto" w:fill="A6A6A6" w:themeFill="background1" w:themeFillShade="A6"/>
            <w:noWrap/>
            <w:vAlign w:val="bottom"/>
            <w:hideMark/>
          </w:tcPr>
          <w:p w14:paraId="4E52D7B0" w14:textId="77777777" w:rsidR="001247C7" w:rsidRDefault="001247C7" w:rsidP="009500B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2 </w:t>
            </w:r>
          </w:p>
          <w:p w14:paraId="5B296A21" w14:textId="77777777" w:rsidR="001247C7" w:rsidRDefault="001247C7" w:rsidP="009500B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&lt;6</w:t>
            </w:r>
          </w:p>
        </w:tc>
        <w:tc>
          <w:tcPr>
            <w:tcW w:w="1350" w:type="dxa"/>
            <w:tcBorders>
              <w:top w:val="single" w:sz="4" w:space="0" w:color="auto"/>
              <w:left w:val="nil"/>
              <w:bottom w:val="single" w:sz="4" w:space="0" w:color="auto"/>
              <w:right w:val="nil"/>
            </w:tcBorders>
            <w:shd w:val="clear" w:color="auto" w:fill="A6A6A6" w:themeFill="background1" w:themeFillShade="A6"/>
            <w:noWrap/>
            <w:vAlign w:val="bottom"/>
            <w:hideMark/>
          </w:tcPr>
          <w:p w14:paraId="5ED9631B" w14:textId="77777777" w:rsidR="001247C7" w:rsidRDefault="001247C7" w:rsidP="009500B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6 </w:t>
            </w:r>
          </w:p>
          <w:p w14:paraId="54BBEAF5" w14:textId="0039F9DC" w:rsidR="001247C7" w:rsidRDefault="001247C7" w:rsidP="009500B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 &lt;11</w:t>
            </w:r>
          </w:p>
        </w:tc>
        <w:tc>
          <w:tcPr>
            <w:tcW w:w="4850" w:type="dxa"/>
            <w:vMerge/>
            <w:tcBorders>
              <w:left w:val="single" w:sz="4" w:space="0" w:color="auto"/>
              <w:bottom w:val="single" w:sz="4" w:space="0" w:color="auto"/>
              <w:right w:val="single" w:sz="4" w:space="0" w:color="000000"/>
            </w:tcBorders>
            <w:vAlign w:val="center"/>
            <w:hideMark/>
          </w:tcPr>
          <w:p w14:paraId="542BD1F5" w14:textId="77777777" w:rsidR="001247C7" w:rsidRDefault="001247C7" w:rsidP="009500B2">
            <w:pPr>
              <w:spacing w:after="0"/>
              <w:rPr>
                <w:rFonts w:ascii="Calibri" w:eastAsia="Times New Roman" w:hAnsi="Calibri" w:cs="Calibri"/>
                <w:b/>
                <w:bCs/>
                <w:color w:val="000000"/>
                <w:sz w:val="24"/>
                <w:szCs w:val="24"/>
              </w:rPr>
            </w:pPr>
          </w:p>
        </w:tc>
      </w:tr>
      <w:tr w:rsidR="001247C7" w14:paraId="488BB50B" w14:textId="77777777" w:rsidTr="002F68EA">
        <w:trPr>
          <w:trHeight w:val="440"/>
        </w:trPr>
        <w:tc>
          <w:tcPr>
            <w:tcW w:w="3326" w:type="dxa"/>
            <w:gridSpan w:val="2"/>
            <w:tcBorders>
              <w:top w:val="single" w:sz="4" w:space="0" w:color="auto"/>
              <w:left w:val="single" w:sz="4" w:space="0" w:color="auto"/>
              <w:bottom w:val="nil"/>
              <w:right w:val="single" w:sz="4" w:space="0" w:color="000000"/>
            </w:tcBorders>
            <w:noWrap/>
            <w:vAlign w:val="center"/>
            <w:hideMark/>
          </w:tcPr>
          <w:p w14:paraId="37620C35" w14:textId="77777777"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Event Duration, </w:t>
            </w:r>
            <w:proofErr w:type="spellStart"/>
            <w:r>
              <w:rPr>
                <w:rFonts w:ascii="Calibri" w:eastAsia="Times New Roman" w:hAnsi="Calibri" w:cs="Calibri"/>
                <w:b/>
                <w:bCs/>
                <w:color w:val="000000"/>
              </w:rPr>
              <w:t>t</w:t>
            </w:r>
            <w:r>
              <w:rPr>
                <w:rFonts w:ascii="Calibri" w:eastAsia="Times New Roman" w:hAnsi="Calibri" w:cs="Calibri"/>
                <w:b/>
                <w:bCs/>
                <w:color w:val="000000"/>
                <w:vertAlign w:val="subscript"/>
              </w:rPr>
              <w:t>event</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hrs</w:t>
            </w:r>
            <w:proofErr w:type="spellEnd"/>
            <w:r>
              <w:rPr>
                <w:rFonts w:ascii="Calibri" w:eastAsia="Times New Roman" w:hAnsi="Calibri" w:cs="Calibri"/>
                <w:b/>
                <w:bCs/>
                <w:color w:val="000000"/>
              </w:rPr>
              <w:t>/event)</w:t>
            </w:r>
          </w:p>
        </w:tc>
        <w:tc>
          <w:tcPr>
            <w:tcW w:w="1169" w:type="dxa"/>
            <w:tcBorders>
              <w:top w:val="single" w:sz="4" w:space="0" w:color="auto"/>
            </w:tcBorders>
            <w:noWrap/>
            <w:vAlign w:val="center"/>
            <w:hideMark/>
          </w:tcPr>
          <w:p w14:paraId="5C01C518"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1</w:t>
            </w:r>
          </w:p>
        </w:tc>
        <w:tc>
          <w:tcPr>
            <w:tcW w:w="900" w:type="dxa"/>
            <w:tcBorders>
              <w:top w:val="single" w:sz="4" w:space="0" w:color="auto"/>
            </w:tcBorders>
            <w:noWrap/>
            <w:vAlign w:val="center"/>
            <w:hideMark/>
          </w:tcPr>
          <w:p w14:paraId="4AF314F1"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1</w:t>
            </w:r>
          </w:p>
        </w:tc>
        <w:tc>
          <w:tcPr>
            <w:tcW w:w="1350" w:type="dxa"/>
            <w:tcBorders>
              <w:top w:val="single" w:sz="4" w:space="0" w:color="auto"/>
            </w:tcBorders>
            <w:noWrap/>
            <w:vAlign w:val="center"/>
            <w:hideMark/>
          </w:tcPr>
          <w:p w14:paraId="6A77389D"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1</w:t>
            </w:r>
          </w:p>
        </w:tc>
        <w:tc>
          <w:tcPr>
            <w:tcW w:w="4850" w:type="dxa"/>
            <w:tcBorders>
              <w:top w:val="single" w:sz="4" w:space="0" w:color="auto"/>
              <w:left w:val="single" w:sz="4" w:space="0" w:color="auto"/>
              <w:right w:val="single" w:sz="4" w:space="0" w:color="auto"/>
            </w:tcBorders>
            <w:vAlign w:val="center"/>
            <w:hideMark/>
          </w:tcPr>
          <w:p w14:paraId="0DD1E6B0" w14:textId="77777777" w:rsidR="001247C7" w:rsidRDefault="001247C7" w:rsidP="009500B2">
            <w:pPr>
              <w:spacing w:after="0" w:line="240" w:lineRule="auto"/>
              <w:rPr>
                <w:rFonts w:ascii="Calibri" w:eastAsia="Times New Roman" w:hAnsi="Calibri" w:cs="Calibri"/>
                <w:color w:val="000000"/>
              </w:rPr>
            </w:pPr>
            <w:r>
              <w:rPr>
                <w:rFonts w:ascii="Calibri" w:eastAsia="Times New Roman" w:hAnsi="Calibri" w:cs="Calibri"/>
                <w:color w:val="000000"/>
              </w:rPr>
              <w:t>Professional judgement</w:t>
            </w:r>
          </w:p>
        </w:tc>
      </w:tr>
      <w:tr w:rsidR="001247C7" w14:paraId="279CBF34" w14:textId="77777777" w:rsidTr="002F68EA">
        <w:trPr>
          <w:trHeight w:val="405"/>
        </w:trPr>
        <w:tc>
          <w:tcPr>
            <w:tcW w:w="332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14:paraId="32AD4F4C" w14:textId="77777777" w:rsidR="001247C7" w:rsidRDefault="001247C7" w:rsidP="009500B2">
            <w:pPr>
              <w:spacing w:after="0" w:line="240" w:lineRule="auto"/>
              <w:rPr>
                <w:rFonts w:ascii="Calibri" w:eastAsia="Times New Roman" w:hAnsi="Calibri" w:cs="Calibri"/>
                <w:b/>
                <w:bCs/>
              </w:rPr>
            </w:pPr>
            <w:r>
              <w:rPr>
                <w:rFonts w:ascii="Calibri" w:eastAsia="Times New Roman" w:hAnsi="Calibri" w:cs="Calibri"/>
                <w:b/>
                <w:bCs/>
              </w:rPr>
              <w:t>Event Frequency, EV (events/day)</w:t>
            </w:r>
          </w:p>
        </w:tc>
        <w:tc>
          <w:tcPr>
            <w:tcW w:w="1169" w:type="dxa"/>
            <w:shd w:val="clear" w:color="auto" w:fill="D9D9D9" w:themeFill="background1" w:themeFillShade="D9"/>
            <w:noWrap/>
            <w:vAlign w:val="center"/>
            <w:hideMark/>
          </w:tcPr>
          <w:p w14:paraId="397A47CC" w14:textId="33688DFC" w:rsidR="001247C7" w:rsidRDefault="002F68EA" w:rsidP="009500B2">
            <w:pPr>
              <w:spacing w:after="0" w:line="240" w:lineRule="auto"/>
              <w:jc w:val="center"/>
              <w:rPr>
                <w:rFonts w:eastAsia="Times New Roman" w:cstheme="minorHAnsi"/>
              </w:rPr>
            </w:pPr>
            <w:r>
              <w:rPr>
                <w:rFonts w:eastAsia="Times New Roman" w:cstheme="minorHAnsi"/>
              </w:rPr>
              <w:t>3</w:t>
            </w:r>
          </w:p>
        </w:tc>
        <w:tc>
          <w:tcPr>
            <w:tcW w:w="900" w:type="dxa"/>
            <w:shd w:val="clear" w:color="auto" w:fill="D9D9D9" w:themeFill="background1" w:themeFillShade="D9"/>
            <w:noWrap/>
            <w:vAlign w:val="center"/>
            <w:hideMark/>
          </w:tcPr>
          <w:p w14:paraId="232126EA" w14:textId="77777777" w:rsidR="001247C7" w:rsidRDefault="001247C7" w:rsidP="009500B2">
            <w:pPr>
              <w:spacing w:after="0" w:line="240" w:lineRule="auto"/>
              <w:jc w:val="center"/>
              <w:rPr>
                <w:rFonts w:eastAsia="Times New Roman" w:cstheme="minorHAnsi"/>
              </w:rPr>
            </w:pPr>
            <w:r>
              <w:rPr>
                <w:rFonts w:eastAsia="Times New Roman" w:cstheme="minorHAnsi"/>
              </w:rPr>
              <w:t>3</w:t>
            </w:r>
          </w:p>
        </w:tc>
        <w:tc>
          <w:tcPr>
            <w:tcW w:w="1350" w:type="dxa"/>
            <w:shd w:val="clear" w:color="auto" w:fill="D9D9D9" w:themeFill="background1" w:themeFillShade="D9"/>
            <w:noWrap/>
            <w:vAlign w:val="center"/>
            <w:hideMark/>
          </w:tcPr>
          <w:p w14:paraId="49DEB5A0" w14:textId="77777777" w:rsidR="001247C7" w:rsidRDefault="001247C7" w:rsidP="009500B2">
            <w:pPr>
              <w:spacing w:after="0" w:line="240" w:lineRule="auto"/>
              <w:jc w:val="center"/>
              <w:rPr>
                <w:rFonts w:eastAsia="Times New Roman" w:cstheme="minorHAnsi"/>
              </w:rPr>
            </w:pPr>
            <w:r>
              <w:rPr>
                <w:rFonts w:eastAsia="Times New Roman" w:cstheme="minorHAnsi"/>
              </w:rPr>
              <w:t>3</w:t>
            </w:r>
          </w:p>
        </w:tc>
        <w:tc>
          <w:tcPr>
            <w:tcW w:w="4850" w:type="dxa"/>
            <w:tcBorders>
              <w:left w:val="single" w:sz="4" w:space="0" w:color="auto"/>
              <w:bottom w:val="nil"/>
              <w:right w:val="single" w:sz="4" w:space="0" w:color="auto"/>
            </w:tcBorders>
            <w:shd w:val="clear" w:color="auto" w:fill="D9D9D9" w:themeFill="background1" w:themeFillShade="D9"/>
            <w:vAlign w:val="center"/>
            <w:hideMark/>
          </w:tcPr>
          <w:p w14:paraId="402A08B4" w14:textId="6B5CC988" w:rsidR="001247C7" w:rsidRDefault="001247C7" w:rsidP="009500B2">
            <w:pPr>
              <w:spacing w:after="0"/>
              <w:rPr>
                <w:rFonts w:ascii="Calibri" w:eastAsia="Times New Roman" w:hAnsi="Calibri" w:cs="Calibri"/>
                <w:color w:val="000000"/>
              </w:rPr>
            </w:pPr>
            <w:r>
              <w:rPr>
                <w:rFonts w:ascii="Calibri" w:eastAsia="Times New Roman" w:hAnsi="Calibri" w:cs="Calibri"/>
                <w:color w:val="000000"/>
              </w:rPr>
              <w:t>US EPA (1996) Table QBNp-17h;</w:t>
            </w:r>
          </w:p>
        </w:tc>
      </w:tr>
      <w:tr w:rsidR="001247C7" w:rsidRPr="00497206" w14:paraId="5DEF5BBB" w14:textId="77777777" w:rsidTr="002F68EA">
        <w:trPr>
          <w:trHeight w:val="585"/>
        </w:trPr>
        <w:tc>
          <w:tcPr>
            <w:tcW w:w="3326" w:type="dxa"/>
            <w:gridSpan w:val="2"/>
            <w:tcBorders>
              <w:top w:val="nil"/>
              <w:left w:val="single" w:sz="4" w:space="0" w:color="auto"/>
              <w:bottom w:val="nil"/>
              <w:right w:val="single" w:sz="4" w:space="0" w:color="000000"/>
            </w:tcBorders>
            <w:shd w:val="clear" w:color="auto" w:fill="auto"/>
            <w:noWrap/>
            <w:vAlign w:val="center"/>
            <w:hideMark/>
          </w:tcPr>
          <w:p w14:paraId="435FF140" w14:textId="77777777"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Exposure Frequency, EF (days/month)</w:t>
            </w:r>
          </w:p>
        </w:tc>
        <w:tc>
          <w:tcPr>
            <w:tcW w:w="1169" w:type="dxa"/>
            <w:shd w:val="clear" w:color="auto" w:fill="auto"/>
            <w:noWrap/>
            <w:vAlign w:val="center"/>
            <w:hideMark/>
          </w:tcPr>
          <w:p w14:paraId="52F09680" w14:textId="23D2465A" w:rsidR="001247C7" w:rsidRDefault="002F68EA" w:rsidP="009500B2">
            <w:pPr>
              <w:spacing w:after="0" w:line="240" w:lineRule="auto"/>
              <w:jc w:val="center"/>
              <w:rPr>
                <w:rFonts w:eastAsia="Times New Roman" w:cstheme="minorHAnsi"/>
                <w:color w:val="000000"/>
              </w:rPr>
            </w:pPr>
            <w:r>
              <w:rPr>
                <w:rFonts w:eastAsia="Times New Roman" w:cstheme="minorHAnsi"/>
                <w:color w:val="000000"/>
              </w:rPr>
              <w:t>3</w:t>
            </w:r>
            <w:r w:rsidR="001247C7">
              <w:rPr>
                <w:rFonts w:eastAsia="Times New Roman" w:cstheme="minorHAnsi"/>
                <w:color w:val="000000"/>
              </w:rPr>
              <w:t>0</w:t>
            </w:r>
          </w:p>
        </w:tc>
        <w:tc>
          <w:tcPr>
            <w:tcW w:w="900" w:type="dxa"/>
            <w:shd w:val="clear" w:color="auto" w:fill="auto"/>
            <w:noWrap/>
            <w:vAlign w:val="center"/>
            <w:hideMark/>
          </w:tcPr>
          <w:p w14:paraId="72CA7D6B" w14:textId="6FA30276" w:rsidR="001247C7" w:rsidRDefault="002F68EA" w:rsidP="009500B2">
            <w:pPr>
              <w:spacing w:after="0" w:line="240" w:lineRule="auto"/>
              <w:jc w:val="center"/>
              <w:rPr>
                <w:rFonts w:eastAsia="Times New Roman" w:cstheme="minorHAnsi"/>
                <w:color w:val="000000"/>
              </w:rPr>
            </w:pPr>
            <w:r>
              <w:rPr>
                <w:rFonts w:eastAsia="Times New Roman" w:cstheme="minorHAnsi"/>
                <w:color w:val="000000"/>
              </w:rPr>
              <w:t>3</w:t>
            </w:r>
            <w:r w:rsidR="001247C7">
              <w:rPr>
                <w:rFonts w:eastAsia="Times New Roman" w:cstheme="minorHAnsi"/>
                <w:color w:val="000000"/>
              </w:rPr>
              <w:t>0</w:t>
            </w:r>
          </w:p>
        </w:tc>
        <w:tc>
          <w:tcPr>
            <w:tcW w:w="1350" w:type="dxa"/>
            <w:shd w:val="clear" w:color="auto" w:fill="auto"/>
            <w:noWrap/>
            <w:vAlign w:val="center"/>
            <w:hideMark/>
          </w:tcPr>
          <w:p w14:paraId="5D3A78AA"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30</w:t>
            </w:r>
          </w:p>
        </w:tc>
        <w:tc>
          <w:tcPr>
            <w:tcW w:w="4850" w:type="dxa"/>
            <w:tcBorders>
              <w:top w:val="nil"/>
              <w:left w:val="single" w:sz="4" w:space="0" w:color="auto"/>
              <w:bottom w:val="nil"/>
              <w:right w:val="single" w:sz="4" w:space="0" w:color="000000"/>
            </w:tcBorders>
            <w:shd w:val="clear" w:color="auto" w:fill="auto"/>
            <w:vAlign w:val="center"/>
            <w:hideMark/>
          </w:tcPr>
          <w:p w14:paraId="1F676DE3" w14:textId="77777777" w:rsidR="001247C7" w:rsidRPr="00497206" w:rsidRDefault="001247C7" w:rsidP="009500B2">
            <w:pPr>
              <w:spacing w:after="0" w:line="240" w:lineRule="auto"/>
              <w:rPr>
                <w:rFonts w:ascii="Calibri" w:eastAsia="Times New Roman" w:hAnsi="Calibri" w:cs="Calibri"/>
                <w:color w:val="000000"/>
              </w:rPr>
            </w:pPr>
            <w:r w:rsidRPr="00497206">
              <w:rPr>
                <w:rFonts w:ascii="Calibri" w:eastAsia="Times New Roman" w:hAnsi="Calibri" w:cs="Calibri"/>
                <w:color w:val="000000"/>
              </w:rPr>
              <w:t xml:space="preserve">US EPA (1996) Table QBS-17g </w:t>
            </w:r>
          </w:p>
        </w:tc>
      </w:tr>
      <w:tr w:rsidR="001247C7" w14:paraId="7EF6CA4C" w14:textId="77777777" w:rsidTr="001247C7">
        <w:trPr>
          <w:trHeight w:val="330"/>
        </w:trPr>
        <w:tc>
          <w:tcPr>
            <w:tcW w:w="332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14:paraId="429EEC9A" w14:textId="5EBEBF8B"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Exposure Duration, ED (months)</w:t>
            </w:r>
          </w:p>
        </w:tc>
        <w:tc>
          <w:tcPr>
            <w:tcW w:w="1169" w:type="dxa"/>
            <w:shd w:val="clear" w:color="auto" w:fill="D9D9D9" w:themeFill="background1" w:themeFillShade="D9"/>
            <w:noWrap/>
            <w:vAlign w:val="center"/>
            <w:hideMark/>
          </w:tcPr>
          <w:p w14:paraId="00A63582"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3.3</w:t>
            </w:r>
          </w:p>
        </w:tc>
        <w:tc>
          <w:tcPr>
            <w:tcW w:w="900" w:type="dxa"/>
            <w:shd w:val="clear" w:color="auto" w:fill="D9D9D9" w:themeFill="background1" w:themeFillShade="D9"/>
            <w:noWrap/>
            <w:vAlign w:val="center"/>
            <w:hideMark/>
          </w:tcPr>
          <w:p w14:paraId="035F7F97"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3.3</w:t>
            </w:r>
          </w:p>
        </w:tc>
        <w:tc>
          <w:tcPr>
            <w:tcW w:w="1350" w:type="dxa"/>
            <w:shd w:val="clear" w:color="auto" w:fill="D9D9D9" w:themeFill="background1" w:themeFillShade="D9"/>
            <w:noWrap/>
            <w:vAlign w:val="center"/>
            <w:hideMark/>
          </w:tcPr>
          <w:p w14:paraId="01AE82A7"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3.3</w:t>
            </w:r>
          </w:p>
        </w:tc>
        <w:tc>
          <w:tcPr>
            <w:tcW w:w="4850" w:type="dxa"/>
            <w:tcBorders>
              <w:top w:val="nil"/>
              <w:left w:val="single" w:sz="4" w:space="0" w:color="auto"/>
              <w:bottom w:val="nil"/>
              <w:right w:val="single" w:sz="4" w:space="0" w:color="000000"/>
            </w:tcBorders>
            <w:shd w:val="clear" w:color="auto" w:fill="D9D9D9" w:themeFill="background1" w:themeFillShade="D9"/>
            <w:noWrap/>
            <w:vAlign w:val="center"/>
            <w:hideMark/>
          </w:tcPr>
          <w:p w14:paraId="7D45EF35" w14:textId="77777777" w:rsidR="001247C7" w:rsidRDefault="001247C7" w:rsidP="009500B2">
            <w:pPr>
              <w:spacing w:after="0" w:line="240" w:lineRule="auto"/>
              <w:rPr>
                <w:rFonts w:ascii="Calibri" w:eastAsia="Times New Roman" w:hAnsi="Calibri" w:cs="Calibri"/>
                <w:color w:val="000000"/>
              </w:rPr>
            </w:pPr>
            <w:r>
              <w:rPr>
                <w:rFonts w:ascii="Calibri" w:eastAsia="Times New Roman" w:hAnsi="Calibri" w:cs="Calibri"/>
                <w:color w:val="000000"/>
              </w:rPr>
              <w:t>Professional judgement that swimming occurs between Memorial Day and Labor Day</w:t>
            </w:r>
          </w:p>
        </w:tc>
      </w:tr>
      <w:tr w:rsidR="001247C7" w14:paraId="70414629" w14:textId="77777777" w:rsidTr="002F68EA">
        <w:trPr>
          <w:trHeight w:val="330"/>
        </w:trPr>
        <w:tc>
          <w:tcPr>
            <w:tcW w:w="3055" w:type="dxa"/>
            <w:tcBorders>
              <w:top w:val="nil"/>
              <w:left w:val="single" w:sz="4" w:space="0" w:color="auto"/>
              <w:bottom w:val="nil"/>
              <w:right w:val="nil"/>
            </w:tcBorders>
            <w:shd w:val="clear" w:color="auto" w:fill="auto"/>
            <w:noWrap/>
            <w:vAlign w:val="center"/>
            <w:hideMark/>
          </w:tcPr>
          <w:p w14:paraId="5CBBC429" w14:textId="77777777"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Averaging Time, AT (days)</w:t>
            </w:r>
          </w:p>
        </w:tc>
        <w:tc>
          <w:tcPr>
            <w:tcW w:w="271" w:type="dxa"/>
            <w:tcBorders>
              <w:top w:val="nil"/>
              <w:left w:val="nil"/>
              <w:bottom w:val="nil"/>
              <w:right w:val="single" w:sz="4" w:space="0" w:color="auto"/>
            </w:tcBorders>
            <w:shd w:val="clear" w:color="auto" w:fill="auto"/>
            <w:noWrap/>
            <w:vAlign w:val="bottom"/>
            <w:hideMark/>
          </w:tcPr>
          <w:p w14:paraId="2A615128" w14:textId="77777777"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169" w:type="dxa"/>
            <w:shd w:val="clear" w:color="auto" w:fill="auto"/>
            <w:noWrap/>
            <w:vAlign w:val="center"/>
            <w:hideMark/>
          </w:tcPr>
          <w:p w14:paraId="488A1E18"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102</w:t>
            </w:r>
          </w:p>
        </w:tc>
        <w:tc>
          <w:tcPr>
            <w:tcW w:w="900" w:type="dxa"/>
            <w:shd w:val="clear" w:color="auto" w:fill="auto"/>
            <w:noWrap/>
            <w:vAlign w:val="center"/>
            <w:hideMark/>
          </w:tcPr>
          <w:p w14:paraId="75B14BAB"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102</w:t>
            </w:r>
          </w:p>
        </w:tc>
        <w:tc>
          <w:tcPr>
            <w:tcW w:w="1350" w:type="dxa"/>
            <w:shd w:val="clear" w:color="auto" w:fill="auto"/>
            <w:noWrap/>
            <w:vAlign w:val="center"/>
            <w:hideMark/>
          </w:tcPr>
          <w:p w14:paraId="2DB0CDDE"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102</w:t>
            </w:r>
          </w:p>
        </w:tc>
        <w:tc>
          <w:tcPr>
            <w:tcW w:w="4850" w:type="dxa"/>
            <w:tcBorders>
              <w:top w:val="nil"/>
              <w:left w:val="single" w:sz="4" w:space="0" w:color="auto"/>
              <w:bottom w:val="nil"/>
              <w:right w:val="single" w:sz="4" w:space="0" w:color="000000"/>
            </w:tcBorders>
            <w:shd w:val="clear" w:color="auto" w:fill="auto"/>
            <w:noWrap/>
            <w:vAlign w:val="center"/>
            <w:hideMark/>
          </w:tcPr>
          <w:p w14:paraId="71AF61A1" w14:textId="77777777" w:rsidR="001247C7" w:rsidRDefault="001247C7" w:rsidP="009500B2">
            <w:pPr>
              <w:spacing w:after="0" w:line="240" w:lineRule="auto"/>
              <w:rPr>
                <w:rFonts w:ascii="Calibri" w:eastAsia="Times New Roman" w:hAnsi="Calibri" w:cs="Calibri"/>
                <w:color w:val="000000"/>
              </w:rPr>
            </w:pPr>
            <w:r>
              <w:rPr>
                <w:rFonts w:ascii="Calibri" w:eastAsia="Times New Roman" w:hAnsi="Calibri" w:cs="Calibri"/>
                <w:color w:val="000000"/>
              </w:rPr>
              <w:t>Dictated by exposure duration</w:t>
            </w:r>
          </w:p>
        </w:tc>
      </w:tr>
      <w:tr w:rsidR="001247C7" w14:paraId="29DCEDAE" w14:textId="77777777" w:rsidTr="00585550">
        <w:trPr>
          <w:trHeight w:val="405"/>
        </w:trPr>
        <w:tc>
          <w:tcPr>
            <w:tcW w:w="3055" w:type="dxa"/>
            <w:tcBorders>
              <w:top w:val="nil"/>
              <w:left w:val="single" w:sz="4" w:space="0" w:color="auto"/>
              <w:right w:val="nil"/>
            </w:tcBorders>
            <w:shd w:val="clear" w:color="auto" w:fill="D9D9D9" w:themeFill="background1" w:themeFillShade="D9"/>
            <w:noWrap/>
            <w:vAlign w:val="center"/>
            <w:hideMark/>
          </w:tcPr>
          <w:p w14:paraId="132D89A9" w14:textId="77777777"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Body Weight, BW (kg)</w:t>
            </w:r>
          </w:p>
        </w:tc>
        <w:tc>
          <w:tcPr>
            <w:tcW w:w="271" w:type="dxa"/>
            <w:tcBorders>
              <w:top w:val="nil"/>
              <w:left w:val="nil"/>
              <w:right w:val="single" w:sz="4" w:space="0" w:color="000000" w:themeColor="text1"/>
            </w:tcBorders>
            <w:shd w:val="clear" w:color="auto" w:fill="D9D9D9" w:themeFill="background1" w:themeFillShade="D9"/>
            <w:noWrap/>
            <w:vAlign w:val="bottom"/>
            <w:hideMark/>
          </w:tcPr>
          <w:p w14:paraId="5506C81F" w14:textId="77777777" w:rsidR="001247C7" w:rsidRDefault="001247C7" w:rsidP="009500B2">
            <w:pPr>
              <w:rPr>
                <w:rFonts w:ascii="Calibri" w:eastAsia="Times New Roman" w:hAnsi="Calibri" w:cs="Calibri"/>
                <w:b/>
                <w:bCs/>
                <w:color w:val="000000"/>
              </w:rPr>
            </w:pPr>
          </w:p>
        </w:tc>
        <w:tc>
          <w:tcPr>
            <w:tcW w:w="1169" w:type="dxa"/>
            <w:tcBorders>
              <w:left w:val="single" w:sz="4" w:space="0" w:color="000000" w:themeColor="text1"/>
            </w:tcBorders>
            <w:shd w:val="clear" w:color="auto" w:fill="D9D9D9" w:themeFill="background1" w:themeFillShade="D9"/>
            <w:noWrap/>
            <w:vAlign w:val="center"/>
            <w:hideMark/>
          </w:tcPr>
          <w:p w14:paraId="094E936F" w14:textId="54FF170D" w:rsidR="001247C7" w:rsidRDefault="002F68EA" w:rsidP="009500B2">
            <w:pPr>
              <w:spacing w:after="0" w:line="240" w:lineRule="auto"/>
              <w:jc w:val="center"/>
              <w:rPr>
                <w:rFonts w:eastAsia="Times New Roman" w:cstheme="minorHAnsi"/>
                <w:color w:val="000000"/>
              </w:rPr>
            </w:pPr>
            <w:r>
              <w:rPr>
                <w:rFonts w:eastAsia="Times New Roman" w:cstheme="minorHAnsi"/>
                <w:color w:val="000000"/>
              </w:rPr>
              <w:t>17</w:t>
            </w:r>
          </w:p>
        </w:tc>
        <w:tc>
          <w:tcPr>
            <w:tcW w:w="900" w:type="dxa"/>
            <w:shd w:val="clear" w:color="auto" w:fill="D9D9D9" w:themeFill="background1" w:themeFillShade="D9"/>
            <w:noWrap/>
            <w:vAlign w:val="center"/>
            <w:hideMark/>
          </w:tcPr>
          <w:p w14:paraId="267AC4D2" w14:textId="5D4E3816" w:rsidR="001247C7" w:rsidRDefault="002F68EA" w:rsidP="009500B2">
            <w:pPr>
              <w:spacing w:after="0" w:line="240" w:lineRule="auto"/>
              <w:jc w:val="center"/>
              <w:rPr>
                <w:rFonts w:eastAsia="Times New Roman" w:cstheme="minorHAnsi"/>
                <w:color w:val="000000"/>
              </w:rPr>
            </w:pPr>
            <w:r>
              <w:rPr>
                <w:rFonts w:eastAsia="Times New Roman" w:cstheme="minorHAnsi"/>
                <w:color w:val="000000"/>
              </w:rPr>
              <w:t>39.9</w:t>
            </w:r>
          </w:p>
        </w:tc>
        <w:tc>
          <w:tcPr>
            <w:tcW w:w="1350" w:type="dxa"/>
            <w:tcBorders>
              <w:right w:val="single" w:sz="4" w:space="0" w:color="000000" w:themeColor="text1"/>
            </w:tcBorders>
            <w:shd w:val="clear" w:color="auto" w:fill="D9D9D9" w:themeFill="background1" w:themeFillShade="D9"/>
            <w:noWrap/>
            <w:vAlign w:val="center"/>
            <w:hideMark/>
          </w:tcPr>
          <w:p w14:paraId="4EDD76AF" w14:textId="2BE73B77" w:rsidR="001247C7" w:rsidRPr="002F68EA" w:rsidRDefault="002F68EA" w:rsidP="009500B2">
            <w:pPr>
              <w:spacing w:after="0" w:line="240" w:lineRule="auto"/>
              <w:jc w:val="center"/>
              <w:rPr>
                <w:rFonts w:eastAsia="Times New Roman" w:cstheme="minorHAnsi"/>
                <w:color w:val="000000"/>
              </w:rPr>
            </w:pPr>
            <w:r>
              <w:rPr>
                <w:rFonts w:eastAsia="Times New Roman" w:cstheme="minorHAnsi"/>
                <w:color w:val="000000"/>
              </w:rPr>
              <w:t>58.7</w:t>
            </w:r>
          </w:p>
        </w:tc>
        <w:tc>
          <w:tcPr>
            <w:tcW w:w="4850" w:type="dxa"/>
            <w:tcBorders>
              <w:top w:val="nil"/>
              <w:left w:val="single" w:sz="4" w:space="0" w:color="000000" w:themeColor="text1"/>
              <w:right w:val="single" w:sz="4" w:space="0" w:color="000000"/>
            </w:tcBorders>
            <w:shd w:val="clear" w:color="auto" w:fill="D9D9D9" w:themeFill="background1" w:themeFillShade="D9"/>
            <w:noWrap/>
            <w:vAlign w:val="center"/>
            <w:hideMark/>
          </w:tcPr>
          <w:p w14:paraId="5183017D" w14:textId="67159605" w:rsidR="001247C7" w:rsidRPr="002F68EA" w:rsidRDefault="002F68EA" w:rsidP="002F68EA">
            <w:pPr>
              <w:spacing w:after="0" w:line="240" w:lineRule="auto"/>
              <w:rPr>
                <w:rFonts w:ascii="Calibri" w:eastAsia="Times New Roman" w:hAnsi="Calibri" w:cs="Calibri"/>
                <w:color w:val="000000"/>
              </w:rPr>
            </w:pPr>
            <w:r w:rsidRPr="002F68EA">
              <w:rPr>
                <w:rFonts w:ascii="Calibri" w:eastAsia="Times New Roman" w:hAnsi="Calibri" w:cs="Calibri"/>
                <w:color w:val="000000"/>
              </w:rPr>
              <w:t>MCP Guidance (MassDEP, 2015)</w:t>
            </w:r>
          </w:p>
        </w:tc>
      </w:tr>
      <w:tr w:rsidR="001247C7" w:rsidRPr="00674CE5" w14:paraId="4F81CA07" w14:textId="77777777" w:rsidTr="00585550">
        <w:trPr>
          <w:trHeight w:val="350"/>
        </w:trPr>
        <w:tc>
          <w:tcPr>
            <w:tcW w:w="3055" w:type="dxa"/>
            <w:tcBorders>
              <w:top w:val="nil"/>
              <w:left w:val="single" w:sz="4" w:space="0" w:color="auto"/>
              <w:bottom w:val="single" w:sz="4" w:space="0" w:color="auto"/>
              <w:right w:val="nil"/>
            </w:tcBorders>
            <w:shd w:val="clear" w:color="auto" w:fill="auto"/>
            <w:noWrap/>
            <w:vAlign w:val="center"/>
            <w:hideMark/>
          </w:tcPr>
          <w:p w14:paraId="1B96FAD0" w14:textId="77777777"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SW Ingestion Rate, IR (L/</w:t>
            </w:r>
            <w:proofErr w:type="spellStart"/>
            <w:r>
              <w:rPr>
                <w:rFonts w:ascii="Calibri" w:eastAsia="Times New Roman" w:hAnsi="Calibri" w:cs="Calibri"/>
                <w:b/>
                <w:bCs/>
                <w:color w:val="000000"/>
              </w:rPr>
              <w:t>hr</w:t>
            </w:r>
            <w:proofErr w:type="spellEnd"/>
            <w:r>
              <w:rPr>
                <w:rFonts w:ascii="Calibri" w:eastAsia="Times New Roman" w:hAnsi="Calibri" w:cs="Calibri"/>
                <w:b/>
                <w:bCs/>
                <w:color w:val="000000"/>
              </w:rPr>
              <w:t xml:space="preserve">) </w:t>
            </w:r>
          </w:p>
        </w:tc>
        <w:tc>
          <w:tcPr>
            <w:tcW w:w="271" w:type="dxa"/>
            <w:tcBorders>
              <w:bottom w:val="single" w:sz="4" w:space="0" w:color="auto"/>
              <w:right w:val="single" w:sz="4" w:space="0" w:color="000000" w:themeColor="text1"/>
            </w:tcBorders>
            <w:shd w:val="clear" w:color="auto" w:fill="auto"/>
            <w:noWrap/>
            <w:vAlign w:val="center"/>
            <w:hideMark/>
          </w:tcPr>
          <w:p w14:paraId="0A20C5CC" w14:textId="77777777" w:rsidR="001247C7" w:rsidRDefault="001247C7" w:rsidP="009500B2">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169" w:type="dxa"/>
            <w:tcBorders>
              <w:left w:val="single" w:sz="4" w:space="0" w:color="000000" w:themeColor="text1"/>
              <w:bottom w:val="single" w:sz="4" w:space="0" w:color="auto"/>
            </w:tcBorders>
            <w:shd w:val="clear" w:color="auto" w:fill="auto"/>
            <w:noWrap/>
            <w:vAlign w:val="center"/>
            <w:hideMark/>
          </w:tcPr>
          <w:p w14:paraId="06DA8371"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0.152</w:t>
            </w:r>
          </w:p>
        </w:tc>
        <w:tc>
          <w:tcPr>
            <w:tcW w:w="900" w:type="dxa"/>
            <w:tcBorders>
              <w:bottom w:val="single" w:sz="4" w:space="0" w:color="auto"/>
            </w:tcBorders>
            <w:shd w:val="clear" w:color="auto" w:fill="auto"/>
            <w:noWrap/>
            <w:vAlign w:val="center"/>
            <w:hideMark/>
          </w:tcPr>
          <w:p w14:paraId="07F148F7"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0.152</w:t>
            </w:r>
          </w:p>
        </w:tc>
        <w:tc>
          <w:tcPr>
            <w:tcW w:w="1350" w:type="dxa"/>
            <w:tcBorders>
              <w:bottom w:val="single" w:sz="4" w:space="0" w:color="auto"/>
              <w:right w:val="single" w:sz="4" w:space="0" w:color="000000" w:themeColor="text1"/>
            </w:tcBorders>
            <w:shd w:val="clear" w:color="auto" w:fill="auto"/>
            <w:noWrap/>
            <w:vAlign w:val="center"/>
            <w:hideMark/>
          </w:tcPr>
          <w:p w14:paraId="4E88E713" w14:textId="77777777" w:rsidR="001247C7" w:rsidRDefault="001247C7" w:rsidP="009500B2">
            <w:pPr>
              <w:spacing w:after="0" w:line="240" w:lineRule="auto"/>
              <w:jc w:val="center"/>
              <w:rPr>
                <w:rFonts w:eastAsia="Times New Roman" w:cstheme="minorHAnsi"/>
                <w:color w:val="000000"/>
              </w:rPr>
            </w:pPr>
            <w:r>
              <w:rPr>
                <w:rFonts w:eastAsia="Times New Roman" w:cstheme="minorHAnsi"/>
                <w:color w:val="000000"/>
              </w:rPr>
              <w:t>0.152</w:t>
            </w:r>
          </w:p>
        </w:tc>
        <w:tc>
          <w:tcPr>
            <w:tcW w:w="4850" w:type="dxa"/>
            <w:tcBorders>
              <w:top w:val="nil"/>
              <w:left w:val="single" w:sz="4" w:space="0" w:color="000000" w:themeColor="text1"/>
              <w:bottom w:val="single" w:sz="4" w:space="0" w:color="auto"/>
              <w:right w:val="single" w:sz="4" w:space="0" w:color="000000"/>
            </w:tcBorders>
            <w:shd w:val="clear" w:color="auto" w:fill="auto"/>
            <w:vAlign w:val="center"/>
            <w:hideMark/>
          </w:tcPr>
          <w:p w14:paraId="00FEF175" w14:textId="77777777" w:rsidR="001247C7" w:rsidRPr="00674CE5" w:rsidRDefault="001247C7" w:rsidP="009500B2">
            <w:pPr>
              <w:spacing w:after="0"/>
              <w:rPr>
                <w:rFonts w:ascii="Calibri" w:hAnsi="Calibri" w:cs="Calibri"/>
                <w:color w:val="000000"/>
              </w:rPr>
            </w:pPr>
            <w:r w:rsidRPr="001247C7">
              <w:rPr>
                <w:rFonts w:ascii="Calibri" w:hAnsi="Calibri" w:cs="Calibri"/>
                <w:color w:val="000000"/>
              </w:rPr>
              <w:t>US EPA (2019) Table 3-93</w:t>
            </w:r>
          </w:p>
        </w:tc>
      </w:tr>
    </w:tbl>
    <w:p w14:paraId="28B34CF8" w14:textId="77777777" w:rsidR="009D0459" w:rsidRDefault="009D0459">
      <w:pPr>
        <w:rPr>
          <w:sz w:val="18"/>
          <w:szCs w:val="18"/>
        </w:rPr>
      </w:pPr>
    </w:p>
    <w:p w14:paraId="6BE7DC96" w14:textId="77777777" w:rsidR="009D0459" w:rsidRDefault="009D0459">
      <w:pPr>
        <w:rPr>
          <w:sz w:val="18"/>
          <w:szCs w:val="18"/>
        </w:rPr>
      </w:pPr>
      <w:r>
        <w:rPr>
          <w:sz w:val="18"/>
          <w:szCs w:val="18"/>
        </w:rPr>
        <w:br w:type="page"/>
      </w:r>
    </w:p>
    <w:p w14:paraId="2928EFD9" w14:textId="77777777" w:rsidR="00C92926" w:rsidRPr="00C92926" w:rsidRDefault="00C92926" w:rsidP="00C92926">
      <w:pPr>
        <w:spacing w:after="0" w:line="240" w:lineRule="auto"/>
        <w:rPr>
          <w:sz w:val="18"/>
          <w:szCs w:val="18"/>
        </w:rPr>
        <w:sectPr w:rsidR="00C92926" w:rsidRPr="00C92926" w:rsidSect="00E404A9">
          <w:headerReference w:type="default" r:id="rId23"/>
          <w:pgSz w:w="15840" w:h="12240" w:orient="landscape"/>
          <w:pgMar w:top="720" w:right="720" w:bottom="720" w:left="720" w:header="720" w:footer="720" w:gutter="0"/>
          <w:cols w:space="720"/>
          <w:docGrid w:linePitch="360"/>
        </w:sectPr>
      </w:pPr>
    </w:p>
    <w:p w14:paraId="7890DEE0" w14:textId="465374F1" w:rsidR="002B077E" w:rsidRPr="00271B22" w:rsidRDefault="002B077E" w:rsidP="005211EB">
      <w:pPr>
        <w:rPr>
          <w:b/>
          <w:sz w:val="24"/>
          <w:szCs w:val="24"/>
        </w:rPr>
      </w:pPr>
      <w:r w:rsidRPr="00271B22">
        <w:rPr>
          <w:b/>
          <w:sz w:val="24"/>
          <w:szCs w:val="24"/>
        </w:rPr>
        <w:t>Notes on Table</w:t>
      </w:r>
      <w:r w:rsidR="002F68EA" w:rsidRPr="00271B22">
        <w:rPr>
          <w:b/>
          <w:sz w:val="24"/>
          <w:szCs w:val="24"/>
        </w:rPr>
        <w:t>s</w:t>
      </w:r>
      <w:r w:rsidRPr="00271B22">
        <w:rPr>
          <w:b/>
          <w:sz w:val="24"/>
          <w:szCs w:val="24"/>
        </w:rPr>
        <w:t xml:space="preserve"> </w:t>
      </w:r>
      <w:r w:rsidR="002F68EA" w:rsidRPr="00271B22">
        <w:rPr>
          <w:b/>
          <w:sz w:val="24"/>
          <w:szCs w:val="24"/>
        </w:rPr>
        <w:t>A.1 and A.2</w:t>
      </w:r>
      <w:r w:rsidRPr="00271B22">
        <w:rPr>
          <w:b/>
          <w:sz w:val="24"/>
          <w:szCs w:val="24"/>
        </w:rPr>
        <w:t>, Exposure Assumptions for Recreational Exposure to Surface Water:</w:t>
      </w:r>
    </w:p>
    <w:p w14:paraId="0C80960D" w14:textId="2018AD80" w:rsidR="00F271F3" w:rsidRPr="00271B22" w:rsidRDefault="0054791A" w:rsidP="00244B9E">
      <w:pPr>
        <w:spacing w:after="0" w:line="240" w:lineRule="auto"/>
        <w:rPr>
          <w:sz w:val="24"/>
          <w:szCs w:val="24"/>
        </w:rPr>
      </w:pPr>
      <w:r w:rsidRPr="00271B22">
        <w:rPr>
          <w:b/>
          <w:sz w:val="24"/>
          <w:szCs w:val="24"/>
        </w:rPr>
        <w:t>Event Duration</w:t>
      </w:r>
      <w:r w:rsidR="00BD6660" w:rsidRPr="00271B22">
        <w:rPr>
          <w:b/>
          <w:sz w:val="24"/>
          <w:szCs w:val="24"/>
        </w:rPr>
        <w:t xml:space="preserve">, </w:t>
      </w:r>
      <w:proofErr w:type="spellStart"/>
      <w:r w:rsidR="00BD6660" w:rsidRPr="00271B22">
        <w:rPr>
          <w:b/>
          <w:sz w:val="24"/>
          <w:szCs w:val="24"/>
        </w:rPr>
        <w:t>t</w:t>
      </w:r>
      <w:r w:rsidR="00BD6660" w:rsidRPr="00271B22">
        <w:rPr>
          <w:b/>
          <w:sz w:val="24"/>
          <w:szCs w:val="24"/>
          <w:vertAlign w:val="subscript"/>
        </w:rPr>
        <w:t>event</w:t>
      </w:r>
      <w:proofErr w:type="spellEnd"/>
      <w:r w:rsidR="00BD6660" w:rsidRPr="00271B22">
        <w:rPr>
          <w:b/>
          <w:sz w:val="24"/>
          <w:szCs w:val="24"/>
        </w:rPr>
        <w:t xml:space="preserve"> (hours/event)</w:t>
      </w:r>
    </w:p>
    <w:p w14:paraId="405E8DC0" w14:textId="4DC7F14F" w:rsidR="00F130E6" w:rsidRPr="00A5595C" w:rsidRDefault="00497673" w:rsidP="00A5595C">
      <w:pPr>
        <w:pStyle w:val="ListParagraph"/>
        <w:numPr>
          <w:ilvl w:val="0"/>
          <w:numId w:val="31"/>
        </w:numPr>
        <w:spacing w:line="240" w:lineRule="auto"/>
        <w:jc w:val="both"/>
        <w:rPr>
          <w:sz w:val="24"/>
          <w:szCs w:val="24"/>
        </w:rPr>
      </w:pPr>
      <w:r w:rsidRPr="00A5595C">
        <w:rPr>
          <w:sz w:val="24"/>
          <w:szCs w:val="24"/>
        </w:rPr>
        <w:t>Based on professional judgement, t</w:t>
      </w:r>
      <w:r w:rsidR="00AC47CA" w:rsidRPr="00A5595C">
        <w:rPr>
          <w:sz w:val="24"/>
          <w:szCs w:val="24"/>
        </w:rPr>
        <w:t>he event duration</w:t>
      </w:r>
      <w:r w:rsidR="00CD3150" w:rsidRPr="00A5595C">
        <w:rPr>
          <w:sz w:val="24"/>
          <w:szCs w:val="24"/>
        </w:rPr>
        <w:t xml:space="preserve"> is </w:t>
      </w:r>
      <w:r w:rsidRPr="00A5595C">
        <w:rPr>
          <w:sz w:val="24"/>
          <w:szCs w:val="24"/>
        </w:rPr>
        <w:t>assumed to be one hour</w:t>
      </w:r>
      <w:r w:rsidR="00CD3150" w:rsidRPr="00A5595C">
        <w:rPr>
          <w:sz w:val="24"/>
          <w:szCs w:val="24"/>
        </w:rPr>
        <w:t xml:space="preserve"> for</w:t>
      </w:r>
      <w:r w:rsidR="007A45C5" w:rsidRPr="00A5595C">
        <w:rPr>
          <w:sz w:val="24"/>
          <w:szCs w:val="24"/>
        </w:rPr>
        <w:t xml:space="preserve"> all age </w:t>
      </w:r>
      <w:r w:rsidR="002E410E" w:rsidRPr="00A5595C">
        <w:rPr>
          <w:sz w:val="24"/>
          <w:szCs w:val="24"/>
        </w:rPr>
        <w:t>groups</w:t>
      </w:r>
      <w:r w:rsidRPr="00A5595C">
        <w:rPr>
          <w:sz w:val="24"/>
          <w:szCs w:val="24"/>
        </w:rPr>
        <w:t>, for both the DPH SWAL and the MCP-based SWAL.</w:t>
      </w:r>
    </w:p>
    <w:p w14:paraId="2C1DF0B5" w14:textId="2FB035B5" w:rsidR="00497673" w:rsidRPr="00271B22" w:rsidRDefault="0054791A" w:rsidP="00EF69D9">
      <w:pPr>
        <w:spacing w:before="240" w:after="0" w:line="240" w:lineRule="auto"/>
        <w:rPr>
          <w:sz w:val="24"/>
          <w:szCs w:val="24"/>
        </w:rPr>
      </w:pPr>
      <w:r w:rsidRPr="00271B22">
        <w:rPr>
          <w:b/>
          <w:sz w:val="24"/>
          <w:szCs w:val="24"/>
        </w:rPr>
        <w:t>Event Frequency</w:t>
      </w:r>
      <w:r w:rsidR="00BD6660" w:rsidRPr="00271B22">
        <w:rPr>
          <w:b/>
          <w:sz w:val="24"/>
          <w:szCs w:val="24"/>
        </w:rPr>
        <w:t xml:space="preserve"> - EV</w:t>
      </w:r>
      <w:r w:rsidR="00100BF9" w:rsidRPr="00271B22">
        <w:rPr>
          <w:b/>
          <w:sz w:val="24"/>
          <w:szCs w:val="24"/>
        </w:rPr>
        <w:t xml:space="preserve"> (events/day)</w:t>
      </w:r>
    </w:p>
    <w:p w14:paraId="3295FD51" w14:textId="7D0C68F2" w:rsidR="00497673" w:rsidRPr="00271B22" w:rsidRDefault="002F68EA" w:rsidP="00EF69D9">
      <w:pPr>
        <w:spacing w:after="0" w:line="240" w:lineRule="auto"/>
        <w:rPr>
          <w:rFonts w:ascii="Calibri" w:eastAsia="Times New Roman" w:hAnsi="Calibri" w:cs="Calibri"/>
          <w:color w:val="000000"/>
          <w:sz w:val="24"/>
          <w:szCs w:val="24"/>
          <w:u w:val="single"/>
        </w:rPr>
      </w:pPr>
      <w:r w:rsidRPr="00271B22">
        <w:rPr>
          <w:rFonts w:ascii="Calibri" w:eastAsia="Times New Roman" w:hAnsi="Calibri" w:cs="Calibri"/>
          <w:color w:val="000000"/>
          <w:sz w:val="24"/>
          <w:szCs w:val="24"/>
          <w:u w:val="single"/>
        </w:rPr>
        <w:t>DPH</w:t>
      </w:r>
      <w:r w:rsidR="00497673" w:rsidRPr="00271B22">
        <w:rPr>
          <w:rFonts w:ascii="Calibri" w:eastAsia="Times New Roman" w:hAnsi="Calibri" w:cs="Calibri"/>
          <w:color w:val="000000"/>
          <w:sz w:val="24"/>
          <w:szCs w:val="24"/>
          <w:u w:val="single"/>
        </w:rPr>
        <w:t xml:space="preserve"> SWAL</w:t>
      </w:r>
      <w:r w:rsidRPr="00271B22">
        <w:rPr>
          <w:rFonts w:ascii="Calibri" w:eastAsia="Times New Roman" w:hAnsi="Calibri" w:cs="Calibri"/>
          <w:color w:val="000000"/>
          <w:sz w:val="24"/>
          <w:szCs w:val="24"/>
          <w:u w:val="single"/>
        </w:rPr>
        <w:t xml:space="preserve">: </w:t>
      </w:r>
    </w:p>
    <w:p w14:paraId="4B7EF3DE" w14:textId="232BF60F" w:rsidR="00497673" w:rsidRPr="00271B22" w:rsidRDefault="00497206" w:rsidP="001C092B">
      <w:pPr>
        <w:pStyle w:val="ListParagraph"/>
        <w:numPr>
          <w:ilvl w:val="0"/>
          <w:numId w:val="26"/>
        </w:numPr>
        <w:spacing w:after="120" w:line="240" w:lineRule="auto"/>
        <w:contextualSpacing w:val="0"/>
        <w:rPr>
          <w:rFonts w:ascii="Calibri" w:eastAsia="Times New Roman" w:hAnsi="Calibri" w:cs="Calibri"/>
          <w:color w:val="000000"/>
          <w:sz w:val="24"/>
          <w:szCs w:val="24"/>
        </w:rPr>
      </w:pPr>
      <w:r w:rsidRPr="00271B22">
        <w:rPr>
          <w:rFonts w:ascii="Calibri" w:eastAsia="Times New Roman" w:hAnsi="Calibri" w:cs="Calibri"/>
          <w:i/>
          <w:iCs/>
          <w:color w:val="000000"/>
          <w:sz w:val="24"/>
          <w:szCs w:val="24"/>
        </w:rPr>
        <w:t>Birth - &lt;2</w:t>
      </w:r>
      <w:r w:rsidR="00497673" w:rsidRPr="00271B22">
        <w:rPr>
          <w:rFonts w:ascii="Calibri" w:eastAsia="Times New Roman" w:hAnsi="Calibri" w:cs="Calibri"/>
          <w:i/>
          <w:iCs/>
          <w:color w:val="000000"/>
          <w:sz w:val="24"/>
          <w:szCs w:val="24"/>
        </w:rPr>
        <w:t xml:space="preserve"> years</w:t>
      </w:r>
      <w:r w:rsidRPr="00271B22">
        <w:rPr>
          <w:rFonts w:ascii="Calibri" w:eastAsia="Times New Roman" w:hAnsi="Calibri" w:cs="Calibri"/>
          <w:i/>
          <w:iCs/>
          <w:color w:val="000000"/>
          <w:sz w:val="24"/>
          <w:szCs w:val="24"/>
        </w:rPr>
        <w:t>:</w:t>
      </w:r>
      <w:r w:rsidRPr="00271B22">
        <w:rPr>
          <w:rFonts w:ascii="Calibri" w:eastAsia="Times New Roman" w:hAnsi="Calibri" w:cs="Calibri"/>
          <w:color w:val="000000"/>
          <w:sz w:val="24"/>
          <w:szCs w:val="24"/>
        </w:rPr>
        <w:t xml:space="preserve"> </w:t>
      </w:r>
      <w:r w:rsidR="00497673" w:rsidRPr="00271B22">
        <w:rPr>
          <w:rFonts w:ascii="Calibri" w:eastAsia="Times New Roman" w:hAnsi="Calibri" w:cs="Calibri"/>
          <w:color w:val="000000"/>
          <w:sz w:val="24"/>
          <w:szCs w:val="24"/>
        </w:rPr>
        <w:t xml:space="preserve">The </w:t>
      </w:r>
      <w:r w:rsidR="00211F02" w:rsidRPr="00271B22">
        <w:rPr>
          <w:rFonts w:ascii="Calibri" w:eastAsia="Times New Roman" w:hAnsi="Calibri" w:cs="Calibri"/>
          <w:color w:val="000000"/>
          <w:sz w:val="24"/>
          <w:szCs w:val="24"/>
        </w:rPr>
        <w:t>EV</w:t>
      </w:r>
      <w:r w:rsidR="00497673" w:rsidRPr="00271B22">
        <w:rPr>
          <w:rFonts w:ascii="Calibri" w:eastAsia="Times New Roman" w:hAnsi="Calibri" w:cs="Calibri"/>
          <w:color w:val="000000"/>
          <w:sz w:val="24"/>
          <w:szCs w:val="24"/>
        </w:rPr>
        <w:t xml:space="preserve"> is assumed to be one, based on p</w:t>
      </w:r>
      <w:r w:rsidRPr="00271B22">
        <w:rPr>
          <w:rFonts w:ascii="Calibri" w:eastAsia="Times New Roman" w:hAnsi="Calibri" w:cs="Calibri"/>
          <w:color w:val="000000"/>
          <w:sz w:val="24"/>
          <w:szCs w:val="24"/>
        </w:rPr>
        <w:t>rofessional judgement</w:t>
      </w:r>
      <w:r w:rsidR="00497673" w:rsidRPr="00271B22">
        <w:rPr>
          <w:rFonts w:ascii="Calibri" w:eastAsia="Times New Roman" w:hAnsi="Calibri" w:cs="Calibri"/>
          <w:color w:val="000000"/>
          <w:sz w:val="24"/>
          <w:szCs w:val="24"/>
        </w:rPr>
        <w:t xml:space="preserve"> that the number of times per day that an infant or toddler might swim would be limited by the need for close supervision.</w:t>
      </w:r>
    </w:p>
    <w:p w14:paraId="21AE886C" w14:textId="79433D02" w:rsidR="002F68EA" w:rsidRPr="00271B22" w:rsidRDefault="001C092B" w:rsidP="001C092B">
      <w:pPr>
        <w:pStyle w:val="ListParagraph"/>
        <w:numPr>
          <w:ilvl w:val="0"/>
          <w:numId w:val="26"/>
        </w:numPr>
        <w:spacing w:before="240" w:after="120" w:line="240" w:lineRule="auto"/>
        <w:rPr>
          <w:sz w:val="24"/>
          <w:szCs w:val="24"/>
        </w:rPr>
      </w:pPr>
      <w:r w:rsidRPr="00271B22">
        <w:rPr>
          <w:rFonts w:ascii="Calibri" w:eastAsia="Times New Roman" w:hAnsi="Calibri" w:cs="Calibri"/>
          <w:i/>
          <w:iCs/>
          <w:color w:val="000000"/>
          <w:sz w:val="24"/>
          <w:szCs w:val="24"/>
        </w:rPr>
        <w:t xml:space="preserve">Age 2 </w:t>
      </w:r>
      <w:r w:rsidR="00497673" w:rsidRPr="00271B22">
        <w:rPr>
          <w:rFonts w:ascii="Calibri" w:eastAsia="Times New Roman" w:hAnsi="Calibri" w:cs="Calibri"/>
          <w:i/>
          <w:iCs/>
          <w:color w:val="000000"/>
          <w:sz w:val="24"/>
          <w:szCs w:val="24"/>
        </w:rPr>
        <w:t>years</w:t>
      </w:r>
      <w:r w:rsidR="00497206" w:rsidRPr="00271B22">
        <w:rPr>
          <w:rFonts w:ascii="Calibri" w:eastAsia="Times New Roman" w:hAnsi="Calibri" w:cs="Calibri"/>
          <w:i/>
          <w:iCs/>
          <w:color w:val="000000"/>
          <w:sz w:val="24"/>
          <w:szCs w:val="24"/>
        </w:rPr>
        <w:t xml:space="preserve"> - WOCBA:</w:t>
      </w:r>
      <w:r w:rsidR="00497206" w:rsidRPr="00271B22">
        <w:rPr>
          <w:rFonts w:ascii="Calibri" w:eastAsia="Times New Roman" w:hAnsi="Calibri" w:cs="Calibri"/>
          <w:color w:val="000000"/>
          <w:sz w:val="24"/>
          <w:szCs w:val="24"/>
        </w:rPr>
        <w:t xml:space="preserve"> </w:t>
      </w:r>
      <w:r w:rsidR="00497673" w:rsidRPr="00271B22">
        <w:rPr>
          <w:sz w:val="24"/>
          <w:szCs w:val="24"/>
        </w:rPr>
        <w:t xml:space="preserve">Assuming an event duration of one hour, the </w:t>
      </w:r>
      <w:r w:rsidR="00211F02" w:rsidRPr="00271B22">
        <w:rPr>
          <w:sz w:val="24"/>
          <w:szCs w:val="24"/>
        </w:rPr>
        <w:t>EV</w:t>
      </w:r>
      <w:r w:rsidR="00497673" w:rsidRPr="00271B22">
        <w:rPr>
          <w:sz w:val="24"/>
          <w:szCs w:val="24"/>
        </w:rPr>
        <w:t xml:space="preserve"> is the number of events resulting in a total swimming exposure time consistent with the </w:t>
      </w:r>
      <w:r w:rsidR="00497206" w:rsidRPr="00271B22">
        <w:rPr>
          <w:rFonts w:ascii="Calibri" w:eastAsia="Times New Roman" w:hAnsi="Calibri" w:cs="Calibri"/>
          <w:color w:val="000000"/>
          <w:sz w:val="24"/>
          <w:szCs w:val="24"/>
        </w:rPr>
        <w:t>90th percentile for time spent swimming/day</w:t>
      </w:r>
      <w:r w:rsidR="006B3ECA">
        <w:rPr>
          <w:rFonts w:ascii="Calibri" w:eastAsia="Times New Roman" w:hAnsi="Calibri" w:cs="Calibri"/>
          <w:color w:val="000000"/>
          <w:sz w:val="24"/>
          <w:szCs w:val="24"/>
        </w:rPr>
        <w:t>,</w:t>
      </w:r>
      <w:r w:rsidR="00497673" w:rsidRPr="00271B22">
        <w:rPr>
          <w:rFonts w:ascii="Calibri" w:eastAsia="Times New Roman" w:hAnsi="Calibri" w:cs="Calibri"/>
          <w:color w:val="000000"/>
          <w:sz w:val="24"/>
          <w:szCs w:val="24"/>
        </w:rPr>
        <w:t xml:space="preserve"> from the National Human Activity Pattern Survey (NHAPS) </w:t>
      </w:r>
      <w:r w:rsidR="00497206" w:rsidRPr="00271B22">
        <w:rPr>
          <w:rFonts w:ascii="Calibri" w:eastAsia="Times New Roman" w:hAnsi="Calibri" w:cs="Calibri"/>
          <w:color w:val="000000"/>
          <w:sz w:val="24"/>
          <w:szCs w:val="24"/>
        </w:rPr>
        <w:t>(US EPA, 1996</w:t>
      </w:r>
      <w:r w:rsidRPr="00271B22">
        <w:rPr>
          <w:rFonts w:ascii="Calibri" w:eastAsia="Times New Roman" w:hAnsi="Calibri" w:cs="Calibri"/>
          <w:color w:val="000000"/>
          <w:sz w:val="24"/>
          <w:szCs w:val="24"/>
        </w:rPr>
        <w:t xml:space="preserve">, </w:t>
      </w:r>
      <w:r w:rsidR="00497206" w:rsidRPr="00271B22">
        <w:rPr>
          <w:rFonts w:ascii="Calibri" w:eastAsia="Times New Roman" w:hAnsi="Calibri" w:cs="Calibri"/>
          <w:color w:val="000000"/>
          <w:sz w:val="24"/>
          <w:szCs w:val="24"/>
        </w:rPr>
        <w:t>Table QBNp-17h</w:t>
      </w:r>
      <w:r w:rsidRPr="00271B22">
        <w:rPr>
          <w:rFonts w:ascii="Calibri" w:eastAsia="Times New Roman" w:hAnsi="Calibri" w:cs="Calibri"/>
          <w:color w:val="000000"/>
          <w:sz w:val="24"/>
          <w:szCs w:val="24"/>
        </w:rPr>
        <w:t>)</w:t>
      </w:r>
      <w:r w:rsidR="006B3ECA">
        <w:rPr>
          <w:rFonts w:ascii="Calibri" w:eastAsia="Times New Roman" w:hAnsi="Calibri" w:cs="Calibri"/>
          <w:color w:val="000000"/>
          <w:sz w:val="24"/>
          <w:szCs w:val="24"/>
        </w:rPr>
        <w:t xml:space="preserve">. Total time swimming is </w:t>
      </w:r>
      <w:r w:rsidRPr="00271B22">
        <w:rPr>
          <w:rFonts w:ascii="Calibri" w:eastAsia="Times New Roman" w:hAnsi="Calibri" w:cs="Calibri"/>
          <w:color w:val="000000"/>
          <w:sz w:val="24"/>
          <w:szCs w:val="24"/>
        </w:rPr>
        <w:t>three hours/day</w:t>
      </w:r>
      <w:r w:rsidR="006B3ECA">
        <w:rPr>
          <w:rFonts w:ascii="Calibri" w:eastAsia="Times New Roman" w:hAnsi="Calibri" w:cs="Calibri"/>
          <w:color w:val="000000"/>
          <w:sz w:val="24"/>
          <w:szCs w:val="24"/>
        </w:rPr>
        <w:t>; t</w:t>
      </w:r>
      <w:r w:rsidR="00EF69D9" w:rsidRPr="00271B22">
        <w:rPr>
          <w:rFonts w:ascii="Calibri" w:eastAsia="Times New Roman" w:hAnsi="Calibri" w:cs="Calibri"/>
          <w:color w:val="000000"/>
          <w:sz w:val="24"/>
          <w:szCs w:val="24"/>
        </w:rPr>
        <w:t>he EV for individuals 2 years of age or older is thus 3.</w:t>
      </w:r>
    </w:p>
    <w:p w14:paraId="5B1EEFF7" w14:textId="35265682" w:rsidR="001C092B" w:rsidRPr="00271B22" w:rsidRDefault="002F68EA" w:rsidP="001C092B">
      <w:pPr>
        <w:spacing w:before="120" w:after="0" w:line="240" w:lineRule="auto"/>
        <w:rPr>
          <w:rFonts w:ascii="Calibri" w:eastAsia="Times New Roman" w:hAnsi="Calibri" w:cs="Calibri"/>
          <w:color w:val="000000"/>
          <w:sz w:val="24"/>
          <w:szCs w:val="24"/>
          <w:u w:val="single"/>
        </w:rPr>
      </w:pPr>
      <w:r w:rsidRPr="00271B22">
        <w:rPr>
          <w:rFonts w:ascii="Calibri" w:eastAsia="Times New Roman" w:hAnsi="Calibri" w:cs="Calibri"/>
          <w:color w:val="000000"/>
          <w:sz w:val="24"/>
          <w:szCs w:val="24"/>
          <w:u w:val="single"/>
        </w:rPr>
        <w:t>MCP</w:t>
      </w:r>
      <w:r w:rsidR="001C092B" w:rsidRPr="00271B22">
        <w:rPr>
          <w:rFonts w:ascii="Calibri" w:eastAsia="Times New Roman" w:hAnsi="Calibri" w:cs="Calibri"/>
          <w:color w:val="000000"/>
          <w:sz w:val="24"/>
          <w:szCs w:val="24"/>
          <w:u w:val="single"/>
        </w:rPr>
        <w:t>-based SWAL</w:t>
      </w:r>
      <w:r w:rsidRPr="00271B22">
        <w:rPr>
          <w:rFonts w:ascii="Calibri" w:eastAsia="Times New Roman" w:hAnsi="Calibri" w:cs="Calibri"/>
          <w:color w:val="000000"/>
          <w:sz w:val="24"/>
          <w:szCs w:val="24"/>
          <w:u w:val="single"/>
        </w:rPr>
        <w:t xml:space="preserve">: </w:t>
      </w:r>
    </w:p>
    <w:p w14:paraId="10E35194" w14:textId="7F5A47C2" w:rsidR="002F68EA" w:rsidRPr="00A5595C" w:rsidRDefault="001C092B" w:rsidP="00A5595C">
      <w:pPr>
        <w:pStyle w:val="ListParagraph"/>
        <w:numPr>
          <w:ilvl w:val="0"/>
          <w:numId w:val="32"/>
        </w:numPr>
        <w:spacing w:line="240" w:lineRule="auto"/>
        <w:jc w:val="both"/>
        <w:rPr>
          <w:i/>
          <w:iCs/>
          <w:sz w:val="24"/>
          <w:szCs w:val="24"/>
        </w:rPr>
      </w:pPr>
      <w:r w:rsidRPr="00A5595C">
        <w:rPr>
          <w:sz w:val="24"/>
          <w:szCs w:val="24"/>
        </w:rPr>
        <w:t xml:space="preserve">In the absence of MCP guidance for time spent swimming, the NHAPS </w:t>
      </w:r>
      <w:r w:rsidR="002F68EA" w:rsidRPr="00A5595C">
        <w:rPr>
          <w:sz w:val="24"/>
          <w:szCs w:val="24"/>
        </w:rPr>
        <w:t>90th percentile</w:t>
      </w:r>
      <w:r w:rsidRPr="00A5595C">
        <w:rPr>
          <w:sz w:val="24"/>
          <w:szCs w:val="24"/>
        </w:rPr>
        <w:t xml:space="preserve"> for time spent swimming of three hours/day</w:t>
      </w:r>
      <w:r w:rsidR="002F68EA" w:rsidRPr="00A5595C">
        <w:rPr>
          <w:sz w:val="24"/>
          <w:szCs w:val="24"/>
        </w:rPr>
        <w:t xml:space="preserve"> (US EPA, 1996</w:t>
      </w:r>
      <w:r w:rsidRPr="00A5595C">
        <w:rPr>
          <w:sz w:val="24"/>
          <w:szCs w:val="24"/>
        </w:rPr>
        <w:t xml:space="preserve">, </w:t>
      </w:r>
      <w:r w:rsidR="002F68EA" w:rsidRPr="00A5595C">
        <w:rPr>
          <w:sz w:val="24"/>
          <w:szCs w:val="24"/>
        </w:rPr>
        <w:t>Table QBS-17g</w:t>
      </w:r>
      <w:r w:rsidRPr="00A5595C">
        <w:rPr>
          <w:sz w:val="24"/>
          <w:szCs w:val="24"/>
        </w:rPr>
        <w:t xml:space="preserve">) is used for </w:t>
      </w:r>
      <w:r w:rsidR="00A97316" w:rsidRPr="00A5595C">
        <w:rPr>
          <w:sz w:val="24"/>
          <w:szCs w:val="24"/>
        </w:rPr>
        <w:t>all age groups</w:t>
      </w:r>
      <w:r w:rsidR="00211F02" w:rsidRPr="00A5595C">
        <w:rPr>
          <w:sz w:val="24"/>
          <w:szCs w:val="24"/>
        </w:rPr>
        <w:t>, resulting in an EV of</w:t>
      </w:r>
      <w:r w:rsidR="00EF69D9" w:rsidRPr="00A5595C">
        <w:rPr>
          <w:sz w:val="24"/>
          <w:szCs w:val="24"/>
        </w:rPr>
        <w:t xml:space="preserve"> 3.</w:t>
      </w:r>
    </w:p>
    <w:p w14:paraId="6F02EA7D" w14:textId="1FBBA95F" w:rsidR="009B0F75" w:rsidRPr="00271B22" w:rsidRDefault="0054791A" w:rsidP="007C1330">
      <w:pPr>
        <w:spacing w:before="240" w:after="0" w:line="240" w:lineRule="auto"/>
        <w:rPr>
          <w:sz w:val="24"/>
          <w:szCs w:val="24"/>
        </w:rPr>
      </w:pPr>
      <w:r w:rsidRPr="00271B22">
        <w:rPr>
          <w:b/>
          <w:sz w:val="24"/>
          <w:szCs w:val="24"/>
        </w:rPr>
        <w:t>Exposure Frequency</w:t>
      </w:r>
      <w:r w:rsidR="00BD6660" w:rsidRPr="00271B22">
        <w:rPr>
          <w:b/>
          <w:sz w:val="24"/>
          <w:szCs w:val="24"/>
        </w:rPr>
        <w:t>, EF (days/</w:t>
      </w:r>
      <w:r w:rsidR="00F130E6" w:rsidRPr="00271B22">
        <w:rPr>
          <w:b/>
          <w:sz w:val="24"/>
          <w:szCs w:val="24"/>
        </w:rPr>
        <w:t>month</w:t>
      </w:r>
      <w:r w:rsidR="00BD6660" w:rsidRPr="00271B22">
        <w:rPr>
          <w:b/>
          <w:sz w:val="24"/>
          <w:szCs w:val="24"/>
        </w:rPr>
        <w:t>)</w:t>
      </w:r>
    </w:p>
    <w:p w14:paraId="5D33B49C" w14:textId="77777777" w:rsidR="00A5595C" w:rsidRDefault="00A5595C" w:rsidP="007C1330">
      <w:pPr>
        <w:spacing w:after="0" w:line="240" w:lineRule="auto"/>
        <w:rPr>
          <w:rFonts w:ascii="Calibri" w:eastAsia="Times New Roman" w:hAnsi="Calibri" w:cs="Calibri"/>
          <w:color w:val="000000"/>
          <w:sz w:val="24"/>
          <w:szCs w:val="24"/>
          <w:u w:val="single"/>
        </w:rPr>
      </w:pPr>
    </w:p>
    <w:p w14:paraId="5817B471" w14:textId="2A0A0377" w:rsidR="00835073" w:rsidRPr="00271B22" w:rsidRDefault="00835073" w:rsidP="007C1330">
      <w:pPr>
        <w:spacing w:after="0" w:line="240" w:lineRule="auto"/>
        <w:rPr>
          <w:rFonts w:ascii="Calibri" w:eastAsia="Times New Roman" w:hAnsi="Calibri" w:cs="Calibri"/>
          <w:color w:val="000000"/>
          <w:sz w:val="24"/>
          <w:szCs w:val="24"/>
          <w:u w:val="single"/>
        </w:rPr>
      </w:pPr>
      <w:r w:rsidRPr="00271B22">
        <w:rPr>
          <w:rFonts w:ascii="Calibri" w:eastAsia="Times New Roman" w:hAnsi="Calibri" w:cs="Calibri"/>
          <w:color w:val="000000"/>
          <w:sz w:val="24"/>
          <w:szCs w:val="24"/>
          <w:u w:val="single"/>
        </w:rPr>
        <w:t xml:space="preserve">DPH SWAL: </w:t>
      </w:r>
    </w:p>
    <w:p w14:paraId="0E5DA3A0" w14:textId="77777777" w:rsidR="00A5595C" w:rsidRPr="00A5595C" w:rsidRDefault="00835073" w:rsidP="00A5595C">
      <w:pPr>
        <w:pStyle w:val="ListParagraph"/>
        <w:numPr>
          <w:ilvl w:val="0"/>
          <w:numId w:val="32"/>
        </w:numPr>
        <w:spacing w:line="240" w:lineRule="auto"/>
        <w:jc w:val="both"/>
        <w:rPr>
          <w:rStyle w:val="FootnoteReference"/>
          <w:rFonts w:ascii="Calibri" w:eastAsia="Times New Roman" w:hAnsi="Calibri" w:cs="Calibri"/>
          <w:color w:val="000000"/>
          <w:sz w:val="24"/>
          <w:szCs w:val="24"/>
          <w:vertAlign w:val="baseline"/>
        </w:rPr>
      </w:pPr>
      <w:r w:rsidRPr="00A5595C">
        <w:rPr>
          <w:sz w:val="24"/>
          <w:szCs w:val="24"/>
        </w:rPr>
        <w:t>For older children</w:t>
      </w:r>
      <w:r w:rsidR="00E27AD1" w:rsidRPr="00A5595C">
        <w:rPr>
          <w:sz w:val="24"/>
          <w:szCs w:val="24"/>
        </w:rPr>
        <w:t xml:space="preserve"> (6 to &lt; 11</w:t>
      </w:r>
      <w:r w:rsidR="0079712C" w:rsidRPr="00A5595C">
        <w:rPr>
          <w:sz w:val="24"/>
          <w:szCs w:val="24"/>
        </w:rPr>
        <w:t xml:space="preserve"> years</w:t>
      </w:r>
      <w:r w:rsidR="00E27AD1" w:rsidRPr="00A5595C">
        <w:rPr>
          <w:sz w:val="24"/>
          <w:szCs w:val="24"/>
        </w:rPr>
        <w:t>)</w:t>
      </w:r>
      <w:r w:rsidRPr="00A5595C">
        <w:rPr>
          <w:sz w:val="24"/>
          <w:szCs w:val="24"/>
        </w:rPr>
        <w:t>, adolescents</w:t>
      </w:r>
      <w:r w:rsidR="00E27AD1" w:rsidRPr="00A5595C">
        <w:rPr>
          <w:sz w:val="24"/>
          <w:szCs w:val="24"/>
        </w:rPr>
        <w:t xml:space="preserve"> (11 to &lt; 16</w:t>
      </w:r>
      <w:r w:rsidR="0079712C" w:rsidRPr="00A5595C">
        <w:rPr>
          <w:sz w:val="24"/>
          <w:szCs w:val="24"/>
        </w:rPr>
        <w:t xml:space="preserve"> years</w:t>
      </w:r>
      <w:r w:rsidR="00E27AD1" w:rsidRPr="00A5595C">
        <w:rPr>
          <w:sz w:val="24"/>
          <w:szCs w:val="24"/>
        </w:rPr>
        <w:t>),</w:t>
      </w:r>
      <w:r w:rsidRPr="00A5595C">
        <w:rPr>
          <w:sz w:val="24"/>
          <w:szCs w:val="24"/>
        </w:rPr>
        <w:t xml:space="preserve"> </w:t>
      </w:r>
      <w:r w:rsidR="00211F02" w:rsidRPr="00A5595C">
        <w:rPr>
          <w:sz w:val="24"/>
          <w:szCs w:val="24"/>
        </w:rPr>
        <w:t xml:space="preserve">and </w:t>
      </w:r>
      <w:r w:rsidRPr="00A5595C">
        <w:rPr>
          <w:sz w:val="24"/>
          <w:szCs w:val="24"/>
        </w:rPr>
        <w:t xml:space="preserve">young adults (ages </w:t>
      </w:r>
      <w:r w:rsidR="00237A20" w:rsidRPr="00A5595C">
        <w:rPr>
          <w:sz w:val="24"/>
          <w:szCs w:val="24"/>
        </w:rPr>
        <w:t>1</w:t>
      </w:r>
      <w:r w:rsidRPr="00A5595C">
        <w:rPr>
          <w:sz w:val="24"/>
          <w:szCs w:val="24"/>
        </w:rPr>
        <w:t>6 to &lt; 21 years)</w:t>
      </w:r>
      <w:r w:rsidR="00E27AD1" w:rsidRPr="00A5595C">
        <w:rPr>
          <w:sz w:val="24"/>
          <w:szCs w:val="24"/>
        </w:rPr>
        <w:t xml:space="preserve">, </w:t>
      </w:r>
      <w:r w:rsidRPr="00A5595C">
        <w:rPr>
          <w:sz w:val="24"/>
          <w:szCs w:val="24"/>
        </w:rPr>
        <w:t xml:space="preserve">the </w:t>
      </w:r>
      <w:r w:rsidR="00271B22" w:rsidRPr="00A5595C">
        <w:rPr>
          <w:sz w:val="24"/>
          <w:szCs w:val="24"/>
        </w:rPr>
        <w:t xml:space="preserve">DPH </w:t>
      </w:r>
      <w:r w:rsidRPr="00A5595C">
        <w:rPr>
          <w:sz w:val="24"/>
          <w:szCs w:val="24"/>
        </w:rPr>
        <w:t>SWAL</w:t>
      </w:r>
      <w:r w:rsidR="006B3ECA" w:rsidRPr="00A5595C">
        <w:rPr>
          <w:sz w:val="24"/>
          <w:szCs w:val="24"/>
        </w:rPr>
        <w:t>s</w:t>
      </w:r>
      <w:r w:rsidRPr="00A5595C">
        <w:rPr>
          <w:sz w:val="24"/>
          <w:szCs w:val="24"/>
        </w:rPr>
        <w:t xml:space="preserve"> assume individuals might swim every day, or 30 days/month. An EF of 30 days/month corresponds with the NHAPS 99</w:t>
      </w:r>
      <w:r w:rsidRPr="00A5595C">
        <w:rPr>
          <w:sz w:val="24"/>
          <w:szCs w:val="24"/>
          <w:vertAlign w:val="superscript"/>
        </w:rPr>
        <w:t>th</w:t>
      </w:r>
      <w:r w:rsidRPr="00A5595C">
        <w:rPr>
          <w:sz w:val="24"/>
          <w:szCs w:val="24"/>
        </w:rPr>
        <w:t xml:space="preserve"> percentile value for 5 – </w:t>
      </w:r>
      <w:proofErr w:type="gramStart"/>
      <w:r w:rsidRPr="00A5595C">
        <w:rPr>
          <w:sz w:val="24"/>
          <w:szCs w:val="24"/>
        </w:rPr>
        <w:t xml:space="preserve">11 year </w:t>
      </w:r>
      <w:proofErr w:type="spellStart"/>
      <w:r w:rsidRPr="00A5595C">
        <w:rPr>
          <w:sz w:val="24"/>
          <w:szCs w:val="24"/>
        </w:rPr>
        <w:t>olds</w:t>
      </w:r>
      <w:proofErr w:type="spellEnd"/>
      <w:proofErr w:type="gramEnd"/>
      <w:r w:rsidRPr="00A5595C">
        <w:rPr>
          <w:sz w:val="24"/>
          <w:szCs w:val="24"/>
        </w:rPr>
        <w:t>, and the 97.6</w:t>
      </w:r>
      <w:r w:rsidRPr="00A5595C">
        <w:rPr>
          <w:sz w:val="24"/>
          <w:szCs w:val="24"/>
          <w:vertAlign w:val="superscript"/>
        </w:rPr>
        <w:t>th</w:t>
      </w:r>
      <w:r w:rsidRPr="00A5595C">
        <w:rPr>
          <w:sz w:val="24"/>
          <w:szCs w:val="24"/>
        </w:rPr>
        <w:t xml:space="preserve"> percentile for 5 – 11 year </w:t>
      </w:r>
      <w:proofErr w:type="spellStart"/>
      <w:r w:rsidRPr="00A5595C">
        <w:rPr>
          <w:sz w:val="24"/>
          <w:szCs w:val="24"/>
        </w:rPr>
        <w:t>olds</w:t>
      </w:r>
      <w:proofErr w:type="spellEnd"/>
      <w:r w:rsidRPr="00A5595C">
        <w:rPr>
          <w:sz w:val="24"/>
          <w:szCs w:val="24"/>
        </w:rPr>
        <w:t>, for frequency of swimming at a public swimming pool</w:t>
      </w:r>
      <w:r w:rsidR="007C1330" w:rsidRPr="00A5595C">
        <w:rPr>
          <w:sz w:val="24"/>
          <w:szCs w:val="24"/>
        </w:rPr>
        <w:t xml:space="preserve"> (US EPA, 1996, Table QBS-17g)</w:t>
      </w:r>
      <w:r w:rsidR="006B3ECA" w:rsidRPr="00A5595C">
        <w:rPr>
          <w:rStyle w:val="FootnoteReference"/>
          <w:sz w:val="24"/>
          <w:szCs w:val="24"/>
          <w:vertAlign w:val="baseline"/>
        </w:rPr>
        <w:t xml:space="preserve">. </w:t>
      </w:r>
    </w:p>
    <w:p w14:paraId="3D047CF2" w14:textId="77777777" w:rsidR="00A5595C" w:rsidRDefault="006B3ECA" w:rsidP="00A5595C">
      <w:pPr>
        <w:pStyle w:val="ListParagraph"/>
        <w:numPr>
          <w:ilvl w:val="0"/>
          <w:numId w:val="32"/>
        </w:numPr>
        <w:spacing w:line="240" w:lineRule="auto"/>
        <w:jc w:val="both"/>
        <w:rPr>
          <w:rFonts w:ascii="Calibri" w:eastAsia="Times New Roman" w:hAnsi="Calibri" w:cs="Calibri"/>
          <w:color w:val="000000"/>
          <w:sz w:val="24"/>
          <w:szCs w:val="24"/>
        </w:rPr>
      </w:pPr>
      <w:r w:rsidRPr="00A5595C">
        <w:rPr>
          <w:rStyle w:val="FootnoteReference"/>
          <w:sz w:val="24"/>
          <w:szCs w:val="24"/>
          <w:vertAlign w:val="baseline"/>
        </w:rPr>
        <w:t>The percentiles</w:t>
      </w:r>
      <w:r w:rsidRPr="00A5595C">
        <w:rPr>
          <w:sz w:val="24"/>
          <w:szCs w:val="24"/>
        </w:rPr>
        <w:t xml:space="preserve"> for the NHAPS data</w:t>
      </w:r>
      <w:r w:rsidRPr="00A5595C">
        <w:rPr>
          <w:rStyle w:val="FootnoteReference"/>
          <w:sz w:val="24"/>
          <w:szCs w:val="24"/>
          <w:vertAlign w:val="baseline"/>
        </w:rPr>
        <w:t xml:space="preserve"> are calculate</w:t>
      </w:r>
      <w:r w:rsidRPr="00A5595C">
        <w:rPr>
          <w:sz w:val="24"/>
          <w:szCs w:val="24"/>
        </w:rPr>
        <w:t>d</w:t>
      </w:r>
      <w:r w:rsidRPr="00A5595C">
        <w:rPr>
          <w:rStyle w:val="FootnoteReference"/>
          <w:sz w:val="24"/>
          <w:szCs w:val="24"/>
          <w:vertAlign w:val="baseline"/>
        </w:rPr>
        <w:t xml:space="preserve"> </w:t>
      </w:r>
      <w:r w:rsidR="002F4427" w:rsidRPr="00A5595C">
        <w:rPr>
          <w:rStyle w:val="FootnoteReference"/>
          <w:sz w:val="24"/>
          <w:szCs w:val="24"/>
          <w:vertAlign w:val="baseline"/>
        </w:rPr>
        <w:t>as shown in Table A.</w:t>
      </w:r>
      <w:r w:rsidR="00846B34" w:rsidRPr="00A5595C">
        <w:rPr>
          <w:rStyle w:val="FootnoteReference"/>
          <w:sz w:val="24"/>
          <w:szCs w:val="24"/>
          <w:vertAlign w:val="baseline"/>
        </w:rPr>
        <w:t>4</w:t>
      </w:r>
      <w:r w:rsidR="00835073" w:rsidRPr="00A5595C">
        <w:rPr>
          <w:sz w:val="24"/>
          <w:szCs w:val="24"/>
        </w:rPr>
        <w:t>. Use of the</w:t>
      </w:r>
      <w:r w:rsidR="003D18A4" w:rsidRPr="00A5595C">
        <w:rPr>
          <w:sz w:val="24"/>
          <w:szCs w:val="24"/>
        </w:rPr>
        <w:t>se</w:t>
      </w:r>
      <w:r w:rsidR="00835073" w:rsidRPr="00A5595C">
        <w:rPr>
          <w:sz w:val="24"/>
          <w:szCs w:val="24"/>
        </w:rPr>
        <w:t xml:space="preserve"> high percentiles for the SWAL is based on professional judgement </w:t>
      </w:r>
      <w:r w:rsidR="00835073" w:rsidRPr="00A5595C">
        <w:rPr>
          <w:rFonts w:ascii="Calibri" w:eastAsia="Times New Roman" w:hAnsi="Calibri" w:cs="Calibri"/>
          <w:color w:val="000000"/>
          <w:sz w:val="24"/>
          <w:szCs w:val="24"/>
        </w:rPr>
        <w:t xml:space="preserve">that individuals would be more likely to swim at a local beach within walking distance, than a public swimming pool </w:t>
      </w:r>
      <w:r w:rsidRPr="00A5595C">
        <w:rPr>
          <w:rFonts w:ascii="Calibri" w:eastAsia="Times New Roman" w:hAnsi="Calibri" w:cs="Calibri"/>
          <w:color w:val="000000"/>
          <w:sz w:val="24"/>
          <w:szCs w:val="24"/>
        </w:rPr>
        <w:t xml:space="preserve">that may </w:t>
      </w:r>
      <w:r w:rsidR="00835073" w:rsidRPr="00A5595C">
        <w:rPr>
          <w:rFonts w:ascii="Calibri" w:eastAsia="Times New Roman" w:hAnsi="Calibri" w:cs="Calibri"/>
          <w:color w:val="000000"/>
          <w:sz w:val="24"/>
          <w:szCs w:val="24"/>
        </w:rPr>
        <w:t xml:space="preserve">not </w:t>
      </w:r>
      <w:r w:rsidRPr="00A5595C">
        <w:rPr>
          <w:rFonts w:ascii="Calibri" w:eastAsia="Times New Roman" w:hAnsi="Calibri" w:cs="Calibri"/>
          <w:color w:val="000000"/>
          <w:sz w:val="24"/>
          <w:szCs w:val="24"/>
        </w:rPr>
        <w:t xml:space="preserve">be </w:t>
      </w:r>
      <w:r w:rsidR="00835073" w:rsidRPr="00A5595C">
        <w:rPr>
          <w:rFonts w:ascii="Calibri" w:eastAsia="Times New Roman" w:hAnsi="Calibri" w:cs="Calibri"/>
          <w:color w:val="000000"/>
          <w:sz w:val="24"/>
          <w:szCs w:val="24"/>
        </w:rPr>
        <w:t>within walking distance.</w:t>
      </w:r>
    </w:p>
    <w:p w14:paraId="3CAA0706" w14:textId="38BD5217" w:rsidR="00835073" w:rsidRPr="00A5595C" w:rsidRDefault="00835073" w:rsidP="00A5595C">
      <w:pPr>
        <w:pStyle w:val="ListParagraph"/>
        <w:numPr>
          <w:ilvl w:val="1"/>
          <w:numId w:val="32"/>
        </w:numPr>
        <w:spacing w:line="240" w:lineRule="auto"/>
        <w:jc w:val="both"/>
        <w:rPr>
          <w:rFonts w:ascii="Calibri" w:eastAsia="Times New Roman" w:hAnsi="Calibri" w:cs="Calibri"/>
          <w:color w:val="000000"/>
          <w:sz w:val="24"/>
          <w:szCs w:val="24"/>
        </w:rPr>
      </w:pPr>
      <w:r w:rsidRPr="00A5595C">
        <w:rPr>
          <w:rFonts w:ascii="Calibri" w:eastAsia="Times New Roman" w:hAnsi="Calibri" w:cs="Calibri"/>
          <w:color w:val="000000"/>
          <w:sz w:val="24"/>
          <w:szCs w:val="24"/>
        </w:rPr>
        <w:t>For younger children (birth to &lt; 6 years) and women of child-bearing age, the SWAL is calculated using an EF of 20 days/</w:t>
      </w:r>
      <w:r w:rsidR="006B3ECA" w:rsidRPr="00A5595C">
        <w:rPr>
          <w:rFonts w:ascii="Calibri" w:eastAsia="Times New Roman" w:hAnsi="Calibri" w:cs="Calibri"/>
          <w:color w:val="000000"/>
          <w:sz w:val="24"/>
          <w:szCs w:val="24"/>
        </w:rPr>
        <w:t>month</w:t>
      </w:r>
      <w:r w:rsidRPr="00A5595C">
        <w:rPr>
          <w:rFonts w:ascii="Calibri" w:eastAsia="Times New Roman" w:hAnsi="Calibri" w:cs="Calibri"/>
          <w:color w:val="000000"/>
          <w:sz w:val="24"/>
          <w:szCs w:val="24"/>
        </w:rPr>
        <w:t xml:space="preserve">, corresponding with </w:t>
      </w:r>
      <w:r w:rsidR="003D18A4" w:rsidRPr="00A5595C">
        <w:rPr>
          <w:rFonts w:ascii="Calibri" w:eastAsia="Times New Roman" w:hAnsi="Calibri" w:cs="Calibri"/>
          <w:color w:val="000000"/>
          <w:sz w:val="24"/>
          <w:szCs w:val="24"/>
        </w:rPr>
        <w:t xml:space="preserve">approximately </w:t>
      </w:r>
      <w:r w:rsidRPr="00A5595C">
        <w:rPr>
          <w:rFonts w:ascii="Calibri" w:eastAsia="Times New Roman" w:hAnsi="Calibri" w:cs="Calibri"/>
          <w:color w:val="000000"/>
          <w:sz w:val="24"/>
          <w:szCs w:val="24"/>
        </w:rPr>
        <w:t>the NHAPS 90</w:t>
      </w:r>
      <w:r w:rsidRPr="00A5595C">
        <w:rPr>
          <w:rFonts w:ascii="Calibri" w:eastAsia="Times New Roman" w:hAnsi="Calibri" w:cs="Calibri"/>
          <w:color w:val="000000"/>
          <w:sz w:val="24"/>
          <w:szCs w:val="24"/>
          <w:vertAlign w:val="superscript"/>
        </w:rPr>
        <w:t>th</w:t>
      </w:r>
      <w:r w:rsidRPr="00A5595C">
        <w:rPr>
          <w:rFonts w:ascii="Calibri" w:eastAsia="Times New Roman" w:hAnsi="Calibri" w:cs="Calibri"/>
          <w:color w:val="000000"/>
          <w:sz w:val="24"/>
          <w:szCs w:val="24"/>
        </w:rPr>
        <w:t xml:space="preserve"> percentile </w:t>
      </w:r>
      <w:r w:rsidR="002730DE" w:rsidRPr="00A5595C">
        <w:rPr>
          <w:rFonts w:ascii="Calibri" w:eastAsia="Times New Roman" w:hAnsi="Calibri" w:cs="Calibri"/>
          <w:color w:val="000000"/>
          <w:sz w:val="24"/>
          <w:szCs w:val="24"/>
        </w:rPr>
        <w:t>value</w:t>
      </w:r>
      <w:r w:rsidR="003D18A4" w:rsidRPr="00A5595C">
        <w:rPr>
          <w:rFonts w:ascii="Calibri" w:eastAsia="Times New Roman" w:hAnsi="Calibri" w:cs="Calibri"/>
          <w:color w:val="000000"/>
          <w:sz w:val="24"/>
          <w:szCs w:val="24"/>
        </w:rPr>
        <w:t xml:space="preserve">. Use of a lower EF for younger children </w:t>
      </w:r>
      <w:r w:rsidR="00211F02" w:rsidRPr="00A5595C">
        <w:rPr>
          <w:rFonts w:ascii="Calibri" w:eastAsia="Times New Roman" w:hAnsi="Calibri" w:cs="Calibri"/>
          <w:color w:val="000000"/>
          <w:sz w:val="24"/>
          <w:szCs w:val="24"/>
        </w:rPr>
        <w:t xml:space="preserve">and women of childbearing age </w:t>
      </w:r>
      <w:proofErr w:type="gramStart"/>
      <w:r w:rsidR="003D18A4" w:rsidRPr="00A5595C">
        <w:rPr>
          <w:rFonts w:ascii="Calibri" w:eastAsia="Times New Roman" w:hAnsi="Calibri" w:cs="Calibri"/>
          <w:color w:val="000000"/>
          <w:sz w:val="24"/>
          <w:szCs w:val="24"/>
        </w:rPr>
        <w:t xml:space="preserve">is based on </w:t>
      </w:r>
      <w:r w:rsidR="00A5595C">
        <w:rPr>
          <w:rFonts w:ascii="Calibri" w:eastAsia="Times New Roman" w:hAnsi="Calibri" w:cs="Calibri"/>
          <w:color w:val="000000"/>
          <w:sz w:val="24"/>
          <w:szCs w:val="24"/>
        </w:rPr>
        <w:t>the</w:t>
      </w:r>
      <w:r w:rsidR="003D18A4" w:rsidRPr="00A5595C">
        <w:rPr>
          <w:rFonts w:ascii="Calibri" w:eastAsia="Times New Roman" w:hAnsi="Calibri" w:cs="Calibri"/>
          <w:color w:val="000000"/>
          <w:sz w:val="24"/>
          <w:szCs w:val="24"/>
        </w:rPr>
        <w:t xml:space="preserve"> assumption</w:t>
      </w:r>
      <w:proofErr w:type="gramEnd"/>
      <w:r w:rsidR="003D18A4" w:rsidRPr="00A5595C">
        <w:rPr>
          <w:rFonts w:ascii="Calibri" w:eastAsia="Times New Roman" w:hAnsi="Calibri" w:cs="Calibri"/>
          <w:color w:val="000000"/>
          <w:sz w:val="24"/>
          <w:szCs w:val="24"/>
        </w:rPr>
        <w:t xml:space="preserve"> that younger children would not swim at a waterbody with</w:t>
      </w:r>
      <w:r w:rsidR="002E410E" w:rsidRPr="00A5595C">
        <w:rPr>
          <w:rFonts w:ascii="Calibri" w:eastAsia="Times New Roman" w:hAnsi="Calibri" w:cs="Calibri"/>
          <w:color w:val="000000"/>
          <w:sz w:val="24"/>
          <w:szCs w:val="24"/>
        </w:rPr>
        <w:t>out</w:t>
      </w:r>
      <w:r w:rsidR="003D18A4" w:rsidRPr="00A5595C">
        <w:rPr>
          <w:rFonts w:ascii="Calibri" w:eastAsia="Times New Roman" w:hAnsi="Calibri" w:cs="Calibri"/>
          <w:color w:val="000000"/>
          <w:sz w:val="24"/>
          <w:szCs w:val="24"/>
        </w:rPr>
        <w:t xml:space="preserve"> being accompanied by an adult, </w:t>
      </w:r>
      <w:r w:rsidR="00211F02" w:rsidRPr="00A5595C">
        <w:rPr>
          <w:rFonts w:ascii="Calibri" w:eastAsia="Times New Roman" w:hAnsi="Calibri" w:cs="Calibri"/>
          <w:color w:val="000000"/>
          <w:sz w:val="24"/>
          <w:szCs w:val="24"/>
        </w:rPr>
        <w:t>who would be less likely to swim every day.</w:t>
      </w:r>
    </w:p>
    <w:p w14:paraId="74402A9A" w14:textId="77777777" w:rsidR="00271B22" w:rsidRPr="00271B22" w:rsidRDefault="00271B22" w:rsidP="00271B22">
      <w:pPr>
        <w:spacing w:before="120" w:after="0" w:line="240" w:lineRule="auto"/>
        <w:rPr>
          <w:rFonts w:ascii="Calibri" w:eastAsia="Times New Roman" w:hAnsi="Calibri" w:cs="Calibri"/>
          <w:color w:val="000000"/>
          <w:sz w:val="24"/>
          <w:szCs w:val="24"/>
          <w:u w:val="single"/>
        </w:rPr>
      </w:pPr>
      <w:r w:rsidRPr="00271B22">
        <w:rPr>
          <w:rFonts w:ascii="Calibri" w:eastAsia="Times New Roman" w:hAnsi="Calibri" w:cs="Calibri"/>
          <w:color w:val="000000"/>
          <w:sz w:val="24"/>
          <w:szCs w:val="24"/>
          <w:u w:val="single"/>
        </w:rPr>
        <w:t xml:space="preserve">MCP-based SWAL: </w:t>
      </w:r>
    </w:p>
    <w:p w14:paraId="5BAF6EF2" w14:textId="64550583" w:rsidR="00271B22" w:rsidRPr="00A5595C" w:rsidRDefault="00271B22" w:rsidP="00A5595C">
      <w:pPr>
        <w:pStyle w:val="ListParagraph"/>
        <w:numPr>
          <w:ilvl w:val="0"/>
          <w:numId w:val="33"/>
        </w:numPr>
        <w:spacing w:line="240" w:lineRule="auto"/>
        <w:jc w:val="both"/>
        <w:rPr>
          <w:i/>
          <w:iCs/>
          <w:sz w:val="24"/>
          <w:szCs w:val="24"/>
        </w:rPr>
      </w:pPr>
      <w:r w:rsidRPr="00A5595C">
        <w:rPr>
          <w:sz w:val="24"/>
          <w:szCs w:val="24"/>
        </w:rPr>
        <w:t xml:space="preserve">In the absence of </w:t>
      </w:r>
      <w:r w:rsidR="00A5595C">
        <w:rPr>
          <w:sz w:val="24"/>
          <w:szCs w:val="24"/>
        </w:rPr>
        <w:t xml:space="preserve">MCP </w:t>
      </w:r>
      <w:r w:rsidRPr="00A5595C">
        <w:rPr>
          <w:sz w:val="24"/>
          <w:szCs w:val="24"/>
        </w:rPr>
        <w:t>guidance for swimming frequency, an EF of 30 days/month is used for all age groups.</w:t>
      </w:r>
    </w:p>
    <w:p w14:paraId="605249FB" w14:textId="65109183" w:rsidR="00244B9E" w:rsidRPr="00271B22" w:rsidRDefault="0054791A" w:rsidP="00423052">
      <w:pPr>
        <w:spacing w:before="240" w:after="0" w:line="240" w:lineRule="auto"/>
        <w:rPr>
          <w:sz w:val="24"/>
          <w:szCs w:val="24"/>
        </w:rPr>
      </w:pPr>
      <w:r w:rsidRPr="00271B22">
        <w:rPr>
          <w:b/>
          <w:sz w:val="24"/>
          <w:szCs w:val="24"/>
        </w:rPr>
        <w:t>Exposure Duration</w:t>
      </w:r>
      <w:r w:rsidR="00BD6660" w:rsidRPr="00271B22">
        <w:rPr>
          <w:b/>
          <w:sz w:val="24"/>
          <w:szCs w:val="24"/>
        </w:rPr>
        <w:t>, ED (</w:t>
      </w:r>
      <w:r w:rsidR="00176C0F" w:rsidRPr="00271B22">
        <w:rPr>
          <w:b/>
          <w:sz w:val="24"/>
          <w:szCs w:val="24"/>
        </w:rPr>
        <w:t>months</w:t>
      </w:r>
      <w:r w:rsidR="00BD6660" w:rsidRPr="00271B22">
        <w:rPr>
          <w:b/>
          <w:sz w:val="24"/>
          <w:szCs w:val="24"/>
        </w:rPr>
        <w:t>)</w:t>
      </w:r>
    </w:p>
    <w:p w14:paraId="4D73DAE1" w14:textId="2ADAA7CF" w:rsidR="00423052" w:rsidRPr="000D3483" w:rsidRDefault="002071B9" w:rsidP="000D3483">
      <w:pPr>
        <w:pStyle w:val="ListParagraph"/>
        <w:numPr>
          <w:ilvl w:val="0"/>
          <w:numId w:val="33"/>
        </w:numPr>
        <w:spacing w:line="240" w:lineRule="auto"/>
        <w:jc w:val="both"/>
        <w:rPr>
          <w:sz w:val="24"/>
          <w:szCs w:val="24"/>
        </w:rPr>
      </w:pPr>
      <w:r w:rsidRPr="000D3483">
        <w:rPr>
          <w:sz w:val="24"/>
          <w:szCs w:val="24"/>
        </w:rPr>
        <w:t>T</w:t>
      </w:r>
      <w:r w:rsidR="00BD6660" w:rsidRPr="000D3483">
        <w:rPr>
          <w:sz w:val="24"/>
          <w:szCs w:val="24"/>
        </w:rPr>
        <w:t xml:space="preserve">he </w:t>
      </w:r>
      <w:r w:rsidR="00211F02" w:rsidRPr="000D3483">
        <w:rPr>
          <w:sz w:val="24"/>
          <w:szCs w:val="24"/>
        </w:rPr>
        <w:t>ED</w:t>
      </w:r>
      <w:r w:rsidR="00BD6660" w:rsidRPr="000D3483">
        <w:rPr>
          <w:sz w:val="24"/>
          <w:szCs w:val="24"/>
        </w:rPr>
        <w:t xml:space="preserve"> represents the duration, in </w:t>
      </w:r>
      <w:r w:rsidR="00176C0F" w:rsidRPr="000D3483">
        <w:rPr>
          <w:sz w:val="24"/>
          <w:szCs w:val="24"/>
        </w:rPr>
        <w:t>months</w:t>
      </w:r>
      <w:r w:rsidR="00BD6660" w:rsidRPr="000D3483">
        <w:rPr>
          <w:sz w:val="24"/>
          <w:szCs w:val="24"/>
        </w:rPr>
        <w:t>, that individuals</w:t>
      </w:r>
      <w:r w:rsidR="008459CF" w:rsidRPr="000D3483">
        <w:rPr>
          <w:sz w:val="24"/>
          <w:szCs w:val="24"/>
        </w:rPr>
        <w:t xml:space="preserve"> could reasonably be exposed to surface water in a recreational scenario. The ED for recreational waterbodies is 3</w:t>
      </w:r>
      <w:r w:rsidRPr="000D3483">
        <w:rPr>
          <w:sz w:val="24"/>
          <w:szCs w:val="24"/>
        </w:rPr>
        <w:t>.3</w:t>
      </w:r>
      <w:r w:rsidR="008459CF" w:rsidRPr="000D3483">
        <w:rPr>
          <w:sz w:val="24"/>
          <w:szCs w:val="24"/>
        </w:rPr>
        <w:t xml:space="preserve"> </w:t>
      </w:r>
      <w:r w:rsidR="00176C0F" w:rsidRPr="000D3483">
        <w:rPr>
          <w:sz w:val="24"/>
          <w:szCs w:val="24"/>
        </w:rPr>
        <w:t>months</w:t>
      </w:r>
      <w:r w:rsidR="008459CF" w:rsidRPr="000D3483">
        <w:rPr>
          <w:sz w:val="24"/>
          <w:szCs w:val="24"/>
        </w:rPr>
        <w:t xml:space="preserve">, based on the assumption that individuals would engage in recreational water-related activities </w:t>
      </w:r>
      <w:r w:rsidR="006062A4" w:rsidRPr="000D3483">
        <w:rPr>
          <w:sz w:val="24"/>
          <w:szCs w:val="24"/>
        </w:rPr>
        <w:t xml:space="preserve">from </w:t>
      </w:r>
      <w:r w:rsidRPr="000D3483">
        <w:rPr>
          <w:sz w:val="24"/>
          <w:szCs w:val="24"/>
        </w:rPr>
        <w:t>Memorial Day</w:t>
      </w:r>
      <w:r w:rsidR="006062A4" w:rsidRPr="000D3483">
        <w:rPr>
          <w:sz w:val="24"/>
          <w:szCs w:val="24"/>
        </w:rPr>
        <w:t xml:space="preserve"> to </w:t>
      </w:r>
      <w:r w:rsidRPr="000D3483">
        <w:rPr>
          <w:sz w:val="24"/>
          <w:szCs w:val="24"/>
        </w:rPr>
        <w:t>Labor Day.</w:t>
      </w:r>
      <w:r w:rsidR="00555180" w:rsidRPr="000D3483">
        <w:rPr>
          <w:sz w:val="24"/>
          <w:szCs w:val="24"/>
        </w:rPr>
        <w:t xml:space="preserve"> </w:t>
      </w:r>
    </w:p>
    <w:p w14:paraId="058CA203" w14:textId="68E4D67B" w:rsidR="00423052" w:rsidRPr="00271B22" w:rsidRDefault="0054791A" w:rsidP="00271B22">
      <w:pPr>
        <w:keepNext/>
        <w:spacing w:before="240" w:after="0" w:line="240" w:lineRule="auto"/>
        <w:rPr>
          <w:sz w:val="24"/>
          <w:szCs w:val="24"/>
        </w:rPr>
      </w:pPr>
      <w:r w:rsidRPr="00271B22">
        <w:rPr>
          <w:b/>
          <w:sz w:val="24"/>
          <w:szCs w:val="24"/>
        </w:rPr>
        <w:t>Averaging Time</w:t>
      </w:r>
      <w:r w:rsidR="00573A98" w:rsidRPr="00271B22">
        <w:rPr>
          <w:b/>
          <w:sz w:val="24"/>
          <w:szCs w:val="24"/>
        </w:rPr>
        <w:t>, AT</w:t>
      </w:r>
      <w:r w:rsidR="00BD6660" w:rsidRPr="00271B22">
        <w:rPr>
          <w:b/>
          <w:sz w:val="24"/>
          <w:szCs w:val="24"/>
        </w:rPr>
        <w:t xml:space="preserve"> (days)</w:t>
      </w:r>
    </w:p>
    <w:p w14:paraId="5269FE65" w14:textId="0824EB37" w:rsidR="00423052" w:rsidRPr="000D3483" w:rsidRDefault="006C3ECD" w:rsidP="000D3483">
      <w:pPr>
        <w:pStyle w:val="ListParagraph"/>
        <w:numPr>
          <w:ilvl w:val="0"/>
          <w:numId w:val="33"/>
        </w:numPr>
        <w:spacing w:line="240" w:lineRule="auto"/>
        <w:jc w:val="both"/>
        <w:rPr>
          <w:sz w:val="24"/>
          <w:szCs w:val="24"/>
        </w:rPr>
      </w:pPr>
      <w:r w:rsidRPr="000D3483">
        <w:rPr>
          <w:sz w:val="24"/>
          <w:szCs w:val="24"/>
        </w:rPr>
        <w:t>T</w:t>
      </w:r>
      <w:r w:rsidR="00573A98" w:rsidRPr="000D3483">
        <w:rPr>
          <w:sz w:val="24"/>
          <w:szCs w:val="24"/>
        </w:rPr>
        <w:t xml:space="preserve">he averaging time is the same as the exposure duration, but in terms of days rather than </w:t>
      </w:r>
      <w:r w:rsidRPr="000D3483">
        <w:rPr>
          <w:sz w:val="24"/>
          <w:szCs w:val="24"/>
        </w:rPr>
        <w:t>months</w:t>
      </w:r>
      <w:r w:rsidR="00573A98" w:rsidRPr="000D3483">
        <w:rPr>
          <w:sz w:val="24"/>
          <w:szCs w:val="24"/>
        </w:rPr>
        <w:t>.</w:t>
      </w:r>
    </w:p>
    <w:p w14:paraId="1DFBB5EB" w14:textId="4A8D9F43" w:rsidR="00D63BAC" w:rsidRPr="00271B22" w:rsidRDefault="0054791A" w:rsidP="00271B22">
      <w:pPr>
        <w:keepNext/>
        <w:spacing w:before="240" w:after="0" w:line="240" w:lineRule="auto"/>
        <w:rPr>
          <w:sz w:val="24"/>
          <w:szCs w:val="24"/>
        </w:rPr>
      </w:pPr>
      <w:r w:rsidRPr="00271B22">
        <w:rPr>
          <w:b/>
          <w:sz w:val="24"/>
          <w:szCs w:val="24"/>
        </w:rPr>
        <w:t>Body Weight</w:t>
      </w:r>
      <w:r w:rsidR="008F16B3" w:rsidRPr="00271B22">
        <w:rPr>
          <w:b/>
          <w:sz w:val="24"/>
          <w:szCs w:val="24"/>
        </w:rPr>
        <w:t>, BW (kg)</w:t>
      </w:r>
    </w:p>
    <w:p w14:paraId="1B15ED98" w14:textId="77777777" w:rsidR="00211F02" w:rsidRPr="00271B22" w:rsidRDefault="00211F02" w:rsidP="00271B22">
      <w:pPr>
        <w:keepNext/>
        <w:spacing w:after="0" w:line="240" w:lineRule="auto"/>
        <w:rPr>
          <w:rFonts w:ascii="Calibri" w:eastAsia="Times New Roman" w:hAnsi="Calibri" w:cs="Calibri"/>
          <w:color w:val="000000"/>
          <w:sz w:val="24"/>
          <w:szCs w:val="24"/>
          <w:u w:val="single"/>
        </w:rPr>
      </w:pPr>
      <w:r w:rsidRPr="00271B22">
        <w:rPr>
          <w:rFonts w:ascii="Calibri" w:eastAsia="Times New Roman" w:hAnsi="Calibri" w:cs="Calibri"/>
          <w:color w:val="000000"/>
          <w:sz w:val="24"/>
          <w:szCs w:val="24"/>
          <w:u w:val="single"/>
        </w:rPr>
        <w:t xml:space="preserve">DPH SWAL: </w:t>
      </w:r>
    </w:p>
    <w:p w14:paraId="11872A5D" w14:textId="5C7EB330" w:rsidR="00AC47CA" w:rsidRPr="000D3483" w:rsidRDefault="0001339E" w:rsidP="000D3483">
      <w:pPr>
        <w:pStyle w:val="ListParagraph"/>
        <w:numPr>
          <w:ilvl w:val="0"/>
          <w:numId w:val="33"/>
        </w:numPr>
        <w:spacing w:line="240" w:lineRule="auto"/>
        <w:jc w:val="both"/>
        <w:rPr>
          <w:sz w:val="24"/>
          <w:szCs w:val="24"/>
        </w:rPr>
      </w:pPr>
      <w:r w:rsidRPr="000D3483">
        <w:rPr>
          <w:sz w:val="24"/>
          <w:szCs w:val="24"/>
        </w:rPr>
        <w:t xml:space="preserve">Body weights represent the mean </w:t>
      </w:r>
      <w:r w:rsidR="004C3498" w:rsidRPr="000D3483">
        <w:rPr>
          <w:sz w:val="24"/>
          <w:szCs w:val="24"/>
        </w:rPr>
        <w:t>of</w:t>
      </w:r>
      <w:r w:rsidRPr="000D3483">
        <w:rPr>
          <w:sz w:val="24"/>
          <w:szCs w:val="24"/>
        </w:rPr>
        <w:t xml:space="preserve"> 1999-2006 data from the National Health and Nutrition Examination Survey (NHANES) as analyzed by US EPA (2011).</w:t>
      </w:r>
    </w:p>
    <w:p w14:paraId="1BFA0AA0" w14:textId="77777777" w:rsidR="00211F02" w:rsidRPr="00271B22" w:rsidRDefault="00211F02" w:rsidP="00211F02">
      <w:pPr>
        <w:spacing w:before="120" w:after="0" w:line="240" w:lineRule="auto"/>
        <w:rPr>
          <w:rFonts w:ascii="Calibri" w:eastAsia="Times New Roman" w:hAnsi="Calibri" w:cs="Calibri"/>
          <w:color w:val="000000"/>
          <w:sz w:val="24"/>
          <w:szCs w:val="24"/>
          <w:u w:val="single"/>
        </w:rPr>
      </w:pPr>
      <w:r w:rsidRPr="00271B22">
        <w:rPr>
          <w:rFonts w:ascii="Calibri" w:eastAsia="Times New Roman" w:hAnsi="Calibri" w:cs="Calibri"/>
          <w:color w:val="000000"/>
          <w:sz w:val="24"/>
          <w:szCs w:val="24"/>
          <w:u w:val="single"/>
        </w:rPr>
        <w:t xml:space="preserve">MCP-based SWAL: </w:t>
      </w:r>
    </w:p>
    <w:p w14:paraId="2AAE5A43" w14:textId="7FAD6E19" w:rsidR="00D63BAC" w:rsidRPr="000D3483" w:rsidRDefault="00D63BAC" w:rsidP="000D3483">
      <w:pPr>
        <w:pStyle w:val="ListParagraph"/>
        <w:numPr>
          <w:ilvl w:val="0"/>
          <w:numId w:val="33"/>
        </w:numPr>
        <w:spacing w:line="240" w:lineRule="auto"/>
        <w:jc w:val="both"/>
        <w:rPr>
          <w:sz w:val="24"/>
          <w:szCs w:val="24"/>
        </w:rPr>
      </w:pPr>
      <w:r w:rsidRPr="000D3483">
        <w:rPr>
          <w:sz w:val="24"/>
          <w:szCs w:val="24"/>
        </w:rPr>
        <w:t xml:space="preserve">Body weights are based on </w:t>
      </w:r>
      <w:r w:rsidR="000D3483">
        <w:rPr>
          <w:sz w:val="24"/>
          <w:szCs w:val="24"/>
        </w:rPr>
        <w:t xml:space="preserve">summary data in </w:t>
      </w:r>
      <w:r w:rsidR="00271B22" w:rsidRPr="000D3483">
        <w:rPr>
          <w:sz w:val="24"/>
          <w:szCs w:val="24"/>
        </w:rPr>
        <w:t xml:space="preserve">US EPA’s </w:t>
      </w:r>
      <w:r w:rsidRPr="000D3483">
        <w:rPr>
          <w:sz w:val="24"/>
          <w:szCs w:val="24"/>
        </w:rPr>
        <w:t xml:space="preserve">Exposure Factors Handbook </w:t>
      </w:r>
      <w:r w:rsidR="00271B22" w:rsidRPr="000D3483">
        <w:rPr>
          <w:color w:val="000000" w:themeColor="text1"/>
          <w:sz w:val="24"/>
          <w:szCs w:val="24"/>
        </w:rPr>
        <w:t>(</w:t>
      </w:r>
      <w:r w:rsidR="000D3483">
        <w:rPr>
          <w:color w:val="000000" w:themeColor="text1"/>
          <w:sz w:val="24"/>
          <w:szCs w:val="24"/>
        </w:rPr>
        <w:t xml:space="preserve">as cited by </w:t>
      </w:r>
      <w:r w:rsidR="00271B22" w:rsidRPr="000D3483">
        <w:rPr>
          <w:color w:val="000000" w:themeColor="text1"/>
          <w:sz w:val="24"/>
          <w:szCs w:val="24"/>
        </w:rPr>
        <w:t>MassDEP, 2015).</w:t>
      </w:r>
    </w:p>
    <w:p w14:paraId="2FE1C023" w14:textId="0A9D7BE3" w:rsidR="000C5817" w:rsidRPr="00271B22" w:rsidRDefault="0054791A" w:rsidP="00D63BAC">
      <w:pPr>
        <w:spacing w:before="240" w:after="0" w:line="240" w:lineRule="auto"/>
        <w:rPr>
          <w:sz w:val="24"/>
          <w:szCs w:val="24"/>
        </w:rPr>
      </w:pPr>
      <w:r w:rsidRPr="00271B22">
        <w:rPr>
          <w:b/>
          <w:sz w:val="24"/>
          <w:szCs w:val="24"/>
        </w:rPr>
        <w:t>Surface Water Ingestion Rate</w:t>
      </w:r>
      <w:r w:rsidR="0001339E" w:rsidRPr="00271B22">
        <w:rPr>
          <w:b/>
          <w:sz w:val="24"/>
          <w:szCs w:val="24"/>
        </w:rPr>
        <w:t>, IR (</w:t>
      </w:r>
      <w:r w:rsidR="0079712C" w:rsidRPr="00271B22">
        <w:rPr>
          <w:b/>
          <w:sz w:val="24"/>
          <w:szCs w:val="24"/>
        </w:rPr>
        <w:t>L</w:t>
      </w:r>
      <w:r w:rsidR="0001339E" w:rsidRPr="00271B22">
        <w:rPr>
          <w:b/>
          <w:sz w:val="24"/>
          <w:szCs w:val="24"/>
        </w:rPr>
        <w:t>/hour)</w:t>
      </w:r>
    </w:p>
    <w:p w14:paraId="36B404A2" w14:textId="5C88AC50" w:rsidR="00211F02" w:rsidRPr="00271B22" w:rsidRDefault="00211F02" w:rsidP="00271B22">
      <w:pPr>
        <w:spacing w:after="0"/>
        <w:rPr>
          <w:sz w:val="24"/>
          <w:szCs w:val="24"/>
          <w:u w:val="single"/>
        </w:rPr>
      </w:pPr>
      <w:r w:rsidRPr="00271B22">
        <w:rPr>
          <w:sz w:val="24"/>
          <w:szCs w:val="24"/>
          <w:u w:val="single"/>
        </w:rPr>
        <w:t xml:space="preserve">DPH SWAL: </w:t>
      </w:r>
    </w:p>
    <w:p w14:paraId="48ABFA79" w14:textId="77777777" w:rsidR="000D3483" w:rsidRPr="000D3483" w:rsidRDefault="00EF69D9" w:rsidP="000D3483">
      <w:pPr>
        <w:pStyle w:val="ListParagraph"/>
        <w:numPr>
          <w:ilvl w:val="0"/>
          <w:numId w:val="33"/>
        </w:numPr>
        <w:spacing w:line="240" w:lineRule="auto"/>
        <w:jc w:val="both"/>
        <w:rPr>
          <w:sz w:val="24"/>
          <w:szCs w:val="24"/>
        </w:rPr>
      </w:pPr>
      <w:r w:rsidRPr="000D3483">
        <w:rPr>
          <w:sz w:val="24"/>
          <w:szCs w:val="24"/>
        </w:rPr>
        <w:t xml:space="preserve">The SWAL is calculated using </w:t>
      </w:r>
      <w:r w:rsidR="00CE1E3F" w:rsidRPr="000D3483">
        <w:rPr>
          <w:sz w:val="24"/>
          <w:szCs w:val="24"/>
        </w:rPr>
        <w:t xml:space="preserve">an IR of </w:t>
      </w:r>
      <w:r w:rsidR="0079712C" w:rsidRPr="000D3483">
        <w:rPr>
          <w:sz w:val="24"/>
          <w:szCs w:val="24"/>
        </w:rPr>
        <w:t>0.</w:t>
      </w:r>
      <w:r w:rsidR="00CE1E3F" w:rsidRPr="000D3483">
        <w:rPr>
          <w:sz w:val="24"/>
          <w:szCs w:val="24"/>
        </w:rPr>
        <w:t>1</w:t>
      </w:r>
      <w:r w:rsidR="0079712C" w:rsidRPr="000D3483">
        <w:rPr>
          <w:sz w:val="24"/>
          <w:szCs w:val="24"/>
        </w:rPr>
        <w:t>52</w:t>
      </w:r>
      <w:r w:rsidR="00CE1E3F" w:rsidRPr="000D3483">
        <w:rPr>
          <w:sz w:val="24"/>
          <w:szCs w:val="24"/>
        </w:rPr>
        <w:t xml:space="preserve"> ml/hour</w:t>
      </w:r>
      <w:r w:rsidR="006B3ECA" w:rsidRPr="000D3483">
        <w:rPr>
          <w:sz w:val="24"/>
          <w:szCs w:val="24"/>
        </w:rPr>
        <w:t xml:space="preserve"> </w:t>
      </w:r>
      <w:r w:rsidR="00CE1E3F" w:rsidRPr="000D3483">
        <w:rPr>
          <w:sz w:val="24"/>
          <w:szCs w:val="24"/>
        </w:rPr>
        <w:t xml:space="preserve">for </w:t>
      </w:r>
      <w:r w:rsidR="0079712C" w:rsidRPr="000D3483">
        <w:rPr>
          <w:sz w:val="24"/>
          <w:szCs w:val="24"/>
        </w:rPr>
        <w:t>birth to &lt; 16 years, and an IR of 0.105 for ages 16 to &lt; 21 years and women of child-bearing age</w:t>
      </w:r>
      <w:r w:rsidR="00CE1E3F" w:rsidRPr="000D3483">
        <w:rPr>
          <w:sz w:val="24"/>
          <w:szCs w:val="24"/>
        </w:rPr>
        <w:t xml:space="preserve">. </w:t>
      </w:r>
      <w:r w:rsidR="0079712C" w:rsidRPr="000D3483">
        <w:rPr>
          <w:sz w:val="24"/>
          <w:szCs w:val="24"/>
        </w:rPr>
        <w:t>An IR of 0.152</w:t>
      </w:r>
      <w:r w:rsidR="00CE1E3F" w:rsidRPr="000D3483">
        <w:rPr>
          <w:sz w:val="24"/>
          <w:szCs w:val="24"/>
        </w:rPr>
        <w:t xml:space="preserve"> </w:t>
      </w:r>
      <w:r w:rsidR="006442F8" w:rsidRPr="000D3483">
        <w:rPr>
          <w:sz w:val="24"/>
          <w:szCs w:val="24"/>
        </w:rPr>
        <w:t>corresponds with</w:t>
      </w:r>
      <w:r w:rsidR="00CE1E3F" w:rsidRPr="000D3483">
        <w:rPr>
          <w:sz w:val="24"/>
          <w:szCs w:val="24"/>
        </w:rPr>
        <w:t xml:space="preserve"> the 95</w:t>
      </w:r>
      <w:r w:rsidR="00CE1E3F" w:rsidRPr="000D3483">
        <w:rPr>
          <w:sz w:val="24"/>
          <w:szCs w:val="24"/>
          <w:vertAlign w:val="superscript"/>
        </w:rPr>
        <w:t>th</w:t>
      </w:r>
      <w:r w:rsidR="00CE1E3F" w:rsidRPr="000D3483">
        <w:rPr>
          <w:sz w:val="24"/>
          <w:szCs w:val="24"/>
        </w:rPr>
        <w:t xml:space="preserve"> percentile </w:t>
      </w:r>
      <w:r w:rsidR="006442F8" w:rsidRPr="000D3483">
        <w:rPr>
          <w:sz w:val="24"/>
          <w:szCs w:val="24"/>
        </w:rPr>
        <w:t xml:space="preserve">IR </w:t>
      </w:r>
      <w:r w:rsidR="00CE1E3F" w:rsidRPr="000D3483">
        <w:rPr>
          <w:sz w:val="24"/>
          <w:szCs w:val="24"/>
        </w:rPr>
        <w:t xml:space="preserve">for children ages </w:t>
      </w:r>
      <w:r w:rsidR="00D528CA" w:rsidRPr="000D3483">
        <w:rPr>
          <w:sz w:val="24"/>
          <w:szCs w:val="24"/>
        </w:rPr>
        <w:t>11 to &lt;16</w:t>
      </w:r>
      <w:r w:rsidR="00CE1E3F" w:rsidRPr="000D3483">
        <w:rPr>
          <w:sz w:val="24"/>
          <w:szCs w:val="24"/>
        </w:rPr>
        <w:t xml:space="preserve"> years o</w:t>
      </w:r>
      <w:r w:rsidR="00C10A67" w:rsidRPr="000D3483">
        <w:rPr>
          <w:sz w:val="24"/>
          <w:szCs w:val="24"/>
        </w:rPr>
        <w:t>ld, based on underlying data from</w:t>
      </w:r>
      <w:r w:rsidR="00CE1E3F" w:rsidRPr="000D3483">
        <w:rPr>
          <w:sz w:val="24"/>
          <w:szCs w:val="24"/>
        </w:rPr>
        <w:t xml:space="preserve"> DuFour (2017) </w:t>
      </w:r>
      <w:r w:rsidR="003E7075" w:rsidRPr="000D3483">
        <w:rPr>
          <w:sz w:val="24"/>
          <w:szCs w:val="24"/>
        </w:rPr>
        <w:t xml:space="preserve">for swimmers &gt; 6 years of age, </w:t>
      </w:r>
      <w:r w:rsidR="00CE1E3F" w:rsidRPr="000D3483">
        <w:rPr>
          <w:sz w:val="24"/>
          <w:szCs w:val="24"/>
        </w:rPr>
        <w:t xml:space="preserve">as summarized in U.S. EPA’s Exposure Factors </w:t>
      </w:r>
      <w:r w:rsidR="00421ECA" w:rsidRPr="000D3483">
        <w:rPr>
          <w:sz w:val="24"/>
          <w:szCs w:val="24"/>
        </w:rPr>
        <w:t>Handbook (US EPA, 2019)</w:t>
      </w:r>
      <w:r w:rsidR="00187A67" w:rsidRPr="00271B22">
        <w:rPr>
          <w:rStyle w:val="FootnoteReference"/>
          <w:sz w:val="24"/>
          <w:szCs w:val="24"/>
        </w:rPr>
        <w:footnoteReference w:id="1"/>
      </w:r>
      <w:r w:rsidR="00CE1E3F" w:rsidRPr="000D3483">
        <w:rPr>
          <w:sz w:val="24"/>
          <w:szCs w:val="24"/>
        </w:rPr>
        <w:t xml:space="preserve">. </w:t>
      </w:r>
    </w:p>
    <w:p w14:paraId="0970EFC1" w14:textId="3B65BA61" w:rsidR="00421ECA" w:rsidRPr="000D3483" w:rsidRDefault="006442F8" w:rsidP="000D3483">
      <w:pPr>
        <w:pStyle w:val="ListParagraph"/>
        <w:numPr>
          <w:ilvl w:val="0"/>
          <w:numId w:val="33"/>
        </w:numPr>
        <w:spacing w:line="240" w:lineRule="auto"/>
        <w:jc w:val="both"/>
        <w:rPr>
          <w:sz w:val="24"/>
          <w:szCs w:val="24"/>
        </w:rPr>
      </w:pPr>
      <w:r w:rsidRPr="000D3483">
        <w:rPr>
          <w:sz w:val="24"/>
          <w:szCs w:val="24"/>
        </w:rPr>
        <w:t>DPH</w:t>
      </w:r>
      <w:r w:rsidR="00D37A51" w:rsidRPr="000D3483">
        <w:rPr>
          <w:sz w:val="24"/>
          <w:szCs w:val="24"/>
        </w:rPr>
        <w:t xml:space="preserve"> did not identify data relating to ingestion rates for children &lt; 6 years of age. In the absence of </w:t>
      </w:r>
      <w:r w:rsidR="00187A67" w:rsidRPr="000D3483">
        <w:rPr>
          <w:sz w:val="24"/>
          <w:szCs w:val="24"/>
        </w:rPr>
        <w:t>ingestion rate</w:t>
      </w:r>
      <w:r w:rsidR="00D37A51" w:rsidRPr="000D3483">
        <w:rPr>
          <w:sz w:val="24"/>
          <w:szCs w:val="24"/>
        </w:rPr>
        <w:t xml:space="preserve"> data</w:t>
      </w:r>
      <w:r w:rsidR="00187A67" w:rsidRPr="000D3483">
        <w:rPr>
          <w:sz w:val="24"/>
          <w:szCs w:val="24"/>
        </w:rPr>
        <w:t xml:space="preserve"> for children &lt; 6 years of age, and because the 90</w:t>
      </w:r>
      <w:r w:rsidR="00187A67" w:rsidRPr="000D3483">
        <w:rPr>
          <w:sz w:val="24"/>
          <w:szCs w:val="24"/>
          <w:vertAlign w:val="superscript"/>
        </w:rPr>
        <w:t>th</w:t>
      </w:r>
      <w:r w:rsidR="003E7075" w:rsidRPr="000D3483">
        <w:rPr>
          <w:sz w:val="24"/>
          <w:szCs w:val="24"/>
        </w:rPr>
        <w:t xml:space="preserve"> percentile</w:t>
      </w:r>
      <w:r w:rsidR="00187A67" w:rsidRPr="000D3483">
        <w:rPr>
          <w:sz w:val="24"/>
          <w:szCs w:val="24"/>
        </w:rPr>
        <w:t xml:space="preserve"> value in the EFH for children ages 6</w:t>
      </w:r>
      <w:r w:rsidR="003E7075" w:rsidRPr="000D3483">
        <w:rPr>
          <w:sz w:val="24"/>
          <w:szCs w:val="24"/>
        </w:rPr>
        <w:t xml:space="preserve"> to </w:t>
      </w:r>
      <w:r w:rsidR="00187A67" w:rsidRPr="000D3483">
        <w:rPr>
          <w:sz w:val="24"/>
          <w:szCs w:val="24"/>
        </w:rPr>
        <w:t>&lt;11</w:t>
      </w:r>
      <w:r w:rsidRPr="000D3483">
        <w:rPr>
          <w:sz w:val="24"/>
          <w:szCs w:val="24"/>
        </w:rPr>
        <w:t xml:space="preserve"> years</w:t>
      </w:r>
      <w:r w:rsidR="00187A67" w:rsidRPr="000D3483">
        <w:rPr>
          <w:sz w:val="24"/>
          <w:szCs w:val="24"/>
        </w:rPr>
        <w:t xml:space="preserve"> is lower than for 11 </w:t>
      </w:r>
      <w:r w:rsidR="003E7075" w:rsidRPr="000D3483">
        <w:rPr>
          <w:sz w:val="24"/>
          <w:szCs w:val="24"/>
        </w:rPr>
        <w:t>to</w:t>
      </w:r>
      <w:r w:rsidR="00187A67" w:rsidRPr="000D3483">
        <w:rPr>
          <w:sz w:val="24"/>
          <w:szCs w:val="24"/>
        </w:rPr>
        <w:t xml:space="preserve"> &lt;16</w:t>
      </w:r>
      <w:r w:rsidRPr="000D3483">
        <w:rPr>
          <w:sz w:val="24"/>
          <w:szCs w:val="24"/>
        </w:rPr>
        <w:t xml:space="preserve"> years</w:t>
      </w:r>
      <w:r w:rsidR="00187A67" w:rsidRPr="000D3483">
        <w:rPr>
          <w:sz w:val="24"/>
          <w:szCs w:val="24"/>
        </w:rPr>
        <w:t xml:space="preserve">, the value for 11 </w:t>
      </w:r>
      <w:r w:rsidR="003E7075" w:rsidRPr="000D3483">
        <w:rPr>
          <w:sz w:val="24"/>
          <w:szCs w:val="24"/>
        </w:rPr>
        <w:t>to</w:t>
      </w:r>
      <w:r w:rsidR="00187A67" w:rsidRPr="000D3483">
        <w:rPr>
          <w:sz w:val="24"/>
          <w:szCs w:val="24"/>
        </w:rPr>
        <w:t xml:space="preserve"> &lt;</w:t>
      </w:r>
      <w:proofErr w:type="gramStart"/>
      <w:r w:rsidR="00187A67" w:rsidRPr="000D3483">
        <w:rPr>
          <w:sz w:val="24"/>
          <w:szCs w:val="24"/>
        </w:rPr>
        <w:t xml:space="preserve">16 year </w:t>
      </w:r>
      <w:proofErr w:type="spellStart"/>
      <w:r w:rsidR="00187A67" w:rsidRPr="000D3483">
        <w:rPr>
          <w:sz w:val="24"/>
          <w:szCs w:val="24"/>
        </w:rPr>
        <w:t>olds</w:t>
      </w:r>
      <w:proofErr w:type="spellEnd"/>
      <w:proofErr w:type="gramEnd"/>
      <w:r w:rsidR="00187A67" w:rsidRPr="000D3483">
        <w:rPr>
          <w:sz w:val="24"/>
          <w:szCs w:val="24"/>
        </w:rPr>
        <w:t xml:space="preserve"> is </w:t>
      </w:r>
      <w:r w:rsidR="0079712C" w:rsidRPr="000D3483">
        <w:rPr>
          <w:sz w:val="24"/>
          <w:szCs w:val="24"/>
        </w:rPr>
        <w:t>also used for younger children</w:t>
      </w:r>
      <w:r w:rsidRPr="000D3483">
        <w:rPr>
          <w:b/>
          <w:bCs/>
          <w:color w:val="0000FF"/>
          <w:sz w:val="24"/>
          <w:szCs w:val="24"/>
        </w:rPr>
        <w:t>.</w:t>
      </w:r>
      <w:r w:rsidRPr="000D3483">
        <w:rPr>
          <w:color w:val="000000" w:themeColor="text1"/>
          <w:sz w:val="24"/>
          <w:szCs w:val="24"/>
        </w:rPr>
        <w:t xml:space="preserve"> An IR of 0.105 corresponds with the 95</w:t>
      </w:r>
      <w:r w:rsidRPr="000D3483">
        <w:rPr>
          <w:color w:val="000000" w:themeColor="text1"/>
          <w:sz w:val="24"/>
          <w:szCs w:val="24"/>
          <w:vertAlign w:val="superscript"/>
        </w:rPr>
        <w:t>th</w:t>
      </w:r>
      <w:r w:rsidRPr="000D3483">
        <w:rPr>
          <w:color w:val="000000" w:themeColor="text1"/>
          <w:sz w:val="24"/>
          <w:szCs w:val="24"/>
        </w:rPr>
        <w:t xml:space="preserve"> percentile IR </w:t>
      </w:r>
      <w:r w:rsidR="00271B22" w:rsidRPr="000D3483">
        <w:rPr>
          <w:color w:val="000000" w:themeColor="text1"/>
          <w:sz w:val="24"/>
          <w:szCs w:val="24"/>
        </w:rPr>
        <w:t>adolescents/young adults, ages 16 to &lt; 21 years.</w:t>
      </w:r>
      <w:r w:rsidRPr="000D3483">
        <w:rPr>
          <w:b/>
          <w:bCs/>
          <w:color w:val="000000" w:themeColor="text1"/>
          <w:sz w:val="24"/>
          <w:szCs w:val="24"/>
        </w:rPr>
        <w:t xml:space="preserve"> </w:t>
      </w:r>
    </w:p>
    <w:p w14:paraId="60953F33" w14:textId="77777777" w:rsidR="00271B22" w:rsidRPr="00271B22" w:rsidRDefault="00271B22" w:rsidP="00271B22">
      <w:pPr>
        <w:spacing w:after="0"/>
        <w:rPr>
          <w:sz w:val="24"/>
          <w:szCs w:val="24"/>
          <w:u w:val="single"/>
        </w:rPr>
      </w:pPr>
      <w:r w:rsidRPr="00271B22">
        <w:rPr>
          <w:sz w:val="24"/>
          <w:szCs w:val="24"/>
          <w:u w:val="single"/>
        </w:rPr>
        <w:t xml:space="preserve">MCP-based SWAL: </w:t>
      </w:r>
    </w:p>
    <w:p w14:paraId="7A905DF8" w14:textId="64B5F6E8" w:rsidR="006E3B97" w:rsidRPr="000D3483" w:rsidRDefault="006E3B97" w:rsidP="000D3483">
      <w:pPr>
        <w:pStyle w:val="ListParagraph"/>
        <w:numPr>
          <w:ilvl w:val="0"/>
          <w:numId w:val="34"/>
        </w:numPr>
        <w:spacing w:line="240" w:lineRule="auto"/>
        <w:jc w:val="both"/>
        <w:rPr>
          <w:sz w:val="24"/>
          <w:szCs w:val="24"/>
        </w:rPr>
      </w:pPr>
      <w:r w:rsidRPr="000D3483">
        <w:rPr>
          <w:sz w:val="24"/>
          <w:szCs w:val="24"/>
        </w:rPr>
        <w:t xml:space="preserve">In the absence of </w:t>
      </w:r>
      <w:r w:rsidR="00271B22" w:rsidRPr="000D3483">
        <w:rPr>
          <w:sz w:val="24"/>
          <w:szCs w:val="24"/>
        </w:rPr>
        <w:t>M</w:t>
      </w:r>
      <w:r w:rsidR="002E410E" w:rsidRPr="000D3483">
        <w:rPr>
          <w:sz w:val="24"/>
          <w:szCs w:val="24"/>
        </w:rPr>
        <w:t>C</w:t>
      </w:r>
      <w:r w:rsidR="00271B22" w:rsidRPr="000D3483">
        <w:rPr>
          <w:sz w:val="24"/>
          <w:szCs w:val="24"/>
        </w:rPr>
        <w:t>P</w:t>
      </w:r>
      <w:r w:rsidRPr="000D3483">
        <w:rPr>
          <w:sz w:val="24"/>
          <w:szCs w:val="24"/>
        </w:rPr>
        <w:t xml:space="preserve"> guidance</w:t>
      </w:r>
      <w:r w:rsidR="00271B22" w:rsidRPr="000D3483">
        <w:rPr>
          <w:sz w:val="24"/>
          <w:szCs w:val="24"/>
        </w:rPr>
        <w:t>, an IR of 0.152 L/hour is used for all age groups.</w:t>
      </w:r>
    </w:p>
    <w:p w14:paraId="5297B596" w14:textId="77777777" w:rsidR="007821BD" w:rsidRPr="00271B22" w:rsidRDefault="007821BD" w:rsidP="00271B22">
      <w:pPr>
        <w:rPr>
          <w:sz w:val="24"/>
          <w:szCs w:val="24"/>
        </w:rPr>
      </w:pPr>
    </w:p>
    <w:p w14:paraId="0CDD8FE5" w14:textId="77777777" w:rsidR="007821BD" w:rsidRDefault="007821BD" w:rsidP="000D3483">
      <w:pPr>
        <w:pStyle w:val="Heading2"/>
        <w:sectPr w:rsidR="007821BD" w:rsidSect="00E404A9">
          <w:headerReference w:type="default" r:id="rId24"/>
          <w:pgSz w:w="12240" w:h="15840" w:code="1"/>
          <w:pgMar w:top="720" w:right="720" w:bottom="720" w:left="720" w:header="720" w:footer="720" w:gutter="0"/>
          <w:cols w:space="720"/>
          <w:docGrid w:linePitch="360"/>
        </w:sectPr>
      </w:pPr>
    </w:p>
    <w:p w14:paraId="7C340CAC" w14:textId="2CA2AB9B" w:rsidR="007821BD" w:rsidRPr="002F4427" w:rsidRDefault="002F4427" w:rsidP="002F4427">
      <w:pPr>
        <w:spacing w:after="0"/>
        <w:rPr>
          <w:b/>
          <w:bCs/>
          <w:sz w:val="24"/>
          <w:szCs w:val="24"/>
        </w:rPr>
      </w:pPr>
      <w:r w:rsidRPr="002F4427">
        <w:rPr>
          <w:b/>
          <w:bCs/>
          <w:sz w:val="24"/>
          <w:szCs w:val="24"/>
        </w:rPr>
        <w:t>Table A.</w:t>
      </w:r>
      <w:r w:rsidR="00846B34">
        <w:rPr>
          <w:b/>
          <w:bCs/>
          <w:sz w:val="24"/>
          <w:szCs w:val="24"/>
        </w:rPr>
        <w:t>4</w:t>
      </w:r>
      <w:r w:rsidRPr="002F4427">
        <w:rPr>
          <w:b/>
          <w:bCs/>
          <w:sz w:val="24"/>
          <w:szCs w:val="24"/>
        </w:rPr>
        <w:t xml:space="preserve"> Swim Frequency</w:t>
      </w:r>
    </w:p>
    <w:tbl>
      <w:tblPr>
        <w:tblW w:w="19160" w:type="dxa"/>
        <w:tblLook w:val="04A0" w:firstRow="1" w:lastRow="0" w:firstColumn="1" w:lastColumn="0" w:noHBand="0" w:noVBand="1"/>
      </w:tblPr>
      <w:tblGrid>
        <w:gridCol w:w="96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tblGrid>
      <w:tr w:rsidR="002F4427" w:rsidRPr="002F4427" w14:paraId="0A59CEA2" w14:textId="77777777" w:rsidTr="009500B2">
        <w:trPr>
          <w:trHeight w:val="290"/>
        </w:trPr>
        <w:tc>
          <w:tcPr>
            <w:tcW w:w="19160" w:type="dxa"/>
            <w:gridSpan w:val="27"/>
            <w:tcBorders>
              <w:top w:val="single" w:sz="4" w:space="0" w:color="auto"/>
              <w:left w:val="nil"/>
              <w:bottom w:val="nil"/>
              <w:right w:val="nil"/>
            </w:tcBorders>
            <w:shd w:val="clear" w:color="auto" w:fill="auto"/>
            <w:noWrap/>
            <w:vAlign w:val="bottom"/>
          </w:tcPr>
          <w:p w14:paraId="283B69E2" w14:textId="625C2281" w:rsidR="002F4427" w:rsidRPr="002F4427" w:rsidRDefault="002F4427" w:rsidP="002F442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Times Swimming/Month </w:t>
            </w:r>
            <w:r w:rsidRPr="002F4427">
              <w:rPr>
                <w:rFonts w:ascii="Calibri" w:eastAsia="Times New Roman" w:hAnsi="Calibri" w:cs="Calibri"/>
                <w:color w:val="000000"/>
              </w:rPr>
              <w:t xml:space="preserve">(data from </w:t>
            </w:r>
            <w:r w:rsidR="0037742F">
              <w:rPr>
                <w:rFonts w:ascii="Calibri" w:eastAsia="Times New Roman" w:hAnsi="Calibri" w:cs="Calibri"/>
                <w:color w:val="000000"/>
              </w:rPr>
              <w:t xml:space="preserve">US EPA, 1996: </w:t>
            </w:r>
            <w:r w:rsidRPr="002F4427">
              <w:rPr>
                <w:rFonts w:ascii="Calibri" w:eastAsia="Times New Roman" w:hAnsi="Calibri" w:cs="Calibri"/>
                <w:color w:val="000000"/>
              </w:rPr>
              <w:t>“</w:t>
            </w:r>
            <w:r w:rsidR="00304037" w:rsidRPr="00304037">
              <w:rPr>
                <w:rFonts w:ascii="Calibri" w:eastAsia="Times New Roman" w:hAnsi="Calibri" w:cs="Calibri"/>
                <w:color w:val="000000"/>
              </w:rPr>
              <w:t>Descriptive Statistics Tables from a Detailed Analysis of the National Human Activity Pattern Survey (NHAPS) Data" Table QBS-17g</w:t>
            </w:r>
            <w:r w:rsidR="00304037">
              <w:rPr>
                <w:rFonts w:ascii="Calibri" w:eastAsia="Times New Roman" w:hAnsi="Calibri" w:cs="Calibri"/>
                <w:color w:val="000000"/>
              </w:rPr>
              <w:t>)</w:t>
            </w:r>
          </w:p>
        </w:tc>
      </w:tr>
      <w:tr w:rsidR="002F4427" w:rsidRPr="002F4427" w14:paraId="152A951E" w14:textId="77777777" w:rsidTr="002F4427">
        <w:trPr>
          <w:trHeight w:val="290"/>
        </w:trPr>
        <w:tc>
          <w:tcPr>
            <w:tcW w:w="960" w:type="dxa"/>
            <w:tcBorders>
              <w:top w:val="single" w:sz="4" w:space="0" w:color="auto"/>
              <w:left w:val="nil"/>
              <w:bottom w:val="nil"/>
              <w:right w:val="nil"/>
            </w:tcBorders>
            <w:shd w:val="clear" w:color="auto" w:fill="D9D9D9" w:themeFill="background1" w:themeFillShade="D9"/>
            <w:noWrap/>
            <w:vAlign w:val="bottom"/>
            <w:hideMark/>
          </w:tcPr>
          <w:p w14:paraId="6645EAC5"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Age</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234C6BBF" w14:textId="77777777" w:rsidR="002F4427" w:rsidRPr="002F4427" w:rsidRDefault="002F4427" w:rsidP="002F4427">
            <w:pPr>
              <w:spacing w:after="0" w:line="240" w:lineRule="auto"/>
              <w:jc w:val="center"/>
              <w:rPr>
                <w:rFonts w:ascii="Calibri" w:eastAsia="Times New Roman" w:hAnsi="Calibri" w:cs="Calibri"/>
                <w:b/>
                <w:bCs/>
                <w:i/>
                <w:iCs/>
                <w:color w:val="000000"/>
              </w:rPr>
            </w:pPr>
            <w:r w:rsidRPr="002F4427">
              <w:rPr>
                <w:rFonts w:ascii="Calibri" w:eastAsia="Times New Roman" w:hAnsi="Calibri" w:cs="Calibri"/>
                <w:b/>
                <w:bCs/>
                <w:i/>
                <w:iCs/>
                <w:color w:val="000000"/>
              </w:rPr>
              <w:t>n</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45CE529B"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1743E472"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229F9E9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3</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6094C586"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4</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466A9360"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5</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01A4A0B9"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6</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23B67A54"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7</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2A7FA6EF"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8</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7E33E990"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9</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28942D7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10</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57A1F37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11</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7B0715D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12</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59DED178"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13</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5416D11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14</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0A6154A7"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15</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52F93B98"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16</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3E702783"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18</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6FA898A4"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20</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31F4B36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23</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13945383"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24</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3C54862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25</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11AC7864"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26</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20935A77"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28</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50023B4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29</w:t>
            </w:r>
          </w:p>
        </w:tc>
        <w:tc>
          <w:tcPr>
            <w:tcW w:w="700" w:type="dxa"/>
            <w:tcBorders>
              <w:top w:val="single" w:sz="4" w:space="0" w:color="auto"/>
              <w:left w:val="nil"/>
              <w:bottom w:val="nil"/>
              <w:right w:val="nil"/>
            </w:tcBorders>
            <w:shd w:val="clear" w:color="auto" w:fill="D9D9D9" w:themeFill="background1" w:themeFillShade="D9"/>
            <w:noWrap/>
            <w:vAlign w:val="center"/>
            <w:hideMark/>
          </w:tcPr>
          <w:p w14:paraId="00AA0265"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30</w:t>
            </w:r>
          </w:p>
        </w:tc>
      </w:tr>
      <w:tr w:rsidR="002F4427" w:rsidRPr="002F4427" w14:paraId="5BB33E50" w14:textId="77777777" w:rsidTr="002F4427">
        <w:trPr>
          <w:trHeight w:val="290"/>
        </w:trPr>
        <w:tc>
          <w:tcPr>
            <w:tcW w:w="960" w:type="dxa"/>
            <w:tcBorders>
              <w:top w:val="nil"/>
              <w:left w:val="nil"/>
              <w:bottom w:val="nil"/>
              <w:right w:val="nil"/>
            </w:tcBorders>
            <w:shd w:val="clear" w:color="auto" w:fill="auto"/>
            <w:noWrap/>
            <w:vAlign w:val="bottom"/>
            <w:hideMark/>
          </w:tcPr>
          <w:p w14:paraId="1DA74AC3"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1-4</w:t>
            </w:r>
          </w:p>
        </w:tc>
        <w:tc>
          <w:tcPr>
            <w:tcW w:w="700" w:type="dxa"/>
            <w:tcBorders>
              <w:top w:val="nil"/>
              <w:left w:val="nil"/>
              <w:bottom w:val="nil"/>
              <w:right w:val="nil"/>
            </w:tcBorders>
            <w:shd w:val="clear" w:color="auto" w:fill="auto"/>
            <w:noWrap/>
            <w:vAlign w:val="center"/>
            <w:hideMark/>
          </w:tcPr>
          <w:p w14:paraId="35EBD5EC"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63</w:t>
            </w:r>
          </w:p>
        </w:tc>
        <w:tc>
          <w:tcPr>
            <w:tcW w:w="700" w:type="dxa"/>
            <w:tcBorders>
              <w:top w:val="nil"/>
              <w:left w:val="nil"/>
              <w:bottom w:val="nil"/>
              <w:right w:val="nil"/>
            </w:tcBorders>
            <w:shd w:val="clear" w:color="auto" w:fill="auto"/>
            <w:noWrap/>
            <w:vAlign w:val="center"/>
            <w:hideMark/>
          </w:tcPr>
          <w:p w14:paraId="337A8DF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11</w:t>
            </w:r>
          </w:p>
        </w:tc>
        <w:tc>
          <w:tcPr>
            <w:tcW w:w="700" w:type="dxa"/>
            <w:tcBorders>
              <w:top w:val="nil"/>
              <w:left w:val="nil"/>
              <w:bottom w:val="nil"/>
              <w:right w:val="nil"/>
            </w:tcBorders>
            <w:shd w:val="clear" w:color="auto" w:fill="auto"/>
            <w:noWrap/>
            <w:vAlign w:val="center"/>
            <w:hideMark/>
          </w:tcPr>
          <w:p w14:paraId="7FA5535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14</w:t>
            </w:r>
          </w:p>
        </w:tc>
        <w:tc>
          <w:tcPr>
            <w:tcW w:w="700" w:type="dxa"/>
            <w:tcBorders>
              <w:top w:val="nil"/>
              <w:left w:val="nil"/>
              <w:bottom w:val="nil"/>
              <w:right w:val="nil"/>
            </w:tcBorders>
            <w:shd w:val="clear" w:color="auto" w:fill="auto"/>
            <w:noWrap/>
            <w:vAlign w:val="center"/>
            <w:hideMark/>
          </w:tcPr>
          <w:p w14:paraId="047AE7D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w:t>
            </w:r>
          </w:p>
        </w:tc>
        <w:tc>
          <w:tcPr>
            <w:tcW w:w="700" w:type="dxa"/>
            <w:tcBorders>
              <w:top w:val="nil"/>
              <w:left w:val="nil"/>
              <w:bottom w:val="nil"/>
              <w:right w:val="nil"/>
            </w:tcBorders>
            <w:shd w:val="clear" w:color="auto" w:fill="auto"/>
            <w:noWrap/>
            <w:vAlign w:val="center"/>
            <w:hideMark/>
          </w:tcPr>
          <w:p w14:paraId="7A1C84E8"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w:t>
            </w:r>
          </w:p>
        </w:tc>
        <w:tc>
          <w:tcPr>
            <w:tcW w:w="700" w:type="dxa"/>
            <w:tcBorders>
              <w:top w:val="nil"/>
              <w:left w:val="nil"/>
              <w:bottom w:val="nil"/>
              <w:right w:val="nil"/>
            </w:tcBorders>
            <w:shd w:val="clear" w:color="auto" w:fill="auto"/>
            <w:noWrap/>
            <w:vAlign w:val="center"/>
            <w:hideMark/>
          </w:tcPr>
          <w:p w14:paraId="3323B0C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w:t>
            </w:r>
          </w:p>
        </w:tc>
        <w:tc>
          <w:tcPr>
            <w:tcW w:w="700" w:type="dxa"/>
            <w:tcBorders>
              <w:top w:val="nil"/>
              <w:left w:val="nil"/>
              <w:bottom w:val="nil"/>
              <w:right w:val="nil"/>
            </w:tcBorders>
            <w:shd w:val="clear" w:color="auto" w:fill="auto"/>
            <w:noWrap/>
            <w:vAlign w:val="center"/>
            <w:hideMark/>
          </w:tcPr>
          <w:p w14:paraId="7B412C0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w:t>
            </w:r>
          </w:p>
        </w:tc>
        <w:tc>
          <w:tcPr>
            <w:tcW w:w="700" w:type="dxa"/>
            <w:tcBorders>
              <w:top w:val="nil"/>
              <w:left w:val="nil"/>
              <w:bottom w:val="nil"/>
              <w:right w:val="nil"/>
            </w:tcBorders>
            <w:shd w:val="clear" w:color="auto" w:fill="auto"/>
            <w:noWrap/>
            <w:vAlign w:val="center"/>
            <w:hideMark/>
          </w:tcPr>
          <w:p w14:paraId="0E43578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nil"/>
              <w:right w:val="nil"/>
            </w:tcBorders>
            <w:shd w:val="clear" w:color="auto" w:fill="auto"/>
            <w:noWrap/>
            <w:vAlign w:val="center"/>
            <w:hideMark/>
          </w:tcPr>
          <w:p w14:paraId="4880714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w:t>
            </w:r>
          </w:p>
        </w:tc>
        <w:tc>
          <w:tcPr>
            <w:tcW w:w="700" w:type="dxa"/>
            <w:tcBorders>
              <w:top w:val="nil"/>
              <w:left w:val="nil"/>
              <w:bottom w:val="nil"/>
              <w:right w:val="nil"/>
            </w:tcBorders>
            <w:shd w:val="clear" w:color="auto" w:fill="auto"/>
            <w:noWrap/>
            <w:vAlign w:val="center"/>
            <w:hideMark/>
          </w:tcPr>
          <w:p w14:paraId="0286E8A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nil"/>
              <w:right w:val="nil"/>
            </w:tcBorders>
            <w:shd w:val="clear" w:color="auto" w:fill="auto"/>
            <w:noWrap/>
            <w:vAlign w:val="center"/>
            <w:hideMark/>
          </w:tcPr>
          <w:p w14:paraId="0C98B83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w:t>
            </w:r>
          </w:p>
        </w:tc>
        <w:tc>
          <w:tcPr>
            <w:tcW w:w="700" w:type="dxa"/>
            <w:tcBorders>
              <w:top w:val="nil"/>
              <w:left w:val="nil"/>
              <w:bottom w:val="nil"/>
              <w:right w:val="nil"/>
            </w:tcBorders>
            <w:shd w:val="clear" w:color="auto" w:fill="auto"/>
            <w:noWrap/>
            <w:vAlign w:val="center"/>
            <w:hideMark/>
          </w:tcPr>
          <w:p w14:paraId="59E01CDA"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05BFC63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bottom w:val="nil"/>
              <w:right w:val="nil"/>
            </w:tcBorders>
            <w:shd w:val="clear" w:color="auto" w:fill="auto"/>
            <w:noWrap/>
            <w:vAlign w:val="center"/>
            <w:hideMark/>
          </w:tcPr>
          <w:p w14:paraId="2924975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nil"/>
              <w:right w:val="nil"/>
            </w:tcBorders>
            <w:shd w:val="clear" w:color="auto" w:fill="auto"/>
            <w:noWrap/>
            <w:vAlign w:val="center"/>
            <w:hideMark/>
          </w:tcPr>
          <w:p w14:paraId="7BCE5FC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nil"/>
              <w:right w:val="nil"/>
            </w:tcBorders>
            <w:shd w:val="clear" w:color="auto" w:fill="auto"/>
            <w:noWrap/>
            <w:vAlign w:val="center"/>
            <w:hideMark/>
          </w:tcPr>
          <w:p w14:paraId="373E706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bottom w:val="nil"/>
              <w:right w:val="nil"/>
            </w:tcBorders>
            <w:shd w:val="clear" w:color="auto" w:fill="auto"/>
            <w:noWrap/>
            <w:vAlign w:val="center"/>
            <w:hideMark/>
          </w:tcPr>
          <w:p w14:paraId="716BD28C"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5079339A"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54BD86C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bottom w:val="nil"/>
              <w:right w:val="nil"/>
            </w:tcBorders>
            <w:shd w:val="clear" w:color="auto" w:fill="auto"/>
            <w:noWrap/>
            <w:vAlign w:val="center"/>
            <w:hideMark/>
          </w:tcPr>
          <w:p w14:paraId="05E7F5A8"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2EC7E973"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4653BC31"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15676E5B"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3C0168A2"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1D17E4F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nil"/>
              <w:right w:val="nil"/>
            </w:tcBorders>
            <w:shd w:val="clear" w:color="auto" w:fill="auto"/>
            <w:noWrap/>
            <w:vAlign w:val="center"/>
            <w:hideMark/>
          </w:tcPr>
          <w:p w14:paraId="38B6E67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r>
      <w:tr w:rsidR="002F4427" w:rsidRPr="002F4427" w14:paraId="34DCFEE6" w14:textId="77777777" w:rsidTr="002F4427">
        <w:trPr>
          <w:trHeight w:val="290"/>
        </w:trPr>
        <w:tc>
          <w:tcPr>
            <w:tcW w:w="960" w:type="dxa"/>
            <w:tcBorders>
              <w:top w:val="nil"/>
              <w:left w:val="nil"/>
              <w:bottom w:val="nil"/>
              <w:right w:val="nil"/>
            </w:tcBorders>
            <w:shd w:val="clear" w:color="auto" w:fill="auto"/>
            <w:noWrap/>
            <w:vAlign w:val="bottom"/>
            <w:hideMark/>
          </w:tcPr>
          <w:p w14:paraId="066A64EC"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5-11</w:t>
            </w:r>
          </w:p>
        </w:tc>
        <w:tc>
          <w:tcPr>
            <w:tcW w:w="700" w:type="dxa"/>
            <w:tcBorders>
              <w:top w:val="nil"/>
              <w:left w:val="nil"/>
              <w:bottom w:val="nil"/>
              <w:right w:val="nil"/>
            </w:tcBorders>
            <w:shd w:val="clear" w:color="auto" w:fill="auto"/>
            <w:noWrap/>
            <w:vAlign w:val="center"/>
            <w:hideMark/>
          </w:tcPr>
          <w:p w14:paraId="3AAE6DC1"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100</w:t>
            </w:r>
          </w:p>
        </w:tc>
        <w:tc>
          <w:tcPr>
            <w:tcW w:w="700" w:type="dxa"/>
            <w:tcBorders>
              <w:top w:val="nil"/>
              <w:left w:val="nil"/>
              <w:bottom w:val="nil"/>
              <w:right w:val="nil"/>
            </w:tcBorders>
            <w:shd w:val="clear" w:color="auto" w:fill="auto"/>
            <w:noWrap/>
            <w:vAlign w:val="center"/>
            <w:hideMark/>
          </w:tcPr>
          <w:p w14:paraId="50B54B8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16</w:t>
            </w:r>
          </w:p>
        </w:tc>
        <w:tc>
          <w:tcPr>
            <w:tcW w:w="700" w:type="dxa"/>
            <w:tcBorders>
              <w:top w:val="nil"/>
              <w:left w:val="nil"/>
              <w:bottom w:val="nil"/>
              <w:right w:val="nil"/>
            </w:tcBorders>
            <w:shd w:val="clear" w:color="auto" w:fill="auto"/>
            <w:noWrap/>
            <w:vAlign w:val="center"/>
            <w:hideMark/>
          </w:tcPr>
          <w:p w14:paraId="562009C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15</w:t>
            </w:r>
          </w:p>
        </w:tc>
        <w:tc>
          <w:tcPr>
            <w:tcW w:w="700" w:type="dxa"/>
            <w:tcBorders>
              <w:top w:val="nil"/>
              <w:left w:val="nil"/>
              <w:bottom w:val="nil"/>
              <w:right w:val="nil"/>
            </w:tcBorders>
            <w:shd w:val="clear" w:color="auto" w:fill="auto"/>
            <w:noWrap/>
            <w:vAlign w:val="center"/>
            <w:hideMark/>
          </w:tcPr>
          <w:p w14:paraId="26251CC6"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w:t>
            </w:r>
          </w:p>
        </w:tc>
        <w:tc>
          <w:tcPr>
            <w:tcW w:w="700" w:type="dxa"/>
            <w:tcBorders>
              <w:top w:val="nil"/>
              <w:left w:val="nil"/>
              <w:bottom w:val="nil"/>
              <w:right w:val="nil"/>
            </w:tcBorders>
            <w:shd w:val="clear" w:color="auto" w:fill="auto"/>
            <w:noWrap/>
            <w:vAlign w:val="center"/>
            <w:hideMark/>
          </w:tcPr>
          <w:p w14:paraId="78CD91D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9</w:t>
            </w:r>
          </w:p>
        </w:tc>
        <w:tc>
          <w:tcPr>
            <w:tcW w:w="700" w:type="dxa"/>
            <w:tcBorders>
              <w:top w:val="nil"/>
              <w:left w:val="nil"/>
              <w:bottom w:val="nil"/>
              <w:right w:val="nil"/>
            </w:tcBorders>
            <w:shd w:val="clear" w:color="auto" w:fill="auto"/>
            <w:noWrap/>
            <w:vAlign w:val="center"/>
            <w:hideMark/>
          </w:tcPr>
          <w:p w14:paraId="01611B56"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6</w:t>
            </w:r>
          </w:p>
        </w:tc>
        <w:tc>
          <w:tcPr>
            <w:tcW w:w="700" w:type="dxa"/>
            <w:tcBorders>
              <w:top w:val="nil"/>
              <w:left w:val="nil"/>
              <w:bottom w:val="nil"/>
              <w:right w:val="nil"/>
            </w:tcBorders>
            <w:shd w:val="clear" w:color="auto" w:fill="auto"/>
            <w:noWrap/>
            <w:vAlign w:val="center"/>
            <w:hideMark/>
          </w:tcPr>
          <w:p w14:paraId="05625C2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w:t>
            </w:r>
          </w:p>
        </w:tc>
        <w:tc>
          <w:tcPr>
            <w:tcW w:w="700" w:type="dxa"/>
            <w:tcBorders>
              <w:top w:val="nil"/>
              <w:left w:val="nil"/>
              <w:bottom w:val="nil"/>
              <w:right w:val="nil"/>
            </w:tcBorders>
            <w:shd w:val="clear" w:color="auto" w:fill="auto"/>
            <w:noWrap/>
            <w:vAlign w:val="center"/>
            <w:hideMark/>
          </w:tcPr>
          <w:p w14:paraId="2975261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bottom w:val="nil"/>
              <w:right w:val="nil"/>
            </w:tcBorders>
            <w:shd w:val="clear" w:color="auto" w:fill="auto"/>
            <w:noWrap/>
            <w:vAlign w:val="center"/>
            <w:hideMark/>
          </w:tcPr>
          <w:p w14:paraId="0E425BD6"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w:t>
            </w:r>
          </w:p>
        </w:tc>
        <w:tc>
          <w:tcPr>
            <w:tcW w:w="700" w:type="dxa"/>
            <w:tcBorders>
              <w:top w:val="nil"/>
              <w:left w:val="nil"/>
              <w:bottom w:val="nil"/>
              <w:right w:val="nil"/>
            </w:tcBorders>
            <w:shd w:val="clear" w:color="auto" w:fill="auto"/>
            <w:noWrap/>
            <w:vAlign w:val="center"/>
            <w:hideMark/>
          </w:tcPr>
          <w:p w14:paraId="22C9EC62"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377E404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w:t>
            </w:r>
          </w:p>
        </w:tc>
        <w:tc>
          <w:tcPr>
            <w:tcW w:w="700" w:type="dxa"/>
            <w:tcBorders>
              <w:top w:val="nil"/>
              <w:left w:val="nil"/>
              <w:bottom w:val="nil"/>
              <w:right w:val="nil"/>
            </w:tcBorders>
            <w:shd w:val="clear" w:color="auto" w:fill="auto"/>
            <w:noWrap/>
            <w:vAlign w:val="center"/>
            <w:hideMark/>
          </w:tcPr>
          <w:p w14:paraId="0175EA96"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23B52A0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5</w:t>
            </w:r>
          </w:p>
        </w:tc>
        <w:tc>
          <w:tcPr>
            <w:tcW w:w="700" w:type="dxa"/>
            <w:tcBorders>
              <w:top w:val="nil"/>
              <w:left w:val="nil"/>
              <w:bottom w:val="nil"/>
              <w:right w:val="nil"/>
            </w:tcBorders>
            <w:shd w:val="clear" w:color="auto" w:fill="auto"/>
            <w:noWrap/>
            <w:vAlign w:val="center"/>
            <w:hideMark/>
          </w:tcPr>
          <w:p w14:paraId="781AF8FB"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3DCEACBB"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3CC5679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11</w:t>
            </w:r>
          </w:p>
        </w:tc>
        <w:tc>
          <w:tcPr>
            <w:tcW w:w="700" w:type="dxa"/>
            <w:tcBorders>
              <w:top w:val="nil"/>
              <w:left w:val="nil"/>
              <w:bottom w:val="nil"/>
              <w:right w:val="nil"/>
            </w:tcBorders>
            <w:shd w:val="clear" w:color="auto" w:fill="auto"/>
            <w:noWrap/>
            <w:vAlign w:val="center"/>
            <w:hideMark/>
          </w:tcPr>
          <w:p w14:paraId="7C24B82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bottom w:val="nil"/>
              <w:right w:val="nil"/>
            </w:tcBorders>
            <w:shd w:val="clear" w:color="auto" w:fill="auto"/>
            <w:noWrap/>
            <w:vAlign w:val="center"/>
            <w:hideMark/>
          </w:tcPr>
          <w:p w14:paraId="27BA2410"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2B06369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w:t>
            </w:r>
          </w:p>
        </w:tc>
        <w:tc>
          <w:tcPr>
            <w:tcW w:w="700" w:type="dxa"/>
            <w:tcBorders>
              <w:top w:val="nil"/>
              <w:left w:val="nil"/>
              <w:bottom w:val="nil"/>
              <w:right w:val="nil"/>
            </w:tcBorders>
            <w:shd w:val="clear" w:color="auto" w:fill="auto"/>
            <w:noWrap/>
            <w:vAlign w:val="center"/>
            <w:hideMark/>
          </w:tcPr>
          <w:p w14:paraId="2868B185"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536F086B"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nil"/>
              <w:right w:val="nil"/>
            </w:tcBorders>
            <w:shd w:val="clear" w:color="auto" w:fill="auto"/>
            <w:noWrap/>
            <w:vAlign w:val="center"/>
            <w:hideMark/>
          </w:tcPr>
          <w:p w14:paraId="65A2C73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bottom w:val="nil"/>
              <w:right w:val="nil"/>
            </w:tcBorders>
            <w:shd w:val="clear" w:color="auto" w:fill="auto"/>
            <w:noWrap/>
            <w:vAlign w:val="center"/>
            <w:hideMark/>
          </w:tcPr>
          <w:p w14:paraId="30C05FDE"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nil"/>
              <w:right w:val="nil"/>
            </w:tcBorders>
            <w:shd w:val="clear" w:color="auto" w:fill="auto"/>
            <w:noWrap/>
            <w:vAlign w:val="center"/>
            <w:hideMark/>
          </w:tcPr>
          <w:p w14:paraId="5F2AA2E9"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01B8A7A1"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center"/>
            <w:hideMark/>
          </w:tcPr>
          <w:p w14:paraId="24037CF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5</w:t>
            </w:r>
          </w:p>
        </w:tc>
      </w:tr>
      <w:tr w:rsidR="002F4427" w:rsidRPr="002F4427" w14:paraId="4D5244AA" w14:textId="77777777" w:rsidTr="002F4427">
        <w:trPr>
          <w:trHeight w:val="290"/>
        </w:trPr>
        <w:tc>
          <w:tcPr>
            <w:tcW w:w="960" w:type="dxa"/>
            <w:tcBorders>
              <w:top w:val="nil"/>
              <w:left w:val="nil"/>
              <w:right w:val="nil"/>
            </w:tcBorders>
            <w:shd w:val="clear" w:color="auto" w:fill="auto"/>
            <w:noWrap/>
            <w:vAlign w:val="bottom"/>
            <w:hideMark/>
          </w:tcPr>
          <w:p w14:paraId="1D2B83C4"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12-17</w:t>
            </w:r>
          </w:p>
        </w:tc>
        <w:tc>
          <w:tcPr>
            <w:tcW w:w="700" w:type="dxa"/>
            <w:tcBorders>
              <w:top w:val="nil"/>
              <w:left w:val="nil"/>
              <w:right w:val="nil"/>
            </w:tcBorders>
            <w:shd w:val="clear" w:color="auto" w:fill="auto"/>
            <w:noWrap/>
            <w:vAlign w:val="center"/>
            <w:hideMark/>
          </w:tcPr>
          <w:p w14:paraId="296AB140"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84</w:t>
            </w:r>
          </w:p>
        </w:tc>
        <w:tc>
          <w:tcPr>
            <w:tcW w:w="700" w:type="dxa"/>
            <w:tcBorders>
              <w:top w:val="nil"/>
              <w:left w:val="nil"/>
              <w:right w:val="nil"/>
            </w:tcBorders>
            <w:shd w:val="clear" w:color="auto" w:fill="auto"/>
            <w:noWrap/>
            <w:vAlign w:val="center"/>
            <w:hideMark/>
          </w:tcPr>
          <w:p w14:paraId="7D1E9CD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21</w:t>
            </w:r>
          </w:p>
        </w:tc>
        <w:tc>
          <w:tcPr>
            <w:tcW w:w="700" w:type="dxa"/>
            <w:tcBorders>
              <w:top w:val="nil"/>
              <w:left w:val="nil"/>
              <w:right w:val="nil"/>
            </w:tcBorders>
            <w:shd w:val="clear" w:color="auto" w:fill="auto"/>
            <w:noWrap/>
            <w:vAlign w:val="center"/>
            <w:hideMark/>
          </w:tcPr>
          <w:p w14:paraId="1A73037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13</w:t>
            </w:r>
          </w:p>
        </w:tc>
        <w:tc>
          <w:tcPr>
            <w:tcW w:w="700" w:type="dxa"/>
            <w:tcBorders>
              <w:top w:val="nil"/>
              <w:left w:val="nil"/>
              <w:right w:val="nil"/>
            </w:tcBorders>
            <w:shd w:val="clear" w:color="auto" w:fill="auto"/>
            <w:noWrap/>
            <w:vAlign w:val="center"/>
            <w:hideMark/>
          </w:tcPr>
          <w:p w14:paraId="495820A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w:t>
            </w:r>
          </w:p>
        </w:tc>
        <w:tc>
          <w:tcPr>
            <w:tcW w:w="700" w:type="dxa"/>
            <w:tcBorders>
              <w:top w:val="nil"/>
              <w:left w:val="nil"/>
              <w:right w:val="nil"/>
            </w:tcBorders>
            <w:shd w:val="clear" w:color="auto" w:fill="auto"/>
            <w:noWrap/>
            <w:vAlign w:val="center"/>
            <w:hideMark/>
          </w:tcPr>
          <w:p w14:paraId="54E88FC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w:t>
            </w:r>
          </w:p>
        </w:tc>
        <w:tc>
          <w:tcPr>
            <w:tcW w:w="700" w:type="dxa"/>
            <w:tcBorders>
              <w:top w:val="nil"/>
              <w:left w:val="nil"/>
              <w:right w:val="nil"/>
            </w:tcBorders>
            <w:shd w:val="clear" w:color="auto" w:fill="auto"/>
            <w:noWrap/>
            <w:vAlign w:val="center"/>
            <w:hideMark/>
          </w:tcPr>
          <w:p w14:paraId="78E00C6B"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8</w:t>
            </w:r>
          </w:p>
        </w:tc>
        <w:tc>
          <w:tcPr>
            <w:tcW w:w="700" w:type="dxa"/>
            <w:tcBorders>
              <w:top w:val="nil"/>
              <w:left w:val="nil"/>
              <w:right w:val="nil"/>
            </w:tcBorders>
            <w:shd w:val="clear" w:color="auto" w:fill="auto"/>
            <w:noWrap/>
            <w:vAlign w:val="center"/>
            <w:hideMark/>
          </w:tcPr>
          <w:p w14:paraId="46496A3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w:t>
            </w:r>
          </w:p>
        </w:tc>
        <w:tc>
          <w:tcPr>
            <w:tcW w:w="700" w:type="dxa"/>
            <w:tcBorders>
              <w:top w:val="nil"/>
              <w:left w:val="nil"/>
              <w:right w:val="nil"/>
            </w:tcBorders>
            <w:shd w:val="clear" w:color="auto" w:fill="auto"/>
            <w:noWrap/>
            <w:vAlign w:val="center"/>
            <w:hideMark/>
          </w:tcPr>
          <w:p w14:paraId="097DB2A8"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right w:val="nil"/>
            </w:tcBorders>
            <w:shd w:val="clear" w:color="auto" w:fill="auto"/>
            <w:noWrap/>
            <w:vAlign w:val="center"/>
            <w:hideMark/>
          </w:tcPr>
          <w:p w14:paraId="363B7A4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w:t>
            </w:r>
          </w:p>
        </w:tc>
        <w:tc>
          <w:tcPr>
            <w:tcW w:w="700" w:type="dxa"/>
            <w:tcBorders>
              <w:top w:val="nil"/>
              <w:left w:val="nil"/>
              <w:right w:val="nil"/>
            </w:tcBorders>
            <w:shd w:val="clear" w:color="auto" w:fill="auto"/>
            <w:noWrap/>
            <w:vAlign w:val="center"/>
            <w:hideMark/>
          </w:tcPr>
          <w:p w14:paraId="22CDAAF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right w:val="nil"/>
            </w:tcBorders>
            <w:shd w:val="clear" w:color="auto" w:fill="auto"/>
            <w:noWrap/>
            <w:vAlign w:val="center"/>
            <w:hideMark/>
          </w:tcPr>
          <w:p w14:paraId="472484A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8</w:t>
            </w:r>
          </w:p>
        </w:tc>
        <w:tc>
          <w:tcPr>
            <w:tcW w:w="700" w:type="dxa"/>
            <w:tcBorders>
              <w:top w:val="nil"/>
              <w:left w:val="nil"/>
              <w:right w:val="nil"/>
            </w:tcBorders>
            <w:shd w:val="clear" w:color="auto" w:fill="auto"/>
            <w:noWrap/>
            <w:vAlign w:val="center"/>
            <w:hideMark/>
          </w:tcPr>
          <w:p w14:paraId="5F028423"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right w:val="nil"/>
            </w:tcBorders>
            <w:shd w:val="clear" w:color="auto" w:fill="auto"/>
            <w:noWrap/>
            <w:vAlign w:val="center"/>
            <w:hideMark/>
          </w:tcPr>
          <w:p w14:paraId="7E9421C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right w:val="nil"/>
            </w:tcBorders>
            <w:shd w:val="clear" w:color="auto" w:fill="auto"/>
            <w:noWrap/>
            <w:vAlign w:val="center"/>
            <w:hideMark/>
          </w:tcPr>
          <w:p w14:paraId="13DFF0A9"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right w:val="nil"/>
            </w:tcBorders>
            <w:shd w:val="clear" w:color="auto" w:fill="auto"/>
            <w:noWrap/>
            <w:vAlign w:val="center"/>
            <w:hideMark/>
          </w:tcPr>
          <w:p w14:paraId="11204D80"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right w:val="nil"/>
            </w:tcBorders>
            <w:shd w:val="clear" w:color="auto" w:fill="auto"/>
            <w:noWrap/>
            <w:vAlign w:val="center"/>
            <w:hideMark/>
          </w:tcPr>
          <w:p w14:paraId="1F49F3A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c>
          <w:tcPr>
            <w:tcW w:w="700" w:type="dxa"/>
            <w:tcBorders>
              <w:top w:val="nil"/>
              <w:left w:val="nil"/>
              <w:right w:val="nil"/>
            </w:tcBorders>
            <w:shd w:val="clear" w:color="auto" w:fill="auto"/>
            <w:noWrap/>
            <w:vAlign w:val="center"/>
            <w:hideMark/>
          </w:tcPr>
          <w:p w14:paraId="73142FF1"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right w:val="nil"/>
            </w:tcBorders>
            <w:shd w:val="clear" w:color="auto" w:fill="auto"/>
            <w:noWrap/>
            <w:vAlign w:val="center"/>
            <w:hideMark/>
          </w:tcPr>
          <w:p w14:paraId="6880233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right w:val="nil"/>
            </w:tcBorders>
            <w:shd w:val="clear" w:color="auto" w:fill="auto"/>
            <w:noWrap/>
            <w:vAlign w:val="center"/>
            <w:hideMark/>
          </w:tcPr>
          <w:p w14:paraId="16D2E55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w:t>
            </w:r>
          </w:p>
        </w:tc>
        <w:tc>
          <w:tcPr>
            <w:tcW w:w="700" w:type="dxa"/>
            <w:tcBorders>
              <w:top w:val="nil"/>
              <w:left w:val="nil"/>
              <w:right w:val="nil"/>
            </w:tcBorders>
            <w:shd w:val="clear" w:color="auto" w:fill="auto"/>
            <w:noWrap/>
            <w:vAlign w:val="center"/>
            <w:hideMark/>
          </w:tcPr>
          <w:p w14:paraId="33B532F1"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right w:val="nil"/>
            </w:tcBorders>
            <w:shd w:val="clear" w:color="auto" w:fill="auto"/>
            <w:noWrap/>
            <w:vAlign w:val="center"/>
            <w:hideMark/>
          </w:tcPr>
          <w:p w14:paraId="49701673"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right w:val="nil"/>
            </w:tcBorders>
            <w:shd w:val="clear" w:color="auto" w:fill="auto"/>
            <w:noWrap/>
            <w:vAlign w:val="center"/>
            <w:hideMark/>
          </w:tcPr>
          <w:p w14:paraId="6C1A1DE1"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right w:val="nil"/>
            </w:tcBorders>
            <w:shd w:val="clear" w:color="auto" w:fill="auto"/>
            <w:noWrap/>
            <w:vAlign w:val="center"/>
            <w:hideMark/>
          </w:tcPr>
          <w:p w14:paraId="40F9345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right w:val="nil"/>
            </w:tcBorders>
            <w:shd w:val="clear" w:color="auto" w:fill="auto"/>
            <w:noWrap/>
            <w:vAlign w:val="center"/>
            <w:hideMark/>
          </w:tcPr>
          <w:p w14:paraId="335A4507"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right w:val="nil"/>
            </w:tcBorders>
            <w:shd w:val="clear" w:color="auto" w:fill="auto"/>
            <w:noWrap/>
            <w:vAlign w:val="center"/>
            <w:hideMark/>
          </w:tcPr>
          <w:p w14:paraId="2916D956"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right w:val="nil"/>
            </w:tcBorders>
            <w:shd w:val="clear" w:color="auto" w:fill="auto"/>
            <w:noWrap/>
            <w:vAlign w:val="center"/>
            <w:hideMark/>
          </w:tcPr>
          <w:p w14:paraId="6C9C902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w:t>
            </w:r>
          </w:p>
        </w:tc>
      </w:tr>
      <w:tr w:rsidR="002F4427" w:rsidRPr="002F4427" w14:paraId="510E9BF0" w14:textId="77777777" w:rsidTr="002F4427">
        <w:trPr>
          <w:trHeight w:val="290"/>
        </w:trPr>
        <w:tc>
          <w:tcPr>
            <w:tcW w:w="960" w:type="dxa"/>
            <w:tcBorders>
              <w:top w:val="nil"/>
              <w:left w:val="nil"/>
              <w:bottom w:val="single" w:sz="4" w:space="0" w:color="auto"/>
              <w:right w:val="nil"/>
            </w:tcBorders>
            <w:shd w:val="clear" w:color="auto" w:fill="auto"/>
            <w:noWrap/>
            <w:vAlign w:val="bottom"/>
            <w:hideMark/>
          </w:tcPr>
          <w:p w14:paraId="6820FF34"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18-64</w:t>
            </w:r>
          </w:p>
        </w:tc>
        <w:tc>
          <w:tcPr>
            <w:tcW w:w="700" w:type="dxa"/>
            <w:tcBorders>
              <w:top w:val="nil"/>
              <w:left w:val="nil"/>
              <w:bottom w:val="single" w:sz="4" w:space="0" w:color="auto"/>
              <w:right w:val="nil"/>
            </w:tcBorders>
            <w:shd w:val="clear" w:color="auto" w:fill="auto"/>
            <w:noWrap/>
            <w:vAlign w:val="center"/>
            <w:hideMark/>
          </w:tcPr>
          <w:p w14:paraId="54EB58BD"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360</w:t>
            </w:r>
          </w:p>
        </w:tc>
        <w:tc>
          <w:tcPr>
            <w:tcW w:w="700" w:type="dxa"/>
            <w:tcBorders>
              <w:top w:val="nil"/>
              <w:left w:val="nil"/>
              <w:bottom w:val="single" w:sz="4" w:space="0" w:color="auto"/>
              <w:right w:val="nil"/>
            </w:tcBorders>
            <w:shd w:val="clear" w:color="auto" w:fill="auto"/>
            <w:noWrap/>
            <w:vAlign w:val="center"/>
            <w:hideMark/>
          </w:tcPr>
          <w:p w14:paraId="63B8253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86</w:t>
            </w:r>
          </w:p>
        </w:tc>
        <w:tc>
          <w:tcPr>
            <w:tcW w:w="700" w:type="dxa"/>
            <w:tcBorders>
              <w:top w:val="nil"/>
              <w:left w:val="nil"/>
              <w:bottom w:val="single" w:sz="4" w:space="0" w:color="auto"/>
              <w:right w:val="nil"/>
            </w:tcBorders>
            <w:shd w:val="clear" w:color="auto" w:fill="auto"/>
            <w:noWrap/>
            <w:vAlign w:val="center"/>
            <w:hideMark/>
          </w:tcPr>
          <w:p w14:paraId="2A79D2E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48</w:t>
            </w:r>
          </w:p>
        </w:tc>
        <w:tc>
          <w:tcPr>
            <w:tcW w:w="700" w:type="dxa"/>
            <w:tcBorders>
              <w:top w:val="nil"/>
              <w:left w:val="nil"/>
              <w:bottom w:val="single" w:sz="4" w:space="0" w:color="auto"/>
              <w:right w:val="nil"/>
            </w:tcBorders>
            <w:shd w:val="clear" w:color="auto" w:fill="auto"/>
            <w:noWrap/>
            <w:vAlign w:val="center"/>
            <w:hideMark/>
          </w:tcPr>
          <w:p w14:paraId="1E9BD848"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50</w:t>
            </w:r>
          </w:p>
        </w:tc>
        <w:tc>
          <w:tcPr>
            <w:tcW w:w="700" w:type="dxa"/>
            <w:tcBorders>
              <w:top w:val="nil"/>
              <w:left w:val="nil"/>
              <w:bottom w:val="single" w:sz="4" w:space="0" w:color="auto"/>
              <w:right w:val="nil"/>
            </w:tcBorders>
            <w:shd w:val="clear" w:color="auto" w:fill="auto"/>
            <w:noWrap/>
            <w:vAlign w:val="center"/>
            <w:hideMark/>
          </w:tcPr>
          <w:p w14:paraId="5BC5142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27</w:t>
            </w:r>
          </w:p>
        </w:tc>
        <w:tc>
          <w:tcPr>
            <w:tcW w:w="700" w:type="dxa"/>
            <w:tcBorders>
              <w:top w:val="nil"/>
              <w:left w:val="nil"/>
              <w:bottom w:val="single" w:sz="4" w:space="0" w:color="auto"/>
              <w:right w:val="nil"/>
            </w:tcBorders>
            <w:shd w:val="clear" w:color="auto" w:fill="auto"/>
            <w:noWrap/>
            <w:vAlign w:val="center"/>
            <w:hideMark/>
          </w:tcPr>
          <w:p w14:paraId="32A204E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22</w:t>
            </w:r>
          </w:p>
        </w:tc>
        <w:tc>
          <w:tcPr>
            <w:tcW w:w="700" w:type="dxa"/>
            <w:tcBorders>
              <w:top w:val="nil"/>
              <w:left w:val="nil"/>
              <w:bottom w:val="single" w:sz="4" w:space="0" w:color="auto"/>
              <w:right w:val="nil"/>
            </w:tcBorders>
            <w:shd w:val="clear" w:color="auto" w:fill="auto"/>
            <w:noWrap/>
            <w:vAlign w:val="center"/>
            <w:hideMark/>
          </w:tcPr>
          <w:p w14:paraId="0CA25C9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11</w:t>
            </w:r>
          </w:p>
        </w:tc>
        <w:tc>
          <w:tcPr>
            <w:tcW w:w="700" w:type="dxa"/>
            <w:tcBorders>
              <w:top w:val="nil"/>
              <w:left w:val="nil"/>
              <w:bottom w:val="single" w:sz="4" w:space="0" w:color="auto"/>
              <w:right w:val="nil"/>
            </w:tcBorders>
            <w:shd w:val="clear" w:color="auto" w:fill="auto"/>
            <w:noWrap/>
            <w:vAlign w:val="center"/>
            <w:hideMark/>
          </w:tcPr>
          <w:p w14:paraId="4BC61A4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5</w:t>
            </w:r>
          </w:p>
        </w:tc>
        <w:tc>
          <w:tcPr>
            <w:tcW w:w="700" w:type="dxa"/>
            <w:tcBorders>
              <w:top w:val="nil"/>
              <w:left w:val="nil"/>
              <w:bottom w:val="single" w:sz="4" w:space="0" w:color="auto"/>
              <w:right w:val="nil"/>
            </w:tcBorders>
            <w:shd w:val="clear" w:color="auto" w:fill="auto"/>
            <w:noWrap/>
            <w:vAlign w:val="center"/>
            <w:hideMark/>
          </w:tcPr>
          <w:p w14:paraId="09EB6D2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14</w:t>
            </w:r>
          </w:p>
        </w:tc>
        <w:tc>
          <w:tcPr>
            <w:tcW w:w="700" w:type="dxa"/>
            <w:tcBorders>
              <w:top w:val="nil"/>
              <w:left w:val="nil"/>
              <w:bottom w:val="single" w:sz="4" w:space="0" w:color="auto"/>
              <w:right w:val="nil"/>
            </w:tcBorders>
            <w:shd w:val="clear" w:color="auto" w:fill="auto"/>
            <w:noWrap/>
            <w:vAlign w:val="center"/>
            <w:hideMark/>
          </w:tcPr>
          <w:p w14:paraId="27C6B2E8"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single" w:sz="4" w:space="0" w:color="auto"/>
              <w:right w:val="nil"/>
            </w:tcBorders>
            <w:shd w:val="clear" w:color="auto" w:fill="auto"/>
            <w:noWrap/>
            <w:vAlign w:val="center"/>
            <w:hideMark/>
          </w:tcPr>
          <w:p w14:paraId="0CCA23E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18</w:t>
            </w:r>
          </w:p>
        </w:tc>
        <w:tc>
          <w:tcPr>
            <w:tcW w:w="700" w:type="dxa"/>
            <w:tcBorders>
              <w:top w:val="nil"/>
              <w:left w:val="nil"/>
              <w:bottom w:val="single" w:sz="4" w:space="0" w:color="auto"/>
              <w:right w:val="nil"/>
            </w:tcBorders>
            <w:shd w:val="clear" w:color="auto" w:fill="auto"/>
            <w:noWrap/>
            <w:vAlign w:val="center"/>
            <w:hideMark/>
          </w:tcPr>
          <w:p w14:paraId="41D13D66"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w:t>
            </w:r>
          </w:p>
        </w:tc>
        <w:tc>
          <w:tcPr>
            <w:tcW w:w="700" w:type="dxa"/>
            <w:tcBorders>
              <w:top w:val="nil"/>
              <w:left w:val="nil"/>
              <w:bottom w:val="single" w:sz="4" w:space="0" w:color="auto"/>
              <w:right w:val="nil"/>
            </w:tcBorders>
            <w:shd w:val="clear" w:color="auto" w:fill="auto"/>
            <w:noWrap/>
            <w:vAlign w:val="center"/>
            <w:hideMark/>
          </w:tcPr>
          <w:p w14:paraId="132D470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15</w:t>
            </w:r>
          </w:p>
        </w:tc>
        <w:tc>
          <w:tcPr>
            <w:tcW w:w="700" w:type="dxa"/>
            <w:tcBorders>
              <w:top w:val="nil"/>
              <w:left w:val="nil"/>
              <w:bottom w:val="single" w:sz="4" w:space="0" w:color="auto"/>
              <w:right w:val="nil"/>
            </w:tcBorders>
            <w:shd w:val="clear" w:color="auto" w:fill="auto"/>
            <w:noWrap/>
            <w:vAlign w:val="center"/>
            <w:hideMark/>
          </w:tcPr>
          <w:p w14:paraId="4B0A8A4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single" w:sz="4" w:space="0" w:color="auto"/>
              <w:right w:val="nil"/>
            </w:tcBorders>
            <w:shd w:val="clear" w:color="auto" w:fill="auto"/>
            <w:noWrap/>
            <w:vAlign w:val="center"/>
            <w:hideMark/>
          </w:tcPr>
          <w:p w14:paraId="6E6751C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single" w:sz="4" w:space="0" w:color="auto"/>
              <w:right w:val="nil"/>
            </w:tcBorders>
            <w:shd w:val="clear" w:color="auto" w:fill="auto"/>
            <w:noWrap/>
            <w:vAlign w:val="center"/>
            <w:hideMark/>
          </w:tcPr>
          <w:p w14:paraId="0CB941E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10</w:t>
            </w:r>
          </w:p>
        </w:tc>
        <w:tc>
          <w:tcPr>
            <w:tcW w:w="700" w:type="dxa"/>
            <w:tcBorders>
              <w:top w:val="nil"/>
              <w:left w:val="nil"/>
              <w:bottom w:val="single" w:sz="4" w:space="0" w:color="auto"/>
              <w:right w:val="nil"/>
            </w:tcBorders>
            <w:shd w:val="clear" w:color="auto" w:fill="auto"/>
            <w:noWrap/>
            <w:vAlign w:val="center"/>
            <w:hideMark/>
          </w:tcPr>
          <w:p w14:paraId="3A21B8BF"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single" w:sz="4" w:space="0" w:color="auto"/>
              <w:right w:val="nil"/>
            </w:tcBorders>
            <w:shd w:val="clear" w:color="auto" w:fill="auto"/>
            <w:noWrap/>
            <w:vAlign w:val="center"/>
            <w:hideMark/>
          </w:tcPr>
          <w:p w14:paraId="3AB946F6"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center"/>
            <w:hideMark/>
          </w:tcPr>
          <w:p w14:paraId="70E4217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15</w:t>
            </w:r>
          </w:p>
        </w:tc>
        <w:tc>
          <w:tcPr>
            <w:tcW w:w="700" w:type="dxa"/>
            <w:tcBorders>
              <w:top w:val="nil"/>
              <w:left w:val="nil"/>
              <w:bottom w:val="single" w:sz="4" w:space="0" w:color="auto"/>
              <w:right w:val="nil"/>
            </w:tcBorders>
            <w:shd w:val="clear" w:color="auto" w:fill="auto"/>
            <w:noWrap/>
            <w:vAlign w:val="center"/>
            <w:hideMark/>
          </w:tcPr>
          <w:p w14:paraId="7AE47A6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single" w:sz="4" w:space="0" w:color="auto"/>
              <w:right w:val="nil"/>
            </w:tcBorders>
            <w:shd w:val="clear" w:color="auto" w:fill="auto"/>
            <w:noWrap/>
            <w:vAlign w:val="center"/>
            <w:hideMark/>
          </w:tcPr>
          <w:p w14:paraId="2A3835F5"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single" w:sz="4" w:space="0" w:color="auto"/>
              <w:right w:val="nil"/>
            </w:tcBorders>
            <w:shd w:val="clear" w:color="auto" w:fill="auto"/>
            <w:noWrap/>
            <w:vAlign w:val="center"/>
            <w:hideMark/>
          </w:tcPr>
          <w:p w14:paraId="497AB39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w:t>
            </w:r>
          </w:p>
        </w:tc>
        <w:tc>
          <w:tcPr>
            <w:tcW w:w="700" w:type="dxa"/>
            <w:tcBorders>
              <w:top w:val="nil"/>
              <w:left w:val="nil"/>
              <w:bottom w:val="single" w:sz="4" w:space="0" w:color="auto"/>
              <w:right w:val="nil"/>
            </w:tcBorders>
            <w:shd w:val="clear" w:color="auto" w:fill="auto"/>
            <w:noWrap/>
            <w:vAlign w:val="center"/>
            <w:hideMark/>
          </w:tcPr>
          <w:p w14:paraId="0347D16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single" w:sz="4" w:space="0" w:color="auto"/>
              <w:right w:val="nil"/>
            </w:tcBorders>
            <w:shd w:val="clear" w:color="auto" w:fill="auto"/>
            <w:noWrap/>
            <w:vAlign w:val="center"/>
            <w:hideMark/>
          </w:tcPr>
          <w:p w14:paraId="7538ABA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w:t>
            </w:r>
          </w:p>
        </w:tc>
        <w:tc>
          <w:tcPr>
            <w:tcW w:w="700" w:type="dxa"/>
            <w:tcBorders>
              <w:top w:val="nil"/>
              <w:left w:val="nil"/>
              <w:bottom w:val="single" w:sz="4" w:space="0" w:color="auto"/>
              <w:right w:val="nil"/>
            </w:tcBorders>
            <w:shd w:val="clear" w:color="auto" w:fill="auto"/>
            <w:noWrap/>
            <w:vAlign w:val="center"/>
            <w:hideMark/>
          </w:tcPr>
          <w:p w14:paraId="1A1D82E8"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nil"/>
              <w:left w:val="nil"/>
              <w:bottom w:val="single" w:sz="4" w:space="0" w:color="auto"/>
              <w:right w:val="nil"/>
            </w:tcBorders>
            <w:shd w:val="clear" w:color="auto" w:fill="auto"/>
            <w:noWrap/>
            <w:vAlign w:val="center"/>
            <w:hideMark/>
          </w:tcPr>
          <w:p w14:paraId="7933BE0B"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15</w:t>
            </w:r>
          </w:p>
        </w:tc>
      </w:tr>
      <w:tr w:rsidR="002F4427" w:rsidRPr="002F4427" w14:paraId="5B472F30" w14:textId="77777777" w:rsidTr="002F4427">
        <w:trPr>
          <w:trHeight w:val="290"/>
        </w:trPr>
        <w:tc>
          <w:tcPr>
            <w:tcW w:w="960" w:type="dxa"/>
            <w:tcBorders>
              <w:top w:val="single" w:sz="4" w:space="0" w:color="auto"/>
              <w:left w:val="nil"/>
              <w:bottom w:val="nil"/>
              <w:right w:val="nil"/>
            </w:tcBorders>
            <w:shd w:val="clear" w:color="auto" w:fill="auto"/>
            <w:noWrap/>
            <w:vAlign w:val="bottom"/>
          </w:tcPr>
          <w:p w14:paraId="3E2487BA" w14:textId="77777777" w:rsidR="002F4427" w:rsidRPr="002F4427" w:rsidRDefault="002F4427" w:rsidP="002F4427">
            <w:pPr>
              <w:spacing w:after="0" w:line="240" w:lineRule="auto"/>
              <w:rPr>
                <w:rFonts w:ascii="Calibri" w:eastAsia="Times New Roman" w:hAnsi="Calibri" w:cs="Calibri"/>
                <w:b/>
                <w:bCs/>
                <w:color w:val="000000"/>
              </w:rPr>
            </w:pPr>
          </w:p>
        </w:tc>
        <w:tc>
          <w:tcPr>
            <w:tcW w:w="700" w:type="dxa"/>
            <w:tcBorders>
              <w:top w:val="single" w:sz="4" w:space="0" w:color="auto"/>
              <w:left w:val="nil"/>
              <w:bottom w:val="nil"/>
              <w:right w:val="nil"/>
            </w:tcBorders>
            <w:shd w:val="clear" w:color="auto" w:fill="auto"/>
            <w:noWrap/>
            <w:vAlign w:val="center"/>
          </w:tcPr>
          <w:p w14:paraId="1A77CC21"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0DED480"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7F8AE30D"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E355E8A"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30789A0B"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DBA5D88"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1A2F377"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3362D387"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7159BDD4"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AD45B6A"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5FC3AC7A"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70BC9C49"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EC47FCE"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2367A8E0"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5AC66533"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8254ED7"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A4E4482"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47A6DDC2"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single" w:sz="4" w:space="0" w:color="auto"/>
              <w:left w:val="nil"/>
              <w:bottom w:val="nil"/>
              <w:right w:val="nil"/>
            </w:tcBorders>
            <w:shd w:val="clear" w:color="auto" w:fill="auto"/>
            <w:noWrap/>
            <w:vAlign w:val="center"/>
          </w:tcPr>
          <w:p w14:paraId="67962D99"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760236C"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E3B9BBD"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FD2494D"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6152C5D2"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3F7BE1A1"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E8BBD40"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21E7F8F9" w14:textId="77777777" w:rsidR="002F4427" w:rsidRPr="002F4427" w:rsidRDefault="002F4427" w:rsidP="002F4427">
            <w:pPr>
              <w:spacing w:after="0" w:line="240" w:lineRule="auto"/>
              <w:jc w:val="center"/>
              <w:rPr>
                <w:rFonts w:ascii="Calibri" w:eastAsia="Times New Roman" w:hAnsi="Calibri" w:cs="Calibri"/>
                <w:color w:val="000000"/>
              </w:rPr>
            </w:pPr>
          </w:p>
        </w:tc>
      </w:tr>
      <w:tr w:rsidR="00304037" w:rsidRPr="002F4427" w14:paraId="4C66E7D6" w14:textId="77777777" w:rsidTr="009500B2">
        <w:trPr>
          <w:trHeight w:val="290"/>
        </w:trPr>
        <w:tc>
          <w:tcPr>
            <w:tcW w:w="19160" w:type="dxa"/>
            <w:gridSpan w:val="27"/>
            <w:tcBorders>
              <w:top w:val="nil"/>
              <w:left w:val="nil"/>
              <w:bottom w:val="single" w:sz="4" w:space="0" w:color="auto"/>
              <w:right w:val="nil"/>
            </w:tcBorders>
            <w:shd w:val="clear" w:color="auto" w:fill="auto"/>
            <w:noWrap/>
            <w:vAlign w:val="bottom"/>
          </w:tcPr>
          <w:p w14:paraId="2D0FA62D" w14:textId="5F479E94" w:rsidR="00304037" w:rsidRPr="002F4427" w:rsidRDefault="00304037" w:rsidP="00304037">
            <w:pPr>
              <w:spacing w:after="0" w:line="240" w:lineRule="auto"/>
              <w:rPr>
                <w:rFonts w:ascii="Calibri" w:eastAsia="Times New Roman" w:hAnsi="Calibri" w:cs="Calibri"/>
                <w:color w:val="000000"/>
              </w:rPr>
            </w:pPr>
            <w:r w:rsidRPr="002F4427">
              <w:rPr>
                <w:rFonts w:ascii="Calibri" w:eastAsia="Times New Roman" w:hAnsi="Calibri" w:cs="Calibri"/>
                <w:b/>
                <w:bCs/>
                <w:color w:val="000000"/>
              </w:rPr>
              <w:t># Times swimming/month (%)</w:t>
            </w:r>
            <w:r>
              <w:rPr>
                <w:rFonts w:ascii="Calibri" w:eastAsia="Times New Roman" w:hAnsi="Calibri" w:cs="Calibri"/>
                <w:b/>
                <w:bCs/>
                <w:color w:val="000000"/>
              </w:rPr>
              <w:t xml:space="preserve"> </w:t>
            </w:r>
            <w:r w:rsidRPr="00304037">
              <w:rPr>
                <w:rFonts w:ascii="Calibri" w:eastAsia="Times New Roman" w:hAnsi="Calibri" w:cs="Calibri"/>
                <w:color w:val="000000"/>
              </w:rPr>
              <w:t>(calculated)</w:t>
            </w:r>
          </w:p>
        </w:tc>
      </w:tr>
      <w:tr w:rsidR="002F4427" w:rsidRPr="002F4427" w14:paraId="7B9A7105" w14:textId="77777777" w:rsidTr="002F4427">
        <w:trPr>
          <w:trHeight w:val="290"/>
        </w:trPr>
        <w:tc>
          <w:tcPr>
            <w:tcW w:w="960" w:type="dxa"/>
            <w:tcBorders>
              <w:top w:val="single" w:sz="4" w:space="0" w:color="auto"/>
              <w:left w:val="nil"/>
              <w:bottom w:val="nil"/>
              <w:right w:val="nil"/>
            </w:tcBorders>
            <w:shd w:val="clear" w:color="auto" w:fill="D9D9D9" w:themeFill="background1" w:themeFillShade="D9"/>
            <w:noWrap/>
            <w:vAlign w:val="bottom"/>
          </w:tcPr>
          <w:p w14:paraId="11D95496"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Age</w:t>
            </w:r>
          </w:p>
        </w:tc>
        <w:tc>
          <w:tcPr>
            <w:tcW w:w="700" w:type="dxa"/>
            <w:tcBorders>
              <w:top w:val="single" w:sz="4" w:space="0" w:color="auto"/>
              <w:left w:val="nil"/>
              <w:bottom w:val="nil"/>
              <w:right w:val="nil"/>
            </w:tcBorders>
            <w:shd w:val="clear" w:color="auto" w:fill="D9D9D9" w:themeFill="background1" w:themeFillShade="D9"/>
            <w:noWrap/>
            <w:vAlign w:val="center"/>
          </w:tcPr>
          <w:p w14:paraId="598EB603" w14:textId="77777777" w:rsidR="002F4427" w:rsidRPr="002F4427" w:rsidRDefault="002F4427" w:rsidP="002F4427">
            <w:pPr>
              <w:spacing w:after="0" w:line="240" w:lineRule="auto"/>
              <w:jc w:val="center"/>
              <w:rPr>
                <w:rFonts w:ascii="Calibri" w:eastAsia="Times New Roman" w:hAnsi="Calibri" w:cs="Calibri"/>
                <w:b/>
                <w:bCs/>
                <w:i/>
                <w:iCs/>
                <w:color w:val="000000"/>
              </w:rPr>
            </w:pPr>
            <w:r w:rsidRPr="002F4427">
              <w:rPr>
                <w:rFonts w:ascii="Calibri" w:eastAsia="Times New Roman" w:hAnsi="Calibri" w:cs="Calibri"/>
                <w:b/>
                <w:bCs/>
                <w:i/>
                <w:iCs/>
                <w:color w:val="000000"/>
              </w:rPr>
              <w:t>n</w:t>
            </w:r>
          </w:p>
        </w:tc>
        <w:tc>
          <w:tcPr>
            <w:tcW w:w="700" w:type="dxa"/>
            <w:tcBorders>
              <w:top w:val="single" w:sz="4" w:space="0" w:color="auto"/>
              <w:left w:val="nil"/>
              <w:bottom w:val="nil"/>
              <w:right w:val="nil"/>
            </w:tcBorders>
            <w:shd w:val="clear" w:color="auto" w:fill="D9D9D9" w:themeFill="background1" w:themeFillShade="D9"/>
            <w:noWrap/>
            <w:vAlign w:val="center"/>
          </w:tcPr>
          <w:p w14:paraId="52E981C8"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w:t>
            </w:r>
          </w:p>
        </w:tc>
        <w:tc>
          <w:tcPr>
            <w:tcW w:w="700" w:type="dxa"/>
            <w:tcBorders>
              <w:top w:val="single" w:sz="4" w:space="0" w:color="auto"/>
              <w:left w:val="nil"/>
              <w:bottom w:val="nil"/>
              <w:right w:val="nil"/>
            </w:tcBorders>
            <w:shd w:val="clear" w:color="auto" w:fill="D9D9D9" w:themeFill="background1" w:themeFillShade="D9"/>
            <w:noWrap/>
            <w:vAlign w:val="center"/>
          </w:tcPr>
          <w:p w14:paraId="6324B6B0"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w:t>
            </w:r>
          </w:p>
        </w:tc>
        <w:tc>
          <w:tcPr>
            <w:tcW w:w="700" w:type="dxa"/>
            <w:tcBorders>
              <w:top w:val="single" w:sz="4" w:space="0" w:color="auto"/>
              <w:left w:val="nil"/>
              <w:bottom w:val="nil"/>
              <w:right w:val="nil"/>
            </w:tcBorders>
            <w:shd w:val="clear" w:color="auto" w:fill="D9D9D9" w:themeFill="background1" w:themeFillShade="D9"/>
            <w:noWrap/>
            <w:vAlign w:val="center"/>
          </w:tcPr>
          <w:p w14:paraId="12816065"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3</w:t>
            </w:r>
          </w:p>
        </w:tc>
        <w:tc>
          <w:tcPr>
            <w:tcW w:w="700" w:type="dxa"/>
            <w:tcBorders>
              <w:top w:val="single" w:sz="4" w:space="0" w:color="auto"/>
              <w:left w:val="nil"/>
              <w:bottom w:val="nil"/>
              <w:right w:val="nil"/>
            </w:tcBorders>
            <w:shd w:val="clear" w:color="auto" w:fill="D9D9D9" w:themeFill="background1" w:themeFillShade="D9"/>
            <w:noWrap/>
            <w:vAlign w:val="center"/>
          </w:tcPr>
          <w:p w14:paraId="085BD019"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4</w:t>
            </w:r>
          </w:p>
        </w:tc>
        <w:tc>
          <w:tcPr>
            <w:tcW w:w="700" w:type="dxa"/>
            <w:tcBorders>
              <w:top w:val="single" w:sz="4" w:space="0" w:color="auto"/>
              <w:left w:val="nil"/>
              <w:bottom w:val="nil"/>
              <w:right w:val="nil"/>
            </w:tcBorders>
            <w:shd w:val="clear" w:color="auto" w:fill="D9D9D9" w:themeFill="background1" w:themeFillShade="D9"/>
            <w:noWrap/>
            <w:vAlign w:val="center"/>
          </w:tcPr>
          <w:p w14:paraId="454AF48C"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5</w:t>
            </w:r>
          </w:p>
        </w:tc>
        <w:tc>
          <w:tcPr>
            <w:tcW w:w="700" w:type="dxa"/>
            <w:tcBorders>
              <w:top w:val="single" w:sz="4" w:space="0" w:color="auto"/>
              <w:left w:val="nil"/>
              <w:bottom w:val="nil"/>
              <w:right w:val="nil"/>
            </w:tcBorders>
            <w:shd w:val="clear" w:color="auto" w:fill="D9D9D9" w:themeFill="background1" w:themeFillShade="D9"/>
            <w:noWrap/>
            <w:vAlign w:val="center"/>
          </w:tcPr>
          <w:p w14:paraId="679471C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6</w:t>
            </w:r>
          </w:p>
        </w:tc>
        <w:tc>
          <w:tcPr>
            <w:tcW w:w="700" w:type="dxa"/>
            <w:tcBorders>
              <w:top w:val="single" w:sz="4" w:space="0" w:color="auto"/>
              <w:left w:val="nil"/>
              <w:bottom w:val="nil"/>
              <w:right w:val="nil"/>
            </w:tcBorders>
            <w:shd w:val="clear" w:color="auto" w:fill="D9D9D9" w:themeFill="background1" w:themeFillShade="D9"/>
            <w:noWrap/>
            <w:vAlign w:val="center"/>
          </w:tcPr>
          <w:p w14:paraId="44DEC899"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7</w:t>
            </w:r>
          </w:p>
        </w:tc>
        <w:tc>
          <w:tcPr>
            <w:tcW w:w="700" w:type="dxa"/>
            <w:tcBorders>
              <w:top w:val="single" w:sz="4" w:space="0" w:color="auto"/>
              <w:left w:val="nil"/>
              <w:bottom w:val="nil"/>
              <w:right w:val="nil"/>
            </w:tcBorders>
            <w:shd w:val="clear" w:color="auto" w:fill="D9D9D9" w:themeFill="background1" w:themeFillShade="D9"/>
            <w:noWrap/>
            <w:vAlign w:val="center"/>
          </w:tcPr>
          <w:p w14:paraId="31C26A7A"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8</w:t>
            </w:r>
          </w:p>
        </w:tc>
        <w:tc>
          <w:tcPr>
            <w:tcW w:w="700" w:type="dxa"/>
            <w:tcBorders>
              <w:top w:val="single" w:sz="4" w:space="0" w:color="auto"/>
              <w:left w:val="nil"/>
              <w:bottom w:val="nil"/>
              <w:right w:val="nil"/>
            </w:tcBorders>
            <w:shd w:val="clear" w:color="auto" w:fill="D9D9D9" w:themeFill="background1" w:themeFillShade="D9"/>
            <w:noWrap/>
            <w:vAlign w:val="center"/>
          </w:tcPr>
          <w:p w14:paraId="0A7B9C72"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9</w:t>
            </w:r>
          </w:p>
        </w:tc>
        <w:tc>
          <w:tcPr>
            <w:tcW w:w="700" w:type="dxa"/>
            <w:tcBorders>
              <w:top w:val="single" w:sz="4" w:space="0" w:color="auto"/>
              <w:left w:val="nil"/>
              <w:bottom w:val="nil"/>
              <w:right w:val="nil"/>
            </w:tcBorders>
            <w:shd w:val="clear" w:color="auto" w:fill="D9D9D9" w:themeFill="background1" w:themeFillShade="D9"/>
            <w:noWrap/>
            <w:vAlign w:val="center"/>
          </w:tcPr>
          <w:p w14:paraId="432D77E3"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10</w:t>
            </w:r>
          </w:p>
        </w:tc>
        <w:tc>
          <w:tcPr>
            <w:tcW w:w="700" w:type="dxa"/>
            <w:tcBorders>
              <w:top w:val="single" w:sz="4" w:space="0" w:color="auto"/>
              <w:left w:val="nil"/>
              <w:bottom w:val="nil"/>
              <w:right w:val="nil"/>
            </w:tcBorders>
            <w:shd w:val="clear" w:color="auto" w:fill="D9D9D9" w:themeFill="background1" w:themeFillShade="D9"/>
            <w:noWrap/>
            <w:vAlign w:val="center"/>
          </w:tcPr>
          <w:p w14:paraId="425D1B54"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11</w:t>
            </w:r>
          </w:p>
        </w:tc>
        <w:tc>
          <w:tcPr>
            <w:tcW w:w="700" w:type="dxa"/>
            <w:tcBorders>
              <w:top w:val="single" w:sz="4" w:space="0" w:color="auto"/>
              <w:left w:val="nil"/>
              <w:bottom w:val="nil"/>
              <w:right w:val="nil"/>
            </w:tcBorders>
            <w:shd w:val="clear" w:color="auto" w:fill="D9D9D9" w:themeFill="background1" w:themeFillShade="D9"/>
            <w:noWrap/>
            <w:vAlign w:val="center"/>
          </w:tcPr>
          <w:p w14:paraId="08EE3385"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12</w:t>
            </w:r>
          </w:p>
        </w:tc>
        <w:tc>
          <w:tcPr>
            <w:tcW w:w="700" w:type="dxa"/>
            <w:tcBorders>
              <w:top w:val="single" w:sz="4" w:space="0" w:color="auto"/>
              <w:left w:val="nil"/>
              <w:bottom w:val="nil"/>
              <w:right w:val="nil"/>
            </w:tcBorders>
            <w:shd w:val="clear" w:color="auto" w:fill="D9D9D9" w:themeFill="background1" w:themeFillShade="D9"/>
            <w:noWrap/>
            <w:vAlign w:val="center"/>
          </w:tcPr>
          <w:p w14:paraId="353B2C2A"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13</w:t>
            </w:r>
          </w:p>
        </w:tc>
        <w:tc>
          <w:tcPr>
            <w:tcW w:w="700" w:type="dxa"/>
            <w:tcBorders>
              <w:top w:val="single" w:sz="4" w:space="0" w:color="auto"/>
              <w:left w:val="nil"/>
              <w:bottom w:val="nil"/>
              <w:right w:val="nil"/>
            </w:tcBorders>
            <w:shd w:val="clear" w:color="auto" w:fill="D9D9D9" w:themeFill="background1" w:themeFillShade="D9"/>
            <w:noWrap/>
            <w:vAlign w:val="center"/>
          </w:tcPr>
          <w:p w14:paraId="3A1A1F99"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14</w:t>
            </w:r>
          </w:p>
        </w:tc>
        <w:tc>
          <w:tcPr>
            <w:tcW w:w="700" w:type="dxa"/>
            <w:tcBorders>
              <w:top w:val="single" w:sz="4" w:space="0" w:color="auto"/>
              <w:left w:val="nil"/>
              <w:bottom w:val="nil"/>
              <w:right w:val="nil"/>
            </w:tcBorders>
            <w:shd w:val="clear" w:color="auto" w:fill="D9D9D9" w:themeFill="background1" w:themeFillShade="D9"/>
            <w:noWrap/>
            <w:vAlign w:val="center"/>
          </w:tcPr>
          <w:p w14:paraId="173B1058"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15</w:t>
            </w:r>
          </w:p>
        </w:tc>
        <w:tc>
          <w:tcPr>
            <w:tcW w:w="700" w:type="dxa"/>
            <w:tcBorders>
              <w:top w:val="single" w:sz="4" w:space="0" w:color="auto"/>
              <w:left w:val="nil"/>
              <w:bottom w:val="nil"/>
              <w:right w:val="nil"/>
            </w:tcBorders>
            <w:shd w:val="clear" w:color="auto" w:fill="D9D9D9" w:themeFill="background1" w:themeFillShade="D9"/>
            <w:noWrap/>
            <w:vAlign w:val="center"/>
          </w:tcPr>
          <w:p w14:paraId="4FEEB8B0"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16</w:t>
            </w:r>
          </w:p>
        </w:tc>
        <w:tc>
          <w:tcPr>
            <w:tcW w:w="700" w:type="dxa"/>
            <w:tcBorders>
              <w:top w:val="single" w:sz="4" w:space="0" w:color="auto"/>
              <w:left w:val="nil"/>
              <w:bottom w:val="nil"/>
              <w:right w:val="nil"/>
            </w:tcBorders>
            <w:shd w:val="clear" w:color="auto" w:fill="D9D9D9" w:themeFill="background1" w:themeFillShade="D9"/>
            <w:noWrap/>
            <w:vAlign w:val="center"/>
          </w:tcPr>
          <w:p w14:paraId="14302509" w14:textId="77777777" w:rsidR="002F4427" w:rsidRPr="002F4427" w:rsidRDefault="002F4427" w:rsidP="002F4427">
            <w:pPr>
              <w:spacing w:after="0" w:line="240" w:lineRule="auto"/>
              <w:jc w:val="center"/>
              <w:rPr>
                <w:rFonts w:ascii="Times New Roman" w:eastAsia="Times New Roman" w:hAnsi="Times New Roman" w:cs="Times New Roman"/>
                <w:b/>
                <w:bCs/>
                <w:sz w:val="20"/>
                <w:szCs w:val="20"/>
              </w:rPr>
            </w:pPr>
            <w:r w:rsidRPr="002F4427">
              <w:rPr>
                <w:rFonts w:ascii="Times New Roman" w:eastAsia="Times New Roman" w:hAnsi="Times New Roman" w:cs="Times New Roman"/>
                <w:b/>
                <w:bCs/>
                <w:sz w:val="20"/>
                <w:szCs w:val="20"/>
              </w:rPr>
              <w:t>18</w:t>
            </w:r>
          </w:p>
        </w:tc>
        <w:tc>
          <w:tcPr>
            <w:tcW w:w="700" w:type="dxa"/>
            <w:tcBorders>
              <w:top w:val="single" w:sz="4" w:space="0" w:color="auto"/>
              <w:left w:val="nil"/>
              <w:bottom w:val="nil"/>
              <w:right w:val="nil"/>
            </w:tcBorders>
            <w:shd w:val="clear" w:color="auto" w:fill="D9D9D9" w:themeFill="background1" w:themeFillShade="D9"/>
            <w:noWrap/>
            <w:vAlign w:val="center"/>
          </w:tcPr>
          <w:p w14:paraId="16098FBB"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20</w:t>
            </w:r>
          </w:p>
        </w:tc>
        <w:tc>
          <w:tcPr>
            <w:tcW w:w="700" w:type="dxa"/>
            <w:tcBorders>
              <w:top w:val="single" w:sz="4" w:space="0" w:color="auto"/>
              <w:left w:val="nil"/>
              <w:bottom w:val="nil"/>
              <w:right w:val="nil"/>
            </w:tcBorders>
            <w:shd w:val="clear" w:color="auto" w:fill="D9D9D9" w:themeFill="background1" w:themeFillShade="D9"/>
            <w:noWrap/>
            <w:vAlign w:val="center"/>
          </w:tcPr>
          <w:p w14:paraId="07DBBB06"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23</w:t>
            </w:r>
          </w:p>
        </w:tc>
        <w:tc>
          <w:tcPr>
            <w:tcW w:w="700" w:type="dxa"/>
            <w:tcBorders>
              <w:top w:val="single" w:sz="4" w:space="0" w:color="auto"/>
              <w:left w:val="nil"/>
              <w:bottom w:val="nil"/>
              <w:right w:val="nil"/>
            </w:tcBorders>
            <w:shd w:val="clear" w:color="auto" w:fill="D9D9D9" w:themeFill="background1" w:themeFillShade="D9"/>
            <w:noWrap/>
            <w:vAlign w:val="center"/>
          </w:tcPr>
          <w:p w14:paraId="13A2909A"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24</w:t>
            </w:r>
          </w:p>
        </w:tc>
        <w:tc>
          <w:tcPr>
            <w:tcW w:w="700" w:type="dxa"/>
            <w:tcBorders>
              <w:top w:val="single" w:sz="4" w:space="0" w:color="auto"/>
              <w:left w:val="nil"/>
              <w:bottom w:val="nil"/>
              <w:right w:val="nil"/>
            </w:tcBorders>
            <w:shd w:val="clear" w:color="auto" w:fill="D9D9D9" w:themeFill="background1" w:themeFillShade="D9"/>
            <w:noWrap/>
            <w:vAlign w:val="center"/>
          </w:tcPr>
          <w:p w14:paraId="5E9218F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25</w:t>
            </w:r>
          </w:p>
        </w:tc>
        <w:tc>
          <w:tcPr>
            <w:tcW w:w="700" w:type="dxa"/>
            <w:tcBorders>
              <w:top w:val="single" w:sz="4" w:space="0" w:color="auto"/>
              <w:left w:val="nil"/>
              <w:bottom w:val="nil"/>
              <w:right w:val="nil"/>
            </w:tcBorders>
            <w:shd w:val="clear" w:color="auto" w:fill="D9D9D9" w:themeFill="background1" w:themeFillShade="D9"/>
            <w:noWrap/>
            <w:vAlign w:val="center"/>
          </w:tcPr>
          <w:p w14:paraId="25D5B931"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26</w:t>
            </w:r>
          </w:p>
        </w:tc>
        <w:tc>
          <w:tcPr>
            <w:tcW w:w="700" w:type="dxa"/>
            <w:tcBorders>
              <w:top w:val="single" w:sz="4" w:space="0" w:color="auto"/>
              <w:left w:val="nil"/>
              <w:bottom w:val="nil"/>
              <w:right w:val="nil"/>
            </w:tcBorders>
            <w:shd w:val="clear" w:color="auto" w:fill="D9D9D9" w:themeFill="background1" w:themeFillShade="D9"/>
            <w:noWrap/>
            <w:vAlign w:val="center"/>
          </w:tcPr>
          <w:p w14:paraId="132E5C61"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28</w:t>
            </w:r>
          </w:p>
        </w:tc>
        <w:tc>
          <w:tcPr>
            <w:tcW w:w="700" w:type="dxa"/>
            <w:tcBorders>
              <w:top w:val="single" w:sz="4" w:space="0" w:color="auto"/>
              <w:left w:val="nil"/>
              <w:bottom w:val="nil"/>
              <w:right w:val="nil"/>
            </w:tcBorders>
            <w:shd w:val="clear" w:color="auto" w:fill="D9D9D9" w:themeFill="background1" w:themeFillShade="D9"/>
            <w:noWrap/>
            <w:vAlign w:val="center"/>
          </w:tcPr>
          <w:p w14:paraId="749AA4F7"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29</w:t>
            </w:r>
          </w:p>
        </w:tc>
        <w:tc>
          <w:tcPr>
            <w:tcW w:w="700" w:type="dxa"/>
            <w:tcBorders>
              <w:top w:val="single" w:sz="4" w:space="0" w:color="auto"/>
              <w:left w:val="nil"/>
              <w:bottom w:val="nil"/>
              <w:right w:val="nil"/>
            </w:tcBorders>
            <w:shd w:val="clear" w:color="auto" w:fill="D9D9D9" w:themeFill="background1" w:themeFillShade="D9"/>
            <w:noWrap/>
            <w:vAlign w:val="center"/>
          </w:tcPr>
          <w:p w14:paraId="6BB78C9E" w14:textId="77777777" w:rsidR="002F4427" w:rsidRPr="002F4427" w:rsidRDefault="002F4427" w:rsidP="002F4427">
            <w:pPr>
              <w:spacing w:after="0" w:line="240" w:lineRule="auto"/>
              <w:jc w:val="center"/>
              <w:rPr>
                <w:rFonts w:ascii="Calibri" w:eastAsia="Times New Roman" w:hAnsi="Calibri" w:cs="Calibri"/>
                <w:b/>
                <w:bCs/>
                <w:color w:val="000000"/>
              </w:rPr>
            </w:pPr>
            <w:r w:rsidRPr="002F4427">
              <w:rPr>
                <w:rFonts w:ascii="Calibri" w:eastAsia="Times New Roman" w:hAnsi="Calibri" w:cs="Calibri"/>
                <w:b/>
                <w:bCs/>
                <w:color w:val="000000"/>
              </w:rPr>
              <w:t>30</w:t>
            </w:r>
          </w:p>
        </w:tc>
      </w:tr>
      <w:tr w:rsidR="002F4427" w:rsidRPr="002F4427" w14:paraId="39AF0081" w14:textId="77777777" w:rsidTr="002F4427">
        <w:trPr>
          <w:trHeight w:val="290"/>
        </w:trPr>
        <w:tc>
          <w:tcPr>
            <w:tcW w:w="960" w:type="dxa"/>
            <w:tcBorders>
              <w:top w:val="nil"/>
              <w:left w:val="nil"/>
              <w:bottom w:val="nil"/>
              <w:right w:val="nil"/>
            </w:tcBorders>
            <w:shd w:val="clear" w:color="auto" w:fill="auto"/>
            <w:noWrap/>
            <w:vAlign w:val="bottom"/>
          </w:tcPr>
          <w:p w14:paraId="6EEED51C"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1-4</w:t>
            </w:r>
          </w:p>
        </w:tc>
        <w:tc>
          <w:tcPr>
            <w:tcW w:w="700" w:type="dxa"/>
            <w:tcBorders>
              <w:top w:val="nil"/>
              <w:left w:val="nil"/>
              <w:bottom w:val="nil"/>
              <w:right w:val="nil"/>
            </w:tcBorders>
            <w:shd w:val="clear" w:color="auto" w:fill="auto"/>
            <w:noWrap/>
            <w:vAlign w:val="center"/>
          </w:tcPr>
          <w:p w14:paraId="5B727C98"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63</w:t>
            </w:r>
          </w:p>
        </w:tc>
        <w:tc>
          <w:tcPr>
            <w:tcW w:w="700" w:type="dxa"/>
            <w:tcBorders>
              <w:top w:val="nil"/>
              <w:left w:val="nil"/>
              <w:bottom w:val="nil"/>
              <w:right w:val="nil"/>
            </w:tcBorders>
            <w:shd w:val="clear" w:color="auto" w:fill="auto"/>
            <w:noWrap/>
            <w:vAlign w:val="center"/>
          </w:tcPr>
          <w:p w14:paraId="5222C2F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17.5</w:t>
            </w:r>
          </w:p>
        </w:tc>
        <w:tc>
          <w:tcPr>
            <w:tcW w:w="700" w:type="dxa"/>
            <w:tcBorders>
              <w:top w:val="nil"/>
              <w:left w:val="nil"/>
              <w:bottom w:val="nil"/>
              <w:right w:val="nil"/>
            </w:tcBorders>
            <w:shd w:val="clear" w:color="auto" w:fill="auto"/>
            <w:noWrap/>
            <w:vAlign w:val="center"/>
          </w:tcPr>
          <w:p w14:paraId="1A9D445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22.2</w:t>
            </w:r>
          </w:p>
        </w:tc>
        <w:tc>
          <w:tcPr>
            <w:tcW w:w="700" w:type="dxa"/>
            <w:tcBorders>
              <w:top w:val="nil"/>
              <w:left w:val="nil"/>
              <w:bottom w:val="nil"/>
              <w:right w:val="nil"/>
            </w:tcBorders>
            <w:shd w:val="clear" w:color="auto" w:fill="auto"/>
            <w:noWrap/>
            <w:vAlign w:val="center"/>
          </w:tcPr>
          <w:p w14:paraId="1E5448B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11.1</w:t>
            </w:r>
          </w:p>
        </w:tc>
        <w:tc>
          <w:tcPr>
            <w:tcW w:w="700" w:type="dxa"/>
            <w:tcBorders>
              <w:top w:val="nil"/>
              <w:left w:val="nil"/>
              <w:bottom w:val="nil"/>
              <w:right w:val="nil"/>
            </w:tcBorders>
            <w:shd w:val="clear" w:color="auto" w:fill="auto"/>
            <w:noWrap/>
            <w:vAlign w:val="center"/>
          </w:tcPr>
          <w:p w14:paraId="2276D01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4.8</w:t>
            </w:r>
          </w:p>
        </w:tc>
        <w:tc>
          <w:tcPr>
            <w:tcW w:w="700" w:type="dxa"/>
            <w:tcBorders>
              <w:top w:val="nil"/>
              <w:left w:val="nil"/>
              <w:bottom w:val="nil"/>
              <w:right w:val="nil"/>
            </w:tcBorders>
            <w:shd w:val="clear" w:color="auto" w:fill="auto"/>
            <w:noWrap/>
            <w:vAlign w:val="center"/>
          </w:tcPr>
          <w:p w14:paraId="431A48B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4.8</w:t>
            </w:r>
          </w:p>
        </w:tc>
        <w:tc>
          <w:tcPr>
            <w:tcW w:w="700" w:type="dxa"/>
            <w:tcBorders>
              <w:top w:val="nil"/>
              <w:left w:val="nil"/>
              <w:bottom w:val="nil"/>
              <w:right w:val="nil"/>
            </w:tcBorders>
            <w:shd w:val="clear" w:color="auto" w:fill="auto"/>
            <w:noWrap/>
            <w:vAlign w:val="center"/>
          </w:tcPr>
          <w:p w14:paraId="6263809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6.3</w:t>
            </w:r>
          </w:p>
        </w:tc>
        <w:tc>
          <w:tcPr>
            <w:tcW w:w="700" w:type="dxa"/>
            <w:tcBorders>
              <w:top w:val="nil"/>
              <w:left w:val="nil"/>
              <w:bottom w:val="nil"/>
              <w:right w:val="nil"/>
            </w:tcBorders>
            <w:shd w:val="clear" w:color="auto" w:fill="auto"/>
            <w:noWrap/>
            <w:vAlign w:val="center"/>
          </w:tcPr>
          <w:p w14:paraId="1E484BD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1.6</w:t>
            </w:r>
          </w:p>
        </w:tc>
        <w:tc>
          <w:tcPr>
            <w:tcW w:w="700" w:type="dxa"/>
            <w:tcBorders>
              <w:top w:val="nil"/>
              <w:left w:val="nil"/>
              <w:bottom w:val="nil"/>
              <w:right w:val="nil"/>
            </w:tcBorders>
            <w:shd w:val="clear" w:color="auto" w:fill="auto"/>
            <w:noWrap/>
            <w:vAlign w:val="center"/>
          </w:tcPr>
          <w:p w14:paraId="56913E2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4.8</w:t>
            </w:r>
          </w:p>
        </w:tc>
        <w:tc>
          <w:tcPr>
            <w:tcW w:w="700" w:type="dxa"/>
            <w:tcBorders>
              <w:top w:val="nil"/>
              <w:left w:val="nil"/>
              <w:bottom w:val="nil"/>
              <w:right w:val="nil"/>
            </w:tcBorders>
            <w:shd w:val="clear" w:color="auto" w:fill="auto"/>
            <w:noWrap/>
            <w:vAlign w:val="center"/>
          </w:tcPr>
          <w:p w14:paraId="1D0B5FD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1.6</w:t>
            </w:r>
          </w:p>
        </w:tc>
        <w:tc>
          <w:tcPr>
            <w:tcW w:w="700" w:type="dxa"/>
            <w:tcBorders>
              <w:top w:val="nil"/>
              <w:left w:val="nil"/>
              <w:bottom w:val="nil"/>
              <w:right w:val="nil"/>
            </w:tcBorders>
            <w:shd w:val="clear" w:color="auto" w:fill="auto"/>
            <w:noWrap/>
            <w:vAlign w:val="center"/>
          </w:tcPr>
          <w:p w14:paraId="5867F7D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6.3</w:t>
            </w:r>
          </w:p>
        </w:tc>
        <w:tc>
          <w:tcPr>
            <w:tcW w:w="700" w:type="dxa"/>
            <w:tcBorders>
              <w:top w:val="nil"/>
              <w:left w:val="nil"/>
              <w:bottom w:val="nil"/>
              <w:right w:val="nil"/>
            </w:tcBorders>
            <w:shd w:val="clear" w:color="auto" w:fill="auto"/>
            <w:noWrap/>
            <w:vAlign w:val="center"/>
          </w:tcPr>
          <w:p w14:paraId="279B08C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01ACC42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3.2</w:t>
            </w:r>
          </w:p>
        </w:tc>
        <w:tc>
          <w:tcPr>
            <w:tcW w:w="700" w:type="dxa"/>
            <w:tcBorders>
              <w:top w:val="nil"/>
              <w:left w:val="nil"/>
              <w:bottom w:val="nil"/>
              <w:right w:val="nil"/>
            </w:tcBorders>
            <w:shd w:val="clear" w:color="auto" w:fill="auto"/>
            <w:noWrap/>
            <w:vAlign w:val="center"/>
          </w:tcPr>
          <w:p w14:paraId="5BEE3B2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1.6</w:t>
            </w:r>
          </w:p>
        </w:tc>
        <w:tc>
          <w:tcPr>
            <w:tcW w:w="700" w:type="dxa"/>
            <w:tcBorders>
              <w:top w:val="nil"/>
              <w:left w:val="nil"/>
              <w:bottom w:val="nil"/>
              <w:right w:val="nil"/>
            </w:tcBorders>
            <w:shd w:val="clear" w:color="auto" w:fill="auto"/>
            <w:noWrap/>
            <w:vAlign w:val="center"/>
          </w:tcPr>
          <w:p w14:paraId="5D5F197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1.6</w:t>
            </w:r>
          </w:p>
        </w:tc>
        <w:tc>
          <w:tcPr>
            <w:tcW w:w="700" w:type="dxa"/>
            <w:tcBorders>
              <w:top w:val="nil"/>
              <w:left w:val="nil"/>
              <w:bottom w:val="nil"/>
              <w:right w:val="nil"/>
            </w:tcBorders>
            <w:shd w:val="clear" w:color="auto" w:fill="auto"/>
            <w:noWrap/>
            <w:vAlign w:val="center"/>
          </w:tcPr>
          <w:p w14:paraId="2461993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3.2</w:t>
            </w:r>
          </w:p>
        </w:tc>
        <w:tc>
          <w:tcPr>
            <w:tcW w:w="700" w:type="dxa"/>
            <w:tcBorders>
              <w:top w:val="nil"/>
              <w:left w:val="nil"/>
              <w:bottom w:val="nil"/>
              <w:right w:val="nil"/>
            </w:tcBorders>
            <w:shd w:val="clear" w:color="auto" w:fill="auto"/>
            <w:noWrap/>
            <w:vAlign w:val="center"/>
          </w:tcPr>
          <w:p w14:paraId="4F40A84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7E8493F1"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r w:rsidRPr="002F4427">
              <w:rPr>
                <w:rFonts w:ascii="Times New Roman" w:eastAsia="Times New Roman" w:hAnsi="Times New Roman" w:cs="Times New Roman"/>
                <w:sz w:val="20"/>
                <w:szCs w:val="20"/>
              </w:rPr>
              <w:t>0.0</w:t>
            </w:r>
          </w:p>
        </w:tc>
        <w:tc>
          <w:tcPr>
            <w:tcW w:w="700" w:type="dxa"/>
            <w:tcBorders>
              <w:top w:val="nil"/>
              <w:left w:val="nil"/>
              <w:bottom w:val="nil"/>
              <w:right w:val="nil"/>
            </w:tcBorders>
            <w:shd w:val="clear" w:color="auto" w:fill="auto"/>
            <w:noWrap/>
            <w:vAlign w:val="center"/>
          </w:tcPr>
          <w:p w14:paraId="3F2C70D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3.2</w:t>
            </w:r>
          </w:p>
        </w:tc>
        <w:tc>
          <w:tcPr>
            <w:tcW w:w="700" w:type="dxa"/>
            <w:tcBorders>
              <w:top w:val="nil"/>
              <w:left w:val="nil"/>
              <w:bottom w:val="nil"/>
              <w:right w:val="nil"/>
            </w:tcBorders>
            <w:shd w:val="clear" w:color="auto" w:fill="auto"/>
            <w:noWrap/>
            <w:vAlign w:val="center"/>
          </w:tcPr>
          <w:p w14:paraId="26F1144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09A31E5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51D0AF5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4DE2DF5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139DE9F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2C2468E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1.6</w:t>
            </w:r>
          </w:p>
        </w:tc>
        <w:tc>
          <w:tcPr>
            <w:tcW w:w="700" w:type="dxa"/>
            <w:tcBorders>
              <w:top w:val="nil"/>
              <w:left w:val="nil"/>
              <w:bottom w:val="nil"/>
              <w:right w:val="nil"/>
            </w:tcBorders>
            <w:shd w:val="clear" w:color="auto" w:fill="auto"/>
            <w:noWrap/>
            <w:vAlign w:val="center"/>
          </w:tcPr>
          <w:p w14:paraId="0BD9B2D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3.2</w:t>
            </w:r>
          </w:p>
        </w:tc>
      </w:tr>
      <w:tr w:rsidR="002F4427" w:rsidRPr="002F4427" w14:paraId="3D00744D" w14:textId="77777777" w:rsidTr="002F4427">
        <w:trPr>
          <w:trHeight w:val="290"/>
        </w:trPr>
        <w:tc>
          <w:tcPr>
            <w:tcW w:w="960" w:type="dxa"/>
            <w:tcBorders>
              <w:top w:val="nil"/>
              <w:left w:val="nil"/>
              <w:bottom w:val="nil"/>
              <w:right w:val="nil"/>
            </w:tcBorders>
            <w:shd w:val="clear" w:color="auto" w:fill="auto"/>
            <w:noWrap/>
            <w:vAlign w:val="bottom"/>
          </w:tcPr>
          <w:p w14:paraId="09B32E42"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5-11</w:t>
            </w:r>
          </w:p>
        </w:tc>
        <w:tc>
          <w:tcPr>
            <w:tcW w:w="700" w:type="dxa"/>
            <w:tcBorders>
              <w:top w:val="nil"/>
              <w:left w:val="nil"/>
              <w:bottom w:val="nil"/>
              <w:right w:val="nil"/>
            </w:tcBorders>
            <w:shd w:val="clear" w:color="auto" w:fill="auto"/>
            <w:noWrap/>
            <w:vAlign w:val="center"/>
          </w:tcPr>
          <w:p w14:paraId="3A0241D7"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100</w:t>
            </w:r>
          </w:p>
        </w:tc>
        <w:tc>
          <w:tcPr>
            <w:tcW w:w="700" w:type="dxa"/>
            <w:tcBorders>
              <w:top w:val="nil"/>
              <w:left w:val="nil"/>
              <w:bottom w:val="nil"/>
              <w:right w:val="nil"/>
            </w:tcBorders>
            <w:shd w:val="clear" w:color="auto" w:fill="auto"/>
            <w:noWrap/>
            <w:vAlign w:val="center"/>
          </w:tcPr>
          <w:p w14:paraId="03A4A0D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16.0</w:t>
            </w:r>
          </w:p>
        </w:tc>
        <w:tc>
          <w:tcPr>
            <w:tcW w:w="700" w:type="dxa"/>
            <w:tcBorders>
              <w:top w:val="nil"/>
              <w:left w:val="nil"/>
              <w:bottom w:val="nil"/>
              <w:right w:val="nil"/>
            </w:tcBorders>
            <w:shd w:val="clear" w:color="auto" w:fill="auto"/>
            <w:noWrap/>
            <w:vAlign w:val="center"/>
          </w:tcPr>
          <w:p w14:paraId="5DBBE3E6"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15.0</w:t>
            </w:r>
          </w:p>
        </w:tc>
        <w:tc>
          <w:tcPr>
            <w:tcW w:w="700" w:type="dxa"/>
            <w:tcBorders>
              <w:top w:val="nil"/>
              <w:left w:val="nil"/>
              <w:bottom w:val="nil"/>
              <w:right w:val="nil"/>
            </w:tcBorders>
            <w:shd w:val="clear" w:color="auto" w:fill="auto"/>
            <w:noWrap/>
            <w:vAlign w:val="center"/>
          </w:tcPr>
          <w:p w14:paraId="0C22CF7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7.0</w:t>
            </w:r>
          </w:p>
        </w:tc>
        <w:tc>
          <w:tcPr>
            <w:tcW w:w="700" w:type="dxa"/>
            <w:tcBorders>
              <w:top w:val="nil"/>
              <w:left w:val="nil"/>
              <w:bottom w:val="nil"/>
              <w:right w:val="nil"/>
            </w:tcBorders>
            <w:shd w:val="clear" w:color="auto" w:fill="auto"/>
            <w:noWrap/>
            <w:vAlign w:val="center"/>
          </w:tcPr>
          <w:p w14:paraId="2E7CD03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9.0</w:t>
            </w:r>
          </w:p>
        </w:tc>
        <w:tc>
          <w:tcPr>
            <w:tcW w:w="700" w:type="dxa"/>
            <w:tcBorders>
              <w:top w:val="nil"/>
              <w:left w:val="nil"/>
              <w:bottom w:val="nil"/>
              <w:right w:val="nil"/>
            </w:tcBorders>
            <w:shd w:val="clear" w:color="auto" w:fill="auto"/>
            <w:noWrap/>
            <w:vAlign w:val="center"/>
          </w:tcPr>
          <w:p w14:paraId="054C56E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6.0</w:t>
            </w:r>
          </w:p>
        </w:tc>
        <w:tc>
          <w:tcPr>
            <w:tcW w:w="700" w:type="dxa"/>
            <w:tcBorders>
              <w:top w:val="nil"/>
              <w:left w:val="nil"/>
              <w:bottom w:val="nil"/>
              <w:right w:val="nil"/>
            </w:tcBorders>
            <w:shd w:val="clear" w:color="auto" w:fill="auto"/>
            <w:noWrap/>
            <w:vAlign w:val="center"/>
          </w:tcPr>
          <w:p w14:paraId="5CAE80A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4.0</w:t>
            </w:r>
          </w:p>
        </w:tc>
        <w:tc>
          <w:tcPr>
            <w:tcW w:w="700" w:type="dxa"/>
            <w:tcBorders>
              <w:top w:val="nil"/>
              <w:left w:val="nil"/>
              <w:bottom w:val="nil"/>
              <w:right w:val="nil"/>
            </w:tcBorders>
            <w:shd w:val="clear" w:color="auto" w:fill="auto"/>
            <w:noWrap/>
            <w:vAlign w:val="center"/>
          </w:tcPr>
          <w:p w14:paraId="2D89A0D8"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2.0</w:t>
            </w:r>
          </w:p>
        </w:tc>
        <w:tc>
          <w:tcPr>
            <w:tcW w:w="700" w:type="dxa"/>
            <w:tcBorders>
              <w:top w:val="nil"/>
              <w:left w:val="nil"/>
              <w:bottom w:val="nil"/>
              <w:right w:val="nil"/>
            </w:tcBorders>
            <w:shd w:val="clear" w:color="auto" w:fill="auto"/>
            <w:noWrap/>
            <w:vAlign w:val="center"/>
          </w:tcPr>
          <w:p w14:paraId="13EC37B8"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4.0</w:t>
            </w:r>
          </w:p>
        </w:tc>
        <w:tc>
          <w:tcPr>
            <w:tcW w:w="700" w:type="dxa"/>
            <w:tcBorders>
              <w:top w:val="nil"/>
              <w:left w:val="nil"/>
              <w:bottom w:val="nil"/>
              <w:right w:val="nil"/>
            </w:tcBorders>
            <w:shd w:val="clear" w:color="auto" w:fill="auto"/>
            <w:noWrap/>
            <w:vAlign w:val="center"/>
          </w:tcPr>
          <w:p w14:paraId="682238A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03E3477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7.0</w:t>
            </w:r>
          </w:p>
        </w:tc>
        <w:tc>
          <w:tcPr>
            <w:tcW w:w="700" w:type="dxa"/>
            <w:tcBorders>
              <w:top w:val="nil"/>
              <w:left w:val="nil"/>
              <w:bottom w:val="nil"/>
              <w:right w:val="nil"/>
            </w:tcBorders>
            <w:shd w:val="clear" w:color="auto" w:fill="auto"/>
            <w:noWrap/>
            <w:vAlign w:val="center"/>
          </w:tcPr>
          <w:p w14:paraId="413964F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51E23AA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5.0</w:t>
            </w:r>
          </w:p>
        </w:tc>
        <w:tc>
          <w:tcPr>
            <w:tcW w:w="700" w:type="dxa"/>
            <w:tcBorders>
              <w:top w:val="nil"/>
              <w:left w:val="nil"/>
              <w:bottom w:val="nil"/>
              <w:right w:val="nil"/>
            </w:tcBorders>
            <w:shd w:val="clear" w:color="auto" w:fill="auto"/>
            <w:noWrap/>
            <w:vAlign w:val="center"/>
          </w:tcPr>
          <w:p w14:paraId="6EF209D6"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567054C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2E70F77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11.0</w:t>
            </w:r>
          </w:p>
        </w:tc>
        <w:tc>
          <w:tcPr>
            <w:tcW w:w="700" w:type="dxa"/>
            <w:tcBorders>
              <w:top w:val="nil"/>
              <w:left w:val="nil"/>
              <w:bottom w:val="nil"/>
              <w:right w:val="nil"/>
            </w:tcBorders>
            <w:shd w:val="clear" w:color="auto" w:fill="auto"/>
            <w:noWrap/>
            <w:vAlign w:val="center"/>
          </w:tcPr>
          <w:p w14:paraId="3ED33BCB"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2.0</w:t>
            </w:r>
          </w:p>
        </w:tc>
        <w:tc>
          <w:tcPr>
            <w:tcW w:w="700" w:type="dxa"/>
            <w:tcBorders>
              <w:top w:val="nil"/>
              <w:left w:val="nil"/>
              <w:bottom w:val="nil"/>
              <w:right w:val="nil"/>
            </w:tcBorders>
            <w:shd w:val="clear" w:color="auto" w:fill="auto"/>
            <w:noWrap/>
            <w:vAlign w:val="center"/>
          </w:tcPr>
          <w:p w14:paraId="48A9BC3A"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r w:rsidRPr="002F4427">
              <w:rPr>
                <w:rFonts w:ascii="Times New Roman" w:eastAsia="Times New Roman" w:hAnsi="Times New Roman" w:cs="Times New Roman"/>
                <w:sz w:val="20"/>
                <w:szCs w:val="20"/>
              </w:rPr>
              <w:t>0.0</w:t>
            </w:r>
          </w:p>
        </w:tc>
        <w:tc>
          <w:tcPr>
            <w:tcW w:w="700" w:type="dxa"/>
            <w:tcBorders>
              <w:top w:val="nil"/>
              <w:left w:val="nil"/>
              <w:bottom w:val="nil"/>
              <w:right w:val="nil"/>
            </w:tcBorders>
            <w:shd w:val="clear" w:color="auto" w:fill="auto"/>
            <w:noWrap/>
            <w:vAlign w:val="center"/>
          </w:tcPr>
          <w:p w14:paraId="32A6E2F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3.0</w:t>
            </w:r>
          </w:p>
        </w:tc>
        <w:tc>
          <w:tcPr>
            <w:tcW w:w="700" w:type="dxa"/>
            <w:tcBorders>
              <w:top w:val="nil"/>
              <w:left w:val="nil"/>
              <w:bottom w:val="nil"/>
              <w:right w:val="nil"/>
            </w:tcBorders>
            <w:shd w:val="clear" w:color="auto" w:fill="auto"/>
            <w:noWrap/>
            <w:vAlign w:val="center"/>
          </w:tcPr>
          <w:p w14:paraId="475E457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069CE73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1.0</w:t>
            </w:r>
          </w:p>
        </w:tc>
        <w:tc>
          <w:tcPr>
            <w:tcW w:w="700" w:type="dxa"/>
            <w:tcBorders>
              <w:top w:val="nil"/>
              <w:left w:val="nil"/>
              <w:bottom w:val="nil"/>
              <w:right w:val="nil"/>
            </w:tcBorders>
            <w:shd w:val="clear" w:color="auto" w:fill="auto"/>
            <w:noWrap/>
            <w:vAlign w:val="center"/>
          </w:tcPr>
          <w:p w14:paraId="4C5EE6C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2.0</w:t>
            </w:r>
          </w:p>
        </w:tc>
        <w:tc>
          <w:tcPr>
            <w:tcW w:w="700" w:type="dxa"/>
            <w:tcBorders>
              <w:top w:val="nil"/>
              <w:left w:val="nil"/>
              <w:bottom w:val="nil"/>
              <w:right w:val="nil"/>
            </w:tcBorders>
            <w:shd w:val="clear" w:color="auto" w:fill="auto"/>
            <w:noWrap/>
            <w:vAlign w:val="center"/>
          </w:tcPr>
          <w:p w14:paraId="6FC8F45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0B521AA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67D52DF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nil"/>
              <w:right w:val="nil"/>
            </w:tcBorders>
            <w:shd w:val="clear" w:color="auto" w:fill="auto"/>
            <w:noWrap/>
            <w:vAlign w:val="center"/>
          </w:tcPr>
          <w:p w14:paraId="7850560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5.0</w:t>
            </w:r>
          </w:p>
        </w:tc>
      </w:tr>
      <w:tr w:rsidR="002F4427" w:rsidRPr="002F4427" w14:paraId="5E8D0BD4" w14:textId="77777777" w:rsidTr="002F4427">
        <w:trPr>
          <w:trHeight w:val="290"/>
        </w:trPr>
        <w:tc>
          <w:tcPr>
            <w:tcW w:w="960" w:type="dxa"/>
            <w:tcBorders>
              <w:top w:val="nil"/>
              <w:left w:val="nil"/>
              <w:right w:val="nil"/>
            </w:tcBorders>
            <w:shd w:val="clear" w:color="auto" w:fill="auto"/>
            <w:noWrap/>
            <w:vAlign w:val="bottom"/>
          </w:tcPr>
          <w:p w14:paraId="557A8543"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12-17</w:t>
            </w:r>
          </w:p>
        </w:tc>
        <w:tc>
          <w:tcPr>
            <w:tcW w:w="700" w:type="dxa"/>
            <w:tcBorders>
              <w:top w:val="nil"/>
              <w:left w:val="nil"/>
              <w:right w:val="nil"/>
            </w:tcBorders>
            <w:shd w:val="clear" w:color="auto" w:fill="auto"/>
            <w:noWrap/>
            <w:vAlign w:val="center"/>
          </w:tcPr>
          <w:p w14:paraId="58574CA1"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84</w:t>
            </w:r>
          </w:p>
        </w:tc>
        <w:tc>
          <w:tcPr>
            <w:tcW w:w="700" w:type="dxa"/>
            <w:tcBorders>
              <w:top w:val="nil"/>
              <w:left w:val="nil"/>
              <w:right w:val="nil"/>
            </w:tcBorders>
            <w:shd w:val="clear" w:color="auto" w:fill="auto"/>
            <w:noWrap/>
            <w:vAlign w:val="center"/>
          </w:tcPr>
          <w:p w14:paraId="2823AEE8"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25.0</w:t>
            </w:r>
          </w:p>
        </w:tc>
        <w:tc>
          <w:tcPr>
            <w:tcW w:w="700" w:type="dxa"/>
            <w:tcBorders>
              <w:top w:val="nil"/>
              <w:left w:val="nil"/>
              <w:right w:val="nil"/>
            </w:tcBorders>
            <w:shd w:val="clear" w:color="auto" w:fill="auto"/>
            <w:noWrap/>
            <w:vAlign w:val="center"/>
          </w:tcPr>
          <w:p w14:paraId="7BF9BBC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15.5</w:t>
            </w:r>
          </w:p>
        </w:tc>
        <w:tc>
          <w:tcPr>
            <w:tcW w:w="700" w:type="dxa"/>
            <w:tcBorders>
              <w:top w:val="nil"/>
              <w:left w:val="nil"/>
              <w:right w:val="nil"/>
            </w:tcBorders>
            <w:shd w:val="clear" w:color="auto" w:fill="auto"/>
            <w:noWrap/>
            <w:vAlign w:val="center"/>
          </w:tcPr>
          <w:p w14:paraId="36A544F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8.3</w:t>
            </w:r>
          </w:p>
        </w:tc>
        <w:tc>
          <w:tcPr>
            <w:tcW w:w="700" w:type="dxa"/>
            <w:tcBorders>
              <w:top w:val="nil"/>
              <w:left w:val="nil"/>
              <w:right w:val="nil"/>
            </w:tcBorders>
            <w:shd w:val="clear" w:color="auto" w:fill="auto"/>
            <w:noWrap/>
            <w:vAlign w:val="center"/>
          </w:tcPr>
          <w:p w14:paraId="7D538DD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4.8</w:t>
            </w:r>
          </w:p>
        </w:tc>
        <w:tc>
          <w:tcPr>
            <w:tcW w:w="700" w:type="dxa"/>
            <w:tcBorders>
              <w:top w:val="nil"/>
              <w:left w:val="nil"/>
              <w:right w:val="nil"/>
            </w:tcBorders>
            <w:shd w:val="clear" w:color="auto" w:fill="auto"/>
            <w:noWrap/>
            <w:vAlign w:val="center"/>
          </w:tcPr>
          <w:p w14:paraId="0974A62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9.5</w:t>
            </w:r>
          </w:p>
        </w:tc>
        <w:tc>
          <w:tcPr>
            <w:tcW w:w="700" w:type="dxa"/>
            <w:tcBorders>
              <w:top w:val="nil"/>
              <w:left w:val="nil"/>
              <w:right w:val="nil"/>
            </w:tcBorders>
            <w:shd w:val="clear" w:color="auto" w:fill="auto"/>
            <w:noWrap/>
            <w:vAlign w:val="center"/>
          </w:tcPr>
          <w:p w14:paraId="5B17F3F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4.8</w:t>
            </w:r>
          </w:p>
        </w:tc>
        <w:tc>
          <w:tcPr>
            <w:tcW w:w="700" w:type="dxa"/>
            <w:tcBorders>
              <w:top w:val="nil"/>
              <w:left w:val="nil"/>
              <w:right w:val="nil"/>
            </w:tcBorders>
            <w:shd w:val="clear" w:color="auto" w:fill="auto"/>
            <w:noWrap/>
            <w:vAlign w:val="center"/>
          </w:tcPr>
          <w:p w14:paraId="40F7795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2.4</w:t>
            </w:r>
          </w:p>
        </w:tc>
        <w:tc>
          <w:tcPr>
            <w:tcW w:w="700" w:type="dxa"/>
            <w:tcBorders>
              <w:top w:val="nil"/>
              <w:left w:val="nil"/>
              <w:right w:val="nil"/>
            </w:tcBorders>
            <w:shd w:val="clear" w:color="auto" w:fill="auto"/>
            <w:noWrap/>
            <w:vAlign w:val="center"/>
          </w:tcPr>
          <w:p w14:paraId="70F5D47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3.6</w:t>
            </w:r>
          </w:p>
        </w:tc>
        <w:tc>
          <w:tcPr>
            <w:tcW w:w="700" w:type="dxa"/>
            <w:tcBorders>
              <w:top w:val="nil"/>
              <w:left w:val="nil"/>
              <w:right w:val="nil"/>
            </w:tcBorders>
            <w:shd w:val="clear" w:color="auto" w:fill="auto"/>
            <w:noWrap/>
            <w:vAlign w:val="center"/>
          </w:tcPr>
          <w:p w14:paraId="21E3DFD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1.2</w:t>
            </w:r>
          </w:p>
        </w:tc>
        <w:tc>
          <w:tcPr>
            <w:tcW w:w="700" w:type="dxa"/>
            <w:tcBorders>
              <w:top w:val="nil"/>
              <w:left w:val="nil"/>
              <w:right w:val="nil"/>
            </w:tcBorders>
            <w:shd w:val="clear" w:color="auto" w:fill="auto"/>
            <w:noWrap/>
            <w:vAlign w:val="center"/>
          </w:tcPr>
          <w:p w14:paraId="3E0F57C8"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9.5</w:t>
            </w:r>
          </w:p>
        </w:tc>
        <w:tc>
          <w:tcPr>
            <w:tcW w:w="700" w:type="dxa"/>
            <w:tcBorders>
              <w:top w:val="nil"/>
              <w:left w:val="nil"/>
              <w:right w:val="nil"/>
            </w:tcBorders>
            <w:shd w:val="clear" w:color="auto" w:fill="auto"/>
            <w:noWrap/>
            <w:vAlign w:val="center"/>
          </w:tcPr>
          <w:p w14:paraId="6DA7663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4A099F5A"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1.2</w:t>
            </w:r>
          </w:p>
        </w:tc>
        <w:tc>
          <w:tcPr>
            <w:tcW w:w="700" w:type="dxa"/>
            <w:tcBorders>
              <w:top w:val="nil"/>
              <w:left w:val="nil"/>
              <w:right w:val="nil"/>
            </w:tcBorders>
            <w:shd w:val="clear" w:color="auto" w:fill="auto"/>
            <w:noWrap/>
            <w:vAlign w:val="center"/>
          </w:tcPr>
          <w:p w14:paraId="6E33294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3BC3134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45C79B7B"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2.4</w:t>
            </w:r>
          </w:p>
        </w:tc>
        <w:tc>
          <w:tcPr>
            <w:tcW w:w="700" w:type="dxa"/>
            <w:tcBorders>
              <w:top w:val="nil"/>
              <w:left w:val="nil"/>
              <w:right w:val="nil"/>
            </w:tcBorders>
            <w:shd w:val="clear" w:color="auto" w:fill="auto"/>
            <w:noWrap/>
            <w:vAlign w:val="center"/>
          </w:tcPr>
          <w:p w14:paraId="15A48DD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64E2F208"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r w:rsidRPr="002F4427">
              <w:rPr>
                <w:rFonts w:ascii="Times New Roman" w:eastAsia="Times New Roman" w:hAnsi="Times New Roman" w:cs="Times New Roman"/>
                <w:sz w:val="20"/>
                <w:szCs w:val="20"/>
              </w:rPr>
              <w:t>1.2</w:t>
            </w:r>
          </w:p>
        </w:tc>
        <w:tc>
          <w:tcPr>
            <w:tcW w:w="700" w:type="dxa"/>
            <w:tcBorders>
              <w:top w:val="nil"/>
              <w:left w:val="nil"/>
              <w:right w:val="nil"/>
            </w:tcBorders>
            <w:shd w:val="clear" w:color="auto" w:fill="auto"/>
            <w:noWrap/>
            <w:vAlign w:val="center"/>
          </w:tcPr>
          <w:p w14:paraId="716C173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4.8</w:t>
            </w:r>
          </w:p>
        </w:tc>
        <w:tc>
          <w:tcPr>
            <w:tcW w:w="700" w:type="dxa"/>
            <w:tcBorders>
              <w:top w:val="nil"/>
              <w:left w:val="nil"/>
              <w:right w:val="nil"/>
            </w:tcBorders>
            <w:shd w:val="clear" w:color="auto" w:fill="auto"/>
            <w:noWrap/>
            <w:vAlign w:val="center"/>
          </w:tcPr>
          <w:p w14:paraId="5AC2770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715E669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4D91CD0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6D724A7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1.2</w:t>
            </w:r>
          </w:p>
        </w:tc>
        <w:tc>
          <w:tcPr>
            <w:tcW w:w="700" w:type="dxa"/>
            <w:tcBorders>
              <w:top w:val="nil"/>
              <w:left w:val="nil"/>
              <w:right w:val="nil"/>
            </w:tcBorders>
            <w:shd w:val="clear" w:color="auto" w:fill="auto"/>
            <w:noWrap/>
            <w:vAlign w:val="center"/>
          </w:tcPr>
          <w:p w14:paraId="549EE24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6E5AFF1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right w:val="nil"/>
            </w:tcBorders>
            <w:shd w:val="clear" w:color="auto" w:fill="auto"/>
            <w:noWrap/>
            <w:vAlign w:val="center"/>
          </w:tcPr>
          <w:p w14:paraId="33F87AD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2.4</w:t>
            </w:r>
          </w:p>
        </w:tc>
      </w:tr>
      <w:tr w:rsidR="002F4427" w:rsidRPr="002F4427" w14:paraId="4841F7A0" w14:textId="77777777" w:rsidTr="002F4427">
        <w:trPr>
          <w:trHeight w:val="290"/>
        </w:trPr>
        <w:tc>
          <w:tcPr>
            <w:tcW w:w="960" w:type="dxa"/>
            <w:tcBorders>
              <w:top w:val="nil"/>
              <w:left w:val="nil"/>
              <w:bottom w:val="single" w:sz="4" w:space="0" w:color="auto"/>
              <w:right w:val="nil"/>
            </w:tcBorders>
            <w:shd w:val="clear" w:color="auto" w:fill="auto"/>
            <w:noWrap/>
            <w:vAlign w:val="bottom"/>
          </w:tcPr>
          <w:p w14:paraId="640BA4AC" w14:textId="77777777" w:rsidR="002F4427" w:rsidRPr="002F4427" w:rsidRDefault="002F4427" w:rsidP="002F4427">
            <w:pPr>
              <w:spacing w:after="0" w:line="240" w:lineRule="auto"/>
              <w:rPr>
                <w:rFonts w:ascii="Calibri" w:eastAsia="Times New Roman" w:hAnsi="Calibri" w:cs="Calibri"/>
                <w:b/>
                <w:bCs/>
                <w:color w:val="000000"/>
              </w:rPr>
            </w:pPr>
            <w:r w:rsidRPr="002F4427">
              <w:rPr>
                <w:rFonts w:ascii="Calibri" w:eastAsia="Times New Roman" w:hAnsi="Calibri" w:cs="Calibri"/>
                <w:b/>
                <w:bCs/>
                <w:color w:val="000000"/>
              </w:rPr>
              <w:t>18-64</w:t>
            </w:r>
          </w:p>
        </w:tc>
        <w:tc>
          <w:tcPr>
            <w:tcW w:w="700" w:type="dxa"/>
            <w:tcBorders>
              <w:top w:val="nil"/>
              <w:left w:val="nil"/>
              <w:bottom w:val="single" w:sz="4" w:space="0" w:color="auto"/>
              <w:right w:val="nil"/>
            </w:tcBorders>
            <w:shd w:val="clear" w:color="auto" w:fill="auto"/>
            <w:noWrap/>
            <w:vAlign w:val="center"/>
          </w:tcPr>
          <w:p w14:paraId="2DB94077" w14:textId="77777777"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eastAsia="Times New Roman" w:hAnsi="Calibri" w:cs="Calibri"/>
                <w:i/>
                <w:iCs/>
                <w:color w:val="000000"/>
              </w:rPr>
              <w:t>360</w:t>
            </w:r>
          </w:p>
        </w:tc>
        <w:tc>
          <w:tcPr>
            <w:tcW w:w="700" w:type="dxa"/>
            <w:tcBorders>
              <w:top w:val="nil"/>
              <w:left w:val="nil"/>
              <w:bottom w:val="single" w:sz="4" w:space="0" w:color="auto"/>
              <w:right w:val="nil"/>
            </w:tcBorders>
            <w:shd w:val="clear" w:color="auto" w:fill="auto"/>
            <w:noWrap/>
            <w:vAlign w:val="center"/>
          </w:tcPr>
          <w:p w14:paraId="36EAD0E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23.9</w:t>
            </w:r>
          </w:p>
        </w:tc>
        <w:tc>
          <w:tcPr>
            <w:tcW w:w="700" w:type="dxa"/>
            <w:tcBorders>
              <w:top w:val="nil"/>
              <w:left w:val="nil"/>
              <w:bottom w:val="single" w:sz="4" w:space="0" w:color="auto"/>
              <w:right w:val="nil"/>
            </w:tcBorders>
            <w:shd w:val="clear" w:color="auto" w:fill="auto"/>
            <w:noWrap/>
            <w:vAlign w:val="center"/>
          </w:tcPr>
          <w:p w14:paraId="695BEB5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13.3</w:t>
            </w:r>
          </w:p>
        </w:tc>
        <w:tc>
          <w:tcPr>
            <w:tcW w:w="700" w:type="dxa"/>
            <w:tcBorders>
              <w:top w:val="nil"/>
              <w:left w:val="nil"/>
              <w:bottom w:val="single" w:sz="4" w:space="0" w:color="auto"/>
              <w:right w:val="nil"/>
            </w:tcBorders>
            <w:shd w:val="clear" w:color="auto" w:fill="auto"/>
            <w:noWrap/>
            <w:vAlign w:val="center"/>
          </w:tcPr>
          <w:p w14:paraId="065FDA1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13.9</w:t>
            </w:r>
          </w:p>
        </w:tc>
        <w:tc>
          <w:tcPr>
            <w:tcW w:w="700" w:type="dxa"/>
            <w:tcBorders>
              <w:top w:val="nil"/>
              <w:left w:val="nil"/>
              <w:bottom w:val="single" w:sz="4" w:space="0" w:color="auto"/>
              <w:right w:val="nil"/>
            </w:tcBorders>
            <w:shd w:val="clear" w:color="auto" w:fill="auto"/>
            <w:noWrap/>
            <w:vAlign w:val="center"/>
          </w:tcPr>
          <w:p w14:paraId="263DB53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7.5</w:t>
            </w:r>
          </w:p>
        </w:tc>
        <w:tc>
          <w:tcPr>
            <w:tcW w:w="700" w:type="dxa"/>
            <w:tcBorders>
              <w:top w:val="nil"/>
              <w:left w:val="nil"/>
              <w:bottom w:val="single" w:sz="4" w:space="0" w:color="auto"/>
              <w:right w:val="nil"/>
            </w:tcBorders>
            <w:shd w:val="clear" w:color="auto" w:fill="auto"/>
            <w:noWrap/>
            <w:vAlign w:val="center"/>
          </w:tcPr>
          <w:p w14:paraId="285EB0B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6.1</w:t>
            </w:r>
          </w:p>
        </w:tc>
        <w:tc>
          <w:tcPr>
            <w:tcW w:w="700" w:type="dxa"/>
            <w:tcBorders>
              <w:top w:val="nil"/>
              <w:left w:val="nil"/>
              <w:bottom w:val="single" w:sz="4" w:space="0" w:color="auto"/>
              <w:right w:val="nil"/>
            </w:tcBorders>
            <w:shd w:val="clear" w:color="auto" w:fill="auto"/>
            <w:noWrap/>
            <w:vAlign w:val="center"/>
          </w:tcPr>
          <w:p w14:paraId="53AD2D5F"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3.1</w:t>
            </w:r>
          </w:p>
        </w:tc>
        <w:tc>
          <w:tcPr>
            <w:tcW w:w="700" w:type="dxa"/>
            <w:tcBorders>
              <w:top w:val="nil"/>
              <w:left w:val="nil"/>
              <w:bottom w:val="single" w:sz="4" w:space="0" w:color="auto"/>
              <w:right w:val="nil"/>
            </w:tcBorders>
            <w:shd w:val="clear" w:color="auto" w:fill="auto"/>
            <w:noWrap/>
            <w:vAlign w:val="center"/>
          </w:tcPr>
          <w:p w14:paraId="35B282C2"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1.4</w:t>
            </w:r>
          </w:p>
        </w:tc>
        <w:tc>
          <w:tcPr>
            <w:tcW w:w="700" w:type="dxa"/>
            <w:tcBorders>
              <w:top w:val="nil"/>
              <w:left w:val="nil"/>
              <w:bottom w:val="single" w:sz="4" w:space="0" w:color="auto"/>
              <w:right w:val="nil"/>
            </w:tcBorders>
            <w:shd w:val="clear" w:color="auto" w:fill="auto"/>
            <w:noWrap/>
            <w:vAlign w:val="center"/>
          </w:tcPr>
          <w:p w14:paraId="1C4F1FE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3.9</w:t>
            </w:r>
          </w:p>
        </w:tc>
        <w:tc>
          <w:tcPr>
            <w:tcW w:w="700" w:type="dxa"/>
            <w:tcBorders>
              <w:top w:val="nil"/>
              <w:left w:val="nil"/>
              <w:bottom w:val="single" w:sz="4" w:space="0" w:color="auto"/>
              <w:right w:val="nil"/>
            </w:tcBorders>
            <w:shd w:val="clear" w:color="auto" w:fill="auto"/>
            <w:noWrap/>
            <w:vAlign w:val="center"/>
          </w:tcPr>
          <w:p w14:paraId="22868E39"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single" w:sz="4" w:space="0" w:color="auto"/>
              <w:right w:val="nil"/>
            </w:tcBorders>
            <w:shd w:val="clear" w:color="auto" w:fill="auto"/>
            <w:noWrap/>
            <w:vAlign w:val="center"/>
          </w:tcPr>
          <w:p w14:paraId="1F0ADCE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5.0</w:t>
            </w:r>
          </w:p>
        </w:tc>
        <w:tc>
          <w:tcPr>
            <w:tcW w:w="700" w:type="dxa"/>
            <w:tcBorders>
              <w:top w:val="nil"/>
              <w:left w:val="nil"/>
              <w:bottom w:val="single" w:sz="4" w:space="0" w:color="auto"/>
              <w:right w:val="nil"/>
            </w:tcBorders>
            <w:shd w:val="clear" w:color="auto" w:fill="auto"/>
            <w:noWrap/>
            <w:vAlign w:val="center"/>
          </w:tcPr>
          <w:p w14:paraId="7EC851B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0.8</w:t>
            </w:r>
          </w:p>
        </w:tc>
        <w:tc>
          <w:tcPr>
            <w:tcW w:w="700" w:type="dxa"/>
            <w:tcBorders>
              <w:top w:val="nil"/>
              <w:left w:val="nil"/>
              <w:bottom w:val="single" w:sz="4" w:space="0" w:color="auto"/>
              <w:right w:val="nil"/>
            </w:tcBorders>
            <w:shd w:val="clear" w:color="auto" w:fill="auto"/>
            <w:noWrap/>
            <w:vAlign w:val="center"/>
          </w:tcPr>
          <w:p w14:paraId="65F4D417"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4.2</w:t>
            </w:r>
          </w:p>
        </w:tc>
        <w:tc>
          <w:tcPr>
            <w:tcW w:w="700" w:type="dxa"/>
            <w:tcBorders>
              <w:top w:val="nil"/>
              <w:left w:val="nil"/>
              <w:bottom w:val="single" w:sz="4" w:space="0" w:color="auto"/>
              <w:right w:val="nil"/>
            </w:tcBorders>
            <w:shd w:val="clear" w:color="auto" w:fill="auto"/>
            <w:noWrap/>
            <w:vAlign w:val="center"/>
          </w:tcPr>
          <w:p w14:paraId="7C79701C"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0.3</w:t>
            </w:r>
          </w:p>
        </w:tc>
        <w:tc>
          <w:tcPr>
            <w:tcW w:w="700" w:type="dxa"/>
            <w:tcBorders>
              <w:top w:val="nil"/>
              <w:left w:val="nil"/>
              <w:bottom w:val="single" w:sz="4" w:space="0" w:color="auto"/>
              <w:right w:val="nil"/>
            </w:tcBorders>
            <w:shd w:val="clear" w:color="auto" w:fill="auto"/>
            <w:noWrap/>
            <w:vAlign w:val="center"/>
          </w:tcPr>
          <w:p w14:paraId="59CEE8BE"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0.3</w:t>
            </w:r>
          </w:p>
        </w:tc>
        <w:tc>
          <w:tcPr>
            <w:tcW w:w="700" w:type="dxa"/>
            <w:tcBorders>
              <w:top w:val="nil"/>
              <w:left w:val="nil"/>
              <w:bottom w:val="single" w:sz="4" w:space="0" w:color="auto"/>
              <w:right w:val="nil"/>
            </w:tcBorders>
            <w:shd w:val="clear" w:color="auto" w:fill="auto"/>
            <w:noWrap/>
            <w:vAlign w:val="center"/>
          </w:tcPr>
          <w:p w14:paraId="71C3A38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2.8</w:t>
            </w:r>
          </w:p>
        </w:tc>
        <w:tc>
          <w:tcPr>
            <w:tcW w:w="700" w:type="dxa"/>
            <w:tcBorders>
              <w:top w:val="nil"/>
              <w:left w:val="nil"/>
              <w:bottom w:val="single" w:sz="4" w:space="0" w:color="auto"/>
              <w:right w:val="nil"/>
            </w:tcBorders>
            <w:shd w:val="clear" w:color="auto" w:fill="auto"/>
            <w:noWrap/>
            <w:vAlign w:val="center"/>
          </w:tcPr>
          <w:p w14:paraId="796652F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single" w:sz="4" w:space="0" w:color="auto"/>
              <w:right w:val="nil"/>
            </w:tcBorders>
            <w:shd w:val="clear" w:color="auto" w:fill="auto"/>
            <w:noWrap/>
            <w:vAlign w:val="center"/>
          </w:tcPr>
          <w:p w14:paraId="658948DC"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r w:rsidRPr="002F4427">
              <w:rPr>
                <w:rFonts w:ascii="Times New Roman" w:eastAsia="Times New Roman" w:hAnsi="Times New Roman" w:cs="Times New Roman"/>
                <w:sz w:val="20"/>
                <w:szCs w:val="20"/>
              </w:rPr>
              <w:t>0.0</w:t>
            </w:r>
          </w:p>
        </w:tc>
        <w:tc>
          <w:tcPr>
            <w:tcW w:w="700" w:type="dxa"/>
            <w:tcBorders>
              <w:top w:val="nil"/>
              <w:left w:val="nil"/>
              <w:bottom w:val="single" w:sz="4" w:space="0" w:color="auto"/>
              <w:right w:val="nil"/>
            </w:tcBorders>
            <w:shd w:val="clear" w:color="auto" w:fill="auto"/>
            <w:noWrap/>
            <w:vAlign w:val="center"/>
          </w:tcPr>
          <w:p w14:paraId="5EBD0141"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4.2</w:t>
            </w:r>
          </w:p>
        </w:tc>
        <w:tc>
          <w:tcPr>
            <w:tcW w:w="700" w:type="dxa"/>
            <w:tcBorders>
              <w:top w:val="nil"/>
              <w:left w:val="nil"/>
              <w:bottom w:val="single" w:sz="4" w:space="0" w:color="auto"/>
              <w:right w:val="nil"/>
            </w:tcBorders>
            <w:shd w:val="clear" w:color="auto" w:fill="auto"/>
            <w:noWrap/>
            <w:vAlign w:val="center"/>
          </w:tcPr>
          <w:p w14:paraId="13E5F295"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0.3</w:t>
            </w:r>
          </w:p>
        </w:tc>
        <w:tc>
          <w:tcPr>
            <w:tcW w:w="700" w:type="dxa"/>
            <w:tcBorders>
              <w:top w:val="nil"/>
              <w:left w:val="nil"/>
              <w:bottom w:val="single" w:sz="4" w:space="0" w:color="auto"/>
              <w:right w:val="nil"/>
            </w:tcBorders>
            <w:shd w:val="clear" w:color="auto" w:fill="auto"/>
            <w:noWrap/>
            <w:vAlign w:val="center"/>
          </w:tcPr>
          <w:p w14:paraId="7797FB0B"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single" w:sz="4" w:space="0" w:color="auto"/>
              <w:right w:val="nil"/>
            </w:tcBorders>
            <w:shd w:val="clear" w:color="auto" w:fill="auto"/>
            <w:noWrap/>
            <w:vAlign w:val="center"/>
          </w:tcPr>
          <w:p w14:paraId="1C86C8B0"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1.9</w:t>
            </w:r>
          </w:p>
        </w:tc>
        <w:tc>
          <w:tcPr>
            <w:tcW w:w="700" w:type="dxa"/>
            <w:tcBorders>
              <w:top w:val="nil"/>
              <w:left w:val="nil"/>
              <w:bottom w:val="single" w:sz="4" w:space="0" w:color="auto"/>
              <w:right w:val="nil"/>
            </w:tcBorders>
            <w:shd w:val="clear" w:color="auto" w:fill="auto"/>
            <w:noWrap/>
            <w:vAlign w:val="center"/>
          </w:tcPr>
          <w:p w14:paraId="79CDCCCB"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0.3</w:t>
            </w:r>
          </w:p>
        </w:tc>
        <w:tc>
          <w:tcPr>
            <w:tcW w:w="700" w:type="dxa"/>
            <w:tcBorders>
              <w:top w:val="nil"/>
              <w:left w:val="nil"/>
              <w:bottom w:val="single" w:sz="4" w:space="0" w:color="auto"/>
              <w:right w:val="nil"/>
            </w:tcBorders>
            <w:shd w:val="clear" w:color="auto" w:fill="auto"/>
            <w:noWrap/>
            <w:vAlign w:val="center"/>
          </w:tcPr>
          <w:p w14:paraId="6736852D"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0.3</w:t>
            </w:r>
          </w:p>
        </w:tc>
        <w:tc>
          <w:tcPr>
            <w:tcW w:w="700" w:type="dxa"/>
            <w:tcBorders>
              <w:top w:val="nil"/>
              <w:left w:val="nil"/>
              <w:bottom w:val="single" w:sz="4" w:space="0" w:color="auto"/>
              <w:right w:val="nil"/>
            </w:tcBorders>
            <w:shd w:val="clear" w:color="auto" w:fill="auto"/>
            <w:noWrap/>
            <w:vAlign w:val="center"/>
          </w:tcPr>
          <w:p w14:paraId="319FEBE3"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0.0</w:t>
            </w:r>
          </w:p>
        </w:tc>
        <w:tc>
          <w:tcPr>
            <w:tcW w:w="700" w:type="dxa"/>
            <w:tcBorders>
              <w:top w:val="nil"/>
              <w:left w:val="nil"/>
              <w:bottom w:val="single" w:sz="4" w:space="0" w:color="auto"/>
              <w:right w:val="nil"/>
            </w:tcBorders>
            <w:shd w:val="clear" w:color="auto" w:fill="auto"/>
            <w:noWrap/>
            <w:vAlign w:val="center"/>
          </w:tcPr>
          <w:p w14:paraId="5F292374" w14:textId="77777777" w:rsidR="002F4427" w:rsidRPr="002F4427" w:rsidRDefault="002F4427" w:rsidP="002F4427">
            <w:pPr>
              <w:spacing w:after="0" w:line="240" w:lineRule="auto"/>
              <w:jc w:val="center"/>
              <w:rPr>
                <w:rFonts w:ascii="Calibri" w:eastAsia="Times New Roman" w:hAnsi="Calibri" w:cs="Calibri"/>
                <w:color w:val="000000"/>
              </w:rPr>
            </w:pPr>
            <w:r w:rsidRPr="002F4427">
              <w:rPr>
                <w:rFonts w:ascii="Calibri" w:eastAsia="Times New Roman" w:hAnsi="Calibri" w:cs="Calibri"/>
                <w:color w:val="000000"/>
              </w:rPr>
              <w:t>4.2</w:t>
            </w:r>
          </w:p>
        </w:tc>
      </w:tr>
      <w:tr w:rsidR="002F4427" w:rsidRPr="002F4427" w14:paraId="02FF4B51" w14:textId="77777777" w:rsidTr="002F4427">
        <w:trPr>
          <w:trHeight w:val="290"/>
        </w:trPr>
        <w:tc>
          <w:tcPr>
            <w:tcW w:w="960" w:type="dxa"/>
            <w:tcBorders>
              <w:top w:val="single" w:sz="4" w:space="0" w:color="auto"/>
              <w:left w:val="nil"/>
              <w:bottom w:val="nil"/>
              <w:right w:val="nil"/>
            </w:tcBorders>
            <w:shd w:val="clear" w:color="auto" w:fill="auto"/>
            <w:noWrap/>
            <w:vAlign w:val="bottom"/>
          </w:tcPr>
          <w:p w14:paraId="14B51BE3" w14:textId="77777777" w:rsidR="002F4427" w:rsidRPr="002F4427" w:rsidRDefault="002F4427" w:rsidP="002F4427">
            <w:pPr>
              <w:spacing w:after="0" w:line="240" w:lineRule="auto"/>
              <w:rPr>
                <w:rFonts w:ascii="Calibri" w:eastAsia="Times New Roman" w:hAnsi="Calibri" w:cs="Calibri"/>
                <w:b/>
                <w:bCs/>
                <w:color w:val="000000"/>
              </w:rPr>
            </w:pPr>
          </w:p>
        </w:tc>
        <w:tc>
          <w:tcPr>
            <w:tcW w:w="700" w:type="dxa"/>
            <w:tcBorders>
              <w:top w:val="single" w:sz="4" w:space="0" w:color="auto"/>
              <w:left w:val="nil"/>
              <w:bottom w:val="nil"/>
              <w:right w:val="nil"/>
            </w:tcBorders>
            <w:shd w:val="clear" w:color="auto" w:fill="auto"/>
            <w:noWrap/>
            <w:vAlign w:val="center"/>
          </w:tcPr>
          <w:p w14:paraId="02FBA2F8"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AA7ACDC"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5D9F2035"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3CA36923"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640530BD"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362BB860"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464CFC10"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26ECCB4"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3FAFD588"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579F8877"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E4310B4"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DE48A35"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396CB4E"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B021DB8"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3B3AE007"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5CB1519F"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19951BE1"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85B356C" w14:textId="77777777" w:rsidR="002F4427" w:rsidRPr="002F4427" w:rsidRDefault="002F4427" w:rsidP="002F4427">
            <w:pPr>
              <w:spacing w:after="0" w:line="240" w:lineRule="auto"/>
              <w:jc w:val="center"/>
              <w:rPr>
                <w:rFonts w:ascii="Times New Roman" w:eastAsia="Times New Roman" w:hAnsi="Times New Roman" w:cs="Times New Roman"/>
                <w:sz w:val="20"/>
                <w:szCs w:val="20"/>
              </w:rPr>
            </w:pPr>
          </w:p>
        </w:tc>
        <w:tc>
          <w:tcPr>
            <w:tcW w:w="700" w:type="dxa"/>
            <w:tcBorders>
              <w:top w:val="single" w:sz="4" w:space="0" w:color="auto"/>
              <w:left w:val="nil"/>
              <w:bottom w:val="nil"/>
              <w:right w:val="nil"/>
            </w:tcBorders>
            <w:shd w:val="clear" w:color="auto" w:fill="auto"/>
            <w:noWrap/>
            <w:vAlign w:val="center"/>
          </w:tcPr>
          <w:p w14:paraId="2E1D29EE"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2FDE640E"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1B149B4"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9651EFD"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076283EB"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696B74B9"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5A69CE27" w14:textId="77777777" w:rsidR="002F4427" w:rsidRPr="002F4427" w:rsidRDefault="002F4427" w:rsidP="002F4427">
            <w:pPr>
              <w:spacing w:after="0" w:line="240" w:lineRule="auto"/>
              <w:jc w:val="center"/>
              <w:rPr>
                <w:rFonts w:ascii="Calibri" w:eastAsia="Times New Roman" w:hAnsi="Calibri" w:cs="Calibri"/>
                <w:color w:val="000000"/>
              </w:rPr>
            </w:pPr>
          </w:p>
        </w:tc>
        <w:tc>
          <w:tcPr>
            <w:tcW w:w="700" w:type="dxa"/>
            <w:tcBorders>
              <w:top w:val="single" w:sz="4" w:space="0" w:color="auto"/>
              <w:left w:val="nil"/>
              <w:bottom w:val="nil"/>
              <w:right w:val="nil"/>
            </w:tcBorders>
            <w:shd w:val="clear" w:color="auto" w:fill="auto"/>
            <w:noWrap/>
            <w:vAlign w:val="center"/>
          </w:tcPr>
          <w:p w14:paraId="28168529" w14:textId="77777777" w:rsidR="002F4427" w:rsidRPr="002F4427" w:rsidRDefault="002F4427" w:rsidP="002F4427">
            <w:pPr>
              <w:spacing w:after="0" w:line="240" w:lineRule="auto"/>
              <w:jc w:val="center"/>
              <w:rPr>
                <w:rFonts w:ascii="Calibri" w:eastAsia="Times New Roman" w:hAnsi="Calibri" w:cs="Calibri"/>
                <w:color w:val="000000"/>
              </w:rPr>
            </w:pPr>
          </w:p>
        </w:tc>
      </w:tr>
      <w:tr w:rsidR="00304037" w:rsidRPr="002F4427" w14:paraId="379075FD" w14:textId="77777777" w:rsidTr="009500B2">
        <w:trPr>
          <w:trHeight w:val="290"/>
        </w:trPr>
        <w:tc>
          <w:tcPr>
            <w:tcW w:w="19160" w:type="dxa"/>
            <w:gridSpan w:val="27"/>
            <w:tcBorders>
              <w:top w:val="nil"/>
              <w:left w:val="nil"/>
              <w:bottom w:val="single" w:sz="4" w:space="0" w:color="auto"/>
              <w:right w:val="nil"/>
            </w:tcBorders>
            <w:shd w:val="clear" w:color="auto" w:fill="auto"/>
            <w:noWrap/>
            <w:vAlign w:val="bottom"/>
          </w:tcPr>
          <w:p w14:paraId="1B7D78D0" w14:textId="3469E22E" w:rsidR="00304037" w:rsidRPr="002F4427" w:rsidRDefault="00304037" w:rsidP="00304037">
            <w:pPr>
              <w:spacing w:after="0" w:line="240" w:lineRule="auto"/>
              <w:rPr>
                <w:rFonts w:ascii="Calibri" w:eastAsia="Times New Roman" w:hAnsi="Calibri" w:cs="Calibri"/>
                <w:color w:val="000000"/>
              </w:rPr>
            </w:pPr>
            <w:r w:rsidRPr="002F4427">
              <w:rPr>
                <w:rFonts w:ascii="Calibri" w:eastAsia="Times New Roman" w:hAnsi="Calibri" w:cs="Calibri"/>
                <w:b/>
                <w:bCs/>
                <w:color w:val="000000"/>
              </w:rPr>
              <w:t># Times swimming/month (cumulative %)</w:t>
            </w:r>
            <w:r>
              <w:rPr>
                <w:rFonts w:ascii="Calibri" w:eastAsia="Times New Roman" w:hAnsi="Calibri" w:cs="Calibri"/>
                <w:b/>
                <w:bCs/>
                <w:color w:val="000000"/>
              </w:rPr>
              <w:t xml:space="preserve"> </w:t>
            </w:r>
            <w:r w:rsidRPr="00304037">
              <w:rPr>
                <w:rFonts w:ascii="Calibri" w:eastAsia="Times New Roman" w:hAnsi="Calibri" w:cs="Calibri"/>
                <w:color w:val="000000"/>
              </w:rPr>
              <w:t>(calculated)</w:t>
            </w:r>
          </w:p>
        </w:tc>
      </w:tr>
      <w:tr w:rsidR="002F4427" w:rsidRPr="002F4427" w14:paraId="477D253C" w14:textId="77777777" w:rsidTr="002F4427">
        <w:trPr>
          <w:trHeight w:val="290"/>
        </w:trPr>
        <w:tc>
          <w:tcPr>
            <w:tcW w:w="960" w:type="dxa"/>
            <w:tcBorders>
              <w:top w:val="single" w:sz="4" w:space="0" w:color="auto"/>
              <w:left w:val="nil"/>
              <w:bottom w:val="nil"/>
              <w:right w:val="nil"/>
            </w:tcBorders>
            <w:shd w:val="clear" w:color="auto" w:fill="D9D9D9" w:themeFill="background1" w:themeFillShade="D9"/>
            <w:noWrap/>
            <w:vAlign w:val="bottom"/>
          </w:tcPr>
          <w:p w14:paraId="1F10D669" w14:textId="5780FB3E" w:rsidR="002F4427" w:rsidRPr="002F4427" w:rsidRDefault="002F4427" w:rsidP="002F4427">
            <w:pPr>
              <w:spacing w:after="0" w:line="240" w:lineRule="auto"/>
              <w:rPr>
                <w:rFonts w:ascii="Calibri" w:eastAsia="Times New Roman" w:hAnsi="Calibri" w:cs="Calibri"/>
                <w:b/>
                <w:bCs/>
                <w:color w:val="000000"/>
              </w:rPr>
            </w:pPr>
            <w:r>
              <w:rPr>
                <w:rFonts w:ascii="Calibri" w:hAnsi="Calibri" w:cs="Calibri"/>
                <w:b/>
                <w:bCs/>
                <w:color w:val="000000"/>
              </w:rPr>
              <w:t>Age</w:t>
            </w:r>
          </w:p>
        </w:tc>
        <w:tc>
          <w:tcPr>
            <w:tcW w:w="700" w:type="dxa"/>
            <w:tcBorders>
              <w:top w:val="single" w:sz="4" w:space="0" w:color="auto"/>
              <w:left w:val="nil"/>
              <w:bottom w:val="nil"/>
              <w:right w:val="nil"/>
            </w:tcBorders>
            <w:shd w:val="clear" w:color="auto" w:fill="D9D9D9" w:themeFill="background1" w:themeFillShade="D9"/>
            <w:noWrap/>
            <w:vAlign w:val="center"/>
          </w:tcPr>
          <w:p w14:paraId="63FE3543" w14:textId="0A3360DA"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hAnsi="Calibri" w:cs="Calibri"/>
                <w:b/>
                <w:bCs/>
                <w:i/>
                <w:iCs/>
                <w:color w:val="000000"/>
              </w:rPr>
              <w:t>n</w:t>
            </w:r>
          </w:p>
        </w:tc>
        <w:tc>
          <w:tcPr>
            <w:tcW w:w="700" w:type="dxa"/>
            <w:tcBorders>
              <w:top w:val="single" w:sz="4" w:space="0" w:color="auto"/>
              <w:left w:val="nil"/>
              <w:bottom w:val="nil"/>
              <w:right w:val="nil"/>
            </w:tcBorders>
            <w:shd w:val="clear" w:color="auto" w:fill="D9D9D9" w:themeFill="background1" w:themeFillShade="D9"/>
            <w:noWrap/>
            <w:vAlign w:val="center"/>
          </w:tcPr>
          <w:p w14:paraId="2A4E313E" w14:textId="7017512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w:t>
            </w:r>
          </w:p>
        </w:tc>
        <w:tc>
          <w:tcPr>
            <w:tcW w:w="700" w:type="dxa"/>
            <w:tcBorders>
              <w:top w:val="single" w:sz="4" w:space="0" w:color="auto"/>
              <w:left w:val="nil"/>
              <w:bottom w:val="nil"/>
              <w:right w:val="nil"/>
            </w:tcBorders>
            <w:shd w:val="clear" w:color="auto" w:fill="D9D9D9" w:themeFill="background1" w:themeFillShade="D9"/>
            <w:noWrap/>
            <w:vAlign w:val="center"/>
          </w:tcPr>
          <w:p w14:paraId="14C3F290" w14:textId="49921E36"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w:t>
            </w:r>
          </w:p>
        </w:tc>
        <w:tc>
          <w:tcPr>
            <w:tcW w:w="700" w:type="dxa"/>
            <w:tcBorders>
              <w:top w:val="single" w:sz="4" w:space="0" w:color="auto"/>
              <w:left w:val="nil"/>
              <w:bottom w:val="nil"/>
              <w:right w:val="nil"/>
            </w:tcBorders>
            <w:shd w:val="clear" w:color="auto" w:fill="D9D9D9" w:themeFill="background1" w:themeFillShade="D9"/>
            <w:noWrap/>
            <w:vAlign w:val="center"/>
          </w:tcPr>
          <w:p w14:paraId="3C3D4C63" w14:textId="059DE8FE"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3</w:t>
            </w:r>
          </w:p>
        </w:tc>
        <w:tc>
          <w:tcPr>
            <w:tcW w:w="700" w:type="dxa"/>
            <w:tcBorders>
              <w:top w:val="single" w:sz="4" w:space="0" w:color="auto"/>
              <w:left w:val="nil"/>
              <w:bottom w:val="nil"/>
              <w:right w:val="nil"/>
            </w:tcBorders>
            <w:shd w:val="clear" w:color="auto" w:fill="D9D9D9" w:themeFill="background1" w:themeFillShade="D9"/>
            <w:noWrap/>
            <w:vAlign w:val="center"/>
          </w:tcPr>
          <w:p w14:paraId="16A85626" w14:textId="160016EB"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4</w:t>
            </w:r>
          </w:p>
        </w:tc>
        <w:tc>
          <w:tcPr>
            <w:tcW w:w="700" w:type="dxa"/>
            <w:tcBorders>
              <w:top w:val="single" w:sz="4" w:space="0" w:color="auto"/>
              <w:left w:val="nil"/>
              <w:bottom w:val="nil"/>
              <w:right w:val="nil"/>
            </w:tcBorders>
            <w:shd w:val="clear" w:color="auto" w:fill="D9D9D9" w:themeFill="background1" w:themeFillShade="D9"/>
            <w:noWrap/>
            <w:vAlign w:val="center"/>
          </w:tcPr>
          <w:p w14:paraId="52FD9DA9" w14:textId="1C7BE328"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5</w:t>
            </w:r>
          </w:p>
        </w:tc>
        <w:tc>
          <w:tcPr>
            <w:tcW w:w="700" w:type="dxa"/>
            <w:tcBorders>
              <w:top w:val="single" w:sz="4" w:space="0" w:color="auto"/>
              <w:left w:val="nil"/>
              <w:bottom w:val="nil"/>
              <w:right w:val="nil"/>
            </w:tcBorders>
            <w:shd w:val="clear" w:color="auto" w:fill="D9D9D9" w:themeFill="background1" w:themeFillShade="D9"/>
            <w:noWrap/>
            <w:vAlign w:val="center"/>
          </w:tcPr>
          <w:p w14:paraId="66963C87" w14:textId="57C62855"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6</w:t>
            </w:r>
          </w:p>
        </w:tc>
        <w:tc>
          <w:tcPr>
            <w:tcW w:w="700" w:type="dxa"/>
            <w:tcBorders>
              <w:top w:val="single" w:sz="4" w:space="0" w:color="auto"/>
              <w:left w:val="nil"/>
              <w:bottom w:val="nil"/>
              <w:right w:val="nil"/>
            </w:tcBorders>
            <w:shd w:val="clear" w:color="auto" w:fill="D9D9D9" w:themeFill="background1" w:themeFillShade="D9"/>
            <w:noWrap/>
            <w:vAlign w:val="center"/>
          </w:tcPr>
          <w:p w14:paraId="2C9CE29B" w14:textId="6806248F"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7</w:t>
            </w:r>
          </w:p>
        </w:tc>
        <w:tc>
          <w:tcPr>
            <w:tcW w:w="700" w:type="dxa"/>
            <w:tcBorders>
              <w:top w:val="single" w:sz="4" w:space="0" w:color="auto"/>
              <w:left w:val="nil"/>
              <w:bottom w:val="nil"/>
              <w:right w:val="nil"/>
            </w:tcBorders>
            <w:shd w:val="clear" w:color="auto" w:fill="D9D9D9" w:themeFill="background1" w:themeFillShade="D9"/>
            <w:noWrap/>
            <w:vAlign w:val="center"/>
          </w:tcPr>
          <w:p w14:paraId="19AE2CCD" w14:textId="4EB5806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8</w:t>
            </w:r>
          </w:p>
        </w:tc>
        <w:tc>
          <w:tcPr>
            <w:tcW w:w="700" w:type="dxa"/>
            <w:tcBorders>
              <w:top w:val="single" w:sz="4" w:space="0" w:color="auto"/>
              <w:left w:val="nil"/>
              <w:bottom w:val="nil"/>
              <w:right w:val="nil"/>
            </w:tcBorders>
            <w:shd w:val="clear" w:color="auto" w:fill="D9D9D9" w:themeFill="background1" w:themeFillShade="D9"/>
            <w:noWrap/>
            <w:vAlign w:val="center"/>
          </w:tcPr>
          <w:p w14:paraId="49F97BCE" w14:textId="240CC6D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9</w:t>
            </w:r>
          </w:p>
        </w:tc>
        <w:tc>
          <w:tcPr>
            <w:tcW w:w="700" w:type="dxa"/>
            <w:tcBorders>
              <w:top w:val="single" w:sz="4" w:space="0" w:color="auto"/>
              <w:left w:val="nil"/>
              <w:bottom w:val="nil"/>
              <w:right w:val="nil"/>
            </w:tcBorders>
            <w:shd w:val="clear" w:color="auto" w:fill="D9D9D9" w:themeFill="background1" w:themeFillShade="D9"/>
            <w:noWrap/>
            <w:vAlign w:val="center"/>
          </w:tcPr>
          <w:p w14:paraId="030F64AF" w14:textId="1934050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10</w:t>
            </w:r>
          </w:p>
        </w:tc>
        <w:tc>
          <w:tcPr>
            <w:tcW w:w="700" w:type="dxa"/>
            <w:tcBorders>
              <w:top w:val="single" w:sz="4" w:space="0" w:color="auto"/>
              <w:left w:val="nil"/>
              <w:bottom w:val="nil"/>
              <w:right w:val="nil"/>
            </w:tcBorders>
            <w:shd w:val="clear" w:color="auto" w:fill="D9D9D9" w:themeFill="background1" w:themeFillShade="D9"/>
            <w:noWrap/>
            <w:vAlign w:val="center"/>
          </w:tcPr>
          <w:p w14:paraId="00962EB2" w14:textId="7BB109B2"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11</w:t>
            </w:r>
          </w:p>
        </w:tc>
        <w:tc>
          <w:tcPr>
            <w:tcW w:w="700" w:type="dxa"/>
            <w:tcBorders>
              <w:top w:val="single" w:sz="4" w:space="0" w:color="auto"/>
              <w:left w:val="nil"/>
              <w:bottom w:val="nil"/>
              <w:right w:val="nil"/>
            </w:tcBorders>
            <w:shd w:val="clear" w:color="auto" w:fill="D9D9D9" w:themeFill="background1" w:themeFillShade="D9"/>
            <w:noWrap/>
            <w:vAlign w:val="center"/>
          </w:tcPr>
          <w:p w14:paraId="1C8A2116" w14:textId="51CDE80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12</w:t>
            </w:r>
          </w:p>
        </w:tc>
        <w:tc>
          <w:tcPr>
            <w:tcW w:w="700" w:type="dxa"/>
            <w:tcBorders>
              <w:top w:val="single" w:sz="4" w:space="0" w:color="auto"/>
              <w:left w:val="nil"/>
              <w:bottom w:val="nil"/>
              <w:right w:val="nil"/>
            </w:tcBorders>
            <w:shd w:val="clear" w:color="auto" w:fill="D9D9D9" w:themeFill="background1" w:themeFillShade="D9"/>
            <w:noWrap/>
            <w:vAlign w:val="center"/>
          </w:tcPr>
          <w:p w14:paraId="7A23F8DD" w14:textId="634C144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13</w:t>
            </w:r>
          </w:p>
        </w:tc>
        <w:tc>
          <w:tcPr>
            <w:tcW w:w="700" w:type="dxa"/>
            <w:tcBorders>
              <w:top w:val="single" w:sz="4" w:space="0" w:color="auto"/>
              <w:left w:val="nil"/>
              <w:bottom w:val="nil"/>
              <w:right w:val="nil"/>
            </w:tcBorders>
            <w:shd w:val="clear" w:color="auto" w:fill="D9D9D9" w:themeFill="background1" w:themeFillShade="D9"/>
            <w:noWrap/>
            <w:vAlign w:val="center"/>
          </w:tcPr>
          <w:p w14:paraId="510F25F7" w14:textId="78B22A80"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14</w:t>
            </w:r>
          </w:p>
        </w:tc>
        <w:tc>
          <w:tcPr>
            <w:tcW w:w="700" w:type="dxa"/>
            <w:tcBorders>
              <w:top w:val="single" w:sz="4" w:space="0" w:color="auto"/>
              <w:left w:val="nil"/>
              <w:bottom w:val="nil"/>
              <w:right w:val="nil"/>
            </w:tcBorders>
            <w:shd w:val="clear" w:color="auto" w:fill="D9D9D9" w:themeFill="background1" w:themeFillShade="D9"/>
            <w:noWrap/>
            <w:vAlign w:val="center"/>
          </w:tcPr>
          <w:p w14:paraId="4D3057B6" w14:textId="66155A5F"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15</w:t>
            </w:r>
          </w:p>
        </w:tc>
        <w:tc>
          <w:tcPr>
            <w:tcW w:w="700" w:type="dxa"/>
            <w:tcBorders>
              <w:top w:val="single" w:sz="4" w:space="0" w:color="auto"/>
              <w:left w:val="nil"/>
              <w:bottom w:val="nil"/>
              <w:right w:val="nil"/>
            </w:tcBorders>
            <w:shd w:val="clear" w:color="auto" w:fill="D9D9D9" w:themeFill="background1" w:themeFillShade="D9"/>
            <w:noWrap/>
            <w:vAlign w:val="center"/>
          </w:tcPr>
          <w:p w14:paraId="52A1B8EF" w14:textId="5C38E1A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16</w:t>
            </w:r>
          </w:p>
        </w:tc>
        <w:tc>
          <w:tcPr>
            <w:tcW w:w="700" w:type="dxa"/>
            <w:tcBorders>
              <w:top w:val="single" w:sz="4" w:space="0" w:color="auto"/>
              <w:left w:val="nil"/>
              <w:bottom w:val="nil"/>
              <w:right w:val="nil"/>
            </w:tcBorders>
            <w:shd w:val="clear" w:color="auto" w:fill="D9D9D9" w:themeFill="background1" w:themeFillShade="D9"/>
            <w:noWrap/>
            <w:vAlign w:val="center"/>
          </w:tcPr>
          <w:p w14:paraId="21407E2B" w14:textId="0D368AA9" w:rsidR="002F4427" w:rsidRPr="002F4427" w:rsidRDefault="002F4427" w:rsidP="002F4427">
            <w:pPr>
              <w:spacing w:after="0" w:line="240" w:lineRule="auto"/>
              <w:jc w:val="center"/>
              <w:rPr>
                <w:rFonts w:ascii="Times New Roman" w:eastAsia="Times New Roman" w:hAnsi="Times New Roman" w:cs="Times New Roman"/>
                <w:sz w:val="20"/>
                <w:szCs w:val="20"/>
              </w:rPr>
            </w:pPr>
            <w:r>
              <w:rPr>
                <w:rFonts w:ascii="Calibri" w:hAnsi="Calibri" w:cs="Calibri"/>
                <w:b/>
                <w:bCs/>
                <w:color w:val="000000"/>
              </w:rPr>
              <w:t>18</w:t>
            </w:r>
          </w:p>
        </w:tc>
        <w:tc>
          <w:tcPr>
            <w:tcW w:w="700" w:type="dxa"/>
            <w:tcBorders>
              <w:top w:val="single" w:sz="4" w:space="0" w:color="auto"/>
              <w:left w:val="nil"/>
              <w:bottom w:val="nil"/>
              <w:right w:val="nil"/>
            </w:tcBorders>
            <w:shd w:val="clear" w:color="auto" w:fill="D9D9D9" w:themeFill="background1" w:themeFillShade="D9"/>
            <w:noWrap/>
            <w:vAlign w:val="center"/>
          </w:tcPr>
          <w:p w14:paraId="42350D30" w14:textId="00721C96"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20</w:t>
            </w:r>
          </w:p>
        </w:tc>
        <w:tc>
          <w:tcPr>
            <w:tcW w:w="700" w:type="dxa"/>
            <w:tcBorders>
              <w:top w:val="single" w:sz="4" w:space="0" w:color="auto"/>
              <w:left w:val="nil"/>
              <w:bottom w:val="nil"/>
              <w:right w:val="nil"/>
            </w:tcBorders>
            <w:shd w:val="clear" w:color="auto" w:fill="D9D9D9" w:themeFill="background1" w:themeFillShade="D9"/>
            <w:noWrap/>
            <w:vAlign w:val="center"/>
          </w:tcPr>
          <w:p w14:paraId="0847D4EA" w14:textId="34BF59E5"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23</w:t>
            </w:r>
          </w:p>
        </w:tc>
        <w:tc>
          <w:tcPr>
            <w:tcW w:w="700" w:type="dxa"/>
            <w:tcBorders>
              <w:top w:val="single" w:sz="4" w:space="0" w:color="auto"/>
              <w:left w:val="nil"/>
              <w:bottom w:val="nil"/>
              <w:right w:val="nil"/>
            </w:tcBorders>
            <w:shd w:val="clear" w:color="auto" w:fill="D9D9D9" w:themeFill="background1" w:themeFillShade="D9"/>
            <w:noWrap/>
            <w:vAlign w:val="center"/>
          </w:tcPr>
          <w:p w14:paraId="46BFCCC1" w14:textId="2BE870E6"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24</w:t>
            </w:r>
          </w:p>
        </w:tc>
        <w:tc>
          <w:tcPr>
            <w:tcW w:w="700" w:type="dxa"/>
            <w:tcBorders>
              <w:top w:val="single" w:sz="4" w:space="0" w:color="auto"/>
              <w:left w:val="nil"/>
              <w:bottom w:val="nil"/>
              <w:right w:val="nil"/>
            </w:tcBorders>
            <w:shd w:val="clear" w:color="auto" w:fill="D9D9D9" w:themeFill="background1" w:themeFillShade="D9"/>
            <w:noWrap/>
            <w:vAlign w:val="center"/>
          </w:tcPr>
          <w:p w14:paraId="471EE759" w14:textId="0F3FEA35"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25</w:t>
            </w:r>
          </w:p>
        </w:tc>
        <w:tc>
          <w:tcPr>
            <w:tcW w:w="700" w:type="dxa"/>
            <w:tcBorders>
              <w:top w:val="single" w:sz="4" w:space="0" w:color="auto"/>
              <w:left w:val="nil"/>
              <w:bottom w:val="nil"/>
              <w:right w:val="nil"/>
            </w:tcBorders>
            <w:shd w:val="clear" w:color="auto" w:fill="D9D9D9" w:themeFill="background1" w:themeFillShade="D9"/>
            <w:noWrap/>
            <w:vAlign w:val="center"/>
          </w:tcPr>
          <w:p w14:paraId="079E1601" w14:textId="2208A964"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26</w:t>
            </w:r>
          </w:p>
        </w:tc>
        <w:tc>
          <w:tcPr>
            <w:tcW w:w="700" w:type="dxa"/>
            <w:tcBorders>
              <w:top w:val="single" w:sz="4" w:space="0" w:color="auto"/>
              <w:left w:val="nil"/>
              <w:bottom w:val="nil"/>
              <w:right w:val="nil"/>
            </w:tcBorders>
            <w:shd w:val="clear" w:color="auto" w:fill="D9D9D9" w:themeFill="background1" w:themeFillShade="D9"/>
            <w:noWrap/>
            <w:vAlign w:val="center"/>
          </w:tcPr>
          <w:p w14:paraId="56BEE194" w14:textId="41573104"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28</w:t>
            </w:r>
          </w:p>
        </w:tc>
        <w:tc>
          <w:tcPr>
            <w:tcW w:w="700" w:type="dxa"/>
            <w:tcBorders>
              <w:top w:val="single" w:sz="4" w:space="0" w:color="auto"/>
              <w:left w:val="nil"/>
              <w:bottom w:val="nil"/>
              <w:right w:val="nil"/>
            </w:tcBorders>
            <w:shd w:val="clear" w:color="auto" w:fill="D9D9D9" w:themeFill="background1" w:themeFillShade="D9"/>
            <w:noWrap/>
            <w:vAlign w:val="center"/>
          </w:tcPr>
          <w:p w14:paraId="73E0D3F6" w14:textId="490033D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29</w:t>
            </w:r>
          </w:p>
        </w:tc>
        <w:tc>
          <w:tcPr>
            <w:tcW w:w="700" w:type="dxa"/>
            <w:tcBorders>
              <w:top w:val="single" w:sz="4" w:space="0" w:color="auto"/>
              <w:left w:val="nil"/>
              <w:bottom w:val="nil"/>
              <w:right w:val="nil"/>
            </w:tcBorders>
            <w:shd w:val="clear" w:color="auto" w:fill="D9D9D9" w:themeFill="background1" w:themeFillShade="D9"/>
            <w:noWrap/>
            <w:vAlign w:val="center"/>
          </w:tcPr>
          <w:p w14:paraId="13308579" w14:textId="27D0B47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b/>
                <w:bCs/>
                <w:color w:val="000000"/>
              </w:rPr>
              <w:t>30</w:t>
            </w:r>
          </w:p>
        </w:tc>
      </w:tr>
      <w:tr w:rsidR="002F4427" w:rsidRPr="002F4427" w14:paraId="29976A39" w14:textId="77777777" w:rsidTr="002F4427">
        <w:trPr>
          <w:trHeight w:val="290"/>
        </w:trPr>
        <w:tc>
          <w:tcPr>
            <w:tcW w:w="960" w:type="dxa"/>
            <w:tcBorders>
              <w:top w:val="nil"/>
              <w:left w:val="nil"/>
              <w:bottom w:val="nil"/>
              <w:right w:val="nil"/>
            </w:tcBorders>
            <w:shd w:val="clear" w:color="auto" w:fill="auto"/>
            <w:noWrap/>
            <w:vAlign w:val="bottom"/>
          </w:tcPr>
          <w:p w14:paraId="4414F7F0" w14:textId="0CA8F7E7" w:rsidR="002F4427" w:rsidRPr="002F4427" w:rsidRDefault="002F4427" w:rsidP="002F4427">
            <w:pPr>
              <w:spacing w:after="0" w:line="240" w:lineRule="auto"/>
              <w:rPr>
                <w:rFonts w:ascii="Calibri" w:eastAsia="Times New Roman" w:hAnsi="Calibri" w:cs="Calibri"/>
                <w:b/>
                <w:bCs/>
                <w:color w:val="000000"/>
              </w:rPr>
            </w:pPr>
            <w:r>
              <w:rPr>
                <w:rFonts w:ascii="Calibri" w:hAnsi="Calibri" w:cs="Calibri"/>
                <w:b/>
                <w:bCs/>
                <w:color w:val="000000"/>
              </w:rPr>
              <w:t>1-4</w:t>
            </w:r>
          </w:p>
        </w:tc>
        <w:tc>
          <w:tcPr>
            <w:tcW w:w="700" w:type="dxa"/>
            <w:tcBorders>
              <w:top w:val="nil"/>
              <w:left w:val="nil"/>
              <w:bottom w:val="nil"/>
              <w:right w:val="nil"/>
            </w:tcBorders>
            <w:shd w:val="clear" w:color="auto" w:fill="auto"/>
            <w:noWrap/>
            <w:vAlign w:val="center"/>
          </w:tcPr>
          <w:p w14:paraId="737887D4" w14:textId="493B2040"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hAnsi="Calibri" w:cs="Calibri"/>
                <w:i/>
                <w:iCs/>
                <w:color w:val="000000"/>
              </w:rPr>
              <w:t>63</w:t>
            </w:r>
          </w:p>
        </w:tc>
        <w:tc>
          <w:tcPr>
            <w:tcW w:w="700" w:type="dxa"/>
            <w:tcBorders>
              <w:top w:val="nil"/>
              <w:left w:val="nil"/>
              <w:bottom w:val="nil"/>
              <w:right w:val="nil"/>
            </w:tcBorders>
            <w:shd w:val="clear" w:color="auto" w:fill="auto"/>
            <w:noWrap/>
            <w:vAlign w:val="center"/>
          </w:tcPr>
          <w:p w14:paraId="71FFC174" w14:textId="7C510E17"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17.5</w:t>
            </w:r>
          </w:p>
        </w:tc>
        <w:tc>
          <w:tcPr>
            <w:tcW w:w="700" w:type="dxa"/>
            <w:tcBorders>
              <w:top w:val="nil"/>
              <w:left w:val="nil"/>
              <w:bottom w:val="nil"/>
              <w:right w:val="nil"/>
            </w:tcBorders>
            <w:shd w:val="clear" w:color="auto" w:fill="auto"/>
            <w:noWrap/>
            <w:vAlign w:val="center"/>
          </w:tcPr>
          <w:p w14:paraId="7BAD7FA4" w14:textId="4C96763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39.7</w:t>
            </w:r>
          </w:p>
        </w:tc>
        <w:tc>
          <w:tcPr>
            <w:tcW w:w="700" w:type="dxa"/>
            <w:tcBorders>
              <w:top w:val="nil"/>
              <w:left w:val="nil"/>
              <w:bottom w:val="nil"/>
              <w:right w:val="nil"/>
            </w:tcBorders>
            <w:shd w:val="clear" w:color="auto" w:fill="auto"/>
            <w:noWrap/>
            <w:vAlign w:val="center"/>
          </w:tcPr>
          <w:p w14:paraId="4A06A433" w14:textId="43416775"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50.8</w:t>
            </w:r>
          </w:p>
        </w:tc>
        <w:tc>
          <w:tcPr>
            <w:tcW w:w="700" w:type="dxa"/>
            <w:tcBorders>
              <w:top w:val="nil"/>
              <w:left w:val="nil"/>
              <w:bottom w:val="nil"/>
              <w:right w:val="nil"/>
            </w:tcBorders>
            <w:shd w:val="clear" w:color="auto" w:fill="auto"/>
            <w:noWrap/>
            <w:vAlign w:val="center"/>
          </w:tcPr>
          <w:p w14:paraId="7BD60879" w14:textId="3F2AC0AE"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55.6</w:t>
            </w:r>
          </w:p>
        </w:tc>
        <w:tc>
          <w:tcPr>
            <w:tcW w:w="700" w:type="dxa"/>
            <w:tcBorders>
              <w:top w:val="nil"/>
              <w:left w:val="nil"/>
              <w:bottom w:val="nil"/>
              <w:right w:val="nil"/>
            </w:tcBorders>
            <w:shd w:val="clear" w:color="auto" w:fill="auto"/>
            <w:noWrap/>
            <w:vAlign w:val="center"/>
          </w:tcPr>
          <w:p w14:paraId="5D1002E4" w14:textId="662EB07F"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60.3</w:t>
            </w:r>
          </w:p>
        </w:tc>
        <w:tc>
          <w:tcPr>
            <w:tcW w:w="700" w:type="dxa"/>
            <w:tcBorders>
              <w:top w:val="nil"/>
              <w:left w:val="nil"/>
              <w:bottom w:val="nil"/>
              <w:right w:val="nil"/>
            </w:tcBorders>
            <w:shd w:val="clear" w:color="auto" w:fill="auto"/>
            <w:noWrap/>
            <w:vAlign w:val="center"/>
          </w:tcPr>
          <w:p w14:paraId="4A4BC543" w14:textId="2835D77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66.7</w:t>
            </w:r>
          </w:p>
        </w:tc>
        <w:tc>
          <w:tcPr>
            <w:tcW w:w="700" w:type="dxa"/>
            <w:tcBorders>
              <w:top w:val="nil"/>
              <w:left w:val="nil"/>
              <w:bottom w:val="nil"/>
              <w:right w:val="nil"/>
            </w:tcBorders>
            <w:shd w:val="clear" w:color="auto" w:fill="auto"/>
            <w:noWrap/>
            <w:vAlign w:val="center"/>
          </w:tcPr>
          <w:p w14:paraId="57DB6C69" w14:textId="34970C0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68.3</w:t>
            </w:r>
          </w:p>
        </w:tc>
        <w:tc>
          <w:tcPr>
            <w:tcW w:w="700" w:type="dxa"/>
            <w:tcBorders>
              <w:top w:val="nil"/>
              <w:left w:val="nil"/>
              <w:bottom w:val="nil"/>
              <w:right w:val="nil"/>
            </w:tcBorders>
            <w:shd w:val="clear" w:color="auto" w:fill="auto"/>
            <w:noWrap/>
            <w:vAlign w:val="center"/>
          </w:tcPr>
          <w:p w14:paraId="17DAE684" w14:textId="21B62E2F"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73.0</w:t>
            </w:r>
          </w:p>
        </w:tc>
        <w:tc>
          <w:tcPr>
            <w:tcW w:w="700" w:type="dxa"/>
            <w:tcBorders>
              <w:top w:val="nil"/>
              <w:left w:val="nil"/>
              <w:bottom w:val="nil"/>
              <w:right w:val="nil"/>
            </w:tcBorders>
            <w:shd w:val="clear" w:color="auto" w:fill="auto"/>
            <w:noWrap/>
            <w:vAlign w:val="center"/>
          </w:tcPr>
          <w:p w14:paraId="43CA1EC9" w14:textId="65168448"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74.6</w:t>
            </w:r>
          </w:p>
        </w:tc>
        <w:tc>
          <w:tcPr>
            <w:tcW w:w="700" w:type="dxa"/>
            <w:tcBorders>
              <w:top w:val="nil"/>
              <w:left w:val="nil"/>
              <w:bottom w:val="nil"/>
              <w:right w:val="nil"/>
            </w:tcBorders>
            <w:shd w:val="clear" w:color="auto" w:fill="auto"/>
            <w:noWrap/>
            <w:vAlign w:val="center"/>
          </w:tcPr>
          <w:p w14:paraId="3C0BCDC7" w14:textId="2BDDBBB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81.0</w:t>
            </w:r>
          </w:p>
        </w:tc>
        <w:tc>
          <w:tcPr>
            <w:tcW w:w="700" w:type="dxa"/>
            <w:tcBorders>
              <w:top w:val="nil"/>
              <w:left w:val="nil"/>
              <w:bottom w:val="nil"/>
              <w:right w:val="nil"/>
            </w:tcBorders>
            <w:shd w:val="clear" w:color="auto" w:fill="auto"/>
            <w:noWrap/>
            <w:vAlign w:val="center"/>
          </w:tcPr>
          <w:p w14:paraId="2BE20D15" w14:textId="7478059E"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81.0</w:t>
            </w:r>
          </w:p>
        </w:tc>
        <w:tc>
          <w:tcPr>
            <w:tcW w:w="700" w:type="dxa"/>
            <w:tcBorders>
              <w:top w:val="nil"/>
              <w:left w:val="nil"/>
              <w:bottom w:val="nil"/>
              <w:right w:val="nil"/>
            </w:tcBorders>
            <w:shd w:val="clear" w:color="auto" w:fill="auto"/>
            <w:noWrap/>
            <w:vAlign w:val="center"/>
          </w:tcPr>
          <w:p w14:paraId="1A1CA48A" w14:textId="3B7C74F0"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84.1</w:t>
            </w:r>
          </w:p>
        </w:tc>
        <w:tc>
          <w:tcPr>
            <w:tcW w:w="700" w:type="dxa"/>
            <w:tcBorders>
              <w:top w:val="nil"/>
              <w:left w:val="nil"/>
              <w:bottom w:val="nil"/>
              <w:right w:val="nil"/>
            </w:tcBorders>
            <w:shd w:val="clear" w:color="auto" w:fill="auto"/>
            <w:noWrap/>
            <w:vAlign w:val="center"/>
          </w:tcPr>
          <w:p w14:paraId="57E107AA" w14:textId="309EDC74"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85.7</w:t>
            </w:r>
          </w:p>
        </w:tc>
        <w:tc>
          <w:tcPr>
            <w:tcW w:w="700" w:type="dxa"/>
            <w:tcBorders>
              <w:top w:val="nil"/>
              <w:left w:val="nil"/>
              <w:bottom w:val="nil"/>
              <w:right w:val="nil"/>
            </w:tcBorders>
            <w:shd w:val="clear" w:color="auto" w:fill="auto"/>
            <w:noWrap/>
            <w:vAlign w:val="center"/>
          </w:tcPr>
          <w:p w14:paraId="6EEFF42C" w14:textId="597C09A2"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87.3</w:t>
            </w:r>
          </w:p>
        </w:tc>
        <w:tc>
          <w:tcPr>
            <w:tcW w:w="700" w:type="dxa"/>
            <w:tcBorders>
              <w:top w:val="nil"/>
              <w:left w:val="nil"/>
              <w:bottom w:val="nil"/>
              <w:right w:val="nil"/>
            </w:tcBorders>
            <w:shd w:val="clear" w:color="auto" w:fill="auto"/>
            <w:noWrap/>
            <w:vAlign w:val="center"/>
          </w:tcPr>
          <w:p w14:paraId="06774003" w14:textId="068A6E3C"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90.5</w:t>
            </w:r>
          </w:p>
        </w:tc>
        <w:tc>
          <w:tcPr>
            <w:tcW w:w="700" w:type="dxa"/>
            <w:tcBorders>
              <w:top w:val="nil"/>
              <w:left w:val="nil"/>
              <w:bottom w:val="nil"/>
              <w:right w:val="nil"/>
            </w:tcBorders>
            <w:shd w:val="clear" w:color="auto" w:fill="auto"/>
            <w:noWrap/>
            <w:vAlign w:val="center"/>
          </w:tcPr>
          <w:p w14:paraId="27DF68AA" w14:textId="07B3BA3C"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90.5</w:t>
            </w:r>
          </w:p>
        </w:tc>
        <w:tc>
          <w:tcPr>
            <w:tcW w:w="700" w:type="dxa"/>
            <w:tcBorders>
              <w:top w:val="nil"/>
              <w:left w:val="nil"/>
              <w:bottom w:val="nil"/>
              <w:right w:val="nil"/>
            </w:tcBorders>
            <w:shd w:val="clear" w:color="auto" w:fill="auto"/>
            <w:noWrap/>
            <w:vAlign w:val="center"/>
          </w:tcPr>
          <w:p w14:paraId="40BF16BA" w14:textId="14FC3963" w:rsidR="002F4427" w:rsidRPr="002F4427" w:rsidRDefault="002F4427" w:rsidP="002F4427">
            <w:pPr>
              <w:spacing w:after="0" w:line="240" w:lineRule="auto"/>
              <w:jc w:val="center"/>
              <w:rPr>
                <w:rFonts w:ascii="Times New Roman" w:eastAsia="Times New Roman" w:hAnsi="Times New Roman" w:cs="Times New Roman"/>
                <w:sz w:val="20"/>
                <w:szCs w:val="20"/>
              </w:rPr>
            </w:pPr>
            <w:r>
              <w:rPr>
                <w:rFonts w:ascii="Calibri" w:hAnsi="Calibri" w:cs="Calibri"/>
                <w:color w:val="000000"/>
              </w:rPr>
              <w:t>90.5</w:t>
            </w:r>
          </w:p>
        </w:tc>
        <w:tc>
          <w:tcPr>
            <w:tcW w:w="700" w:type="dxa"/>
            <w:tcBorders>
              <w:top w:val="nil"/>
              <w:left w:val="nil"/>
              <w:bottom w:val="nil"/>
              <w:right w:val="nil"/>
            </w:tcBorders>
            <w:shd w:val="clear" w:color="auto" w:fill="auto"/>
            <w:noWrap/>
            <w:vAlign w:val="center"/>
          </w:tcPr>
          <w:p w14:paraId="7DD7B6A8" w14:textId="2B32372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93.7</w:t>
            </w:r>
          </w:p>
        </w:tc>
        <w:tc>
          <w:tcPr>
            <w:tcW w:w="700" w:type="dxa"/>
            <w:tcBorders>
              <w:top w:val="nil"/>
              <w:left w:val="nil"/>
              <w:bottom w:val="nil"/>
              <w:right w:val="nil"/>
            </w:tcBorders>
            <w:shd w:val="clear" w:color="auto" w:fill="auto"/>
            <w:noWrap/>
            <w:vAlign w:val="center"/>
          </w:tcPr>
          <w:p w14:paraId="57874A1C" w14:textId="407B7344"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93.7</w:t>
            </w:r>
          </w:p>
        </w:tc>
        <w:tc>
          <w:tcPr>
            <w:tcW w:w="700" w:type="dxa"/>
            <w:tcBorders>
              <w:top w:val="nil"/>
              <w:left w:val="nil"/>
              <w:bottom w:val="nil"/>
              <w:right w:val="nil"/>
            </w:tcBorders>
            <w:shd w:val="clear" w:color="auto" w:fill="auto"/>
            <w:noWrap/>
            <w:vAlign w:val="center"/>
          </w:tcPr>
          <w:p w14:paraId="7C32F068" w14:textId="5B01E13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93.7</w:t>
            </w:r>
          </w:p>
        </w:tc>
        <w:tc>
          <w:tcPr>
            <w:tcW w:w="700" w:type="dxa"/>
            <w:tcBorders>
              <w:top w:val="nil"/>
              <w:left w:val="nil"/>
              <w:bottom w:val="nil"/>
              <w:right w:val="nil"/>
            </w:tcBorders>
            <w:shd w:val="clear" w:color="auto" w:fill="auto"/>
            <w:noWrap/>
            <w:vAlign w:val="center"/>
          </w:tcPr>
          <w:p w14:paraId="493DB69F" w14:textId="7229582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93.7</w:t>
            </w:r>
          </w:p>
        </w:tc>
        <w:tc>
          <w:tcPr>
            <w:tcW w:w="700" w:type="dxa"/>
            <w:tcBorders>
              <w:top w:val="nil"/>
              <w:left w:val="nil"/>
              <w:bottom w:val="nil"/>
              <w:right w:val="nil"/>
            </w:tcBorders>
            <w:shd w:val="clear" w:color="auto" w:fill="auto"/>
            <w:noWrap/>
            <w:vAlign w:val="center"/>
          </w:tcPr>
          <w:p w14:paraId="5F93E0E1" w14:textId="3727252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93.7</w:t>
            </w:r>
          </w:p>
        </w:tc>
        <w:tc>
          <w:tcPr>
            <w:tcW w:w="700" w:type="dxa"/>
            <w:tcBorders>
              <w:top w:val="nil"/>
              <w:left w:val="nil"/>
              <w:bottom w:val="nil"/>
              <w:right w:val="nil"/>
            </w:tcBorders>
            <w:shd w:val="clear" w:color="auto" w:fill="auto"/>
            <w:noWrap/>
            <w:vAlign w:val="center"/>
          </w:tcPr>
          <w:p w14:paraId="4726FFE3" w14:textId="73C965D7"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93.7</w:t>
            </w:r>
          </w:p>
        </w:tc>
        <w:tc>
          <w:tcPr>
            <w:tcW w:w="700" w:type="dxa"/>
            <w:tcBorders>
              <w:top w:val="nil"/>
              <w:left w:val="nil"/>
              <w:bottom w:val="nil"/>
              <w:right w:val="nil"/>
            </w:tcBorders>
            <w:shd w:val="clear" w:color="auto" w:fill="auto"/>
            <w:noWrap/>
            <w:vAlign w:val="center"/>
          </w:tcPr>
          <w:p w14:paraId="3E3393BD" w14:textId="1054E20B"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95.2</w:t>
            </w:r>
          </w:p>
        </w:tc>
        <w:tc>
          <w:tcPr>
            <w:tcW w:w="700" w:type="dxa"/>
            <w:tcBorders>
              <w:top w:val="nil"/>
              <w:left w:val="nil"/>
              <w:bottom w:val="nil"/>
              <w:right w:val="nil"/>
            </w:tcBorders>
            <w:shd w:val="clear" w:color="auto" w:fill="auto"/>
            <w:noWrap/>
            <w:vAlign w:val="center"/>
          </w:tcPr>
          <w:p w14:paraId="5BB77F31" w14:textId="23707A1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98.4</w:t>
            </w:r>
          </w:p>
        </w:tc>
      </w:tr>
      <w:tr w:rsidR="002F4427" w:rsidRPr="002F4427" w14:paraId="6D978219" w14:textId="77777777" w:rsidTr="002F4427">
        <w:trPr>
          <w:trHeight w:val="290"/>
        </w:trPr>
        <w:tc>
          <w:tcPr>
            <w:tcW w:w="960" w:type="dxa"/>
            <w:tcBorders>
              <w:top w:val="nil"/>
              <w:left w:val="nil"/>
              <w:bottom w:val="nil"/>
              <w:right w:val="nil"/>
            </w:tcBorders>
            <w:shd w:val="clear" w:color="auto" w:fill="auto"/>
            <w:noWrap/>
            <w:vAlign w:val="bottom"/>
          </w:tcPr>
          <w:p w14:paraId="42A0B0A2" w14:textId="2D07AF40" w:rsidR="002F4427" w:rsidRPr="002F4427" w:rsidRDefault="002F4427" w:rsidP="002F4427">
            <w:pPr>
              <w:spacing w:after="0" w:line="240" w:lineRule="auto"/>
              <w:rPr>
                <w:rFonts w:ascii="Calibri" w:eastAsia="Times New Roman" w:hAnsi="Calibri" w:cs="Calibri"/>
                <w:b/>
                <w:bCs/>
                <w:color w:val="000000"/>
              </w:rPr>
            </w:pPr>
            <w:r>
              <w:rPr>
                <w:rFonts w:ascii="Calibri" w:hAnsi="Calibri" w:cs="Calibri"/>
                <w:b/>
                <w:bCs/>
                <w:color w:val="000000"/>
              </w:rPr>
              <w:t>5-11</w:t>
            </w:r>
          </w:p>
        </w:tc>
        <w:tc>
          <w:tcPr>
            <w:tcW w:w="700" w:type="dxa"/>
            <w:tcBorders>
              <w:top w:val="nil"/>
              <w:left w:val="nil"/>
              <w:bottom w:val="nil"/>
              <w:right w:val="nil"/>
            </w:tcBorders>
            <w:shd w:val="clear" w:color="auto" w:fill="auto"/>
            <w:noWrap/>
            <w:vAlign w:val="center"/>
          </w:tcPr>
          <w:p w14:paraId="29A5005C" w14:textId="1ADAF242"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hAnsi="Calibri" w:cs="Calibri"/>
                <w:i/>
                <w:iCs/>
                <w:color w:val="000000"/>
              </w:rPr>
              <w:t>100</w:t>
            </w:r>
          </w:p>
        </w:tc>
        <w:tc>
          <w:tcPr>
            <w:tcW w:w="700" w:type="dxa"/>
            <w:tcBorders>
              <w:top w:val="nil"/>
              <w:left w:val="nil"/>
              <w:bottom w:val="nil"/>
              <w:right w:val="nil"/>
            </w:tcBorders>
            <w:shd w:val="clear" w:color="auto" w:fill="auto"/>
            <w:noWrap/>
            <w:vAlign w:val="center"/>
          </w:tcPr>
          <w:p w14:paraId="3A0B842B" w14:textId="5C8C96CE"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16.0</w:t>
            </w:r>
          </w:p>
        </w:tc>
        <w:tc>
          <w:tcPr>
            <w:tcW w:w="700" w:type="dxa"/>
            <w:tcBorders>
              <w:top w:val="nil"/>
              <w:left w:val="nil"/>
              <w:bottom w:val="nil"/>
              <w:right w:val="nil"/>
            </w:tcBorders>
            <w:shd w:val="clear" w:color="auto" w:fill="auto"/>
            <w:noWrap/>
            <w:vAlign w:val="center"/>
          </w:tcPr>
          <w:p w14:paraId="66DA28AE" w14:textId="18824BF5"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31.0</w:t>
            </w:r>
          </w:p>
        </w:tc>
        <w:tc>
          <w:tcPr>
            <w:tcW w:w="700" w:type="dxa"/>
            <w:tcBorders>
              <w:top w:val="nil"/>
              <w:left w:val="nil"/>
              <w:bottom w:val="nil"/>
              <w:right w:val="nil"/>
            </w:tcBorders>
            <w:shd w:val="clear" w:color="auto" w:fill="auto"/>
            <w:noWrap/>
            <w:vAlign w:val="center"/>
          </w:tcPr>
          <w:p w14:paraId="5A578ADA" w14:textId="59A8B7CA"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38.0</w:t>
            </w:r>
          </w:p>
        </w:tc>
        <w:tc>
          <w:tcPr>
            <w:tcW w:w="700" w:type="dxa"/>
            <w:tcBorders>
              <w:top w:val="nil"/>
              <w:left w:val="nil"/>
              <w:bottom w:val="nil"/>
              <w:right w:val="nil"/>
            </w:tcBorders>
            <w:shd w:val="clear" w:color="auto" w:fill="auto"/>
            <w:noWrap/>
            <w:vAlign w:val="center"/>
          </w:tcPr>
          <w:p w14:paraId="6B76BFC2" w14:textId="389FACA8"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47.0</w:t>
            </w:r>
          </w:p>
        </w:tc>
        <w:tc>
          <w:tcPr>
            <w:tcW w:w="700" w:type="dxa"/>
            <w:tcBorders>
              <w:top w:val="nil"/>
              <w:left w:val="nil"/>
              <w:bottom w:val="nil"/>
              <w:right w:val="nil"/>
            </w:tcBorders>
            <w:shd w:val="clear" w:color="auto" w:fill="auto"/>
            <w:noWrap/>
            <w:vAlign w:val="center"/>
          </w:tcPr>
          <w:p w14:paraId="45A76B44" w14:textId="60AF6E90"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53.0</w:t>
            </w:r>
          </w:p>
        </w:tc>
        <w:tc>
          <w:tcPr>
            <w:tcW w:w="700" w:type="dxa"/>
            <w:tcBorders>
              <w:top w:val="nil"/>
              <w:left w:val="nil"/>
              <w:bottom w:val="nil"/>
              <w:right w:val="nil"/>
            </w:tcBorders>
            <w:shd w:val="clear" w:color="auto" w:fill="auto"/>
            <w:noWrap/>
            <w:vAlign w:val="center"/>
          </w:tcPr>
          <w:p w14:paraId="42CAD7DC" w14:textId="453179BB"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57.0</w:t>
            </w:r>
          </w:p>
        </w:tc>
        <w:tc>
          <w:tcPr>
            <w:tcW w:w="700" w:type="dxa"/>
            <w:tcBorders>
              <w:top w:val="nil"/>
              <w:left w:val="nil"/>
              <w:bottom w:val="nil"/>
              <w:right w:val="nil"/>
            </w:tcBorders>
            <w:shd w:val="clear" w:color="auto" w:fill="auto"/>
            <w:noWrap/>
            <w:vAlign w:val="center"/>
          </w:tcPr>
          <w:p w14:paraId="7AC7E9B0" w14:textId="1617D89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59.0</w:t>
            </w:r>
          </w:p>
        </w:tc>
        <w:tc>
          <w:tcPr>
            <w:tcW w:w="700" w:type="dxa"/>
            <w:tcBorders>
              <w:top w:val="nil"/>
              <w:left w:val="nil"/>
              <w:bottom w:val="nil"/>
              <w:right w:val="nil"/>
            </w:tcBorders>
            <w:shd w:val="clear" w:color="auto" w:fill="auto"/>
            <w:noWrap/>
            <w:vAlign w:val="center"/>
          </w:tcPr>
          <w:p w14:paraId="625CEBD0" w14:textId="2BDD1B02"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63.0</w:t>
            </w:r>
          </w:p>
        </w:tc>
        <w:tc>
          <w:tcPr>
            <w:tcW w:w="700" w:type="dxa"/>
            <w:tcBorders>
              <w:top w:val="nil"/>
              <w:left w:val="nil"/>
              <w:bottom w:val="nil"/>
              <w:right w:val="nil"/>
            </w:tcBorders>
            <w:shd w:val="clear" w:color="auto" w:fill="auto"/>
            <w:noWrap/>
            <w:vAlign w:val="center"/>
          </w:tcPr>
          <w:p w14:paraId="21CF738A" w14:textId="5C61E2C2"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63.0</w:t>
            </w:r>
          </w:p>
        </w:tc>
        <w:tc>
          <w:tcPr>
            <w:tcW w:w="700" w:type="dxa"/>
            <w:tcBorders>
              <w:top w:val="nil"/>
              <w:left w:val="nil"/>
              <w:bottom w:val="nil"/>
              <w:right w:val="nil"/>
            </w:tcBorders>
            <w:shd w:val="clear" w:color="auto" w:fill="auto"/>
            <w:noWrap/>
            <w:vAlign w:val="center"/>
          </w:tcPr>
          <w:p w14:paraId="2E903AF8" w14:textId="32450DCF"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70.0</w:t>
            </w:r>
          </w:p>
        </w:tc>
        <w:tc>
          <w:tcPr>
            <w:tcW w:w="700" w:type="dxa"/>
            <w:tcBorders>
              <w:top w:val="nil"/>
              <w:left w:val="nil"/>
              <w:bottom w:val="nil"/>
              <w:right w:val="nil"/>
            </w:tcBorders>
            <w:shd w:val="clear" w:color="auto" w:fill="auto"/>
            <w:noWrap/>
            <w:vAlign w:val="center"/>
          </w:tcPr>
          <w:p w14:paraId="6E32FAA8" w14:textId="1E2F962B"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70.0</w:t>
            </w:r>
          </w:p>
        </w:tc>
        <w:tc>
          <w:tcPr>
            <w:tcW w:w="700" w:type="dxa"/>
            <w:tcBorders>
              <w:top w:val="nil"/>
              <w:left w:val="nil"/>
              <w:bottom w:val="nil"/>
              <w:right w:val="nil"/>
            </w:tcBorders>
            <w:shd w:val="clear" w:color="auto" w:fill="auto"/>
            <w:noWrap/>
            <w:vAlign w:val="center"/>
          </w:tcPr>
          <w:p w14:paraId="34C6F292" w14:textId="22A0AC8A"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75.0</w:t>
            </w:r>
          </w:p>
        </w:tc>
        <w:tc>
          <w:tcPr>
            <w:tcW w:w="700" w:type="dxa"/>
            <w:tcBorders>
              <w:top w:val="nil"/>
              <w:left w:val="nil"/>
              <w:bottom w:val="nil"/>
              <w:right w:val="nil"/>
            </w:tcBorders>
            <w:shd w:val="clear" w:color="auto" w:fill="auto"/>
            <w:noWrap/>
            <w:vAlign w:val="center"/>
          </w:tcPr>
          <w:p w14:paraId="4F54A879" w14:textId="0907F776"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75.0</w:t>
            </w:r>
          </w:p>
        </w:tc>
        <w:tc>
          <w:tcPr>
            <w:tcW w:w="700" w:type="dxa"/>
            <w:tcBorders>
              <w:top w:val="nil"/>
              <w:left w:val="nil"/>
              <w:bottom w:val="nil"/>
              <w:right w:val="nil"/>
            </w:tcBorders>
            <w:shd w:val="clear" w:color="auto" w:fill="auto"/>
            <w:noWrap/>
            <w:vAlign w:val="center"/>
          </w:tcPr>
          <w:p w14:paraId="7DD01733" w14:textId="11AD2EBB"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75.0</w:t>
            </w:r>
          </w:p>
        </w:tc>
        <w:tc>
          <w:tcPr>
            <w:tcW w:w="700" w:type="dxa"/>
            <w:tcBorders>
              <w:top w:val="nil"/>
              <w:left w:val="nil"/>
              <w:bottom w:val="nil"/>
              <w:right w:val="nil"/>
            </w:tcBorders>
            <w:shd w:val="clear" w:color="auto" w:fill="auto"/>
            <w:noWrap/>
            <w:vAlign w:val="center"/>
          </w:tcPr>
          <w:p w14:paraId="3316F949" w14:textId="3BE66CA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86.0</w:t>
            </w:r>
          </w:p>
        </w:tc>
        <w:tc>
          <w:tcPr>
            <w:tcW w:w="700" w:type="dxa"/>
            <w:tcBorders>
              <w:top w:val="nil"/>
              <w:left w:val="nil"/>
              <w:bottom w:val="nil"/>
              <w:right w:val="nil"/>
            </w:tcBorders>
            <w:shd w:val="clear" w:color="auto" w:fill="auto"/>
            <w:noWrap/>
            <w:vAlign w:val="center"/>
          </w:tcPr>
          <w:p w14:paraId="136645CE" w14:textId="11E2859B"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88.0</w:t>
            </w:r>
          </w:p>
        </w:tc>
        <w:tc>
          <w:tcPr>
            <w:tcW w:w="700" w:type="dxa"/>
            <w:tcBorders>
              <w:top w:val="nil"/>
              <w:left w:val="nil"/>
              <w:bottom w:val="nil"/>
              <w:right w:val="nil"/>
            </w:tcBorders>
            <w:shd w:val="clear" w:color="auto" w:fill="auto"/>
            <w:noWrap/>
            <w:vAlign w:val="center"/>
          </w:tcPr>
          <w:p w14:paraId="5590B2F8" w14:textId="3A2C3D5D" w:rsidR="002F4427" w:rsidRPr="002F4427" w:rsidRDefault="002F4427" w:rsidP="002F4427">
            <w:pPr>
              <w:spacing w:after="0" w:line="240" w:lineRule="auto"/>
              <w:jc w:val="center"/>
              <w:rPr>
                <w:rFonts w:ascii="Times New Roman" w:eastAsia="Times New Roman" w:hAnsi="Times New Roman" w:cs="Times New Roman"/>
                <w:sz w:val="20"/>
                <w:szCs w:val="20"/>
              </w:rPr>
            </w:pPr>
            <w:r>
              <w:rPr>
                <w:rFonts w:ascii="Calibri" w:hAnsi="Calibri" w:cs="Calibri"/>
                <w:color w:val="000000"/>
              </w:rPr>
              <w:t>88.0</w:t>
            </w:r>
          </w:p>
        </w:tc>
        <w:tc>
          <w:tcPr>
            <w:tcW w:w="700" w:type="dxa"/>
            <w:tcBorders>
              <w:top w:val="nil"/>
              <w:left w:val="nil"/>
              <w:bottom w:val="nil"/>
              <w:right w:val="nil"/>
            </w:tcBorders>
            <w:shd w:val="clear" w:color="auto" w:fill="auto"/>
            <w:noWrap/>
            <w:vAlign w:val="center"/>
          </w:tcPr>
          <w:p w14:paraId="2B2ECAB5" w14:textId="4E3AD926"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91.0</w:t>
            </w:r>
          </w:p>
        </w:tc>
        <w:tc>
          <w:tcPr>
            <w:tcW w:w="700" w:type="dxa"/>
            <w:tcBorders>
              <w:top w:val="nil"/>
              <w:left w:val="nil"/>
              <w:bottom w:val="nil"/>
              <w:right w:val="nil"/>
            </w:tcBorders>
            <w:shd w:val="clear" w:color="auto" w:fill="auto"/>
            <w:noWrap/>
            <w:vAlign w:val="center"/>
          </w:tcPr>
          <w:p w14:paraId="3D2349D6" w14:textId="42A961C5"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91.0</w:t>
            </w:r>
          </w:p>
        </w:tc>
        <w:tc>
          <w:tcPr>
            <w:tcW w:w="700" w:type="dxa"/>
            <w:tcBorders>
              <w:top w:val="nil"/>
              <w:left w:val="nil"/>
              <w:bottom w:val="nil"/>
              <w:right w:val="nil"/>
            </w:tcBorders>
            <w:shd w:val="clear" w:color="auto" w:fill="auto"/>
            <w:noWrap/>
            <w:vAlign w:val="center"/>
          </w:tcPr>
          <w:p w14:paraId="0DD4668B" w14:textId="771889AC"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92.0</w:t>
            </w:r>
          </w:p>
        </w:tc>
        <w:tc>
          <w:tcPr>
            <w:tcW w:w="700" w:type="dxa"/>
            <w:tcBorders>
              <w:top w:val="nil"/>
              <w:left w:val="nil"/>
              <w:bottom w:val="nil"/>
              <w:right w:val="nil"/>
            </w:tcBorders>
            <w:shd w:val="clear" w:color="auto" w:fill="auto"/>
            <w:noWrap/>
            <w:vAlign w:val="center"/>
          </w:tcPr>
          <w:p w14:paraId="286EA722" w14:textId="036673CA"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bottom w:val="nil"/>
              <w:right w:val="nil"/>
            </w:tcBorders>
            <w:shd w:val="clear" w:color="auto" w:fill="auto"/>
            <w:noWrap/>
            <w:vAlign w:val="center"/>
          </w:tcPr>
          <w:p w14:paraId="380E8584" w14:textId="0C74B9DE"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bottom w:val="nil"/>
              <w:right w:val="nil"/>
            </w:tcBorders>
            <w:shd w:val="clear" w:color="auto" w:fill="auto"/>
            <w:noWrap/>
            <w:vAlign w:val="center"/>
          </w:tcPr>
          <w:p w14:paraId="2024DB58" w14:textId="750B36F0"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bottom w:val="nil"/>
              <w:right w:val="nil"/>
            </w:tcBorders>
            <w:shd w:val="clear" w:color="auto" w:fill="auto"/>
            <w:noWrap/>
            <w:vAlign w:val="center"/>
          </w:tcPr>
          <w:p w14:paraId="40FF6FE6" w14:textId="4A47855B"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bottom w:val="nil"/>
              <w:right w:val="nil"/>
            </w:tcBorders>
            <w:shd w:val="clear" w:color="auto" w:fill="auto"/>
            <w:noWrap/>
            <w:vAlign w:val="center"/>
          </w:tcPr>
          <w:p w14:paraId="2274957C" w14:textId="34D3CAC0"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99.0</w:t>
            </w:r>
          </w:p>
        </w:tc>
      </w:tr>
      <w:tr w:rsidR="002F4427" w:rsidRPr="002F4427" w14:paraId="1DCF7292" w14:textId="77777777" w:rsidTr="002F4427">
        <w:trPr>
          <w:trHeight w:val="290"/>
        </w:trPr>
        <w:tc>
          <w:tcPr>
            <w:tcW w:w="960" w:type="dxa"/>
            <w:tcBorders>
              <w:top w:val="nil"/>
              <w:left w:val="nil"/>
              <w:right w:val="nil"/>
            </w:tcBorders>
            <w:shd w:val="clear" w:color="auto" w:fill="auto"/>
            <w:noWrap/>
            <w:vAlign w:val="bottom"/>
          </w:tcPr>
          <w:p w14:paraId="3F81E6BD" w14:textId="3C1607A9" w:rsidR="002F4427" w:rsidRPr="002F4427" w:rsidRDefault="002F4427" w:rsidP="002F4427">
            <w:pPr>
              <w:spacing w:after="0" w:line="240" w:lineRule="auto"/>
              <w:rPr>
                <w:rFonts w:ascii="Calibri" w:eastAsia="Times New Roman" w:hAnsi="Calibri" w:cs="Calibri"/>
                <w:b/>
                <w:bCs/>
                <w:color w:val="000000"/>
              </w:rPr>
            </w:pPr>
            <w:r>
              <w:rPr>
                <w:rFonts w:ascii="Calibri" w:hAnsi="Calibri" w:cs="Calibri"/>
                <w:b/>
                <w:bCs/>
                <w:color w:val="000000"/>
              </w:rPr>
              <w:t>12-17</w:t>
            </w:r>
          </w:p>
        </w:tc>
        <w:tc>
          <w:tcPr>
            <w:tcW w:w="700" w:type="dxa"/>
            <w:tcBorders>
              <w:top w:val="nil"/>
              <w:left w:val="nil"/>
              <w:right w:val="nil"/>
            </w:tcBorders>
            <w:shd w:val="clear" w:color="auto" w:fill="auto"/>
            <w:noWrap/>
            <w:vAlign w:val="center"/>
          </w:tcPr>
          <w:p w14:paraId="757DB686" w14:textId="3430A50E"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hAnsi="Calibri" w:cs="Calibri"/>
                <w:i/>
                <w:iCs/>
                <w:color w:val="000000"/>
              </w:rPr>
              <w:t>84</w:t>
            </w:r>
          </w:p>
        </w:tc>
        <w:tc>
          <w:tcPr>
            <w:tcW w:w="700" w:type="dxa"/>
            <w:tcBorders>
              <w:top w:val="nil"/>
              <w:left w:val="nil"/>
              <w:right w:val="nil"/>
            </w:tcBorders>
            <w:shd w:val="clear" w:color="auto" w:fill="auto"/>
            <w:noWrap/>
            <w:vAlign w:val="center"/>
          </w:tcPr>
          <w:p w14:paraId="72D03906" w14:textId="4938C89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25.0</w:t>
            </w:r>
          </w:p>
        </w:tc>
        <w:tc>
          <w:tcPr>
            <w:tcW w:w="700" w:type="dxa"/>
            <w:tcBorders>
              <w:top w:val="nil"/>
              <w:left w:val="nil"/>
              <w:right w:val="nil"/>
            </w:tcBorders>
            <w:shd w:val="clear" w:color="auto" w:fill="auto"/>
            <w:noWrap/>
            <w:vAlign w:val="center"/>
          </w:tcPr>
          <w:p w14:paraId="39288F3F" w14:textId="22739BFA"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40.5</w:t>
            </w:r>
          </w:p>
        </w:tc>
        <w:tc>
          <w:tcPr>
            <w:tcW w:w="700" w:type="dxa"/>
            <w:tcBorders>
              <w:top w:val="nil"/>
              <w:left w:val="nil"/>
              <w:right w:val="nil"/>
            </w:tcBorders>
            <w:shd w:val="clear" w:color="auto" w:fill="auto"/>
            <w:noWrap/>
            <w:vAlign w:val="center"/>
          </w:tcPr>
          <w:p w14:paraId="640C254C" w14:textId="483380D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48.8</w:t>
            </w:r>
          </w:p>
        </w:tc>
        <w:tc>
          <w:tcPr>
            <w:tcW w:w="700" w:type="dxa"/>
            <w:tcBorders>
              <w:top w:val="nil"/>
              <w:left w:val="nil"/>
              <w:right w:val="nil"/>
            </w:tcBorders>
            <w:shd w:val="clear" w:color="auto" w:fill="auto"/>
            <w:noWrap/>
            <w:vAlign w:val="center"/>
          </w:tcPr>
          <w:p w14:paraId="40FFC467" w14:textId="7AE37D37"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53.6</w:t>
            </w:r>
          </w:p>
        </w:tc>
        <w:tc>
          <w:tcPr>
            <w:tcW w:w="700" w:type="dxa"/>
            <w:tcBorders>
              <w:top w:val="nil"/>
              <w:left w:val="nil"/>
              <w:right w:val="nil"/>
            </w:tcBorders>
            <w:shd w:val="clear" w:color="auto" w:fill="auto"/>
            <w:noWrap/>
            <w:vAlign w:val="center"/>
          </w:tcPr>
          <w:p w14:paraId="2F1E7D8F" w14:textId="0447AC82"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63.1</w:t>
            </w:r>
          </w:p>
        </w:tc>
        <w:tc>
          <w:tcPr>
            <w:tcW w:w="700" w:type="dxa"/>
            <w:tcBorders>
              <w:top w:val="nil"/>
              <w:left w:val="nil"/>
              <w:right w:val="nil"/>
            </w:tcBorders>
            <w:shd w:val="clear" w:color="auto" w:fill="auto"/>
            <w:noWrap/>
            <w:vAlign w:val="center"/>
          </w:tcPr>
          <w:p w14:paraId="3FC39E22" w14:textId="4CB19EB7"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67.9</w:t>
            </w:r>
          </w:p>
        </w:tc>
        <w:tc>
          <w:tcPr>
            <w:tcW w:w="700" w:type="dxa"/>
            <w:tcBorders>
              <w:top w:val="nil"/>
              <w:left w:val="nil"/>
              <w:right w:val="nil"/>
            </w:tcBorders>
            <w:shd w:val="clear" w:color="auto" w:fill="auto"/>
            <w:noWrap/>
            <w:vAlign w:val="center"/>
          </w:tcPr>
          <w:p w14:paraId="4E964742" w14:textId="5522A1C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70.2</w:t>
            </w:r>
          </w:p>
        </w:tc>
        <w:tc>
          <w:tcPr>
            <w:tcW w:w="700" w:type="dxa"/>
            <w:tcBorders>
              <w:top w:val="nil"/>
              <w:left w:val="nil"/>
              <w:right w:val="nil"/>
            </w:tcBorders>
            <w:shd w:val="clear" w:color="auto" w:fill="auto"/>
            <w:noWrap/>
            <w:vAlign w:val="center"/>
          </w:tcPr>
          <w:p w14:paraId="76387EB3" w14:textId="2CA449B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73.8</w:t>
            </w:r>
          </w:p>
        </w:tc>
        <w:tc>
          <w:tcPr>
            <w:tcW w:w="700" w:type="dxa"/>
            <w:tcBorders>
              <w:top w:val="nil"/>
              <w:left w:val="nil"/>
              <w:right w:val="nil"/>
            </w:tcBorders>
            <w:shd w:val="clear" w:color="auto" w:fill="auto"/>
            <w:noWrap/>
            <w:vAlign w:val="center"/>
          </w:tcPr>
          <w:p w14:paraId="70617D0E" w14:textId="35AC10A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75.0</w:t>
            </w:r>
          </w:p>
        </w:tc>
        <w:tc>
          <w:tcPr>
            <w:tcW w:w="700" w:type="dxa"/>
            <w:tcBorders>
              <w:top w:val="nil"/>
              <w:left w:val="nil"/>
              <w:right w:val="nil"/>
            </w:tcBorders>
            <w:shd w:val="clear" w:color="auto" w:fill="auto"/>
            <w:noWrap/>
            <w:vAlign w:val="center"/>
          </w:tcPr>
          <w:p w14:paraId="67076ECE" w14:textId="25087C9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84.5</w:t>
            </w:r>
          </w:p>
        </w:tc>
        <w:tc>
          <w:tcPr>
            <w:tcW w:w="700" w:type="dxa"/>
            <w:tcBorders>
              <w:top w:val="nil"/>
              <w:left w:val="nil"/>
              <w:right w:val="nil"/>
            </w:tcBorders>
            <w:shd w:val="clear" w:color="auto" w:fill="auto"/>
            <w:noWrap/>
            <w:vAlign w:val="center"/>
          </w:tcPr>
          <w:p w14:paraId="2332C442" w14:textId="51A15C9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84.5</w:t>
            </w:r>
          </w:p>
        </w:tc>
        <w:tc>
          <w:tcPr>
            <w:tcW w:w="700" w:type="dxa"/>
            <w:tcBorders>
              <w:top w:val="nil"/>
              <w:left w:val="nil"/>
              <w:right w:val="nil"/>
            </w:tcBorders>
            <w:shd w:val="clear" w:color="auto" w:fill="auto"/>
            <w:noWrap/>
            <w:vAlign w:val="center"/>
          </w:tcPr>
          <w:p w14:paraId="6D9FCF45" w14:textId="366ADB1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85.7</w:t>
            </w:r>
          </w:p>
        </w:tc>
        <w:tc>
          <w:tcPr>
            <w:tcW w:w="700" w:type="dxa"/>
            <w:tcBorders>
              <w:top w:val="nil"/>
              <w:left w:val="nil"/>
              <w:right w:val="nil"/>
            </w:tcBorders>
            <w:shd w:val="clear" w:color="auto" w:fill="auto"/>
            <w:noWrap/>
            <w:vAlign w:val="center"/>
          </w:tcPr>
          <w:p w14:paraId="26DF8C38" w14:textId="3C64A67A"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85.7</w:t>
            </w:r>
          </w:p>
        </w:tc>
        <w:tc>
          <w:tcPr>
            <w:tcW w:w="700" w:type="dxa"/>
            <w:tcBorders>
              <w:top w:val="nil"/>
              <w:left w:val="nil"/>
              <w:right w:val="nil"/>
            </w:tcBorders>
            <w:shd w:val="clear" w:color="auto" w:fill="auto"/>
            <w:noWrap/>
            <w:vAlign w:val="center"/>
          </w:tcPr>
          <w:p w14:paraId="69130773" w14:textId="7C535FF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85.7</w:t>
            </w:r>
          </w:p>
        </w:tc>
        <w:tc>
          <w:tcPr>
            <w:tcW w:w="700" w:type="dxa"/>
            <w:tcBorders>
              <w:top w:val="nil"/>
              <w:left w:val="nil"/>
              <w:right w:val="nil"/>
            </w:tcBorders>
            <w:shd w:val="clear" w:color="auto" w:fill="auto"/>
            <w:noWrap/>
            <w:vAlign w:val="center"/>
          </w:tcPr>
          <w:p w14:paraId="1A11AF15" w14:textId="2595C28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88.1</w:t>
            </w:r>
          </w:p>
        </w:tc>
        <w:tc>
          <w:tcPr>
            <w:tcW w:w="700" w:type="dxa"/>
            <w:tcBorders>
              <w:top w:val="nil"/>
              <w:left w:val="nil"/>
              <w:right w:val="nil"/>
            </w:tcBorders>
            <w:shd w:val="clear" w:color="auto" w:fill="auto"/>
            <w:noWrap/>
            <w:vAlign w:val="center"/>
          </w:tcPr>
          <w:p w14:paraId="3376661D" w14:textId="7D5389D4"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88.1</w:t>
            </w:r>
          </w:p>
        </w:tc>
        <w:tc>
          <w:tcPr>
            <w:tcW w:w="700" w:type="dxa"/>
            <w:tcBorders>
              <w:top w:val="nil"/>
              <w:left w:val="nil"/>
              <w:right w:val="nil"/>
            </w:tcBorders>
            <w:shd w:val="clear" w:color="auto" w:fill="auto"/>
            <w:noWrap/>
            <w:vAlign w:val="center"/>
          </w:tcPr>
          <w:p w14:paraId="603823D3" w14:textId="08DB8859" w:rsidR="002F4427" w:rsidRPr="002F4427" w:rsidRDefault="002F4427" w:rsidP="002F4427">
            <w:pPr>
              <w:spacing w:after="0" w:line="240" w:lineRule="auto"/>
              <w:jc w:val="center"/>
              <w:rPr>
                <w:rFonts w:ascii="Times New Roman" w:eastAsia="Times New Roman" w:hAnsi="Times New Roman" w:cs="Times New Roman"/>
                <w:sz w:val="20"/>
                <w:szCs w:val="20"/>
              </w:rPr>
            </w:pPr>
            <w:r>
              <w:rPr>
                <w:rFonts w:ascii="Calibri" w:hAnsi="Calibri" w:cs="Calibri"/>
                <w:color w:val="000000"/>
              </w:rPr>
              <w:t>89.3</w:t>
            </w:r>
          </w:p>
        </w:tc>
        <w:tc>
          <w:tcPr>
            <w:tcW w:w="700" w:type="dxa"/>
            <w:tcBorders>
              <w:top w:val="nil"/>
              <w:left w:val="nil"/>
              <w:right w:val="nil"/>
            </w:tcBorders>
            <w:shd w:val="clear" w:color="auto" w:fill="auto"/>
            <w:noWrap/>
            <w:vAlign w:val="center"/>
          </w:tcPr>
          <w:p w14:paraId="64C345D1" w14:textId="690A7B65"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right w:val="nil"/>
            </w:tcBorders>
            <w:shd w:val="clear" w:color="auto" w:fill="auto"/>
            <w:noWrap/>
            <w:vAlign w:val="center"/>
          </w:tcPr>
          <w:p w14:paraId="325A5FE8" w14:textId="522CD35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right w:val="nil"/>
            </w:tcBorders>
            <w:shd w:val="clear" w:color="auto" w:fill="auto"/>
            <w:noWrap/>
            <w:vAlign w:val="center"/>
          </w:tcPr>
          <w:p w14:paraId="501E2038" w14:textId="1CB3AD6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right w:val="nil"/>
            </w:tcBorders>
            <w:shd w:val="clear" w:color="auto" w:fill="auto"/>
            <w:noWrap/>
            <w:vAlign w:val="center"/>
          </w:tcPr>
          <w:p w14:paraId="2EC6F57D" w14:textId="3410469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94.0</w:t>
            </w:r>
          </w:p>
        </w:tc>
        <w:tc>
          <w:tcPr>
            <w:tcW w:w="700" w:type="dxa"/>
            <w:tcBorders>
              <w:top w:val="nil"/>
              <w:left w:val="nil"/>
              <w:right w:val="nil"/>
            </w:tcBorders>
            <w:shd w:val="clear" w:color="auto" w:fill="auto"/>
            <w:noWrap/>
            <w:vAlign w:val="center"/>
          </w:tcPr>
          <w:p w14:paraId="21C47A87" w14:textId="6F7130EC"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95.2</w:t>
            </w:r>
          </w:p>
        </w:tc>
        <w:tc>
          <w:tcPr>
            <w:tcW w:w="700" w:type="dxa"/>
            <w:tcBorders>
              <w:top w:val="nil"/>
              <w:left w:val="nil"/>
              <w:right w:val="nil"/>
            </w:tcBorders>
            <w:shd w:val="clear" w:color="auto" w:fill="auto"/>
            <w:noWrap/>
            <w:vAlign w:val="center"/>
          </w:tcPr>
          <w:p w14:paraId="099D56C7" w14:textId="646EC9AA"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95.2</w:t>
            </w:r>
          </w:p>
        </w:tc>
        <w:tc>
          <w:tcPr>
            <w:tcW w:w="700" w:type="dxa"/>
            <w:tcBorders>
              <w:top w:val="nil"/>
              <w:left w:val="nil"/>
              <w:right w:val="nil"/>
            </w:tcBorders>
            <w:shd w:val="clear" w:color="auto" w:fill="auto"/>
            <w:noWrap/>
            <w:vAlign w:val="center"/>
          </w:tcPr>
          <w:p w14:paraId="7416B993" w14:textId="093B6962"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95.2</w:t>
            </w:r>
          </w:p>
        </w:tc>
        <w:tc>
          <w:tcPr>
            <w:tcW w:w="700" w:type="dxa"/>
            <w:tcBorders>
              <w:top w:val="nil"/>
              <w:left w:val="nil"/>
              <w:right w:val="nil"/>
            </w:tcBorders>
            <w:shd w:val="clear" w:color="auto" w:fill="auto"/>
            <w:noWrap/>
            <w:vAlign w:val="center"/>
          </w:tcPr>
          <w:p w14:paraId="26DA3FD4" w14:textId="47469A4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97.6</w:t>
            </w:r>
          </w:p>
        </w:tc>
      </w:tr>
      <w:tr w:rsidR="002F4427" w:rsidRPr="002F4427" w14:paraId="7AEA5808" w14:textId="77777777" w:rsidTr="002F4427">
        <w:trPr>
          <w:trHeight w:val="290"/>
        </w:trPr>
        <w:tc>
          <w:tcPr>
            <w:tcW w:w="960" w:type="dxa"/>
            <w:tcBorders>
              <w:top w:val="nil"/>
              <w:left w:val="nil"/>
              <w:bottom w:val="single" w:sz="4" w:space="0" w:color="auto"/>
              <w:right w:val="nil"/>
            </w:tcBorders>
            <w:shd w:val="clear" w:color="auto" w:fill="auto"/>
            <w:noWrap/>
            <w:vAlign w:val="bottom"/>
          </w:tcPr>
          <w:p w14:paraId="3D4D4815" w14:textId="7A99B982" w:rsidR="002F4427" w:rsidRPr="002F4427" w:rsidRDefault="002F4427" w:rsidP="002F4427">
            <w:pPr>
              <w:spacing w:after="0" w:line="240" w:lineRule="auto"/>
              <w:rPr>
                <w:rFonts w:ascii="Calibri" w:eastAsia="Times New Roman" w:hAnsi="Calibri" w:cs="Calibri"/>
                <w:b/>
                <w:bCs/>
                <w:color w:val="000000"/>
              </w:rPr>
            </w:pPr>
            <w:r>
              <w:rPr>
                <w:rFonts w:ascii="Calibri" w:hAnsi="Calibri" w:cs="Calibri"/>
                <w:b/>
                <w:bCs/>
                <w:color w:val="000000"/>
              </w:rPr>
              <w:t>18-64</w:t>
            </w:r>
          </w:p>
        </w:tc>
        <w:tc>
          <w:tcPr>
            <w:tcW w:w="700" w:type="dxa"/>
            <w:tcBorders>
              <w:top w:val="nil"/>
              <w:left w:val="nil"/>
              <w:bottom w:val="single" w:sz="4" w:space="0" w:color="auto"/>
              <w:right w:val="nil"/>
            </w:tcBorders>
            <w:shd w:val="clear" w:color="auto" w:fill="auto"/>
            <w:noWrap/>
            <w:vAlign w:val="center"/>
          </w:tcPr>
          <w:p w14:paraId="58D33195" w14:textId="766EAC01" w:rsidR="002F4427" w:rsidRPr="002F4427" w:rsidRDefault="002F4427" w:rsidP="002F4427">
            <w:pPr>
              <w:spacing w:after="0" w:line="240" w:lineRule="auto"/>
              <w:jc w:val="center"/>
              <w:rPr>
                <w:rFonts w:ascii="Calibri" w:eastAsia="Times New Roman" w:hAnsi="Calibri" w:cs="Calibri"/>
                <w:i/>
                <w:iCs/>
                <w:color w:val="000000"/>
              </w:rPr>
            </w:pPr>
            <w:r w:rsidRPr="002F4427">
              <w:rPr>
                <w:rFonts w:ascii="Calibri" w:hAnsi="Calibri" w:cs="Calibri"/>
                <w:i/>
                <w:iCs/>
                <w:color w:val="000000"/>
              </w:rPr>
              <w:t>360</w:t>
            </w:r>
          </w:p>
        </w:tc>
        <w:tc>
          <w:tcPr>
            <w:tcW w:w="700" w:type="dxa"/>
            <w:tcBorders>
              <w:top w:val="nil"/>
              <w:left w:val="nil"/>
              <w:bottom w:val="single" w:sz="4" w:space="0" w:color="auto"/>
              <w:right w:val="nil"/>
            </w:tcBorders>
            <w:shd w:val="clear" w:color="auto" w:fill="auto"/>
            <w:noWrap/>
            <w:vAlign w:val="center"/>
          </w:tcPr>
          <w:p w14:paraId="392206CF" w14:textId="0EC9A544"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23.9</w:t>
            </w:r>
          </w:p>
        </w:tc>
        <w:tc>
          <w:tcPr>
            <w:tcW w:w="700" w:type="dxa"/>
            <w:tcBorders>
              <w:top w:val="nil"/>
              <w:left w:val="nil"/>
              <w:bottom w:val="single" w:sz="4" w:space="0" w:color="auto"/>
              <w:right w:val="nil"/>
            </w:tcBorders>
            <w:shd w:val="clear" w:color="auto" w:fill="auto"/>
            <w:noWrap/>
            <w:vAlign w:val="center"/>
          </w:tcPr>
          <w:p w14:paraId="696BF954" w14:textId="68D5E1C4"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37.2</w:t>
            </w:r>
          </w:p>
        </w:tc>
        <w:tc>
          <w:tcPr>
            <w:tcW w:w="700" w:type="dxa"/>
            <w:tcBorders>
              <w:top w:val="nil"/>
              <w:left w:val="nil"/>
              <w:bottom w:val="single" w:sz="4" w:space="0" w:color="auto"/>
              <w:right w:val="nil"/>
            </w:tcBorders>
            <w:shd w:val="clear" w:color="auto" w:fill="auto"/>
            <w:noWrap/>
            <w:vAlign w:val="center"/>
          </w:tcPr>
          <w:p w14:paraId="6E490C51" w14:textId="704301A7"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51.1</w:t>
            </w:r>
          </w:p>
        </w:tc>
        <w:tc>
          <w:tcPr>
            <w:tcW w:w="700" w:type="dxa"/>
            <w:tcBorders>
              <w:top w:val="nil"/>
              <w:left w:val="nil"/>
              <w:bottom w:val="single" w:sz="4" w:space="0" w:color="auto"/>
              <w:right w:val="nil"/>
            </w:tcBorders>
            <w:shd w:val="clear" w:color="auto" w:fill="auto"/>
            <w:noWrap/>
            <w:vAlign w:val="center"/>
          </w:tcPr>
          <w:p w14:paraId="036A627C" w14:textId="55A3619F"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58.6</w:t>
            </w:r>
          </w:p>
        </w:tc>
        <w:tc>
          <w:tcPr>
            <w:tcW w:w="700" w:type="dxa"/>
            <w:tcBorders>
              <w:top w:val="nil"/>
              <w:left w:val="nil"/>
              <w:bottom w:val="single" w:sz="4" w:space="0" w:color="auto"/>
              <w:right w:val="nil"/>
            </w:tcBorders>
            <w:shd w:val="clear" w:color="auto" w:fill="auto"/>
            <w:noWrap/>
            <w:vAlign w:val="center"/>
          </w:tcPr>
          <w:p w14:paraId="2350E79F" w14:textId="77E4F7A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64.7</w:t>
            </w:r>
          </w:p>
        </w:tc>
        <w:tc>
          <w:tcPr>
            <w:tcW w:w="700" w:type="dxa"/>
            <w:tcBorders>
              <w:top w:val="nil"/>
              <w:left w:val="nil"/>
              <w:bottom w:val="single" w:sz="4" w:space="0" w:color="auto"/>
              <w:right w:val="nil"/>
            </w:tcBorders>
            <w:shd w:val="clear" w:color="auto" w:fill="auto"/>
            <w:noWrap/>
            <w:vAlign w:val="center"/>
          </w:tcPr>
          <w:p w14:paraId="71D2778E" w14:textId="25FD111E"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67.8</w:t>
            </w:r>
          </w:p>
        </w:tc>
        <w:tc>
          <w:tcPr>
            <w:tcW w:w="700" w:type="dxa"/>
            <w:tcBorders>
              <w:top w:val="nil"/>
              <w:left w:val="nil"/>
              <w:bottom w:val="single" w:sz="4" w:space="0" w:color="auto"/>
              <w:right w:val="nil"/>
            </w:tcBorders>
            <w:shd w:val="clear" w:color="auto" w:fill="auto"/>
            <w:noWrap/>
            <w:vAlign w:val="center"/>
          </w:tcPr>
          <w:p w14:paraId="324176A7" w14:textId="78866AC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69.2</w:t>
            </w:r>
          </w:p>
        </w:tc>
        <w:tc>
          <w:tcPr>
            <w:tcW w:w="700" w:type="dxa"/>
            <w:tcBorders>
              <w:top w:val="nil"/>
              <w:left w:val="nil"/>
              <w:bottom w:val="single" w:sz="4" w:space="0" w:color="auto"/>
              <w:right w:val="nil"/>
            </w:tcBorders>
            <w:shd w:val="clear" w:color="auto" w:fill="auto"/>
            <w:noWrap/>
            <w:vAlign w:val="center"/>
          </w:tcPr>
          <w:p w14:paraId="1471A615" w14:textId="57BAA3E3"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73.1</w:t>
            </w:r>
          </w:p>
        </w:tc>
        <w:tc>
          <w:tcPr>
            <w:tcW w:w="700" w:type="dxa"/>
            <w:tcBorders>
              <w:top w:val="nil"/>
              <w:left w:val="nil"/>
              <w:bottom w:val="single" w:sz="4" w:space="0" w:color="auto"/>
              <w:right w:val="nil"/>
            </w:tcBorders>
            <w:shd w:val="clear" w:color="auto" w:fill="auto"/>
            <w:noWrap/>
            <w:vAlign w:val="center"/>
          </w:tcPr>
          <w:p w14:paraId="66FD3D0E" w14:textId="2E2E2EC8"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73.1</w:t>
            </w:r>
          </w:p>
        </w:tc>
        <w:tc>
          <w:tcPr>
            <w:tcW w:w="700" w:type="dxa"/>
            <w:tcBorders>
              <w:top w:val="nil"/>
              <w:left w:val="nil"/>
              <w:bottom w:val="single" w:sz="4" w:space="0" w:color="auto"/>
              <w:right w:val="nil"/>
            </w:tcBorders>
            <w:shd w:val="clear" w:color="auto" w:fill="auto"/>
            <w:noWrap/>
            <w:vAlign w:val="center"/>
          </w:tcPr>
          <w:p w14:paraId="1C1C4297" w14:textId="3CC5770A"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78.1</w:t>
            </w:r>
          </w:p>
        </w:tc>
        <w:tc>
          <w:tcPr>
            <w:tcW w:w="700" w:type="dxa"/>
            <w:tcBorders>
              <w:top w:val="nil"/>
              <w:left w:val="nil"/>
              <w:bottom w:val="single" w:sz="4" w:space="0" w:color="auto"/>
              <w:right w:val="nil"/>
            </w:tcBorders>
            <w:shd w:val="clear" w:color="auto" w:fill="auto"/>
            <w:noWrap/>
            <w:vAlign w:val="center"/>
          </w:tcPr>
          <w:p w14:paraId="0333620B" w14:textId="7E747FF0"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78.9</w:t>
            </w:r>
          </w:p>
        </w:tc>
        <w:tc>
          <w:tcPr>
            <w:tcW w:w="700" w:type="dxa"/>
            <w:tcBorders>
              <w:top w:val="nil"/>
              <w:left w:val="nil"/>
              <w:bottom w:val="single" w:sz="4" w:space="0" w:color="auto"/>
              <w:right w:val="nil"/>
            </w:tcBorders>
            <w:shd w:val="clear" w:color="auto" w:fill="auto"/>
            <w:noWrap/>
            <w:vAlign w:val="center"/>
          </w:tcPr>
          <w:p w14:paraId="6544E289" w14:textId="565D1B10"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83.1</w:t>
            </w:r>
          </w:p>
        </w:tc>
        <w:tc>
          <w:tcPr>
            <w:tcW w:w="700" w:type="dxa"/>
            <w:tcBorders>
              <w:top w:val="nil"/>
              <w:left w:val="nil"/>
              <w:bottom w:val="single" w:sz="4" w:space="0" w:color="auto"/>
              <w:right w:val="nil"/>
            </w:tcBorders>
            <w:shd w:val="clear" w:color="auto" w:fill="auto"/>
            <w:noWrap/>
            <w:vAlign w:val="center"/>
          </w:tcPr>
          <w:p w14:paraId="1EB397DC" w14:textId="4CE41ED6"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83.3</w:t>
            </w:r>
          </w:p>
        </w:tc>
        <w:tc>
          <w:tcPr>
            <w:tcW w:w="700" w:type="dxa"/>
            <w:tcBorders>
              <w:top w:val="nil"/>
              <w:left w:val="nil"/>
              <w:bottom w:val="single" w:sz="4" w:space="0" w:color="auto"/>
              <w:right w:val="nil"/>
            </w:tcBorders>
            <w:shd w:val="clear" w:color="auto" w:fill="auto"/>
            <w:noWrap/>
            <w:vAlign w:val="center"/>
          </w:tcPr>
          <w:p w14:paraId="6AD5A797" w14:textId="667FD267"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83.6</w:t>
            </w:r>
          </w:p>
        </w:tc>
        <w:tc>
          <w:tcPr>
            <w:tcW w:w="700" w:type="dxa"/>
            <w:tcBorders>
              <w:top w:val="nil"/>
              <w:left w:val="nil"/>
              <w:bottom w:val="single" w:sz="4" w:space="0" w:color="auto"/>
              <w:right w:val="nil"/>
            </w:tcBorders>
            <w:shd w:val="clear" w:color="auto" w:fill="auto"/>
            <w:noWrap/>
            <w:vAlign w:val="center"/>
          </w:tcPr>
          <w:p w14:paraId="218B2F70" w14:textId="50B7B16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86.4</w:t>
            </w:r>
          </w:p>
        </w:tc>
        <w:tc>
          <w:tcPr>
            <w:tcW w:w="700" w:type="dxa"/>
            <w:tcBorders>
              <w:top w:val="nil"/>
              <w:left w:val="nil"/>
              <w:bottom w:val="single" w:sz="4" w:space="0" w:color="auto"/>
              <w:right w:val="nil"/>
            </w:tcBorders>
            <w:shd w:val="clear" w:color="auto" w:fill="auto"/>
            <w:noWrap/>
            <w:vAlign w:val="center"/>
          </w:tcPr>
          <w:p w14:paraId="73A79E98" w14:textId="321CA8A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86.4</w:t>
            </w:r>
          </w:p>
        </w:tc>
        <w:tc>
          <w:tcPr>
            <w:tcW w:w="700" w:type="dxa"/>
            <w:tcBorders>
              <w:top w:val="nil"/>
              <w:left w:val="nil"/>
              <w:bottom w:val="single" w:sz="4" w:space="0" w:color="auto"/>
              <w:right w:val="nil"/>
            </w:tcBorders>
            <w:shd w:val="clear" w:color="auto" w:fill="auto"/>
            <w:noWrap/>
            <w:vAlign w:val="center"/>
          </w:tcPr>
          <w:p w14:paraId="007C354B" w14:textId="107F2DBE" w:rsidR="002F4427" w:rsidRPr="002F4427" w:rsidRDefault="002F4427" w:rsidP="002F4427">
            <w:pPr>
              <w:spacing w:after="0" w:line="240" w:lineRule="auto"/>
              <w:jc w:val="center"/>
              <w:rPr>
                <w:rFonts w:ascii="Times New Roman" w:eastAsia="Times New Roman" w:hAnsi="Times New Roman" w:cs="Times New Roman"/>
                <w:sz w:val="20"/>
                <w:szCs w:val="20"/>
              </w:rPr>
            </w:pPr>
            <w:r>
              <w:rPr>
                <w:rFonts w:ascii="Calibri" w:hAnsi="Calibri" w:cs="Calibri"/>
                <w:color w:val="000000"/>
              </w:rPr>
              <w:t>86.4</w:t>
            </w:r>
          </w:p>
        </w:tc>
        <w:tc>
          <w:tcPr>
            <w:tcW w:w="700" w:type="dxa"/>
            <w:tcBorders>
              <w:top w:val="nil"/>
              <w:left w:val="nil"/>
              <w:bottom w:val="single" w:sz="4" w:space="0" w:color="auto"/>
              <w:right w:val="nil"/>
            </w:tcBorders>
            <w:shd w:val="clear" w:color="auto" w:fill="auto"/>
            <w:noWrap/>
            <w:vAlign w:val="center"/>
          </w:tcPr>
          <w:p w14:paraId="38152C54" w14:textId="7A0A9D66"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90.6</w:t>
            </w:r>
          </w:p>
        </w:tc>
        <w:tc>
          <w:tcPr>
            <w:tcW w:w="700" w:type="dxa"/>
            <w:tcBorders>
              <w:top w:val="nil"/>
              <w:left w:val="nil"/>
              <w:bottom w:val="single" w:sz="4" w:space="0" w:color="auto"/>
              <w:right w:val="nil"/>
            </w:tcBorders>
            <w:shd w:val="clear" w:color="auto" w:fill="auto"/>
            <w:noWrap/>
            <w:vAlign w:val="center"/>
          </w:tcPr>
          <w:p w14:paraId="1F526132" w14:textId="044547EC"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90.8</w:t>
            </w:r>
          </w:p>
        </w:tc>
        <w:tc>
          <w:tcPr>
            <w:tcW w:w="700" w:type="dxa"/>
            <w:tcBorders>
              <w:top w:val="nil"/>
              <w:left w:val="nil"/>
              <w:bottom w:val="single" w:sz="4" w:space="0" w:color="auto"/>
              <w:right w:val="nil"/>
            </w:tcBorders>
            <w:shd w:val="clear" w:color="auto" w:fill="auto"/>
            <w:noWrap/>
            <w:vAlign w:val="center"/>
          </w:tcPr>
          <w:p w14:paraId="36676F77" w14:textId="70E4D191"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90.8</w:t>
            </w:r>
          </w:p>
        </w:tc>
        <w:tc>
          <w:tcPr>
            <w:tcW w:w="700" w:type="dxa"/>
            <w:tcBorders>
              <w:top w:val="nil"/>
              <w:left w:val="nil"/>
              <w:bottom w:val="single" w:sz="4" w:space="0" w:color="auto"/>
              <w:right w:val="nil"/>
            </w:tcBorders>
            <w:shd w:val="clear" w:color="auto" w:fill="auto"/>
            <w:noWrap/>
            <w:vAlign w:val="center"/>
          </w:tcPr>
          <w:p w14:paraId="392BF9D4" w14:textId="1548A7A8"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92.8</w:t>
            </w:r>
          </w:p>
        </w:tc>
        <w:tc>
          <w:tcPr>
            <w:tcW w:w="700" w:type="dxa"/>
            <w:tcBorders>
              <w:top w:val="nil"/>
              <w:left w:val="nil"/>
              <w:bottom w:val="single" w:sz="4" w:space="0" w:color="auto"/>
              <w:right w:val="nil"/>
            </w:tcBorders>
            <w:shd w:val="clear" w:color="auto" w:fill="auto"/>
            <w:noWrap/>
            <w:vAlign w:val="center"/>
          </w:tcPr>
          <w:p w14:paraId="671C0C6F" w14:textId="1F5494CD"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93.1</w:t>
            </w:r>
          </w:p>
        </w:tc>
        <w:tc>
          <w:tcPr>
            <w:tcW w:w="700" w:type="dxa"/>
            <w:tcBorders>
              <w:top w:val="nil"/>
              <w:left w:val="nil"/>
              <w:bottom w:val="single" w:sz="4" w:space="0" w:color="auto"/>
              <w:right w:val="nil"/>
            </w:tcBorders>
            <w:shd w:val="clear" w:color="auto" w:fill="auto"/>
            <w:noWrap/>
            <w:vAlign w:val="center"/>
          </w:tcPr>
          <w:p w14:paraId="3A15F709" w14:textId="0ADD3BDE"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93.3</w:t>
            </w:r>
          </w:p>
        </w:tc>
        <w:tc>
          <w:tcPr>
            <w:tcW w:w="700" w:type="dxa"/>
            <w:tcBorders>
              <w:top w:val="nil"/>
              <w:left w:val="nil"/>
              <w:bottom w:val="single" w:sz="4" w:space="0" w:color="auto"/>
              <w:right w:val="nil"/>
            </w:tcBorders>
            <w:shd w:val="clear" w:color="auto" w:fill="auto"/>
            <w:noWrap/>
            <w:vAlign w:val="center"/>
          </w:tcPr>
          <w:p w14:paraId="77B2DFA5" w14:textId="644E5A62"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93.3</w:t>
            </w:r>
          </w:p>
        </w:tc>
        <w:tc>
          <w:tcPr>
            <w:tcW w:w="700" w:type="dxa"/>
            <w:tcBorders>
              <w:top w:val="nil"/>
              <w:left w:val="nil"/>
              <w:bottom w:val="single" w:sz="4" w:space="0" w:color="auto"/>
              <w:right w:val="nil"/>
            </w:tcBorders>
            <w:shd w:val="clear" w:color="auto" w:fill="auto"/>
            <w:noWrap/>
            <w:vAlign w:val="center"/>
          </w:tcPr>
          <w:p w14:paraId="243AB2CE" w14:textId="2CEE5E49" w:rsidR="002F4427" w:rsidRPr="002F4427" w:rsidRDefault="002F4427" w:rsidP="002F4427">
            <w:pPr>
              <w:spacing w:after="0" w:line="240" w:lineRule="auto"/>
              <w:jc w:val="center"/>
              <w:rPr>
                <w:rFonts w:ascii="Calibri" w:eastAsia="Times New Roman" w:hAnsi="Calibri" w:cs="Calibri"/>
                <w:color w:val="000000"/>
              </w:rPr>
            </w:pPr>
            <w:r>
              <w:rPr>
                <w:rFonts w:ascii="Calibri" w:hAnsi="Calibri" w:cs="Calibri"/>
                <w:color w:val="000000"/>
              </w:rPr>
              <w:t>97.5</w:t>
            </w:r>
          </w:p>
        </w:tc>
      </w:tr>
    </w:tbl>
    <w:p w14:paraId="1A972E11" w14:textId="77777777" w:rsidR="007821BD" w:rsidRDefault="007821BD" w:rsidP="007821BD"/>
    <w:p w14:paraId="1BD45C28" w14:textId="118446A7" w:rsidR="007821BD" w:rsidRPr="007821BD" w:rsidRDefault="007821BD" w:rsidP="007821BD">
      <w:pPr>
        <w:sectPr w:rsidR="007821BD" w:rsidRPr="007821BD" w:rsidSect="00E404A9">
          <w:headerReference w:type="default" r:id="rId25"/>
          <w:pgSz w:w="20160" w:h="12240" w:orient="landscape" w:code="5"/>
          <w:pgMar w:top="720" w:right="720" w:bottom="720" w:left="720" w:header="720" w:footer="720" w:gutter="0"/>
          <w:cols w:space="720"/>
          <w:docGrid w:linePitch="360"/>
        </w:sectPr>
      </w:pPr>
    </w:p>
    <w:p w14:paraId="2072EA4C" w14:textId="029B93B0" w:rsidR="00506F46" w:rsidRPr="00776FA8" w:rsidRDefault="00764CC1" w:rsidP="00776FA8">
      <w:pPr>
        <w:rPr>
          <w:b/>
          <w:bCs/>
          <w:sz w:val="28"/>
          <w:szCs w:val="28"/>
        </w:rPr>
      </w:pPr>
      <w:r w:rsidRPr="00776FA8">
        <w:rPr>
          <w:b/>
          <w:bCs/>
          <w:sz w:val="28"/>
          <w:szCs w:val="28"/>
        </w:rPr>
        <w:t>A</w:t>
      </w:r>
      <w:r w:rsidR="0001329E" w:rsidRPr="00776FA8">
        <w:rPr>
          <w:b/>
          <w:bCs/>
          <w:sz w:val="28"/>
          <w:szCs w:val="28"/>
        </w:rPr>
        <w:t xml:space="preserve">.4 </w:t>
      </w:r>
      <w:r w:rsidR="00FD553E">
        <w:rPr>
          <w:b/>
          <w:bCs/>
          <w:sz w:val="28"/>
          <w:szCs w:val="28"/>
        </w:rPr>
        <w:tab/>
      </w:r>
      <w:r w:rsidR="00DF46D9" w:rsidRPr="00776FA8">
        <w:rPr>
          <w:b/>
          <w:bCs/>
          <w:sz w:val="28"/>
          <w:szCs w:val="28"/>
        </w:rPr>
        <w:t>R</w:t>
      </w:r>
      <w:r w:rsidR="0001329E" w:rsidRPr="00776FA8">
        <w:rPr>
          <w:b/>
          <w:bCs/>
          <w:sz w:val="28"/>
          <w:szCs w:val="28"/>
        </w:rPr>
        <w:t>elative</w:t>
      </w:r>
      <w:r w:rsidR="00DF46D9" w:rsidRPr="00776FA8">
        <w:rPr>
          <w:b/>
          <w:bCs/>
          <w:sz w:val="28"/>
          <w:szCs w:val="28"/>
        </w:rPr>
        <w:t xml:space="preserve"> S</w:t>
      </w:r>
      <w:r w:rsidR="0001329E" w:rsidRPr="00776FA8">
        <w:rPr>
          <w:b/>
          <w:bCs/>
          <w:sz w:val="28"/>
          <w:szCs w:val="28"/>
        </w:rPr>
        <w:t>ource</w:t>
      </w:r>
      <w:r w:rsidR="00DF46D9" w:rsidRPr="00776FA8">
        <w:rPr>
          <w:b/>
          <w:bCs/>
          <w:sz w:val="28"/>
          <w:szCs w:val="28"/>
        </w:rPr>
        <w:t xml:space="preserve"> C</w:t>
      </w:r>
      <w:r w:rsidR="00657CF0" w:rsidRPr="00776FA8">
        <w:rPr>
          <w:b/>
          <w:bCs/>
          <w:sz w:val="28"/>
          <w:szCs w:val="28"/>
        </w:rPr>
        <w:t>ontribution</w:t>
      </w:r>
    </w:p>
    <w:p w14:paraId="7393370E" w14:textId="1192E4ED" w:rsidR="00236547" w:rsidRPr="003773CB" w:rsidRDefault="00DF46D9" w:rsidP="00BD4CEE">
      <w:pPr>
        <w:spacing w:line="240" w:lineRule="auto"/>
        <w:jc w:val="both"/>
        <w:rPr>
          <w:rFonts w:cs="Arial"/>
          <w:sz w:val="24"/>
          <w:szCs w:val="24"/>
        </w:rPr>
      </w:pPr>
      <w:r w:rsidRPr="003773CB">
        <w:rPr>
          <w:rFonts w:cs="Arial"/>
          <w:sz w:val="24"/>
          <w:szCs w:val="24"/>
        </w:rPr>
        <w:t xml:space="preserve">The </w:t>
      </w:r>
      <w:r w:rsidR="006B3ECA">
        <w:rPr>
          <w:rFonts w:cs="Arial"/>
          <w:sz w:val="24"/>
          <w:szCs w:val="24"/>
        </w:rPr>
        <w:t>relative source contribution (</w:t>
      </w:r>
      <w:r w:rsidRPr="003773CB">
        <w:rPr>
          <w:rFonts w:cs="Arial"/>
          <w:sz w:val="24"/>
          <w:szCs w:val="24"/>
        </w:rPr>
        <w:t>RSC</w:t>
      </w:r>
      <w:r w:rsidR="006B3ECA">
        <w:rPr>
          <w:rFonts w:cs="Arial"/>
          <w:sz w:val="24"/>
          <w:szCs w:val="24"/>
        </w:rPr>
        <w:t>)</w:t>
      </w:r>
      <w:r w:rsidRPr="003773CB">
        <w:rPr>
          <w:rFonts w:cs="Arial"/>
          <w:sz w:val="24"/>
          <w:szCs w:val="24"/>
        </w:rPr>
        <w:t xml:space="preserve"> accounts for exposures to the contaminant of concern from sources other than those </w:t>
      </w:r>
      <w:r w:rsidR="002E410E">
        <w:rPr>
          <w:rFonts w:cs="Arial"/>
          <w:sz w:val="24"/>
          <w:szCs w:val="24"/>
        </w:rPr>
        <w:t>accounted for</w:t>
      </w:r>
      <w:r w:rsidRPr="003773CB">
        <w:rPr>
          <w:rFonts w:cs="Arial"/>
          <w:sz w:val="24"/>
          <w:szCs w:val="24"/>
        </w:rPr>
        <w:t xml:space="preserve"> by the </w:t>
      </w:r>
      <w:r w:rsidR="006B3ECA">
        <w:rPr>
          <w:rFonts w:cs="Arial"/>
          <w:sz w:val="24"/>
          <w:szCs w:val="24"/>
        </w:rPr>
        <w:t>SWAL</w:t>
      </w:r>
      <w:r w:rsidRPr="003773CB">
        <w:rPr>
          <w:rFonts w:cs="Arial"/>
          <w:sz w:val="24"/>
          <w:szCs w:val="24"/>
        </w:rPr>
        <w:t>, such as diet or air. Per US EPA guidance (2000) RSCs range from 20 – 80%, with 20% used as a default in the absence of adequate data supporting a higher RSC.</w:t>
      </w:r>
    </w:p>
    <w:p w14:paraId="600AF9F3" w14:textId="23B37CF5" w:rsidR="00E242A7" w:rsidRPr="00220B59" w:rsidRDefault="00271B22" w:rsidP="00BD4CEE">
      <w:pPr>
        <w:spacing w:line="240" w:lineRule="auto"/>
        <w:jc w:val="both"/>
        <w:rPr>
          <w:color w:val="000000"/>
          <w:sz w:val="24"/>
          <w:szCs w:val="24"/>
        </w:rPr>
      </w:pPr>
      <w:r w:rsidRPr="00271B22">
        <w:rPr>
          <w:sz w:val="24"/>
          <w:szCs w:val="24"/>
        </w:rPr>
        <w:t>Both the DPH and MCP-based</w:t>
      </w:r>
      <w:r w:rsidR="0079712C" w:rsidRPr="00271B22">
        <w:rPr>
          <w:sz w:val="24"/>
          <w:szCs w:val="24"/>
        </w:rPr>
        <w:t xml:space="preserve"> SWAL</w:t>
      </w:r>
      <w:r w:rsidRPr="00271B22">
        <w:rPr>
          <w:sz w:val="24"/>
          <w:szCs w:val="24"/>
        </w:rPr>
        <w:t>s</w:t>
      </w:r>
      <w:r w:rsidR="00E242A7" w:rsidRPr="00271B22">
        <w:rPr>
          <w:sz w:val="24"/>
          <w:szCs w:val="24"/>
        </w:rPr>
        <w:t xml:space="preserve"> </w:t>
      </w:r>
      <w:r w:rsidRPr="00271B22">
        <w:rPr>
          <w:sz w:val="24"/>
          <w:szCs w:val="24"/>
        </w:rPr>
        <w:t>are</w:t>
      </w:r>
      <w:r w:rsidR="00E242A7" w:rsidRPr="00271B22">
        <w:rPr>
          <w:sz w:val="24"/>
          <w:szCs w:val="24"/>
        </w:rPr>
        <w:t xml:space="preserve"> calculated using an RSC of 20%, which is consistent with RSCs used by other </w:t>
      </w:r>
      <w:r w:rsidR="006B3ECA">
        <w:rPr>
          <w:sz w:val="24"/>
          <w:szCs w:val="24"/>
        </w:rPr>
        <w:t xml:space="preserve">government agencies </w:t>
      </w:r>
      <w:r w:rsidR="006D7CA5" w:rsidRPr="00271B22">
        <w:rPr>
          <w:sz w:val="24"/>
          <w:szCs w:val="24"/>
        </w:rPr>
        <w:t xml:space="preserve">for calculating risk-based drinking water levels, </w:t>
      </w:r>
      <w:r w:rsidR="00E242A7" w:rsidRPr="00271B22">
        <w:rPr>
          <w:sz w:val="24"/>
          <w:szCs w:val="24"/>
        </w:rPr>
        <w:t>and with available exposure data.</w:t>
      </w:r>
      <w:r w:rsidR="00A6663A" w:rsidRPr="00271B22">
        <w:rPr>
          <w:sz w:val="24"/>
          <w:szCs w:val="24"/>
        </w:rPr>
        <w:t xml:space="preserve"> </w:t>
      </w:r>
      <w:r w:rsidR="00A6663A" w:rsidRPr="00271B22">
        <w:rPr>
          <w:color w:val="000000"/>
          <w:sz w:val="24"/>
          <w:szCs w:val="24"/>
        </w:rPr>
        <w:t xml:space="preserve">For example, Massachusetts, New Jersey and US EPA use an RSC of 20% for </w:t>
      </w:r>
      <w:r w:rsidR="00896A26" w:rsidRPr="00271B22">
        <w:rPr>
          <w:color w:val="000000"/>
          <w:sz w:val="24"/>
          <w:szCs w:val="24"/>
        </w:rPr>
        <w:t>PFOS</w:t>
      </w:r>
      <w:r w:rsidR="00A6663A" w:rsidRPr="00271B22">
        <w:rPr>
          <w:color w:val="000000"/>
          <w:sz w:val="24"/>
          <w:szCs w:val="24"/>
        </w:rPr>
        <w:t xml:space="preserve"> </w:t>
      </w:r>
      <w:r w:rsidR="006D7CA5" w:rsidRPr="00271B22">
        <w:rPr>
          <w:color w:val="000000"/>
          <w:sz w:val="24"/>
          <w:szCs w:val="24"/>
        </w:rPr>
        <w:t xml:space="preserve">drinking water levels </w:t>
      </w:r>
      <w:r w:rsidR="00A6663A" w:rsidRPr="00271B22">
        <w:rPr>
          <w:color w:val="000000"/>
          <w:sz w:val="24"/>
          <w:szCs w:val="24"/>
        </w:rPr>
        <w:t>(M</w:t>
      </w:r>
      <w:r w:rsidR="00577FC2">
        <w:rPr>
          <w:color w:val="000000"/>
          <w:sz w:val="24"/>
          <w:szCs w:val="24"/>
        </w:rPr>
        <w:t>ass</w:t>
      </w:r>
      <w:r w:rsidR="00A6663A" w:rsidRPr="00271B22">
        <w:rPr>
          <w:color w:val="000000"/>
          <w:sz w:val="24"/>
          <w:szCs w:val="24"/>
        </w:rPr>
        <w:t xml:space="preserve">DEP, 2019; </w:t>
      </w:r>
      <w:proofErr w:type="gramStart"/>
      <w:r w:rsidR="00A6663A" w:rsidRPr="00271B22">
        <w:rPr>
          <w:color w:val="000000"/>
          <w:sz w:val="24"/>
          <w:szCs w:val="24"/>
        </w:rPr>
        <w:t>NJDWQI, </w:t>
      </w:r>
      <w:r w:rsidR="00EB5E88" w:rsidRPr="00271B22">
        <w:rPr>
          <w:color w:val="000000"/>
          <w:sz w:val="24"/>
          <w:szCs w:val="24"/>
        </w:rPr>
        <w:t xml:space="preserve"> 2018</w:t>
      </w:r>
      <w:proofErr w:type="gramEnd"/>
      <w:r w:rsidR="00A6663A" w:rsidRPr="00271B22">
        <w:rPr>
          <w:color w:val="000000"/>
          <w:sz w:val="24"/>
          <w:szCs w:val="24"/>
        </w:rPr>
        <w:t xml:space="preserve">; USEPA, 2016).  </w:t>
      </w:r>
      <w:r w:rsidR="00F03016">
        <w:rPr>
          <w:color w:val="000000"/>
          <w:sz w:val="24"/>
          <w:szCs w:val="24"/>
        </w:rPr>
        <w:t>As shown in Table A.</w:t>
      </w:r>
      <w:r w:rsidR="00846B34">
        <w:rPr>
          <w:color w:val="000000"/>
          <w:sz w:val="24"/>
          <w:szCs w:val="24"/>
        </w:rPr>
        <w:t>5</w:t>
      </w:r>
      <w:r w:rsidR="00F03016">
        <w:rPr>
          <w:color w:val="000000"/>
          <w:sz w:val="24"/>
          <w:szCs w:val="24"/>
        </w:rPr>
        <w:t>,</w:t>
      </w:r>
      <w:r w:rsidR="00103F5A" w:rsidRPr="00271B22">
        <w:rPr>
          <w:color w:val="000000"/>
          <w:sz w:val="24"/>
          <w:szCs w:val="24"/>
        </w:rPr>
        <w:t xml:space="preserve"> PFOS</w:t>
      </w:r>
      <w:r w:rsidR="00A6663A" w:rsidRPr="00271B22">
        <w:rPr>
          <w:color w:val="000000"/>
          <w:sz w:val="24"/>
          <w:szCs w:val="24"/>
        </w:rPr>
        <w:t xml:space="preserve"> </w:t>
      </w:r>
      <w:r w:rsidR="00103F5A" w:rsidRPr="00271B22">
        <w:rPr>
          <w:color w:val="000000"/>
          <w:sz w:val="24"/>
          <w:szCs w:val="24"/>
        </w:rPr>
        <w:t xml:space="preserve">estimated </w:t>
      </w:r>
      <w:r w:rsidR="00A6663A" w:rsidRPr="00271B22">
        <w:rPr>
          <w:color w:val="000000"/>
          <w:sz w:val="24"/>
          <w:szCs w:val="24"/>
        </w:rPr>
        <w:t xml:space="preserve">intakes, primarily from </w:t>
      </w:r>
      <w:r w:rsidR="00103F5A" w:rsidRPr="00271B22">
        <w:rPr>
          <w:color w:val="000000"/>
          <w:sz w:val="24"/>
          <w:szCs w:val="24"/>
        </w:rPr>
        <w:t xml:space="preserve">the </w:t>
      </w:r>
      <w:r w:rsidR="00A6663A" w:rsidRPr="00271B22">
        <w:rPr>
          <w:color w:val="000000"/>
          <w:sz w:val="24"/>
          <w:szCs w:val="24"/>
        </w:rPr>
        <w:t xml:space="preserve">diet, range from approximately 0.2 </w:t>
      </w:r>
      <w:r w:rsidR="000E53C4" w:rsidRPr="00271B22">
        <w:rPr>
          <w:color w:val="000000"/>
          <w:sz w:val="24"/>
          <w:szCs w:val="24"/>
        </w:rPr>
        <w:t xml:space="preserve">ng/kg-day </w:t>
      </w:r>
      <w:r w:rsidR="00A6663A" w:rsidRPr="00271B22">
        <w:rPr>
          <w:color w:val="000000"/>
          <w:sz w:val="24"/>
          <w:szCs w:val="24"/>
        </w:rPr>
        <w:t xml:space="preserve">for adults, to 4 </w:t>
      </w:r>
      <w:r w:rsidR="000E53C4" w:rsidRPr="00271B22">
        <w:rPr>
          <w:color w:val="000000"/>
          <w:sz w:val="24"/>
          <w:szCs w:val="24"/>
        </w:rPr>
        <w:t xml:space="preserve">ng/kg-day </w:t>
      </w:r>
      <w:r w:rsidR="00A6663A" w:rsidRPr="00271B22">
        <w:rPr>
          <w:color w:val="000000"/>
          <w:sz w:val="24"/>
          <w:szCs w:val="24"/>
        </w:rPr>
        <w:t>or gre</w:t>
      </w:r>
      <w:r w:rsidR="00E61C28" w:rsidRPr="00271B22">
        <w:rPr>
          <w:color w:val="000000"/>
          <w:sz w:val="24"/>
          <w:szCs w:val="24"/>
        </w:rPr>
        <w:t>ater for infants and toddlers</w:t>
      </w:r>
      <w:r w:rsidR="00A6663A" w:rsidRPr="00271B22">
        <w:rPr>
          <w:color w:val="000000"/>
          <w:sz w:val="24"/>
          <w:szCs w:val="24"/>
        </w:rPr>
        <w:t xml:space="preserve">.  The </w:t>
      </w:r>
      <w:r w:rsidR="00103F5A" w:rsidRPr="00271B22">
        <w:rPr>
          <w:color w:val="000000"/>
          <w:sz w:val="24"/>
          <w:szCs w:val="24"/>
        </w:rPr>
        <w:t xml:space="preserve">estimated </w:t>
      </w:r>
      <w:r w:rsidR="00A6663A" w:rsidRPr="00271B22">
        <w:rPr>
          <w:color w:val="000000"/>
          <w:sz w:val="24"/>
          <w:szCs w:val="24"/>
        </w:rPr>
        <w:t xml:space="preserve">intakes </w:t>
      </w:r>
      <w:r w:rsidR="000E53C4" w:rsidRPr="00271B22">
        <w:rPr>
          <w:color w:val="000000"/>
          <w:sz w:val="24"/>
          <w:szCs w:val="24"/>
        </w:rPr>
        <w:t xml:space="preserve">for infants and toddlers exceed the </w:t>
      </w:r>
      <w:r w:rsidR="00F03016">
        <w:rPr>
          <w:color w:val="000000"/>
          <w:sz w:val="24"/>
          <w:szCs w:val="24"/>
        </w:rPr>
        <w:t xml:space="preserve">PFOS </w:t>
      </w:r>
      <w:r w:rsidR="00BC69DC" w:rsidRPr="00271B22">
        <w:rPr>
          <w:color w:val="000000"/>
          <w:sz w:val="24"/>
          <w:szCs w:val="24"/>
        </w:rPr>
        <w:t xml:space="preserve">MRL </w:t>
      </w:r>
      <w:r w:rsidR="005D0932" w:rsidRPr="00271B22">
        <w:rPr>
          <w:color w:val="000000"/>
          <w:sz w:val="24"/>
          <w:szCs w:val="24"/>
        </w:rPr>
        <w:t>2 ng/kg-day</w:t>
      </w:r>
      <w:r w:rsidR="00BC69DC" w:rsidRPr="00271B22">
        <w:rPr>
          <w:color w:val="000000"/>
          <w:sz w:val="24"/>
          <w:szCs w:val="24"/>
        </w:rPr>
        <w:t> </w:t>
      </w:r>
      <w:r w:rsidR="00A6663A" w:rsidRPr="00271B22">
        <w:rPr>
          <w:color w:val="000000"/>
          <w:sz w:val="24"/>
          <w:szCs w:val="24"/>
        </w:rPr>
        <w:t>respectively</w:t>
      </w:r>
      <w:r w:rsidR="00F03016">
        <w:rPr>
          <w:color w:val="000000"/>
          <w:sz w:val="24"/>
          <w:szCs w:val="24"/>
        </w:rPr>
        <w:t xml:space="preserve"> </w:t>
      </w:r>
      <w:r w:rsidR="00A6663A" w:rsidRPr="00271B22">
        <w:rPr>
          <w:color w:val="000000"/>
          <w:sz w:val="24"/>
          <w:szCs w:val="24"/>
        </w:rPr>
        <w:t>PFOS.</w:t>
      </w:r>
      <w:r w:rsidR="00D34913" w:rsidRPr="00271B22">
        <w:rPr>
          <w:color w:val="000000"/>
          <w:sz w:val="24"/>
          <w:szCs w:val="24"/>
        </w:rPr>
        <w:t xml:space="preserve"> </w:t>
      </w:r>
    </w:p>
    <w:p w14:paraId="1F22028C" w14:textId="77777777" w:rsidR="00220B59" w:rsidRDefault="00220B59" w:rsidP="00220B59">
      <w:pPr>
        <w:spacing w:after="0" w:line="240" w:lineRule="auto"/>
        <w:rPr>
          <w:rFonts w:cs="Arial"/>
          <w:b/>
          <w:sz w:val="24"/>
        </w:rPr>
      </w:pPr>
    </w:p>
    <w:p w14:paraId="76C888DA" w14:textId="60515F36" w:rsidR="00220B59" w:rsidRDefault="00220B59" w:rsidP="00F03016">
      <w:pPr>
        <w:keepNext/>
        <w:spacing w:after="0" w:line="240" w:lineRule="auto"/>
        <w:ind w:left="1800" w:right="1714"/>
        <w:jc w:val="center"/>
        <w:rPr>
          <w:rFonts w:cs="Arial"/>
          <w:b/>
          <w:sz w:val="24"/>
        </w:rPr>
      </w:pPr>
      <w:r>
        <w:rPr>
          <w:rFonts w:cs="Arial"/>
          <w:b/>
          <w:sz w:val="24"/>
        </w:rPr>
        <w:t>Table A.</w:t>
      </w:r>
      <w:r w:rsidR="00846B34">
        <w:rPr>
          <w:rFonts w:cs="Arial"/>
          <w:b/>
          <w:sz w:val="24"/>
        </w:rPr>
        <w:t>5</w:t>
      </w:r>
      <w:r w:rsidR="006B3ECA">
        <w:rPr>
          <w:rFonts w:cs="Arial"/>
          <w:b/>
          <w:sz w:val="24"/>
        </w:rPr>
        <w:t xml:space="preserve">. </w:t>
      </w:r>
      <w:r>
        <w:rPr>
          <w:rFonts w:cs="Arial"/>
          <w:b/>
          <w:sz w:val="24"/>
        </w:rPr>
        <w:t xml:space="preserve"> PFOS </w:t>
      </w:r>
      <w:r w:rsidR="00F03016">
        <w:rPr>
          <w:rFonts w:cs="Arial"/>
          <w:b/>
          <w:sz w:val="24"/>
        </w:rPr>
        <w:t>Intake</w:t>
      </w:r>
    </w:p>
    <w:tbl>
      <w:tblPr>
        <w:tblW w:w="7185" w:type="dxa"/>
        <w:jc w:val="center"/>
        <w:tblLook w:val="04A0" w:firstRow="1" w:lastRow="0" w:firstColumn="1" w:lastColumn="0" w:noHBand="0" w:noVBand="1"/>
      </w:tblPr>
      <w:tblGrid>
        <w:gridCol w:w="2085"/>
        <w:gridCol w:w="1420"/>
        <w:gridCol w:w="1040"/>
        <w:gridCol w:w="820"/>
        <w:gridCol w:w="860"/>
        <w:gridCol w:w="960"/>
      </w:tblGrid>
      <w:tr w:rsidR="00220B59" w:rsidRPr="00F86156" w14:paraId="22266F2A" w14:textId="77777777" w:rsidTr="009500B2">
        <w:trPr>
          <w:trHeight w:val="525"/>
          <w:jc w:val="center"/>
        </w:trPr>
        <w:tc>
          <w:tcPr>
            <w:tcW w:w="2085" w:type="dxa"/>
            <w:tcBorders>
              <w:top w:val="single" w:sz="4" w:space="0" w:color="auto"/>
              <w:left w:val="nil"/>
              <w:bottom w:val="double" w:sz="6" w:space="0" w:color="auto"/>
              <w:right w:val="nil"/>
            </w:tcBorders>
            <w:shd w:val="clear" w:color="000000" w:fill="DCE6F1"/>
            <w:noWrap/>
            <w:vAlign w:val="bottom"/>
            <w:hideMark/>
          </w:tcPr>
          <w:p w14:paraId="063704CA" w14:textId="77777777" w:rsidR="00220B59" w:rsidRPr="00F86156" w:rsidRDefault="00220B59" w:rsidP="009500B2">
            <w:pPr>
              <w:spacing w:after="0" w:line="240" w:lineRule="auto"/>
              <w:rPr>
                <w:rFonts w:eastAsia="Times New Roman" w:cs="Times New Roman"/>
                <w:b/>
                <w:bCs/>
                <w:color w:val="000000"/>
                <w:sz w:val="20"/>
                <w:szCs w:val="20"/>
              </w:rPr>
            </w:pPr>
            <w:r w:rsidRPr="00F86156">
              <w:rPr>
                <w:rFonts w:eastAsia="Times New Roman" w:cs="Times New Roman"/>
                <w:b/>
                <w:bCs/>
                <w:color w:val="000000"/>
                <w:sz w:val="20"/>
                <w:szCs w:val="20"/>
              </w:rPr>
              <w:t>Population</w:t>
            </w:r>
          </w:p>
        </w:tc>
        <w:tc>
          <w:tcPr>
            <w:tcW w:w="1420" w:type="dxa"/>
            <w:tcBorders>
              <w:top w:val="single" w:sz="4" w:space="0" w:color="auto"/>
              <w:left w:val="nil"/>
              <w:bottom w:val="double" w:sz="6" w:space="0" w:color="auto"/>
              <w:right w:val="nil"/>
            </w:tcBorders>
            <w:shd w:val="clear" w:color="000000" w:fill="DCE6F1"/>
            <w:vAlign w:val="bottom"/>
            <w:hideMark/>
          </w:tcPr>
          <w:p w14:paraId="07BF7AF3" w14:textId="77777777" w:rsidR="00220B59" w:rsidRPr="00F86156" w:rsidRDefault="00220B59" w:rsidP="009500B2">
            <w:pPr>
              <w:spacing w:after="0" w:line="240" w:lineRule="auto"/>
              <w:jc w:val="center"/>
              <w:rPr>
                <w:rFonts w:eastAsia="Times New Roman" w:cs="Times New Roman"/>
                <w:b/>
                <w:bCs/>
                <w:color w:val="000000"/>
                <w:sz w:val="20"/>
                <w:szCs w:val="20"/>
              </w:rPr>
            </w:pPr>
            <w:r w:rsidRPr="00F86156">
              <w:rPr>
                <w:rFonts w:eastAsia="Times New Roman" w:cs="Times New Roman"/>
                <w:b/>
                <w:bCs/>
                <w:color w:val="000000"/>
                <w:sz w:val="20"/>
                <w:szCs w:val="20"/>
              </w:rPr>
              <w:t xml:space="preserve">Intake </w:t>
            </w:r>
            <w:r w:rsidRPr="00F86156">
              <w:rPr>
                <w:rFonts w:eastAsia="Times New Roman" w:cs="Times New Roman"/>
                <w:b/>
                <w:bCs/>
                <w:color w:val="000000"/>
                <w:sz w:val="20"/>
                <w:szCs w:val="20"/>
              </w:rPr>
              <w:br/>
              <w:t>(ng/kg-day)</w:t>
            </w:r>
          </w:p>
        </w:tc>
        <w:tc>
          <w:tcPr>
            <w:tcW w:w="1040" w:type="dxa"/>
            <w:tcBorders>
              <w:top w:val="single" w:sz="4" w:space="0" w:color="auto"/>
              <w:left w:val="nil"/>
              <w:bottom w:val="double" w:sz="6" w:space="0" w:color="auto"/>
              <w:right w:val="nil"/>
            </w:tcBorders>
            <w:shd w:val="clear" w:color="000000" w:fill="DCE6F1"/>
            <w:noWrap/>
            <w:vAlign w:val="bottom"/>
            <w:hideMark/>
          </w:tcPr>
          <w:p w14:paraId="57DC6D48" w14:textId="77777777" w:rsidR="00220B59" w:rsidRPr="00F86156" w:rsidRDefault="00220B59" w:rsidP="009500B2">
            <w:pPr>
              <w:spacing w:after="0" w:line="240" w:lineRule="auto"/>
              <w:jc w:val="center"/>
              <w:rPr>
                <w:rFonts w:eastAsia="Times New Roman" w:cs="Times New Roman"/>
                <w:b/>
                <w:bCs/>
                <w:color w:val="000000"/>
                <w:sz w:val="20"/>
                <w:szCs w:val="20"/>
              </w:rPr>
            </w:pPr>
            <w:r w:rsidRPr="00F86156">
              <w:rPr>
                <w:rFonts w:eastAsia="Times New Roman" w:cs="Times New Roman"/>
                <w:b/>
                <w:bCs/>
                <w:color w:val="000000"/>
                <w:sz w:val="20"/>
                <w:szCs w:val="20"/>
              </w:rPr>
              <w:t>Diet</w:t>
            </w:r>
          </w:p>
        </w:tc>
        <w:tc>
          <w:tcPr>
            <w:tcW w:w="820" w:type="dxa"/>
            <w:tcBorders>
              <w:top w:val="single" w:sz="4" w:space="0" w:color="auto"/>
              <w:left w:val="nil"/>
              <w:bottom w:val="double" w:sz="6" w:space="0" w:color="auto"/>
              <w:right w:val="nil"/>
            </w:tcBorders>
            <w:shd w:val="clear" w:color="000000" w:fill="DCE6F1"/>
            <w:noWrap/>
            <w:vAlign w:val="bottom"/>
            <w:hideMark/>
          </w:tcPr>
          <w:p w14:paraId="3E59350E" w14:textId="77777777" w:rsidR="00220B59" w:rsidRPr="00F86156" w:rsidRDefault="00220B59" w:rsidP="009500B2">
            <w:pPr>
              <w:spacing w:after="0" w:line="240" w:lineRule="auto"/>
              <w:jc w:val="center"/>
              <w:rPr>
                <w:rFonts w:eastAsia="Times New Roman" w:cs="Times New Roman"/>
                <w:b/>
                <w:bCs/>
                <w:color w:val="000000"/>
                <w:sz w:val="20"/>
                <w:szCs w:val="20"/>
              </w:rPr>
            </w:pPr>
            <w:r w:rsidRPr="00F86156">
              <w:rPr>
                <w:rFonts w:eastAsia="Times New Roman" w:cs="Times New Roman"/>
                <w:b/>
                <w:bCs/>
                <w:color w:val="000000"/>
                <w:sz w:val="20"/>
                <w:szCs w:val="20"/>
              </w:rPr>
              <w:t>Water</w:t>
            </w:r>
          </w:p>
        </w:tc>
        <w:tc>
          <w:tcPr>
            <w:tcW w:w="860" w:type="dxa"/>
            <w:tcBorders>
              <w:top w:val="single" w:sz="4" w:space="0" w:color="auto"/>
              <w:left w:val="nil"/>
              <w:bottom w:val="double" w:sz="6" w:space="0" w:color="auto"/>
              <w:right w:val="nil"/>
            </w:tcBorders>
            <w:shd w:val="clear" w:color="000000" w:fill="DCE6F1"/>
            <w:noWrap/>
            <w:vAlign w:val="bottom"/>
            <w:hideMark/>
          </w:tcPr>
          <w:p w14:paraId="7F552203" w14:textId="77777777" w:rsidR="00220B59" w:rsidRPr="00F86156" w:rsidRDefault="00220B59" w:rsidP="009500B2">
            <w:pPr>
              <w:spacing w:after="0" w:line="240" w:lineRule="auto"/>
              <w:jc w:val="center"/>
              <w:rPr>
                <w:rFonts w:eastAsia="Times New Roman" w:cs="Times New Roman"/>
                <w:b/>
                <w:bCs/>
                <w:color w:val="000000"/>
                <w:sz w:val="20"/>
                <w:szCs w:val="20"/>
              </w:rPr>
            </w:pPr>
            <w:r w:rsidRPr="00F86156">
              <w:rPr>
                <w:rFonts w:eastAsia="Times New Roman" w:cs="Times New Roman"/>
                <w:b/>
                <w:bCs/>
                <w:color w:val="000000"/>
                <w:sz w:val="20"/>
                <w:szCs w:val="20"/>
              </w:rPr>
              <w:t>Dust</w:t>
            </w:r>
          </w:p>
        </w:tc>
        <w:tc>
          <w:tcPr>
            <w:tcW w:w="960" w:type="dxa"/>
            <w:tcBorders>
              <w:top w:val="single" w:sz="4" w:space="0" w:color="auto"/>
              <w:left w:val="nil"/>
              <w:bottom w:val="double" w:sz="6" w:space="0" w:color="auto"/>
              <w:right w:val="nil"/>
            </w:tcBorders>
            <w:shd w:val="clear" w:color="000000" w:fill="DCE6F1"/>
            <w:noWrap/>
            <w:vAlign w:val="bottom"/>
            <w:hideMark/>
          </w:tcPr>
          <w:p w14:paraId="0006DBAF" w14:textId="77777777" w:rsidR="00220B59" w:rsidRPr="00F86156" w:rsidRDefault="00220B59" w:rsidP="009500B2">
            <w:pPr>
              <w:spacing w:after="0" w:line="240" w:lineRule="auto"/>
              <w:jc w:val="center"/>
              <w:rPr>
                <w:rFonts w:eastAsia="Times New Roman" w:cs="Times New Roman"/>
                <w:b/>
                <w:bCs/>
                <w:color w:val="000000"/>
                <w:sz w:val="20"/>
                <w:szCs w:val="20"/>
              </w:rPr>
            </w:pPr>
            <w:r w:rsidRPr="00F86156">
              <w:rPr>
                <w:rFonts w:eastAsia="Times New Roman" w:cs="Times New Roman"/>
                <w:b/>
                <w:bCs/>
                <w:color w:val="000000"/>
                <w:sz w:val="20"/>
                <w:szCs w:val="20"/>
              </w:rPr>
              <w:t>Air</w:t>
            </w:r>
          </w:p>
        </w:tc>
      </w:tr>
      <w:tr w:rsidR="00F03016" w:rsidRPr="00F86156" w14:paraId="5AAEAA4F" w14:textId="77777777" w:rsidTr="00F03016">
        <w:trPr>
          <w:trHeight w:val="315"/>
          <w:jc w:val="center"/>
        </w:trPr>
        <w:tc>
          <w:tcPr>
            <w:tcW w:w="2085" w:type="dxa"/>
            <w:tcBorders>
              <w:top w:val="nil"/>
              <w:left w:val="nil"/>
              <w:bottom w:val="nil"/>
              <w:right w:val="nil"/>
            </w:tcBorders>
            <w:shd w:val="clear" w:color="auto" w:fill="auto"/>
            <w:noWrap/>
            <w:vAlign w:val="center"/>
          </w:tcPr>
          <w:p w14:paraId="23CD279E" w14:textId="08F38E4C" w:rsidR="00F03016" w:rsidRDefault="00F03016" w:rsidP="00F03016">
            <w:pPr>
              <w:spacing w:after="0" w:line="240" w:lineRule="auto"/>
              <w:rPr>
                <w:rFonts w:eastAsia="Times New Roman" w:cs="Times New Roman"/>
                <w:color w:val="000000"/>
                <w:sz w:val="20"/>
                <w:szCs w:val="20"/>
              </w:rPr>
            </w:pPr>
            <w:r w:rsidRPr="00F86156">
              <w:rPr>
                <w:rFonts w:eastAsia="Times New Roman" w:cs="Times New Roman"/>
                <w:color w:val="000000"/>
                <w:sz w:val="20"/>
                <w:szCs w:val="20"/>
              </w:rPr>
              <w:t>Women</w:t>
            </w:r>
            <w:r w:rsidRPr="00F86156">
              <w:rPr>
                <w:rFonts w:eastAsia="Times New Roman" w:cs="Times New Roman"/>
                <w:color w:val="000000"/>
                <w:sz w:val="20"/>
                <w:szCs w:val="20"/>
                <w:vertAlign w:val="subscript"/>
              </w:rPr>
              <w:t>50th%ile</w:t>
            </w:r>
            <w:r w:rsidRPr="00F86156">
              <w:rPr>
                <w:rFonts w:eastAsia="Times New Roman" w:cs="Times New Roman"/>
                <w:color w:val="000000"/>
                <w:sz w:val="20"/>
                <w:szCs w:val="20"/>
                <w:vertAlign w:val="superscript"/>
              </w:rPr>
              <w:t>b</w:t>
            </w:r>
          </w:p>
        </w:tc>
        <w:tc>
          <w:tcPr>
            <w:tcW w:w="1420" w:type="dxa"/>
            <w:tcBorders>
              <w:top w:val="nil"/>
              <w:left w:val="nil"/>
              <w:bottom w:val="nil"/>
              <w:right w:val="nil"/>
            </w:tcBorders>
            <w:shd w:val="clear" w:color="auto" w:fill="auto"/>
            <w:noWrap/>
            <w:vAlign w:val="center"/>
          </w:tcPr>
          <w:p w14:paraId="1075958B" w14:textId="02A6AB37"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0.62</w:t>
            </w:r>
          </w:p>
        </w:tc>
        <w:tc>
          <w:tcPr>
            <w:tcW w:w="1040" w:type="dxa"/>
            <w:tcBorders>
              <w:top w:val="nil"/>
              <w:left w:val="nil"/>
              <w:bottom w:val="nil"/>
              <w:right w:val="nil"/>
            </w:tcBorders>
            <w:shd w:val="clear" w:color="auto" w:fill="auto"/>
            <w:noWrap/>
            <w:vAlign w:val="center"/>
          </w:tcPr>
          <w:p w14:paraId="09F6B15E" w14:textId="4F0319E6"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98.7%</w:t>
            </w:r>
          </w:p>
        </w:tc>
        <w:tc>
          <w:tcPr>
            <w:tcW w:w="820" w:type="dxa"/>
            <w:tcBorders>
              <w:top w:val="nil"/>
              <w:left w:val="nil"/>
              <w:bottom w:val="nil"/>
              <w:right w:val="nil"/>
            </w:tcBorders>
            <w:shd w:val="clear" w:color="auto" w:fill="auto"/>
            <w:noWrap/>
            <w:vAlign w:val="center"/>
          </w:tcPr>
          <w:p w14:paraId="57FF1BA5" w14:textId="450559E2"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0.6%</w:t>
            </w:r>
          </w:p>
        </w:tc>
        <w:tc>
          <w:tcPr>
            <w:tcW w:w="860" w:type="dxa"/>
            <w:tcBorders>
              <w:top w:val="nil"/>
              <w:left w:val="nil"/>
              <w:bottom w:val="nil"/>
              <w:right w:val="nil"/>
            </w:tcBorders>
            <w:shd w:val="clear" w:color="auto" w:fill="auto"/>
            <w:noWrap/>
            <w:vAlign w:val="center"/>
          </w:tcPr>
          <w:p w14:paraId="70D46121" w14:textId="79560EF6"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0.5%</w:t>
            </w:r>
          </w:p>
        </w:tc>
        <w:tc>
          <w:tcPr>
            <w:tcW w:w="960" w:type="dxa"/>
            <w:tcBorders>
              <w:top w:val="nil"/>
              <w:left w:val="nil"/>
              <w:bottom w:val="nil"/>
              <w:right w:val="nil"/>
            </w:tcBorders>
            <w:shd w:val="clear" w:color="auto" w:fill="auto"/>
            <w:noWrap/>
            <w:vAlign w:val="center"/>
          </w:tcPr>
          <w:p w14:paraId="1E9F272D" w14:textId="7588E7BA"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0.2%</w:t>
            </w:r>
          </w:p>
        </w:tc>
      </w:tr>
      <w:tr w:rsidR="00F03016" w:rsidRPr="00F86156" w14:paraId="61BB6BCB" w14:textId="77777777" w:rsidTr="00F03016">
        <w:trPr>
          <w:trHeight w:val="315"/>
          <w:jc w:val="center"/>
        </w:trPr>
        <w:tc>
          <w:tcPr>
            <w:tcW w:w="2085" w:type="dxa"/>
            <w:tcBorders>
              <w:top w:val="nil"/>
              <w:left w:val="nil"/>
              <w:bottom w:val="nil"/>
              <w:right w:val="nil"/>
            </w:tcBorders>
            <w:shd w:val="clear" w:color="auto" w:fill="auto"/>
            <w:noWrap/>
            <w:vAlign w:val="center"/>
          </w:tcPr>
          <w:p w14:paraId="183BF05D" w14:textId="202ECE39" w:rsidR="00F03016" w:rsidRDefault="00F03016" w:rsidP="00F03016">
            <w:pPr>
              <w:spacing w:after="0" w:line="240" w:lineRule="auto"/>
              <w:rPr>
                <w:rFonts w:eastAsia="Times New Roman" w:cs="Times New Roman"/>
                <w:color w:val="000000"/>
                <w:sz w:val="20"/>
                <w:szCs w:val="20"/>
              </w:rPr>
            </w:pPr>
            <w:r w:rsidRPr="00F86156">
              <w:rPr>
                <w:rFonts w:eastAsia="Times New Roman" w:cs="Times New Roman"/>
                <w:color w:val="000000"/>
                <w:sz w:val="20"/>
                <w:szCs w:val="20"/>
              </w:rPr>
              <w:t>Women</w:t>
            </w:r>
            <w:r w:rsidRPr="00F86156">
              <w:rPr>
                <w:rFonts w:eastAsia="Times New Roman" w:cs="Times New Roman"/>
                <w:color w:val="000000"/>
                <w:sz w:val="20"/>
                <w:szCs w:val="20"/>
                <w:vertAlign w:val="subscript"/>
              </w:rPr>
              <w:t>75th%ile</w:t>
            </w:r>
            <w:r w:rsidRPr="00F86156">
              <w:rPr>
                <w:rFonts w:eastAsia="Times New Roman" w:cs="Times New Roman"/>
                <w:color w:val="000000"/>
                <w:sz w:val="20"/>
                <w:szCs w:val="20"/>
                <w:vertAlign w:val="superscript"/>
              </w:rPr>
              <w:t>b</w:t>
            </w:r>
          </w:p>
        </w:tc>
        <w:tc>
          <w:tcPr>
            <w:tcW w:w="1420" w:type="dxa"/>
            <w:tcBorders>
              <w:top w:val="nil"/>
              <w:left w:val="nil"/>
              <w:bottom w:val="nil"/>
              <w:right w:val="nil"/>
            </w:tcBorders>
            <w:shd w:val="clear" w:color="auto" w:fill="auto"/>
            <w:noWrap/>
            <w:vAlign w:val="center"/>
          </w:tcPr>
          <w:p w14:paraId="4E80EB89" w14:textId="3EAA19BA"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0.89</w:t>
            </w:r>
          </w:p>
        </w:tc>
        <w:tc>
          <w:tcPr>
            <w:tcW w:w="1040" w:type="dxa"/>
            <w:tcBorders>
              <w:top w:val="nil"/>
              <w:left w:val="nil"/>
              <w:bottom w:val="nil"/>
              <w:right w:val="nil"/>
            </w:tcBorders>
            <w:shd w:val="clear" w:color="auto" w:fill="auto"/>
            <w:noWrap/>
            <w:vAlign w:val="center"/>
          </w:tcPr>
          <w:p w14:paraId="42D8D91C" w14:textId="1EA9D72E"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98.7%</w:t>
            </w:r>
          </w:p>
        </w:tc>
        <w:tc>
          <w:tcPr>
            <w:tcW w:w="820" w:type="dxa"/>
            <w:tcBorders>
              <w:top w:val="nil"/>
              <w:left w:val="nil"/>
              <w:bottom w:val="nil"/>
              <w:right w:val="nil"/>
            </w:tcBorders>
            <w:shd w:val="clear" w:color="auto" w:fill="auto"/>
            <w:noWrap/>
            <w:vAlign w:val="center"/>
          </w:tcPr>
          <w:p w14:paraId="140DE80F" w14:textId="74B0B4AF"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0.6%</w:t>
            </w:r>
          </w:p>
        </w:tc>
        <w:tc>
          <w:tcPr>
            <w:tcW w:w="860" w:type="dxa"/>
            <w:tcBorders>
              <w:top w:val="nil"/>
              <w:left w:val="nil"/>
              <w:bottom w:val="nil"/>
              <w:right w:val="nil"/>
            </w:tcBorders>
            <w:shd w:val="clear" w:color="auto" w:fill="auto"/>
            <w:noWrap/>
            <w:vAlign w:val="center"/>
          </w:tcPr>
          <w:p w14:paraId="748C359A" w14:textId="3A108786"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0.7%</w:t>
            </w:r>
          </w:p>
        </w:tc>
        <w:tc>
          <w:tcPr>
            <w:tcW w:w="960" w:type="dxa"/>
            <w:tcBorders>
              <w:top w:val="nil"/>
              <w:left w:val="nil"/>
              <w:bottom w:val="nil"/>
              <w:right w:val="nil"/>
            </w:tcBorders>
            <w:shd w:val="clear" w:color="auto" w:fill="auto"/>
            <w:noWrap/>
            <w:vAlign w:val="center"/>
          </w:tcPr>
          <w:p w14:paraId="41F150F4" w14:textId="272BF38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0.1%</w:t>
            </w:r>
          </w:p>
        </w:tc>
      </w:tr>
      <w:tr w:rsidR="00F03016" w:rsidRPr="00F86156" w14:paraId="5E298F5A" w14:textId="77777777" w:rsidTr="00F03016">
        <w:trPr>
          <w:trHeight w:val="315"/>
          <w:jc w:val="center"/>
        </w:trPr>
        <w:tc>
          <w:tcPr>
            <w:tcW w:w="2085" w:type="dxa"/>
            <w:tcBorders>
              <w:top w:val="nil"/>
              <w:left w:val="nil"/>
              <w:bottom w:val="nil"/>
              <w:right w:val="nil"/>
            </w:tcBorders>
            <w:shd w:val="clear" w:color="auto" w:fill="auto"/>
            <w:noWrap/>
            <w:vAlign w:val="center"/>
          </w:tcPr>
          <w:p w14:paraId="243E78F9" w14:textId="47699230" w:rsidR="00F03016" w:rsidRPr="00F86156" w:rsidRDefault="00F03016" w:rsidP="00F03016">
            <w:pPr>
              <w:spacing w:after="0" w:line="240" w:lineRule="auto"/>
              <w:rPr>
                <w:rFonts w:eastAsia="Times New Roman" w:cs="Times New Roman"/>
                <w:color w:val="000000"/>
                <w:sz w:val="20"/>
                <w:szCs w:val="20"/>
              </w:rPr>
            </w:pPr>
            <w:proofErr w:type="spellStart"/>
            <w:r w:rsidRPr="00F86156">
              <w:rPr>
                <w:rFonts w:eastAsia="Times New Roman" w:cs="Times New Roman"/>
                <w:color w:val="000000"/>
                <w:sz w:val="20"/>
                <w:szCs w:val="20"/>
              </w:rPr>
              <w:t>Adolescents</w:t>
            </w:r>
            <w:r w:rsidRPr="00F86156">
              <w:rPr>
                <w:rFonts w:eastAsia="Times New Roman" w:cs="Times New Roman"/>
                <w:color w:val="000000"/>
                <w:sz w:val="20"/>
                <w:szCs w:val="20"/>
                <w:vertAlign w:val="subscript"/>
              </w:rPr>
              <w:t>mean</w:t>
            </w:r>
            <w:r w:rsidRPr="00F86156">
              <w:rPr>
                <w:rFonts w:eastAsia="Times New Roman" w:cs="Times New Roman"/>
                <w:color w:val="000000"/>
                <w:sz w:val="20"/>
                <w:szCs w:val="20"/>
                <w:vertAlign w:val="superscript"/>
              </w:rPr>
              <w:t>a</w:t>
            </w:r>
            <w:proofErr w:type="spellEnd"/>
          </w:p>
        </w:tc>
        <w:tc>
          <w:tcPr>
            <w:tcW w:w="1420" w:type="dxa"/>
            <w:tcBorders>
              <w:top w:val="nil"/>
              <w:left w:val="nil"/>
              <w:bottom w:val="nil"/>
              <w:right w:val="nil"/>
            </w:tcBorders>
            <w:shd w:val="clear" w:color="auto" w:fill="auto"/>
            <w:noWrap/>
            <w:vAlign w:val="center"/>
          </w:tcPr>
          <w:p w14:paraId="0BB3A0BB" w14:textId="381A211E"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1.10</w:t>
            </w:r>
          </w:p>
        </w:tc>
        <w:tc>
          <w:tcPr>
            <w:tcW w:w="1040" w:type="dxa"/>
            <w:tcBorders>
              <w:top w:val="nil"/>
              <w:left w:val="nil"/>
              <w:bottom w:val="nil"/>
              <w:right w:val="nil"/>
            </w:tcBorders>
            <w:shd w:val="clear" w:color="auto" w:fill="auto"/>
            <w:noWrap/>
            <w:vAlign w:val="center"/>
          </w:tcPr>
          <w:p w14:paraId="0529E939" w14:textId="5D754208"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820" w:type="dxa"/>
            <w:tcBorders>
              <w:top w:val="nil"/>
              <w:left w:val="nil"/>
              <w:bottom w:val="nil"/>
              <w:right w:val="nil"/>
            </w:tcBorders>
            <w:shd w:val="clear" w:color="auto" w:fill="auto"/>
            <w:noWrap/>
            <w:vAlign w:val="center"/>
          </w:tcPr>
          <w:p w14:paraId="33E4E788" w14:textId="13BCB166"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tcPr>
          <w:p w14:paraId="6F930C3E" w14:textId="48EE5897"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960" w:type="dxa"/>
            <w:tcBorders>
              <w:top w:val="nil"/>
              <w:left w:val="nil"/>
              <w:bottom w:val="nil"/>
              <w:right w:val="nil"/>
            </w:tcBorders>
            <w:shd w:val="clear" w:color="auto" w:fill="auto"/>
            <w:noWrap/>
            <w:vAlign w:val="center"/>
          </w:tcPr>
          <w:p w14:paraId="77499D6E" w14:textId="7AC97E15"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F03016" w:rsidRPr="00F86156" w14:paraId="5AD27541" w14:textId="77777777" w:rsidTr="00F03016">
        <w:trPr>
          <w:trHeight w:val="315"/>
          <w:jc w:val="center"/>
        </w:trPr>
        <w:tc>
          <w:tcPr>
            <w:tcW w:w="2085" w:type="dxa"/>
            <w:tcBorders>
              <w:top w:val="nil"/>
              <w:left w:val="nil"/>
              <w:bottom w:val="nil"/>
              <w:right w:val="nil"/>
            </w:tcBorders>
            <w:shd w:val="clear" w:color="auto" w:fill="auto"/>
            <w:noWrap/>
            <w:vAlign w:val="center"/>
          </w:tcPr>
          <w:p w14:paraId="2ECE953E" w14:textId="5C2A3F55" w:rsidR="00F03016" w:rsidRDefault="00F03016" w:rsidP="00F03016">
            <w:pPr>
              <w:spacing w:after="0" w:line="240" w:lineRule="auto"/>
              <w:rPr>
                <w:rFonts w:eastAsia="Times New Roman" w:cs="Times New Roman"/>
                <w:color w:val="000000"/>
                <w:sz w:val="20"/>
                <w:szCs w:val="20"/>
              </w:rPr>
            </w:pPr>
            <w:proofErr w:type="spellStart"/>
            <w:r w:rsidRPr="00F86156">
              <w:rPr>
                <w:rFonts w:eastAsia="Times New Roman" w:cs="Times New Roman"/>
                <w:color w:val="000000"/>
                <w:sz w:val="20"/>
                <w:szCs w:val="20"/>
              </w:rPr>
              <w:t>Adult</w:t>
            </w:r>
            <w:r w:rsidRPr="00F86156">
              <w:rPr>
                <w:rFonts w:eastAsia="Times New Roman" w:cs="Times New Roman"/>
                <w:color w:val="000000"/>
                <w:sz w:val="20"/>
                <w:szCs w:val="20"/>
                <w:vertAlign w:val="subscript"/>
              </w:rPr>
              <w:t>median</w:t>
            </w:r>
            <w:r w:rsidRPr="00F86156">
              <w:rPr>
                <w:rFonts w:eastAsia="Times New Roman" w:cs="Times New Roman"/>
                <w:color w:val="000000"/>
                <w:sz w:val="20"/>
                <w:szCs w:val="20"/>
                <w:vertAlign w:val="superscript"/>
              </w:rPr>
              <w:t>c</w:t>
            </w:r>
            <w:proofErr w:type="spellEnd"/>
          </w:p>
        </w:tc>
        <w:tc>
          <w:tcPr>
            <w:tcW w:w="1420" w:type="dxa"/>
            <w:tcBorders>
              <w:top w:val="nil"/>
              <w:left w:val="nil"/>
              <w:bottom w:val="nil"/>
              <w:right w:val="nil"/>
            </w:tcBorders>
            <w:shd w:val="clear" w:color="auto" w:fill="auto"/>
            <w:noWrap/>
            <w:vAlign w:val="center"/>
          </w:tcPr>
          <w:p w14:paraId="464043A4" w14:textId="5BCC900C"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1.6</w:t>
            </w:r>
          </w:p>
        </w:tc>
        <w:tc>
          <w:tcPr>
            <w:tcW w:w="1040" w:type="dxa"/>
            <w:tcBorders>
              <w:top w:val="nil"/>
              <w:left w:val="nil"/>
              <w:bottom w:val="nil"/>
              <w:right w:val="nil"/>
            </w:tcBorders>
            <w:shd w:val="clear" w:color="auto" w:fill="auto"/>
            <w:noWrap/>
            <w:vAlign w:val="center"/>
          </w:tcPr>
          <w:p w14:paraId="2A6FB56F" w14:textId="51BEF2FA"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72%</w:t>
            </w:r>
          </w:p>
        </w:tc>
        <w:tc>
          <w:tcPr>
            <w:tcW w:w="820" w:type="dxa"/>
            <w:tcBorders>
              <w:top w:val="nil"/>
              <w:left w:val="nil"/>
              <w:bottom w:val="nil"/>
              <w:right w:val="nil"/>
            </w:tcBorders>
            <w:shd w:val="clear" w:color="auto" w:fill="auto"/>
            <w:noWrap/>
            <w:vAlign w:val="center"/>
          </w:tcPr>
          <w:p w14:paraId="1A902869" w14:textId="257C39C3"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22%</w:t>
            </w:r>
          </w:p>
        </w:tc>
        <w:tc>
          <w:tcPr>
            <w:tcW w:w="860" w:type="dxa"/>
            <w:tcBorders>
              <w:top w:val="nil"/>
              <w:left w:val="nil"/>
              <w:bottom w:val="nil"/>
              <w:right w:val="nil"/>
            </w:tcBorders>
            <w:shd w:val="clear" w:color="auto" w:fill="auto"/>
            <w:noWrap/>
            <w:vAlign w:val="center"/>
          </w:tcPr>
          <w:p w14:paraId="276B09C1" w14:textId="29C0B89F"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6%</w:t>
            </w:r>
          </w:p>
        </w:tc>
        <w:tc>
          <w:tcPr>
            <w:tcW w:w="960" w:type="dxa"/>
            <w:tcBorders>
              <w:top w:val="nil"/>
              <w:left w:val="nil"/>
              <w:bottom w:val="nil"/>
              <w:right w:val="nil"/>
            </w:tcBorders>
            <w:shd w:val="clear" w:color="auto" w:fill="auto"/>
            <w:noWrap/>
            <w:vAlign w:val="center"/>
          </w:tcPr>
          <w:p w14:paraId="50620123" w14:textId="60837C30"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F03016" w:rsidRPr="00F86156" w14:paraId="1CB350DB" w14:textId="77777777" w:rsidTr="00F03016">
        <w:trPr>
          <w:trHeight w:val="315"/>
          <w:jc w:val="center"/>
        </w:trPr>
        <w:tc>
          <w:tcPr>
            <w:tcW w:w="2085" w:type="dxa"/>
            <w:tcBorders>
              <w:top w:val="nil"/>
              <w:left w:val="nil"/>
              <w:bottom w:val="nil"/>
              <w:right w:val="nil"/>
            </w:tcBorders>
            <w:shd w:val="clear" w:color="auto" w:fill="auto"/>
            <w:noWrap/>
            <w:vAlign w:val="center"/>
          </w:tcPr>
          <w:p w14:paraId="4933504A" w14:textId="617769E0" w:rsidR="00F03016" w:rsidRDefault="00F03016" w:rsidP="00F03016">
            <w:pPr>
              <w:spacing w:after="0" w:line="240" w:lineRule="auto"/>
              <w:rPr>
                <w:rFonts w:eastAsia="Times New Roman" w:cs="Times New Roman"/>
                <w:color w:val="000000"/>
                <w:sz w:val="20"/>
                <w:szCs w:val="20"/>
              </w:rPr>
            </w:pPr>
            <w:r>
              <w:rPr>
                <w:rFonts w:eastAsia="Times New Roman" w:cs="Times New Roman"/>
                <w:color w:val="000000"/>
                <w:sz w:val="20"/>
                <w:szCs w:val="20"/>
              </w:rPr>
              <w:t>Other</w:t>
            </w:r>
            <w:r w:rsidRPr="00F86156">
              <w:rPr>
                <w:rFonts w:eastAsia="Times New Roman" w:cs="Times New Roman"/>
                <w:color w:val="000000"/>
                <w:sz w:val="20"/>
                <w:szCs w:val="20"/>
              </w:rPr>
              <w:t xml:space="preserve"> </w:t>
            </w:r>
            <w:proofErr w:type="spellStart"/>
            <w:r w:rsidRPr="00F86156">
              <w:rPr>
                <w:rFonts w:eastAsia="Times New Roman" w:cs="Times New Roman"/>
                <w:color w:val="000000"/>
                <w:sz w:val="20"/>
                <w:szCs w:val="20"/>
              </w:rPr>
              <w:t>children</w:t>
            </w:r>
            <w:r w:rsidRPr="00F86156">
              <w:rPr>
                <w:rFonts w:eastAsia="Times New Roman" w:cs="Times New Roman"/>
                <w:color w:val="000000"/>
                <w:sz w:val="20"/>
                <w:szCs w:val="20"/>
                <w:vertAlign w:val="subscript"/>
              </w:rPr>
              <w:t>mean</w:t>
            </w:r>
            <w:r w:rsidRPr="00F86156">
              <w:rPr>
                <w:rFonts w:eastAsia="Times New Roman" w:cs="Times New Roman"/>
                <w:color w:val="000000"/>
                <w:sz w:val="20"/>
                <w:szCs w:val="20"/>
                <w:vertAlign w:val="superscript"/>
              </w:rPr>
              <w:t>a</w:t>
            </w:r>
            <w:proofErr w:type="spellEnd"/>
          </w:p>
        </w:tc>
        <w:tc>
          <w:tcPr>
            <w:tcW w:w="1420" w:type="dxa"/>
            <w:tcBorders>
              <w:top w:val="nil"/>
              <w:left w:val="nil"/>
              <w:bottom w:val="nil"/>
              <w:right w:val="nil"/>
            </w:tcBorders>
            <w:shd w:val="clear" w:color="auto" w:fill="auto"/>
            <w:noWrap/>
            <w:vAlign w:val="center"/>
          </w:tcPr>
          <w:p w14:paraId="509BFAA7" w14:textId="3D25A678" w:rsidR="00F0301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2.28</w:t>
            </w:r>
          </w:p>
        </w:tc>
        <w:tc>
          <w:tcPr>
            <w:tcW w:w="1040" w:type="dxa"/>
            <w:tcBorders>
              <w:top w:val="nil"/>
              <w:left w:val="nil"/>
              <w:bottom w:val="nil"/>
              <w:right w:val="nil"/>
            </w:tcBorders>
            <w:shd w:val="clear" w:color="auto" w:fill="auto"/>
            <w:noWrap/>
            <w:vAlign w:val="center"/>
          </w:tcPr>
          <w:p w14:paraId="0AEBB55C" w14:textId="6870193E" w:rsidR="00F0301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820" w:type="dxa"/>
            <w:tcBorders>
              <w:top w:val="nil"/>
              <w:left w:val="nil"/>
              <w:bottom w:val="nil"/>
              <w:right w:val="nil"/>
            </w:tcBorders>
            <w:shd w:val="clear" w:color="auto" w:fill="auto"/>
            <w:noWrap/>
            <w:vAlign w:val="center"/>
          </w:tcPr>
          <w:p w14:paraId="0F9931FD" w14:textId="68C82BB4"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tcPr>
          <w:p w14:paraId="031F66CB" w14:textId="62418D47"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960" w:type="dxa"/>
            <w:tcBorders>
              <w:top w:val="nil"/>
              <w:left w:val="nil"/>
              <w:bottom w:val="nil"/>
              <w:right w:val="nil"/>
            </w:tcBorders>
            <w:shd w:val="clear" w:color="auto" w:fill="auto"/>
            <w:noWrap/>
            <w:vAlign w:val="center"/>
          </w:tcPr>
          <w:p w14:paraId="66B72FD8" w14:textId="07D5C46C"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F03016" w:rsidRPr="00F86156" w14:paraId="6DDA1E8A" w14:textId="77777777" w:rsidTr="00F03016">
        <w:trPr>
          <w:trHeight w:val="315"/>
          <w:jc w:val="center"/>
        </w:trPr>
        <w:tc>
          <w:tcPr>
            <w:tcW w:w="2085" w:type="dxa"/>
            <w:tcBorders>
              <w:top w:val="nil"/>
              <w:left w:val="nil"/>
              <w:bottom w:val="nil"/>
              <w:right w:val="nil"/>
            </w:tcBorders>
            <w:shd w:val="clear" w:color="auto" w:fill="auto"/>
            <w:noWrap/>
            <w:vAlign w:val="center"/>
          </w:tcPr>
          <w:p w14:paraId="1C3ACE67" w14:textId="2009D8D2" w:rsidR="00F03016" w:rsidRDefault="00F03016" w:rsidP="00F03016">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Toddler</w:t>
            </w:r>
            <w:r w:rsidRPr="00F86156">
              <w:rPr>
                <w:rFonts w:eastAsia="Times New Roman" w:cs="Times New Roman"/>
                <w:color w:val="000000"/>
                <w:sz w:val="20"/>
                <w:szCs w:val="20"/>
              </w:rPr>
              <w:t>s</w:t>
            </w:r>
            <w:r w:rsidRPr="00F86156">
              <w:rPr>
                <w:rFonts w:eastAsia="Times New Roman" w:cs="Times New Roman"/>
                <w:color w:val="000000"/>
                <w:sz w:val="20"/>
                <w:szCs w:val="20"/>
                <w:vertAlign w:val="subscript"/>
              </w:rPr>
              <w:t>mean</w:t>
            </w:r>
            <w:r w:rsidRPr="00F86156">
              <w:rPr>
                <w:rFonts w:eastAsia="Times New Roman" w:cs="Times New Roman"/>
                <w:color w:val="000000"/>
                <w:sz w:val="20"/>
                <w:szCs w:val="20"/>
                <w:vertAlign w:val="superscript"/>
              </w:rPr>
              <w:t>a</w:t>
            </w:r>
            <w:proofErr w:type="spellEnd"/>
          </w:p>
        </w:tc>
        <w:tc>
          <w:tcPr>
            <w:tcW w:w="1420" w:type="dxa"/>
            <w:tcBorders>
              <w:top w:val="nil"/>
              <w:left w:val="nil"/>
              <w:bottom w:val="nil"/>
              <w:right w:val="nil"/>
            </w:tcBorders>
            <w:shd w:val="clear" w:color="auto" w:fill="auto"/>
            <w:noWrap/>
            <w:vAlign w:val="center"/>
          </w:tcPr>
          <w:p w14:paraId="170D179E" w14:textId="34CFACE8" w:rsidR="00F0301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2.58</w:t>
            </w:r>
          </w:p>
        </w:tc>
        <w:tc>
          <w:tcPr>
            <w:tcW w:w="1040" w:type="dxa"/>
            <w:tcBorders>
              <w:top w:val="nil"/>
              <w:left w:val="nil"/>
              <w:bottom w:val="nil"/>
              <w:right w:val="nil"/>
            </w:tcBorders>
            <w:shd w:val="clear" w:color="auto" w:fill="auto"/>
            <w:noWrap/>
            <w:vAlign w:val="center"/>
          </w:tcPr>
          <w:p w14:paraId="6C4FC5D6" w14:textId="1E291819" w:rsidR="00F0301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820" w:type="dxa"/>
            <w:tcBorders>
              <w:top w:val="nil"/>
              <w:left w:val="nil"/>
              <w:bottom w:val="nil"/>
              <w:right w:val="nil"/>
            </w:tcBorders>
            <w:shd w:val="clear" w:color="auto" w:fill="auto"/>
            <w:noWrap/>
            <w:vAlign w:val="center"/>
          </w:tcPr>
          <w:p w14:paraId="4B65A0D9" w14:textId="052C7A5C"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tcPr>
          <w:p w14:paraId="14D87349" w14:textId="165EDA70"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960" w:type="dxa"/>
            <w:tcBorders>
              <w:top w:val="nil"/>
              <w:left w:val="nil"/>
              <w:bottom w:val="nil"/>
              <w:right w:val="nil"/>
            </w:tcBorders>
            <w:shd w:val="clear" w:color="auto" w:fill="auto"/>
            <w:noWrap/>
            <w:vAlign w:val="center"/>
          </w:tcPr>
          <w:p w14:paraId="4ECB71D0" w14:textId="4FEECB4F"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F03016" w:rsidRPr="00F86156" w14:paraId="1D661A75" w14:textId="77777777" w:rsidTr="00F03016">
        <w:trPr>
          <w:trHeight w:val="315"/>
          <w:jc w:val="center"/>
        </w:trPr>
        <w:tc>
          <w:tcPr>
            <w:tcW w:w="2085" w:type="dxa"/>
            <w:tcBorders>
              <w:top w:val="nil"/>
              <w:left w:val="nil"/>
              <w:bottom w:val="nil"/>
              <w:right w:val="nil"/>
            </w:tcBorders>
            <w:shd w:val="clear" w:color="auto" w:fill="auto"/>
            <w:noWrap/>
            <w:vAlign w:val="center"/>
          </w:tcPr>
          <w:p w14:paraId="0450B5CB" w14:textId="3A8C2399" w:rsidR="00F03016" w:rsidRDefault="00F03016" w:rsidP="00F03016">
            <w:pPr>
              <w:spacing w:after="0" w:line="240" w:lineRule="auto"/>
              <w:rPr>
                <w:rFonts w:eastAsia="Times New Roman" w:cs="Times New Roman"/>
                <w:color w:val="000000"/>
                <w:sz w:val="20"/>
                <w:szCs w:val="20"/>
              </w:rPr>
            </w:pPr>
            <w:proofErr w:type="spellStart"/>
            <w:r w:rsidRPr="00F86156">
              <w:rPr>
                <w:rFonts w:eastAsia="Times New Roman" w:cs="Times New Roman"/>
                <w:color w:val="000000"/>
                <w:sz w:val="20"/>
                <w:szCs w:val="20"/>
              </w:rPr>
              <w:t>Toddler</w:t>
            </w:r>
            <w:r w:rsidRPr="00F86156">
              <w:rPr>
                <w:rFonts w:eastAsia="Times New Roman" w:cs="Times New Roman"/>
                <w:color w:val="000000"/>
                <w:sz w:val="20"/>
                <w:szCs w:val="20"/>
                <w:vertAlign w:val="subscript"/>
              </w:rPr>
              <w:t>median</w:t>
            </w:r>
            <w:r w:rsidRPr="00F86156">
              <w:rPr>
                <w:rFonts w:eastAsia="Times New Roman" w:cs="Times New Roman"/>
                <w:color w:val="000000"/>
                <w:sz w:val="20"/>
                <w:szCs w:val="20"/>
                <w:vertAlign w:val="superscript"/>
              </w:rPr>
              <w:t>d</w:t>
            </w:r>
            <w:proofErr w:type="spellEnd"/>
          </w:p>
        </w:tc>
        <w:tc>
          <w:tcPr>
            <w:tcW w:w="1420" w:type="dxa"/>
            <w:tcBorders>
              <w:top w:val="nil"/>
              <w:left w:val="nil"/>
              <w:bottom w:val="nil"/>
              <w:right w:val="nil"/>
            </w:tcBorders>
            <w:shd w:val="clear" w:color="auto" w:fill="auto"/>
            <w:noWrap/>
            <w:vAlign w:val="center"/>
          </w:tcPr>
          <w:p w14:paraId="275AD390" w14:textId="2D3E66E5"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4.0</w:t>
            </w:r>
          </w:p>
        </w:tc>
        <w:tc>
          <w:tcPr>
            <w:tcW w:w="1040" w:type="dxa"/>
            <w:tcBorders>
              <w:top w:val="nil"/>
              <w:left w:val="nil"/>
              <w:bottom w:val="nil"/>
              <w:right w:val="nil"/>
            </w:tcBorders>
            <w:shd w:val="clear" w:color="auto" w:fill="auto"/>
            <w:noWrap/>
            <w:vAlign w:val="center"/>
          </w:tcPr>
          <w:p w14:paraId="6272F23C" w14:textId="4DFE2F84" w:rsidR="00F0301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42%</w:t>
            </w:r>
          </w:p>
        </w:tc>
        <w:tc>
          <w:tcPr>
            <w:tcW w:w="820" w:type="dxa"/>
            <w:tcBorders>
              <w:top w:val="nil"/>
              <w:left w:val="nil"/>
              <w:bottom w:val="nil"/>
              <w:right w:val="nil"/>
            </w:tcBorders>
            <w:shd w:val="clear" w:color="auto" w:fill="auto"/>
            <w:noWrap/>
            <w:vAlign w:val="center"/>
          </w:tcPr>
          <w:p w14:paraId="6EC3C71A" w14:textId="2B71AA01"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20%</w:t>
            </w:r>
          </w:p>
        </w:tc>
        <w:tc>
          <w:tcPr>
            <w:tcW w:w="860" w:type="dxa"/>
            <w:tcBorders>
              <w:top w:val="nil"/>
              <w:left w:val="nil"/>
              <w:bottom w:val="nil"/>
              <w:right w:val="nil"/>
            </w:tcBorders>
            <w:shd w:val="clear" w:color="auto" w:fill="auto"/>
            <w:noWrap/>
            <w:vAlign w:val="center"/>
          </w:tcPr>
          <w:p w14:paraId="67BA3272" w14:textId="4293B40B"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36%</w:t>
            </w:r>
          </w:p>
        </w:tc>
        <w:tc>
          <w:tcPr>
            <w:tcW w:w="960" w:type="dxa"/>
            <w:tcBorders>
              <w:top w:val="nil"/>
              <w:left w:val="nil"/>
              <w:bottom w:val="nil"/>
              <w:right w:val="nil"/>
            </w:tcBorders>
            <w:shd w:val="clear" w:color="auto" w:fill="auto"/>
            <w:noWrap/>
            <w:vAlign w:val="center"/>
          </w:tcPr>
          <w:p w14:paraId="6D2E1EF2" w14:textId="77777777" w:rsidR="00F03016" w:rsidRPr="00F86156" w:rsidRDefault="00F03016" w:rsidP="00F03016">
            <w:pPr>
              <w:spacing w:after="0" w:line="240" w:lineRule="auto"/>
              <w:jc w:val="center"/>
              <w:rPr>
                <w:rFonts w:eastAsia="Times New Roman" w:cs="Times New Roman"/>
                <w:color w:val="000000"/>
                <w:sz w:val="20"/>
                <w:szCs w:val="20"/>
              </w:rPr>
            </w:pPr>
          </w:p>
        </w:tc>
      </w:tr>
      <w:tr w:rsidR="00F03016" w:rsidRPr="00F86156" w14:paraId="6F64F983" w14:textId="77777777" w:rsidTr="00F03016">
        <w:trPr>
          <w:trHeight w:val="315"/>
          <w:jc w:val="center"/>
        </w:trPr>
        <w:tc>
          <w:tcPr>
            <w:tcW w:w="2085" w:type="dxa"/>
            <w:tcBorders>
              <w:top w:val="nil"/>
              <w:left w:val="nil"/>
              <w:bottom w:val="nil"/>
              <w:right w:val="nil"/>
            </w:tcBorders>
            <w:shd w:val="clear" w:color="auto" w:fill="auto"/>
            <w:noWrap/>
            <w:vAlign w:val="center"/>
          </w:tcPr>
          <w:p w14:paraId="57EEDD1F" w14:textId="1AA5F8C0" w:rsidR="00F03016" w:rsidRDefault="00F03016" w:rsidP="00F03016">
            <w:pPr>
              <w:spacing w:after="0" w:line="240" w:lineRule="auto"/>
              <w:rPr>
                <w:rFonts w:eastAsia="Times New Roman" w:cs="Times New Roman"/>
                <w:color w:val="000000"/>
                <w:sz w:val="20"/>
                <w:szCs w:val="20"/>
              </w:rPr>
            </w:pPr>
            <w:r w:rsidRPr="00F86156">
              <w:rPr>
                <w:rFonts w:eastAsia="Times New Roman" w:cs="Times New Roman"/>
                <w:color w:val="000000"/>
                <w:sz w:val="20"/>
                <w:szCs w:val="20"/>
              </w:rPr>
              <w:t>Adolescents</w:t>
            </w:r>
            <w:r w:rsidRPr="00F86156">
              <w:rPr>
                <w:rFonts w:eastAsia="Times New Roman" w:cs="Times New Roman"/>
                <w:color w:val="000000"/>
                <w:sz w:val="20"/>
                <w:szCs w:val="20"/>
                <w:vertAlign w:val="subscript"/>
              </w:rPr>
              <w:t>95th%ile</w:t>
            </w:r>
            <w:r w:rsidRPr="00F86156">
              <w:rPr>
                <w:rFonts w:eastAsia="Times New Roman" w:cs="Times New Roman"/>
                <w:color w:val="000000"/>
                <w:sz w:val="20"/>
                <w:szCs w:val="20"/>
                <w:vertAlign w:val="superscript"/>
              </w:rPr>
              <w:t>a</w:t>
            </w:r>
          </w:p>
        </w:tc>
        <w:tc>
          <w:tcPr>
            <w:tcW w:w="1420" w:type="dxa"/>
            <w:tcBorders>
              <w:top w:val="nil"/>
              <w:left w:val="nil"/>
              <w:bottom w:val="nil"/>
              <w:right w:val="nil"/>
            </w:tcBorders>
            <w:shd w:val="clear" w:color="auto" w:fill="auto"/>
            <w:noWrap/>
            <w:vAlign w:val="center"/>
          </w:tcPr>
          <w:p w14:paraId="01A5C0C3" w14:textId="6C44A382" w:rsidR="00F0301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4.95</w:t>
            </w:r>
          </w:p>
        </w:tc>
        <w:tc>
          <w:tcPr>
            <w:tcW w:w="1040" w:type="dxa"/>
            <w:tcBorders>
              <w:top w:val="nil"/>
              <w:left w:val="nil"/>
              <w:bottom w:val="nil"/>
              <w:right w:val="nil"/>
            </w:tcBorders>
            <w:shd w:val="clear" w:color="auto" w:fill="auto"/>
            <w:noWrap/>
            <w:vAlign w:val="center"/>
          </w:tcPr>
          <w:p w14:paraId="4EE0ABCA" w14:textId="20419030" w:rsidR="00F0301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820" w:type="dxa"/>
            <w:tcBorders>
              <w:top w:val="nil"/>
              <w:left w:val="nil"/>
              <w:bottom w:val="nil"/>
              <w:right w:val="nil"/>
            </w:tcBorders>
            <w:shd w:val="clear" w:color="auto" w:fill="auto"/>
            <w:noWrap/>
            <w:vAlign w:val="center"/>
          </w:tcPr>
          <w:p w14:paraId="1C2B5202" w14:textId="3329B47E"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tcPr>
          <w:p w14:paraId="44F5CBB3" w14:textId="61FE266E"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960" w:type="dxa"/>
            <w:tcBorders>
              <w:top w:val="nil"/>
              <w:left w:val="nil"/>
              <w:bottom w:val="nil"/>
              <w:right w:val="nil"/>
            </w:tcBorders>
            <w:shd w:val="clear" w:color="auto" w:fill="auto"/>
            <w:noWrap/>
            <w:vAlign w:val="center"/>
          </w:tcPr>
          <w:p w14:paraId="24947BFA" w14:textId="6E152FF0"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F03016" w:rsidRPr="00F86156" w14:paraId="7F1712D0" w14:textId="77777777" w:rsidTr="00F03016">
        <w:trPr>
          <w:trHeight w:val="315"/>
          <w:jc w:val="center"/>
        </w:trPr>
        <w:tc>
          <w:tcPr>
            <w:tcW w:w="2085" w:type="dxa"/>
            <w:tcBorders>
              <w:top w:val="nil"/>
              <w:left w:val="nil"/>
              <w:bottom w:val="nil"/>
              <w:right w:val="nil"/>
            </w:tcBorders>
            <w:shd w:val="clear" w:color="auto" w:fill="auto"/>
            <w:noWrap/>
            <w:vAlign w:val="center"/>
            <w:hideMark/>
          </w:tcPr>
          <w:p w14:paraId="36C4F77C" w14:textId="77777777" w:rsidR="00F03016" w:rsidRPr="00F86156" w:rsidRDefault="00F03016" w:rsidP="00F03016">
            <w:pPr>
              <w:spacing w:after="0" w:line="240" w:lineRule="auto"/>
              <w:rPr>
                <w:rFonts w:eastAsia="Times New Roman" w:cs="Times New Roman"/>
                <w:color w:val="000000"/>
                <w:sz w:val="20"/>
                <w:szCs w:val="20"/>
              </w:rPr>
            </w:pPr>
            <w:r>
              <w:rPr>
                <w:rFonts w:eastAsia="Times New Roman" w:cs="Times New Roman"/>
                <w:color w:val="000000"/>
                <w:sz w:val="20"/>
                <w:szCs w:val="20"/>
              </w:rPr>
              <w:t>Toddler</w:t>
            </w:r>
            <w:r w:rsidRPr="00F86156">
              <w:rPr>
                <w:rFonts w:eastAsia="Times New Roman" w:cs="Times New Roman"/>
                <w:color w:val="000000"/>
                <w:sz w:val="20"/>
                <w:szCs w:val="20"/>
              </w:rPr>
              <w:t>s</w:t>
            </w:r>
            <w:r w:rsidRPr="00F86156">
              <w:rPr>
                <w:rFonts w:eastAsia="Times New Roman" w:cs="Times New Roman"/>
                <w:color w:val="000000"/>
                <w:sz w:val="20"/>
                <w:szCs w:val="20"/>
                <w:vertAlign w:val="subscript"/>
              </w:rPr>
              <w:t>95th%ile</w:t>
            </w:r>
            <w:r w:rsidRPr="00F86156">
              <w:rPr>
                <w:rFonts w:eastAsia="Times New Roman" w:cs="Times New Roman"/>
                <w:color w:val="000000"/>
                <w:sz w:val="20"/>
                <w:szCs w:val="20"/>
                <w:vertAlign w:val="superscript"/>
              </w:rPr>
              <w:t>a</w:t>
            </w:r>
          </w:p>
        </w:tc>
        <w:tc>
          <w:tcPr>
            <w:tcW w:w="1420" w:type="dxa"/>
            <w:tcBorders>
              <w:top w:val="nil"/>
              <w:left w:val="nil"/>
              <w:bottom w:val="nil"/>
              <w:right w:val="nil"/>
            </w:tcBorders>
            <w:shd w:val="clear" w:color="auto" w:fill="auto"/>
            <w:noWrap/>
            <w:vAlign w:val="center"/>
            <w:hideMark/>
          </w:tcPr>
          <w:p w14:paraId="3D572D42" w14:textId="77777777"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6.89</w:t>
            </w:r>
          </w:p>
        </w:tc>
        <w:tc>
          <w:tcPr>
            <w:tcW w:w="1040" w:type="dxa"/>
            <w:tcBorders>
              <w:top w:val="nil"/>
              <w:left w:val="nil"/>
              <w:bottom w:val="nil"/>
              <w:right w:val="nil"/>
            </w:tcBorders>
            <w:shd w:val="clear" w:color="auto" w:fill="auto"/>
            <w:noWrap/>
            <w:vAlign w:val="center"/>
            <w:hideMark/>
          </w:tcPr>
          <w:p w14:paraId="54701551" w14:textId="77777777"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820" w:type="dxa"/>
            <w:tcBorders>
              <w:top w:val="nil"/>
              <w:left w:val="nil"/>
              <w:bottom w:val="nil"/>
              <w:right w:val="nil"/>
            </w:tcBorders>
            <w:shd w:val="clear" w:color="auto" w:fill="auto"/>
            <w:noWrap/>
            <w:vAlign w:val="center"/>
            <w:hideMark/>
          </w:tcPr>
          <w:p w14:paraId="6AEEA42F" w14:textId="0044FCA3"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hideMark/>
          </w:tcPr>
          <w:p w14:paraId="601D7E28" w14:textId="719CB049"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960" w:type="dxa"/>
            <w:tcBorders>
              <w:top w:val="nil"/>
              <w:left w:val="nil"/>
              <w:bottom w:val="nil"/>
              <w:right w:val="nil"/>
            </w:tcBorders>
            <w:shd w:val="clear" w:color="auto" w:fill="auto"/>
            <w:noWrap/>
            <w:vAlign w:val="center"/>
            <w:hideMark/>
          </w:tcPr>
          <w:p w14:paraId="667DB1B3" w14:textId="2323CDC5"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F03016" w:rsidRPr="00F86156" w14:paraId="46B860EB" w14:textId="77777777" w:rsidTr="00F03016">
        <w:trPr>
          <w:trHeight w:val="315"/>
          <w:jc w:val="center"/>
        </w:trPr>
        <w:tc>
          <w:tcPr>
            <w:tcW w:w="2085" w:type="dxa"/>
            <w:tcBorders>
              <w:top w:val="nil"/>
              <w:left w:val="nil"/>
              <w:bottom w:val="nil"/>
              <w:right w:val="nil"/>
            </w:tcBorders>
            <w:shd w:val="clear" w:color="auto" w:fill="auto"/>
            <w:noWrap/>
            <w:vAlign w:val="center"/>
          </w:tcPr>
          <w:p w14:paraId="3339C042" w14:textId="120EB649" w:rsidR="00F03016" w:rsidRPr="00F86156" w:rsidRDefault="00F03016" w:rsidP="00F03016">
            <w:pPr>
              <w:spacing w:after="0" w:line="240" w:lineRule="auto"/>
              <w:rPr>
                <w:rFonts w:eastAsia="Times New Roman" w:cs="Times New Roman"/>
                <w:color w:val="000000"/>
                <w:sz w:val="20"/>
                <w:szCs w:val="20"/>
              </w:rPr>
            </w:pPr>
            <w:r w:rsidRPr="00F86156">
              <w:rPr>
                <w:rFonts w:eastAsia="Times New Roman" w:cs="Times New Roman"/>
                <w:color w:val="000000"/>
                <w:sz w:val="20"/>
                <w:szCs w:val="20"/>
              </w:rPr>
              <w:t>O</w:t>
            </w:r>
            <w:r>
              <w:rPr>
                <w:rFonts w:eastAsia="Times New Roman" w:cs="Times New Roman"/>
                <w:color w:val="000000"/>
                <w:sz w:val="20"/>
                <w:szCs w:val="20"/>
              </w:rPr>
              <w:t>ther</w:t>
            </w:r>
            <w:r w:rsidRPr="00F86156">
              <w:rPr>
                <w:rFonts w:eastAsia="Times New Roman" w:cs="Times New Roman"/>
                <w:color w:val="000000"/>
                <w:sz w:val="20"/>
                <w:szCs w:val="20"/>
              </w:rPr>
              <w:t xml:space="preserve"> children</w:t>
            </w:r>
            <w:r w:rsidRPr="00F86156">
              <w:rPr>
                <w:rFonts w:eastAsia="Times New Roman" w:cs="Times New Roman"/>
                <w:color w:val="000000"/>
                <w:sz w:val="20"/>
                <w:szCs w:val="20"/>
                <w:vertAlign w:val="subscript"/>
              </w:rPr>
              <w:t>95th%ile</w:t>
            </w:r>
            <w:r w:rsidRPr="00F86156">
              <w:rPr>
                <w:rFonts w:eastAsia="Times New Roman" w:cs="Times New Roman"/>
                <w:color w:val="000000"/>
                <w:sz w:val="20"/>
                <w:szCs w:val="20"/>
                <w:vertAlign w:val="superscript"/>
              </w:rPr>
              <w:t>a</w:t>
            </w:r>
          </w:p>
        </w:tc>
        <w:tc>
          <w:tcPr>
            <w:tcW w:w="1420" w:type="dxa"/>
            <w:tcBorders>
              <w:top w:val="nil"/>
              <w:left w:val="nil"/>
              <w:bottom w:val="nil"/>
              <w:right w:val="nil"/>
            </w:tcBorders>
            <w:shd w:val="clear" w:color="auto" w:fill="auto"/>
            <w:noWrap/>
            <w:vAlign w:val="center"/>
          </w:tcPr>
          <w:p w14:paraId="49915FD8" w14:textId="5973B794"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8.51</w:t>
            </w:r>
          </w:p>
        </w:tc>
        <w:tc>
          <w:tcPr>
            <w:tcW w:w="1040" w:type="dxa"/>
            <w:tcBorders>
              <w:top w:val="nil"/>
              <w:left w:val="nil"/>
              <w:bottom w:val="nil"/>
              <w:right w:val="nil"/>
            </w:tcBorders>
            <w:shd w:val="clear" w:color="auto" w:fill="auto"/>
            <w:noWrap/>
            <w:vAlign w:val="center"/>
          </w:tcPr>
          <w:p w14:paraId="6916C053" w14:textId="47569749"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820" w:type="dxa"/>
            <w:tcBorders>
              <w:top w:val="nil"/>
              <w:left w:val="nil"/>
              <w:bottom w:val="nil"/>
              <w:right w:val="nil"/>
            </w:tcBorders>
            <w:shd w:val="clear" w:color="auto" w:fill="auto"/>
            <w:noWrap/>
            <w:vAlign w:val="center"/>
          </w:tcPr>
          <w:p w14:paraId="28DD2EB5" w14:textId="60EA43CA"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tcPr>
          <w:p w14:paraId="4855A793" w14:textId="16379159"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960" w:type="dxa"/>
            <w:tcBorders>
              <w:top w:val="nil"/>
              <w:left w:val="nil"/>
              <w:bottom w:val="nil"/>
              <w:right w:val="nil"/>
            </w:tcBorders>
            <w:shd w:val="clear" w:color="auto" w:fill="auto"/>
            <w:noWrap/>
            <w:vAlign w:val="center"/>
          </w:tcPr>
          <w:p w14:paraId="190A99BB" w14:textId="6CCFCB8F" w:rsidR="00F03016" w:rsidRPr="00F86156" w:rsidRDefault="00F03016" w:rsidP="00F0301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r>
      <w:tr w:rsidR="00F03016" w:rsidRPr="00F86156" w14:paraId="406CA0AC" w14:textId="77777777" w:rsidTr="009500B2">
        <w:trPr>
          <w:trHeight w:val="315"/>
          <w:jc w:val="center"/>
        </w:trPr>
        <w:tc>
          <w:tcPr>
            <w:tcW w:w="2085" w:type="dxa"/>
            <w:tcBorders>
              <w:top w:val="nil"/>
              <w:left w:val="nil"/>
              <w:bottom w:val="nil"/>
              <w:right w:val="nil"/>
            </w:tcBorders>
            <w:shd w:val="clear" w:color="auto" w:fill="auto"/>
            <w:noWrap/>
            <w:vAlign w:val="center"/>
            <w:hideMark/>
          </w:tcPr>
          <w:p w14:paraId="077EF93E" w14:textId="77777777" w:rsidR="00F03016" w:rsidRPr="00F86156" w:rsidRDefault="00F03016" w:rsidP="00F03016">
            <w:pPr>
              <w:spacing w:after="0" w:line="240" w:lineRule="auto"/>
              <w:rPr>
                <w:rFonts w:eastAsia="Times New Roman" w:cs="Times New Roman"/>
                <w:color w:val="000000"/>
                <w:sz w:val="20"/>
                <w:szCs w:val="20"/>
              </w:rPr>
            </w:pPr>
            <w:r w:rsidRPr="00F86156">
              <w:rPr>
                <w:rFonts w:eastAsia="Times New Roman" w:cs="Times New Roman"/>
                <w:color w:val="000000"/>
                <w:sz w:val="20"/>
                <w:szCs w:val="20"/>
              </w:rPr>
              <w:t>Infant</w:t>
            </w:r>
            <w:r w:rsidRPr="00F86156">
              <w:rPr>
                <w:rFonts w:eastAsia="Times New Roman" w:cs="Times New Roman"/>
                <w:color w:val="000000"/>
                <w:sz w:val="20"/>
                <w:szCs w:val="20"/>
                <w:vertAlign w:val="subscript"/>
              </w:rPr>
              <w:t>50th%ile</w:t>
            </w:r>
            <w:r w:rsidRPr="00F86156">
              <w:rPr>
                <w:rFonts w:eastAsia="Times New Roman" w:cs="Times New Roman"/>
                <w:color w:val="000000"/>
                <w:sz w:val="20"/>
                <w:szCs w:val="20"/>
                <w:vertAlign w:val="superscript"/>
              </w:rPr>
              <w:t>e</w:t>
            </w:r>
          </w:p>
        </w:tc>
        <w:tc>
          <w:tcPr>
            <w:tcW w:w="1420" w:type="dxa"/>
            <w:tcBorders>
              <w:top w:val="nil"/>
              <w:left w:val="nil"/>
              <w:bottom w:val="nil"/>
              <w:right w:val="nil"/>
            </w:tcBorders>
            <w:shd w:val="clear" w:color="auto" w:fill="auto"/>
            <w:noWrap/>
            <w:vAlign w:val="center"/>
            <w:hideMark/>
          </w:tcPr>
          <w:p w14:paraId="2D2C6A75"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8.72</w:t>
            </w:r>
          </w:p>
        </w:tc>
        <w:tc>
          <w:tcPr>
            <w:tcW w:w="1040" w:type="dxa"/>
            <w:tcBorders>
              <w:top w:val="nil"/>
              <w:left w:val="nil"/>
              <w:bottom w:val="nil"/>
              <w:right w:val="nil"/>
            </w:tcBorders>
            <w:shd w:val="clear" w:color="auto" w:fill="auto"/>
            <w:noWrap/>
            <w:vAlign w:val="center"/>
            <w:hideMark/>
          </w:tcPr>
          <w:p w14:paraId="1BFCE76B"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99.7%</w:t>
            </w:r>
          </w:p>
        </w:tc>
        <w:tc>
          <w:tcPr>
            <w:tcW w:w="820" w:type="dxa"/>
            <w:tcBorders>
              <w:top w:val="nil"/>
              <w:left w:val="nil"/>
              <w:bottom w:val="nil"/>
              <w:right w:val="nil"/>
            </w:tcBorders>
            <w:shd w:val="clear" w:color="auto" w:fill="auto"/>
            <w:noWrap/>
            <w:hideMark/>
          </w:tcPr>
          <w:p w14:paraId="5046B056" w14:textId="2E7E8E16" w:rsidR="00F03016" w:rsidRPr="00F86156" w:rsidRDefault="00F03016" w:rsidP="00F03016">
            <w:pPr>
              <w:spacing w:after="0" w:line="240" w:lineRule="auto"/>
              <w:jc w:val="center"/>
              <w:rPr>
                <w:rFonts w:eastAsia="Times New Roman" w:cs="Times New Roman"/>
                <w:color w:val="000000"/>
                <w:sz w:val="20"/>
                <w:szCs w:val="20"/>
              </w:rPr>
            </w:pPr>
            <w:r w:rsidRPr="00D2358F">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hideMark/>
          </w:tcPr>
          <w:p w14:paraId="42E7C37C"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0.2%</w:t>
            </w:r>
          </w:p>
        </w:tc>
        <w:tc>
          <w:tcPr>
            <w:tcW w:w="960" w:type="dxa"/>
            <w:tcBorders>
              <w:top w:val="nil"/>
              <w:left w:val="nil"/>
              <w:bottom w:val="nil"/>
              <w:right w:val="nil"/>
            </w:tcBorders>
            <w:shd w:val="clear" w:color="auto" w:fill="auto"/>
            <w:noWrap/>
            <w:vAlign w:val="center"/>
            <w:hideMark/>
          </w:tcPr>
          <w:p w14:paraId="504349A2"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0.03%</w:t>
            </w:r>
          </w:p>
        </w:tc>
      </w:tr>
      <w:tr w:rsidR="00F03016" w:rsidRPr="00F86156" w14:paraId="36612214" w14:textId="77777777" w:rsidTr="009500B2">
        <w:trPr>
          <w:trHeight w:val="315"/>
          <w:jc w:val="center"/>
        </w:trPr>
        <w:tc>
          <w:tcPr>
            <w:tcW w:w="2085" w:type="dxa"/>
            <w:tcBorders>
              <w:top w:val="nil"/>
              <w:left w:val="nil"/>
              <w:right w:val="nil"/>
            </w:tcBorders>
            <w:shd w:val="clear" w:color="auto" w:fill="auto"/>
            <w:noWrap/>
            <w:vAlign w:val="center"/>
            <w:hideMark/>
          </w:tcPr>
          <w:p w14:paraId="225CB1A4" w14:textId="77777777" w:rsidR="00F03016" w:rsidRPr="00F86156" w:rsidRDefault="00F03016" w:rsidP="00F03016">
            <w:pPr>
              <w:spacing w:after="0" w:line="240" w:lineRule="auto"/>
              <w:rPr>
                <w:rFonts w:eastAsia="Times New Roman" w:cs="Times New Roman"/>
                <w:color w:val="000000"/>
                <w:sz w:val="20"/>
                <w:szCs w:val="20"/>
              </w:rPr>
            </w:pPr>
            <w:r w:rsidRPr="00F86156">
              <w:rPr>
                <w:rFonts w:eastAsia="Times New Roman" w:cs="Times New Roman"/>
                <w:color w:val="000000"/>
                <w:sz w:val="20"/>
                <w:szCs w:val="20"/>
              </w:rPr>
              <w:t>Infant</w:t>
            </w:r>
            <w:r w:rsidRPr="00F86156">
              <w:rPr>
                <w:rFonts w:eastAsia="Times New Roman" w:cs="Times New Roman"/>
                <w:color w:val="000000"/>
                <w:sz w:val="20"/>
                <w:szCs w:val="20"/>
                <w:vertAlign w:val="subscript"/>
              </w:rPr>
              <w:t>75th%ile</w:t>
            </w:r>
            <w:r w:rsidRPr="00F86156">
              <w:rPr>
                <w:rFonts w:eastAsia="Times New Roman" w:cs="Times New Roman"/>
                <w:color w:val="000000"/>
                <w:sz w:val="20"/>
                <w:szCs w:val="20"/>
                <w:vertAlign w:val="superscript"/>
              </w:rPr>
              <w:t>e</w:t>
            </w:r>
          </w:p>
        </w:tc>
        <w:tc>
          <w:tcPr>
            <w:tcW w:w="1420" w:type="dxa"/>
            <w:tcBorders>
              <w:top w:val="nil"/>
              <w:left w:val="nil"/>
              <w:right w:val="nil"/>
            </w:tcBorders>
            <w:shd w:val="clear" w:color="auto" w:fill="auto"/>
            <w:noWrap/>
            <w:vAlign w:val="center"/>
            <w:hideMark/>
          </w:tcPr>
          <w:p w14:paraId="59179B2C"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9.66</w:t>
            </w:r>
          </w:p>
        </w:tc>
        <w:tc>
          <w:tcPr>
            <w:tcW w:w="1040" w:type="dxa"/>
            <w:tcBorders>
              <w:top w:val="nil"/>
              <w:left w:val="nil"/>
              <w:right w:val="nil"/>
            </w:tcBorders>
            <w:shd w:val="clear" w:color="auto" w:fill="auto"/>
            <w:noWrap/>
            <w:vAlign w:val="center"/>
            <w:hideMark/>
          </w:tcPr>
          <w:p w14:paraId="79A8C278"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99.3%</w:t>
            </w:r>
          </w:p>
        </w:tc>
        <w:tc>
          <w:tcPr>
            <w:tcW w:w="820" w:type="dxa"/>
            <w:tcBorders>
              <w:top w:val="nil"/>
              <w:left w:val="nil"/>
              <w:right w:val="nil"/>
            </w:tcBorders>
            <w:shd w:val="clear" w:color="auto" w:fill="auto"/>
            <w:noWrap/>
            <w:hideMark/>
          </w:tcPr>
          <w:p w14:paraId="5A396D7A" w14:textId="481DBAB5" w:rsidR="00F03016" w:rsidRPr="00F86156" w:rsidRDefault="00F03016" w:rsidP="00F03016">
            <w:pPr>
              <w:spacing w:after="0" w:line="240" w:lineRule="auto"/>
              <w:jc w:val="center"/>
              <w:rPr>
                <w:rFonts w:eastAsia="Times New Roman" w:cs="Times New Roman"/>
                <w:color w:val="000000"/>
                <w:sz w:val="20"/>
                <w:szCs w:val="20"/>
              </w:rPr>
            </w:pPr>
            <w:r w:rsidRPr="00D2358F">
              <w:rPr>
                <w:rFonts w:eastAsia="Times New Roman" w:cs="Times New Roman"/>
                <w:color w:val="000000"/>
                <w:sz w:val="20"/>
                <w:szCs w:val="20"/>
              </w:rPr>
              <w:t>--</w:t>
            </w:r>
          </w:p>
        </w:tc>
        <w:tc>
          <w:tcPr>
            <w:tcW w:w="860" w:type="dxa"/>
            <w:tcBorders>
              <w:top w:val="nil"/>
              <w:left w:val="nil"/>
              <w:right w:val="nil"/>
            </w:tcBorders>
            <w:shd w:val="clear" w:color="auto" w:fill="auto"/>
            <w:noWrap/>
            <w:vAlign w:val="center"/>
            <w:hideMark/>
          </w:tcPr>
          <w:p w14:paraId="6829D322"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0.6%</w:t>
            </w:r>
          </w:p>
        </w:tc>
        <w:tc>
          <w:tcPr>
            <w:tcW w:w="960" w:type="dxa"/>
            <w:tcBorders>
              <w:top w:val="nil"/>
              <w:left w:val="nil"/>
              <w:right w:val="nil"/>
            </w:tcBorders>
            <w:shd w:val="clear" w:color="auto" w:fill="auto"/>
            <w:noWrap/>
            <w:vAlign w:val="center"/>
            <w:hideMark/>
          </w:tcPr>
          <w:p w14:paraId="2795BC2F" w14:textId="77777777" w:rsidR="00F03016" w:rsidRPr="00F86156" w:rsidRDefault="00F03016" w:rsidP="00F03016">
            <w:pPr>
              <w:spacing w:after="0" w:line="240" w:lineRule="auto"/>
              <w:jc w:val="center"/>
              <w:rPr>
                <w:rFonts w:eastAsia="Times New Roman" w:cs="Times New Roman"/>
                <w:color w:val="000000"/>
                <w:sz w:val="20"/>
                <w:szCs w:val="20"/>
              </w:rPr>
            </w:pPr>
            <w:r w:rsidRPr="00F86156">
              <w:rPr>
                <w:rFonts w:eastAsia="Times New Roman" w:cs="Times New Roman"/>
                <w:color w:val="000000"/>
                <w:sz w:val="20"/>
                <w:szCs w:val="20"/>
              </w:rPr>
              <w:t>0.04%</w:t>
            </w:r>
          </w:p>
        </w:tc>
      </w:tr>
      <w:tr w:rsidR="00F03016" w:rsidRPr="00F86156" w14:paraId="2EE1BED5" w14:textId="77777777" w:rsidTr="009500B2">
        <w:trPr>
          <w:trHeight w:val="315"/>
          <w:jc w:val="center"/>
        </w:trPr>
        <w:tc>
          <w:tcPr>
            <w:tcW w:w="2085" w:type="dxa"/>
            <w:tcBorders>
              <w:top w:val="nil"/>
              <w:left w:val="nil"/>
              <w:right w:val="nil"/>
            </w:tcBorders>
            <w:shd w:val="clear" w:color="auto" w:fill="auto"/>
            <w:noWrap/>
            <w:vAlign w:val="center"/>
          </w:tcPr>
          <w:p w14:paraId="47652C49" w14:textId="77777777" w:rsidR="00F03016" w:rsidRPr="00F86156" w:rsidRDefault="00F03016" w:rsidP="00F03016">
            <w:pPr>
              <w:spacing w:after="0" w:line="240" w:lineRule="auto"/>
              <w:rPr>
                <w:rFonts w:eastAsia="Times New Roman" w:cs="Times New Roman"/>
                <w:color w:val="000000"/>
                <w:sz w:val="20"/>
                <w:szCs w:val="20"/>
              </w:rPr>
            </w:pPr>
            <w:proofErr w:type="spellStart"/>
            <w:r>
              <w:rPr>
                <w:rFonts w:ascii="Calibri" w:hAnsi="Calibri"/>
                <w:color w:val="000000"/>
                <w:sz w:val="20"/>
                <w:szCs w:val="20"/>
              </w:rPr>
              <w:t>Women</w:t>
            </w:r>
            <w:r>
              <w:rPr>
                <w:rFonts w:ascii="Calibri" w:hAnsi="Calibri"/>
                <w:color w:val="000000"/>
                <w:sz w:val="20"/>
                <w:szCs w:val="20"/>
                <w:vertAlign w:val="superscript"/>
              </w:rPr>
              <w:t>f</w:t>
            </w:r>
            <w:proofErr w:type="spellEnd"/>
          </w:p>
        </w:tc>
        <w:tc>
          <w:tcPr>
            <w:tcW w:w="1420" w:type="dxa"/>
            <w:tcBorders>
              <w:top w:val="nil"/>
              <w:left w:val="nil"/>
              <w:right w:val="nil"/>
            </w:tcBorders>
            <w:shd w:val="clear" w:color="auto" w:fill="auto"/>
            <w:noWrap/>
            <w:vAlign w:val="center"/>
          </w:tcPr>
          <w:p w14:paraId="0F60D041" w14:textId="77777777" w:rsidR="00F03016" w:rsidRPr="00F86156" w:rsidRDefault="00F03016" w:rsidP="00F03016">
            <w:pPr>
              <w:spacing w:after="0" w:line="240" w:lineRule="auto"/>
              <w:jc w:val="center"/>
              <w:rPr>
                <w:rFonts w:eastAsia="Times New Roman" w:cs="Times New Roman"/>
                <w:color w:val="000000"/>
                <w:sz w:val="20"/>
                <w:szCs w:val="20"/>
              </w:rPr>
            </w:pPr>
            <w:r>
              <w:rPr>
                <w:rFonts w:ascii="Calibri" w:hAnsi="Calibri"/>
                <w:color w:val="000000"/>
                <w:sz w:val="20"/>
                <w:szCs w:val="20"/>
              </w:rPr>
              <w:t>15.3</w:t>
            </w:r>
          </w:p>
        </w:tc>
        <w:tc>
          <w:tcPr>
            <w:tcW w:w="1040" w:type="dxa"/>
            <w:tcBorders>
              <w:top w:val="nil"/>
              <w:left w:val="nil"/>
              <w:right w:val="nil"/>
            </w:tcBorders>
            <w:shd w:val="clear" w:color="auto" w:fill="auto"/>
            <w:noWrap/>
            <w:vAlign w:val="center"/>
          </w:tcPr>
          <w:p w14:paraId="1021F807"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c>
          <w:tcPr>
            <w:tcW w:w="820" w:type="dxa"/>
            <w:tcBorders>
              <w:top w:val="nil"/>
              <w:left w:val="nil"/>
              <w:right w:val="nil"/>
            </w:tcBorders>
            <w:shd w:val="clear" w:color="auto" w:fill="auto"/>
            <w:noWrap/>
          </w:tcPr>
          <w:p w14:paraId="0234D0AE" w14:textId="6017A8D4" w:rsidR="00F03016" w:rsidRPr="00F86156" w:rsidRDefault="00F03016" w:rsidP="00F03016">
            <w:pPr>
              <w:spacing w:after="0" w:line="240" w:lineRule="auto"/>
              <w:jc w:val="center"/>
              <w:rPr>
                <w:rFonts w:eastAsia="Times New Roman" w:cs="Times New Roman"/>
                <w:color w:val="000000"/>
                <w:sz w:val="20"/>
                <w:szCs w:val="20"/>
              </w:rPr>
            </w:pPr>
            <w:r w:rsidRPr="009670DF">
              <w:rPr>
                <w:rFonts w:eastAsia="Times New Roman" w:cs="Times New Roman"/>
                <w:color w:val="000000"/>
                <w:sz w:val="20"/>
                <w:szCs w:val="20"/>
              </w:rPr>
              <w:t>--</w:t>
            </w:r>
          </w:p>
        </w:tc>
        <w:tc>
          <w:tcPr>
            <w:tcW w:w="860" w:type="dxa"/>
            <w:tcBorders>
              <w:top w:val="nil"/>
              <w:left w:val="nil"/>
              <w:right w:val="nil"/>
            </w:tcBorders>
            <w:shd w:val="clear" w:color="auto" w:fill="auto"/>
            <w:noWrap/>
            <w:vAlign w:val="center"/>
          </w:tcPr>
          <w:p w14:paraId="3F36562A"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c>
          <w:tcPr>
            <w:tcW w:w="960" w:type="dxa"/>
            <w:tcBorders>
              <w:top w:val="nil"/>
              <w:left w:val="nil"/>
              <w:right w:val="nil"/>
            </w:tcBorders>
            <w:shd w:val="clear" w:color="auto" w:fill="auto"/>
            <w:noWrap/>
            <w:vAlign w:val="center"/>
          </w:tcPr>
          <w:p w14:paraId="22945085"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r>
      <w:tr w:rsidR="00F03016" w:rsidRPr="00F86156" w14:paraId="5733C7EB" w14:textId="77777777" w:rsidTr="009500B2">
        <w:trPr>
          <w:trHeight w:val="315"/>
          <w:jc w:val="center"/>
        </w:trPr>
        <w:tc>
          <w:tcPr>
            <w:tcW w:w="2085" w:type="dxa"/>
            <w:tcBorders>
              <w:top w:val="nil"/>
              <w:left w:val="nil"/>
              <w:bottom w:val="nil"/>
              <w:right w:val="nil"/>
            </w:tcBorders>
            <w:shd w:val="clear" w:color="auto" w:fill="auto"/>
            <w:noWrap/>
            <w:vAlign w:val="center"/>
          </w:tcPr>
          <w:p w14:paraId="4BB60E10" w14:textId="77777777" w:rsidR="00F03016" w:rsidRPr="00F86156" w:rsidRDefault="00F03016" w:rsidP="00F03016">
            <w:pPr>
              <w:spacing w:after="0" w:line="240" w:lineRule="auto"/>
              <w:rPr>
                <w:rFonts w:eastAsia="Times New Roman" w:cs="Times New Roman"/>
                <w:color w:val="000000"/>
                <w:sz w:val="20"/>
                <w:szCs w:val="20"/>
              </w:rPr>
            </w:pPr>
            <w:proofErr w:type="spellStart"/>
            <w:r>
              <w:rPr>
                <w:rFonts w:ascii="Calibri" w:hAnsi="Calibri"/>
                <w:color w:val="000000"/>
                <w:sz w:val="20"/>
                <w:szCs w:val="20"/>
              </w:rPr>
              <w:t>Toddlers</w:t>
            </w:r>
            <w:r>
              <w:rPr>
                <w:rFonts w:ascii="Calibri" w:hAnsi="Calibri"/>
                <w:color w:val="000000"/>
                <w:sz w:val="20"/>
                <w:szCs w:val="20"/>
                <w:vertAlign w:val="superscript"/>
              </w:rPr>
              <w:t>f</w:t>
            </w:r>
            <w:proofErr w:type="spellEnd"/>
          </w:p>
        </w:tc>
        <w:tc>
          <w:tcPr>
            <w:tcW w:w="1420" w:type="dxa"/>
            <w:tcBorders>
              <w:top w:val="nil"/>
              <w:left w:val="nil"/>
              <w:bottom w:val="nil"/>
              <w:right w:val="nil"/>
            </w:tcBorders>
            <w:shd w:val="clear" w:color="auto" w:fill="auto"/>
            <w:noWrap/>
            <w:vAlign w:val="center"/>
          </w:tcPr>
          <w:p w14:paraId="22466743" w14:textId="77777777" w:rsidR="00F03016" w:rsidRPr="00F86156" w:rsidRDefault="00F03016" w:rsidP="00F03016">
            <w:pPr>
              <w:spacing w:after="0" w:line="240" w:lineRule="auto"/>
              <w:jc w:val="center"/>
              <w:rPr>
                <w:rFonts w:eastAsia="Times New Roman" w:cs="Times New Roman"/>
                <w:color w:val="000000"/>
                <w:sz w:val="20"/>
                <w:szCs w:val="20"/>
              </w:rPr>
            </w:pPr>
            <w:r>
              <w:rPr>
                <w:rFonts w:ascii="Calibri" w:hAnsi="Calibri"/>
                <w:color w:val="000000"/>
                <w:sz w:val="20"/>
                <w:szCs w:val="20"/>
              </w:rPr>
              <w:t>35.4</w:t>
            </w:r>
          </w:p>
        </w:tc>
        <w:tc>
          <w:tcPr>
            <w:tcW w:w="1040" w:type="dxa"/>
            <w:tcBorders>
              <w:top w:val="nil"/>
              <w:left w:val="nil"/>
              <w:bottom w:val="nil"/>
              <w:right w:val="nil"/>
            </w:tcBorders>
            <w:shd w:val="clear" w:color="auto" w:fill="auto"/>
            <w:noWrap/>
            <w:vAlign w:val="center"/>
          </w:tcPr>
          <w:p w14:paraId="01F43AF4"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c>
          <w:tcPr>
            <w:tcW w:w="820" w:type="dxa"/>
            <w:tcBorders>
              <w:top w:val="nil"/>
              <w:left w:val="nil"/>
              <w:bottom w:val="nil"/>
              <w:right w:val="nil"/>
            </w:tcBorders>
            <w:shd w:val="clear" w:color="auto" w:fill="auto"/>
            <w:noWrap/>
          </w:tcPr>
          <w:p w14:paraId="11864C4E" w14:textId="06B4BC83" w:rsidR="00F03016" w:rsidRPr="00F86156" w:rsidRDefault="00F03016" w:rsidP="00F03016">
            <w:pPr>
              <w:spacing w:after="0" w:line="240" w:lineRule="auto"/>
              <w:jc w:val="center"/>
              <w:rPr>
                <w:rFonts w:eastAsia="Times New Roman" w:cs="Times New Roman"/>
                <w:color w:val="000000"/>
                <w:sz w:val="20"/>
                <w:szCs w:val="20"/>
              </w:rPr>
            </w:pPr>
            <w:r w:rsidRPr="009670DF">
              <w:rPr>
                <w:rFonts w:eastAsia="Times New Roman" w:cs="Times New Roman"/>
                <w:color w:val="000000"/>
                <w:sz w:val="20"/>
                <w:szCs w:val="20"/>
              </w:rPr>
              <w:t>--</w:t>
            </w:r>
          </w:p>
        </w:tc>
        <w:tc>
          <w:tcPr>
            <w:tcW w:w="860" w:type="dxa"/>
            <w:tcBorders>
              <w:top w:val="nil"/>
              <w:left w:val="nil"/>
              <w:bottom w:val="nil"/>
              <w:right w:val="nil"/>
            </w:tcBorders>
            <w:shd w:val="clear" w:color="auto" w:fill="auto"/>
            <w:noWrap/>
            <w:vAlign w:val="center"/>
          </w:tcPr>
          <w:p w14:paraId="6829FF83"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c>
          <w:tcPr>
            <w:tcW w:w="960" w:type="dxa"/>
            <w:tcBorders>
              <w:top w:val="nil"/>
              <w:left w:val="nil"/>
              <w:bottom w:val="nil"/>
              <w:right w:val="nil"/>
            </w:tcBorders>
            <w:shd w:val="clear" w:color="auto" w:fill="auto"/>
            <w:noWrap/>
            <w:vAlign w:val="center"/>
          </w:tcPr>
          <w:p w14:paraId="2E3C37C2"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r>
      <w:tr w:rsidR="00F03016" w:rsidRPr="00F86156" w14:paraId="59ADCE02" w14:textId="77777777" w:rsidTr="009500B2">
        <w:trPr>
          <w:trHeight w:val="315"/>
          <w:jc w:val="center"/>
        </w:trPr>
        <w:tc>
          <w:tcPr>
            <w:tcW w:w="2085" w:type="dxa"/>
            <w:tcBorders>
              <w:top w:val="nil"/>
              <w:left w:val="nil"/>
              <w:bottom w:val="single" w:sz="4" w:space="0" w:color="auto"/>
              <w:right w:val="nil"/>
            </w:tcBorders>
            <w:shd w:val="clear" w:color="auto" w:fill="auto"/>
            <w:noWrap/>
            <w:vAlign w:val="center"/>
          </w:tcPr>
          <w:p w14:paraId="78897648" w14:textId="77777777" w:rsidR="00F03016" w:rsidRPr="00F86156" w:rsidRDefault="00F03016" w:rsidP="00F03016">
            <w:pPr>
              <w:spacing w:after="0" w:line="240" w:lineRule="auto"/>
              <w:rPr>
                <w:rFonts w:eastAsia="Times New Roman" w:cs="Times New Roman"/>
                <w:color w:val="000000"/>
                <w:sz w:val="20"/>
                <w:szCs w:val="20"/>
              </w:rPr>
            </w:pPr>
            <w:proofErr w:type="spellStart"/>
            <w:r>
              <w:rPr>
                <w:rFonts w:ascii="Calibri" w:hAnsi="Calibri"/>
                <w:color w:val="000000"/>
                <w:sz w:val="20"/>
                <w:szCs w:val="20"/>
              </w:rPr>
              <w:t>Infants</w:t>
            </w:r>
            <w:r>
              <w:rPr>
                <w:rFonts w:ascii="Calibri" w:hAnsi="Calibri"/>
                <w:color w:val="000000"/>
                <w:sz w:val="20"/>
                <w:szCs w:val="20"/>
                <w:vertAlign w:val="superscript"/>
              </w:rPr>
              <w:t>f</w:t>
            </w:r>
            <w:proofErr w:type="spellEnd"/>
          </w:p>
        </w:tc>
        <w:tc>
          <w:tcPr>
            <w:tcW w:w="1420" w:type="dxa"/>
            <w:tcBorders>
              <w:top w:val="nil"/>
              <w:left w:val="nil"/>
              <w:bottom w:val="single" w:sz="4" w:space="0" w:color="auto"/>
              <w:right w:val="nil"/>
            </w:tcBorders>
            <w:shd w:val="clear" w:color="auto" w:fill="auto"/>
            <w:noWrap/>
            <w:vAlign w:val="center"/>
          </w:tcPr>
          <w:p w14:paraId="4C8BA848" w14:textId="77777777" w:rsidR="00F03016" w:rsidRPr="00F86156" w:rsidRDefault="00F03016" w:rsidP="00F03016">
            <w:pPr>
              <w:spacing w:after="0" w:line="240" w:lineRule="auto"/>
              <w:jc w:val="center"/>
              <w:rPr>
                <w:rFonts w:eastAsia="Times New Roman" w:cs="Times New Roman"/>
                <w:color w:val="000000"/>
                <w:sz w:val="20"/>
                <w:szCs w:val="20"/>
              </w:rPr>
            </w:pPr>
            <w:r>
              <w:rPr>
                <w:rFonts w:ascii="Calibri" w:hAnsi="Calibri"/>
                <w:color w:val="000000"/>
                <w:sz w:val="20"/>
                <w:szCs w:val="20"/>
              </w:rPr>
              <w:t>54.6</w:t>
            </w:r>
          </w:p>
        </w:tc>
        <w:tc>
          <w:tcPr>
            <w:tcW w:w="1040" w:type="dxa"/>
            <w:tcBorders>
              <w:top w:val="nil"/>
              <w:left w:val="nil"/>
              <w:bottom w:val="single" w:sz="4" w:space="0" w:color="auto"/>
              <w:right w:val="nil"/>
            </w:tcBorders>
            <w:shd w:val="clear" w:color="auto" w:fill="auto"/>
            <w:noWrap/>
            <w:vAlign w:val="center"/>
          </w:tcPr>
          <w:p w14:paraId="24C3C360"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c>
          <w:tcPr>
            <w:tcW w:w="820" w:type="dxa"/>
            <w:tcBorders>
              <w:top w:val="nil"/>
              <w:left w:val="nil"/>
              <w:bottom w:val="single" w:sz="4" w:space="0" w:color="auto"/>
              <w:right w:val="nil"/>
            </w:tcBorders>
            <w:shd w:val="clear" w:color="auto" w:fill="auto"/>
            <w:noWrap/>
          </w:tcPr>
          <w:p w14:paraId="052AFEF6" w14:textId="5EB0ABDB" w:rsidR="00F03016" w:rsidRPr="00F86156" w:rsidRDefault="00F03016" w:rsidP="00F03016">
            <w:pPr>
              <w:spacing w:after="0" w:line="240" w:lineRule="auto"/>
              <w:jc w:val="center"/>
              <w:rPr>
                <w:rFonts w:eastAsia="Times New Roman" w:cs="Times New Roman"/>
                <w:color w:val="000000"/>
                <w:sz w:val="20"/>
                <w:szCs w:val="20"/>
              </w:rPr>
            </w:pPr>
            <w:r w:rsidRPr="009670DF">
              <w:rPr>
                <w:rFonts w:eastAsia="Times New Roman" w:cs="Times New Roman"/>
                <w:color w:val="000000"/>
                <w:sz w:val="20"/>
                <w:szCs w:val="20"/>
              </w:rPr>
              <w:t>--</w:t>
            </w:r>
          </w:p>
        </w:tc>
        <w:tc>
          <w:tcPr>
            <w:tcW w:w="860" w:type="dxa"/>
            <w:tcBorders>
              <w:top w:val="nil"/>
              <w:left w:val="nil"/>
              <w:bottom w:val="single" w:sz="4" w:space="0" w:color="auto"/>
              <w:right w:val="nil"/>
            </w:tcBorders>
            <w:shd w:val="clear" w:color="auto" w:fill="auto"/>
            <w:noWrap/>
            <w:vAlign w:val="center"/>
          </w:tcPr>
          <w:p w14:paraId="5D83E8F9"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c>
          <w:tcPr>
            <w:tcW w:w="960" w:type="dxa"/>
            <w:tcBorders>
              <w:top w:val="nil"/>
              <w:left w:val="nil"/>
              <w:bottom w:val="single" w:sz="4" w:space="0" w:color="auto"/>
              <w:right w:val="nil"/>
            </w:tcBorders>
            <w:shd w:val="clear" w:color="auto" w:fill="auto"/>
            <w:noWrap/>
            <w:vAlign w:val="center"/>
          </w:tcPr>
          <w:p w14:paraId="288D8ED8" w14:textId="77777777" w:rsidR="00F03016" w:rsidRPr="00F86156" w:rsidRDefault="00F03016" w:rsidP="00F03016">
            <w:pPr>
              <w:spacing w:after="0" w:line="240" w:lineRule="auto"/>
              <w:jc w:val="center"/>
              <w:rPr>
                <w:rFonts w:eastAsia="Times New Roman" w:cs="Times New Roman"/>
                <w:color w:val="000000"/>
                <w:sz w:val="20"/>
                <w:szCs w:val="20"/>
              </w:rPr>
            </w:pPr>
            <w:r>
              <w:rPr>
                <w:rFonts w:ascii="MS Gothic" w:eastAsia="MS Gothic" w:hAnsi="MS Gothic" w:cs="MS Gothic" w:hint="eastAsia"/>
                <w:color w:val="000000"/>
                <w:sz w:val="20"/>
                <w:szCs w:val="20"/>
              </w:rPr>
              <w:t>✓</w:t>
            </w:r>
          </w:p>
        </w:tc>
      </w:tr>
    </w:tbl>
    <w:p w14:paraId="7BC4FEE3" w14:textId="77777777" w:rsidR="00220B59" w:rsidRPr="00BF53E0" w:rsidRDefault="00220B59" w:rsidP="00220B59">
      <w:pPr>
        <w:spacing w:after="0" w:line="240" w:lineRule="auto"/>
        <w:ind w:left="1710"/>
        <w:rPr>
          <w:rFonts w:eastAsia="Times New Roman" w:cs="Times New Roman"/>
          <w:color w:val="000000"/>
          <w:sz w:val="20"/>
          <w:szCs w:val="20"/>
        </w:rPr>
      </w:pPr>
      <w:r w:rsidRPr="00BF53E0">
        <w:rPr>
          <w:rFonts w:ascii="MS Gothic" w:eastAsia="MS Gothic" w:hAnsi="MS Gothic" w:cs="MS Gothic" w:hint="eastAsia"/>
          <w:color w:val="000000"/>
          <w:sz w:val="20"/>
          <w:szCs w:val="20"/>
        </w:rPr>
        <w:t>✓</w:t>
      </w:r>
      <w:r w:rsidRPr="00BF53E0">
        <w:rPr>
          <w:rFonts w:eastAsia="MS Gothic" w:cs="MS Gothic"/>
          <w:color w:val="000000"/>
          <w:sz w:val="20"/>
          <w:szCs w:val="20"/>
        </w:rPr>
        <w:t xml:space="preserve"> - intake includes pathway, but data for evaluating percentage of intake is not available</w:t>
      </w:r>
    </w:p>
    <w:p w14:paraId="4F733457" w14:textId="77777777" w:rsidR="00220B59" w:rsidRPr="002C0613" w:rsidRDefault="00220B59" w:rsidP="00220B59">
      <w:pPr>
        <w:spacing w:after="0" w:line="240" w:lineRule="auto"/>
        <w:ind w:left="1800" w:right="1800"/>
        <w:rPr>
          <w:rFonts w:cs="Arial"/>
          <w:b/>
          <w:sz w:val="24"/>
        </w:rPr>
      </w:pPr>
      <w:r>
        <w:rPr>
          <w:rFonts w:ascii="Calibri" w:eastAsia="Times New Roman" w:hAnsi="Calibri" w:cs="Times New Roman"/>
          <w:color w:val="000000"/>
          <w:sz w:val="20"/>
          <w:szCs w:val="20"/>
        </w:rPr>
        <w:t xml:space="preserve">[a] </w:t>
      </w:r>
      <w:r w:rsidRPr="00FF3C6C">
        <w:rPr>
          <w:rFonts w:ascii="Calibri" w:eastAsia="Times New Roman" w:hAnsi="Calibri" w:cs="Times New Roman"/>
          <w:color w:val="000000"/>
          <w:sz w:val="20"/>
          <w:szCs w:val="20"/>
        </w:rPr>
        <w:t>EFSA, 20</w:t>
      </w:r>
      <w:r>
        <w:rPr>
          <w:rFonts w:ascii="Calibri" w:eastAsia="Times New Roman" w:hAnsi="Calibri" w:cs="Times New Roman"/>
          <w:color w:val="000000"/>
          <w:sz w:val="20"/>
          <w:szCs w:val="20"/>
        </w:rPr>
        <w:t>20</w:t>
      </w:r>
      <w:r w:rsidRPr="00FF3C6C">
        <w:rPr>
          <w:rFonts w:ascii="Calibri" w:eastAsia="Times New Roman" w:hAnsi="Calibri" w:cs="Times New Roman"/>
          <w:color w:val="000000"/>
          <w:sz w:val="20"/>
          <w:szCs w:val="20"/>
        </w:rPr>
        <w:t>; lower bound intake</w:t>
      </w:r>
      <w:r w:rsidRPr="002E0906">
        <w:rPr>
          <w:rFonts w:ascii="Calibri" w:eastAsia="Times New Roman" w:hAnsi="Calibri" w:cs="Times New Roman"/>
          <w:color w:val="000000"/>
          <w:sz w:val="20"/>
          <w:szCs w:val="20"/>
          <w:vertAlign w:val="superscript"/>
        </w:rPr>
        <w:t>11</w:t>
      </w:r>
      <w:r>
        <w:rPr>
          <w:rFonts w:ascii="Calibri" w:eastAsia="Times New Roman" w:hAnsi="Calibri" w:cs="Times New Roman"/>
          <w:color w:val="000000"/>
          <w:sz w:val="20"/>
          <w:szCs w:val="20"/>
        </w:rPr>
        <w:t xml:space="preserve">; </w:t>
      </w:r>
      <w:r w:rsidRPr="00FF3C6C">
        <w:rPr>
          <w:rFonts w:ascii="Calibri" w:eastAsia="Times New Roman" w:hAnsi="Calibri" w:cs="Times New Roman"/>
          <w:color w:val="000000"/>
          <w:sz w:val="20"/>
          <w:szCs w:val="20"/>
        </w:rPr>
        <w:t xml:space="preserve">[b] </w:t>
      </w:r>
      <w:proofErr w:type="spellStart"/>
      <w:r w:rsidRPr="00FF3C6C">
        <w:rPr>
          <w:rFonts w:ascii="Calibri" w:eastAsia="Times New Roman" w:hAnsi="Calibri" w:cs="Times New Roman"/>
          <w:color w:val="000000"/>
          <w:sz w:val="20"/>
          <w:szCs w:val="20"/>
        </w:rPr>
        <w:t>Haug</w:t>
      </w:r>
      <w:proofErr w:type="spellEnd"/>
      <w:r w:rsidRPr="00FF3C6C">
        <w:rPr>
          <w:rFonts w:ascii="Calibri" w:eastAsia="Times New Roman" w:hAnsi="Calibri" w:cs="Times New Roman"/>
          <w:color w:val="000000"/>
          <w:sz w:val="20"/>
          <w:szCs w:val="20"/>
        </w:rPr>
        <w:t>, 2011; Scenario 1 intake</w:t>
      </w:r>
      <w:r>
        <w:rPr>
          <w:rFonts w:ascii="Calibri" w:eastAsia="Times New Roman" w:hAnsi="Calibri" w:cs="Times New Roman"/>
          <w:color w:val="000000"/>
          <w:sz w:val="20"/>
          <w:szCs w:val="20"/>
        </w:rPr>
        <w:t xml:space="preserve">; </w:t>
      </w:r>
      <w:r w:rsidRPr="00FF3C6C">
        <w:rPr>
          <w:rFonts w:ascii="Calibri" w:eastAsia="Times New Roman" w:hAnsi="Calibri" w:cs="Times New Roman"/>
          <w:color w:val="000000"/>
          <w:sz w:val="20"/>
          <w:szCs w:val="20"/>
        </w:rPr>
        <w:t xml:space="preserve">[c] </w:t>
      </w:r>
      <w:proofErr w:type="spellStart"/>
      <w:r w:rsidRPr="00FF3C6C">
        <w:rPr>
          <w:rFonts w:ascii="Calibri" w:eastAsia="Times New Roman" w:hAnsi="Calibri" w:cs="Times New Roman"/>
          <w:color w:val="000000"/>
          <w:sz w:val="20"/>
          <w:szCs w:val="20"/>
        </w:rPr>
        <w:t>Egegy</w:t>
      </w:r>
      <w:proofErr w:type="spellEnd"/>
      <w:r w:rsidRPr="00FF3C6C">
        <w:rPr>
          <w:rFonts w:ascii="Calibri" w:eastAsia="Times New Roman" w:hAnsi="Calibri" w:cs="Times New Roman"/>
          <w:color w:val="000000"/>
          <w:sz w:val="20"/>
          <w:szCs w:val="20"/>
        </w:rPr>
        <w:t>, 2011</w:t>
      </w:r>
    </w:p>
    <w:p w14:paraId="11ABBA69" w14:textId="77777777" w:rsidR="00220B59" w:rsidRPr="000830F4" w:rsidRDefault="00220B59" w:rsidP="00220B59">
      <w:pPr>
        <w:spacing w:after="0" w:line="240" w:lineRule="auto"/>
        <w:ind w:left="2070" w:right="1800" w:hanging="270"/>
        <w:rPr>
          <w:rFonts w:ascii="Calibri" w:eastAsia="Times New Roman" w:hAnsi="Calibri" w:cs="Times New Roman"/>
          <w:color w:val="000000"/>
          <w:sz w:val="20"/>
          <w:szCs w:val="20"/>
        </w:rPr>
      </w:pPr>
      <w:r w:rsidRPr="00FF3C6C">
        <w:rPr>
          <w:rFonts w:ascii="Calibri" w:eastAsia="Times New Roman" w:hAnsi="Calibri" w:cs="Times New Roman"/>
          <w:color w:val="000000"/>
          <w:sz w:val="20"/>
          <w:szCs w:val="20"/>
        </w:rPr>
        <w:t xml:space="preserve">[d] </w:t>
      </w:r>
      <w:proofErr w:type="spellStart"/>
      <w:r w:rsidRPr="00FF3C6C">
        <w:rPr>
          <w:rFonts w:ascii="Calibri" w:eastAsia="Times New Roman" w:hAnsi="Calibri" w:cs="Times New Roman"/>
          <w:color w:val="000000"/>
          <w:sz w:val="20"/>
          <w:szCs w:val="20"/>
        </w:rPr>
        <w:t>Egegy</w:t>
      </w:r>
      <w:proofErr w:type="spellEnd"/>
      <w:r w:rsidRPr="00FF3C6C">
        <w:rPr>
          <w:rFonts w:ascii="Calibri" w:eastAsia="Times New Roman" w:hAnsi="Calibri" w:cs="Times New Roman"/>
          <w:color w:val="000000"/>
          <w:sz w:val="20"/>
          <w:szCs w:val="20"/>
        </w:rPr>
        <w:t>, 2011; age 2 years, assumes BW of 12.6 kg, also assumes 2% of daily dose from dermal absorption</w:t>
      </w:r>
      <w:r>
        <w:rPr>
          <w:rFonts w:ascii="Calibri" w:eastAsia="Times New Roman" w:hAnsi="Calibri" w:cs="Times New Roman"/>
          <w:color w:val="000000"/>
          <w:sz w:val="20"/>
          <w:szCs w:val="20"/>
        </w:rPr>
        <w:t xml:space="preserve">; </w:t>
      </w:r>
      <w:r w:rsidRPr="00FF3C6C">
        <w:rPr>
          <w:rFonts w:ascii="Calibri" w:eastAsia="Times New Roman" w:hAnsi="Calibri" w:cs="Times New Roman"/>
          <w:color w:val="000000"/>
          <w:sz w:val="20"/>
          <w:szCs w:val="20"/>
        </w:rPr>
        <w:t xml:space="preserve">[e] </w:t>
      </w:r>
      <w:proofErr w:type="spellStart"/>
      <w:r w:rsidRPr="00FF3C6C">
        <w:rPr>
          <w:rFonts w:ascii="Calibri" w:eastAsia="Times New Roman" w:hAnsi="Calibri" w:cs="Times New Roman"/>
          <w:color w:val="000000"/>
          <w:sz w:val="20"/>
          <w:szCs w:val="20"/>
        </w:rPr>
        <w:t>Haug</w:t>
      </w:r>
      <w:proofErr w:type="spellEnd"/>
      <w:r w:rsidRPr="00FF3C6C">
        <w:rPr>
          <w:rFonts w:ascii="Calibri" w:eastAsia="Times New Roman" w:hAnsi="Calibri" w:cs="Times New Roman"/>
          <w:color w:val="000000"/>
          <w:sz w:val="20"/>
          <w:szCs w:val="20"/>
        </w:rPr>
        <w:t>, 2011; Scenario 1 intake, age 6 months, diet is all from breastmilk</w:t>
      </w:r>
      <w:r>
        <w:rPr>
          <w:rFonts w:ascii="Calibri" w:eastAsia="Times New Roman" w:hAnsi="Calibri" w:cs="Times New Roman"/>
          <w:color w:val="000000"/>
          <w:sz w:val="20"/>
          <w:szCs w:val="20"/>
        </w:rPr>
        <w:t xml:space="preserve">; </w:t>
      </w:r>
      <w:r w:rsidRPr="00B8481F">
        <w:rPr>
          <w:rFonts w:ascii="Calibri" w:eastAsia="Times New Roman" w:hAnsi="Calibri" w:cs="Times New Roman"/>
          <w:color w:val="000000"/>
          <w:sz w:val="20"/>
          <w:szCs w:val="20"/>
        </w:rPr>
        <w:t xml:space="preserve">[f] </w:t>
      </w:r>
      <w:proofErr w:type="spellStart"/>
      <w:r w:rsidRPr="00B8481F">
        <w:rPr>
          <w:rFonts w:ascii="Calibri" w:eastAsia="Times New Roman" w:hAnsi="Calibri" w:cs="Times New Roman"/>
          <w:color w:val="000000"/>
          <w:sz w:val="20"/>
          <w:szCs w:val="20"/>
        </w:rPr>
        <w:t>Trudel</w:t>
      </w:r>
      <w:proofErr w:type="spellEnd"/>
      <w:r w:rsidRPr="00B8481F">
        <w:rPr>
          <w:rFonts w:ascii="Calibri" w:eastAsia="Times New Roman" w:hAnsi="Calibri" w:cs="Times New Roman"/>
          <w:color w:val="000000"/>
          <w:sz w:val="20"/>
          <w:szCs w:val="20"/>
        </w:rPr>
        <w:t>, 2008; intake for intermediate exposure scenario</w:t>
      </w:r>
    </w:p>
    <w:p w14:paraId="5077D69D" w14:textId="20711D61" w:rsidR="00D81CD7" w:rsidRPr="00FD553E" w:rsidRDefault="00D81CD7" w:rsidP="00E05B96">
      <w:pPr>
        <w:spacing w:after="0" w:line="240" w:lineRule="auto"/>
        <w:rPr>
          <w:rFonts w:cs="Arial"/>
          <w:b/>
          <w:bCs/>
          <w:sz w:val="24"/>
          <w:szCs w:val="24"/>
        </w:rPr>
      </w:pPr>
    </w:p>
    <w:p w14:paraId="22E24E88" w14:textId="77777777" w:rsidR="006B3ECA" w:rsidRDefault="006B3ECA">
      <w:pPr>
        <w:rPr>
          <w:b/>
          <w:bCs/>
          <w:sz w:val="28"/>
          <w:szCs w:val="28"/>
        </w:rPr>
      </w:pPr>
      <w:r>
        <w:rPr>
          <w:b/>
          <w:bCs/>
          <w:sz w:val="28"/>
          <w:szCs w:val="28"/>
        </w:rPr>
        <w:br w:type="page"/>
      </w:r>
    </w:p>
    <w:p w14:paraId="2E80CBA2" w14:textId="2CBE7D86" w:rsidR="00D81CD7" w:rsidRPr="00776FA8" w:rsidRDefault="00D81CD7" w:rsidP="00776FA8">
      <w:pPr>
        <w:keepNext/>
        <w:rPr>
          <w:b/>
          <w:bCs/>
          <w:sz w:val="28"/>
          <w:szCs w:val="28"/>
        </w:rPr>
      </w:pPr>
      <w:r w:rsidRPr="00776FA8">
        <w:rPr>
          <w:b/>
          <w:bCs/>
          <w:sz w:val="28"/>
          <w:szCs w:val="28"/>
        </w:rPr>
        <w:t xml:space="preserve">A.5 </w:t>
      </w:r>
      <w:r w:rsidR="00FD553E">
        <w:rPr>
          <w:b/>
          <w:bCs/>
          <w:sz w:val="28"/>
          <w:szCs w:val="28"/>
        </w:rPr>
        <w:tab/>
      </w:r>
      <w:r w:rsidRPr="00776FA8">
        <w:rPr>
          <w:b/>
          <w:bCs/>
          <w:sz w:val="28"/>
          <w:szCs w:val="28"/>
        </w:rPr>
        <w:t>Surface Water Action Levels</w:t>
      </w:r>
    </w:p>
    <w:p w14:paraId="594D7F8E" w14:textId="32A34A5D" w:rsidR="003B3E17" w:rsidRDefault="009558F1" w:rsidP="00BD4CEE">
      <w:pPr>
        <w:keepNext/>
        <w:spacing w:after="0" w:line="240" w:lineRule="auto"/>
        <w:jc w:val="both"/>
        <w:rPr>
          <w:rFonts w:cs="Arial"/>
          <w:sz w:val="24"/>
          <w:szCs w:val="24"/>
        </w:rPr>
      </w:pPr>
      <w:r>
        <w:rPr>
          <w:rFonts w:cs="Arial"/>
          <w:sz w:val="24"/>
          <w:szCs w:val="24"/>
        </w:rPr>
        <w:t>Surface Water Action Levels across age groups are provided in Table A.</w:t>
      </w:r>
      <w:r w:rsidR="00846B34">
        <w:rPr>
          <w:rFonts w:cs="Arial"/>
          <w:sz w:val="24"/>
          <w:szCs w:val="24"/>
        </w:rPr>
        <w:t>6</w:t>
      </w:r>
      <w:r>
        <w:rPr>
          <w:rFonts w:cs="Arial"/>
          <w:sz w:val="24"/>
          <w:szCs w:val="24"/>
        </w:rPr>
        <w:t xml:space="preserve"> (for DPH) and Table A.</w:t>
      </w:r>
      <w:r w:rsidR="00846B34">
        <w:rPr>
          <w:rFonts w:cs="Arial"/>
          <w:sz w:val="24"/>
          <w:szCs w:val="24"/>
        </w:rPr>
        <w:t>7</w:t>
      </w:r>
      <w:r>
        <w:rPr>
          <w:rFonts w:cs="Arial"/>
          <w:sz w:val="24"/>
          <w:szCs w:val="24"/>
        </w:rPr>
        <w:t xml:space="preserve"> (for the MCP-based approach</w:t>
      </w:r>
      <w:r w:rsidR="006B3ECA">
        <w:rPr>
          <w:rFonts w:cs="Arial"/>
          <w:sz w:val="24"/>
          <w:szCs w:val="24"/>
        </w:rPr>
        <w:t>)</w:t>
      </w:r>
      <w:r>
        <w:rPr>
          <w:rFonts w:cs="Arial"/>
          <w:sz w:val="24"/>
          <w:szCs w:val="24"/>
        </w:rPr>
        <w:t xml:space="preserve">. As shown in Table A.6, the minimum MCP-based SWAL of 38 ng/L is comparable to the </w:t>
      </w:r>
      <w:proofErr w:type="spellStart"/>
      <w:r>
        <w:rPr>
          <w:rFonts w:cs="Arial"/>
          <w:sz w:val="24"/>
          <w:szCs w:val="24"/>
        </w:rPr>
        <w:t>cSWAL</w:t>
      </w:r>
      <w:proofErr w:type="spellEnd"/>
      <w:r>
        <w:rPr>
          <w:rFonts w:cs="Arial"/>
          <w:sz w:val="24"/>
          <w:szCs w:val="24"/>
        </w:rPr>
        <w:t xml:space="preserve"> of 23 ng/L.</w:t>
      </w:r>
    </w:p>
    <w:p w14:paraId="5F9FBB86" w14:textId="77777777" w:rsidR="009558F1" w:rsidRDefault="009558F1" w:rsidP="00E05B96">
      <w:pPr>
        <w:spacing w:after="0" w:line="240" w:lineRule="auto"/>
        <w:rPr>
          <w:rFonts w:cs="Arial"/>
          <w:b/>
          <w:bCs/>
          <w:sz w:val="24"/>
          <w:szCs w:val="24"/>
        </w:rPr>
      </w:pPr>
    </w:p>
    <w:p w14:paraId="2C522F0C" w14:textId="0861D26C" w:rsidR="003B3E17" w:rsidRPr="009558F1" w:rsidRDefault="003B3E17" w:rsidP="00E05B96">
      <w:pPr>
        <w:spacing w:after="0" w:line="240" w:lineRule="auto"/>
        <w:rPr>
          <w:rFonts w:cs="Arial"/>
          <w:b/>
          <w:bCs/>
          <w:sz w:val="24"/>
          <w:szCs w:val="24"/>
        </w:rPr>
      </w:pPr>
      <w:r w:rsidRPr="009558F1">
        <w:rPr>
          <w:rFonts w:cs="Arial"/>
          <w:b/>
          <w:bCs/>
          <w:sz w:val="24"/>
          <w:szCs w:val="24"/>
        </w:rPr>
        <w:t>Table A.</w:t>
      </w:r>
      <w:r w:rsidR="00846B34">
        <w:rPr>
          <w:rFonts w:cs="Arial"/>
          <w:b/>
          <w:bCs/>
          <w:sz w:val="24"/>
          <w:szCs w:val="24"/>
        </w:rPr>
        <w:t>6</w:t>
      </w:r>
      <w:r w:rsidR="006B3ECA">
        <w:rPr>
          <w:rFonts w:cs="Arial"/>
          <w:b/>
          <w:bCs/>
          <w:sz w:val="24"/>
          <w:szCs w:val="24"/>
        </w:rPr>
        <w:t xml:space="preserve">. </w:t>
      </w:r>
      <w:r w:rsidRPr="009558F1">
        <w:rPr>
          <w:rFonts w:cs="Arial"/>
          <w:b/>
          <w:bCs/>
          <w:sz w:val="24"/>
          <w:szCs w:val="24"/>
        </w:rPr>
        <w:t xml:space="preserve"> Surface Water Action Levels</w:t>
      </w:r>
      <w:r w:rsidR="009558F1">
        <w:rPr>
          <w:rFonts w:cs="Arial"/>
          <w:b/>
          <w:bCs/>
          <w:sz w:val="24"/>
          <w:szCs w:val="24"/>
        </w:rPr>
        <w:t xml:space="preserve"> (ng/L), </w:t>
      </w:r>
      <w:r w:rsidRPr="009558F1">
        <w:rPr>
          <w:rFonts w:cs="Arial"/>
          <w:b/>
          <w:bCs/>
          <w:sz w:val="24"/>
          <w:szCs w:val="24"/>
        </w:rPr>
        <w:t>DPH</w:t>
      </w:r>
    </w:p>
    <w:tbl>
      <w:tblPr>
        <w:tblW w:w="7790" w:type="dxa"/>
        <w:tblLook w:val="04A0" w:firstRow="1" w:lastRow="0" w:firstColumn="1" w:lastColumn="0" w:noHBand="0" w:noVBand="1"/>
      </w:tblPr>
      <w:tblGrid>
        <w:gridCol w:w="1200"/>
        <w:gridCol w:w="960"/>
        <w:gridCol w:w="960"/>
        <w:gridCol w:w="1050"/>
        <w:gridCol w:w="1280"/>
        <w:gridCol w:w="1380"/>
        <w:gridCol w:w="960"/>
      </w:tblGrid>
      <w:tr w:rsidR="009558F1" w:rsidRPr="003B3E17" w14:paraId="307A8CCC" w14:textId="77777777" w:rsidTr="00E17643">
        <w:trPr>
          <w:trHeight w:val="300"/>
        </w:trPr>
        <w:tc>
          <w:tcPr>
            <w:tcW w:w="1200" w:type="dxa"/>
            <w:tcBorders>
              <w:top w:val="single" w:sz="4" w:space="0" w:color="auto"/>
              <w:left w:val="nil"/>
              <w:bottom w:val="double" w:sz="6" w:space="0" w:color="auto"/>
              <w:right w:val="nil"/>
            </w:tcBorders>
            <w:shd w:val="clear" w:color="auto" w:fill="DBE5F1" w:themeFill="accent1" w:themeFillTint="33"/>
            <w:noWrap/>
            <w:vAlign w:val="bottom"/>
            <w:hideMark/>
          </w:tcPr>
          <w:p w14:paraId="3C612115"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birth to&lt;1</w:t>
            </w:r>
          </w:p>
        </w:tc>
        <w:tc>
          <w:tcPr>
            <w:tcW w:w="960" w:type="dxa"/>
            <w:tcBorders>
              <w:top w:val="single" w:sz="4" w:space="0" w:color="auto"/>
              <w:left w:val="nil"/>
              <w:bottom w:val="double" w:sz="6" w:space="0" w:color="auto"/>
              <w:right w:val="nil"/>
            </w:tcBorders>
            <w:shd w:val="clear" w:color="auto" w:fill="DBE5F1" w:themeFill="accent1" w:themeFillTint="33"/>
            <w:noWrap/>
            <w:vAlign w:val="bottom"/>
            <w:hideMark/>
          </w:tcPr>
          <w:p w14:paraId="753EEA2F"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1 to &lt;2</w:t>
            </w:r>
          </w:p>
        </w:tc>
        <w:tc>
          <w:tcPr>
            <w:tcW w:w="960" w:type="dxa"/>
            <w:tcBorders>
              <w:top w:val="single" w:sz="4" w:space="0" w:color="auto"/>
              <w:left w:val="nil"/>
              <w:bottom w:val="double" w:sz="6" w:space="0" w:color="auto"/>
              <w:right w:val="nil"/>
            </w:tcBorders>
            <w:shd w:val="clear" w:color="auto" w:fill="DBE5F1" w:themeFill="accent1" w:themeFillTint="33"/>
            <w:noWrap/>
            <w:vAlign w:val="bottom"/>
            <w:hideMark/>
          </w:tcPr>
          <w:p w14:paraId="09AAF8D3"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2 to &lt;6</w:t>
            </w:r>
          </w:p>
        </w:tc>
        <w:tc>
          <w:tcPr>
            <w:tcW w:w="1050" w:type="dxa"/>
            <w:tcBorders>
              <w:top w:val="single" w:sz="4" w:space="0" w:color="auto"/>
              <w:left w:val="nil"/>
              <w:bottom w:val="double" w:sz="6" w:space="0" w:color="auto"/>
              <w:right w:val="nil"/>
            </w:tcBorders>
            <w:shd w:val="clear" w:color="auto" w:fill="DBE5F1" w:themeFill="accent1" w:themeFillTint="33"/>
            <w:noWrap/>
            <w:vAlign w:val="bottom"/>
            <w:hideMark/>
          </w:tcPr>
          <w:p w14:paraId="7F1871EB"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 xml:space="preserve">6 </w:t>
            </w:r>
            <w:proofErr w:type="gramStart"/>
            <w:r w:rsidRPr="003B3E17">
              <w:rPr>
                <w:rFonts w:ascii="Calibri" w:eastAsia="Times New Roman" w:hAnsi="Calibri" w:cs="Calibri"/>
                <w:b/>
                <w:bCs/>
                <w:color w:val="000000"/>
              </w:rPr>
              <w:t>to  &lt;</w:t>
            </w:r>
            <w:proofErr w:type="gramEnd"/>
            <w:r w:rsidRPr="003B3E17">
              <w:rPr>
                <w:rFonts w:ascii="Calibri" w:eastAsia="Times New Roman" w:hAnsi="Calibri" w:cs="Calibri"/>
                <w:b/>
                <w:bCs/>
                <w:color w:val="000000"/>
              </w:rPr>
              <w:t>11</w:t>
            </w:r>
          </w:p>
        </w:tc>
        <w:tc>
          <w:tcPr>
            <w:tcW w:w="1280" w:type="dxa"/>
            <w:tcBorders>
              <w:top w:val="single" w:sz="4" w:space="0" w:color="auto"/>
              <w:left w:val="nil"/>
              <w:bottom w:val="double" w:sz="6" w:space="0" w:color="auto"/>
              <w:right w:val="nil"/>
            </w:tcBorders>
            <w:shd w:val="clear" w:color="auto" w:fill="DBE5F1" w:themeFill="accent1" w:themeFillTint="33"/>
            <w:noWrap/>
            <w:vAlign w:val="bottom"/>
            <w:hideMark/>
          </w:tcPr>
          <w:p w14:paraId="67D73835"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11 to &lt;16</w:t>
            </w:r>
          </w:p>
        </w:tc>
        <w:tc>
          <w:tcPr>
            <w:tcW w:w="1380" w:type="dxa"/>
            <w:tcBorders>
              <w:top w:val="single" w:sz="4" w:space="0" w:color="auto"/>
              <w:left w:val="nil"/>
              <w:bottom w:val="double" w:sz="6" w:space="0" w:color="auto"/>
              <w:right w:val="nil"/>
            </w:tcBorders>
            <w:shd w:val="clear" w:color="auto" w:fill="DBE5F1" w:themeFill="accent1" w:themeFillTint="33"/>
            <w:noWrap/>
            <w:vAlign w:val="bottom"/>
            <w:hideMark/>
          </w:tcPr>
          <w:p w14:paraId="46944290"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16 to &lt;21</w:t>
            </w:r>
          </w:p>
        </w:tc>
        <w:tc>
          <w:tcPr>
            <w:tcW w:w="960" w:type="dxa"/>
            <w:tcBorders>
              <w:top w:val="single" w:sz="4" w:space="0" w:color="auto"/>
              <w:left w:val="nil"/>
              <w:bottom w:val="double" w:sz="6" w:space="0" w:color="auto"/>
              <w:right w:val="nil"/>
            </w:tcBorders>
            <w:shd w:val="clear" w:color="auto" w:fill="DBE5F1" w:themeFill="accent1" w:themeFillTint="33"/>
            <w:vAlign w:val="bottom"/>
            <w:hideMark/>
          </w:tcPr>
          <w:p w14:paraId="40CA6B13"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WOCBA</w:t>
            </w:r>
          </w:p>
        </w:tc>
      </w:tr>
      <w:tr w:rsidR="009558F1" w:rsidRPr="003B3E17" w14:paraId="27036ECB" w14:textId="77777777" w:rsidTr="009558F1">
        <w:trPr>
          <w:trHeight w:val="290"/>
        </w:trPr>
        <w:tc>
          <w:tcPr>
            <w:tcW w:w="1200" w:type="dxa"/>
            <w:tcBorders>
              <w:top w:val="nil"/>
              <w:left w:val="nil"/>
              <w:bottom w:val="single" w:sz="4" w:space="0" w:color="auto"/>
              <w:right w:val="nil"/>
            </w:tcBorders>
            <w:shd w:val="clear" w:color="auto" w:fill="auto"/>
            <w:noWrap/>
            <w:vAlign w:val="bottom"/>
            <w:hideMark/>
          </w:tcPr>
          <w:p w14:paraId="27CAC912" w14:textId="3009E457"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960" w:type="dxa"/>
            <w:tcBorders>
              <w:top w:val="nil"/>
              <w:left w:val="nil"/>
              <w:bottom w:val="single" w:sz="4" w:space="0" w:color="auto"/>
              <w:right w:val="nil"/>
            </w:tcBorders>
            <w:shd w:val="clear" w:color="auto" w:fill="auto"/>
            <w:noWrap/>
            <w:vAlign w:val="bottom"/>
            <w:hideMark/>
          </w:tcPr>
          <w:p w14:paraId="29906F70" w14:textId="63F1EDF1"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46</w:t>
            </w:r>
          </w:p>
        </w:tc>
        <w:tc>
          <w:tcPr>
            <w:tcW w:w="960" w:type="dxa"/>
            <w:tcBorders>
              <w:top w:val="nil"/>
              <w:left w:val="nil"/>
              <w:bottom w:val="single" w:sz="4" w:space="0" w:color="auto"/>
              <w:right w:val="nil"/>
            </w:tcBorders>
            <w:shd w:val="clear" w:color="auto" w:fill="auto"/>
            <w:noWrap/>
            <w:vAlign w:val="bottom"/>
            <w:hideMark/>
          </w:tcPr>
          <w:p w14:paraId="250FE27F" w14:textId="72340913"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b/>
                <w:bCs/>
                <w:color w:val="000000"/>
              </w:rPr>
              <w:t>23*</w:t>
            </w:r>
          </w:p>
        </w:tc>
        <w:tc>
          <w:tcPr>
            <w:tcW w:w="1050" w:type="dxa"/>
            <w:tcBorders>
              <w:top w:val="nil"/>
              <w:left w:val="nil"/>
              <w:bottom w:val="single" w:sz="4" w:space="0" w:color="auto"/>
              <w:right w:val="nil"/>
            </w:tcBorders>
            <w:shd w:val="clear" w:color="auto" w:fill="auto"/>
            <w:noWrap/>
            <w:vAlign w:val="bottom"/>
            <w:hideMark/>
          </w:tcPr>
          <w:p w14:paraId="6D70EE90" w14:textId="31757CA1"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1280" w:type="dxa"/>
            <w:tcBorders>
              <w:top w:val="nil"/>
              <w:left w:val="nil"/>
              <w:bottom w:val="single" w:sz="4" w:space="0" w:color="auto"/>
              <w:right w:val="nil"/>
            </w:tcBorders>
            <w:shd w:val="clear" w:color="auto" w:fill="auto"/>
            <w:noWrap/>
            <w:vAlign w:val="bottom"/>
            <w:hideMark/>
          </w:tcPr>
          <w:p w14:paraId="207CEEA5" w14:textId="6711E83C"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51</w:t>
            </w:r>
          </w:p>
        </w:tc>
        <w:tc>
          <w:tcPr>
            <w:tcW w:w="1380" w:type="dxa"/>
            <w:tcBorders>
              <w:top w:val="nil"/>
              <w:left w:val="nil"/>
              <w:bottom w:val="single" w:sz="4" w:space="0" w:color="auto"/>
              <w:right w:val="nil"/>
            </w:tcBorders>
            <w:shd w:val="clear" w:color="auto" w:fill="auto"/>
            <w:noWrap/>
            <w:vAlign w:val="bottom"/>
            <w:hideMark/>
          </w:tcPr>
          <w:p w14:paraId="73DBEBCE" w14:textId="662C9616"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93</w:t>
            </w:r>
          </w:p>
        </w:tc>
        <w:tc>
          <w:tcPr>
            <w:tcW w:w="960" w:type="dxa"/>
            <w:tcBorders>
              <w:top w:val="nil"/>
              <w:left w:val="nil"/>
              <w:bottom w:val="single" w:sz="4" w:space="0" w:color="auto"/>
              <w:right w:val="nil"/>
            </w:tcBorders>
            <w:shd w:val="clear" w:color="auto" w:fill="auto"/>
            <w:noWrap/>
            <w:vAlign w:val="bottom"/>
            <w:hideMark/>
          </w:tcPr>
          <w:p w14:paraId="56F2430F" w14:textId="3B03A62C"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132</w:t>
            </w:r>
          </w:p>
        </w:tc>
      </w:tr>
    </w:tbl>
    <w:p w14:paraId="3BBA090B" w14:textId="30D3B7EB" w:rsidR="003B3E17" w:rsidRPr="009558F1" w:rsidRDefault="009558F1" w:rsidP="00E05B96">
      <w:pPr>
        <w:spacing w:after="0" w:line="240" w:lineRule="auto"/>
        <w:rPr>
          <w:rFonts w:cs="Arial"/>
          <w:i/>
          <w:iCs/>
        </w:rPr>
      </w:pPr>
      <w:r w:rsidRPr="009558F1">
        <w:rPr>
          <w:rFonts w:cs="Arial"/>
          <w:i/>
          <w:iCs/>
        </w:rPr>
        <w:t xml:space="preserve">*Minimum SWAL, used as </w:t>
      </w:r>
      <w:proofErr w:type="spellStart"/>
      <w:r w:rsidRPr="009558F1">
        <w:rPr>
          <w:rFonts w:cs="Arial"/>
          <w:i/>
          <w:iCs/>
        </w:rPr>
        <w:t>cSWAL</w:t>
      </w:r>
      <w:proofErr w:type="spellEnd"/>
    </w:p>
    <w:p w14:paraId="46016E6D" w14:textId="77777777" w:rsidR="009558F1" w:rsidRPr="00984C85" w:rsidRDefault="009558F1" w:rsidP="00E05B96">
      <w:pPr>
        <w:spacing w:after="0" w:line="240" w:lineRule="auto"/>
        <w:rPr>
          <w:rFonts w:cs="Arial"/>
          <w:sz w:val="24"/>
          <w:szCs w:val="24"/>
        </w:rPr>
      </w:pPr>
    </w:p>
    <w:p w14:paraId="58353D77" w14:textId="3C0F5100" w:rsidR="009558F1" w:rsidRPr="009558F1" w:rsidRDefault="009558F1" w:rsidP="009558F1">
      <w:pPr>
        <w:spacing w:after="0" w:line="240" w:lineRule="auto"/>
        <w:rPr>
          <w:rFonts w:cs="Arial"/>
          <w:b/>
          <w:bCs/>
          <w:sz w:val="24"/>
          <w:szCs w:val="24"/>
        </w:rPr>
      </w:pPr>
      <w:r w:rsidRPr="009558F1">
        <w:rPr>
          <w:rFonts w:cs="Arial"/>
          <w:b/>
          <w:bCs/>
          <w:sz w:val="24"/>
          <w:szCs w:val="24"/>
        </w:rPr>
        <w:t>Table A.</w:t>
      </w:r>
      <w:r w:rsidR="00846B34">
        <w:rPr>
          <w:rFonts w:cs="Arial"/>
          <w:b/>
          <w:bCs/>
          <w:sz w:val="24"/>
          <w:szCs w:val="24"/>
        </w:rPr>
        <w:t>7</w:t>
      </w:r>
      <w:r w:rsidR="006B3ECA">
        <w:rPr>
          <w:rFonts w:cs="Arial"/>
          <w:b/>
          <w:bCs/>
          <w:sz w:val="24"/>
          <w:szCs w:val="24"/>
        </w:rPr>
        <w:t xml:space="preserve">. </w:t>
      </w:r>
      <w:r w:rsidRPr="009558F1">
        <w:rPr>
          <w:rFonts w:cs="Arial"/>
          <w:b/>
          <w:bCs/>
          <w:sz w:val="24"/>
          <w:szCs w:val="24"/>
        </w:rPr>
        <w:t xml:space="preserve"> Surface Water Action Levels</w:t>
      </w:r>
      <w:r>
        <w:rPr>
          <w:rFonts w:cs="Arial"/>
          <w:b/>
          <w:bCs/>
          <w:sz w:val="24"/>
          <w:szCs w:val="24"/>
        </w:rPr>
        <w:t xml:space="preserve"> (ng/L), MCP-Based</w:t>
      </w:r>
    </w:p>
    <w:tbl>
      <w:tblPr>
        <w:tblW w:w="3090" w:type="dxa"/>
        <w:tblBorders>
          <w:top w:val="single" w:sz="4" w:space="0" w:color="auto"/>
          <w:bottom w:val="single" w:sz="4" w:space="0" w:color="auto"/>
          <w:insideH w:val="double" w:sz="6" w:space="0" w:color="auto"/>
        </w:tblBorders>
        <w:tblLook w:val="04A0" w:firstRow="1" w:lastRow="0" w:firstColumn="1" w:lastColumn="0" w:noHBand="0" w:noVBand="1"/>
      </w:tblPr>
      <w:tblGrid>
        <w:gridCol w:w="960"/>
        <w:gridCol w:w="960"/>
        <w:gridCol w:w="1170"/>
      </w:tblGrid>
      <w:tr w:rsidR="009558F1" w:rsidRPr="003B3E17" w14:paraId="09ABA3F0" w14:textId="77777777" w:rsidTr="00E17643">
        <w:trPr>
          <w:trHeight w:val="300"/>
        </w:trPr>
        <w:tc>
          <w:tcPr>
            <w:tcW w:w="960" w:type="dxa"/>
            <w:shd w:val="clear" w:color="auto" w:fill="DBE5F1" w:themeFill="accent1" w:themeFillTint="33"/>
            <w:noWrap/>
            <w:vAlign w:val="bottom"/>
            <w:hideMark/>
          </w:tcPr>
          <w:p w14:paraId="31A12B79"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1 to &lt;8</w:t>
            </w:r>
          </w:p>
        </w:tc>
        <w:tc>
          <w:tcPr>
            <w:tcW w:w="960" w:type="dxa"/>
            <w:shd w:val="clear" w:color="auto" w:fill="DBE5F1" w:themeFill="accent1" w:themeFillTint="33"/>
            <w:noWrap/>
            <w:vAlign w:val="bottom"/>
            <w:hideMark/>
          </w:tcPr>
          <w:p w14:paraId="0F0D9614"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8 to &lt;15</w:t>
            </w:r>
          </w:p>
        </w:tc>
        <w:tc>
          <w:tcPr>
            <w:tcW w:w="1170" w:type="dxa"/>
            <w:shd w:val="clear" w:color="auto" w:fill="DBE5F1" w:themeFill="accent1" w:themeFillTint="33"/>
            <w:noWrap/>
            <w:vAlign w:val="bottom"/>
            <w:hideMark/>
          </w:tcPr>
          <w:p w14:paraId="17433DEE" w14:textId="77777777" w:rsidR="009558F1" w:rsidRPr="003B3E17" w:rsidRDefault="009558F1" w:rsidP="003B3E17">
            <w:pPr>
              <w:spacing w:after="0" w:line="240" w:lineRule="auto"/>
              <w:jc w:val="center"/>
              <w:rPr>
                <w:rFonts w:ascii="Calibri" w:eastAsia="Times New Roman" w:hAnsi="Calibri" w:cs="Calibri"/>
                <w:b/>
                <w:bCs/>
                <w:color w:val="000000"/>
              </w:rPr>
            </w:pPr>
            <w:r w:rsidRPr="003B3E17">
              <w:rPr>
                <w:rFonts w:ascii="Calibri" w:eastAsia="Times New Roman" w:hAnsi="Calibri" w:cs="Calibri"/>
                <w:b/>
                <w:bCs/>
                <w:color w:val="000000"/>
              </w:rPr>
              <w:t>15 to &lt;31</w:t>
            </w:r>
          </w:p>
        </w:tc>
      </w:tr>
      <w:tr w:rsidR="009558F1" w:rsidRPr="003B3E17" w14:paraId="61F74622" w14:textId="77777777" w:rsidTr="009558F1">
        <w:trPr>
          <w:trHeight w:val="300"/>
        </w:trPr>
        <w:tc>
          <w:tcPr>
            <w:tcW w:w="960" w:type="dxa"/>
            <w:shd w:val="clear" w:color="auto" w:fill="auto"/>
            <w:noWrap/>
            <w:vAlign w:val="bottom"/>
            <w:hideMark/>
          </w:tcPr>
          <w:p w14:paraId="21A2C300" w14:textId="00E823CA"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960" w:type="dxa"/>
            <w:shd w:val="clear" w:color="auto" w:fill="auto"/>
            <w:noWrap/>
            <w:vAlign w:val="bottom"/>
            <w:hideMark/>
          </w:tcPr>
          <w:p w14:paraId="7C1F9CC1" w14:textId="584A8B46"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89</w:t>
            </w:r>
          </w:p>
        </w:tc>
        <w:tc>
          <w:tcPr>
            <w:tcW w:w="1170" w:type="dxa"/>
            <w:shd w:val="clear" w:color="auto" w:fill="auto"/>
            <w:noWrap/>
            <w:vAlign w:val="bottom"/>
            <w:hideMark/>
          </w:tcPr>
          <w:p w14:paraId="63CD9C6F" w14:textId="39986A7D" w:rsidR="009558F1" w:rsidRPr="003B3E17" w:rsidRDefault="009558F1" w:rsidP="003B3E17">
            <w:pPr>
              <w:spacing w:after="0" w:line="240" w:lineRule="auto"/>
              <w:jc w:val="center"/>
              <w:rPr>
                <w:rFonts w:ascii="Calibri" w:eastAsia="Times New Roman" w:hAnsi="Calibri" w:cs="Calibri"/>
                <w:color w:val="000000"/>
              </w:rPr>
            </w:pPr>
            <w:r>
              <w:rPr>
                <w:rFonts w:ascii="Calibri" w:eastAsia="Times New Roman" w:hAnsi="Calibri" w:cs="Calibri"/>
                <w:color w:val="000000"/>
              </w:rPr>
              <w:t>132</w:t>
            </w:r>
          </w:p>
        </w:tc>
      </w:tr>
    </w:tbl>
    <w:p w14:paraId="718C16E0" w14:textId="78D7EA3C" w:rsidR="003B3E17" w:rsidRDefault="003B3E17" w:rsidP="00E05B96">
      <w:pPr>
        <w:spacing w:after="0" w:line="240" w:lineRule="auto"/>
        <w:rPr>
          <w:rFonts w:cs="Arial"/>
          <w:sz w:val="24"/>
          <w:szCs w:val="24"/>
        </w:rPr>
      </w:pPr>
    </w:p>
    <w:p w14:paraId="270AF684" w14:textId="77777777" w:rsidR="00FD553E" w:rsidRDefault="00FD553E">
      <w:pPr>
        <w:rPr>
          <w:b/>
          <w:bCs/>
          <w:sz w:val="28"/>
          <w:szCs w:val="28"/>
        </w:rPr>
      </w:pPr>
      <w:r>
        <w:rPr>
          <w:b/>
          <w:bCs/>
          <w:sz w:val="28"/>
          <w:szCs w:val="28"/>
        </w:rPr>
        <w:br w:type="page"/>
      </w:r>
    </w:p>
    <w:p w14:paraId="7A37BBF2" w14:textId="4AD38F0D" w:rsidR="00FA6918" w:rsidRPr="00FA6918" w:rsidRDefault="00FA6918" w:rsidP="00FA6918">
      <w:pPr>
        <w:rPr>
          <w:b/>
          <w:bCs/>
          <w:sz w:val="32"/>
          <w:szCs w:val="32"/>
        </w:rPr>
      </w:pPr>
      <w:r>
        <w:rPr>
          <w:b/>
          <w:bCs/>
          <w:sz w:val="32"/>
          <w:szCs w:val="32"/>
        </w:rPr>
        <w:t xml:space="preserve">APPENDIX A - </w:t>
      </w:r>
      <w:r w:rsidRPr="00FA6918">
        <w:rPr>
          <w:b/>
          <w:bCs/>
          <w:sz w:val="32"/>
          <w:szCs w:val="32"/>
        </w:rPr>
        <w:t>REFERENCES</w:t>
      </w:r>
    </w:p>
    <w:p w14:paraId="0E500CC6" w14:textId="7222D259" w:rsidR="00975173" w:rsidRPr="000D3483" w:rsidRDefault="00975173" w:rsidP="009916DF">
      <w:pPr>
        <w:spacing w:after="0" w:line="240" w:lineRule="auto"/>
        <w:rPr>
          <w:rFonts w:cstheme="minorHAnsi"/>
          <w:sz w:val="24"/>
          <w:szCs w:val="24"/>
        </w:rPr>
      </w:pPr>
      <w:r w:rsidRPr="000D3483">
        <w:rPr>
          <w:rFonts w:cstheme="minorHAnsi"/>
          <w:sz w:val="24"/>
          <w:szCs w:val="24"/>
        </w:rPr>
        <w:t xml:space="preserve">Agency for Toxic Substances and Disease Registry (ATSDR). 2016a. Exposure Dose Guidance for Determining Life Expectancy and Exposure Factor. Atlanta, GA: U.S. Department of Health and Human Services, Public Health Service, October 26 </w:t>
      </w:r>
    </w:p>
    <w:p w14:paraId="49C85E89" w14:textId="77777777" w:rsidR="000D3483" w:rsidRPr="000D3483" w:rsidRDefault="000D3483" w:rsidP="009916DF">
      <w:pPr>
        <w:spacing w:after="0" w:line="240" w:lineRule="auto"/>
        <w:rPr>
          <w:rFonts w:cstheme="minorHAnsi"/>
          <w:sz w:val="24"/>
          <w:szCs w:val="24"/>
        </w:rPr>
      </w:pPr>
    </w:p>
    <w:p w14:paraId="1EC8B15D" w14:textId="256FB6E6" w:rsidR="006D2D97" w:rsidRPr="000D3483" w:rsidRDefault="006D2D97" w:rsidP="009916DF">
      <w:pPr>
        <w:spacing w:after="0" w:line="240" w:lineRule="auto"/>
        <w:rPr>
          <w:rFonts w:cstheme="minorHAnsi"/>
          <w:sz w:val="24"/>
          <w:szCs w:val="24"/>
        </w:rPr>
      </w:pPr>
      <w:r w:rsidRPr="000D3483">
        <w:rPr>
          <w:rFonts w:cstheme="minorHAnsi"/>
          <w:sz w:val="24"/>
          <w:szCs w:val="24"/>
        </w:rPr>
        <w:t xml:space="preserve">Agency for Toxic Substances and Disease Registry (ATSDR). 2016b. Exposure Dose Guidance for Body Weight. Atlanta, GA: U.S. Department of Health and Human Services, Public Health Service, October 26 </w:t>
      </w:r>
    </w:p>
    <w:p w14:paraId="36F0E534" w14:textId="77777777" w:rsidR="000D3483" w:rsidRPr="000D3483" w:rsidRDefault="000D3483" w:rsidP="009916DF">
      <w:pPr>
        <w:spacing w:after="0" w:line="240" w:lineRule="auto"/>
        <w:rPr>
          <w:rFonts w:cstheme="minorHAnsi"/>
          <w:sz w:val="24"/>
          <w:szCs w:val="24"/>
        </w:rPr>
      </w:pPr>
    </w:p>
    <w:p w14:paraId="4D4ECA4E" w14:textId="2384C11B" w:rsidR="008F636C" w:rsidRPr="000D3483" w:rsidRDefault="008F636C" w:rsidP="009916DF">
      <w:pPr>
        <w:spacing w:after="0" w:line="240" w:lineRule="auto"/>
        <w:rPr>
          <w:rFonts w:cstheme="minorHAnsi"/>
          <w:sz w:val="24"/>
          <w:szCs w:val="24"/>
        </w:rPr>
      </w:pPr>
      <w:r w:rsidRPr="000D3483">
        <w:rPr>
          <w:rFonts w:cstheme="minorHAnsi"/>
          <w:sz w:val="24"/>
          <w:szCs w:val="24"/>
        </w:rPr>
        <w:t xml:space="preserve">Dufour, AP, TD </w:t>
      </w:r>
      <w:proofErr w:type="spellStart"/>
      <w:r w:rsidRPr="000D3483">
        <w:rPr>
          <w:rFonts w:cstheme="minorHAnsi"/>
          <w:sz w:val="24"/>
          <w:szCs w:val="24"/>
        </w:rPr>
        <w:t>Beyhmer</w:t>
      </w:r>
      <w:proofErr w:type="spellEnd"/>
      <w:r w:rsidRPr="000D3483">
        <w:rPr>
          <w:rFonts w:cstheme="minorHAnsi"/>
          <w:sz w:val="24"/>
          <w:szCs w:val="24"/>
        </w:rPr>
        <w:t xml:space="preserve">, R Cantu, M Magnuson, LJ </w:t>
      </w:r>
      <w:proofErr w:type="spellStart"/>
      <w:r w:rsidRPr="000D3483">
        <w:rPr>
          <w:rFonts w:cstheme="minorHAnsi"/>
          <w:sz w:val="24"/>
          <w:szCs w:val="24"/>
        </w:rPr>
        <w:t>Wymer</w:t>
      </w:r>
      <w:proofErr w:type="spellEnd"/>
      <w:r w:rsidRPr="000D3483">
        <w:rPr>
          <w:rFonts w:cstheme="minorHAnsi"/>
          <w:sz w:val="24"/>
          <w:szCs w:val="24"/>
        </w:rPr>
        <w:t>. 2017. Ingestion of swimming pool water by recreational swimmers. J Water Health. 15(3):429-437.</w:t>
      </w:r>
    </w:p>
    <w:p w14:paraId="69A2BEF6" w14:textId="77777777" w:rsidR="000D3483" w:rsidRPr="000D3483" w:rsidRDefault="000D3483" w:rsidP="009916DF">
      <w:pPr>
        <w:spacing w:after="0" w:line="240" w:lineRule="auto"/>
        <w:rPr>
          <w:rFonts w:cstheme="minorHAnsi"/>
          <w:sz w:val="24"/>
          <w:szCs w:val="24"/>
        </w:rPr>
      </w:pPr>
    </w:p>
    <w:p w14:paraId="7CB4C36F" w14:textId="26DF8FF7" w:rsidR="007866B9" w:rsidRPr="000D3483" w:rsidRDefault="007866B9" w:rsidP="009916DF">
      <w:pPr>
        <w:spacing w:after="0" w:line="240" w:lineRule="auto"/>
        <w:rPr>
          <w:rFonts w:cstheme="minorHAnsi"/>
          <w:sz w:val="24"/>
          <w:szCs w:val="24"/>
        </w:rPr>
      </w:pPr>
      <w:proofErr w:type="spellStart"/>
      <w:r w:rsidRPr="000D3483">
        <w:rPr>
          <w:rFonts w:cstheme="minorHAnsi"/>
          <w:sz w:val="24"/>
          <w:szCs w:val="24"/>
        </w:rPr>
        <w:t>Egegy</w:t>
      </w:r>
      <w:proofErr w:type="spellEnd"/>
      <w:r w:rsidRPr="000D3483">
        <w:rPr>
          <w:rFonts w:cstheme="minorHAnsi"/>
          <w:sz w:val="24"/>
          <w:szCs w:val="24"/>
        </w:rPr>
        <w:t xml:space="preserve">, PP, M Lorber. 2011. An assessment of the exposure of Americans to </w:t>
      </w:r>
      <w:proofErr w:type="spellStart"/>
      <w:r w:rsidRPr="000D3483">
        <w:rPr>
          <w:rFonts w:cstheme="minorHAnsi"/>
          <w:sz w:val="24"/>
          <w:szCs w:val="24"/>
        </w:rPr>
        <w:t>perfluorooctane</w:t>
      </w:r>
      <w:proofErr w:type="spellEnd"/>
      <w:r w:rsidRPr="000D3483">
        <w:rPr>
          <w:rFonts w:cstheme="minorHAnsi"/>
          <w:sz w:val="24"/>
          <w:szCs w:val="24"/>
        </w:rPr>
        <w:t xml:space="preserve"> sulfonate: A comparison of estimated intake with values inferred from NHANES data. J Exp Sci </w:t>
      </w:r>
      <w:proofErr w:type="spellStart"/>
      <w:r w:rsidRPr="000D3483">
        <w:rPr>
          <w:rFonts w:cstheme="minorHAnsi"/>
          <w:sz w:val="24"/>
          <w:szCs w:val="24"/>
        </w:rPr>
        <w:t>Envion</w:t>
      </w:r>
      <w:proofErr w:type="spellEnd"/>
      <w:r w:rsidRPr="000D3483">
        <w:rPr>
          <w:rFonts w:cstheme="minorHAnsi"/>
          <w:sz w:val="24"/>
          <w:szCs w:val="24"/>
        </w:rPr>
        <w:t xml:space="preserve"> Epidemiol. 21:152-168.</w:t>
      </w:r>
    </w:p>
    <w:p w14:paraId="55C5A02E" w14:textId="77777777" w:rsidR="000D3483" w:rsidRPr="000D3483" w:rsidRDefault="000D3483" w:rsidP="009916DF">
      <w:pPr>
        <w:spacing w:after="0" w:line="240" w:lineRule="auto"/>
        <w:rPr>
          <w:rFonts w:cstheme="minorHAnsi"/>
          <w:sz w:val="24"/>
          <w:szCs w:val="24"/>
        </w:rPr>
      </w:pPr>
    </w:p>
    <w:p w14:paraId="4482CEEE" w14:textId="5295BECD" w:rsidR="007866B9" w:rsidRPr="000D3483" w:rsidRDefault="007866B9" w:rsidP="009916DF">
      <w:pPr>
        <w:spacing w:after="0" w:line="240" w:lineRule="auto"/>
        <w:rPr>
          <w:rFonts w:cstheme="minorHAnsi"/>
          <w:sz w:val="24"/>
          <w:szCs w:val="24"/>
        </w:rPr>
      </w:pPr>
      <w:r w:rsidRPr="000D3483">
        <w:rPr>
          <w:rFonts w:cstheme="minorHAnsi"/>
          <w:sz w:val="24"/>
          <w:szCs w:val="24"/>
        </w:rPr>
        <w:t xml:space="preserve">European Food Safety Authority (EFSA). 2020. Risk to human health related to the presence of perfluoroalkyl substances in food. EFSA Journal 18:622 </w:t>
      </w:r>
      <w:hyperlink r:id="rId26" w:history="1">
        <w:r w:rsidRPr="000D3483">
          <w:rPr>
            <w:rStyle w:val="Hyperlink"/>
            <w:rFonts w:cstheme="minorHAnsi"/>
            <w:sz w:val="24"/>
            <w:szCs w:val="24"/>
          </w:rPr>
          <w:t>https://efsa.onlinelibrary.wiley.com/doi/pdf/10.2903/j.efsa.2020.6223</w:t>
        </w:r>
      </w:hyperlink>
    </w:p>
    <w:p w14:paraId="7DFDA234" w14:textId="77777777" w:rsidR="000D3483" w:rsidRPr="000D3483" w:rsidRDefault="000D3483" w:rsidP="009916DF">
      <w:pPr>
        <w:spacing w:after="0" w:line="240" w:lineRule="auto"/>
        <w:rPr>
          <w:rFonts w:cstheme="minorHAnsi"/>
          <w:sz w:val="24"/>
          <w:szCs w:val="24"/>
        </w:rPr>
      </w:pPr>
    </w:p>
    <w:p w14:paraId="1325E44D" w14:textId="199ED928" w:rsidR="007866B9" w:rsidRPr="000D3483" w:rsidRDefault="007866B9" w:rsidP="009916DF">
      <w:pPr>
        <w:spacing w:after="0" w:line="240" w:lineRule="auto"/>
        <w:rPr>
          <w:rFonts w:cstheme="minorHAnsi"/>
          <w:sz w:val="24"/>
          <w:szCs w:val="24"/>
        </w:rPr>
      </w:pPr>
      <w:proofErr w:type="spellStart"/>
      <w:r w:rsidRPr="000D3483">
        <w:rPr>
          <w:rFonts w:cstheme="minorHAnsi"/>
          <w:sz w:val="24"/>
          <w:szCs w:val="24"/>
        </w:rPr>
        <w:t>Haug</w:t>
      </w:r>
      <w:proofErr w:type="spellEnd"/>
      <w:r w:rsidRPr="000D3483">
        <w:rPr>
          <w:rFonts w:cstheme="minorHAnsi"/>
          <w:sz w:val="24"/>
          <w:szCs w:val="24"/>
        </w:rPr>
        <w:t xml:space="preserve">, L, S Huber, G Becher, C Thomsen. 2011. </w:t>
      </w:r>
      <w:proofErr w:type="spellStart"/>
      <w:r w:rsidRPr="000D3483">
        <w:rPr>
          <w:rFonts w:cstheme="minorHAnsi"/>
          <w:sz w:val="24"/>
          <w:szCs w:val="24"/>
        </w:rPr>
        <w:t>Characterisation</w:t>
      </w:r>
      <w:proofErr w:type="spellEnd"/>
      <w:r w:rsidRPr="000D3483">
        <w:rPr>
          <w:rFonts w:cstheme="minorHAnsi"/>
          <w:sz w:val="24"/>
          <w:szCs w:val="24"/>
        </w:rPr>
        <w:t xml:space="preserve"> of human exposure pathways to </w:t>
      </w:r>
      <w:proofErr w:type="spellStart"/>
      <w:r w:rsidRPr="000D3483">
        <w:rPr>
          <w:rFonts w:cstheme="minorHAnsi"/>
          <w:sz w:val="24"/>
          <w:szCs w:val="24"/>
        </w:rPr>
        <w:t>perfluorinated</w:t>
      </w:r>
      <w:proofErr w:type="spellEnd"/>
      <w:r w:rsidRPr="000D3483">
        <w:rPr>
          <w:rFonts w:cstheme="minorHAnsi"/>
          <w:sz w:val="24"/>
          <w:szCs w:val="24"/>
        </w:rPr>
        <w:t xml:space="preserve"> compounds – comparing exposure estimates with biomarkers of exposure. Environ Int. 37:687-693.</w:t>
      </w:r>
    </w:p>
    <w:p w14:paraId="10E62DD5" w14:textId="77777777" w:rsidR="000D3483" w:rsidRPr="000D3483" w:rsidRDefault="000D3483" w:rsidP="009916DF">
      <w:pPr>
        <w:spacing w:after="0" w:line="240" w:lineRule="auto"/>
        <w:rPr>
          <w:rFonts w:cstheme="minorHAnsi"/>
          <w:sz w:val="24"/>
          <w:szCs w:val="24"/>
        </w:rPr>
      </w:pPr>
    </w:p>
    <w:p w14:paraId="553ED8DD" w14:textId="06449A75" w:rsidR="00932058" w:rsidRPr="000D3483" w:rsidRDefault="00932058" w:rsidP="009916DF">
      <w:pPr>
        <w:spacing w:after="0" w:line="240" w:lineRule="auto"/>
        <w:rPr>
          <w:rFonts w:cstheme="minorHAnsi"/>
          <w:sz w:val="24"/>
          <w:szCs w:val="24"/>
        </w:rPr>
      </w:pPr>
      <w:r w:rsidRPr="000D3483">
        <w:rPr>
          <w:rFonts w:cstheme="minorHAnsi"/>
          <w:sz w:val="24"/>
          <w:szCs w:val="24"/>
        </w:rPr>
        <w:t xml:space="preserve">Massachusetts Department of Environmental Protection (MassDEP). 2015. Residential </w:t>
      </w:r>
      <w:proofErr w:type="spellStart"/>
      <w:r w:rsidRPr="000D3483">
        <w:rPr>
          <w:rFonts w:cstheme="minorHAnsi"/>
          <w:sz w:val="24"/>
          <w:szCs w:val="24"/>
        </w:rPr>
        <w:t>Shortforms</w:t>
      </w:r>
      <w:proofErr w:type="spellEnd"/>
      <w:r w:rsidRPr="000D3483">
        <w:rPr>
          <w:rFonts w:cstheme="minorHAnsi"/>
          <w:sz w:val="24"/>
          <w:szCs w:val="24"/>
        </w:rPr>
        <w:t xml:space="preserve"> for Human Health Risk Assessment Under the MCP. </w:t>
      </w:r>
      <w:r w:rsidR="00E21588" w:rsidRPr="000D3483">
        <w:rPr>
          <w:rFonts w:cstheme="minorHAnsi"/>
          <w:sz w:val="24"/>
          <w:szCs w:val="24"/>
        </w:rPr>
        <w:t xml:space="preserve">Available online at: </w:t>
      </w:r>
      <w:hyperlink r:id="rId27" w:anchor="technical-updates---human-health-risk-assessment-" w:history="1">
        <w:r w:rsidRPr="000D3483">
          <w:rPr>
            <w:rStyle w:val="Hyperlink"/>
            <w:rFonts w:cstheme="minorHAnsi"/>
            <w:sz w:val="24"/>
            <w:szCs w:val="24"/>
          </w:rPr>
          <w:t>https://www.mass.gov/lists/risk-assessment-information#technical-updates---human-health-risk-assessment-</w:t>
        </w:r>
      </w:hyperlink>
    </w:p>
    <w:p w14:paraId="6339222A" w14:textId="77777777" w:rsidR="000D3483" w:rsidRPr="000D3483" w:rsidRDefault="000D3483" w:rsidP="009916DF">
      <w:pPr>
        <w:pStyle w:val="NormalWeb"/>
        <w:rPr>
          <w:rFonts w:asciiTheme="minorHAnsi" w:hAnsiTheme="minorHAnsi" w:cstheme="minorHAnsi"/>
          <w:color w:val="000000"/>
        </w:rPr>
      </w:pPr>
    </w:p>
    <w:p w14:paraId="1ECB2041" w14:textId="6979081D" w:rsidR="00577FC2" w:rsidRPr="000D3483" w:rsidRDefault="00577FC2" w:rsidP="009916DF">
      <w:pPr>
        <w:pStyle w:val="NormalWeb"/>
        <w:rPr>
          <w:rFonts w:asciiTheme="minorHAnsi" w:hAnsiTheme="minorHAnsi" w:cstheme="minorHAnsi"/>
          <w:color w:val="000000"/>
        </w:rPr>
      </w:pPr>
      <w:r w:rsidRPr="000D3483">
        <w:rPr>
          <w:rFonts w:asciiTheme="minorHAnsi" w:hAnsiTheme="minorHAnsi" w:cstheme="minorHAnsi"/>
          <w:color w:val="000000"/>
        </w:rPr>
        <w:t>Massachusetts Department of Environmental Protection (MassDEP). 2019. Technical Support Document, Per- and Polyfluoroalkyl Substances (PFAS): An Updated Subgroup Approach to Groundwater and Drinking Water Values. Office of Research and Standards. December 26.</w:t>
      </w:r>
    </w:p>
    <w:p w14:paraId="405E26E1" w14:textId="77777777" w:rsidR="000D3483" w:rsidRPr="000D3483" w:rsidRDefault="000D3483" w:rsidP="009916DF">
      <w:pPr>
        <w:spacing w:after="0" w:line="240" w:lineRule="auto"/>
        <w:rPr>
          <w:rFonts w:cstheme="minorHAnsi"/>
          <w:sz w:val="24"/>
          <w:szCs w:val="24"/>
        </w:rPr>
      </w:pPr>
    </w:p>
    <w:p w14:paraId="295431C3" w14:textId="21E09919" w:rsidR="00E21588" w:rsidRPr="000D3483" w:rsidRDefault="00E21588" w:rsidP="009916DF">
      <w:pPr>
        <w:spacing w:after="0" w:line="240" w:lineRule="auto"/>
        <w:rPr>
          <w:rFonts w:cstheme="minorHAnsi"/>
          <w:sz w:val="24"/>
          <w:szCs w:val="24"/>
        </w:rPr>
      </w:pPr>
      <w:r w:rsidRPr="000D3483">
        <w:rPr>
          <w:rFonts w:cstheme="minorHAnsi"/>
          <w:sz w:val="24"/>
          <w:szCs w:val="24"/>
        </w:rPr>
        <w:t xml:space="preserve">New Jersey Drinking Water Quality Institute (NJDWQI). 2018. Appendix A: Health-Based Maximum Contaminant Level Support Document: </w:t>
      </w:r>
      <w:proofErr w:type="spellStart"/>
      <w:r w:rsidRPr="000D3483">
        <w:rPr>
          <w:rFonts w:cstheme="minorHAnsi"/>
          <w:sz w:val="24"/>
          <w:szCs w:val="24"/>
        </w:rPr>
        <w:t>Perfluorooctane</w:t>
      </w:r>
      <w:proofErr w:type="spellEnd"/>
      <w:r w:rsidRPr="000D3483">
        <w:rPr>
          <w:rFonts w:cstheme="minorHAnsi"/>
          <w:sz w:val="24"/>
          <w:szCs w:val="24"/>
        </w:rPr>
        <w:t xml:space="preserve"> Sulfonate (PFOS). June 5. Available online at: </w:t>
      </w:r>
      <w:hyperlink r:id="rId28" w:history="1">
        <w:r w:rsidRPr="000D3483">
          <w:rPr>
            <w:rStyle w:val="Hyperlink"/>
            <w:rFonts w:cstheme="minorHAnsi"/>
            <w:sz w:val="24"/>
            <w:szCs w:val="24"/>
          </w:rPr>
          <w:t>https://www.state.nj.us/dep/watersupply/pdf/pfos-recommendation-appendix-a.pdf</w:t>
        </w:r>
      </w:hyperlink>
    </w:p>
    <w:p w14:paraId="48E6F573" w14:textId="77777777" w:rsidR="000D3483" w:rsidRPr="000D3483" w:rsidRDefault="000D3483" w:rsidP="009916DF">
      <w:pPr>
        <w:spacing w:after="0" w:line="240" w:lineRule="auto"/>
        <w:rPr>
          <w:rFonts w:cstheme="minorHAnsi"/>
          <w:sz w:val="24"/>
          <w:szCs w:val="24"/>
        </w:rPr>
      </w:pPr>
    </w:p>
    <w:p w14:paraId="759E5284" w14:textId="7706548F" w:rsidR="007866B9" w:rsidRPr="000D3483" w:rsidRDefault="007866B9" w:rsidP="009916DF">
      <w:pPr>
        <w:spacing w:after="0" w:line="240" w:lineRule="auto"/>
        <w:rPr>
          <w:rFonts w:cstheme="minorHAnsi"/>
          <w:sz w:val="24"/>
          <w:szCs w:val="24"/>
        </w:rPr>
      </w:pPr>
      <w:proofErr w:type="spellStart"/>
      <w:r w:rsidRPr="000D3483">
        <w:rPr>
          <w:rFonts w:cstheme="minorHAnsi"/>
          <w:sz w:val="24"/>
          <w:szCs w:val="24"/>
        </w:rPr>
        <w:t>Trudel</w:t>
      </w:r>
      <w:proofErr w:type="spellEnd"/>
      <w:r w:rsidRPr="000D3483">
        <w:rPr>
          <w:rFonts w:cstheme="minorHAnsi"/>
          <w:sz w:val="24"/>
          <w:szCs w:val="24"/>
        </w:rPr>
        <w:t xml:space="preserve"> D, L Horowitz, M </w:t>
      </w:r>
      <w:proofErr w:type="spellStart"/>
      <w:r w:rsidRPr="000D3483">
        <w:rPr>
          <w:rFonts w:cstheme="minorHAnsi"/>
          <w:sz w:val="24"/>
          <w:szCs w:val="24"/>
        </w:rPr>
        <w:t>Wormuth</w:t>
      </w:r>
      <w:proofErr w:type="spellEnd"/>
      <w:r w:rsidRPr="000D3483">
        <w:rPr>
          <w:rFonts w:cstheme="minorHAnsi"/>
          <w:sz w:val="24"/>
          <w:szCs w:val="24"/>
        </w:rPr>
        <w:t xml:space="preserve">, M </w:t>
      </w:r>
      <w:proofErr w:type="spellStart"/>
      <w:r w:rsidRPr="000D3483">
        <w:rPr>
          <w:rFonts w:cstheme="minorHAnsi"/>
          <w:sz w:val="24"/>
          <w:szCs w:val="24"/>
        </w:rPr>
        <w:t>Scheringer</w:t>
      </w:r>
      <w:proofErr w:type="spellEnd"/>
      <w:r w:rsidRPr="000D3483">
        <w:rPr>
          <w:rFonts w:cstheme="minorHAnsi"/>
          <w:sz w:val="24"/>
          <w:szCs w:val="24"/>
        </w:rPr>
        <w:t xml:space="preserve">, IT Cousins, K </w:t>
      </w:r>
      <w:proofErr w:type="spellStart"/>
      <w:r w:rsidRPr="000D3483">
        <w:rPr>
          <w:rFonts w:cstheme="minorHAnsi"/>
          <w:sz w:val="24"/>
          <w:szCs w:val="24"/>
        </w:rPr>
        <w:t>Hungerbühler</w:t>
      </w:r>
      <w:proofErr w:type="spellEnd"/>
      <w:r w:rsidRPr="000D3483">
        <w:rPr>
          <w:rFonts w:cstheme="minorHAnsi"/>
          <w:sz w:val="24"/>
          <w:szCs w:val="24"/>
        </w:rPr>
        <w:t>. 2008. Estimating consumer exposure to PFOS and PFOA. Risk Anal. 28:251-269.</w:t>
      </w:r>
    </w:p>
    <w:p w14:paraId="76258B8D" w14:textId="77777777" w:rsidR="000D3483" w:rsidRPr="000D3483" w:rsidRDefault="000D3483" w:rsidP="009916DF">
      <w:pPr>
        <w:spacing w:after="0" w:line="240" w:lineRule="auto"/>
        <w:rPr>
          <w:rFonts w:cstheme="minorHAnsi"/>
          <w:sz w:val="24"/>
          <w:szCs w:val="24"/>
        </w:rPr>
      </w:pPr>
    </w:p>
    <w:p w14:paraId="06BA0816" w14:textId="5F630E39" w:rsidR="009D2BFC" w:rsidRPr="000D3483" w:rsidRDefault="009D2BFC" w:rsidP="009916DF">
      <w:pPr>
        <w:spacing w:after="0" w:line="240" w:lineRule="auto"/>
        <w:rPr>
          <w:rFonts w:cstheme="minorHAnsi"/>
          <w:sz w:val="24"/>
          <w:szCs w:val="24"/>
        </w:rPr>
      </w:pPr>
      <w:r w:rsidRPr="000D3483">
        <w:rPr>
          <w:rFonts w:cstheme="minorHAnsi"/>
          <w:sz w:val="24"/>
          <w:szCs w:val="24"/>
        </w:rPr>
        <w:t xml:space="preserve">US Environmental Protection Agency (US EPA). 1989. Risk Assessment Guidance for Superfund Volume I, Human Health Evaluation Manual (Part A), Interim Final. Office of Emergency and Remedial Response, Washington, DC. EPA/540/1-89/002. December. </w:t>
      </w:r>
    </w:p>
    <w:p w14:paraId="379F060D" w14:textId="77777777" w:rsidR="000D3483" w:rsidRPr="000D3483" w:rsidRDefault="000D3483" w:rsidP="009916DF">
      <w:pPr>
        <w:spacing w:after="0" w:line="240" w:lineRule="auto"/>
        <w:rPr>
          <w:rFonts w:cstheme="minorHAnsi"/>
          <w:sz w:val="24"/>
          <w:szCs w:val="24"/>
        </w:rPr>
      </w:pPr>
    </w:p>
    <w:p w14:paraId="72A9F8A0" w14:textId="1967A12D" w:rsidR="006D2D97" w:rsidRPr="000D3483" w:rsidRDefault="006D2D97" w:rsidP="009916DF">
      <w:pPr>
        <w:spacing w:after="0" w:line="240" w:lineRule="auto"/>
        <w:rPr>
          <w:rFonts w:cstheme="minorHAnsi"/>
          <w:sz w:val="24"/>
          <w:szCs w:val="24"/>
        </w:rPr>
      </w:pPr>
      <w:r w:rsidRPr="000D3483">
        <w:rPr>
          <w:rFonts w:cstheme="minorHAnsi"/>
          <w:sz w:val="24"/>
          <w:szCs w:val="24"/>
        </w:rPr>
        <w:t xml:space="preserve">US Environmental Protection Agency (US EPA). 1996. Descriptive Statistics Tables from a Detailed Analysis of the National Human Activity Pattern Survey (NHAPS) Data. Office of Research and Development, Washington, DC. EPA/600/R-96/148. July. </w:t>
      </w:r>
    </w:p>
    <w:p w14:paraId="09C3A461" w14:textId="26CE6A52" w:rsidR="00577FC2" w:rsidRPr="000D3483" w:rsidRDefault="00577FC2" w:rsidP="009916DF">
      <w:pPr>
        <w:spacing w:after="0" w:line="240" w:lineRule="auto"/>
        <w:rPr>
          <w:rFonts w:cstheme="minorHAnsi"/>
          <w:sz w:val="24"/>
          <w:szCs w:val="24"/>
        </w:rPr>
      </w:pPr>
      <w:r w:rsidRPr="000D3483">
        <w:rPr>
          <w:rFonts w:cstheme="minorHAnsi"/>
          <w:sz w:val="24"/>
          <w:szCs w:val="24"/>
        </w:rPr>
        <w:t>US Environmental Protection Agency (US EPA). 2000. Methodology for Deriving Ambient Water Quality Criteria for the Protection of Human Health (2000). EPA-822-B-00-004. October</w:t>
      </w:r>
      <w:r w:rsidR="00E21588" w:rsidRPr="000D3483">
        <w:rPr>
          <w:rFonts w:cstheme="minorHAnsi"/>
          <w:sz w:val="24"/>
          <w:szCs w:val="24"/>
        </w:rPr>
        <w:t xml:space="preserve">. </w:t>
      </w:r>
      <w:proofErr w:type="spellStart"/>
      <w:r w:rsidRPr="000D3483">
        <w:rPr>
          <w:rFonts w:cstheme="minorHAnsi"/>
          <w:sz w:val="24"/>
          <w:szCs w:val="24"/>
        </w:rPr>
        <w:t>Availabile</w:t>
      </w:r>
      <w:proofErr w:type="spellEnd"/>
      <w:r w:rsidRPr="000D3483">
        <w:rPr>
          <w:rFonts w:cstheme="minorHAnsi"/>
          <w:sz w:val="24"/>
          <w:szCs w:val="24"/>
        </w:rPr>
        <w:t xml:space="preserve"> online at</w:t>
      </w:r>
      <w:r w:rsidR="00E21588" w:rsidRPr="000D3483">
        <w:rPr>
          <w:rFonts w:cstheme="minorHAnsi"/>
          <w:sz w:val="24"/>
          <w:szCs w:val="24"/>
        </w:rPr>
        <w:t xml:space="preserve">: </w:t>
      </w:r>
      <w:hyperlink r:id="rId29" w:history="1">
        <w:r w:rsidR="00E21588" w:rsidRPr="000D3483">
          <w:rPr>
            <w:rStyle w:val="Hyperlink"/>
            <w:rFonts w:cstheme="minorHAnsi"/>
            <w:sz w:val="24"/>
            <w:szCs w:val="24"/>
          </w:rPr>
          <w:t>https://www.epa.gov/sites/production/files/2018-10/documents/methodology-wqc-protection-hh-2000.pdf</w:t>
        </w:r>
      </w:hyperlink>
    </w:p>
    <w:p w14:paraId="2FA111A6" w14:textId="77777777" w:rsidR="000D3483" w:rsidRPr="000D3483" w:rsidRDefault="000D3483" w:rsidP="009916DF">
      <w:pPr>
        <w:spacing w:after="0" w:line="240" w:lineRule="auto"/>
        <w:rPr>
          <w:rFonts w:cstheme="minorHAnsi"/>
          <w:sz w:val="24"/>
          <w:szCs w:val="24"/>
        </w:rPr>
      </w:pPr>
    </w:p>
    <w:p w14:paraId="2B2D5178" w14:textId="6AB7FE3B" w:rsidR="006D2D97" w:rsidRPr="000D3483" w:rsidRDefault="006D2D97" w:rsidP="009916DF">
      <w:pPr>
        <w:spacing w:after="0" w:line="240" w:lineRule="auto"/>
        <w:rPr>
          <w:rFonts w:cstheme="minorHAnsi"/>
          <w:sz w:val="24"/>
          <w:szCs w:val="24"/>
        </w:rPr>
      </w:pPr>
      <w:r w:rsidRPr="000D3483">
        <w:rPr>
          <w:rFonts w:cstheme="minorHAnsi"/>
          <w:sz w:val="24"/>
          <w:szCs w:val="24"/>
        </w:rPr>
        <w:t>US Environmental Protection Agency (US EPA). 2011. Exposure Factors Handbook: 2011 Final. Washington DC. National Center for Environmental Assessment, Washington, DC. EPA/600/R-090/052A. Available online at</w:t>
      </w:r>
      <w:r w:rsidR="00E21588" w:rsidRPr="000D3483">
        <w:rPr>
          <w:rFonts w:cstheme="minorHAnsi"/>
          <w:sz w:val="24"/>
          <w:szCs w:val="24"/>
        </w:rPr>
        <w:t>:</w:t>
      </w:r>
      <w:r w:rsidRPr="000D3483">
        <w:rPr>
          <w:rFonts w:cstheme="minorHAnsi"/>
          <w:sz w:val="24"/>
          <w:szCs w:val="24"/>
        </w:rPr>
        <w:t xml:space="preserve"> </w:t>
      </w:r>
      <w:hyperlink r:id="rId30" w:history="1">
        <w:r w:rsidRPr="000D3483">
          <w:rPr>
            <w:rStyle w:val="Hyperlink"/>
            <w:rFonts w:cstheme="minorHAnsi"/>
            <w:sz w:val="24"/>
            <w:szCs w:val="24"/>
          </w:rPr>
          <w:t>https://cfpub.epa.gov/ncea/risk/recordisplay.cfm?deid=236252</w:t>
        </w:r>
      </w:hyperlink>
      <w:r w:rsidRPr="000D3483">
        <w:rPr>
          <w:rFonts w:cstheme="minorHAnsi"/>
          <w:sz w:val="24"/>
          <w:szCs w:val="24"/>
        </w:rPr>
        <w:t xml:space="preserve"> </w:t>
      </w:r>
    </w:p>
    <w:p w14:paraId="0DD0FA5A" w14:textId="77777777" w:rsidR="000D3483" w:rsidRPr="000D3483" w:rsidRDefault="000D3483" w:rsidP="009916DF">
      <w:pPr>
        <w:pStyle w:val="NormalWeb"/>
        <w:rPr>
          <w:rFonts w:asciiTheme="minorHAnsi" w:hAnsiTheme="minorHAnsi" w:cstheme="minorHAnsi"/>
          <w:color w:val="000000"/>
        </w:rPr>
      </w:pPr>
    </w:p>
    <w:p w14:paraId="2EBEEA51" w14:textId="512EDC94" w:rsidR="00E21588" w:rsidRPr="000D3483" w:rsidRDefault="00E21588" w:rsidP="009916DF">
      <w:pPr>
        <w:pStyle w:val="NormalWeb"/>
        <w:rPr>
          <w:rFonts w:asciiTheme="minorHAnsi" w:hAnsiTheme="minorHAnsi" w:cstheme="minorHAnsi"/>
          <w:color w:val="000000"/>
        </w:rPr>
      </w:pPr>
      <w:r w:rsidRPr="000D3483">
        <w:rPr>
          <w:rFonts w:asciiTheme="minorHAnsi" w:hAnsiTheme="minorHAnsi" w:cstheme="minorHAnsi"/>
          <w:color w:val="000000"/>
        </w:rPr>
        <w:t xml:space="preserve">United States Environmental Protection Agency (US EPA). 2016a. Drinking Water Health Advisory for </w:t>
      </w:r>
      <w:proofErr w:type="spellStart"/>
      <w:r w:rsidRPr="000D3483">
        <w:rPr>
          <w:rFonts w:asciiTheme="minorHAnsi" w:hAnsiTheme="minorHAnsi" w:cstheme="minorHAnsi"/>
          <w:color w:val="000000"/>
        </w:rPr>
        <w:t>Perfluorooctane</w:t>
      </w:r>
      <w:proofErr w:type="spellEnd"/>
      <w:r w:rsidRPr="000D3483">
        <w:rPr>
          <w:rFonts w:asciiTheme="minorHAnsi" w:hAnsiTheme="minorHAnsi" w:cstheme="minorHAnsi"/>
          <w:color w:val="000000"/>
        </w:rPr>
        <w:t xml:space="preserve"> Sulfonate Acid (PFOS). Office of Water, Health and Ecological Criteria Division. EPA 822-R-16-004. May. </w:t>
      </w:r>
      <w:r w:rsidRPr="000D3483">
        <w:rPr>
          <w:rFonts w:asciiTheme="minorHAnsi" w:hAnsiTheme="minorHAnsi" w:cstheme="minorHAnsi"/>
        </w:rPr>
        <w:t xml:space="preserve">Available online at: </w:t>
      </w:r>
      <w:hyperlink r:id="rId31" w:history="1">
        <w:r w:rsidRPr="000D3483">
          <w:rPr>
            <w:rStyle w:val="Hyperlink"/>
            <w:rFonts w:asciiTheme="minorHAnsi" w:hAnsiTheme="minorHAnsi" w:cstheme="minorHAnsi"/>
          </w:rPr>
          <w:t>https://www.epa.gov/sites/default/files/2016-05/documents/pfos_health_advisory_final_508.pdf</w:t>
        </w:r>
      </w:hyperlink>
    </w:p>
    <w:p w14:paraId="7F237ABB" w14:textId="77777777" w:rsidR="000D3483" w:rsidRPr="000D3483" w:rsidRDefault="000D3483" w:rsidP="009916DF">
      <w:pPr>
        <w:spacing w:after="0" w:line="240" w:lineRule="auto"/>
        <w:rPr>
          <w:rFonts w:cstheme="minorHAnsi"/>
          <w:sz w:val="24"/>
          <w:szCs w:val="24"/>
        </w:rPr>
      </w:pPr>
    </w:p>
    <w:p w14:paraId="44757A2A" w14:textId="25210758" w:rsidR="00A62D4C" w:rsidRPr="000D3483" w:rsidRDefault="006D2D97" w:rsidP="009916DF">
      <w:pPr>
        <w:spacing w:after="0" w:line="240" w:lineRule="auto"/>
        <w:rPr>
          <w:rFonts w:cstheme="minorHAnsi"/>
          <w:b/>
          <w:sz w:val="24"/>
          <w:szCs w:val="24"/>
        </w:rPr>
        <w:sectPr w:rsidR="00A62D4C" w:rsidRPr="000D3483" w:rsidSect="00E404A9">
          <w:headerReference w:type="default" r:id="rId32"/>
          <w:pgSz w:w="12240" w:h="15840" w:code="1"/>
          <w:pgMar w:top="720" w:right="720" w:bottom="720" w:left="720" w:header="720" w:footer="720" w:gutter="0"/>
          <w:cols w:space="720"/>
          <w:docGrid w:linePitch="360"/>
        </w:sectPr>
      </w:pPr>
      <w:r w:rsidRPr="000D3483">
        <w:rPr>
          <w:rFonts w:cstheme="minorHAnsi"/>
          <w:sz w:val="24"/>
          <w:szCs w:val="24"/>
        </w:rPr>
        <w:t>US Environmental Protection Agency (US EPA). 2019. Update for Chapter 3 of the Exposure Factors Handbook – Ingestion of Water and Other Select Liquids. National Center for Environmental Assessment, Office of Research and Development, Washington, DC. EPA/600/R-18/259F. Februa</w:t>
      </w:r>
      <w:r w:rsidR="00E404A9" w:rsidRPr="000D3483">
        <w:rPr>
          <w:rFonts w:cstheme="minorHAnsi"/>
          <w:sz w:val="24"/>
          <w:szCs w:val="24"/>
        </w:rPr>
        <w:t>ry.</w:t>
      </w:r>
    </w:p>
    <w:p w14:paraId="7DCB2C57" w14:textId="1D47A30B" w:rsidR="00AE2E6E" w:rsidRPr="00AE2E6E" w:rsidRDefault="00776FA8" w:rsidP="000D3483">
      <w:pPr>
        <w:pStyle w:val="Heading2"/>
      </w:pPr>
      <w:bookmarkStart w:id="17" w:name="_Toc87445206"/>
      <w:r w:rsidRPr="00AE2E6E">
        <w:t>A</w:t>
      </w:r>
      <w:r>
        <w:t>ppendix</w:t>
      </w:r>
      <w:r w:rsidRPr="00AE2E6E">
        <w:t xml:space="preserve"> </w:t>
      </w:r>
      <w:r w:rsidR="00E404A9">
        <w:t>B</w:t>
      </w:r>
      <w:r>
        <w:t xml:space="preserve"> - </w:t>
      </w:r>
      <w:r w:rsidR="00AE2E6E" w:rsidRPr="00AE2E6E">
        <w:t>F</w:t>
      </w:r>
      <w:r>
        <w:t>ish</w:t>
      </w:r>
      <w:r w:rsidR="00AE2E6E" w:rsidRPr="00AE2E6E">
        <w:t xml:space="preserve"> </w:t>
      </w:r>
      <w:r w:rsidRPr="00AE2E6E">
        <w:t>C</w:t>
      </w:r>
      <w:r>
        <w:t>onsumption</w:t>
      </w:r>
      <w:r w:rsidRPr="00AE2E6E">
        <w:t xml:space="preserve"> A</w:t>
      </w:r>
      <w:r>
        <w:t>dvisories</w:t>
      </w:r>
      <w:r w:rsidRPr="00AE2E6E">
        <w:t xml:space="preserve"> S</w:t>
      </w:r>
      <w:r>
        <w:t>upporting</w:t>
      </w:r>
      <w:r w:rsidRPr="00AE2E6E">
        <w:t xml:space="preserve"> I</w:t>
      </w:r>
      <w:r>
        <w:t>nformation</w:t>
      </w:r>
      <w:bookmarkEnd w:id="17"/>
    </w:p>
    <w:p w14:paraId="03774F1B" w14:textId="77777777" w:rsidR="00AA6FDD" w:rsidRDefault="00AA6FDD" w:rsidP="00657CF0"/>
    <w:p w14:paraId="6118016E" w14:textId="70FBB5B8" w:rsidR="00AA6FDD" w:rsidRDefault="00AA6FDD" w:rsidP="00657CF0">
      <w:pPr>
        <w:sectPr w:rsidR="00AA6FDD" w:rsidSect="00E404A9">
          <w:headerReference w:type="default" r:id="rId33"/>
          <w:footerReference w:type="default" r:id="rId34"/>
          <w:pgSz w:w="12240" w:h="15840" w:code="1"/>
          <w:pgMar w:top="720" w:right="720" w:bottom="720" w:left="720" w:header="720" w:footer="720" w:gutter="0"/>
          <w:cols w:space="720"/>
          <w:docGrid w:linePitch="360"/>
        </w:sectPr>
      </w:pPr>
    </w:p>
    <w:p w14:paraId="162584FD" w14:textId="4EBD1586" w:rsidR="006110E2" w:rsidRPr="00AA6FDD" w:rsidRDefault="00AA6FDD" w:rsidP="00AA6FDD">
      <w:pPr>
        <w:spacing w:after="0"/>
        <w:rPr>
          <w:b/>
          <w:bCs/>
          <w:sz w:val="24"/>
          <w:szCs w:val="24"/>
        </w:rPr>
      </w:pPr>
      <w:r w:rsidRPr="00AA6FDD">
        <w:rPr>
          <w:b/>
          <w:bCs/>
          <w:sz w:val="24"/>
          <w:szCs w:val="24"/>
        </w:rPr>
        <w:t xml:space="preserve">Table </w:t>
      </w:r>
      <w:r w:rsidR="00E02749">
        <w:rPr>
          <w:b/>
          <w:bCs/>
          <w:sz w:val="24"/>
          <w:szCs w:val="24"/>
        </w:rPr>
        <w:t>B</w:t>
      </w:r>
      <w:r w:rsidRPr="00AA6FDD">
        <w:rPr>
          <w:b/>
          <w:bCs/>
          <w:sz w:val="24"/>
          <w:szCs w:val="24"/>
        </w:rPr>
        <w:t xml:space="preserve">.1 </w:t>
      </w:r>
      <w:r w:rsidR="000D3483">
        <w:rPr>
          <w:b/>
          <w:bCs/>
          <w:sz w:val="24"/>
          <w:szCs w:val="24"/>
        </w:rPr>
        <w:t xml:space="preserve">Comparison of </w:t>
      </w:r>
      <w:r w:rsidRPr="00AA6FDD">
        <w:rPr>
          <w:b/>
          <w:bCs/>
          <w:sz w:val="24"/>
          <w:szCs w:val="24"/>
        </w:rPr>
        <w:t>PFOS Screening Values for Unlimited Consumption</w:t>
      </w:r>
      <w:r w:rsidR="000D3483">
        <w:rPr>
          <w:b/>
          <w:bCs/>
          <w:sz w:val="24"/>
          <w:szCs w:val="24"/>
        </w:rPr>
        <w:t xml:space="preserve"> of Fish</w:t>
      </w:r>
    </w:p>
    <w:tbl>
      <w:tblPr>
        <w:tblW w:w="21250" w:type="dxa"/>
        <w:tblLook w:val="04A0" w:firstRow="1" w:lastRow="0" w:firstColumn="1" w:lastColumn="0" w:noHBand="0" w:noVBand="1"/>
      </w:tblPr>
      <w:tblGrid>
        <w:gridCol w:w="1890"/>
        <w:gridCol w:w="1080"/>
        <w:gridCol w:w="2340"/>
        <w:gridCol w:w="1530"/>
        <w:gridCol w:w="1530"/>
        <w:gridCol w:w="1710"/>
        <w:gridCol w:w="4050"/>
        <w:gridCol w:w="1986"/>
        <w:gridCol w:w="879"/>
        <w:gridCol w:w="1168"/>
        <w:gridCol w:w="1387"/>
        <w:gridCol w:w="820"/>
        <w:gridCol w:w="880"/>
      </w:tblGrid>
      <w:tr w:rsidR="00E17643" w:rsidRPr="00AA6FDD" w14:paraId="2B8B8703" w14:textId="77777777" w:rsidTr="0008284C">
        <w:trPr>
          <w:trHeight w:val="827"/>
        </w:trPr>
        <w:tc>
          <w:tcPr>
            <w:tcW w:w="1890" w:type="dxa"/>
            <w:tcBorders>
              <w:top w:val="single" w:sz="4" w:space="0" w:color="auto"/>
              <w:left w:val="nil"/>
              <w:bottom w:val="double" w:sz="6" w:space="0" w:color="auto"/>
              <w:right w:val="nil"/>
            </w:tcBorders>
            <w:shd w:val="clear" w:color="auto" w:fill="DBE5F1" w:themeFill="accent1" w:themeFillTint="33"/>
            <w:noWrap/>
            <w:vAlign w:val="bottom"/>
            <w:hideMark/>
          </w:tcPr>
          <w:p w14:paraId="554E6D9A"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Agency</w:t>
            </w:r>
          </w:p>
        </w:tc>
        <w:tc>
          <w:tcPr>
            <w:tcW w:w="1080" w:type="dxa"/>
            <w:tcBorders>
              <w:top w:val="single" w:sz="4" w:space="0" w:color="auto"/>
              <w:left w:val="nil"/>
              <w:bottom w:val="double" w:sz="6" w:space="0" w:color="auto"/>
              <w:right w:val="nil"/>
            </w:tcBorders>
            <w:shd w:val="clear" w:color="auto" w:fill="DBE5F1" w:themeFill="accent1" w:themeFillTint="33"/>
            <w:vAlign w:val="bottom"/>
            <w:hideMark/>
          </w:tcPr>
          <w:p w14:paraId="3CCF8330"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SV</w:t>
            </w:r>
            <w:r w:rsidRPr="00AA6FDD">
              <w:rPr>
                <w:rFonts w:ascii="Calibri" w:eastAsia="Times New Roman" w:hAnsi="Calibri" w:cs="Calibri"/>
                <w:b/>
                <w:bCs/>
                <w:color w:val="000000"/>
              </w:rPr>
              <w:br/>
              <w:t>(µg/kg)</w:t>
            </w:r>
          </w:p>
        </w:tc>
        <w:tc>
          <w:tcPr>
            <w:tcW w:w="2340" w:type="dxa"/>
            <w:tcBorders>
              <w:top w:val="single" w:sz="4" w:space="0" w:color="auto"/>
              <w:left w:val="nil"/>
              <w:bottom w:val="double" w:sz="6" w:space="0" w:color="auto"/>
              <w:right w:val="nil"/>
            </w:tcBorders>
            <w:shd w:val="clear" w:color="auto" w:fill="DBE5F1" w:themeFill="accent1" w:themeFillTint="33"/>
            <w:noWrap/>
            <w:vAlign w:val="bottom"/>
            <w:hideMark/>
          </w:tcPr>
          <w:p w14:paraId="7FE8A4E5"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Population</w:t>
            </w:r>
          </w:p>
        </w:tc>
        <w:tc>
          <w:tcPr>
            <w:tcW w:w="1530" w:type="dxa"/>
            <w:tcBorders>
              <w:top w:val="single" w:sz="4" w:space="0" w:color="auto"/>
              <w:left w:val="nil"/>
              <w:bottom w:val="double" w:sz="6" w:space="0" w:color="auto"/>
              <w:right w:val="nil"/>
            </w:tcBorders>
            <w:shd w:val="clear" w:color="auto" w:fill="DBE5F1" w:themeFill="accent1" w:themeFillTint="33"/>
            <w:noWrap/>
            <w:vAlign w:val="bottom"/>
            <w:hideMark/>
          </w:tcPr>
          <w:p w14:paraId="1B0AEAF1"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Fish Type</w:t>
            </w:r>
          </w:p>
        </w:tc>
        <w:tc>
          <w:tcPr>
            <w:tcW w:w="1530" w:type="dxa"/>
            <w:tcBorders>
              <w:top w:val="single" w:sz="4" w:space="0" w:color="auto"/>
              <w:left w:val="nil"/>
              <w:bottom w:val="double" w:sz="6" w:space="0" w:color="auto"/>
              <w:right w:val="nil"/>
            </w:tcBorders>
            <w:shd w:val="clear" w:color="auto" w:fill="DBE5F1" w:themeFill="accent1" w:themeFillTint="33"/>
            <w:vAlign w:val="bottom"/>
            <w:hideMark/>
          </w:tcPr>
          <w:p w14:paraId="0CE3DBDF" w14:textId="77777777" w:rsidR="00AA6FDD" w:rsidRPr="00AA6FDD" w:rsidRDefault="00AA6FDD" w:rsidP="00AA6FDD">
            <w:pPr>
              <w:spacing w:after="0" w:line="240" w:lineRule="auto"/>
              <w:jc w:val="center"/>
              <w:rPr>
                <w:rFonts w:ascii="Calibri" w:eastAsia="Times New Roman" w:hAnsi="Calibri" w:cs="Calibri"/>
                <w:b/>
                <w:bCs/>
                <w:color w:val="000000"/>
              </w:rPr>
            </w:pPr>
            <w:proofErr w:type="spellStart"/>
            <w:r w:rsidRPr="00AA6FDD">
              <w:rPr>
                <w:rFonts w:ascii="Calibri" w:eastAsia="Times New Roman" w:hAnsi="Calibri" w:cs="Calibri"/>
                <w:b/>
                <w:bCs/>
                <w:color w:val="000000"/>
              </w:rPr>
              <w:t>RfD</w:t>
            </w:r>
            <w:proofErr w:type="spellEnd"/>
            <w:r w:rsidRPr="00AA6FDD">
              <w:rPr>
                <w:rFonts w:ascii="Calibri" w:eastAsia="Times New Roman" w:hAnsi="Calibri" w:cs="Calibri"/>
                <w:b/>
                <w:bCs/>
                <w:color w:val="000000"/>
              </w:rPr>
              <w:t xml:space="preserve"> or MRL </w:t>
            </w:r>
            <w:r w:rsidRPr="00AA6FDD">
              <w:rPr>
                <w:rFonts w:ascii="Calibri" w:eastAsia="Times New Roman" w:hAnsi="Calibri" w:cs="Calibri"/>
                <w:b/>
                <w:bCs/>
                <w:color w:val="000000"/>
              </w:rPr>
              <w:br/>
              <w:t>(ng/kg-day)</w:t>
            </w:r>
          </w:p>
        </w:tc>
        <w:tc>
          <w:tcPr>
            <w:tcW w:w="1710" w:type="dxa"/>
            <w:tcBorders>
              <w:top w:val="single" w:sz="4" w:space="0" w:color="auto"/>
              <w:left w:val="nil"/>
              <w:bottom w:val="double" w:sz="6" w:space="0" w:color="auto"/>
              <w:right w:val="nil"/>
            </w:tcBorders>
            <w:shd w:val="clear" w:color="auto" w:fill="DBE5F1" w:themeFill="accent1" w:themeFillTint="33"/>
            <w:vAlign w:val="bottom"/>
            <w:hideMark/>
          </w:tcPr>
          <w:p w14:paraId="1C76B5F5"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Ingestion Rate</w:t>
            </w:r>
            <w:r w:rsidRPr="00AA6FDD">
              <w:rPr>
                <w:rFonts w:ascii="Calibri" w:eastAsia="Times New Roman" w:hAnsi="Calibri" w:cs="Calibri"/>
                <w:b/>
                <w:bCs/>
                <w:color w:val="000000"/>
              </w:rPr>
              <w:br/>
              <w:t>(g/day)</w:t>
            </w:r>
          </w:p>
        </w:tc>
        <w:tc>
          <w:tcPr>
            <w:tcW w:w="4050" w:type="dxa"/>
            <w:tcBorders>
              <w:top w:val="single" w:sz="4" w:space="0" w:color="auto"/>
              <w:left w:val="nil"/>
              <w:bottom w:val="double" w:sz="6" w:space="0" w:color="auto"/>
              <w:right w:val="nil"/>
            </w:tcBorders>
            <w:shd w:val="clear" w:color="auto" w:fill="DBE5F1" w:themeFill="accent1" w:themeFillTint="33"/>
            <w:vAlign w:val="bottom"/>
            <w:hideMark/>
          </w:tcPr>
          <w:p w14:paraId="112F3779"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Ingestion Rate Basis</w:t>
            </w:r>
          </w:p>
        </w:tc>
        <w:tc>
          <w:tcPr>
            <w:tcW w:w="1986" w:type="dxa"/>
            <w:tcBorders>
              <w:top w:val="single" w:sz="4" w:space="0" w:color="auto"/>
              <w:left w:val="nil"/>
              <w:bottom w:val="double" w:sz="6" w:space="0" w:color="auto"/>
              <w:right w:val="nil"/>
            </w:tcBorders>
            <w:shd w:val="clear" w:color="auto" w:fill="DBE5F1" w:themeFill="accent1" w:themeFillTint="33"/>
            <w:vAlign w:val="bottom"/>
            <w:hideMark/>
          </w:tcPr>
          <w:p w14:paraId="5B6FCAA9"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Meals/</w:t>
            </w:r>
            <w:proofErr w:type="spellStart"/>
            <w:r w:rsidRPr="00AA6FDD">
              <w:rPr>
                <w:rFonts w:ascii="Calibri" w:eastAsia="Times New Roman" w:hAnsi="Calibri" w:cs="Calibri"/>
                <w:b/>
                <w:bCs/>
                <w:color w:val="000000"/>
              </w:rPr>
              <w:t>month</w:t>
            </w:r>
            <w:r w:rsidRPr="00AA6FDD">
              <w:rPr>
                <w:rFonts w:ascii="Calibri" w:eastAsia="Times New Roman" w:hAnsi="Calibri" w:cs="Calibri"/>
                <w:b/>
                <w:bCs/>
                <w:i/>
                <w:iCs/>
                <w:color w:val="000000"/>
                <w:vertAlign w:val="superscript"/>
              </w:rPr>
              <w:t>a</w:t>
            </w:r>
            <w:proofErr w:type="spellEnd"/>
          </w:p>
        </w:tc>
        <w:tc>
          <w:tcPr>
            <w:tcW w:w="879" w:type="dxa"/>
            <w:tcBorders>
              <w:top w:val="single" w:sz="4" w:space="0" w:color="auto"/>
              <w:left w:val="nil"/>
              <w:bottom w:val="double" w:sz="6" w:space="0" w:color="auto"/>
              <w:right w:val="nil"/>
            </w:tcBorders>
            <w:shd w:val="clear" w:color="auto" w:fill="DBE5F1" w:themeFill="accent1" w:themeFillTint="33"/>
            <w:vAlign w:val="bottom"/>
            <w:hideMark/>
          </w:tcPr>
          <w:p w14:paraId="6ABEADF4"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Body Weight</w:t>
            </w:r>
            <w:r w:rsidRPr="00AA6FDD">
              <w:rPr>
                <w:rFonts w:ascii="Calibri" w:eastAsia="Times New Roman" w:hAnsi="Calibri" w:cs="Calibri"/>
                <w:b/>
                <w:bCs/>
                <w:color w:val="000000"/>
              </w:rPr>
              <w:br/>
              <w:t>(kg)</w:t>
            </w:r>
          </w:p>
        </w:tc>
        <w:tc>
          <w:tcPr>
            <w:tcW w:w="1168" w:type="dxa"/>
            <w:tcBorders>
              <w:top w:val="single" w:sz="4" w:space="0" w:color="auto"/>
              <w:left w:val="nil"/>
              <w:bottom w:val="double" w:sz="6" w:space="0" w:color="auto"/>
              <w:right w:val="nil"/>
            </w:tcBorders>
            <w:shd w:val="clear" w:color="auto" w:fill="DBE5F1" w:themeFill="accent1" w:themeFillTint="33"/>
            <w:vAlign w:val="bottom"/>
            <w:hideMark/>
          </w:tcPr>
          <w:p w14:paraId="30244D72"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Exposure Frequency</w:t>
            </w:r>
            <w:r w:rsidRPr="00AA6FDD">
              <w:rPr>
                <w:rFonts w:ascii="Calibri" w:eastAsia="Times New Roman" w:hAnsi="Calibri" w:cs="Calibri"/>
                <w:b/>
                <w:bCs/>
                <w:color w:val="000000"/>
              </w:rPr>
              <w:br/>
              <w:t>(days/</w:t>
            </w:r>
            <w:proofErr w:type="spellStart"/>
            <w:r w:rsidRPr="00AA6FDD">
              <w:rPr>
                <w:rFonts w:ascii="Calibri" w:eastAsia="Times New Roman" w:hAnsi="Calibri" w:cs="Calibri"/>
                <w:b/>
                <w:bCs/>
                <w:color w:val="000000"/>
              </w:rPr>
              <w:t>yr</w:t>
            </w:r>
            <w:proofErr w:type="spellEnd"/>
            <w:r w:rsidRPr="00AA6FDD">
              <w:rPr>
                <w:rFonts w:ascii="Calibri" w:eastAsia="Times New Roman" w:hAnsi="Calibri" w:cs="Calibri"/>
                <w:b/>
                <w:bCs/>
                <w:color w:val="000000"/>
              </w:rPr>
              <w:t>)</w:t>
            </w:r>
          </w:p>
        </w:tc>
        <w:tc>
          <w:tcPr>
            <w:tcW w:w="1387" w:type="dxa"/>
            <w:tcBorders>
              <w:top w:val="single" w:sz="4" w:space="0" w:color="auto"/>
              <w:left w:val="nil"/>
              <w:bottom w:val="double" w:sz="6" w:space="0" w:color="auto"/>
              <w:right w:val="nil"/>
            </w:tcBorders>
            <w:shd w:val="clear" w:color="auto" w:fill="DBE5F1" w:themeFill="accent1" w:themeFillTint="33"/>
            <w:vAlign w:val="bottom"/>
            <w:hideMark/>
          </w:tcPr>
          <w:p w14:paraId="7BBBE627"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Event Frequency</w:t>
            </w:r>
            <w:r w:rsidRPr="00AA6FDD">
              <w:rPr>
                <w:rFonts w:ascii="Calibri" w:eastAsia="Times New Roman" w:hAnsi="Calibri" w:cs="Calibri"/>
                <w:b/>
                <w:bCs/>
                <w:color w:val="000000"/>
              </w:rPr>
              <w:br/>
              <w:t>(events/day)</w:t>
            </w:r>
          </w:p>
        </w:tc>
        <w:tc>
          <w:tcPr>
            <w:tcW w:w="820" w:type="dxa"/>
            <w:tcBorders>
              <w:top w:val="single" w:sz="4" w:space="0" w:color="auto"/>
              <w:left w:val="nil"/>
              <w:bottom w:val="double" w:sz="6" w:space="0" w:color="auto"/>
              <w:right w:val="nil"/>
            </w:tcBorders>
            <w:shd w:val="clear" w:color="auto" w:fill="DBE5F1" w:themeFill="accent1" w:themeFillTint="33"/>
            <w:noWrap/>
            <w:vAlign w:val="bottom"/>
            <w:hideMark/>
          </w:tcPr>
          <w:p w14:paraId="72795AE7"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RSC</w:t>
            </w:r>
          </w:p>
        </w:tc>
        <w:tc>
          <w:tcPr>
            <w:tcW w:w="880" w:type="dxa"/>
            <w:tcBorders>
              <w:top w:val="single" w:sz="4" w:space="0" w:color="auto"/>
              <w:left w:val="nil"/>
              <w:bottom w:val="double" w:sz="6" w:space="0" w:color="auto"/>
              <w:right w:val="nil"/>
            </w:tcBorders>
            <w:shd w:val="clear" w:color="auto" w:fill="DBE5F1" w:themeFill="accent1" w:themeFillTint="33"/>
            <w:noWrap/>
            <w:vAlign w:val="bottom"/>
            <w:hideMark/>
          </w:tcPr>
          <w:p w14:paraId="34A1501F"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HQ</w:t>
            </w:r>
          </w:p>
        </w:tc>
      </w:tr>
      <w:tr w:rsidR="00AA6FDD" w:rsidRPr="00AA6FDD" w14:paraId="7338F1AC" w14:textId="77777777" w:rsidTr="005238F3">
        <w:trPr>
          <w:trHeight w:val="340"/>
        </w:trPr>
        <w:tc>
          <w:tcPr>
            <w:tcW w:w="1890" w:type="dxa"/>
            <w:tcBorders>
              <w:top w:val="nil"/>
              <w:left w:val="nil"/>
              <w:bottom w:val="nil"/>
              <w:right w:val="nil"/>
            </w:tcBorders>
            <w:shd w:val="clear" w:color="auto" w:fill="auto"/>
            <w:noWrap/>
            <w:vAlign w:val="center"/>
            <w:hideMark/>
          </w:tcPr>
          <w:p w14:paraId="22C73816"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NJDEP</w:t>
            </w:r>
          </w:p>
        </w:tc>
        <w:tc>
          <w:tcPr>
            <w:tcW w:w="1080" w:type="dxa"/>
            <w:tcBorders>
              <w:top w:val="nil"/>
              <w:left w:val="nil"/>
              <w:bottom w:val="nil"/>
              <w:right w:val="nil"/>
            </w:tcBorders>
            <w:shd w:val="clear" w:color="auto" w:fill="auto"/>
            <w:noWrap/>
            <w:vAlign w:val="center"/>
            <w:hideMark/>
          </w:tcPr>
          <w:p w14:paraId="4FBF6E1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0.56</w:t>
            </w:r>
          </w:p>
        </w:tc>
        <w:tc>
          <w:tcPr>
            <w:tcW w:w="2340" w:type="dxa"/>
            <w:tcBorders>
              <w:top w:val="nil"/>
              <w:left w:val="nil"/>
              <w:bottom w:val="nil"/>
              <w:right w:val="nil"/>
            </w:tcBorders>
            <w:shd w:val="clear" w:color="auto" w:fill="auto"/>
            <w:noWrap/>
            <w:vAlign w:val="center"/>
            <w:hideMark/>
          </w:tcPr>
          <w:p w14:paraId="7DEF8135" w14:textId="77777777" w:rsidR="00AA6FDD" w:rsidRPr="00AA6FDD" w:rsidRDefault="00AA6FDD" w:rsidP="00AA6FDD">
            <w:pPr>
              <w:spacing w:after="0" w:line="240" w:lineRule="auto"/>
              <w:jc w:val="center"/>
              <w:rPr>
                <w:rFonts w:ascii="Calibri" w:eastAsia="Times New Roman" w:hAnsi="Calibri" w:cs="Calibri"/>
                <w:color w:val="000000"/>
              </w:rPr>
            </w:pPr>
            <w:proofErr w:type="spellStart"/>
            <w:r w:rsidRPr="00AA6FDD">
              <w:rPr>
                <w:rFonts w:ascii="Calibri" w:eastAsia="Times New Roman" w:hAnsi="Calibri" w:cs="Calibri"/>
                <w:color w:val="000000"/>
              </w:rPr>
              <w:t>Adult</w:t>
            </w:r>
            <w:r w:rsidRPr="00BD3F49">
              <w:rPr>
                <w:rFonts w:ascii="Calibri" w:eastAsia="Times New Roman" w:hAnsi="Calibri" w:cs="Calibri"/>
                <w:i/>
                <w:iCs/>
                <w:color w:val="000000"/>
                <w:vertAlign w:val="superscript"/>
              </w:rPr>
              <w:t>b</w:t>
            </w:r>
            <w:proofErr w:type="spellEnd"/>
          </w:p>
        </w:tc>
        <w:tc>
          <w:tcPr>
            <w:tcW w:w="1530" w:type="dxa"/>
            <w:tcBorders>
              <w:top w:val="nil"/>
              <w:left w:val="nil"/>
              <w:bottom w:val="nil"/>
              <w:right w:val="nil"/>
            </w:tcBorders>
            <w:shd w:val="clear" w:color="auto" w:fill="auto"/>
            <w:noWrap/>
            <w:vAlign w:val="center"/>
            <w:hideMark/>
          </w:tcPr>
          <w:p w14:paraId="683CBD1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Fish</w:t>
            </w:r>
          </w:p>
        </w:tc>
        <w:tc>
          <w:tcPr>
            <w:tcW w:w="1530" w:type="dxa"/>
            <w:tcBorders>
              <w:top w:val="nil"/>
              <w:left w:val="nil"/>
              <w:bottom w:val="nil"/>
              <w:right w:val="nil"/>
            </w:tcBorders>
            <w:shd w:val="clear" w:color="auto" w:fill="auto"/>
            <w:noWrap/>
            <w:vAlign w:val="center"/>
            <w:hideMark/>
          </w:tcPr>
          <w:p w14:paraId="7D2E4E40"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1.8</w:t>
            </w:r>
          </w:p>
        </w:tc>
        <w:tc>
          <w:tcPr>
            <w:tcW w:w="1710" w:type="dxa"/>
            <w:tcBorders>
              <w:top w:val="nil"/>
              <w:left w:val="nil"/>
              <w:bottom w:val="nil"/>
              <w:right w:val="nil"/>
            </w:tcBorders>
            <w:shd w:val="clear" w:color="auto" w:fill="auto"/>
            <w:noWrap/>
            <w:vAlign w:val="center"/>
            <w:hideMark/>
          </w:tcPr>
          <w:p w14:paraId="747CF0F9"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227</w:t>
            </w:r>
          </w:p>
        </w:tc>
        <w:tc>
          <w:tcPr>
            <w:tcW w:w="4050" w:type="dxa"/>
            <w:tcBorders>
              <w:top w:val="nil"/>
              <w:left w:val="nil"/>
              <w:bottom w:val="nil"/>
              <w:right w:val="nil"/>
            </w:tcBorders>
            <w:shd w:val="clear" w:color="auto" w:fill="auto"/>
            <w:noWrap/>
            <w:vAlign w:val="center"/>
            <w:hideMark/>
          </w:tcPr>
          <w:p w14:paraId="783566E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Assumes daily consumption</w:t>
            </w:r>
          </w:p>
        </w:tc>
        <w:tc>
          <w:tcPr>
            <w:tcW w:w="1986" w:type="dxa"/>
            <w:tcBorders>
              <w:top w:val="nil"/>
              <w:left w:val="nil"/>
              <w:bottom w:val="nil"/>
              <w:right w:val="nil"/>
            </w:tcBorders>
            <w:shd w:val="clear" w:color="auto" w:fill="auto"/>
            <w:noWrap/>
            <w:vAlign w:val="center"/>
            <w:hideMark/>
          </w:tcPr>
          <w:p w14:paraId="33B8D1A1"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Daily</w:t>
            </w:r>
          </w:p>
        </w:tc>
        <w:tc>
          <w:tcPr>
            <w:tcW w:w="879" w:type="dxa"/>
            <w:tcBorders>
              <w:top w:val="nil"/>
              <w:left w:val="nil"/>
              <w:bottom w:val="nil"/>
              <w:right w:val="nil"/>
            </w:tcBorders>
            <w:shd w:val="clear" w:color="auto" w:fill="auto"/>
            <w:noWrap/>
            <w:vAlign w:val="center"/>
            <w:hideMark/>
          </w:tcPr>
          <w:p w14:paraId="544EEC1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70</w:t>
            </w:r>
          </w:p>
        </w:tc>
        <w:tc>
          <w:tcPr>
            <w:tcW w:w="1168" w:type="dxa"/>
            <w:tcBorders>
              <w:top w:val="nil"/>
              <w:left w:val="nil"/>
              <w:bottom w:val="nil"/>
              <w:right w:val="nil"/>
            </w:tcBorders>
            <w:shd w:val="clear" w:color="auto" w:fill="auto"/>
            <w:noWrap/>
            <w:vAlign w:val="center"/>
            <w:hideMark/>
          </w:tcPr>
          <w:p w14:paraId="72C54AE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365</w:t>
            </w:r>
          </w:p>
        </w:tc>
        <w:tc>
          <w:tcPr>
            <w:tcW w:w="1387" w:type="dxa"/>
            <w:tcBorders>
              <w:top w:val="nil"/>
              <w:left w:val="nil"/>
              <w:bottom w:val="nil"/>
              <w:right w:val="nil"/>
            </w:tcBorders>
            <w:shd w:val="clear" w:color="auto" w:fill="auto"/>
            <w:noWrap/>
            <w:vAlign w:val="center"/>
            <w:hideMark/>
          </w:tcPr>
          <w:p w14:paraId="15D7AAD5"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bottom w:val="nil"/>
              <w:right w:val="nil"/>
            </w:tcBorders>
            <w:shd w:val="clear" w:color="auto" w:fill="auto"/>
            <w:noWrap/>
            <w:vAlign w:val="center"/>
            <w:hideMark/>
          </w:tcPr>
          <w:p w14:paraId="0DC16D4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bottom w:val="nil"/>
              <w:right w:val="nil"/>
            </w:tcBorders>
            <w:shd w:val="clear" w:color="auto" w:fill="auto"/>
            <w:noWrap/>
            <w:vAlign w:val="center"/>
            <w:hideMark/>
          </w:tcPr>
          <w:p w14:paraId="508AADC3"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r>
      <w:tr w:rsidR="00AA6FDD" w:rsidRPr="00AA6FDD" w14:paraId="56704A48" w14:textId="77777777" w:rsidTr="005238F3">
        <w:trPr>
          <w:trHeight w:val="620"/>
        </w:trPr>
        <w:tc>
          <w:tcPr>
            <w:tcW w:w="1890" w:type="dxa"/>
            <w:tcBorders>
              <w:top w:val="nil"/>
              <w:left w:val="nil"/>
              <w:bottom w:val="nil"/>
              <w:right w:val="nil"/>
            </w:tcBorders>
            <w:shd w:val="clear" w:color="auto" w:fill="D9D9D9" w:themeFill="background1" w:themeFillShade="D9"/>
            <w:noWrap/>
            <w:vAlign w:val="center"/>
            <w:hideMark/>
          </w:tcPr>
          <w:p w14:paraId="6A9C3989"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MDPH</w:t>
            </w:r>
          </w:p>
        </w:tc>
        <w:tc>
          <w:tcPr>
            <w:tcW w:w="1080" w:type="dxa"/>
            <w:tcBorders>
              <w:top w:val="nil"/>
              <w:left w:val="nil"/>
              <w:bottom w:val="nil"/>
              <w:right w:val="nil"/>
            </w:tcBorders>
            <w:shd w:val="clear" w:color="auto" w:fill="D9D9D9" w:themeFill="background1" w:themeFillShade="D9"/>
            <w:noWrap/>
            <w:vAlign w:val="center"/>
            <w:hideMark/>
          </w:tcPr>
          <w:p w14:paraId="065825E6"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0.22</w:t>
            </w:r>
          </w:p>
        </w:tc>
        <w:tc>
          <w:tcPr>
            <w:tcW w:w="2340" w:type="dxa"/>
            <w:tcBorders>
              <w:top w:val="nil"/>
              <w:left w:val="nil"/>
              <w:bottom w:val="nil"/>
              <w:right w:val="nil"/>
            </w:tcBorders>
            <w:shd w:val="clear" w:color="auto" w:fill="D9D9D9" w:themeFill="background1" w:themeFillShade="D9"/>
            <w:vAlign w:val="center"/>
            <w:hideMark/>
          </w:tcPr>
          <w:p w14:paraId="7EB295F5"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Child</w:t>
            </w:r>
            <w:r w:rsidRPr="00AA6FDD">
              <w:rPr>
                <w:rFonts w:ascii="Calibri" w:eastAsia="Times New Roman" w:hAnsi="Calibri" w:cs="Calibri"/>
                <w:b/>
                <w:bCs/>
                <w:color w:val="000000"/>
              </w:rPr>
              <w:br/>
              <w:t>(1 - 3 years)</w:t>
            </w:r>
          </w:p>
        </w:tc>
        <w:tc>
          <w:tcPr>
            <w:tcW w:w="1530" w:type="dxa"/>
            <w:tcBorders>
              <w:top w:val="nil"/>
              <w:left w:val="nil"/>
              <w:bottom w:val="nil"/>
              <w:right w:val="nil"/>
            </w:tcBorders>
            <w:shd w:val="clear" w:color="auto" w:fill="D9D9D9" w:themeFill="background1" w:themeFillShade="D9"/>
            <w:noWrap/>
            <w:vAlign w:val="center"/>
            <w:hideMark/>
          </w:tcPr>
          <w:p w14:paraId="242FDB0E"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Fish</w:t>
            </w:r>
          </w:p>
        </w:tc>
        <w:tc>
          <w:tcPr>
            <w:tcW w:w="1530" w:type="dxa"/>
            <w:tcBorders>
              <w:top w:val="nil"/>
              <w:left w:val="nil"/>
              <w:bottom w:val="nil"/>
              <w:right w:val="nil"/>
            </w:tcBorders>
            <w:shd w:val="clear" w:color="auto" w:fill="D9D9D9" w:themeFill="background1" w:themeFillShade="D9"/>
            <w:noWrap/>
            <w:vAlign w:val="center"/>
            <w:hideMark/>
          </w:tcPr>
          <w:p w14:paraId="5AF37616"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2</w:t>
            </w:r>
          </w:p>
        </w:tc>
        <w:tc>
          <w:tcPr>
            <w:tcW w:w="1710" w:type="dxa"/>
            <w:tcBorders>
              <w:top w:val="nil"/>
              <w:left w:val="nil"/>
              <w:bottom w:val="nil"/>
              <w:right w:val="nil"/>
            </w:tcBorders>
            <w:shd w:val="clear" w:color="auto" w:fill="D9D9D9" w:themeFill="background1" w:themeFillShade="D9"/>
            <w:noWrap/>
            <w:vAlign w:val="center"/>
            <w:hideMark/>
          </w:tcPr>
          <w:p w14:paraId="49060734"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113.4</w:t>
            </w:r>
          </w:p>
        </w:tc>
        <w:tc>
          <w:tcPr>
            <w:tcW w:w="4050" w:type="dxa"/>
            <w:tcBorders>
              <w:top w:val="nil"/>
              <w:left w:val="nil"/>
              <w:bottom w:val="nil"/>
              <w:right w:val="nil"/>
            </w:tcBorders>
            <w:shd w:val="clear" w:color="auto" w:fill="D9D9D9" w:themeFill="background1" w:themeFillShade="D9"/>
            <w:noWrap/>
            <w:vAlign w:val="center"/>
            <w:hideMark/>
          </w:tcPr>
          <w:p w14:paraId="074F2E3C" w14:textId="489C1B96"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 xml:space="preserve">Assumes daily </w:t>
            </w:r>
            <w:proofErr w:type="spellStart"/>
            <w:r w:rsidRPr="00AA6FDD">
              <w:rPr>
                <w:rFonts w:ascii="Calibri" w:eastAsia="Times New Roman" w:hAnsi="Calibri" w:cs="Calibri"/>
                <w:b/>
                <w:bCs/>
                <w:color w:val="000000"/>
              </w:rPr>
              <w:t>consumption</w:t>
            </w:r>
            <w:r w:rsidR="00F4305D" w:rsidRPr="00F4305D">
              <w:rPr>
                <w:rFonts w:ascii="Calibri" w:eastAsia="Times New Roman" w:hAnsi="Calibri" w:cs="Calibri"/>
                <w:b/>
                <w:bCs/>
                <w:color w:val="000000"/>
                <w:vertAlign w:val="superscript"/>
              </w:rPr>
              <w:t>c</w:t>
            </w:r>
            <w:proofErr w:type="spellEnd"/>
            <w:r w:rsidR="00F4305D">
              <w:rPr>
                <w:rFonts w:ascii="Calibri" w:eastAsia="Times New Roman" w:hAnsi="Calibri" w:cs="Calibri"/>
                <w:b/>
                <w:bCs/>
                <w:color w:val="000000"/>
              </w:rPr>
              <w:t xml:space="preserve"> </w:t>
            </w:r>
          </w:p>
        </w:tc>
        <w:tc>
          <w:tcPr>
            <w:tcW w:w="1986" w:type="dxa"/>
            <w:tcBorders>
              <w:top w:val="nil"/>
              <w:left w:val="nil"/>
              <w:bottom w:val="nil"/>
              <w:right w:val="nil"/>
            </w:tcBorders>
            <w:shd w:val="clear" w:color="auto" w:fill="D9D9D9" w:themeFill="background1" w:themeFillShade="D9"/>
            <w:vAlign w:val="center"/>
            <w:hideMark/>
          </w:tcPr>
          <w:p w14:paraId="03AD6D32" w14:textId="0C766126"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30.</w:t>
            </w:r>
            <w:r w:rsidR="00564CA4">
              <w:rPr>
                <w:rFonts w:ascii="Calibri" w:eastAsia="Times New Roman" w:hAnsi="Calibri" w:cs="Calibri"/>
                <w:b/>
                <w:bCs/>
                <w:color w:val="000000"/>
              </w:rPr>
              <w:t>4</w:t>
            </w:r>
          </w:p>
        </w:tc>
        <w:tc>
          <w:tcPr>
            <w:tcW w:w="879" w:type="dxa"/>
            <w:tcBorders>
              <w:top w:val="nil"/>
              <w:left w:val="nil"/>
              <w:bottom w:val="nil"/>
              <w:right w:val="nil"/>
            </w:tcBorders>
            <w:shd w:val="clear" w:color="auto" w:fill="D9D9D9" w:themeFill="background1" w:themeFillShade="D9"/>
            <w:noWrap/>
            <w:vAlign w:val="center"/>
            <w:hideMark/>
          </w:tcPr>
          <w:p w14:paraId="2F42CFE3"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12.6</w:t>
            </w:r>
          </w:p>
        </w:tc>
        <w:tc>
          <w:tcPr>
            <w:tcW w:w="1168" w:type="dxa"/>
            <w:tcBorders>
              <w:top w:val="nil"/>
              <w:left w:val="nil"/>
              <w:bottom w:val="nil"/>
              <w:right w:val="nil"/>
            </w:tcBorders>
            <w:shd w:val="clear" w:color="auto" w:fill="D9D9D9" w:themeFill="background1" w:themeFillShade="D9"/>
            <w:noWrap/>
            <w:vAlign w:val="center"/>
            <w:hideMark/>
          </w:tcPr>
          <w:p w14:paraId="312DFE33"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365</w:t>
            </w:r>
          </w:p>
        </w:tc>
        <w:tc>
          <w:tcPr>
            <w:tcW w:w="1387" w:type="dxa"/>
            <w:tcBorders>
              <w:top w:val="nil"/>
              <w:left w:val="nil"/>
              <w:bottom w:val="nil"/>
              <w:right w:val="nil"/>
            </w:tcBorders>
            <w:shd w:val="clear" w:color="auto" w:fill="D9D9D9" w:themeFill="background1" w:themeFillShade="D9"/>
            <w:noWrap/>
            <w:vAlign w:val="center"/>
            <w:hideMark/>
          </w:tcPr>
          <w:p w14:paraId="4C7DAFFC"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1</w:t>
            </w:r>
          </w:p>
        </w:tc>
        <w:tc>
          <w:tcPr>
            <w:tcW w:w="820" w:type="dxa"/>
            <w:tcBorders>
              <w:top w:val="nil"/>
              <w:left w:val="nil"/>
              <w:bottom w:val="nil"/>
              <w:right w:val="nil"/>
            </w:tcBorders>
            <w:shd w:val="clear" w:color="auto" w:fill="D9D9D9" w:themeFill="background1" w:themeFillShade="D9"/>
            <w:noWrap/>
            <w:vAlign w:val="center"/>
            <w:hideMark/>
          </w:tcPr>
          <w:p w14:paraId="0CD53F00"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1</w:t>
            </w:r>
          </w:p>
        </w:tc>
        <w:tc>
          <w:tcPr>
            <w:tcW w:w="880" w:type="dxa"/>
            <w:tcBorders>
              <w:top w:val="nil"/>
              <w:left w:val="nil"/>
              <w:bottom w:val="nil"/>
              <w:right w:val="nil"/>
            </w:tcBorders>
            <w:shd w:val="clear" w:color="auto" w:fill="D9D9D9" w:themeFill="background1" w:themeFillShade="D9"/>
            <w:noWrap/>
            <w:vAlign w:val="center"/>
            <w:hideMark/>
          </w:tcPr>
          <w:p w14:paraId="6BDE9E6A" w14:textId="77777777" w:rsidR="00AA6FDD" w:rsidRPr="00AA6FDD" w:rsidRDefault="00AA6FDD" w:rsidP="00AA6FDD">
            <w:pPr>
              <w:spacing w:after="0" w:line="240" w:lineRule="auto"/>
              <w:jc w:val="center"/>
              <w:rPr>
                <w:rFonts w:ascii="Calibri" w:eastAsia="Times New Roman" w:hAnsi="Calibri" w:cs="Calibri"/>
                <w:b/>
                <w:bCs/>
                <w:color w:val="000000"/>
              </w:rPr>
            </w:pPr>
            <w:r w:rsidRPr="00AA6FDD">
              <w:rPr>
                <w:rFonts w:ascii="Calibri" w:eastAsia="Times New Roman" w:hAnsi="Calibri" w:cs="Calibri"/>
                <w:b/>
                <w:bCs/>
                <w:color w:val="000000"/>
              </w:rPr>
              <w:t>1</w:t>
            </w:r>
          </w:p>
        </w:tc>
      </w:tr>
      <w:tr w:rsidR="00AA6FDD" w:rsidRPr="00AA6FDD" w14:paraId="37E3B2C7" w14:textId="77777777" w:rsidTr="00CA18C1">
        <w:trPr>
          <w:trHeight w:val="936"/>
        </w:trPr>
        <w:tc>
          <w:tcPr>
            <w:tcW w:w="1890" w:type="dxa"/>
            <w:tcBorders>
              <w:top w:val="nil"/>
              <w:left w:val="nil"/>
              <w:bottom w:val="nil"/>
              <w:right w:val="nil"/>
            </w:tcBorders>
            <w:shd w:val="clear" w:color="auto" w:fill="auto"/>
            <w:noWrap/>
            <w:vAlign w:val="center"/>
            <w:hideMark/>
          </w:tcPr>
          <w:p w14:paraId="1427679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NHDES</w:t>
            </w:r>
          </w:p>
        </w:tc>
        <w:tc>
          <w:tcPr>
            <w:tcW w:w="1080" w:type="dxa"/>
            <w:tcBorders>
              <w:top w:val="nil"/>
              <w:left w:val="nil"/>
              <w:bottom w:val="nil"/>
              <w:right w:val="nil"/>
            </w:tcBorders>
            <w:shd w:val="clear" w:color="auto" w:fill="auto"/>
            <w:noWrap/>
            <w:vAlign w:val="center"/>
            <w:hideMark/>
          </w:tcPr>
          <w:p w14:paraId="46BE86B7"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0.78</w:t>
            </w:r>
          </w:p>
        </w:tc>
        <w:tc>
          <w:tcPr>
            <w:tcW w:w="2340" w:type="dxa"/>
            <w:tcBorders>
              <w:top w:val="nil"/>
              <w:left w:val="nil"/>
              <w:bottom w:val="nil"/>
              <w:right w:val="nil"/>
            </w:tcBorders>
            <w:shd w:val="clear" w:color="auto" w:fill="auto"/>
            <w:vAlign w:val="center"/>
            <w:hideMark/>
          </w:tcPr>
          <w:p w14:paraId="1642F96B"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Child</w:t>
            </w:r>
            <w:r w:rsidRPr="00AA6FDD">
              <w:rPr>
                <w:rFonts w:ascii="Calibri" w:eastAsia="Times New Roman" w:hAnsi="Calibri" w:cs="Calibri"/>
                <w:color w:val="000000"/>
              </w:rPr>
              <w:br/>
              <w:t>(1 - 6 years)</w:t>
            </w:r>
          </w:p>
        </w:tc>
        <w:tc>
          <w:tcPr>
            <w:tcW w:w="1530" w:type="dxa"/>
            <w:tcBorders>
              <w:top w:val="nil"/>
              <w:left w:val="nil"/>
              <w:bottom w:val="nil"/>
              <w:right w:val="nil"/>
            </w:tcBorders>
            <w:shd w:val="clear" w:color="auto" w:fill="auto"/>
            <w:noWrap/>
            <w:vAlign w:val="center"/>
            <w:hideMark/>
          </w:tcPr>
          <w:p w14:paraId="226736AB" w14:textId="457D5F3F" w:rsidR="00AA6FDD" w:rsidRPr="00AA6FDD" w:rsidRDefault="00DD109C" w:rsidP="00AA6FDD">
            <w:pPr>
              <w:spacing w:after="0" w:line="240" w:lineRule="auto"/>
              <w:jc w:val="center"/>
              <w:rPr>
                <w:rFonts w:ascii="Calibri" w:eastAsia="Times New Roman" w:hAnsi="Calibri" w:cs="Calibri"/>
                <w:color w:val="000000"/>
              </w:rPr>
            </w:pPr>
            <w:proofErr w:type="spellStart"/>
            <w:r w:rsidRPr="00AA6FDD">
              <w:rPr>
                <w:rFonts w:ascii="Calibri" w:eastAsia="Times New Roman" w:hAnsi="Calibri" w:cs="Calibri"/>
                <w:color w:val="000000"/>
              </w:rPr>
              <w:t>Fish</w:t>
            </w:r>
            <w:r w:rsidR="0069317E">
              <w:rPr>
                <w:rFonts w:ascii="Calibri" w:eastAsia="Times New Roman" w:hAnsi="Calibri" w:cs="Calibri"/>
                <w:i/>
                <w:iCs/>
                <w:color w:val="000000"/>
                <w:vertAlign w:val="superscript"/>
              </w:rPr>
              <w:t>d</w:t>
            </w:r>
            <w:proofErr w:type="spellEnd"/>
          </w:p>
        </w:tc>
        <w:tc>
          <w:tcPr>
            <w:tcW w:w="1530" w:type="dxa"/>
            <w:tcBorders>
              <w:top w:val="nil"/>
              <w:left w:val="nil"/>
              <w:bottom w:val="nil"/>
              <w:right w:val="nil"/>
            </w:tcBorders>
            <w:shd w:val="clear" w:color="auto" w:fill="auto"/>
            <w:noWrap/>
            <w:vAlign w:val="center"/>
            <w:hideMark/>
          </w:tcPr>
          <w:p w14:paraId="6CA90BD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w:t>
            </w:r>
          </w:p>
        </w:tc>
        <w:tc>
          <w:tcPr>
            <w:tcW w:w="1710" w:type="dxa"/>
            <w:tcBorders>
              <w:top w:val="nil"/>
              <w:left w:val="nil"/>
              <w:bottom w:val="nil"/>
              <w:right w:val="nil"/>
            </w:tcBorders>
            <w:shd w:val="clear" w:color="auto" w:fill="auto"/>
            <w:noWrap/>
            <w:vAlign w:val="center"/>
            <w:hideMark/>
          </w:tcPr>
          <w:p w14:paraId="2C375EFE"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6.0</w:t>
            </w:r>
          </w:p>
        </w:tc>
        <w:tc>
          <w:tcPr>
            <w:tcW w:w="4050" w:type="dxa"/>
            <w:tcBorders>
              <w:top w:val="nil"/>
              <w:left w:val="nil"/>
              <w:bottom w:val="nil"/>
              <w:right w:val="nil"/>
            </w:tcBorders>
            <w:shd w:val="clear" w:color="auto" w:fill="auto"/>
            <w:vAlign w:val="center"/>
            <w:hideMark/>
          </w:tcPr>
          <w:p w14:paraId="6343F8B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95th%ile UFCR</w:t>
            </w:r>
            <w:r w:rsidRPr="00AA6FDD">
              <w:rPr>
                <w:rFonts w:ascii="Calibri" w:eastAsia="Times New Roman" w:hAnsi="Calibri" w:cs="Calibri"/>
                <w:color w:val="000000"/>
              </w:rPr>
              <w:br/>
              <w:t>Freshwater &amp; estuarine fish, Northeast</w:t>
            </w:r>
            <w:r w:rsidRPr="00AA6FDD">
              <w:rPr>
                <w:rFonts w:ascii="Calibri" w:eastAsia="Times New Roman" w:hAnsi="Calibri" w:cs="Calibri"/>
                <w:color w:val="000000"/>
              </w:rPr>
              <w:br/>
              <w:t>(US EPA, 2014; Table 20a)</w:t>
            </w:r>
          </w:p>
        </w:tc>
        <w:tc>
          <w:tcPr>
            <w:tcW w:w="1986" w:type="dxa"/>
            <w:tcBorders>
              <w:top w:val="nil"/>
              <w:left w:val="nil"/>
              <w:bottom w:val="nil"/>
              <w:right w:val="nil"/>
            </w:tcBorders>
            <w:shd w:val="clear" w:color="auto" w:fill="auto"/>
            <w:vAlign w:val="center"/>
            <w:hideMark/>
          </w:tcPr>
          <w:p w14:paraId="41AA228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1.6</w:t>
            </w:r>
          </w:p>
        </w:tc>
        <w:tc>
          <w:tcPr>
            <w:tcW w:w="879" w:type="dxa"/>
            <w:tcBorders>
              <w:top w:val="nil"/>
              <w:left w:val="nil"/>
              <w:bottom w:val="nil"/>
              <w:right w:val="nil"/>
            </w:tcBorders>
            <w:shd w:val="clear" w:color="auto" w:fill="auto"/>
            <w:noWrap/>
            <w:vAlign w:val="center"/>
            <w:hideMark/>
          </w:tcPr>
          <w:p w14:paraId="36FC8EC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15</w:t>
            </w:r>
          </w:p>
        </w:tc>
        <w:tc>
          <w:tcPr>
            <w:tcW w:w="1168" w:type="dxa"/>
            <w:tcBorders>
              <w:top w:val="nil"/>
              <w:left w:val="nil"/>
              <w:bottom w:val="nil"/>
              <w:right w:val="nil"/>
            </w:tcBorders>
            <w:shd w:val="clear" w:color="auto" w:fill="auto"/>
            <w:noWrap/>
            <w:vAlign w:val="center"/>
            <w:hideMark/>
          </w:tcPr>
          <w:p w14:paraId="11FD74E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350</w:t>
            </w:r>
          </w:p>
        </w:tc>
        <w:tc>
          <w:tcPr>
            <w:tcW w:w="1387" w:type="dxa"/>
            <w:tcBorders>
              <w:top w:val="nil"/>
              <w:left w:val="nil"/>
              <w:bottom w:val="nil"/>
              <w:right w:val="nil"/>
            </w:tcBorders>
            <w:shd w:val="clear" w:color="auto" w:fill="auto"/>
            <w:noWrap/>
            <w:vAlign w:val="center"/>
            <w:hideMark/>
          </w:tcPr>
          <w:p w14:paraId="437AA63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bottom w:val="nil"/>
              <w:right w:val="nil"/>
            </w:tcBorders>
            <w:shd w:val="clear" w:color="auto" w:fill="auto"/>
            <w:noWrap/>
            <w:vAlign w:val="center"/>
            <w:hideMark/>
          </w:tcPr>
          <w:p w14:paraId="5348A10B"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bottom w:val="nil"/>
              <w:right w:val="nil"/>
            </w:tcBorders>
            <w:shd w:val="clear" w:color="auto" w:fill="auto"/>
            <w:noWrap/>
            <w:vAlign w:val="center"/>
            <w:hideMark/>
          </w:tcPr>
          <w:p w14:paraId="2456FAE4"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0.1</w:t>
            </w:r>
          </w:p>
        </w:tc>
      </w:tr>
      <w:tr w:rsidR="00AA6FDD" w:rsidRPr="00AA6FDD" w14:paraId="7B757575" w14:textId="77777777" w:rsidTr="00CA18C1">
        <w:trPr>
          <w:trHeight w:val="936"/>
        </w:trPr>
        <w:tc>
          <w:tcPr>
            <w:tcW w:w="1890" w:type="dxa"/>
            <w:tcBorders>
              <w:top w:val="nil"/>
              <w:left w:val="nil"/>
              <w:bottom w:val="nil"/>
              <w:right w:val="nil"/>
            </w:tcBorders>
            <w:shd w:val="clear" w:color="auto" w:fill="auto"/>
            <w:noWrap/>
            <w:vAlign w:val="center"/>
            <w:hideMark/>
          </w:tcPr>
          <w:p w14:paraId="354E4DBE"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NHDES</w:t>
            </w:r>
          </w:p>
        </w:tc>
        <w:tc>
          <w:tcPr>
            <w:tcW w:w="1080" w:type="dxa"/>
            <w:tcBorders>
              <w:top w:val="nil"/>
              <w:left w:val="nil"/>
              <w:bottom w:val="nil"/>
              <w:right w:val="nil"/>
            </w:tcBorders>
            <w:shd w:val="clear" w:color="auto" w:fill="auto"/>
            <w:noWrap/>
            <w:vAlign w:val="center"/>
            <w:hideMark/>
          </w:tcPr>
          <w:p w14:paraId="18093683"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1.08</w:t>
            </w:r>
          </w:p>
        </w:tc>
        <w:tc>
          <w:tcPr>
            <w:tcW w:w="2340" w:type="dxa"/>
            <w:tcBorders>
              <w:top w:val="nil"/>
              <w:left w:val="nil"/>
              <w:bottom w:val="nil"/>
              <w:right w:val="nil"/>
            </w:tcBorders>
            <w:shd w:val="clear" w:color="auto" w:fill="auto"/>
            <w:noWrap/>
            <w:vAlign w:val="center"/>
            <w:hideMark/>
          </w:tcPr>
          <w:p w14:paraId="347CF3D1"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Adult</w:t>
            </w:r>
          </w:p>
        </w:tc>
        <w:tc>
          <w:tcPr>
            <w:tcW w:w="1530" w:type="dxa"/>
            <w:tcBorders>
              <w:top w:val="nil"/>
              <w:left w:val="nil"/>
              <w:bottom w:val="nil"/>
              <w:right w:val="nil"/>
            </w:tcBorders>
            <w:shd w:val="clear" w:color="auto" w:fill="auto"/>
            <w:noWrap/>
            <w:vAlign w:val="center"/>
            <w:hideMark/>
          </w:tcPr>
          <w:p w14:paraId="38A2638E" w14:textId="7D9B285E" w:rsidR="00AA6FDD" w:rsidRPr="00AA6FDD" w:rsidRDefault="0069317E" w:rsidP="00AA6FDD">
            <w:pPr>
              <w:spacing w:after="0" w:line="240" w:lineRule="auto"/>
              <w:jc w:val="center"/>
              <w:rPr>
                <w:rFonts w:ascii="Calibri" w:eastAsia="Times New Roman" w:hAnsi="Calibri" w:cs="Calibri"/>
                <w:color w:val="000000"/>
              </w:rPr>
            </w:pPr>
            <w:proofErr w:type="spellStart"/>
            <w:r w:rsidRPr="00AA6FDD">
              <w:rPr>
                <w:rFonts w:ascii="Calibri" w:eastAsia="Times New Roman" w:hAnsi="Calibri" w:cs="Calibri"/>
                <w:color w:val="000000"/>
              </w:rPr>
              <w:t>Fish</w:t>
            </w:r>
            <w:r>
              <w:rPr>
                <w:rFonts w:ascii="Calibri" w:eastAsia="Times New Roman" w:hAnsi="Calibri" w:cs="Calibri"/>
                <w:i/>
                <w:iCs/>
                <w:color w:val="000000"/>
                <w:vertAlign w:val="superscript"/>
              </w:rPr>
              <w:t>d</w:t>
            </w:r>
            <w:proofErr w:type="spellEnd"/>
          </w:p>
        </w:tc>
        <w:tc>
          <w:tcPr>
            <w:tcW w:w="1530" w:type="dxa"/>
            <w:tcBorders>
              <w:top w:val="nil"/>
              <w:left w:val="nil"/>
              <w:bottom w:val="nil"/>
              <w:right w:val="nil"/>
            </w:tcBorders>
            <w:shd w:val="clear" w:color="auto" w:fill="auto"/>
            <w:noWrap/>
            <w:vAlign w:val="center"/>
            <w:hideMark/>
          </w:tcPr>
          <w:p w14:paraId="48D21521"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w:t>
            </w:r>
          </w:p>
        </w:tc>
        <w:tc>
          <w:tcPr>
            <w:tcW w:w="1710" w:type="dxa"/>
            <w:tcBorders>
              <w:top w:val="nil"/>
              <w:left w:val="nil"/>
              <w:bottom w:val="nil"/>
              <w:right w:val="nil"/>
            </w:tcBorders>
            <w:shd w:val="clear" w:color="auto" w:fill="auto"/>
            <w:noWrap/>
            <w:vAlign w:val="center"/>
            <w:hideMark/>
          </w:tcPr>
          <w:p w14:paraId="3E8164F6"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23.1</w:t>
            </w:r>
          </w:p>
        </w:tc>
        <w:tc>
          <w:tcPr>
            <w:tcW w:w="4050" w:type="dxa"/>
            <w:tcBorders>
              <w:top w:val="nil"/>
              <w:left w:val="nil"/>
              <w:bottom w:val="nil"/>
              <w:right w:val="nil"/>
            </w:tcBorders>
            <w:shd w:val="clear" w:color="auto" w:fill="auto"/>
            <w:vAlign w:val="center"/>
            <w:hideMark/>
          </w:tcPr>
          <w:p w14:paraId="050B0045"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90th%ile UFCR</w:t>
            </w:r>
            <w:r w:rsidRPr="00AA6FDD">
              <w:rPr>
                <w:rFonts w:ascii="Calibri" w:eastAsia="Times New Roman" w:hAnsi="Calibri" w:cs="Calibri"/>
                <w:color w:val="000000"/>
              </w:rPr>
              <w:br/>
              <w:t>Freshwater &amp; estuarine fish, Northeast</w:t>
            </w:r>
            <w:r w:rsidRPr="00AA6FDD">
              <w:rPr>
                <w:rFonts w:ascii="Calibri" w:eastAsia="Times New Roman" w:hAnsi="Calibri" w:cs="Calibri"/>
                <w:color w:val="000000"/>
              </w:rPr>
              <w:br/>
              <w:t>(US EPA, 2014; Table 9b)</w:t>
            </w:r>
          </w:p>
        </w:tc>
        <w:tc>
          <w:tcPr>
            <w:tcW w:w="1986" w:type="dxa"/>
            <w:tcBorders>
              <w:top w:val="nil"/>
              <w:left w:val="nil"/>
              <w:bottom w:val="nil"/>
              <w:right w:val="nil"/>
            </w:tcBorders>
            <w:shd w:val="clear" w:color="auto" w:fill="auto"/>
            <w:vAlign w:val="center"/>
            <w:hideMark/>
          </w:tcPr>
          <w:p w14:paraId="121614C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3.1</w:t>
            </w:r>
          </w:p>
        </w:tc>
        <w:tc>
          <w:tcPr>
            <w:tcW w:w="879" w:type="dxa"/>
            <w:tcBorders>
              <w:top w:val="nil"/>
              <w:left w:val="nil"/>
              <w:bottom w:val="nil"/>
              <w:right w:val="nil"/>
            </w:tcBorders>
            <w:shd w:val="clear" w:color="auto" w:fill="auto"/>
            <w:noWrap/>
            <w:vAlign w:val="center"/>
            <w:hideMark/>
          </w:tcPr>
          <w:p w14:paraId="74291673"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80</w:t>
            </w:r>
          </w:p>
        </w:tc>
        <w:tc>
          <w:tcPr>
            <w:tcW w:w="1168" w:type="dxa"/>
            <w:tcBorders>
              <w:top w:val="nil"/>
              <w:left w:val="nil"/>
              <w:bottom w:val="nil"/>
              <w:right w:val="nil"/>
            </w:tcBorders>
            <w:shd w:val="clear" w:color="auto" w:fill="auto"/>
            <w:noWrap/>
            <w:vAlign w:val="center"/>
            <w:hideMark/>
          </w:tcPr>
          <w:p w14:paraId="674F1E0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350</w:t>
            </w:r>
          </w:p>
        </w:tc>
        <w:tc>
          <w:tcPr>
            <w:tcW w:w="1387" w:type="dxa"/>
            <w:tcBorders>
              <w:top w:val="nil"/>
              <w:left w:val="nil"/>
              <w:bottom w:val="nil"/>
              <w:right w:val="nil"/>
            </w:tcBorders>
            <w:shd w:val="clear" w:color="auto" w:fill="auto"/>
            <w:noWrap/>
            <w:vAlign w:val="center"/>
            <w:hideMark/>
          </w:tcPr>
          <w:p w14:paraId="613FF43E"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bottom w:val="nil"/>
              <w:right w:val="nil"/>
            </w:tcBorders>
            <w:shd w:val="clear" w:color="auto" w:fill="auto"/>
            <w:noWrap/>
            <w:vAlign w:val="center"/>
            <w:hideMark/>
          </w:tcPr>
          <w:p w14:paraId="6D89D87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bottom w:val="nil"/>
              <w:right w:val="nil"/>
            </w:tcBorders>
            <w:shd w:val="clear" w:color="auto" w:fill="auto"/>
            <w:noWrap/>
            <w:vAlign w:val="center"/>
            <w:hideMark/>
          </w:tcPr>
          <w:p w14:paraId="5C426DA7"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0.1</w:t>
            </w:r>
          </w:p>
        </w:tc>
      </w:tr>
      <w:tr w:rsidR="00AA6FDD" w:rsidRPr="00AA6FDD" w14:paraId="14AD4605" w14:textId="77777777" w:rsidTr="00CA18C1">
        <w:trPr>
          <w:trHeight w:val="720"/>
        </w:trPr>
        <w:tc>
          <w:tcPr>
            <w:tcW w:w="1890" w:type="dxa"/>
            <w:tcBorders>
              <w:top w:val="nil"/>
              <w:left w:val="nil"/>
              <w:bottom w:val="nil"/>
              <w:right w:val="nil"/>
            </w:tcBorders>
            <w:shd w:val="clear" w:color="auto" w:fill="auto"/>
            <w:noWrap/>
            <w:vAlign w:val="center"/>
            <w:hideMark/>
          </w:tcPr>
          <w:p w14:paraId="4920F410" w14:textId="551A63D2" w:rsidR="00AA6FDD" w:rsidRPr="00AA6FDD" w:rsidRDefault="00DD109C"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 xml:space="preserve">US </w:t>
            </w:r>
            <w:proofErr w:type="spellStart"/>
            <w:r w:rsidRPr="00AA6FDD">
              <w:rPr>
                <w:rFonts w:ascii="Calibri" w:eastAsia="Times New Roman" w:hAnsi="Calibri" w:cs="Calibri"/>
                <w:color w:val="000000"/>
              </w:rPr>
              <w:t>EPA</w:t>
            </w:r>
            <w:r w:rsidR="00A76354">
              <w:rPr>
                <w:rFonts w:ascii="Calibri" w:eastAsia="Times New Roman" w:hAnsi="Calibri" w:cs="Calibri"/>
                <w:i/>
                <w:iCs/>
                <w:color w:val="000000"/>
                <w:vertAlign w:val="superscript"/>
              </w:rPr>
              <w:t>e</w:t>
            </w:r>
            <w:proofErr w:type="spellEnd"/>
          </w:p>
        </w:tc>
        <w:tc>
          <w:tcPr>
            <w:tcW w:w="1080" w:type="dxa"/>
            <w:tcBorders>
              <w:top w:val="nil"/>
              <w:left w:val="nil"/>
              <w:bottom w:val="nil"/>
              <w:right w:val="nil"/>
            </w:tcBorders>
            <w:shd w:val="clear" w:color="auto" w:fill="auto"/>
            <w:noWrap/>
            <w:vAlign w:val="center"/>
            <w:hideMark/>
          </w:tcPr>
          <w:p w14:paraId="103FF7B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5.59</w:t>
            </w:r>
          </w:p>
        </w:tc>
        <w:tc>
          <w:tcPr>
            <w:tcW w:w="2340" w:type="dxa"/>
            <w:tcBorders>
              <w:top w:val="nil"/>
              <w:left w:val="nil"/>
              <w:bottom w:val="nil"/>
              <w:right w:val="nil"/>
            </w:tcBorders>
            <w:shd w:val="clear" w:color="auto" w:fill="auto"/>
            <w:vAlign w:val="center"/>
            <w:hideMark/>
          </w:tcPr>
          <w:p w14:paraId="010FACA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Child</w:t>
            </w:r>
            <w:r w:rsidRPr="00AA6FDD">
              <w:rPr>
                <w:rFonts w:ascii="Calibri" w:eastAsia="Times New Roman" w:hAnsi="Calibri" w:cs="Calibri"/>
                <w:color w:val="000000"/>
              </w:rPr>
              <w:br/>
              <w:t>(1 - 6 years)</w:t>
            </w:r>
          </w:p>
        </w:tc>
        <w:tc>
          <w:tcPr>
            <w:tcW w:w="1530" w:type="dxa"/>
            <w:tcBorders>
              <w:top w:val="nil"/>
              <w:left w:val="nil"/>
              <w:bottom w:val="nil"/>
              <w:right w:val="nil"/>
            </w:tcBorders>
            <w:shd w:val="clear" w:color="auto" w:fill="auto"/>
            <w:noWrap/>
            <w:vAlign w:val="center"/>
            <w:hideMark/>
          </w:tcPr>
          <w:p w14:paraId="516070B1"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Shellfish</w:t>
            </w:r>
          </w:p>
        </w:tc>
        <w:tc>
          <w:tcPr>
            <w:tcW w:w="1530" w:type="dxa"/>
            <w:tcBorders>
              <w:top w:val="nil"/>
              <w:left w:val="nil"/>
              <w:bottom w:val="nil"/>
              <w:right w:val="nil"/>
            </w:tcBorders>
            <w:shd w:val="clear" w:color="auto" w:fill="auto"/>
            <w:noWrap/>
            <w:vAlign w:val="center"/>
            <w:hideMark/>
          </w:tcPr>
          <w:p w14:paraId="7BD01C33"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20</w:t>
            </w:r>
          </w:p>
        </w:tc>
        <w:tc>
          <w:tcPr>
            <w:tcW w:w="1710" w:type="dxa"/>
            <w:tcBorders>
              <w:top w:val="nil"/>
              <w:left w:val="nil"/>
              <w:bottom w:val="nil"/>
              <w:right w:val="nil"/>
            </w:tcBorders>
            <w:shd w:val="clear" w:color="auto" w:fill="auto"/>
            <w:noWrap/>
            <w:vAlign w:val="center"/>
            <w:hideMark/>
          </w:tcPr>
          <w:p w14:paraId="79D6DD64"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5.6</w:t>
            </w:r>
          </w:p>
        </w:tc>
        <w:tc>
          <w:tcPr>
            <w:tcW w:w="4050" w:type="dxa"/>
            <w:tcBorders>
              <w:top w:val="nil"/>
              <w:left w:val="nil"/>
              <w:bottom w:val="nil"/>
              <w:right w:val="nil"/>
            </w:tcBorders>
            <w:shd w:val="clear" w:color="auto" w:fill="auto"/>
            <w:vAlign w:val="center"/>
            <w:hideMark/>
          </w:tcPr>
          <w:p w14:paraId="42F831C0" w14:textId="0B668831"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90th%ile UFCR, shellfish, Northeast</w:t>
            </w:r>
            <w:r w:rsidRPr="00AA6FDD">
              <w:rPr>
                <w:rFonts w:ascii="Calibri" w:eastAsia="Times New Roman" w:hAnsi="Calibri" w:cs="Calibri"/>
                <w:color w:val="000000"/>
              </w:rPr>
              <w:br/>
              <w:t>(US EPA, 2014; Table 23b)</w:t>
            </w:r>
          </w:p>
        </w:tc>
        <w:tc>
          <w:tcPr>
            <w:tcW w:w="1986" w:type="dxa"/>
            <w:tcBorders>
              <w:top w:val="nil"/>
              <w:left w:val="nil"/>
              <w:bottom w:val="nil"/>
              <w:right w:val="nil"/>
            </w:tcBorders>
            <w:shd w:val="clear" w:color="auto" w:fill="auto"/>
            <w:vAlign w:val="center"/>
            <w:hideMark/>
          </w:tcPr>
          <w:p w14:paraId="4699664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1.5</w:t>
            </w:r>
          </w:p>
        </w:tc>
        <w:tc>
          <w:tcPr>
            <w:tcW w:w="879" w:type="dxa"/>
            <w:tcBorders>
              <w:top w:val="nil"/>
              <w:left w:val="nil"/>
              <w:bottom w:val="nil"/>
              <w:right w:val="nil"/>
            </w:tcBorders>
            <w:shd w:val="clear" w:color="auto" w:fill="auto"/>
            <w:noWrap/>
            <w:vAlign w:val="center"/>
            <w:hideMark/>
          </w:tcPr>
          <w:p w14:paraId="05F63965"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15</w:t>
            </w:r>
          </w:p>
        </w:tc>
        <w:tc>
          <w:tcPr>
            <w:tcW w:w="1168" w:type="dxa"/>
            <w:tcBorders>
              <w:top w:val="nil"/>
              <w:left w:val="nil"/>
              <w:bottom w:val="nil"/>
              <w:right w:val="nil"/>
            </w:tcBorders>
            <w:shd w:val="clear" w:color="auto" w:fill="auto"/>
            <w:noWrap/>
            <w:vAlign w:val="center"/>
            <w:hideMark/>
          </w:tcPr>
          <w:p w14:paraId="52048B9E"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350</w:t>
            </w:r>
          </w:p>
        </w:tc>
        <w:tc>
          <w:tcPr>
            <w:tcW w:w="1387" w:type="dxa"/>
            <w:tcBorders>
              <w:top w:val="nil"/>
              <w:left w:val="nil"/>
              <w:bottom w:val="nil"/>
              <w:right w:val="nil"/>
            </w:tcBorders>
            <w:shd w:val="clear" w:color="auto" w:fill="auto"/>
            <w:noWrap/>
            <w:vAlign w:val="center"/>
            <w:hideMark/>
          </w:tcPr>
          <w:p w14:paraId="136D0185"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bottom w:val="nil"/>
              <w:right w:val="nil"/>
            </w:tcBorders>
            <w:shd w:val="clear" w:color="auto" w:fill="auto"/>
            <w:noWrap/>
            <w:vAlign w:val="center"/>
            <w:hideMark/>
          </w:tcPr>
          <w:p w14:paraId="57E00BFA"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bottom w:val="nil"/>
              <w:right w:val="nil"/>
            </w:tcBorders>
            <w:shd w:val="clear" w:color="auto" w:fill="auto"/>
            <w:noWrap/>
            <w:vAlign w:val="center"/>
            <w:hideMark/>
          </w:tcPr>
          <w:p w14:paraId="49386CA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0.1</w:t>
            </w:r>
          </w:p>
        </w:tc>
      </w:tr>
      <w:tr w:rsidR="00AA6FDD" w:rsidRPr="00AA6FDD" w14:paraId="5A77F8DD" w14:textId="77777777" w:rsidTr="005238F3">
        <w:trPr>
          <w:trHeight w:val="643"/>
        </w:trPr>
        <w:tc>
          <w:tcPr>
            <w:tcW w:w="1890" w:type="dxa"/>
            <w:tcBorders>
              <w:top w:val="nil"/>
              <w:left w:val="nil"/>
              <w:bottom w:val="nil"/>
              <w:right w:val="nil"/>
            </w:tcBorders>
            <w:shd w:val="clear" w:color="auto" w:fill="auto"/>
            <w:noWrap/>
            <w:vAlign w:val="center"/>
            <w:hideMark/>
          </w:tcPr>
          <w:p w14:paraId="5663F140" w14:textId="6AE21B74" w:rsidR="00AA6FDD" w:rsidRPr="00AA6FDD" w:rsidRDefault="00A76354"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 xml:space="preserve">US </w:t>
            </w:r>
            <w:proofErr w:type="spellStart"/>
            <w:r w:rsidRPr="00AA6FDD">
              <w:rPr>
                <w:rFonts w:ascii="Calibri" w:eastAsia="Times New Roman" w:hAnsi="Calibri" w:cs="Calibri"/>
                <w:color w:val="000000"/>
              </w:rPr>
              <w:t>EPA</w:t>
            </w:r>
            <w:r>
              <w:rPr>
                <w:rFonts w:ascii="Calibri" w:eastAsia="Times New Roman" w:hAnsi="Calibri" w:cs="Calibri"/>
                <w:i/>
                <w:iCs/>
                <w:color w:val="000000"/>
                <w:vertAlign w:val="superscript"/>
              </w:rPr>
              <w:t>e</w:t>
            </w:r>
            <w:proofErr w:type="spellEnd"/>
          </w:p>
        </w:tc>
        <w:tc>
          <w:tcPr>
            <w:tcW w:w="1080" w:type="dxa"/>
            <w:tcBorders>
              <w:top w:val="nil"/>
              <w:left w:val="nil"/>
              <w:bottom w:val="nil"/>
              <w:right w:val="nil"/>
            </w:tcBorders>
            <w:shd w:val="clear" w:color="auto" w:fill="auto"/>
            <w:noWrap/>
            <w:vAlign w:val="center"/>
            <w:hideMark/>
          </w:tcPr>
          <w:p w14:paraId="532B105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6.78</w:t>
            </w:r>
          </w:p>
        </w:tc>
        <w:tc>
          <w:tcPr>
            <w:tcW w:w="2340" w:type="dxa"/>
            <w:tcBorders>
              <w:top w:val="nil"/>
              <w:left w:val="nil"/>
              <w:bottom w:val="nil"/>
              <w:right w:val="nil"/>
            </w:tcBorders>
            <w:shd w:val="clear" w:color="auto" w:fill="auto"/>
            <w:noWrap/>
            <w:vAlign w:val="center"/>
            <w:hideMark/>
          </w:tcPr>
          <w:p w14:paraId="361FEA79"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Adult</w:t>
            </w:r>
          </w:p>
        </w:tc>
        <w:tc>
          <w:tcPr>
            <w:tcW w:w="1530" w:type="dxa"/>
            <w:tcBorders>
              <w:top w:val="nil"/>
              <w:left w:val="nil"/>
              <w:bottom w:val="nil"/>
              <w:right w:val="nil"/>
            </w:tcBorders>
            <w:shd w:val="clear" w:color="auto" w:fill="auto"/>
            <w:noWrap/>
            <w:vAlign w:val="center"/>
            <w:hideMark/>
          </w:tcPr>
          <w:p w14:paraId="0172F54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Shellfish</w:t>
            </w:r>
          </w:p>
        </w:tc>
        <w:tc>
          <w:tcPr>
            <w:tcW w:w="1530" w:type="dxa"/>
            <w:tcBorders>
              <w:top w:val="nil"/>
              <w:left w:val="nil"/>
              <w:bottom w:val="nil"/>
              <w:right w:val="nil"/>
            </w:tcBorders>
            <w:shd w:val="clear" w:color="auto" w:fill="auto"/>
            <w:noWrap/>
            <w:vAlign w:val="center"/>
            <w:hideMark/>
          </w:tcPr>
          <w:p w14:paraId="32379B87"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20</w:t>
            </w:r>
          </w:p>
        </w:tc>
        <w:tc>
          <w:tcPr>
            <w:tcW w:w="1710" w:type="dxa"/>
            <w:tcBorders>
              <w:top w:val="nil"/>
              <w:left w:val="nil"/>
              <w:bottom w:val="nil"/>
              <w:right w:val="nil"/>
            </w:tcBorders>
            <w:shd w:val="clear" w:color="auto" w:fill="auto"/>
            <w:noWrap/>
            <w:vAlign w:val="center"/>
            <w:hideMark/>
          </w:tcPr>
          <w:p w14:paraId="1A564684"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24.6</w:t>
            </w:r>
          </w:p>
        </w:tc>
        <w:tc>
          <w:tcPr>
            <w:tcW w:w="4050" w:type="dxa"/>
            <w:tcBorders>
              <w:top w:val="nil"/>
              <w:left w:val="nil"/>
              <w:bottom w:val="nil"/>
              <w:right w:val="nil"/>
            </w:tcBorders>
            <w:shd w:val="clear" w:color="auto" w:fill="auto"/>
            <w:vAlign w:val="center"/>
            <w:hideMark/>
          </w:tcPr>
          <w:p w14:paraId="7ADBE4F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90th%ile UFCR, shellfish, Northeast</w:t>
            </w:r>
            <w:r w:rsidRPr="00AA6FDD">
              <w:rPr>
                <w:rFonts w:ascii="Calibri" w:eastAsia="Times New Roman" w:hAnsi="Calibri" w:cs="Calibri"/>
                <w:color w:val="000000"/>
              </w:rPr>
              <w:br/>
              <w:t>(US EPA, 2014; Table 12b)</w:t>
            </w:r>
          </w:p>
        </w:tc>
        <w:tc>
          <w:tcPr>
            <w:tcW w:w="1986" w:type="dxa"/>
            <w:tcBorders>
              <w:top w:val="nil"/>
              <w:left w:val="nil"/>
              <w:bottom w:val="nil"/>
              <w:right w:val="nil"/>
            </w:tcBorders>
            <w:shd w:val="clear" w:color="auto" w:fill="auto"/>
            <w:vAlign w:val="center"/>
            <w:hideMark/>
          </w:tcPr>
          <w:p w14:paraId="60EBEA53"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3.3</w:t>
            </w:r>
          </w:p>
        </w:tc>
        <w:tc>
          <w:tcPr>
            <w:tcW w:w="879" w:type="dxa"/>
            <w:tcBorders>
              <w:top w:val="nil"/>
              <w:left w:val="nil"/>
              <w:bottom w:val="nil"/>
              <w:right w:val="nil"/>
            </w:tcBorders>
            <w:shd w:val="clear" w:color="auto" w:fill="auto"/>
            <w:noWrap/>
            <w:vAlign w:val="center"/>
            <w:hideMark/>
          </w:tcPr>
          <w:p w14:paraId="55896DD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80</w:t>
            </w:r>
          </w:p>
        </w:tc>
        <w:tc>
          <w:tcPr>
            <w:tcW w:w="1168" w:type="dxa"/>
            <w:tcBorders>
              <w:top w:val="nil"/>
              <w:left w:val="nil"/>
              <w:bottom w:val="nil"/>
              <w:right w:val="nil"/>
            </w:tcBorders>
            <w:shd w:val="clear" w:color="auto" w:fill="auto"/>
            <w:noWrap/>
            <w:vAlign w:val="center"/>
            <w:hideMark/>
          </w:tcPr>
          <w:p w14:paraId="1448667E"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350</w:t>
            </w:r>
          </w:p>
        </w:tc>
        <w:tc>
          <w:tcPr>
            <w:tcW w:w="1387" w:type="dxa"/>
            <w:tcBorders>
              <w:top w:val="nil"/>
              <w:left w:val="nil"/>
              <w:bottom w:val="nil"/>
              <w:right w:val="nil"/>
            </w:tcBorders>
            <w:shd w:val="clear" w:color="auto" w:fill="auto"/>
            <w:noWrap/>
            <w:vAlign w:val="center"/>
            <w:hideMark/>
          </w:tcPr>
          <w:p w14:paraId="3890B3E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bottom w:val="nil"/>
              <w:right w:val="nil"/>
            </w:tcBorders>
            <w:shd w:val="clear" w:color="auto" w:fill="auto"/>
            <w:noWrap/>
            <w:vAlign w:val="center"/>
            <w:hideMark/>
          </w:tcPr>
          <w:p w14:paraId="2251C337"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bottom w:val="nil"/>
              <w:right w:val="nil"/>
            </w:tcBorders>
            <w:shd w:val="clear" w:color="auto" w:fill="auto"/>
            <w:noWrap/>
            <w:vAlign w:val="center"/>
            <w:hideMark/>
          </w:tcPr>
          <w:p w14:paraId="35BACDDA"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0.1</w:t>
            </w:r>
          </w:p>
        </w:tc>
      </w:tr>
      <w:tr w:rsidR="00AA6FDD" w:rsidRPr="00AA6FDD" w14:paraId="5BDB9694" w14:textId="77777777" w:rsidTr="00CA18C1">
        <w:trPr>
          <w:trHeight w:val="936"/>
        </w:trPr>
        <w:tc>
          <w:tcPr>
            <w:tcW w:w="1890" w:type="dxa"/>
            <w:tcBorders>
              <w:top w:val="nil"/>
              <w:left w:val="nil"/>
              <w:bottom w:val="nil"/>
              <w:right w:val="nil"/>
            </w:tcBorders>
            <w:shd w:val="clear" w:color="auto" w:fill="auto"/>
            <w:noWrap/>
            <w:vAlign w:val="center"/>
            <w:hideMark/>
          </w:tcPr>
          <w:p w14:paraId="479319DD" w14:textId="76598C62" w:rsidR="00AA6FDD" w:rsidRPr="00AA6FDD" w:rsidRDefault="00A76354"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 xml:space="preserve">US </w:t>
            </w:r>
            <w:proofErr w:type="spellStart"/>
            <w:r w:rsidRPr="00AA6FDD">
              <w:rPr>
                <w:rFonts w:ascii="Calibri" w:eastAsia="Times New Roman" w:hAnsi="Calibri" w:cs="Calibri"/>
                <w:color w:val="000000"/>
              </w:rPr>
              <w:t>EPA</w:t>
            </w:r>
            <w:r>
              <w:rPr>
                <w:rFonts w:ascii="Calibri" w:eastAsia="Times New Roman" w:hAnsi="Calibri" w:cs="Calibri"/>
                <w:i/>
                <w:iCs/>
                <w:color w:val="000000"/>
                <w:vertAlign w:val="superscript"/>
              </w:rPr>
              <w:t>e</w:t>
            </w:r>
            <w:proofErr w:type="spellEnd"/>
          </w:p>
        </w:tc>
        <w:tc>
          <w:tcPr>
            <w:tcW w:w="1080" w:type="dxa"/>
            <w:tcBorders>
              <w:top w:val="nil"/>
              <w:left w:val="nil"/>
              <w:bottom w:val="nil"/>
              <w:right w:val="nil"/>
            </w:tcBorders>
            <w:shd w:val="clear" w:color="auto" w:fill="auto"/>
            <w:noWrap/>
            <w:vAlign w:val="center"/>
            <w:hideMark/>
          </w:tcPr>
          <w:p w14:paraId="71541C7B"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5.21</w:t>
            </w:r>
          </w:p>
        </w:tc>
        <w:tc>
          <w:tcPr>
            <w:tcW w:w="2340" w:type="dxa"/>
            <w:tcBorders>
              <w:top w:val="nil"/>
              <w:left w:val="nil"/>
              <w:bottom w:val="nil"/>
              <w:right w:val="nil"/>
            </w:tcBorders>
            <w:shd w:val="clear" w:color="auto" w:fill="auto"/>
            <w:vAlign w:val="center"/>
            <w:hideMark/>
          </w:tcPr>
          <w:p w14:paraId="42D59BC9"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Child</w:t>
            </w:r>
            <w:r w:rsidRPr="00AA6FDD">
              <w:rPr>
                <w:rFonts w:ascii="Calibri" w:eastAsia="Times New Roman" w:hAnsi="Calibri" w:cs="Calibri"/>
                <w:color w:val="000000"/>
              </w:rPr>
              <w:br/>
              <w:t>(1 - 6 years)</w:t>
            </w:r>
          </w:p>
        </w:tc>
        <w:tc>
          <w:tcPr>
            <w:tcW w:w="1530" w:type="dxa"/>
            <w:tcBorders>
              <w:top w:val="nil"/>
              <w:left w:val="nil"/>
              <w:bottom w:val="nil"/>
              <w:right w:val="nil"/>
            </w:tcBorders>
            <w:shd w:val="clear" w:color="auto" w:fill="auto"/>
            <w:noWrap/>
            <w:vAlign w:val="center"/>
            <w:hideMark/>
          </w:tcPr>
          <w:p w14:paraId="17C646AA" w14:textId="7AD7E84D" w:rsidR="00AA6FDD" w:rsidRPr="00AA6FDD" w:rsidRDefault="0069317E" w:rsidP="00AA6FDD">
            <w:pPr>
              <w:spacing w:after="0" w:line="240" w:lineRule="auto"/>
              <w:jc w:val="center"/>
              <w:rPr>
                <w:rFonts w:ascii="Calibri" w:eastAsia="Times New Roman" w:hAnsi="Calibri" w:cs="Calibri"/>
                <w:color w:val="000000"/>
              </w:rPr>
            </w:pPr>
            <w:proofErr w:type="spellStart"/>
            <w:r w:rsidRPr="00AA6FDD">
              <w:rPr>
                <w:rFonts w:ascii="Calibri" w:eastAsia="Times New Roman" w:hAnsi="Calibri" w:cs="Calibri"/>
                <w:color w:val="000000"/>
              </w:rPr>
              <w:t>Fish</w:t>
            </w:r>
            <w:r>
              <w:rPr>
                <w:rFonts w:ascii="Calibri" w:eastAsia="Times New Roman" w:hAnsi="Calibri" w:cs="Calibri"/>
                <w:i/>
                <w:iCs/>
                <w:color w:val="000000"/>
                <w:vertAlign w:val="superscript"/>
              </w:rPr>
              <w:t>d</w:t>
            </w:r>
            <w:proofErr w:type="spellEnd"/>
          </w:p>
        </w:tc>
        <w:tc>
          <w:tcPr>
            <w:tcW w:w="1530" w:type="dxa"/>
            <w:tcBorders>
              <w:top w:val="nil"/>
              <w:left w:val="nil"/>
              <w:bottom w:val="nil"/>
              <w:right w:val="nil"/>
            </w:tcBorders>
            <w:shd w:val="clear" w:color="auto" w:fill="auto"/>
            <w:noWrap/>
            <w:vAlign w:val="center"/>
            <w:hideMark/>
          </w:tcPr>
          <w:p w14:paraId="2C9196AA"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20</w:t>
            </w:r>
          </w:p>
        </w:tc>
        <w:tc>
          <w:tcPr>
            <w:tcW w:w="1710" w:type="dxa"/>
            <w:tcBorders>
              <w:top w:val="nil"/>
              <w:left w:val="nil"/>
              <w:bottom w:val="nil"/>
              <w:right w:val="nil"/>
            </w:tcBorders>
            <w:shd w:val="clear" w:color="auto" w:fill="auto"/>
            <w:noWrap/>
            <w:vAlign w:val="center"/>
            <w:hideMark/>
          </w:tcPr>
          <w:p w14:paraId="684DC65B"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6.0</w:t>
            </w:r>
          </w:p>
        </w:tc>
        <w:tc>
          <w:tcPr>
            <w:tcW w:w="4050" w:type="dxa"/>
            <w:tcBorders>
              <w:top w:val="nil"/>
              <w:left w:val="nil"/>
              <w:bottom w:val="nil"/>
              <w:right w:val="nil"/>
            </w:tcBorders>
            <w:shd w:val="clear" w:color="auto" w:fill="auto"/>
            <w:vAlign w:val="center"/>
            <w:hideMark/>
          </w:tcPr>
          <w:p w14:paraId="4830FCB0" w14:textId="77777777" w:rsidR="00CA6E46"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9</w:t>
            </w:r>
            <w:r w:rsidR="00CA6E46">
              <w:rPr>
                <w:rFonts w:ascii="Calibri" w:eastAsia="Times New Roman" w:hAnsi="Calibri" w:cs="Calibri"/>
                <w:color w:val="000000"/>
              </w:rPr>
              <w:t>0</w:t>
            </w:r>
            <w:r w:rsidRPr="00AA6FDD">
              <w:rPr>
                <w:rFonts w:ascii="Calibri" w:eastAsia="Times New Roman" w:hAnsi="Calibri" w:cs="Calibri"/>
                <w:color w:val="000000"/>
              </w:rPr>
              <w:t>th%ile UFCR</w:t>
            </w:r>
            <w:r w:rsidRPr="00AA6FDD">
              <w:rPr>
                <w:rFonts w:ascii="Calibri" w:eastAsia="Times New Roman" w:hAnsi="Calibri" w:cs="Calibri"/>
                <w:color w:val="000000"/>
              </w:rPr>
              <w:br/>
              <w:t>Freshwater &amp; estuarine fish, Northeast</w:t>
            </w:r>
          </w:p>
          <w:p w14:paraId="0ABF7FA8" w14:textId="674A8152"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(US EPA, 2014; Table 20</w:t>
            </w:r>
            <w:r w:rsidR="00CA6E46">
              <w:rPr>
                <w:rFonts w:ascii="Calibri" w:eastAsia="Times New Roman" w:hAnsi="Calibri" w:cs="Calibri"/>
                <w:color w:val="000000"/>
              </w:rPr>
              <w:t>b</w:t>
            </w:r>
            <w:r w:rsidRPr="00AA6FDD">
              <w:rPr>
                <w:rFonts w:ascii="Calibri" w:eastAsia="Times New Roman" w:hAnsi="Calibri" w:cs="Calibri"/>
                <w:color w:val="000000"/>
              </w:rPr>
              <w:t>)</w:t>
            </w:r>
          </w:p>
        </w:tc>
        <w:tc>
          <w:tcPr>
            <w:tcW w:w="1986" w:type="dxa"/>
            <w:tcBorders>
              <w:top w:val="nil"/>
              <w:left w:val="nil"/>
              <w:bottom w:val="nil"/>
              <w:right w:val="nil"/>
            </w:tcBorders>
            <w:shd w:val="clear" w:color="auto" w:fill="auto"/>
            <w:vAlign w:val="center"/>
            <w:hideMark/>
          </w:tcPr>
          <w:p w14:paraId="6F910767"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1.6</w:t>
            </w:r>
          </w:p>
        </w:tc>
        <w:tc>
          <w:tcPr>
            <w:tcW w:w="879" w:type="dxa"/>
            <w:tcBorders>
              <w:top w:val="nil"/>
              <w:left w:val="nil"/>
              <w:bottom w:val="nil"/>
              <w:right w:val="nil"/>
            </w:tcBorders>
            <w:shd w:val="clear" w:color="auto" w:fill="auto"/>
            <w:noWrap/>
            <w:vAlign w:val="center"/>
            <w:hideMark/>
          </w:tcPr>
          <w:p w14:paraId="29D5DD2D"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15</w:t>
            </w:r>
          </w:p>
        </w:tc>
        <w:tc>
          <w:tcPr>
            <w:tcW w:w="1168" w:type="dxa"/>
            <w:tcBorders>
              <w:top w:val="nil"/>
              <w:left w:val="nil"/>
              <w:bottom w:val="nil"/>
              <w:right w:val="nil"/>
            </w:tcBorders>
            <w:shd w:val="clear" w:color="auto" w:fill="auto"/>
            <w:noWrap/>
            <w:vAlign w:val="center"/>
            <w:hideMark/>
          </w:tcPr>
          <w:p w14:paraId="0C92CA69"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350</w:t>
            </w:r>
          </w:p>
        </w:tc>
        <w:tc>
          <w:tcPr>
            <w:tcW w:w="1387" w:type="dxa"/>
            <w:tcBorders>
              <w:top w:val="nil"/>
              <w:left w:val="nil"/>
              <w:bottom w:val="nil"/>
              <w:right w:val="nil"/>
            </w:tcBorders>
            <w:shd w:val="clear" w:color="auto" w:fill="auto"/>
            <w:noWrap/>
            <w:vAlign w:val="center"/>
            <w:hideMark/>
          </w:tcPr>
          <w:p w14:paraId="766BE76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bottom w:val="nil"/>
              <w:right w:val="nil"/>
            </w:tcBorders>
            <w:shd w:val="clear" w:color="auto" w:fill="auto"/>
            <w:noWrap/>
            <w:vAlign w:val="center"/>
            <w:hideMark/>
          </w:tcPr>
          <w:p w14:paraId="249A0CCD"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bottom w:val="nil"/>
              <w:right w:val="nil"/>
            </w:tcBorders>
            <w:shd w:val="clear" w:color="auto" w:fill="auto"/>
            <w:noWrap/>
            <w:vAlign w:val="center"/>
            <w:hideMark/>
          </w:tcPr>
          <w:p w14:paraId="44E9E3F9"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0.1</w:t>
            </w:r>
          </w:p>
        </w:tc>
      </w:tr>
      <w:tr w:rsidR="00AA6FDD" w:rsidRPr="00AA6FDD" w14:paraId="7FBDA696" w14:textId="77777777" w:rsidTr="00CA18C1">
        <w:trPr>
          <w:trHeight w:val="936"/>
        </w:trPr>
        <w:tc>
          <w:tcPr>
            <w:tcW w:w="1890" w:type="dxa"/>
            <w:tcBorders>
              <w:top w:val="nil"/>
              <w:left w:val="nil"/>
              <w:right w:val="nil"/>
            </w:tcBorders>
            <w:shd w:val="clear" w:color="auto" w:fill="auto"/>
            <w:noWrap/>
            <w:vAlign w:val="center"/>
            <w:hideMark/>
          </w:tcPr>
          <w:p w14:paraId="122CA4C7" w14:textId="0E3DDFCF" w:rsidR="00AA6FDD" w:rsidRPr="00AA6FDD" w:rsidRDefault="00A76354"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 xml:space="preserve">US </w:t>
            </w:r>
            <w:proofErr w:type="spellStart"/>
            <w:r w:rsidRPr="00AA6FDD">
              <w:rPr>
                <w:rFonts w:ascii="Calibri" w:eastAsia="Times New Roman" w:hAnsi="Calibri" w:cs="Calibri"/>
                <w:color w:val="000000"/>
              </w:rPr>
              <w:t>EPA</w:t>
            </w:r>
            <w:r>
              <w:rPr>
                <w:rFonts w:ascii="Calibri" w:eastAsia="Times New Roman" w:hAnsi="Calibri" w:cs="Calibri"/>
                <w:i/>
                <w:iCs/>
                <w:color w:val="000000"/>
                <w:vertAlign w:val="superscript"/>
              </w:rPr>
              <w:t>e</w:t>
            </w:r>
            <w:proofErr w:type="spellEnd"/>
          </w:p>
        </w:tc>
        <w:tc>
          <w:tcPr>
            <w:tcW w:w="1080" w:type="dxa"/>
            <w:tcBorders>
              <w:top w:val="nil"/>
              <w:left w:val="nil"/>
              <w:right w:val="nil"/>
            </w:tcBorders>
            <w:shd w:val="clear" w:color="auto" w:fill="auto"/>
            <w:noWrap/>
            <w:vAlign w:val="center"/>
            <w:hideMark/>
          </w:tcPr>
          <w:p w14:paraId="55BA272E"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7.22</w:t>
            </w:r>
          </w:p>
        </w:tc>
        <w:tc>
          <w:tcPr>
            <w:tcW w:w="2340" w:type="dxa"/>
            <w:tcBorders>
              <w:top w:val="nil"/>
              <w:left w:val="nil"/>
              <w:right w:val="nil"/>
            </w:tcBorders>
            <w:shd w:val="clear" w:color="auto" w:fill="auto"/>
            <w:noWrap/>
            <w:vAlign w:val="center"/>
            <w:hideMark/>
          </w:tcPr>
          <w:p w14:paraId="617DF516"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Adult</w:t>
            </w:r>
          </w:p>
        </w:tc>
        <w:tc>
          <w:tcPr>
            <w:tcW w:w="1530" w:type="dxa"/>
            <w:tcBorders>
              <w:top w:val="nil"/>
              <w:left w:val="nil"/>
              <w:right w:val="nil"/>
            </w:tcBorders>
            <w:shd w:val="clear" w:color="auto" w:fill="auto"/>
            <w:noWrap/>
            <w:vAlign w:val="center"/>
            <w:hideMark/>
          </w:tcPr>
          <w:p w14:paraId="383043FB" w14:textId="080D8845" w:rsidR="00AA6FDD" w:rsidRPr="00AA6FDD" w:rsidRDefault="0069317E" w:rsidP="00AA6FDD">
            <w:pPr>
              <w:spacing w:after="0" w:line="240" w:lineRule="auto"/>
              <w:jc w:val="center"/>
              <w:rPr>
                <w:rFonts w:ascii="Calibri" w:eastAsia="Times New Roman" w:hAnsi="Calibri" w:cs="Calibri"/>
                <w:color w:val="000000"/>
              </w:rPr>
            </w:pPr>
            <w:proofErr w:type="spellStart"/>
            <w:r w:rsidRPr="00AA6FDD">
              <w:rPr>
                <w:rFonts w:ascii="Calibri" w:eastAsia="Times New Roman" w:hAnsi="Calibri" w:cs="Calibri"/>
                <w:color w:val="000000"/>
              </w:rPr>
              <w:t>Fish</w:t>
            </w:r>
            <w:r>
              <w:rPr>
                <w:rFonts w:ascii="Calibri" w:eastAsia="Times New Roman" w:hAnsi="Calibri" w:cs="Calibri"/>
                <w:i/>
                <w:iCs/>
                <w:color w:val="000000"/>
                <w:vertAlign w:val="superscript"/>
              </w:rPr>
              <w:t>d</w:t>
            </w:r>
            <w:proofErr w:type="spellEnd"/>
          </w:p>
        </w:tc>
        <w:tc>
          <w:tcPr>
            <w:tcW w:w="1530" w:type="dxa"/>
            <w:tcBorders>
              <w:top w:val="nil"/>
              <w:left w:val="nil"/>
              <w:right w:val="nil"/>
            </w:tcBorders>
            <w:shd w:val="clear" w:color="auto" w:fill="auto"/>
            <w:noWrap/>
            <w:vAlign w:val="center"/>
            <w:hideMark/>
          </w:tcPr>
          <w:p w14:paraId="2EACB8B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20</w:t>
            </w:r>
          </w:p>
        </w:tc>
        <w:tc>
          <w:tcPr>
            <w:tcW w:w="1710" w:type="dxa"/>
            <w:tcBorders>
              <w:top w:val="nil"/>
              <w:left w:val="nil"/>
              <w:right w:val="nil"/>
            </w:tcBorders>
            <w:shd w:val="clear" w:color="auto" w:fill="auto"/>
            <w:noWrap/>
            <w:vAlign w:val="center"/>
            <w:hideMark/>
          </w:tcPr>
          <w:p w14:paraId="33383295"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23.1</w:t>
            </w:r>
          </w:p>
        </w:tc>
        <w:tc>
          <w:tcPr>
            <w:tcW w:w="4050" w:type="dxa"/>
            <w:tcBorders>
              <w:top w:val="nil"/>
              <w:left w:val="nil"/>
              <w:right w:val="nil"/>
            </w:tcBorders>
            <w:shd w:val="clear" w:color="auto" w:fill="auto"/>
            <w:vAlign w:val="center"/>
            <w:hideMark/>
          </w:tcPr>
          <w:p w14:paraId="0DF944A4"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90th%ile UFCR</w:t>
            </w:r>
            <w:r w:rsidRPr="00AA6FDD">
              <w:rPr>
                <w:rFonts w:ascii="Calibri" w:eastAsia="Times New Roman" w:hAnsi="Calibri" w:cs="Calibri"/>
                <w:color w:val="000000"/>
              </w:rPr>
              <w:br/>
              <w:t>Freshwater &amp; estuarine fish, Northeast</w:t>
            </w:r>
            <w:r w:rsidRPr="00AA6FDD">
              <w:rPr>
                <w:rFonts w:ascii="Calibri" w:eastAsia="Times New Roman" w:hAnsi="Calibri" w:cs="Calibri"/>
                <w:color w:val="000000"/>
              </w:rPr>
              <w:br/>
              <w:t>(US EPA, 2014; Table 9b)</w:t>
            </w:r>
          </w:p>
        </w:tc>
        <w:tc>
          <w:tcPr>
            <w:tcW w:w="1986" w:type="dxa"/>
            <w:tcBorders>
              <w:top w:val="nil"/>
              <w:left w:val="nil"/>
              <w:right w:val="nil"/>
            </w:tcBorders>
            <w:shd w:val="clear" w:color="auto" w:fill="auto"/>
            <w:vAlign w:val="center"/>
            <w:hideMark/>
          </w:tcPr>
          <w:p w14:paraId="2ECAF82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3.1</w:t>
            </w:r>
          </w:p>
        </w:tc>
        <w:tc>
          <w:tcPr>
            <w:tcW w:w="879" w:type="dxa"/>
            <w:tcBorders>
              <w:top w:val="nil"/>
              <w:left w:val="nil"/>
              <w:right w:val="nil"/>
            </w:tcBorders>
            <w:shd w:val="clear" w:color="auto" w:fill="auto"/>
            <w:noWrap/>
            <w:vAlign w:val="center"/>
            <w:hideMark/>
          </w:tcPr>
          <w:p w14:paraId="3B9DFECD"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80</w:t>
            </w:r>
          </w:p>
        </w:tc>
        <w:tc>
          <w:tcPr>
            <w:tcW w:w="1168" w:type="dxa"/>
            <w:tcBorders>
              <w:top w:val="nil"/>
              <w:left w:val="nil"/>
              <w:right w:val="nil"/>
            </w:tcBorders>
            <w:shd w:val="clear" w:color="auto" w:fill="auto"/>
            <w:noWrap/>
            <w:vAlign w:val="center"/>
            <w:hideMark/>
          </w:tcPr>
          <w:p w14:paraId="3744DF22"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350</w:t>
            </w:r>
          </w:p>
        </w:tc>
        <w:tc>
          <w:tcPr>
            <w:tcW w:w="1387" w:type="dxa"/>
            <w:tcBorders>
              <w:top w:val="nil"/>
              <w:left w:val="nil"/>
              <w:right w:val="nil"/>
            </w:tcBorders>
            <w:shd w:val="clear" w:color="auto" w:fill="auto"/>
            <w:noWrap/>
            <w:vAlign w:val="center"/>
            <w:hideMark/>
          </w:tcPr>
          <w:p w14:paraId="6830DAF7"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right w:val="nil"/>
            </w:tcBorders>
            <w:shd w:val="clear" w:color="auto" w:fill="auto"/>
            <w:noWrap/>
            <w:vAlign w:val="center"/>
            <w:hideMark/>
          </w:tcPr>
          <w:p w14:paraId="354D17BD"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right w:val="nil"/>
            </w:tcBorders>
            <w:shd w:val="clear" w:color="auto" w:fill="auto"/>
            <w:noWrap/>
            <w:vAlign w:val="center"/>
            <w:hideMark/>
          </w:tcPr>
          <w:p w14:paraId="6994779D"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0.1</w:t>
            </w:r>
          </w:p>
        </w:tc>
      </w:tr>
      <w:tr w:rsidR="00AA6FDD" w:rsidRPr="00AA6FDD" w14:paraId="4F02B98D" w14:textId="77777777" w:rsidTr="00CA18C1">
        <w:trPr>
          <w:trHeight w:val="720"/>
        </w:trPr>
        <w:tc>
          <w:tcPr>
            <w:tcW w:w="1890" w:type="dxa"/>
            <w:tcBorders>
              <w:top w:val="nil"/>
              <w:left w:val="nil"/>
              <w:right w:val="nil"/>
            </w:tcBorders>
            <w:shd w:val="clear" w:color="auto" w:fill="auto"/>
            <w:noWrap/>
            <w:vAlign w:val="center"/>
            <w:hideMark/>
          </w:tcPr>
          <w:p w14:paraId="29ACBF8E" w14:textId="5AA5993A"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M</w:t>
            </w:r>
            <w:r w:rsidR="00AB7ABC">
              <w:rPr>
                <w:rFonts w:ascii="Calibri" w:eastAsia="Times New Roman" w:hAnsi="Calibri" w:cs="Calibri"/>
                <w:color w:val="000000"/>
              </w:rPr>
              <w:t>DHHS</w:t>
            </w:r>
          </w:p>
        </w:tc>
        <w:tc>
          <w:tcPr>
            <w:tcW w:w="1080" w:type="dxa"/>
            <w:tcBorders>
              <w:top w:val="nil"/>
              <w:left w:val="nil"/>
              <w:right w:val="nil"/>
            </w:tcBorders>
            <w:shd w:val="clear" w:color="auto" w:fill="auto"/>
            <w:noWrap/>
            <w:vAlign w:val="center"/>
            <w:hideMark/>
          </w:tcPr>
          <w:p w14:paraId="633D7630"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9</w:t>
            </w:r>
          </w:p>
        </w:tc>
        <w:tc>
          <w:tcPr>
            <w:tcW w:w="2340" w:type="dxa"/>
            <w:tcBorders>
              <w:top w:val="nil"/>
              <w:left w:val="nil"/>
              <w:right w:val="nil"/>
            </w:tcBorders>
            <w:shd w:val="clear" w:color="auto" w:fill="auto"/>
            <w:noWrap/>
            <w:vAlign w:val="center"/>
            <w:hideMark/>
          </w:tcPr>
          <w:p w14:paraId="47EBF3D7"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Adult</w:t>
            </w:r>
          </w:p>
        </w:tc>
        <w:tc>
          <w:tcPr>
            <w:tcW w:w="1530" w:type="dxa"/>
            <w:tcBorders>
              <w:top w:val="nil"/>
              <w:left w:val="nil"/>
              <w:right w:val="nil"/>
            </w:tcBorders>
            <w:shd w:val="clear" w:color="auto" w:fill="auto"/>
            <w:noWrap/>
            <w:vAlign w:val="center"/>
            <w:hideMark/>
          </w:tcPr>
          <w:p w14:paraId="41F6683B"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Fish</w:t>
            </w:r>
          </w:p>
        </w:tc>
        <w:tc>
          <w:tcPr>
            <w:tcW w:w="1530" w:type="dxa"/>
            <w:tcBorders>
              <w:top w:val="nil"/>
              <w:left w:val="nil"/>
              <w:right w:val="nil"/>
            </w:tcBorders>
            <w:shd w:val="clear" w:color="auto" w:fill="auto"/>
            <w:noWrap/>
            <w:vAlign w:val="center"/>
            <w:hideMark/>
          </w:tcPr>
          <w:p w14:paraId="25097335"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14</w:t>
            </w:r>
          </w:p>
        </w:tc>
        <w:tc>
          <w:tcPr>
            <w:tcW w:w="1710" w:type="dxa"/>
            <w:tcBorders>
              <w:top w:val="nil"/>
              <w:left w:val="nil"/>
              <w:right w:val="nil"/>
            </w:tcBorders>
            <w:shd w:val="clear" w:color="auto" w:fill="auto"/>
            <w:noWrap/>
            <w:vAlign w:val="center"/>
            <w:hideMark/>
          </w:tcPr>
          <w:p w14:paraId="76956E93"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121</w:t>
            </w:r>
          </w:p>
        </w:tc>
        <w:tc>
          <w:tcPr>
            <w:tcW w:w="4050" w:type="dxa"/>
            <w:tcBorders>
              <w:top w:val="nil"/>
              <w:left w:val="nil"/>
              <w:right w:val="nil"/>
            </w:tcBorders>
            <w:shd w:val="clear" w:color="auto" w:fill="auto"/>
            <w:vAlign w:val="center"/>
            <w:hideMark/>
          </w:tcPr>
          <w:p w14:paraId="5DBFF1B1"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Assumes 16 meals/month</w:t>
            </w:r>
            <w:r w:rsidRPr="00AA6FDD">
              <w:rPr>
                <w:rFonts w:ascii="Calibri" w:eastAsia="Times New Roman" w:hAnsi="Calibri" w:cs="Calibri"/>
                <w:color w:val="000000"/>
              </w:rPr>
              <w:br/>
              <w:t>@ 227 g/meal</w:t>
            </w:r>
          </w:p>
        </w:tc>
        <w:tc>
          <w:tcPr>
            <w:tcW w:w="1986" w:type="dxa"/>
            <w:tcBorders>
              <w:top w:val="nil"/>
              <w:left w:val="nil"/>
              <w:right w:val="nil"/>
            </w:tcBorders>
            <w:shd w:val="clear" w:color="auto" w:fill="auto"/>
            <w:vAlign w:val="center"/>
            <w:hideMark/>
          </w:tcPr>
          <w:p w14:paraId="27A7E98C"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16.2</w:t>
            </w:r>
          </w:p>
        </w:tc>
        <w:tc>
          <w:tcPr>
            <w:tcW w:w="879" w:type="dxa"/>
            <w:tcBorders>
              <w:top w:val="nil"/>
              <w:left w:val="nil"/>
              <w:right w:val="nil"/>
            </w:tcBorders>
            <w:shd w:val="clear" w:color="auto" w:fill="auto"/>
            <w:noWrap/>
            <w:vAlign w:val="center"/>
            <w:hideMark/>
          </w:tcPr>
          <w:p w14:paraId="6FB755F4"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80</w:t>
            </w:r>
          </w:p>
        </w:tc>
        <w:tc>
          <w:tcPr>
            <w:tcW w:w="1168" w:type="dxa"/>
            <w:tcBorders>
              <w:top w:val="nil"/>
              <w:left w:val="nil"/>
              <w:right w:val="nil"/>
            </w:tcBorders>
            <w:shd w:val="clear" w:color="auto" w:fill="auto"/>
            <w:noWrap/>
            <w:vAlign w:val="center"/>
            <w:hideMark/>
          </w:tcPr>
          <w:p w14:paraId="67697763"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365</w:t>
            </w:r>
          </w:p>
        </w:tc>
        <w:tc>
          <w:tcPr>
            <w:tcW w:w="1387" w:type="dxa"/>
            <w:tcBorders>
              <w:top w:val="nil"/>
              <w:left w:val="nil"/>
              <w:right w:val="nil"/>
            </w:tcBorders>
            <w:shd w:val="clear" w:color="auto" w:fill="auto"/>
            <w:noWrap/>
            <w:vAlign w:val="center"/>
            <w:hideMark/>
          </w:tcPr>
          <w:p w14:paraId="5415F3A5"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right w:val="nil"/>
            </w:tcBorders>
            <w:shd w:val="clear" w:color="auto" w:fill="auto"/>
            <w:noWrap/>
            <w:vAlign w:val="center"/>
            <w:hideMark/>
          </w:tcPr>
          <w:p w14:paraId="6930E33F"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right w:val="nil"/>
            </w:tcBorders>
            <w:shd w:val="clear" w:color="auto" w:fill="auto"/>
            <w:noWrap/>
            <w:vAlign w:val="center"/>
            <w:hideMark/>
          </w:tcPr>
          <w:p w14:paraId="138ACDB8" w14:textId="77777777" w:rsidR="00AA6FDD" w:rsidRPr="00AA6FDD" w:rsidRDefault="00AA6FDD" w:rsidP="00AA6FDD">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r>
      <w:tr w:rsidR="00DB3612" w:rsidRPr="00AA6FDD" w14:paraId="1ACE4DD8" w14:textId="77777777" w:rsidTr="00711730">
        <w:trPr>
          <w:trHeight w:val="720"/>
        </w:trPr>
        <w:tc>
          <w:tcPr>
            <w:tcW w:w="1890" w:type="dxa"/>
            <w:tcBorders>
              <w:left w:val="nil"/>
              <w:right w:val="nil"/>
            </w:tcBorders>
            <w:shd w:val="clear" w:color="auto" w:fill="auto"/>
            <w:noWrap/>
            <w:vAlign w:val="center"/>
          </w:tcPr>
          <w:p w14:paraId="5983B5B2" w14:textId="34EE8941"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 xml:space="preserve">Great Lakes </w:t>
            </w:r>
            <w:proofErr w:type="spellStart"/>
            <w:r w:rsidRPr="00AA6FDD">
              <w:rPr>
                <w:rFonts w:ascii="Calibri" w:eastAsia="Times New Roman" w:hAnsi="Calibri" w:cs="Calibri"/>
                <w:color w:val="000000"/>
              </w:rPr>
              <w:t>Consortium</w:t>
            </w:r>
            <w:r w:rsidR="00A76354">
              <w:rPr>
                <w:rFonts w:ascii="Calibri" w:eastAsia="Times New Roman" w:hAnsi="Calibri" w:cs="Calibri"/>
                <w:i/>
                <w:iCs/>
                <w:color w:val="000000"/>
                <w:vertAlign w:val="superscript"/>
              </w:rPr>
              <w:t>f</w:t>
            </w:r>
            <w:proofErr w:type="spellEnd"/>
          </w:p>
        </w:tc>
        <w:tc>
          <w:tcPr>
            <w:tcW w:w="1080" w:type="dxa"/>
            <w:tcBorders>
              <w:left w:val="nil"/>
              <w:right w:val="nil"/>
            </w:tcBorders>
            <w:shd w:val="clear" w:color="auto" w:fill="auto"/>
            <w:noWrap/>
            <w:vAlign w:val="center"/>
          </w:tcPr>
          <w:p w14:paraId="2CDE4D33" w14:textId="697E3D6F"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10</w:t>
            </w:r>
          </w:p>
        </w:tc>
        <w:tc>
          <w:tcPr>
            <w:tcW w:w="2340" w:type="dxa"/>
            <w:tcBorders>
              <w:left w:val="nil"/>
              <w:right w:val="nil"/>
            </w:tcBorders>
            <w:shd w:val="clear" w:color="auto" w:fill="auto"/>
            <w:noWrap/>
            <w:vAlign w:val="center"/>
          </w:tcPr>
          <w:p w14:paraId="674467B4" w14:textId="2B07B486"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Adult</w:t>
            </w:r>
          </w:p>
        </w:tc>
        <w:tc>
          <w:tcPr>
            <w:tcW w:w="1530" w:type="dxa"/>
            <w:tcBorders>
              <w:left w:val="nil"/>
              <w:right w:val="nil"/>
            </w:tcBorders>
            <w:shd w:val="clear" w:color="auto" w:fill="auto"/>
            <w:noWrap/>
            <w:vAlign w:val="center"/>
          </w:tcPr>
          <w:p w14:paraId="464B5DD9" w14:textId="61A5536B"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Fish</w:t>
            </w:r>
          </w:p>
        </w:tc>
        <w:tc>
          <w:tcPr>
            <w:tcW w:w="1530" w:type="dxa"/>
            <w:tcBorders>
              <w:left w:val="nil"/>
              <w:right w:val="nil"/>
            </w:tcBorders>
            <w:shd w:val="clear" w:color="auto" w:fill="auto"/>
            <w:noWrap/>
            <w:vAlign w:val="center"/>
          </w:tcPr>
          <w:p w14:paraId="545C3887" w14:textId="1E7E0870"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20</w:t>
            </w:r>
          </w:p>
        </w:tc>
        <w:tc>
          <w:tcPr>
            <w:tcW w:w="1710" w:type="dxa"/>
            <w:tcBorders>
              <w:left w:val="nil"/>
              <w:right w:val="nil"/>
            </w:tcBorders>
            <w:shd w:val="clear" w:color="auto" w:fill="auto"/>
            <w:noWrap/>
            <w:vAlign w:val="center"/>
          </w:tcPr>
          <w:p w14:paraId="70F1860E" w14:textId="64167EFC"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140</w:t>
            </w:r>
          </w:p>
        </w:tc>
        <w:tc>
          <w:tcPr>
            <w:tcW w:w="4050" w:type="dxa"/>
            <w:tcBorders>
              <w:left w:val="nil"/>
              <w:right w:val="nil"/>
            </w:tcBorders>
            <w:shd w:val="clear" w:color="auto" w:fill="auto"/>
            <w:vAlign w:val="center"/>
          </w:tcPr>
          <w:p w14:paraId="7CB0C051" w14:textId="0C75A3EE" w:rsidR="00DB3612" w:rsidRPr="00AA6FDD" w:rsidRDefault="00DB3612" w:rsidP="00DB3612">
            <w:pPr>
              <w:spacing w:after="0" w:line="240" w:lineRule="auto"/>
              <w:jc w:val="center"/>
              <w:rPr>
                <w:rFonts w:ascii="Calibri" w:eastAsia="Times New Roman" w:hAnsi="Calibri" w:cs="Calibri"/>
                <w:color w:val="000000"/>
              </w:rPr>
            </w:pPr>
            <w:proofErr w:type="gramStart"/>
            <w:r w:rsidRPr="00AA6FDD">
              <w:rPr>
                <w:rFonts w:ascii="Calibri" w:eastAsia="Times New Roman" w:hAnsi="Calibri" w:cs="Calibri"/>
                <w:color w:val="000000"/>
              </w:rPr>
              <w:t>Back-calculated</w:t>
            </w:r>
            <w:proofErr w:type="gramEnd"/>
            <w:r w:rsidRPr="00AA6FDD">
              <w:rPr>
                <w:rFonts w:ascii="Calibri" w:eastAsia="Times New Roman" w:hAnsi="Calibri" w:cs="Calibri"/>
                <w:color w:val="000000"/>
              </w:rPr>
              <w:t xml:space="preserve"> from SV</w:t>
            </w:r>
            <w:r w:rsidRPr="00AA6FDD">
              <w:rPr>
                <w:rFonts w:ascii="Calibri" w:eastAsia="Times New Roman" w:hAnsi="Calibri" w:cs="Calibri"/>
                <w:color w:val="000000"/>
              </w:rPr>
              <w:br/>
              <w:t>GLC uses meal size of 0.5 pounds (</w:t>
            </w:r>
            <w:r w:rsidR="00216747" w:rsidRPr="00AA6FDD">
              <w:rPr>
                <w:rFonts w:ascii="Calibri" w:eastAsia="Times New Roman" w:hAnsi="Calibri" w:cs="Calibri"/>
                <w:color w:val="000000"/>
              </w:rPr>
              <w:t>22</w:t>
            </w:r>
            <w:r w:rsidR="00216747">
              <w:rPr>
                <w:rFonts w:ascii="Calibri" w:eastAsia="Times New Roman" w:hAnsi="Calibri" w:cs="Calibri"/>
                <w:color w:val="000000"/>
              </w:rPr>
              <w:t>7</w:t>
            </w:r>
            <w:r w:rsidR="00216747" w:rsidRPr="00AA6FDD">
              <w:rPr>
                <w:rFonts w:ascii="Calibri" w:eastAsia="Times New Roman" w:hAnsi="Calibri" w:cs="Calibri"/>
                <w:color w:val="000000"/>
              </w:rPr>
              <w:t xml:space="preserve"> </w:t>
            </w:r>
            <w:r w:rsidRPr="00AA6FDD">
              <w:rPr>
                <w:rFonts w:ascii="Calibri" w:eastAsia="Times New Roman" w:hAnsi="Calibri" w:cs="Calibri"/>
                <w:color w:val="000000"/>
              </w:rPr>
              <w:t>g)</w:t>
            </w:r>
          </w:p>
        </w:tc>
        <w:tc>
          <w:tcPr>
            <w:tcW w:w="1986" w:type="dxa"/>
            <w:tcBorders>
              <w:left w:val="nil"/>
              <w:right w:val="nil"/>
            </w:tcBorders>
            <w:shd w:val="clear" w:color="auto" w:fill="auto"/>
            <w:vAlign w:val="center"/>
          </w:tcPr>
          <w:p w14:paraId="23CEDFBC" w14:textId="372A48B5"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18.8</w:t>
            </w:r>
          </w:p>
        </w:tc>
        <w:tc>
          <w:tcPr>
            <w:tcW w:w="879" w:type="dxa"/>
            <w:tcBorders>
              <w:left w:val="nil"/>
              <w:right w:val="nil"/>
            </w:tcBorders>
            <w:shd w:val="clear" w:color="auto" w:fill="auto"/>
            <w:noWrap/>
            <w:vAlign w:val="center"/>
          </w:tcPr>
          <w:p w14:paraId="5269EFF6" w14:textId="6C342902"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70</w:t>
            </w:r>
          </w:p>
        </w:tc>
        <w:tc>
          <w:tcPr>
            <w:tcW w:w="1168" w:type="dxa"/>
            <w:tcBorders>
              <w:left w:val="nil"/>
              <w:right w:val="nil"/>
            </w:tcBorders>
            <w:shd w:val="clear" w:color="auto" w:fill="auto"/>
            <w:noWrap/>
            <w:vAlign w:val="center"/>
          </w:tcPr>
          <w:p w14:paraId="452780D7" w14:textId="2816291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365</w:t>
            </w:r>
          </w:p>
        </w:tc>
        <w:tc>
          <w:tcPr>
            <w:tcW w:w="1387" w:type="dxa"/>
            <w:tcBorders>
              <w:left w:val="nil"/>
              <w:right w:val="nil"/>
            </w:tcBorders>
            <w:shd w:val="clear" w:color="auto" w:fill="auto"/>
            <w:noWrap/>
            <w:vAlign w:val="center"/>
          </w:tcPr>
          <w:p w14:paraId="17869518" w14:textId="753318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left w:val="nil"/>
              <w:right w:val="nil"/>
            </w:tcBorders>
            <w:shd w:val="clear" w:color="auto" w:fill="auto"/>
            <w:noWrap/>
            <w:vAlign w:val="center"/>
          </w:tcPr>
          <w:p w14:paraId="21127D28" w14:textId="443E8783"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left w:val="nil"/>
              <w:right w:val="nil"/>
            </w:tcBorders>
            <w:shd w:val="clear" w:color="auto" w:fill="auto"/>
            <w:noWrap/>
            <w:vAlign w:val="center"/>
          </w:tcPr>
          <w:p w14:paraId="5D582D4A" w14:textId="2DE1973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r>
      <w:tr w:rsidR="00DB3612" w:rsidRPr="00AA6FDD" w14:paraId="7AE0BA89" w14:textId="77777777" w:rsidTr="00711730">
        <w:trPr>
          <w:trHeight w:val="720"/>
        </w:trPr>
        <w:tc>
          <w:tcPr>
            <w:tcW w:w="1890" w:type="dxa"/>
            <w:tcBorders>
              <w:top w:val="nil"/>
              <w:left w:val="nil"/>
              <w:bottom w:val="single" w:sz="4" w:space="0" w:color="auto"/>
              <w:right w:val="nil"/>
            </w:tcBorders>
            <w:shd w:val="clear" w:color="auto" w:fill="auto"/>
            <w:noWrap/>
            <w:vAlign w:val="center"/>
            <w:hideMark/>
          </w:tcPr>
          <w:p w14:paraId="5E02252C" w14:textId="2AFB448B" w:rsidR="00DB3612" w:rsidRPr="00AA6FDD" w:rsidRDefault="00DB3612" w:rsidP="00DB3612">
            <w:pPr>
              <w:spacing w:after="0" w:line="240" w:lineRule="auto"/>
              <w:jc w:val="center"/>
              <w:rPr>
                <w:rFonts w:ascii="Calibri" w:eastAsia="Times New Roman" w:hAnsi="Calibri" w:cs="Calibri"/>
                <w:color w:val="000000"/>
              </w:rPr>
            </w:pPr>
            <w:proofErr w:type="spellStart"/>
            <w:r w:rsidRPr="00AA6FDD">
              <w:rPr>
                <w:rFonts w:ascii="Calibri" w:eastAsia="Times New Roman" w:hAnsi="Calibri" w:cs="Calibri"/>
                <w:color w:val="000000"/>
              </w:rPr>
              <w:t>CTDPH</w:t>
            </w:r>
            <w:r w:rsidR="00A76354">
              <w:rPr>
                <w:rFonts w:ascii="Calibri" w:eastAsia="Times New Roman" w:hAnsi="Calibri" w:cs="Calibri"/>
                <w:i/>
                <w:iCs/>
                <w:color w:val="000000"/>
                <w:vertAlign w:val="superscript"/>
              </w:rPr>
              <w:t>g</w:t>
            </w:r>
            <w:proofErr w:type="spellEnd"/>
          </w:p>
        </w:tc>
        <w:tc>
          <w:tcPr>
            <w:tcW w:w="1080" w:type="dxa"/>
            <w:tcBorders>
              <w:top w:val="nil"/>
              <w:left w:val="nil"/>
              <w:bottom w:val="single" w:sz="4" w:space="0" w:color="auto"/>
              <w:right w:val="nil"/>
            </w:tcBorders>
            <w:shd w:val="clear" w:color="auto" w:fill="auto"/>
            <w:noWrap/>
            <w:vAlign w:val="center"/>
            <w:hideMark/>
          </w:tcPr>
          <w:p w14:paraId="1358EEF7"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20</w:t>
            </w:r>
          </w:p>
        </w:tc>
        <w:tc>
          <w:tcPr>
            <w:tcW w:w="2340" w:type="dxa"/>
            <w:tcBorders>
              <w:top w:val="nil"/>
              <w:left w:val="nil"/>
              <w:bottom w:val="single" w:sz="4" w:space="0" w:color="auto"/>
              <w:right w:val="nil"/>
            </w:tcBorders>
            <w:shd w:val="clear" w:color="auto" w:fill="auto"/>
            <w:noWrap/>
            <w:vAlign w:val="center"/>
            <w:hideMark/>
          </w:tcPr>
          <w:p w14:paraId="55D4355F"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Adult</w:t>
            </w:r>
          </w:p>
        </w:tc>
        <w:tc>
          <w:tcPr>
            <w:tcW w:w="1530" w:type="dxa"/>
            <w:tcBorders>
              <w:top w:val="nil"/>
              <w:left w:val="nil"/>
              <w:bottom w:val="single" w:sz="4" w:space="0" w:color="auto"/>
              <w:right w:val="nil"/>
            </w:tcBorders>
            <w:shd w:val="clear" w:color="auto" w:fill="auto"/>
            <w:noWrap/>
            <w:vAlign w:val="center"/>
            <w:hideMark/>
          </w:tcPr>
          <w:p w14:paraId="49106DD4"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Fish</w:t>
            </w:r>
          </w:p>
        </w:tc>
        <w:tc>
          <w:tcPr>
            <w:tcW w:w="1530" w:type="dxa"/>
            <w:tcBorders>
              <w:top w:val="nil"/>
              <w:left w:val="nil"/>
              <w:bottom w:val="single" w:sz="4" w:space="0" w:color="auto"/>
              <w:right w:val="nil"/>
            </w:tcBorders>
            <w:shd w:val="clear" w:color="auto" w:fill="auto"/>
            <w:noWrap/>
            <w:vAlign w:val="center"/>
            <w:hideMark/>
          </w:tcPr>
          <w:p w14:paraId="16524292"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20</w:t>
            </w:r>
          </w:p>
        </w:tc>
        <w:tc>
          <w:tcPr>
            <w:tcW w:w="1710" w:type="dxa"/>
            <w:tcBorders>
              <w:top w:val="nil"/>
              <w:left w:val="nil"/>
              <w:bottom w:val="single" w:sz="4" w:space="0" w:color="auto"/>
              <w:right w:val="nil"/>
            </w:tcBorders>
            <w:shd w:val="clear" w:color="auto" w:fill="auto"/>
            <w:noWrap/>
            <w:vAlign w:val="center"/>
            <w:hideMark/>
          </w:tcPr>
          <w:p w14:paraId="6CD0ABBC"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62</w:t>
            </w:r>
          </w:p>
        </w:tc>
        <w:tc>
          <w:tcPr>
            <w:tcW w:w="4050" w:type="dxa"/>
            <w:tcBorders>
              <w:top w:val="nil"/>
              <w:left w:val="nil"/>
              <w:bottom w:val="single" w:sz="4" w:space="0" w:color="auto"/>
              <w:right w:val="nil"/>
            </w:tcBorders>
            <w:shd w:val="clear" w:color="auto" w:fill="auto"/>
            <w:vAlign w:val="center"/>
            <w:hideMark/>
          </w:tcPr>
          <w:p w14:paraId="1C593D31" w14:textId="77777777" w:rsidR="00DB3612" w:rsidRPr="00AA6FDD" w:rsidRDefault="00DB3612" w:rsidP="00DB3612">
            <w:pPr>
              <w:spacing w:after="0" w:line="240" w:lineRule="auto"/>
              <w:jc w:val="center"/>
              <w:rPr>
                <w:rFonts w:ascii="Calibri" w:eastAsia="Times New Roman" w:hAnsi="Calibri" w:cs="Calibri"/>
                <w:color w:val="000000"/>
              </w:rPr>
            </w:pPr>
            <w:proofErr w:type="gramStart"/>
            <w:r w:rsidRPr="00AA6FDD">
              <w:rPr>
                <w:rFonts w:ascii="Calibri" w:eastAsia="Times New Roman" w:hAnsi="Calibri" w:cs="Calibri"/>
                <w:color w:val="000000"/>
              </w:rPr>
              <w:t>Back-calculated</w:t>
            </w:r>
            <w:proofErr w:type="gramEnd"/>
            <w:r w:rsidRPr="00AA6FDD">
              <w:rPr>
                <w:rFonts w:ascii="Calibri" w:eastAsia="Times New Roman" w:hAnsi="Calibri" w:cs="Calibri"/>
                <w:color w:val="000000"/>
              </w:rPr>
              <w:t xml:space="preserve"> from SV</w:t>
            </w:r>
            <w:r w:rsidRPr="00AA6FDD">
              <w:rPr>
                <w:rFonts w:ascii="Calibri" w:eastAsia="Times New Roman" w:hAnsi="Calibri" w:cs="Calibri"/>
                <w:color w:val="000000"/>
              </w:rPr>
              <w:br/>
              <w:t>CT uses meal size of 0.5 pounds (227 g)</w:t>
            </w:r>
          </w:p>
        </w:tc>
        <w:tc>
          <w:tcPr>
            <w:tcW w:w="1986" w:type="dxa"/>
            <w:tcBorders>
              <w:top w:val="nil"/>
              <w:left w:val="nil"/>
              <w:bottom w:val="single" w:sz="4" w:space="0" w:color="auto"/>
              <w:right w:val="nil"/>
            </w:tcBorders>
            <w:shd w:val="clear" w:color="auto" w:fill="auto"/>
            <w:vAlign w:val="center"/>
            <w:hideMark/>
          </w:tcPr>
          <w:p w14:paraId="268D37E0"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8.3</w:t>
            </w:r>
          </w:p>
        </w:tc>
        <w:tc>
          <w:tcPr>
            <w:tcW w:w="879" w:type="dxa"/>
            <w:tcBorders>
              <w:top w:val="nil"/>
              <w:left w:val="nil"/>
              <w:bottom w:val="single" w:sz="4" w:space="0" w:color="auto"/>
              <w:right w:val="nil"/>
            </w:tcBorders>
            <w:shd w:val="clear" w:color="auto" w:fill="auto"/>
            <w:noWrap/>
            <w:vAlign w:val="center"/>
            <w:hideMark/>
          </w:tcPr>
          <w:p w14:paraId="12A55343"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62</w:t>
            </w:r>
          </w:p>
        </w:tc>
        <w:tc>
          <w:tcPr>
            <w:tcW w:w="1168" w:type="dxa"/>
            <w:tcBorders>
              <w:top w:val="nil"/>
              <w:left w:val="nil"/>
              <w:bottom w:val="single" w:sz="4" w:space="0" w:color="auto"/>
              <w:right w:val="nil"/>
            </w:tcBorders>
            <w:shd w:val="clear" w:color="auto" w:fill="auto"/>
            <w:noWrap/>
            <w:vAlign w:val="center"/>
            <w:hideMark/>
          </w:tcPr>
          <w:p w14:paraId="6B77DE5F"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365</w:t>
            </w:r>
          </w:p>
        </w:tc>
        <w:tc>
          <w:tcPr>
            <w:tcW w:w="1387" w:type="dxa"/>
            <w:tcBorders>
              <w:top w:val="nil"/>
              <w:left w:val="nil"/>
              <w:bottom w:val="single" w:sz="4" w:space="0" w:color="auto"/>
              <w:right w:val="nil"/>
            </w:tcBorders>
            <w:shd w:val="clear" w:color="auto" w:fill="auto"/>
            <w:noWrap/>
            <w:vAlign w:val="center"/>
            <w:hideMark/>
          </w:tcPr>
          <w:p w14:paraId="709AC2B8"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20" w:type="dxa"/>
            <w:tcBorders>
              <w:top w:val="nil"/>
              <w:left w:val="nil"/>
              <w:bottom w:val="single" w:sz="4" w:space="0" w:color="auto"/>
              <w:right w:val="nil"/>
            </w:tcBorders>
            <w:shd w:val="clear" w:color="auto" w:fill="auto"/>
            <w:noWrap/>
            <w:vAlign w:val="center"/>
            <w:hideMark/>
          </w:tcPr>
          <w:p w14:paraId="7C2CEF5F"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c>
          <w:tcPr>
            <w:tcW w:w="880" w:type="dxa"/>
            <w:tcBorders>
              <w:top w:val="nil"/>
              <w:left w:val="nil"/>
              <w:bottom w:val="single" w:sz="4" w:space="0" w:color="auto"/>
              <w:right w:val="nil"/>
            </w:tcBorders>
            <w:shd w:val="clear" w:color="auto" w:fill="auto"/>
            <w:noWrap/>
            <w:vAlign w:val="center"/>
            <w:hideMark/>
          </w:tcPr>
          <w:p w14:paraId="62E80A51" w14:textId="77777777" w:rsidR="00DB3612" w:rsidRPr="00AA6FDD" w:rsidRDefault="00DB3612" w:rsidP="00DB3612">
            <w:pPr>
              <w:spacing w:after="0" w:line="240" w:lineRule="auto"/>
              <w:jc w:val="center"/>
              <w:rPr>
                <w:rFonts w:ascii="Calibri" w:eastAsia="Times New Roman" w:hAnsi="Calibri" w:cs="Calibri"/>
                <w:color w:val="000000"/>
              </w:rPr>
            </w:pPr>
            <w:r w:rsidRPr="00AA6FDD">
              <w:rPr>
                <w:rFonts w:ascii="Calibri" w:eastAsia="Times New Roman" w:hAnsi="Calibri" w:cs="Calibri"/>
                <w:color w:val="000000"/>
              </w:rPr>
              <w:t>1</w:t>
            </w:r>
          </w:p>
        </w:tc>
      </w:tr>
    </w:tbl>
    <w:p w14:paraId="38210F02" w14:textId="0BAC7756" w:rsidR="0008284C" w:rsidRPr="0008284C" w:rsidRDefault="0008284C" w:rsidP="0008284C">
      <w:pPr>
        <w:spacing w:after="0" w:line="240" w:lineRule="auto"/>
        <w:rPr>
          <w:rFonts w:ascii="Calibri" w:eastAsia="Times New Roman" w:hAnsi="Calibri" w:cs="Calibri"/>
          <w:i/>
          <w:iCs/>
          <w:color w:val="000000"/>
          <w:sz w:val="20"/>
          <w:szCs w:val="20"/>
        </w:rPr>
      </w:pPr>
      <w:r w:rsidRPr="00AA6FDD">
        <w:rPr>
          <w:rFonts w:ascii="Calibri" w:eastAsia="Times New Roman" w:hAnsi="Calibri" w:cs="Calibri"/>
          <w:i/>
          <w:iCs/>
          <w:color w:val="000000"/>
          <w:sz w:val="20"/>
          <w:szCs w:val="20"/>
        </w:rPr>
        <w:t>UFCR - Usual Fish Consumption Rate</w:t>
      </w:r>
    </w:p>
    <w:p w14:paraId="0A95ED9A" w14:textId="03E310EF" w:rsidR="00AA6FDD" w:rsidRDefault="0008284C" w:rsidP="0008284C">
      <w:pPr>
        <w:spacing w:after="0" w:line="240" w:lineRule="auto"/>
        <w:rPr>
          <w:rFonts w:ascii="Calibri" w:eastAsia="Times New Roman" w:hAnsi="Calibri" w:cs="Calibri"/>
          <w:i/>
          <w:iCs/>
          <w:color w:val="000000"/>
          <w:sz w:val="20"/>
          <w:szCs w:val="20"/>
        </w:rPr>
      </w:pPr>
      <w:r w:rsidRPr="00AA6FDD">
        <w:rPr>
          <w:rFonts w:ascii="Calibri" w:eastAsia="Times New Roman" w:hAnsi="Calibri" w:cs="Calibri"/>
          <w:i/>
          <w:iCs/>
          <w:color w:val="000000"/>
          <w:sz w:val="20"/>
          <w:szCs w:val="20"/>
        </w:rPr>
        <w:t xml:space="preserve">[a] Assumes meal size of 227 g for </w:t>
      </w:r>
      <w:proofErr w:type="gramStart"/>
      <w:r w:rsidRPr="00AA6FDD">
        <w:rPr>
          <w:rFonts w:ascii="Calibri" w:eastAsia="Times New Roman" w:hAnsi="Calibri" w:cs="Calibri"/>
          <w:i/>
          <w:iCs/>
          <w:color w:val="000000"/>
          <w:sz w:val="20"/>
          <w:szCs w:val="20"/>
        </w:rPr>
        <w:t>adults;</w:t>
      </w:r>
      <w:proofErr w:type="gramEnd"/>
      <w:r w:rsidRPr="00AA6FDD">
        <w:rPr>
          <w:rFonts w:ascii="Calibri" w:eastAsia="Times New Roman" w:hAnsi="Calibri" w:cs="Calibri"/>
          <w:i/>
          <w:iCs/>
          <w:color w:val="000000"/>
          <w:sz w:val="20"/>
          <w:szCs w:val="20"/>
        </w:rPr>
        <w:t xml:space="preserve"> 11</w:t>
      </w:r>
      <w:r>
        <w:rPr>
          <w:rFonts w:ascii="Calibri" w:eastAsia="Times New Roman" w:hAnsi="Calibri" w:cs="Calibri"/>
          <w:i/>
          <w:iCs/>
          <w:color w:val="000000"/>
          <w:sz w:val="20"/>
          <w:szCs w:val="20"/>
        </w:rPr>
        <w:t>3.</w:t>
      </w:r>
      <w:r w:rsidRPr="00AA6FDD">
        <w:rPr>
          <w:rFonts w:ascii="Calibri" w:eastAsia="Times New Roman" w:hAnsi="Calibri" w:cs="Calibri"/>
          <w:i/>
          <w:iCs/>
          <w:color w:val="000000"/>
          <w:sz w:val="20"/>
          <w:szCs w:val="20"/>
        </w:rPr>
        <w:t>4 g for children</w:t>
      </w:r>
    </w:p>
    <w:p w14:paraId="390D50C7" w14:textId="3744905A" w:rsidR="0008284C" w:rsidRDefault="0008284C" w:rsidP="0008284C">
      <w:pPr>
        <w:spacing w:after="0" w:line="240" w:lineRule="auto"/>
        <w:rPr>
          <w:rFonts w:ascii="Calibri" w:eastAsia="Times New Roman" w:hAnsi="Calibri" w:cs="Calibri"/>
          <w:i/>
          <w:iCs/>
          <w:color w:val="000000"/>
          <w:sz w:val="20"/>
          <w:szCs w:val="20"/>
        </w:rPr>
      </w:pPr>
      <w:r w:rsidRPr="00AA6FDD">
        <w:rPr>
          <w:rFonts w:ascii="Calibri" w:eastAsia="Times New Roman" w:hAnsi="Calibri" w:cs="Calibri"/>
          <w:i/>
          <w:iCs/>
          <w:color w:val="000000"/>
          <w:sz w:val="20"/>
          <w:szCs w:val="20"/>
        </w:rPr>
        <w:t>[b] Applies to both general and high-risk populations</w:t>
      </w:r>
    </w:p>
    <w:p w14:paraId="5C62ABEE" w14:textId="08BBF61E" w:rsidR="0008284C" w:rsidRDefault="0008284C" w:rsidP="0008284C">
      <w:pPr>
        <w:spacing w:after="0" w:line="240" w:lineRule="auto"/>
        <w:rPr>
          <w:rFonts w:ascii="Calibri" w:eastAsia="Times New Roman" w:hAnsi="Calibri" w:cs="Calibri"/>
          <w:i/>
          <w:iCs/>
          <w:color w:val="000000"/>
          <w:sz w:val="20"/>
          <w:szCs w:val="20"/>
        </w:rPr>
      </w:pPr>
      <w:r w:rsidRPr="00A76354">
        <w:rPr>
          <w:rFonts w:ascii="Calibri" w:eastAsia="Times New Roman" w:hAnsi="Calibri" w:cs="Calibri"/>
          <w:i/>
          <w:iCs/>
          <w:color w:val="000000"/>
          <w:sz w:val="20"/>
          <w:szCs w:val="20"/>
        </w:rPr>
        <w:t xml:space="preserve">[c] Value </w:t>
      </w:r>
      <w:r>
        <w:rPr>
          <w:rFonts w:ascii="Calibri" w:eastAsia="Times New Roman" w:hAnsi="Calibri" w:cs="Calibri"/>
          <w:i/>
          <w:iCs/>
          <w:color w:val="000000"/>
          <w:sz w:val="20"/>
          <w:szCs w:val="20"/>
        </w:rPr>
        <w:t>falls between 90</w:t>
      </w:r>
      <w:r w:rsidRPr="00DC74B2">
        <w:rPr>
          <w:rFonts w:ascii="Calibri" w:eastAsia="Times New Roman" w:hAnsi="Calibri" w:cs="Calibri"/>
          <w:i/>
          <w:iCs/>
          <w:color w:val="000000"/>
          <w:sz w:val="20"/>
          <w:szCs w:val="20"/>
          <w:vertAlign w:val="superscript"/>
        </w:rPr>
        <w:t>th</w:t>
      </w:r>
      <w:r>
        <w:rPr>
          <w:rFonts w:ascii="Calibri" w:eastAsia="Times New Roman" w:hAnsi="Calibri" w:cs="Calibri"/>
          <w:i/>
          <w:iCs/>
          <w:color w:val="000000"/>
          <w:sz w:val="20"/>
          <w:szCs w:val="20"/>
        </w:rPr>
        <w:t xml:space="preserve"> and 95</w:t>
      </w:r>
      <w:r w:rsidRPr="00DC74B2">
        <w:rPr>
          <w:rFonts w:ascii="Calibri" w:eastAsia="Times New Roman" w:hAnsi="Calibri" w:cs="Calibri"/>
          <w:i/>
          <w:iCs/>
          <w:color w:val="000000"/>
          <w:sz w:val="20"/>
          <w:szCs w:val="20"/>
          <w:vertAlign w:val="superscript"/>
        </w:rPr>
        <w:t>th</w:t>
      </w:r>
      <w:r>
        <w:rPr>
          <w:rFonts w:ascii="Calibri" w:eastAsia="Times New Roman" w:hAnsi="Calibri" w:cs="Calibri"/>
          <w:i/>
          <w:iCs/>
          <w:color w:val="000000"/>
          <w:sz w:val="20"/>
          <w:szCs w:val="20"/>
        </w:rPr>
        <w:t xml:space="preserve"> percentile consumption of finfish and shellfish from freshwater/estuarine waters, for </w:t>
      </w:r>
      <w:proofErr w:type="gramStart"/>
      <w:r>
        <w:rPr>
          <w:rFonts w:ascii="Calibri" w:eastAsia="Times New Roman" w:hAnsi="Calibri" w:cs="Calibri"/>
          <w:i/>
          <w:iCs/>
          <w:color w:val="000000"/>
          <w:sz w:val="20"/>
          <w:szCs w:val="20"/>
        </w:rPr>
        <w:t>3-5 year old</w:t>
      </w:r>
      <w:proofErr w:type="gramEnd"/>
      <w:r>
        <w:rPr>
          <w:rFonts w:ascii="Calibri" w:eastAsia="Times New Roman" w:hAnsi="Calibri" w:cs="Calibri"/>
          <w:i/>
          <w:iCs/>
          <w:color w:val="000000"/>
          <w:sz w:val="20"/>
          <w:szCs w:val="20"/>
        </w:rPr>
        <w:t xml:space="preserve"> consumers only</w:t>
      </w:r>
      <w:r w:rsidRPr="00A76354">
        <w:rPr>
          <w:rFonts w:ascii="Calibri" w:eastAsia="Times New Roman" w:hAnsi="Calibri" w:cs="Calibri"/>
          <w:i/>
          <w:iCs/>
          <w:color w:val="000000"/>
          <w:sz w:val="20"/>
          <w:szCs w:val="20"/>
        </w:rPr>
        <w:t>, based on 2-day average consumption from 1994-1996, 1998 USDA Continuing Survey of Food Intakes by Individuals (CSFII) summarized by US EPA (2002)</w:t>
      </w:r>
    </w:p>
    <w:p w14:paraId="2DDD8F1A" w14:textId="029F7FCE" w:rsidR="0008284C" w:rsidRDefault="0008284C" w:rsidP="0008284C">
      <w:pPr>
        <w:spacing w:after="0" w:line="240" w:lineRule="auto"/>
        <w:rPr>
          <w:rFonts w:ascii="Calibri" w:eastAsia="Times New Roman" w:hAnsi="Calibri" w:cs="Calibri"/>
          <w:i/>
          <w:iCs/>
          <w:color w:val="000000"/>
          <w:sz w:val="20"/>
          <w:szCs w:val="20"/>
        </w:rPr>
      </w:pPr>
      <w:r w:rsidRPr="0069317E">
        <w:rPr>
          <w:rFonts w:ascii="Calibri" w:eastAsia="Times New Roman" w:hAnsi="Calibri" w:cs="Calibri"/>
          <w:i/>
          <w:iCs/>
          <w:color w:val="000000"/>
          <w:sz w:val="20"/>
          <w:szCs w:val="20"/>
        </w:rPr>
        <w:t>[d] Includes finfish &amp; shellfish</w:t>
      </w:r>
    </w:p>
    <w:p w14:paraId="3BF6AC79" w14:textId="59FF4767" w:rsidR="0008284C" w:rsidRDefault="0008284C" w:rsidP="0008284C">
      <w:pPr>
        <w:spacing w:after="0" w:line="240" w:lineRule="auto"/>
        <w:rPr>
          <w:rFonts w:ascii="Calibri" w:eastAsia="Times New Roman" w:hAnsi="Calibri" w:cs="Calibri"/>
          <w:i/>
          <w:iCs/>
          <w:color w:val="000000"/>
          <w:sz w:val="20"/>
          <w:szCs w:val="20"/>
        </w:rPr>
      </w:pPr>
      <w:r w:rsidRPr="00AA6FDD">
        <w:rPr>
          <w:rFonts w:ascii="Calibri" w:eastAsia="Times New Roman" w:hAnsi="Calibri" w:cs="Calibri"/>
          <w:i/>
          <w:iCs/>
          <w:color w:val="000000"/>
          <w:sz w:val="20"/>
          <w:szCs w:val="20"/>
        </w:rPr>
        <w:t>[</w:t>
      </w:r>
      <w:r>
        <w:rPr>
          <w:rFonts w:ascii="Calibri" w:eastAsia="Times New Roman" w:hAnsi="Calibri" w:cs="Calibri"/>
          <w:i/>
          <w:iCs/>
          <w:color w:val="000000"/>
          <w:sz w:val="20"/>
          <w:szCs w:val="20"/>
        </w:rPr>
        <w:t>e</w:t>
      </w:r>
      <w:r w:rsidRPr="00AA6FDD">
        <w:rPr>
          <w:rFonts w:ascii="Calibri" w:eastAsia="Times New Roman" w:hAnsi="Calibri" w:cs="Calibri"/>
          <w:i/>
          <w:iCs/>
          <w:color w:val="000000"/>
          <w:sz w:val="20"/>
          <w:szCs w:val="20"/>
        </w:rPr>
        <w:t>] Developed for use at Pease Air Force Base</w:t>
      </w:r>
    </w:p>
    <w:p w14:paraId="69A6E556" w14:textId="31C8C25A" w:rsidR="0008284C" w:rsidRDefault="0008284C" w:rsidP="0008284C">
      <w:pPr>
        <w:spacing w:after="0" w:line="240" w:lineRule="auto"/>
      </w:pPr>
      <w:r w:rsidRPr="00AA6FDD">
        <w:rPr>
          <w:rFonts w:ascii="Calibri" w:eastAsia="Times New Roman" w:hAnsi="Calibri" w:cs="Calibri"/>
          <w:i/>
          <w:iCs/>
          <w:color w:val="000000"/>
          <w:sz w:val="20"/>
          <w:szCs w:val="20"/>
        </w:rPr>
        <w:t>[</w:t>
      </w:r>
      <w:r>
        <w:rPr>
          <w:rFonts w:ascii="Calibri" w:eastAsia="Times New Roman" w:hAnsi="Calibri" w:cs="Calibri"/>
          <w:i/>
          <w:iCs/>
          <w:color w:val="000000"/>
          <w:sz w:val="20"/>
          <w:szCs w:val="20"/>
        </w:rPr>
        <w:t>f</w:t>
      </w:r>
      <w:r w:rsidRPr="00AA6FDD">
        <w:rPr>
          <w:rFonts w:ascii="Calibri" w:eastAsia="Times New Roman" w:hAnsi="Calibri" w:cs="Calibri"/>
          <w:i/>
          <w:iCs/>
          <w:color w:val="000000"/>
          <w:sz w:val="20"/>
          <w:szCs w:val="20"/>
        </w:rPr>
        <w:t>] Includes Illinois, Indiana, Michigan, Minnesota, New York, Ohio, Pennsylvania, Wisconsin</w:t>
      </w:r>
    </w:p>
    <w:p w14:paraId="58D9F4CD" w14:textId="2C9BA21C" w:rsidR="0008284C" w:rsidRDefault="0008284C" w:rsidP="00AA6FDD">
      <w:pPr>
        <w:sectPr w:rsidR="0008284C" w:rsidSect="00733892">
          <w:headerReference w:type="default" r:id="rId35"/>
          <w:footerReference w:type="default" r:id="rId36"/>
          <w:pgSz w:w="24480" w:h="15840" w:orient="landscape" w:code="1"/>
          <w:pgMar w:top="1440" w:right="1440" w:bottom="1440" w:left="1440" w:header="720" w:footer="720" w:gutter="0"/>
          <w:cols w:space="720"/>
          <w:docGrid w:linePitch="360"/>
        </w:sectPr>
      </w:pPr>
    </w:p>
    <w:p w14:paraId="44E2F8B0" w14:textId="2A67D6EE" w:rsidR="00FA6918" w:rsidRPr="00FA6918" w:rsidRDefault="00FA6918" w:rsidP="00FA6918">
      <w:pPr>
        <w:rPr>
          <w:b/>
          <w:bCs/>
          <w:sz w:val="32"/>
          <w:szCs w:val="32"/>
        </w:rPr>
      </w:pPr>
      <w:r>
        <w:rPr>
          <w:b/>
          <w:bCs/>
          <w:sz w:val="32"/>
          <w:szCs w:val="32"/>
        </w:rPr>
        <w:t xml:space="preserve">APPENDIX </w:t>
      </w:r>
      <w:r w:rsidR="00E404A9">
        <w:rPr>
          <w:b/>
          <w:bCs/>
          <w:sz w:val="32"/>
          <w:szCs w:val="32"/>
        </w:rPr>
        <w:t>B</w:t>
      </w:r>
      <w:r>
        <w:rPr>
          <w:b/>
          <w:bCs/>
          <w:sz w:val="32"/>
          <w:szCs w:val="32"/>
        </w:rPr>
        <w:t xml:space="preserve"> - </w:t>
      </w:r>
      <w:r w:rsidRPr="00FA6918">
        <w:rPr>
          <w:b/>
          <w:bCs/>
          <w:sz w:val="32"/>
          <w:szCs w:val="32"/>
        </w:rPr>
        <w:t>REFERENCES</w:t>
      </w:r>
    </w:p>
    <w:p w14:paraId="6D387141" w14:textId="77777777" w:rsidR="003B551E" w:rsidRPr="000D3483" w:rsidRDefault="003B551E" w:rsidP="009916DF">
      <w:pPr>
        <w:spacing w:after="0" w:line="240" w:lineRule="auto"/>
        <w:rPr>
          <w:sz w:val="24"/>
          <w:szCs w:val="24"/>
        </w:rPr>
      </w:pPr>
      <w:r w:rsidRPr="000D3483">
        <w:rPr>
          <w:sz w:val="24"/>
          <w:szCs w:val="24"/>
        </w:rPr>
        <w:t xml:space="preserve">Connecticut Department of Public Health (CTDPH). 2018. Health Consultation, Public Health Evaluation of Fish Tissue from O’Sullivan’s Island Site, Derby, CT. Prepared under Cooperative Agreement with Agency for Toxic Substances and Disease Registry. January 23. Available online at:  </w:t>
      </w:r>
      <w:hyperlink r:id="rId37" w:history="1">
        <w:r w:rsidRPr="000D3483">
          <w:rPr>
            <w:rStyle w:val="Hyperlink"/>
            <w:sz w:val="24"/>
            <w:szCs w:val="24"/>
          </w:rPr>
          <w:t>https://portal.ct.gov/-/media/Departments-and-Agencies/DPH/dph/environmental_health/eoha/ATSDR/OSullivans-Island-PCBs-and-PFAS-in-fish.pdf?la=en</w:t>
        </w:r>
      </w:hyperlink>
    </w:p>
    <w:p w14:paraId="007C4519" w14:textId="77777777" w:rsidR="000D3483" w:rsidRPr="000D3483" w:rsidRDefault="000D3483" w:rsidP="009916DF">
      <w:pPr>
        <w:spacing w:after="0" w:line="240" w:lineRule="auto"/>
        <w:rPr>
          <w:sz w:val="24"/>
          <w:szCs w:val="24"/>
        </w:rPr>
      </w:pPr>
    </w:p>
    <w:p w14:paraId="4E15535B" w14:textId="2C9C3A7B" w:rsidR="003B551E" w:rsidRPr="000D3483" w:rsidRDefault="003B551E" w:rsidP="009916DF">
      <w:pPr>
        <w:spacing w:after="0" w:line="240" w:lineRule="auto"/>
        <w:rPr>
          <w:sz w:val="24"/>
          <w:szCs w:val="24"/>
        </w:rPr>
      </w:pPr>
      <w:r w:rsidRPr="000D3483">
        <w:rPr>
          <w:sz w:val="24"/>
          <w:szCs w:val="24"/>
        </w:rPr>
        <w:t xml:space="preserve">Great Lakes Consortium for Fish Consumption Advisories (Great Lakes Consortium). 2018. Best Practice for </w:t>
      </w:r>
      <w:proofErr w:type="spellStart"/>
      <w:r w:rsidRPr="000D3483">
        <w:rPr>
          <w:sz w:val="24"/>
          <w:szCs w:val="24"/>
        </w:rPr>
        <w:t>Perfluorooctane</w:t>
      </w:r>
      <w:proofErr w:type="spellEnd"/>
      <w:r w:rsidRPr="000D3483">
        <w:rPr>
          <w:sz w:val="24"/>
          <w:szCs w:val="24"/>
        </w:rPr>
        <w:t xml:space="preserve"> Sulfonate (PFOS) Guidelines. November. Available online at: </w:t>
      </w:r>
      <w:hyperlink r:id="rId38" w:history="1">
        <w:r w:rsidRPr="000D3483">
          <w:rPr>
            <w:rStyle w:val="Hyperlink"/>
            <w:sz w:val="24"/>
            <w:szCs w:val="24"/>
          </w:rPr>
          <w:t>https://www.health.state.mn.us/communities/environment/fish/docs/consortium/bestpracticepfos.pdf</w:t>
        </w:r>
      </w:hyperlink>
    </w:p>
    <w:p w14:paraId="7B9C415A" w14:textId="77777777" w:rsidR="000D3483" w:rsidRPr="000D3483" w:rsidRDefault="000D3483" w:rsidP="009916DF">
      <w:pPr>
        <w:spacing w:after="0" w:line="240" w:lineRule="auto"/>
        <w:rPr>
          <w:rFonts w:cs="Arial"/>
          <w:sz w:val="24"/>
          <w:szCs w:val="24"/>
        </w:rPr>
      </w:pPr>
    </w:p>
    <w:p w14:paraId="1867CBA5" w14:textId="3A737D57" w:rsidR="00AA6FDD" w:rsidRPr="000D3483" w:rsidRDefault="003B551E" w:rsidP="009916DF">
      <w:pPr>
        <w:spacing w:after="0" w:line="240" w:lineRule="auto"/>
        <w:rPr>
          <w:rStyle w:val="Hyperlink"/>
          <w:rFonts w:cs="Arial"/>
          <w:sz w:val="24"/>
          <w:szCs w:val="24"/>
        </w:rPr>
      </w:pPr>
      <w:r w:rsidRPr="000D3483">
        <w:rPr>
          <w:rFonts w:cs="Arial"/>
          <w:sz w:val="24"/>
          <w:szCs w:val="24"/>
        </w:rPr>
        <w:t xml:space="preserve">Michigan Department of Health and Human Services (MDHHS). 2016. Michigan Fish Consumption Advisory Program Guidance Document. September 14. </w:t>
      </w:r>
      <w:r w:rsidRPr="000D3483">
        <w:rPr>
          <w:sz w:val="24"/>
          <w:szCs w:val="24"/>
        </w:rPr>
        <w:t xml:space="preserve">Available online at: </w:t>
      </w:r>
      <w:hyperlink r:id="rId39" w:history="1">
        <w:r w:rsidRPr="000D3483">
          <w:rPr>
            <w:rStyle w:val="Hyperlink"/>
            <w:rFonts w:cs="Arial"/>
            <w:sz w:val="24"/>
            <w:szCs w:val="24"/>
          </w:rPr>
          <w:t>https://www.michigan.gov/documents/mdch/MFCAP_Guidance_Document_500546_7.pdf</w:t>
        </w:r>
      </w:hyperlink>
    </w:p>
    <w:p w14:paraId="4C0D50DA" w14:textId="77777777" w:rsidR="000D3483" w:rsidRPr="000D3483" w:rsidRDefault="000D3483" w:rsidP="009916DF">
      <w:pPr>
        <w:spacing w:after="0" w:line="240" w:lineRule="auto"/>
        <w:rPr>
          <w:rStyle w:val="Hyperlink"/>
          <w:rFonts w:cs="Arial"/>
          <w:color w:val="auto"/>
          <w:sz w:val="24"/>
          <w:szCs w:val="24"/>
          <w:u w:val="none"/>
        </w:rPr>
      </w:pPr>
    </w:p>
    <w:p w14:paraId="7C54534F" w14:textId="348421B1" w:rsidR="003B551E" w:rsidRPr="000D3483" w:rsidRDefault="003B551E" w:rsidP="009916DF">
      <w:pPr>
        <w:spacing w:after="0" w:line="240" w:lineRule="auto"/>
        <w:rPr>
          <w:sz w:val="24"/>
          <w:szCs w:val="24"/>
        </w:rPr>
      </w:pPr>
      <w:r w:rsidRPr="000D3483">
        <w:rPr>
          <w:rStyle w:val="Hyperlink"/>
          <w:rFonts w:cs="Arial"/>
          <w:color w:val="auto"/>
          <w:sz w:val="24"/>
          <w:szCs w:val="24"/>
          <w:u w:val="none"/>
        </w:rPr>
        <w:t xml:space="preserve">New Hampshire Department of Environmental Services (NHDES). 2019. Fish, Shellfish, Recreational Swimming and Wading Screening Levels (SLs) for Five Perfluoroalkyl Substances Including: PFOA, PFOS, PFHxS, PFNA and PFBS. As cited in: Murphy, MJ. 2021. </w:t>
      </w:r>
      <w:r w:rsidRPr="000D3483">
        <w:rPr>
          <w:sz w:val="24"/>
          <w:szCs w:val="24"/>
        </w:rPr>
        <w:t xml:space="preserve">Investigation and Health Risk Screening for Per- and Poly Fluoroalkyl Substances (PFAS) In Surface Water and Shellfish </w:t>
      </w:r>
      <w:proofErr w:type="gramStart"/>
      <w:r w:rsidRPr="000D3483">
        <w:rPr>
          <w:sz w:val="24"/>
          <w:szCs w:val="24"/>
        </w:rPr>
        <w:t>At</w:t>
      </w:r>
      <w:proofErr w:type="gramEnd"/>
      <w:r w:rsidRPr="000D3483">
        <w:rPr>
          <w:sz w:val="24"/>
          <w:szCs w:val="24"/>
        </w:rPr>
        <w:t xml:space="preserve"> Former Air Force Base (Northeast Waste Management Officials Association Webinar Series – PFAS In the Environment, April 13). Available online at: </w:t>
      </w:r>
      <w:hyperlink r:id="rId40" w:history="1">
        <w:r w:rsidRPr="000D3483">
          <w:rPr>
            <w:rStyle w:val="Hyperlink"/>
            <w:sz w:val="24"/>
            <w:szCs w:val="24"/>
          </w:rPr>
          <w:t>http://www.newmoa.org/events/docs/471/MurphyApril2021.pdf</w:t>
        </w:r>
      </w:hyperlink>
    </w:p>
    <w:p w14:paraId="76D66C11" w14:textId="77777777" w:rsidR="000D3483" w:rsidRPr="000D3483" w:rsidRDefault="000D3483" w:rsidP="009916DF">
      <w:pPr>
        <w:spacing w:after="0" w:line="240" w:lineRule="auto"/>
        <w:rPr>
          <w:sz w:val="24"/>
          <w:szCs w:val="24"/>
        </w:rPr>
      </w:pPr>
    </w:p>
    <w:p w14:paraId="47B82290" w14:textId="35E394F6" w:rsidR="003B551E" w:rsidRPr="000D3483" w:rsidRDefault="003B551E" w:rsidP="009916DF">
      <w:pPr>
        <w:spacing w:after="0" w:line="240" w:lineRule="auto"/>
        <w:rPr>
          <w:sz w:val="24"/>
          <w:szCs w:val="24"/>
        </w:rPr>
      </w:pPr>
      <w:r w:rsidRPr="000D3483">
        <w:rPr>
          <w:sz w:val="24"/>
          <w:szCs w:val="24"/>
        </w:rPr>
        <w:t xml:space="preserve">New Jersey Department of Environmental Protection (NJDEP). 2018. Investigation of Levels of </w:t>
      </w:r>
      <w:proofErr w:type="spellStart"/>
      <w:r w:rsidRPr="000D3483">
        <w:rPr>
          <w:sz w:val="24"/>
          <w:szCs w:val="24"/>
        </w:rPr>
        <w:t>Perfluorinated</w:t>
      </w:r>
      <w:proofErr w:type="spellEnd"/>
      <w:r w:rsidRPr="000D3483">
        <w:rPr>
          <w:sz w:val="24"/>
          <w:szCs w:val="24"/>
        </w:rPr>
        <w:t xml:space="preserve"> Compounds in New Jersey Fish, Surface Water, and Sediment. June 18. Available online at: </w:t>
      </w:r>
      <w:hyperlink r:id="rId41" w:history="1">
        <w:r w:rsidR="005C1083" w:rsidRPr="000D3483">
          <w:rPr>
            <w:rStyle w:val="Hyperlink"/>
            <w:sz w:val="24"/>
            <w:szCs w:val="24"/>
          </w:rPr>
          <w:t>https://www.nj.gov/dep/dsr/publications/Investigation%20of%20Levels%20of%20Perfluorinated%20Compounds%20in%20New%20Jersey%20Fish,%20Surface%20Water,%20and%20Sediment.pdf</w:t>
        </w:r>
      </w:hyperlink>
    </w:p>
    <w:p w14:paraId="6F2CDC92" w14:textId="77777777" w:rsidR="000D3483" w:rsidRPr="000D3483" w:rsidRDefault="000D3483" w:rsidP="009916DF">
      <w:pPr>
        <w:spacing w:after="0" w:line="240" w:lineRule="auto"/>
        <w:rPr>
          <w:sz w:val="24"/>
          <w:szCs w:val="24"/>
        </w:rPr>
      </w:pPr>
    </w:p>
    <w:p w14:paraId="5C3B6E82" w14:textId="1AFCCC0D" w:rsidR="005C1083" w:rsidRPr="000D3483" w:rsidRDefault="005C1083" w:rsidP="009916DF">
      <w:pPr>
        <w:spacing w:after="0" w:line="240" w:lineRule="auto"/>
        <w:rPr>
          <w:sz w:val="24"/>
          <w:szCs w:val="24"/>
        </w:rPr>
      </w:pPr>
      <w:r w:rsidRPr="000D3483">
        <w:rPr>
          <w:sz w:val="24"/>
          <w:szCs w:val="24"/>
        </w:rPr>
        <w:t xml:space="preserve">U.S. Environmental Protection Agency (USEPA). 2014. Estimated Fish Consumption Rates for the U.S. Population and Selected Subpopulations (NHANES 2003-2010), Final Report. EPA/820/R-14/002. April. Available online at: </w:t>
      </w:r>
      <w:hyperlink r:id="rId42" w:history="1">
        <w:r w:rsidRPr="000D3483">
          <w:rPr>
            <w:rStyle w:val="Hyperlink"/>
            <w:sz w:val="24"/>
            <w:szCs w:val="24"/>
          </w:rPr>
          <w:t>https://www.epa.gov/sites/default/files/2015-01/documents/fish-consumption-rates-2014.pdf</w:t>
        </w:r>
      </w:hyperlink>
    </w:p>
    <w:sectPr w:rsidR="005C1083" w:rsidRPr="000D3483" w:rsidSect="00E404A9">
      <w:head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5371" w14:textId="77777777" w:rsidR="00EE4F55" w:rsidRDefault="00EE4F55" w:rsidP="007F3847">
      <w:pPr>
        <w:spacing w:after="0" w:line="240" w:lineRule="auto"/>
      </w:pPr>
      <w:r>
        <w:separator/>
      </w:r>
    </w:p>
  </w:endnote>
  <w:endnote w:type="continuationSeparator" w:id="0">
    <w:p w14:paraId="7B61532D" w14:textId="77777777" w:rsidR="00EE4F55" w:rsidRDefault="00EE4F55" w:rsidP="007F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65B2" w14:textId="575845E0" w:rsidR="00EA359A" w:rsidRDefault="00EA359A" w:rsidP="00EA359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36788"/>
      <w:docPartObj>
        <w:docPartGallery w:val="Page Numbers (Bottom of Page)"/>
        <w:docPartUnique/>
      </w:docPartObj>
    </w:sdtPr>
    <w:sdtEndPr>
      <w:rPr>
        <w:noProof/>
      </w:rPr>
    </w:sdtEndPr>
    <w:sdtContent>
      <w:p w14:paraId="643C0D30" w14:textId="24153C7F" w:rsidR="00EA359A" w:rsidRDefault="00733892" w:rsidP="007338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52D1" w14:textId="5221E976" w:rsidR="00EA359A" w:rsidRDefault="00EA359A" w:rsidP="0073389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1525"/>
      <w:docPartObj>
        <w:docPartGallery w:val="Page Numbers (Bottom of Page)"/>
        <w:docPartUnique/>
      </w:docPartObj>
    </w:sdtPr>
    <w:sdtEndPr>
      <w:rPr>
        <w:noProof/>
      </w:rPr>
    </w:sdtEndPr>
    <w:sdtContent>
      <w:p w14:paraId="25C63AEF" w14:textId="688FAADE" w:rsidR="00733892" w:rsidRDefault="00733892" w:rsidP="007338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654544"/>
      <w:docPartObj>
        <w:docPartGallery w:val="Page Numbers (Bottom of Page)"/>
        <w:docPartUnique/>
      </w:docPartObj>
    </w:sdtPr>
    <w:sdtEndPr>
      <w:rPr>
        <w:noProof/>
      </w:rPr>
    </w:sdtEndPr>
    <w:sdtContent>
      <w:p w14:paraId="14B5C53D" w14:textId="205504D2" w:rsidR="00733892" w:rsidRDefault="007338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85BC7" w14:textId="77777777" w:rsidR="009500B2" w:rsidRPr="00F75182" w:rsidRDefault="009500B2" w:rsidP="00F75182">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801639"/>
      <w:docPartObj>
        <w:docPartGallery w:val="Page Numbers (Bottom of Page)"/>
        <w:docPartUnique/>
      </w:docPartObj>
    </w:sdtPr>
    <w:sdtEndPr>
      <w:rPr>
        <w:noProof/>
      </w:rPr>
    </w:sdtEndPr>
    <w:sdtContent>
      <w:p w14:paraId="7AAF8BFB" w14:textId="4EDA7ECA" w:rsidR="009500B2" w:rsidRDefault="009500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B0B8D5" w14:textId="77777777" w:rsidR="009500B2" w:rsidRPr="00F75182" w:rsidRDefault="009500B2" w:rsidP="00F751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A46F" w14:textId="77777777" w:rsidR="00EE4F55" w:rsidRDefault="00EE4F55" w:rsidP="007F3847">
      <w:pPr>
        <w:spacing w:after="0" w:line="240" w:lineRule="auto"/>
      </w:pPr>
      <w:r>
        <w:separator/>
      </w:r>
    </w:p>
  </w:footnote>
  <w:footnote w:type="continuationSeparator" w:id="0">
    <w:p w14:paraId="6F2C3145" w14:textId="77777777" w:rsidR="00EE4F55" w:rsidRDefault="00EE4F55" w:rsidP="007F3847">
      <w:pPr>
        <w:spacing w:after="0" w:line="240" w:lineRule="auto"/>
      </w:pPr>
      <w:r>
        <w:continuationSeparator/>
      </w:r>
    </w:p>
  </w:footnote>
  <w:footnote w:id="1">
    <w:p w14:paraId="0CE1A200" w14:textId="4DE8C319" w:rsidR="009500B2" w:rsidRDefault="009500B2">
      <w:pPr>
        <w:pStyle w:val="FootnoteText"/>
      </w:pPr>
      <w:r>
        <w:rPr>
          <w:rStyle w:val="FootnoteReference"/>
        </w:rPr>
        <w:footnoteRef/>
      </w:r>
      <w:r>
        <w:t xml:space="preserve"> Based on recommendations from Table 3-93.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FC10" w14:textId="77777777" w:rsidR="009500B2" w:rsidRPr="00E05B96" w:rsidRDefault="009500B2" w:rsidP="00986A8F">
    <w:pPr>
      <w:pStyle w:val="Header"/>
      <w:tabs>
        <w:tab w:val="clear" w:pos="9360"/>
        <w:tab w:val="right" w:pos="10800"/>
      </w:tabs>
      <w:rPr>
        <w:rFonts w:ascii="Tahoma" w:hAnsi="Tahoma" w:cs="Tahoma"/>
        <w:sz w:val="18"/>
      </w:rPr>
    </w:pPr>
    <w:r w:rsidRPr="00E05B96">
      <w:rPr>
        <w:rFonts w:ascii="Tahoma" w:hAnsi="Tahoma" w:cs="Tahoma"/>
        <w:sz w:val="18"/>
      </w:rPr>
      <w:t>ENVIRONMENTAL TOXICOLOGY PROGRAM</w:t>
    </w:r>
    <w:r w:rsidRPr="00E05B96">
      <w:rPr>
        <w:rFonts w:ascii="Tahoma" w:hAnsi="Tahoma" w:cs="Tahoma"/>
        <w:sz w:val="18"/>
      </w:rPr>
      <w:tab/>
    </w:r>
    <w:r w:rsidRPr="00E05B96">
      <w:rPr>
        <w:rFonts w:ascii="Tahoma" w:hAnsi="Tahoma" w:cs="Tahoma"/>
        <w:sz w:val="18"/>
      </w:rPr>
      <w:tab/>
    </w:r>
    <w:r>
      <w:rPr>
        <w:rFonts w:ascii="Tahoma" w:hAnsi="Tahoma" w:cs="Tahoma"/>
        <w:sz w:val="18"/>
      </w:rPr>
      <w:t>PFAS Waterbody Evaluation – Appendix A</w:t>
    </w:r>
  </w:p>
  <w:p w14:paraId="4EDECA61" w14:textId="0392A422" w:rsidR="009500B2" w:rsidRDefault="009500B2" w:rsidP="00986A8F">
    <w:pPr>
      <w:pStyle w:val="Header"/>
      <w:tabs>
        <w:tab w:val="clear" w:pos="9360"/>
        <w:tab w:val="right" w:pos="10800"/>
      </w:tabs>
      <w:rPr>
        <w:rFonts w:ascii="Tahoma" w:hAnsi="Tahoma" w:cs="Tahoma"/>
        <w:sz w:val="18"/>
      </w:rPr>
    </w:pPr>
    <w:r w:rsidRPr="00E05B96">
      <w:rPr>
        <w:rFonts w:ascii="Tahoma" w:hAnsi="Tahoma" w:cs="Tahoma"/>
        <w:sz w:val="18"/>
      </w:rPr>
      <w:tab/>
    </w:r>
    <w:r w:rsidRPr="00E05B96">
      <w:rPr>
        <w:rFonts w:ascii="Tahoma" w:hAnsi="Tahoma" w:cs="Tahoma"/>
        <w:sz w:val="18"/>
      </w:rPr>
      <w:tab/>
    </w:r>
    <w:r w:rsidRPr="0063087F">
      <w:rPr>
        <w:rFonts w:ascii="Tahoma" w:hAnsi="Tahoma" w:cs="Tahoma"/>
        <w:b/>
        <w:bCs/>
        <w:sz w:val="18"/>
      </w:rPr>
      <w:t>DRAFT</w:t>
    </w:r>
  </w:p>
  <w:p w14:paraId="5406B98A" w14:textId="77777777" w:rsidR="009500B2" w:rsidRPr="00E05B96" w:rsidRDefault="009500B2" w:rsidP="00986A8F">
    <w:pPr>
      <w:pStyle w:val="Header"/>
      <w:tabs>
        <w:tab w:val="clear" w:pos="9360"/>
        <w:tab w:val="right" w:pos="10800"/>
      </w:tabs>
      <w:rPr>
        <w:rFonts w:ascii="Tahoma" w:hAnsi="Tahoma" w:cs="Tahom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FA52" w14:textId="366D1BC7" w:rsidR="009500B2" w:rsidRPr="00E05B96" w:rsidRDefault="009500B2" w:rsidP="00E404A9">
    <w:pPr>
      <w:pStyle w:val="Header"/>
      <w:tabs>
        <w:tab w:val="clear" w:pos="9360"/>
        <w:tab w:val="right" w:pos="10800"/>
        <w:tab w:val="left" w:pos="11070"/>
      </w:tabs>
      <w:rPr>
        <w:rFonts w:ascii="Tahoma" w:hAnsi="Tahoma" w:cs="Tahoma"/>
        <w:sz w:val="18"/>
      </w:rPr>
    </w:pPr>
    <w:r w:rsidRPr="00E05B96">
      <w:rPr>
        <w:rFonts w:ascii="Tahoma" w:hAnsi="Tahoma" w:cs="Tahoma"/>
        <w:sz w:val="18"/>
      </w:rPr>
      <w:t>ENVIRONMENTAL TOXICOLOGY PROGRAM</w:t>
    </w:r>
    <w:r w:rsidRPr="00E05B96">
      <w:rPr>
        <w:rFonts w:ascii="Tahoma" w:hAnsi="Tahoma" w:cs="Tahoma"/>
        <w:sz w:val="18"/>
      </w:rPr>
      <w:tab/>
    </w:r>
    <w:r w:rsidRPr="00E05B96">
      <w:rPr>
        <w:rFonts w:ascii="Tahoma" w:hAnsi="Tahoma" w:cs="Tahoma"/>
        <w:sz w:val="18"/>
      </w:rPr>
      <w:tab/>
    </w:r>
    <w:r>
      <w:rPr>
        <w:rFonts w:ascii="Tahoma" w:hAnsi="Tahoma" w:cs="Tahoma"/>
        <w:sz w:val="18"/>
      </w:rPr>
      <w:tab/>
      <w:t>PFAS Waterbody Evaluation – Appendix A</w:t>
    </w:r>
  </w:p>
  <w:p w14:paraId="0A04EF43" w14:textId="710EA593" w:rsidR="009500B2" w:rsidRPr="0063087F" w:rsidRDefault="009500B2" w:rsidP="0063087F">
    <w:pPr>
      <w:pStyle w:val="Header"/>
      <w:tabs>
        <w:tab w:val="clear" w:pos="9360"/>
        <w:tab w:val="right" w:pos="14400"/>
      </w:tabs>
      <w:rPr>
        <w:rFonts w:ascii="Tahoma" w:hAnsi="Tahoma" w:cs="Tahoma"/>
        <w:b/>
        <w:bCs/>
        <w:sz w:val="18"/>
      </w:rPr>
    </w:pPr>
    <w:r w:rsidRPr="00E05B96">
      <w:rPr>
        <w:rFonts w:ascii="Tahoma" w:hAnsi="Tahoma" w:cs="Tahoma"/>
        <w:sz w:val="18"/>
      </w:rPr>
      <w:tab/>
    </w:r>
    <w:r w:rsidRPr="00E05B96">
      <w:rPr>
        <w:rFonts w:ascii="Tahoma" w:hAnsi="Tahoma" w:cs="Tahoma"/>
        <w:sz w:val="18"/>
      </w:rPr>
      <w:tab/>
    </w:r>
    <w:r w:rsidRPr="0063087F">
      <w:rPr>
        <w:rFonts w:ascii="Tahoma" w:hAnsi="Tahoma" w:cs="Tahoma"/>
        <w:b/>
        <w:bCs/>
        <w:sz w:val="18"/>
      </w:rPr>
      <w:t>DRAFT</w:t>
    </w:r>
  </w:p>
  <w:p w14:paraId="7A5B9E26" w14:textId="77777777" w:rsidR="009500B2" w:rsidRPr="00E05B96" w:rsidRDefault="009500B2" w:rsidP="00986A8F">
    <w:pPr>
      <w:pStyle w:val="Header"/>
      <w:tabs>
        <w:tab w:val="clear" w:pos="9360"/>
        <w:tab w:val="right" w:pos="10800"/>
      </w:tabs>
      <w:rPr>
        <w:rFonts w:ascii="Tahoma" w:hAnsi="Tahoma" w:cs="Tahoma"/>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7D7D" w14:textId="5134130A" w:rsidR="009500B2" w:rsidRPr="00E05B96" w:rsidRDefault="009500B2" w:rsidP="00E404A9">
    <w:pPr>
      <w:pStyle w:val="Header"/>
      <w:tabs>
        <w:tab w:val="clear" w:pos="9360"/>
        <w:tab w:val="right" w:pos="10800"/>
      </w:tabs>
      <w:jc w:val="both"/>
      <w:rPr>
        <w:rFonts w:ascii="Tahoma" w:hAnsi="Tahoma" w:cs="Tahoma"/>
        <w:sz w:val="18"/>
      </w:rPr>
    </w:pPr>
    <w:r w:rsidRPr="00E05B96">
      <w:rPr>
        <w:rFonts w:ascii="Tahoma" w:hAnsi="Tahoma" w:cs="Tahoma"/>
        <w:sz w:val="18"/>
      </w:rPr>
      <w:t>ENVIRONMENTAL TOXICOLOGY PROGRAM</w:t>
    </w:r>
    <w:r w:rsidRPr="00E05B96">
      <w:rPr>
        <w:rFonts w:ascii="Tahoma" w:hAnsi="Tahoma" w:cs="Tahoma"/>
        <w:sz w:val="18"/>
      </w:rPr>
      <w:tab/>
    </w:r>
    <w:r w:rsidRPr="00E05B96">
      <w:rPr>
        <w:rFonts w:ascii="Tahoma" w:hAnsi="Tahoma" w:cs="Tahoma"/>
        <w:sz w:val="18"/>
      </w:rPr>
      <w:tab/>
    </w:r>
    <w:r>
      <w:rPr>
        <w:rFonts w:ascii="Tahoma" w:hAnsi="Tahoma" w:cs="Tahoma"/>
        <w:sz w:val="18"/>
      </w:rPr>
      <w:t xml:space="preserve"> PFAS Waterbody Evaluation – Appendix A</w:t>
    </w:r>
  </w:p>
  <w:p w14:paraId="50F8CA9F" w14:textId="64C55CCC" w:rsidR="009500B2" w:rsidRPr="0063087F" w:rsidRDefault="009500B2" w:rsidP="00986A8F">
    <w:pPr>
      <w:pStyle w:val="Header"/>
      <w:tabs>
        <w:tab w:val="clear" w:pos="9360"/>
        <w:tab w:val="right" w:pos="10800"/>
      </w:tabs>
      <w:rPr>
        <w:rFonts w:ascii="Tahoma" w:hAnsi="Tahoma" w:cs="Tahoma"/>
        <w:b/>
        <w:bCs/>
        <w:sz w:val="18"/>
      </w:rPr>
    </w:pPr>
    <w:r w:rsidRPr="00E05B96">
      <w:rPr>
        <w:rFonts w:ascii="Tahoma" w:hAnsi="Tahoma" w:cs="Tahoma"/>
        <w:sz w:val="18"/>
      </w:rPr>
      <w:tab/>
    </w:r>
    <w:r w:rsidRPr="00E05B96">
      <w:rPr>
        <w:rFonts w:ascii="Tahoma" w:hAnsi="Tahoma" w:cs="Tahoma"/>
        <w:sz w:val="18"/>
      </w:rPr>
      <w:tab/>
    </w:r>
    <w:r w:rsidRPr="0063087F">
      <w:rPr>
        <w:rFonts w:ascii="Tahoma" w:hAnsi="Tahoma" w:cs="Tahoma"/>
        <w:b/>
        <w:bCs/>
        <w:sz w:val="18"/>
      </w:rPr>
      <w:t>DRAFT</w:t>
    </w:r>
  </w:p>
  <w:p w14:paraId="73822807" w14:textId="77777777" w:rsidR="009500B2" w:rsidRPr="00E05B96" w:rsidRDefault="009500B2" w:rsidP="00986A8F">
    <w:pPr>
      <w:pStyle w:val="Header"/>
      <w:tabs>
        <w:tab w:val="clear" w:pos="9360"/>
        <w:tab w:val="right" w:pos="10800"/>
      </w:tabs>
      <w:rPr>
        <w:rFonts w:ascii="Tahoma" w:hAnsi="Tahoma" w:cs="Tahoma"/>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F4F" w14:textId="77777777" w:rsidR="009500B2" w:rsidRPr="00E05B96" w:rsidRDefault="009500B2" w:rsidP="00E404A9">
    <w:pPr>
      <w:pStyle w:val="Header"/>
      <w:tabs>
        <w:tab w:val="clear" w:pos="9360"/>
        <w:tab w:val="right" w:pos="10800"/>
      </w:tabs>
      <w:jc w:val="both"/>
      <w:rPr>
        <w:rFonts w:ascii="Tahoma" w:hAnsi="Tahoma" w:cs="Tahoma"/>
        <w:sz w:val="18"/>
      </w:rPr>
    </w:pPr>
    <w:r w:rsidRPr="00E05B96">
      <w:rPr>
        <w:rFonts w:ascii="Tahoma" w:hAnsi="Tahoma" w:cs="Tahoma"/>
        <w:sz w:val="18"/>
      </w:rPr>
      <w:t>ENVIRONMENTAL TOXICOLOGY PROGRAM</w:t>
    </w:r>
    <w:r w:rsidRPr="00E05B96">
      <w:rPr>
        <w:rFonts w:ascii="Tahoma" w:hAnsi="Tahoma" w:cs="Tahoma"/>
        <w:sz w:val="18"/>
      </w:rPr>
      <w:tab/>
    </w:r>
    <w:r w:rsidRPr="00E05B96">
      <w:rPr>
        <w:rFonts w:ascii="Tahoma" w:hAnsi="Tahoma" w:cs="Tahoma"/>
        <w:sz w:val="18"/>
      </w:rPr>
      <w:tab/>
    </w:r>
    <w:r>
      <w:rPr>
        <w:rFonts w:ascii="Tahoma" w:hAnsi="Tahoma" w:cs="Tahoma"/>
        <w:sz w:val="18"/>
      </w:rPr>
      <w:t xml:space="preserve"> </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PFAS Waterbody Evaluation – Appendix A</w:t>
    </w:r>
  </w:p>
  <w:p w14:paraId="6C0EF5C0" w14:textId="62130453" w:rsidR="009500B2" w:rsidRPr="0063087F" w:rsidRDefault="009500B2" w:rsidP="0063087F">
    <w:pPr>
      <w:pStyle w:val="Header"/>
      <w:tabs>
        <w:tab w:val="clear" w:pos="9360"/>
        <w:tab w:val="right" w:pos="17730"/>
      </w:tabs>
      <w:rPr>
        <w:rFonts w:ascii="Tahoma" w:hAnsi="Tahoma" w:cs="Tahoma"/>
        <w:b/>
        <w:bCs/>
        <w:sz w:val="18"/>
      </w:rPr>
    </w:pPr>
    <w:r w:rsidRPr="00E05B96">
      <w:rPr>
        <w:rFonts w:ascii="Tahoma" w:hAnsi="Tahoma" w:cs="Tahoma"/>
        <w:sz w:val="18"/>
      </w:rPr>
      <w:tab/>
    </w:r>
    <w:r w:rsidRPr="00E05B96">
      <w:rPr>
        <w:rFonts w:ascii="Tahoma" w:hAnsi="Tahoma" w:cs="Tahoma"/>
        <w:sz w:val="18"/>
      </w:rPr>
      <w:tab/>
    </w:r>
    <w:r w:rsidRPr="0063087F">
      <w:rPr>
        <w:rFonts w:ascii="Tahoma" w:hAnsi="Tahoma" w:cs="Tahoma"/>
        <w:b/>
        <w:bCs/>
        <w:sz w:val="18"/>
      </w:rPr>
      <w:t>DRAFT</w:t>
    </w:r>
  </w:p>
  <w:p w14:paraId="14F6AE9B" w14:textId="77777777" w:rsidR="009500B2" w:rsidRPr="00E05B96" w:rsidRDefault="009500B2" w:rsidP="00986A8F">
    <w:pPr>
      <w:pStyle w:val="Header"/>
      <w:tabs>
        <w:tab w:val="clear" w:pos="9360"/>
        <w:tab w:val="right" w:pos="10800"/>
      </w:tabs>
      <w:rPr>
        <w:rFonts w:ascii="Tahoma" w:hAnsi="Tahoma" w:cs="Tahoma"/>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BA41" w14:textId="77777777" w:rsidR="009500B2" w:rsidRPr="00E05B96" w:rsidRDefault="009500B2" w:rsidP="00986A8F">
    <w:pPr>
      <w:pStyle w:val="Header"/>
      <w:tabs>
        <w:tab w:val="clear" w:pos="9360"/>
        <w:tab w:val="right" w:pos="10800"/>
      </w:tabs>
      <w:rPr>
        <w:rFonts w:ascii="Tahoma" w:hAnsi="Tahoma" w:cs="Tahoma"/>
        <w:sz w:val="18"/>
      </w:rPr>
    </w:pPr>
    <w:r w:rsidRPr="00E05B96">
      <w:rPr>
        <w:rFonts w:ascii="Tahoma" w:hAnsi="Tahoma" w:cs="Tahoma"/>
        <w:sz w:val="18"/>
      </w:rPr>
      <w:t>ENVIRONMENTAL TOXICOLOGY PROGRAM</w:t>
    </w:r>
    <w:r w:rsidRPr="00E05B96">
      <w:rPr>
        <w:rFonts w:ascii="Tahoma" w:hAnsi="Tahoma" w:cs="Tahoma"/>
        <w:sz w:val="18"/>
      </w:rPr>
      <w:tab/>
    </w:r>
    <w:r w:rsidRPr="00E05B96">
      <w:rPr>
        <w:rFonts w:ascii="Tahoma" w:hAnsi="Tahoma" w:cs="Tahoma"/>
        <w:sz w:val="18"/>
      </w:rPr>
      <w:tab/>
    </w:r>
    <w:r>
      <w:rPr>
        <w:rFonts w:ascii="Tahoma" w:hAnsi="Tahoma" w:cs="Tahoma"/>
        <w:sz w:val="18"/>
      </w:rPr>
      <w:t xml:space="preserve"> PFAS Waterbody Evaluation – Appendix A</w:t>
    </w:r>
  </w:p>
  <w:p w14:paraId="72504399" w14:textId="19406EB2" w:rsidR="009500B2" w:rsidRPr="0063087F" w:rsidRDefault="009500B2" w:rsidP="00986A8F">
    <w:pPr>
      <w:pStyle w:val="Header"/>
      <w:tabs>
        <w:tab w:val="clear" w:pos="9360"/>
        <w:tab w:val="right" w:pos="10800"/>
      </w:tabs>
      <w:rPr>
        <w:rFonts w:ascii="Tahoma" w:hAnsi="Tahoma" w:cs="Tahoma"/>
        <w:b/>
        <w:bCs/>
        <w:sz w:val="18"/>
      </w:rPr>
    </w:pPr>
    <w:r w:rsidRPr="00E05B96">
      <w:rPr>
        <w:rFonts w:ascii="Tahoma" w:hAnsi="Tahoma" w:cs="Tahoma"/>
        <w:sz w:val="18"/>
      </w:rPr>
      <w:tab/>
    </w:r>
    <w:r w:rsidRPr="00E05B96">
      <w:rPr>
        <w:rFonts w:ascii="Tahoma" w:hAnsi="Tahoma" w:cs="Tahoma"/>
        <w:sz w:val="18"/>
      </w:rPr>
      <w:tab/>
    </w:r>
    <w:r w:rsidRPr="0063087F">
      <w:rPr>
        <w:rFonts w:ascii="Tahoma" w:hAnsi="Tahoma" w:cs="Tahoma"/>
        <w:b/>
        <w:bCs/>
        <w:sz w:val="18"/>
      </w:rPr>
      <w:t>DRAFT</w:t>
    </w:r>
  </w:p>
  <w:p w14:paraId="0C3E4BAE" w14:textId="77777777" w:rsidR="009500B2" w:rsidRPr="00E05B96" w:rsidRDefault="009500B2" w:rsidP="00986A8F">
    <w:pPr>
      <w:pStyle w:val="Header"/>
      <w:tabs>
        <w:tab w:val="clear" w:pos="9360"/>
        <w:tab w:val="right" w:pos="10800"/>
      </w:tabs>
      <w:rPr>
        <w:rFonts w:ascii="Tahoma" w:hAnsi="Tahoma" w:cs="Tahoma"/>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9650" w14:textId="77777777" w:rsidR="009500B2" w:rsidRDefault="009500B2" w:rsidP="0063087F">
    <w:pPr>
      <w:pStyle w:val="Header"/>
      <w:tabs>
        <w:tab w:val="clear" w:pos="9360"/>
      </w:tabs>
      <w:ind w:left="4320" w:hanging="4320"/>
      <w:jc w:val="both"/>
    </w:pPr>
    <w:r>
      <w:t>ENVIRONMENTAL TOXICOLOGY PROGRAM</w:t>
    </w:r>
    <w:r>
      <w:tab/>
    </w:r>
    <w:r>
      <w:tab/>
    </w:r>
    <w:r>
      <w:tab/>
    </w:r>
    <w:r>
      <w:tab/>
      <w:t xml:space="preserve">PFAS WATERBODY EVALUATION – APPENDIX B </w:t>
    </w:r>
  </w:p>
  <w:p w14:paraId="46055391" w14:textId="63DF338F" w:rsidR="009500B2" w:rsidRPr="0063087F" w:rsidRDefault="009500B2" w:rsidP="0063087F">
    <w:pPr>
      <w:pStyle w:val="Header"/>
      <w:tabs>
        <w:tab w:val="clear" w:pos="9360"/>
      </w:tabs>
      <w:ind w:left="4320" w:hanging="4320"/>
      <w:jc w:val="both"/>
      <w:rPr>
        <w:b/>
        <w:bCs/>
      </w:rPr>
    </w:pPr>
    <w:r>
      <w:tab/>
    </w:r>
    <w:r>
      <w:tab/>
    </w:r>
    <w:r>
      <w:tab/>
    </w:r>
    <w:r>
      <w:tab/>
    </w:r>
    <w:r>
      <w:tab/>
    </w:r>
    <w:r>
      <w:tab/>
    </w:r>
    <w:r>
      <w:tab/>
    </w:r>
    <w:r>
      <w:tab/>
    </w:r>
    <w:r>
      <w:tab/>
    </w:r>
    <w:r w:rsidRPr="0063087F">
      <w:rPr>
        <w:b/>
        <w:bCs/>
      </w:rPr>
      <w:t>DRAFT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4B95" w14:textId="61D61DF2" w:rsidR="009500B2" w:rsidRDefault="009500B2" w:rsidP="00310D94">
    <w:pPr>
      <w:pStyle w:val="Header"/>
      <w:tabs>
        <w:tab w:val="clear" w:pos="9360"/>
      </w:tabs>
      <w:jc w:val="both"/>
    </w:pPr>
    <w:r>
      <w:t>ENVIRONMENTAL TOXICOLOGY PROGRAM</w:t>
    </w:r>
    <w:r>
      <w:tab/>
    </w:r>
    <w:r>
      <w:tab/>
    </w:r>
    <w:r>
      <w:tab/>
    </w:r>
    <w:r>
      <w:tab/>
    </w:r>
    <w:r>
      <w:tab/>
    </w:r>
    <w:r>
      <w:tab/>
    </w:r>
    <w:r>
      <w:tab/>
    </w:r>
    <w:r>
      <w:tab/>
    </w:r>
    <w:r>
      <w:tab/>
    </w:r>
    <w:r>
      <w:tab/>
    </w:r>
    <w:r>
      <w:tab/>
    </w:r>
    <w:r>
      <w:tab/>
    </w:r>
    <w:r>
      <w:tab/>
    </w:r>
    <w:r>
      <w:tab/>
    </w:r>
    <w:r>
      <w:tab/>
    </w:r>
    <w:r>
      <w:tab/>
    </w:r>
    <w:r>
      <w:tab/>
    </w:r>
    <w:r>
      <w:tab/>
    </w:r>
    <w:r>
      <w:tab/>
      <w:t xml:space="preserve">PFAS WATERBODY EVALUATION – APPENDIX B </w:t>
    </w:r>
  </w:p>
  <w:p w14:paraId="73631D0D" w14:textId="2536090C" w:rsidR="009500B2" w:rsidRPr="0063087F" w:rsidRDefault="009500B2" w:rsidP="0063087F">
    <w:pPr>
      <w:pStyle w:val="Header"/>
      <w:tabs>
        <w:tab w:val="clear" w:pos="9360"/>
      </w:tabs>
      <w:jc w:val="both"/>
      <w:rPr>
        <w:b/>
        <w:bCs/>
      </w:rPr>
    </w:pP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3087F">
      <w:rPr>
        <w:b/>
        <w:bCs/>
      </w:rPr>
      <w:t>DRAFT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C5" w14:textId="549B8E75" w:rsidR="009500B2" w:rsidRDefault="009500B2" w:rsidP="0008284C">
    <w:pPr>
      <w:pStyle w:val="Header"/>
      <w:tabs>
        <w:tab w:val="clear" w:pos="9360"/>
      </w:tabs>
      <w:ind w:right="-180"/>
      <w:jc w:val="both"/>
    </w:pPr>
    <w:r>
      <w:t>ENVIRONMENTAL TOXICOLOGY PROGRAM</w:t>
    </w:r>
    <w:r>
      <w:tab/>
    </w:r>
    <w:r>
      <w:tab/>
      <w:t>PFAS WATERBODY EVALUATION – APPENDIX B</w:t>
    </w:r>
  </w:p>
  <w:p w14:paraId="02D63CCF" w14:textId="32848F19" w:rsidR="009500B2" w:rsidRPr="0063087F" w:rsidRDefault="009500B2" w:rsidP="00AB7ABC">
    <w:pPr>
      <w:pStyle w:val="Header"/>
      <w:tabs>
        <w:tab w:val="clear" w:pos="4680"/>
        <w:tab w:val="clear" w:pos="9360"/>
        <w:tab w:val="center" w:pos="3600"/>
        <w:tab w:val="left" w:pos="3960"/>
      </w:tabs>
      <w:jc w:val="both"/>
      <w:rPr>
        <w:b/>
        <w:bCs/>
      </w:rPr>
    </w:pPr>
    <w:r>
      <w:tab/>
    </w:r>
    <w:r>
      <w:tab/>
    </w:r>
    <w:r>
      <w:tab/>
    </w:r>
    <w:r>
      <w:tab/>
    </w:r>
    <w:r>
      <w:tab/>
    </w:r>
    <w:r>
      <w:tab/>
    </w:r>
    <w:r>
      <w:tab/>
    </w:r>
    <w:r>
      <w:tab/>
    </w:r>
    <w:r>
      <w:tab/>
    </w:r>
    <w:r w:rsidRPr="0063087F">
      <w:rPr>
        <w:b/>
        <w:b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10F"/>
    <w:multiLevelType w:val="hybridMultilevel"/>
    <w:tmpl w:val="819E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F0D3E"/>
    <w:multiLevelType w:val="hybridMultilevel"/>
    <w:tmpl w:val="4A8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21DF"/>
    <w:multiLevelType w:val="hybridMultilevel"/>
    <w:tmpl w:val="CF20B0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815B3"/>
    <w:multiLevelType w:val="hybridMultilevel"/>
    <w:tmpl w:val="5A1A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66F94"/>
    <w:multiLevelType w:val="hybridMultilevel"/>
    <w:tmpl w:val="5210C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D45D7"/>
    <w:multiLevelType w:val="hybridMultilevel"/>
    <w:tmpl w:val="E458AC9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D5165"/>
    <w:multiLevelType w:val="hybridMultilevel"/>
    <w:tmpl w:val="9DF2D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5731D"/>
    <w:multiLevelType w:val="hybridMultilevel"/>
    <w:tmpl w:val="FD9A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B73A1"/>
    <w:multiLevelType w:val="multilevel"/>
    <w:tmpl w:val="380C6FCE"/>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4E3D44"/>
    <w:multiLevelType w:val="hybridMultilevel"/>
    <w:tmpl w:val="87E85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013FE"/>
    <w:multiLevelType w:val="multilevel"/>
    <w:tmpl w:val="7A2C65F8"/>
    <w:lvl w:ilvl="0">
      <w:start w:val="1"/>
      <w:numFmt w:val="decimal"/>
      <w:lvlText w:val="%1.0"/>
      <w:lvlJc w:val="left"/>
      <w:pPr>
        <w:ind w:left="171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6491896"/>
    <w:multiLevelType w:val="hybridMultilevel"/>
    <w:tmpl w:val="63DA2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3B78C6"/>
    <w:multiLevelType w:val="hybridMultilevel"/>
    <w:tmpl w:val="0870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E737D"/>
    <w:multiLevelType w:val="hybridMultilevel"/>
    <w:tmpl w:val="9062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90110"/>
    <w:multiLevelType w:val="hybridMultilevel"/>
    <w:tmpl w:val="C4660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D51371"/>
    <w:multiLevelType w:val="multilevel"/>
    <w:tmpl w:val="231AEFA8"/>
    <w:lvl w:ilvl="0">
      <w:start w:val="1"/>
      <w:numFmt w:val="decimal"/>
      <w:pStyle w:val="Heading1"/>
      <w:lvlText w:val="%1."/>
      <w:lvlJc w:val="left"/>
      <w:pPr>
        <w:ind w:left="549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0FC6E39"/>
    <w:multiLevelType w:val="hybridMultilevel"/>
    <w:tmpl w:val="8606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F73D8"/>
    <w:multiLevelType w:val="hybridMultilevel"/>
    <w:tmpl w:val="E98E9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450C7"/>
    <w:multiLevelType w:val="hybridMultilevel"/>
    <w:tmpl w:val="6824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45935"/>
    <w:multiLevelType w:val="hybridMultilevel"/>
    <w:tmpl w:val="2156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81737"/>
    <w:multiLevelType w:val="hybridMultilevel"/>
    <w:tmpl w:val="08B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B061E"/>
    <w:multiLevelType w:val="hybridMultilevel"/>
    <w:tmpl w:val="9FCA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025BE9"/>
    <w:multiLevelType w:val="hybridMultilevel"/>
    <w:tmpl w:val="116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01356"/>
    <w:multiLevelType w:val="hybridMultilevel"/>
    <w:tmpl w:val="474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81F4D"/>
    <w:multiLevelType w:val="hybridMultilevel"/>
    <w:tmpl w:val="06AAE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5D235E"/>
    <w:multiLevelType w:val="hybridMultilevel"/>
    <w:tmpl w:val="8A9C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63FFE"/>
    <w:multiLevelType w:val="multilevel"/>
    <w:tmpl w:val="D32E46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8E69D0"/>
    <w:multiLevelType w:val="hybridMultilevel"/>
    <w:tmpl w:val="613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E0FA0"/>
    <w:multiLevelType w:val="hybridMultilevel"/>
    <w:tmpl w:val="63DA2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A44F5D"/>
    <w:multiLevelType w:val="hybridMultilevel"/>
    <w:tmpl w:val="BCE2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074B5"/>
    <w:multiLevelType w:val="hybridMultilevel"/>
    <w:tmpl w:val="A7D8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11563"/>
    <w:multiLevelType w:val="hybridMultilevel"/>
    <w:tmpl w:val="BDD2C616"/>
    <w:lvl w:ilvl="0" w:tplc="D02E103A">
      <w:start w:val="2"/>
      <w:numFmt w:val="decimal"/>
      <w:lvlText w:val="%1"/>
      <w:lvlJc w:val="left"/>
      <w:pPr>
        <w:ind w:left="720" w:hanging="360"/>
      </w:pPr>
      <w:rPr>
        <w:rFonts w:ascii="Calibri" w:eastAsia="Times New Roman" w:hAnsi="Calibri" w:cs="Calibri"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24"/>
  </w:num>
  <w:num w:numId="5">
    <w:abstractNumId w:val="16"/>
  </w:num>
  <w:num w:numId="6">
    <w:abstractNumId w:val="17"/>
  </w:num>
  <w:num w:numId="7">
    <w:abstractNumId w:val="6"/>
  </w:num>
  <w:num w:numId="8">
    <w:abstractNumId w:val="10"/>
  </w:num>
  <w:num w:numId="9">
    <w:abstractNumId w:val="30"/>
  </w:num>
  <w:num w:numId="10">
    <w:abstractNumId w:val="19"/>
  </w:num>
  <w:num w:numId="11">
    <w:abstractNumId w:val="26"/>
  </w:num>
  <w:num w:numId="12">
    <w:abstractNumId w:val="5"/>
  </w:num>
  <w:num w:numId="13">
    <w:abstractNumId w:val="15"/>
  </w:num>
  <w:num w:numId="14">
    <w:abstractNumId w:val="21"/>
  </w:num>
  <w:num w:numId="15">
    <w:abstractNumId w:val="29"/>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8"/>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27"/>
  </w:num>
  <w:num w:numId="26">
    <w:abstractNumId w:val="25"/>
  </w:num>
  <w:num w:numId="27">
    <w:abstractNumId w:val="31"/>
  </w:num>
  <w:num w:numId="28">
    <w:abstractNumId w:val="20"/>
  </w:num>
  <w:num w:numId="29">
    <w:abstractNumId w:val="13"/>
  </w:num>
  <w:num w:numId="30">
    <w:abstractNumId w:val="9"/>
  </w:num>
  <w:num w:numId="31">
    <w:abstractNumId w:val="18"/>
  </w:num>
  <w:num w:numId="32">
    <w:abstractNumId w:val="23"/>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D3"/>
    <w:rsid w:val="00001D69"/>
    <w:rsid w:val="000068DC"/>
    <w:rsid w:val="00007155"/>
    <w:rsid w:val="00007E06"/>
    <w:rsid w:val="0001329E"/>
    <w:rsid w:val="0001339E"/>
    <w:rsid w:val="0001475B"/>
    <w:rsid w:val="00022405"/>
    <w:rsid w:val="000264B4"/>
    <w:rsid w:val="00027D51"/>
    <w:rsid w:val="0003269A"/>
    <w:rsid w:val="00033FFA"/>
    <w:rsid w:val="00035776"/>
    <w:rsid w:val="00041E5D"/>
    <w:rsid w:val="0004215E"/>
    <w:rsid w:val="00043BCC"/>
    <w:rsid w:val="00044B78"/>
    <w:rsid w:val="00045F6E"/>
    <w:rsid w:val="00054079"/>
    <w:rsid w:val="0005743C"/>
    <w:rsid w:val="000578D0"/>
    <w:rsid w:val="00060148"/>
    <w:rsid w:val="00061DA0"/>
    <w:rsid w:val="0006596A"/>
    <w:rsid w:val="0008284C"/>
    <w:rsid w:val="000830F4"/>
    <w:rsid w:val="00083EFB"/>
    <w:rsid w:val="000B0974"/>
    <w:rsid w:val="000B22E7"/>
    <w:rsid w:val="000B24AF"/>
    <w:rsid w:val="000B64AA"/>
    <w:rsid w:val="000C169B"/>
    <w:rsid w:val="000C4014"/>
    <w:rsid w:val="000C5817"/>
    <w:rsid w:val="000D046E"/>
    <w:rsid w:val="000D3483"/>
    <w:rsid w:val="000D643B"/>
    <w:rsid w:val="000D7FBF"/>
    <w:rsid w:val="000E53C4"/>
    <w:rsid w:val="000E70FE"/>
    <w:rsid w:val="000F5AE6"/>
    <w:rsid w:val="00100BF9"/>
    <w:rsid w:val="0010132C"/>
    <w:rsid w:val="001024CF"/>
    <w:rsid w:val="00103D43"/>
    <w:rsid w:val="00103E71"/>
    <w:rsid w:val="00103F5A"/>
    <w:rsid w:val="001041BB"/>
    <w:rsid w:val="001134B9"/>
    <w:rsid w:val="001225E1"/>
    <w:rsid w:val="001226A0"/>
    <w:rsid w:val="001247C7"/>
    <w:rsid w:val="0013137D"/>
    <w:rsid w:val="0013215E"/>
    <w:rsid w:val="00133A32"/>
    <w:rsid w:val="001363C1"/>
    <w:rsid w:val="00136C66"/>
    <w:rsid w:val="001424CA"/>
    <w:rsid w:val="00143159"/>
    <w:rsid w:val="00143AFF"/>
    <w:rsid w:val="001741B0"/>
    <w:rsid w:val="00175B65"/>
    <w:rsid w:val="00176C0F"/>
    <w:rsid w:val="0017775A"/>
    <w:rsid w:val="001806B9"/>
    <w:rsid w:val="00187A67"/>
    <w:rsid w:val="001A66CA"/>
    <w:rsid w:val="001B1354"/>
    <w:rsid w:val="001C092B"/>
    <w:rsid w:val="001C0B76"/>
    <w:rsid w:val="001C30F8"/>
    <w:rsid w:val="001C3C06"/>
    <w:rsid w:val="001C5415"/>
    <w:rsid w:val="001C620B"/>
    <w:rsid w:val="001C7620"/>
    <w:rsid w:val="001E3D7E"/>
    <w:rsid w:val="001E45F5"/>
    <w:rsid w:val="001E79B6"/>
    <w:rsid w:val="001F0F5D"/>
    <w:rsid w:val="001F1159"/>
    <w:rsid w:val="001F1DE2"/>
    <w:rsid w:val="001F5785"/>
    <w:rsid w:val="001F764C"/>
    <w:rsid w:val="001F7CEA"/>
    <w:rsid w:val="00201F80"/>
    <w:rsid w:val="00203103"/>
    <w:rsid w:val="00203179"/>
    <w:rsid w:val="0020448E"/>
    <w:rsid w:val="002046A3"/>
    <w:rsid w:val="002071B9"/>
    <w:rsid w:val="0021083B"/>
    <w:rsid w:val="00211F02"/>
    <w:rsid w:val="00216747"/>
    <w:rsid w:val="00220B59"/>
    <w:rsid w:val="002261CB"/>
    <w:rsid w:val="0022762C"/>
    <w:rsid w:val="0023152F"/>
    <w:rsid w:val="00231A7C"/>
    <w:rsid w:val="00231E15"/>
    <w:rsid w:val="002323BC"/>
    <w:rsid w:val="00234614"/>
    <w:rsid w:val="00236547"/>
    <w:rsid w:val="00237903"/>
    <w:rsid w:val="00237A20"/>
    <w:rsid w:val="002421FD"/>
    <w:rsid w:val="0024290A"/>
    <w:rsid w:val="00244B9E"/>
    <w:rsid w:val="0025343C"/>
    <w:rsid w:val="002538EC"/>
    <w:rsid w:val="00256AEC"/>
    <w:rsid w:val="00271B22"/>
    <w:rsid w:val="002730DE"/>
    <w:rsid w:val="00286AC2"/>
    <w:rsid w:val="0029237F"/>
    <w:rsid w:val="00295070"/>
    <w:rsid w:val="002A3455"/>
    <w:rsid w:val="002A3EB0"/>
    <w:rsid w:val="002A3EB8"/>
    <w:rsid w:val="002B077E"/>
    <w:rsid w:val="002B6518"/>
    <w:rsid w:val="002C0613"/>
    <w:rsid w:val="002C16A2"/>
    <w:rsid w:val="002C2961"/>
    <w:rsid w:val="002C69A4"/>
    <w:rsid w:val="002D17A9"/>
    <w:rsid w:val="002D2247"/>
    <w:rsid w:val="002D48AC"/>
    <w:rsid w:val="002D5402"/>
    <w:rsid w:val="002D67FA"/>
    <w:rsid w:val="002D6A5E"/>
    <w:rsid w:val="002E0906"/>
    <w:rsid w:val="002E410E"/>
    <w:rsid w:val="002E4839"/>
    <w:rsid w:val="002E5EC8"/>
    <w:rsid w:val="002F4427"/>
    <w:rsid w:val="002F68EA"/>
    <w:rsid w:val="002F79C2"/>
    <w:rsid w:val="00301342"/>
    <w:rsid w:val="003021E6"/>
    <w:rsid w:val="00304037"/>
    <w:rsid w:val="00305AEE"/>
    <w:rsid w:val="00305D2A"/>
    <w:rsid w:val="00306C08"/>
    <w:rsid w:val="00307CAF"/>
    <w:rsid w:val="00310D94"/>
    <w:rsid w:val="0031308B"/>
    <w:rsid w:val="00314A16"/>
    <w:rsid w:val="00316EF5"/>
    <w:rsid w:val="00320E3D"/>
    <w:rsid w:val="003273C7"/>
    <w:rsid w:val="00337BFF"/>
    <w:rsid w:val="003422B7"/>
    <w:rsid w:val="00345964"/>
    <w:rsid w:val="003469AF"/>
    <w:rsid w:val="003510D8"/>
    <w:rsid w:val="0035385D"/>
    <w:rsid w:val="00354A73"/>
    <w:rsid w:val="0035652D"/>
    <w:rsid w:val="00360362"/>
    <w:rsid w:val="00365B26"/>
    <w:rsid w:val="00371F4B"/>
    <w:rsid w:val="00373ECC"/>
    <w:rsid w:val="003773CB"/>
    <w:rsid w:val="0037742F"/>
    <w:rsid w:val="00380A05"/>
    <w:rsid w:val="00385B14"/>
    <w:rsid w:val="00392D0E"/>
    <w:rsid w:val="00395EA5"/>
    <w:rsid w:val="003A1A91"/>
    <w:rsid w:val="003B00FE"/>
    <w:rsid w:val="003B3E17"/>
    <w:rsid w:val="003B551E"/>
    <w:rsid w:val="003C40EE"/>
    <w:rsid w:val="003D18A4"/>
    <w:rsid w:val="003D48EF"/>
    <w:rsid w:val="003D53BB"/>
    <w:rsid w:val="003E0A8F"/>
    <w:rsid w:val="003E6CCD"/>
    <w:rsid w:val="003E7075"/>
    <w:rsid w:val="003E7ED8"/>
    <w:rsid w:val="003F0FF9"/>
    <w:rsid w:val="003F1C2A"/>
    <w:rsid w:val="003F3345"/>
    <w:rsid w:val="003F4CFF"/>
    <w:rsid w:val="004014A1"/>
    <w:rsid w:val="00411C04"/>
    <w:rsid w:val="00415816"/>
    <w:rsid w:val="00415DA9"/>
    <w:rsid w:val="00421ECA"/>
    <w:rsid w:val="00423052"/>
    <w:rsid w:val="004320AA"/>
    <w:rsid w:val="00437056"/>
    <w:rsid w:val="0044579F"/>
    <w:rsid w:val="00450787"/>
    <w:rsid w:val="00451E35"/>
    <w:rsid w:val="00454368"/>
    <w:rsid w:val="0045453F"/>
    <w:rsid w:val="004562AC"/>
    <w:rsid w:val="004604B0"/>
    <w:rsid w:val="00461FFC"/>
    <w:rsid w:val="00465A81"/>
    <w:rsid w:val="00465C3D"/>
    <w:rsid w:val="00470389"/>
    <w:rsid w:val="00470AB7"/>
    <w:rsid w:val="0047239A"/>
    <w:rsid w:val="00472D7E"/>
    <w:rsid w:val="00473D3A"/>
    <w:rsid w:val="00473F2D"/>
    <w:rsid w:val="00476064"/>
    <w:rsid w:val="00481CCF"/>
    <w:rsid w:val="004868B2"/>
    <w:rsid w:val="00491395"/>
    <w:rsid w:val="00491688"/>
    <w:rsid w:val="0049339C"/>
    <w:rsid w:val="004961BF"/>
    <w:rsid w:val="00497206"/>
    <w:rsid w:val="00497673"/>
    <w:rsid w:val="004A4B2C"/>
    <w:rsid w:val="004A4E7F"/>
    <w:rsid w:val="004A7E50"/>
    <w:rsid w:val="004B1A7C"/>
    <w:rsid w:val="004B3F51"/>
    <w:rsid w:val="004B79B9"/>
    <w:rsid w:val="004C3498"/>
    <w:rsid w:val="004C4677"/>
    <w:rsid w:val="004C5D09"/>
    <w:rsid w:val="004D153E"/>
    <w:rsid w:val="004D27F0"/>
    <w:rsid w:val="004D4027"/>
    <w:rsid w:val="004D471B"/>
    <w:rsid w:val="004D7570"/>
    <w:rsid w:val="004F0497"/>
    <w:rsid w:val="004F28F5"/>
    <w:rsid w:val="004F51B1"/>
    <w:rsid w:val="005009D1"/>
    <w:rsid w:val="00503FDF"/>
    <w:rsid w:val="005049C4"/>
    <w:rsid w:val="00506F46"/>
    <w:rsid w:val="005211EB"/>
    <w:rsid w:val="005238F3"/>
    <w:rsid w:val="00524306"/>
    <w:rsid w:val="005271A1"/>
    <w:rsid w:val="00533DE8"/>
    <w:rsid w:val="00535CEF"/>
    <w:rsid w:val="00537FFA"/>
    <w:rsid w:val="00542221"/>
    <w:rsid w:val="0054791A"/>
    <w:rsid w:val="005501F7"/>
    <w:rsid w:val="00551FAC"/>
    <w:rsid w:val="00555180"/>
    <w:rsid w:val="00564CA4"/>
    <w:rsid w:val="00567519"/>
    <w:rsid w:val="00573A98"/>
    <w:rsid w:val="00575866"/>
    <w:rsid w:val="00577FC2"/>
    <w:rsid w:val="00580AB1"/>
    <w:rsid w:val="005844CC"/>
    <w:rsid w:val="00585550"/>
    <w:rsid w:val="00587D23"/>
    <w:rsid w:val="005975E6"/>
    <w:rsid w:val="005A3A0D"/>
    <w:rsid w:val="005A6B33"/>
    <w:rsid w:val="005B03D3"/>
    <w:rsid w:val="005B1B07"/>
    <w:rsid w:val="005B4A38"/>
    <w:rsid w:val="005B516D"/>
    <w:rsid w:val="005C1083"/>
    <w:rsid w:val="005C25E6"/>
    <w:rsid w:val="005D0932"/>
    <w:rsid w:val="005D451D"/>
    <w:rsid w:val="005D73B0"/>
    <w:rsid w:val="005E01E8"/>
    <w:rsid w:val="005E197A"/>
    <w:rsid w:val="005E3A41"/>
    <w:rsid w:val="005E74EA"/>
    <w:rsid w:val="005F2DF9"/>
    <w:rsid w:val="005F73C5"/>
    <w:rsid w:val="00601957"/>
    <w:rsid w:val="006031AD"/>
    <w:rsid w:val="006035C5"/>
    <w:rsid w:val="006062A4"/>
    <w:rsid w:val="006110E2"/>
    <w:rsid w:val="006114F4"/>
    <w:rsid w:val="00612479"/>
    <w:rsid w:val="0061438E"/>
    <w:rsid w:val="00622828"/>
    <w:rsid w:val="0063087F"/>
    <w:rsid w:val="006334EA"/>
    <w:rsid w:val="006442F8"/>
    <w:rsid w:val="00646233"/>
    <w:rsid w:val="00647382"/>
    <w:rsid w:val="006504C7"/>
    <w:rsid w:val="00657CF0"/>
    <w:rsid w:val="006605EE"/>
    <w:rsid w:val="00660D3E"/>
    <w:rsid w:val="0066107C"/>
    <w:rsid w:val="0067016D"/>
    <w:rsid w:val="00674CE5"/>
    <w:rsid w:val="00674E8D"/>
    <w:rsid w:val="00676B0C"/>
    <w:rsid w:val="006928C2"/>
    <w:rsid w:val="0069317E"/>
    <w:rsid w:val="00693A9F"/>
    <w:rsid w:val="00697CB4"/>
    <w:rsid w:val="006A3412"/>
    <w:rsid w:val="006A4676"/>
    <w:rsid w:val="006A5EEE"/>
    <w:rsid w:val="006B083C"/>
    <w:rsid w:val="006B204B"/>
    <w:rsid w:val="006B3ECA"/>
    <w:rsid w:val="006C00FC"/>
    <w:rsid w:val="006C0389"/>
    <w:rsid w:val="006C3757"/>
    <w:rsid w:val="006C3ECD"/>
    <w:rsid w:val="006D0CE1"/>
    <w:rsid w:val="006D2B0E"/>
    <w:rsid w:val="006D2D97"/>
    <w:rsid w:val="006D5335"/>
    <w:rsid w:val="006D7CA5"/>
    <w:rsid w:val="006E3001"/>
    <w:rsid w:val="006E3B97"/>
    <w:rsid w:val="006F3BB7"/>
    <w:rsid w:val="006F792B"/>
    <w:rsid w:val="00701418"/>
    <w:rsid w:val="00711730"/>
    <w:rsid w:val="00733892"/>
    <w:rsid w:val="00753772"/>
    <w:rsid w:val="00755CC4"/>
    <w:rsid w:val="00757EEC"/>
    <w:rsid w:val="0076151F"/>
    <w:rsid w:val="0076216B"/>
    <w:rsid w:val="00764B20"/>
    <w:rsid w:val="00764CC1"/>
    <w:rsid w:val="007654F2"/>
    <w:rsid w:val="00776FA8"/>
    <w:rsid w:val="007802EB"/>
    <w:rsid w:val="007821BD"/>
    <w:rsid w:val="007866B9"/>
    <w:rsid w:val="00786E2C"/>
    <w:rsid w:val="0079439E"/>
    <w:rsid w:val="0079712C"/>
    <w:rsid w:val="007A45C5"/>
    <w:rsid w:val="007A6625"/>
    <w:rsid w:val="007B05BD"/>
    <w:rsid w:val="007B16CC"/>
    <w:rsid w:val="007B33C1"/>
    <w:rsid w:val="007B4CDA"/>
    <w:rsid w:val="007B5B66"/>
    <w:rsid w:val="007B69B1"/>
    <w:rsid w:val="007B6D19"/>
    <w:rsid w:val="007B7536"/>
    <w:rsid w:val="007B7FF1"/>
    <w:rsid w:val="007C1330"/>
    <w:rsid w:val="007D0F47"/>
    <w:rsid w:val="007D435B"/>
    <w:rsid w:val="007D4715"/>
    <w:rsid w:val="007D51A9"/>
    <w:rsid w:val="007D643A"/>
    <w:rsid w:val="007D661D"/>
    <w:rsid w:val="007D7183"/>
    <w:rsid w:val="007E1B82"/>
    <w:rsid w:val="007E32E2"/>
    <w:rsid w:val="007F051D"/>
    <w:rsid w:val="007F1B9D"/>
    <w:rsid w:val="007F1DF7"/>
    <w:rsid w:val="007F22CC"/>
    <w:rsid w:val="007F3847"/>
    <w:rsid w:val="007F4519"/>
    <w:rsid w:val="00801103"/>
    <w:rsid w:val="00802ED4"/>
    <w:rsid w:val="00804240"/>
    <w:rsid w:val="0080546F"/>
    <w:rsid w:val="00810272"/>
    <w:rsid w:val="00811E08"/>
    <w:rsid w:val="0082601E"/>
    <w:rsid w:val="00826345"/>
    <w:rsid w:val="008318CD"/>
    <w:rsid w:val="008327B6"/>
    <w:rsid w:val="00834878"/>
    <w:rsid w:val="00835073"/>
    <w:rsid w:val="0083521F"/>
    <w:rsid w:val="008459CF"/>
    <w:rsid w:val="00846B34"/>
    <w:rsid w:val="00850A12"/>
    <w:rsid w:val="00852070"/>
    <w:rsid w:val="00852655"/>
    <w:rsid w:val="00860FA7"/>
    <w:rsid w:val="00863101"/>
    <w:rsid w:val="0087062A"/>
    <w:rsid w:val="00871569"/>
    <w:rsid w:val="008739D2"/>
    <w:rsid w:val="00874351"/>
    <w:rsid w:val="008777A8"/>
    <w:rsid w:val="008819E6"/>
    <w:rsid w:val="008926D8"/>
    <w:rsid w:val="00892AEE"/>
    <w:rsid w:val="00893659"/>
    <w:rsid w:val="00896A26"/>
    <w:rsid w:val="00896EB6"/>
    <w:rsid w:val="008A18D3"/>
    <w:rsid w:val="008A2103"/>
    <w:rsid w:val="008A4E51"/>
    <w:rsid w:val="008B2200"/>
    <w:rsid w:val="008B2F03"/>
    <w:rsid w:val="008B35CA"/>
    <w:rsid w:val="008B390E"/>
    <w:rsid w:val="008B4139"/>
    <w:rsid w:val="008B51A4"/>
    <w:rsid w:val="008B70C2"/>
    <w:rsid w:val="008B7361"/>
    <w:rsid w:val="008B78EF"/>
    <w:rsid w:val="008C0F97"/>
    <w:rsid w:val="008C7D9E"/>
    <w:rsid w:val="008D415A"/>
    <w:rsid w:val="008D4F08"/>
    <w:rsid w:val="008E6672"/>
    <w:rsid w:val="008F16B3"/>
    <w:rsid w:val="008F2F86"/>
    <w:rsid w:val="008F5C31"/>
    <w:rsid w:val="008F636C"/>
    <w:rsid w:val="00902256"/>
    <w:rsid w:val="00917529"/>
    <w:rsid w:val="00932058"/>
    <w:rsid w:val="00934436"/>
    <w:rsid w:val="00936FAA"/>
    <w:rsid w:val="009409FF"/>
    <w:rsid w:val="0094497B"/>
    <w:rsid w:val="009500B2"/>
    <w:rsid w:val="00951DF8"/>
    <w:rsid w:val="00954CB5"/>
    <w:rsid w:val="009558F1"/>
    <w:rsid w:val="00960C88"/>
    <w:rsid w:val="009623D9"/>
    <w:rsid w:val="009650E0"/>
    <w:rsid w:val="00965C39"/>
    <w:rsid w:val="00975173"/>
    <w:rsid w:val="009760FC"/>
    <w:rsid w:val="00977FED"/>
    <w:rsid w:val="00980531"/>
    <w:rsid w:val="0098378C"/>
    <w:rsid w:val="00984C85"/>
    <w:rsid w:val="00986A8F"/>
    <w:rsid w:val="00990BFC"/>
    <w:rsid w:val="009916DF"/>
    <w:rsid w:val="00991D8F"/>
    <w:rsid w:val="00996332"/>
    <w:rsid w:val="009A3034"/>
    <w:rsid w:val="009B0A4B"/>
    <w:rsid w:val="009B0F75"/>
    <w:rsid w:val="009B7111"/>
    <w:rsid w:val="009C05A3"/>
    <w:rsid w:val="009D0459"/>
    <w:rsid w:val="009D2BFC"/>
    <w:rsid w:val="009D69F5"/>
    <w:rsid w:val="009E210F"/>
    <w:rsid w:val="009E6C8D"/>
    <w:rsid w:val="009E75E3"/>
    <w:rsid w:val="009F16FF"/>
    <w:rsid w:val="00A032B9"/>
    <w:rsid w:val="00A06C0A"/>
    <w:rsid w:val="00A13574"/>
    <w:rsid w:val="00A14356"/>
    <w:rsid w:val="00A169A9"/>
    <w:rsid w:val="00A16D31"/>
    <w:rsid w:val="00A2511E"/>
    <w:rsid w:val="00A30CA3"/>
    <w:rsid w:val="00A31DD5"/>
    <w:rsid w:val="00A32330"/>
    <w:rsid w:val="00A34A85"/>
    <w:rsid w:val="00A41B9B"/>
    <w:rsid w:val="00A41C36"/>
    <w:rsid w:val="00A426A5"/>
    <w:rsid w:val="00A43AF6"/>
    <w:rsid w:val="00A462D3"/>
    <w:rsid w:val="00A532BA"/>
    <w:rsid w:val="00A5595C"/>
    <w:rsid w:val="00A62CE6"/>
    <w:rsid w:val="00A62D4C"/>
    <w:rsid w:val="00A63D4C"/>
    <w:rsid w:val="00A63DEE"/>
    <w:rsid w:val="00A6663A"/>
    <w:rsid w:val="00A673C2"/>
    <w:rsid w:val="00A67A9E"/>
    <w:rsid w:val="00A67AD2"/>
    <w:rsid w:val="00A67F91"/>
    <w:rsid w:val="00A72D61"/>
    <w:rsid w:val="00A76354"/>
    <w:rsid w:val="00A77047"/>
    <w:rsid w:val="00A77A9A"/>
    <w:rsid w:val="00A80DFA"/>
    <w:rsid w:val="00A849C6"/>
    <w:rsid w:val="00A91685"/>
    <w:rsid w:val="00A91A5A"/>
    <w:rsid w:val="00A9508C"/>
    <w:rsid w:val="00A95E0D"/>
    <w:rsid w:val="00A964B3"/>
    <w:rsid w:val="00A97316"/>
    <w:rsid w:val="00A97476"/>
    <w:rsid w:val="00AA1DF4"/>
    <w:rsid w:val="00AA24DA"/>
    <w:rsid w:val="00AA6FDD"/>
    <w:rsid w:val="00AB2F69"/>
    <w:rsid w:val="00AB6DEB"/>
    <w:rsid w:val="00AB7ABC"/>
    <w:rsid w:val="00AC0B25"/>
    <w:rsid w:val="00AC2B73"/>
    <w:rsid w:val="00AC3233"/>
    <w:rsid w:val="00AC47CA"/>
    <w:rsid w:val="00AC4919"/>
    <w:rsid w:val="00AD07A1"/>
    <w:rsid w:val="00AD610F"/>
    <w:rsid w:val="00AE144D"/>
    <w:rsid w:val="00AE2E6E"/>
    <w:rsid w:val="00AE4EE4"/>
    <w:rsid w:val="00AF5E33"/>
    <w:rsid w:val="00B00013"/>
    <w:rsid w:val="00B00254"/>
    <w:rsid w:val="00B0411D"/>
    <w:rsid w:val="00B045BE"/>
    <w:rsid w:val="00B04C2F"/>
    <w:rsid w:val="00B12011"/>
    <w:rsid w:val="00B122D3"/>
    <w:rsid w:val="00B149FB"/>
    <w:rsid w:val="00B22B1E"/>
    <w:rsid w:val="00B310DD"/>
    <w:rsid w:val="00B41682"/>
    <w:rsid w:val="00B46F0F"/>
    <w:rsid w:val="00B5287E"/>
    <w:rsid w:val="00B5514C"/>
    <w:rsid w:val="00B57D5F"/>
    <w:rsid w:val="00B61A91"/>
    <w:rsid w:val="00B63AFC"/>
    <w:rsid w:val="00B64379"/>
    <w:rsid w:val="00B72683"/>
    <w:rsid w:val="00B8481F"/>
    <w:rsid w:val="00B850CB"/>
    <w:rsid w:val="00B851D3"/>
    <w:rsid w:val="00B85712"/>
    <w:rsid w:val="00B91047"/>
    <w:rsid w:val="00B91757"/>
    <w:rsid w:val="00B94A9F"/>
    <w:rsid w:val="00BA2635"/>
    <w:rsid w:val="00BB4AC8"/>
    <w:rsid w:val="00BB5853"/>
    <w:rsid w:val="00BB73DF"/>
    <w:rsid w:val="00BC6274"/>
    <w:rsid w:val="00BC69DC"/>
    <w:rsid w:val="00BD07F4"/>
    <w:rsid w:val="00BD2243"/>
    <w:rsid w:val="00BD33A9"/>
    <w:rsid w:val="00BD3B94"/>
    <w:rsid w:val="00BD3F49"/>
    <w:rsid w:val="00BD4CEE"/>
    <w:rsid w:val="00BD6660"/>
    <w:rsid w:val="00BE18DD"/>
    <w:rsid w:val="00BF20CD"/>
    <w:rsid w:val="00BF4687"/>
    <w:rsid w:val="00BF53E0"/>
    <w:rsid w:val="00BF5815"/>
    <w:rsid w:val="00BF6085"/>
    <w:rsid w:val="00C01566"/>
    <w:rsid w:val="00C07953"/>
    <w:rsid w:val="00C10A67"/>
    <w:rsid w:val="00C32356"/>
    <w:rsid w:val="00C406AE"/>
    <w:rsid w:val="00C43B7C"/>
    <w:rsid w:val="00C43CAB"/>
    <w:rsid w:val="00C46CD5"/>
    <w:rsid w:val="00C60021"/>
    <w:rsid w:val="00C60EBB"/>
    <w:rsid w:val="00C6642F"/>
    <w:rsid w:val="00C75E5F"/>
    <w:rsid w:val="00C820B1"/>
    <w:rsid w:val="00C92926"/>
    <w:rsid w:val="00C94740"/>
    <w:rsid w:val="00C954C1"/>
    <w:rsid w:val="00C974EB"/>
    <w:rsid w:val="00CA18C1"/>
    <w:rsid w:val="00CA1A89"/>
    <w:rsid w:val="00CA60AC"/>
    <w:rsid w:val="00CA6E46"/>
    <w:rsid w:val="00CB25E8"/>
    <w:rsid w:val="00CB2E3B"/>
    <w:rsid w:val="00CB5678"/>
    <w:rsid w:val="00CB6BF8"/>
    <w:rsid w:val="00CC6D15"/>
    <w:rsid w:val="00CD3150"/>
    <w:rsid w:val="00CE1B6D"/>
    <w:rsid w:val="00CE1E3F"/>
    <w:rsid w:val="00CE58C1"/>
    <w:rsid w:val="00CF0E59"/>
    <w:rsid w:val="00CF3A08"/>
    <w:rsid w:val="00CF6B29"/>
    <w:rsid w:val="00D06970"/>
    <w:rsid w:val="00D103E9"/>
    <w:rsid w:val="00D1135A"/>
    <w:rsid w:val="00D15C8A"/>
    <w:rsid w:val="00D20877"/>
    <w:rsid w:val="00D208DA"/>
    <w:rsid w:val="00D257C4"/>
    <w:rsid w:val="00D274ED"/>
    <w:rsid w:val="00D34913"/>
    <w:rsid w:val="00D37A51"/>
    <w:rsid w:val="00D40165"/>
    <w:rsid w:val="00D4356D"/>
    <w:rsid w:val="00D43ABE"/>
    <w:rsid w:val="00D50CCB"/>
    <w:rsid w:val="00D51771"/>
    <w:rsid w:val="00D52187"/>
    <w:rsid w:val="00D528CA"/>
    <w:rsid w:val="00D551D1"/>
    <w:rsid w:val="00D63BAC"/>
    <w:rsid w:val="00D706A6"/>
    <w:rsid w:val="00D7225D"/>
    <w:rsid w:val="00D74E71"/>
    <w:rsid w:val="00D77566"/>
    <w:rsid w:val="00D81B39"/>
    <w:rsid w:val="00D81CD7"/>
    <w:rsid w:val="00D876D7"/>
    <w:rsid w:val="00D87888"/>
    <w:rsid w:val="00DA1E91"/>
    <w:rsid w:val="00DA2684"/>
    <w:rsid w:val="00DB2ECE"/>
    <w:rsid w:val="00DB3612"/>
    <w:rsid w:val="00DB472B"/>
    <w:rsid w:val="00DB7D5A"/>
    <w:rsid w:val="00DC01A4"/>
    <w:rsid w:val="00DC1CCE"/>
    <w:rsid w:val="00DC24A7"/>
    <w:rsid w:val="00DC74B2"/>
    <w:rsid w:val="00DD109C"/>
    <w:rsid w:val="00DD20BF"/>
    <w:rsid w:val="00DD359D"/>
    <w:rsid w:val="00DE2AB2"/>
    <w:rsid w:val="00DE5DE6"/>
    <w:rsid w:val="00DF02BF"/>
    <w:rsid w:val="00DF46D9"/>
    <w:rsid w:val="00DF4D51"/>
    <w:rsid w:val="00E00E37"/>
    <w:rsid w:val="00E02749"/>
    <w:rsid w:val="00E05B96"/>
    <w:rsid w:val="00E15268"/>
    <w:rsid w:val="00E17643"/>
    <w:rsid w:val="00E21588"/>
    <w:rsid w:val="00E242A7"/>
    <w:rsid w:val="00E2595B"/>
    <w:rsid w:val="00E27AD1"/>
    <w:rsid w:val="00E349CB"/>
    <w:rsid w:val="00E404A9"/>
    <w:rsid w:val="00E41056"/>
    <w:rsid w:val="00E44012"/>
    <w:rsid w:val="00E61C28"/>
    <w:rsid w:val="00E63A22"/>
    <w:rsid w:val="00E640EF"/>
    <w:rsid w:val="00E643FC"/>
    <w:rsid w:val="00E82256"/>
    <w:rsid w:val="00E901EB"/>
    <w:rsid w:val="00E9136E"/>
    <w:rsid w:val="00E9305B"/>
    <w:rsid w:val="00EA0909"/>
    <w:rsid w:val="00EA0AD1"/>
    <w:rsid w:val="00EA1866"/>
    <w:rsid w:val="00EA1DBF"/>
    <w:rsid w:val="00EA359A"/>
    <w:rsid w:val="00EB1724"/>
    <w:rsid w:val="00EB31D1"/>
    <w:rsid w:val="00EB49BA"/>
    <w:rsid w:val="00EB4AB0"/>
    <w:rsid w:val="00EB5E88"/>
    <w:rsid w:val="00EC01CA"/>
    <w:rsid w:val="00EC0251"/>
    <w:rsid w:val="00EC1D69"/>
    <w:rsid w:val="00EC4821"/>
    <w:rsid w:val="00EC57AA"/>
    <w:rsid w:val="00ED070D"/>
    <w:rsid w:val="00ED14DC"/>
    <w:rsid w:val="00ED1C74"/>
    <w:rsid w:val="00EE0DEA"/>
    <w:rsid w:val="00EE4F55"/>
    <w:rsid w:val="00EF06B4"/>
    <w:rsid w:val="00EF38AC"/>
    <w:rsid w:val="00EF69D9"/>
    <w:rsid w:val="00EF7C62"/>
    <w:rsid w:val="00F025F3"/>
    <w:rsid w:val="00F03016"/>
    <w:rsid w:val="00F130E6"/>
    <w:rsid w:val="00F16FC4"/>
    <w:rsid w:val="00F21C80"/>
    <w:rsid w:val="00F25E61"/>
    <w:rsid w:val="00F271F3"/>
    <w:rsid w:val="00F36B73"/>
    <w:rsid w:val="00F41E26"/>
    <w:rsid w:val="00F427E7"/>
    <w:rsid w:val="00F42F5E"/>
    <w:rsid w:val="00F4305D"/>
    <w:rsid w:val="00F47B2D"/>
    <w:rsid w:val="00F53D9D"/>
    <w:rsid w:val="00F55AD4"/>
    <w:rsid w:val="00F64321"/>
    <w:rsid w:val="00F7173F"/>
    <w:rsid w:val="00F75182"/>
    <w:rsid w:val="00F75C73"/>
    <w:rsid w:val="00F86156"/>
    <w:rsid w:val="00F900F0"/>
    <w:rsid w:val="00F909A3"/>
    <w:rsid w:val="00F9269A"/>
    <w:rsid w:val="00F947C0"/>
    <w:rsid w:val="00F955BE"/>
    <w:rsid w:val="00FA0943"/>
    <w:rsid w:val="00FA3E42"/>
    <w:rsid w:val="00FA6918"/>
    <w:rsid w:val="00FA6D0E"/>
    <w:rsid w:val="00FB1EC0"/>
    <w:rsid w:val="00FC41C8"/>
    <w:rsid w:val="00FC790F"/>
    <w:rsid w:val="00FD51F2"/>
    <w:rsid w:val="00FD553E"/>
    <w:rsid w:val="00FD7814"/>
    <w:rsid w:val="00FE501C"/>
    <w:rsid w:val="00FE581C"/>
    <w:rsid w:val="00FF3C6C"/>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F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CD5"/>
    <w:pPr>
      <w:numPr>
        <w:numId w:val="13"/>
      </w:numPr>
      <w:spacing w:after="60" w:line="240" w:lineRule="auto"/>
      <w:ind w:left="360"/>
      <w:contextualSpacing/>
      <w:outlineLvl w:val="0"/>
    </w:pPr>
    <w:rPr>
      <w:b/>
      <w:sz w:val="32"/>
      <w:szCs w:val="32"/>
    </w:rPr>
  </w:style>
  <w:style w:type="paragraph" w:styleId="Heading2">
    <w:name w:val="heading 2"/>
    <w:basedOn w:val="Heading1"/>
    <w:next w:val="Normal"/>
    <w:link w:val="Heading2Char"/>
    <w:autoRedefine/>
    <w:uiPriority w:val="9"/>
    <w:unhideWhenUsed/>
    <w:qFormat/>
    <w:rsid w:val="000D3483"/>
    <w:pPr>
      <w:keepNext/>
      <w:numPr>
        <w:numId w:val="0"/>
      </w:numPr>
      <w:spacing w:before="360"/>
      <w:jc w:val="center"/>
      <w:outlineLvl w:val="1"/>
    </w:pPr>
    <w:rPr>
      <w:rFonts w:cs="Arial"/>
      <w:bCs/>
      <w:sz w:val="28"/>
      <w:szCs w:val="28"/>
    </w:rPr>
  </w:style>
  <w:style w:type="paragraph" w:styleId="Heading3">
    <w:name w:val="heading 3"/>
    <w:basedOn w:val="Normal"/>
    <w:next w:val="Normal"/>
    <w:link w:val="Heading3Char"/>
    <w:uiPriority w:val="9"/>
    <w:unhideWhenUsed/>
    <w:qFormat/>
    <w:rsid w:val="005A3A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7CAF"/>
    <w:pPr>
      <w:keepNext/>
      <w:keepLines/>
      <w:numPr>
        <w:ilvl w:val="3"/>
        <w:numId w:val="8"/>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7CAF"/>
    <w:pPr>
      <w:keepNext/>
      <w:keepLines/>
      <w:numPr>
        <w:ilvl w:val="4"/>
        <w:numId w:val="8"/>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7CAF"/>
    <w:pPr>
      <w:keepNext/>
      <w:keepLines/>
      <w:numPr>
        <w:ilvl w:val="5"/>
        <w:numId w:val="8"/>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7CAF"/>
    <w:pPr>
      <w:keepNext/>
      <w:keepLines/>
      <w:numPr>
        <w:ilvl w:val="6"/>
        <w:numId w:val="8"/>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7CAF"/>
    <w:pPr>
      <w:keepNext/>
      <w:keepLines/>
      <w:numPr>
        <w:ilvl w:val="7"/>
        <w:numId w:val="8"/>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CAF"/>
    <w:pPr>
      <w:keepNext/>
      <w:keepLines/>
      <w:numPr>
        <w:ilvl w:val="8"/>
        <w:numId w:val="8"/>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D3"/>
    <w:pPr>
      <w:ind w:left="720"/>
      <w:contextualSpacing/>
    </w:pPr>
  </w:style>
  <w:style w:type="paragraph" w:styleId="Header">
    <w:name w:val="header"/>
    <w:basedOn w:val="Normal"/>
    <w:link w:val="HeaderChar"/>
    <w:uiPriority w:val="99"/>
    <w:unhideWhenUsed/>
    <w:rsid w:val="007F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47"/>
  </w:style>
  <w:style w:type="paragraph" w:styleId="Footer">
    <w:name w:val="footer"/>
    <w:basedOn w:val="Normal"/>
    <w:link w:val="FooterChar"/>
    <w:uiPriority w:val="99"/>
    <w:unhideWhenUsed/>
    <w:rsid w:val="007F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47"/>
  </w:style>
  <w:style w:type="table" w:styleId="TableGrid">
    <w:name w:val="Table Grid"/>
    <w:basedOn w:val="TableNormal"/>
    <w:uiPriority w:val="39"/>
    <w:rsid w:val="006B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083C"/>
    <w:pPr>
      <w:spacing w:after="0" w:line="240" w:lineRule="auto"/>
    </w:pPr>
  </w:style>
  <w:style w:type="character" w:styleId="CommentReference">
    <w:name w:val="annotation reference"/>
    <w:basedOn w:val="DefaultParagraphFont"/>
    <w:uiPriority w:val="99"/>
    <w:semiHidden/>
    <w:unhideWhenUsed/>
    <w:rsid w:val="00E15268"/>
    <w:rPr>
      <w:sz w:val="16"/>
      <w:szCs w:val="16"/>
    </w:rPr>
  </w:style>
  <w:style w:type="paragraph" w:styleId="CommentText">
    <w:name w:val="annotation text"/>
    <w:basedOn w:val="Normal"/>
    <w:link w:val="CommentTextChar"/>
    <w:uiPriority w:val="99"/>
    <w:unhideWhenUsed/>
    <w:rsid w:val="00E15268"/>
    <w:pPr>
      <w:spacing w:line="240" w:lineRule="auto"/>
    </w:pPr>
    <w:rPr>
      <w:sz w:val="20"/>
      <w:szCs w:val="20"/>
    </w:rPr>
  </w:style>
  <w:style w:type="character" w:customStyle="1" w:styleId="CommentTextChar">
    <w:name w:val="Comment Text Char"/>
    <w:basedOn w:val="DefaultParagraphFont"/>
    <w:link w:val="CommentText"/>
    <w:uiPriority w:val="99"/>
    <w:rsid w:val="00E15268"/>
    <w:rPr>
      <w:sz w:val="20"/>
      <w:szCs w:val="20"/>
    </w:rPr>
  </w:style>
  <w:style w:type="paragraph" w:styleId="CommentSubject">
    <w:name w:val="annotation subject"/>
    <w:basedOn w:val="CommentText"/>
    <w:next w:val="CommentText"/>
    <w:link w:val="CommentSubjectChar"/>
    <w:uiPriority w:val="99"/>
    <w:semiHidden/>
    <w:unhideWhenUsed/>
    <w:rsid w:val="00E15268"/>
    <w:rPr>
      <w:b/>
      <w:bCs/>
    </w:rPr>
  </w:style>
  <w:style w:type="character" w:customStyle="1" w:styleId="CommentSubjectChar">
    <w:name w:val="Comment Subject Char"/>
    <w:basedOn w:val="CommentTextChar"/>
    <w:link w:val="CommentSubject"/>
    <w:uiPriority w:val="99"/>
    <w:semiHidden/>
    <w:rsid w:val="00E15268"/>
    <w:rPr>
      <w:b/>
      <w:bCs/>
      <w:sz w:val="20"/>
      <w:szCs w:val="20"/>
    </w:rPr>
  </w:style>
  <w:style w:type="paragraph" w:styleId="BalloonText">
    <w:name w:val="Balloon Text"/>
    <w:basedOn w:val="Normal"/>
    <w:link w:val="BalloonTextChar"/>
    <w:uiPriority w:val="99"/>
    <w:semiHidden/>
    <w:unhideWhenUsed/>
    <w:rsid w:val="00E1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68"/>
    <w:rPr>
      <w:rFonts w:ascii="Tahoma" w:hAnsi="Tahoma" w:cs="Tahoma"/>
      <w:sz w:val="16"/>
      <w:szCs w:val="16"/>
    </w:rPr>
  </w:style>
  <w:style w:type="paragraph" w:styleId="FootnoteText">
    <w:name w:val="footnote text"/>
    <w:basedOn w:val="Normal"/>
    <w:link w:val="FootnoteTextChar"/>
    <w:uiPriority w:val="99"/>
    <w:unhideWhenUsed/>
    <w:rsid w:val="00307CAF"/>
    <w:pPr>
      <w:spacing w:after="0" w:line="240" w:lineRule="auto"/>
    </w:pPr>
    <w:rPr>
      <w:sz w:val="20"/>
      <w:szCs w:val="20"/>
    </w:rPr>
  </w:style>
  <w:style w:type="character" w:customStyle="1" w:styleId="FootnoteTextChar">
    <w:name w:val="Footnote Text Char"/>
    <w:basedOn w:val="DefaultParagraphFont"/>
    <w:link w:val="FootnoteText"/>
    <w:uiPriority w:val="99"/>
    <w:rsid w:val="00307CAF"/>
    <w:rPr>
      <w:sz w:val="20"/>
      <w:szCs w:val="20"/>
    </w:rPr>
  </w:style>
  <w:style w:type="character" w:styleId="FootnoteReference">
    <w:name w:val="footnote reference"/>
    <w:basedOn w:val="DefaultParagraphFont"/>
    <w:uiPriority w:val="99"/>
    <w:semiHidden/>
    <w:unhideWhenUsed/>
    <w:rsid w:val="00307CAF"/>
    <w:rPr>
      <w:vertAlign w:val="superscript"/>
    </w:rPr>
  </w:style>
  <w:style w:type="character" w:customStyle="1" w:styleId="Heading1Char">
    <w:name w:val="Heading 1 Char"/>
    <w:basedOn w:val="DefaultParagraphFont"/>
    <w:link w:val="Heading1"/>
    <w:uiPriority w:val="9"/>
    <w:rsid w:val="00C46CD5"/>
    <w:rPr>
      <w:b/>
      <w:sz w:val="32"/>
      <w:szCs w:val="32"/>
    </w:rPr>
  </w:style>
  <w:style w:type="character" w:customStyle="1" w:styleId="Heading2Char">
    <w:name w:val="Heading 2 Char"/>
    <w:basedOn w:val="DefaultParagraphFont"/>
    <w:link w:val="Heading2"/>
    <w:uiPriority w:val="9"/>
    <w:rsid w:val="000D3483"/>
    <w:rPr>
      <w:rFonts w:cs="Arial"/>
      <w:b/>
      <w:bCs/>
      <w:sz w:val="28"/>
      <w:szCs w:val="28"/>
    </w:rPr>
  </w:style>
  <w:style w:type="character" w:customStyle="1" w:styleId="Heading4Char">
    <w:name w:val="Heading 4 Char"/>
    <w:basedOn w:val="DefaultParagraphFont"/>
    <w:link w:val="Heading4"/>
    <w:uiPriority w:val="9"/>
    <w:semiHidden/>
    <w:rsid w:val="00307CA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07CA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07CA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07CA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07C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CAF"/>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307CAF"/>
    <w:pPr>
      <w:spacing w:after="160" w:line="259" w:lineRule="auto"/>
    </w:pPr>
  </w:style>
  <w:style w:type="character" w:styleId="Hyperlink">
    <w:name w:val="Hyperlink"/>
    <w:basedOn w:val="DefaultParagraphFont"/>
    <w:uiPriority w:val="99"/>
    <w:unhideWhenUsed/>
    <w:rsid w:val="00307CAF"/>
    <w:rPr>
      <w:color w:val="0000FF" w:themeColor="hyperlink"/>
      <w:u w:val="single"/>
    </w:rPr>
  </w:style>
  <w:style w:type="character" w:styleId="FollowedHyperlink">
    <w:name w:val="FollowedHyperlink"/>
    <w:basedOn w:val="DefaultParagraphFont"/>
    <w:uiPriority w:val="99"/>
    <w:semiHidden/>
    <w:unhideWhenUsed/>
    <w:rsid w:val="00301342"/>
    <w:rPr>
      <w:color w:val="800080" w:themeColor="followedHyperlink"/>
      <w:u w:val="single"/>
    </w:rPr>
  </w:style>
  <w:style w:type="paragraph" w:styleId="NormalWeb">
    <w:name w:val="Normal (Web)"/>
    <w:basedOn w:val="Normal"/>
    <w:uiPriority w:val="99"/>
    <w:unhideWhenUsed/>
    <w:rsid w:val="00A6663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6663A"/>
    <w:rPr>
      <w:b/>
      <w:bCs/>
    </w:rPr>
  </w:style>
  <w:style w:type="character" w:customStyle="1" w:styleId="Heading3Char">
    <w:name w:val="Heading 3 Char"/>
    <w:basedOn w:val="DefaultParagraphFont"/>
    <w:link w:val="Heading3"/>
    <w:uiPriority w:val="9"/>
    <w:rsid w:val="005A3A0D"/>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1F7CEA"/>
    <w:rPr>
      <w:color w:val="808080"/>
    </w:rPr>
  </w:style>
  <w:style w:type="character" w:styleId="UnresolvedMention">
    <w:name w:val="Unresolved Mention"/>
    <w:basedOn w:val="DefaultParagraphFont"/>
    <w:uiPriority w:val="99"/>
    <w:semiHidden/>
    <w:unhideWhenUsed/>
    <w:rsid w:val="00BD33A9"/>
    <w:rPr>
      <w:color w:val="605E5C"/>
      <w:shd w:val="clear" w:color="auto" w:fill="E1DFDD"/>
    </w:rPr>
  </w:style>
  <w:style w:type="character" w:customStyle="1" w:styleId="NoSpacingChar">
    <w:name w:val="No Spacing Char"/>
    <w:basedOn w:val="DefaultParagraphFont"/>
    <w:link w:val="NoSpacing"/>
    <w:uiPriority w:val="1"/>
    <w:rsid w:val="001C0B76"/>
  </w:style>
  <w:style w:type="paragraph" w:styleId="TOCHeading">
    <w:name w:val="TOC Heading"/>
    <w:basedOn w:val="Heading1"/>
    <w:next w:val="Normal"/>
    <w:uiPriority w:val="39"/>
    <w:unhideWhenUsed/>
    <w:qFormat/>
    <w:rsid w:val="001C0B7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C0B76"/>
    <w:pPr>
      <w:spacing w:after="100"/>
    </w:pPr>
  </w:style>
  <w:style w:type="paragraph" w:styleId="TOC2">
    <w:name w:val="toc 2"/>
    <w:basedOn w:val="Normal"/>
    <w:next w:val="Normal"/>
    <w:autoRedefine/>
    <w:uiPriority w:val="39"/>
    <w:unhideWhenUsed/>
    <w:rsid w:val="001C0B76"/>
    <w:pPr>
      <w:spacing w:after="100"/>
      <w:ind w:left="220"/>
    </w:pPr>
  </w:style>
  <w:style w:type="paragraph" w:styleId="TOC3">
    <w:name w:val="toc 3"/>
    <w:basedOn w:val="Normal"/>
    <w:next w:val="Normal"/>
    <w:autoRedefine/>
    <w:uiPriority w:val="39"/>
    <w:unhideWhenUsed/>
    <w:rsid w:val="001C0B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179">
      <w:bodyDiv w:val="1"/>
      <w:marLeft w:val="0"/>
      <w:marRight w:val="0"/>
      <w:marTop w:val="0"/>
      <w:marBottom w:val="0"/>
      <w:divBdr>
        <w:top w:val="none" w:sz="0" w:space="0" w:color="auto"/>
        <w:left w:val="none" w:sz="0" w:space="0" w:color="auto"/>
        <w:bottom w:val="none" w:sz="0" w:space="0" w:color="auto"/>
        <w:right w:val="none" w:sz="0" w:space="0" w:color="auto"/>
      </w:divBdr>
    </w:div>
    <w:div w:id="91320092">
      <w:bodyDiv w:val="1"/>
      <w:marLeft w:val="0"/>
      <w:marRight w:val="0"/>
      <w:marTop w:val="0"/>
      <w:marBottom w:val="0"/>
      <w:divBdr>
        <w:top w:val="none" w:sz="0" w:space="0" w:color="auto"/>
        <w:left w:val="none" w:sz="0" w:space="0" w:color="auto"/>
        <w:bottom w:val="none" w:sz="0" w:space="0" w:color="auto"/>
        <w:right w:val="none" w:sz="0" w:space="0" w:color="auto"/>
      </w:divBdr>
    </w:div>
    <w:div w:id="117145245">
      <w:bodyDiv w:val="1"/>
      <w:marLeft w:val="0"/>
      <w:marRight w:val="0"/>
      <w:marTop w:val="0"/>
      <w:marBottom w:val="0"/>
      <w:divBdr>
        <w:top w:val="none" w:sz="0" w:space="0" w:color="auto"/>
        <w:left w:val="none" w:sz="0" w:space="0" w:color="auto"/>
        <w:bottom w:val="none" w:sz="0" w:space="0" w:color="auto"/>
        <w:right w:val="none" w:sz="0" w:space="0" w:color="auto"/>
      </w:divBdr>
    </w:div>
    <w:div w:id="131603277">
      <w:bodyDiv w:val="1"/>
      <w:marLeft w:val="0"/>
      <w:marRight w:val="0"/>
      <w:marTop w:val="0"/>
      <w:marBottom w:val="0"/>
      <w:divBdr>
        <w:top w:val="none" w:sz="0" w:space="0" w:color="auto"/>
        <w:left w:val="none" w:sz="0" w:space="0" w:color="auto"/>
        <w:bottom w:val="none" w:sz="0" w:space="0" w:color="auto"/>
        <w:right w:val="none" w:sz="0" w:space="0" w:color="auto"/>
      </w:divBdr>
    </w:div>
    <w:div w:id="141503933">
      <w:bodyDiv w:val="1"/>
      <w:marLeft w:val="0"/>
      <w:marRight w:val="0"/>
      <w:marTop w:val="0"/>
      <w:marBottom w:val="0"/>
      <w:divBdr>
        <w:top w:val="none" w:sz="0" w:space="0" w:color="auto"/>
        <w:left w:val="none" w:sz="0" w:space="0" w:color="auto"/>
        <w:bottom w:val="none" w:sz="0" w:space="0" w:color="auto"/>
        <w:right w:val="none" w:sz="0" w:space="0" w:color="auto"/>
      </w:divBdr>
    </w:div>
    <w:div w:id="171843752">
      <w:bodyDiv w:val="1"/>
      <w:marLeft w:val="0"/>
      <w:marRight w:val="0"/>
      <w:marTop w:val="0"/>
      <w:marBottom w:val="0"/>
      <w:divBdr>
        <w:top w:val="none" w:sz="0" w:space="0" w:color="auto"/>
        <w:left w:val="none" w:sz="0" w:space="0" w:color="auto"/>
        <w:bottom w:val="none" w:sz="0" w:space="0" w:color="auto"/>
        <w:right w:val="none" w:sz="0" w:space="0" w:color="auto"/>
      </w:divBdr>
    </w:div>
    <w:div w:id="267155959">
      <w:bodyDiv w:val="1"/>
      <w:marLeft w:val="0"/>
      <w:marRight w:val="0"/>
      <w:marTop w:val="0"/>
      <w:marBottom w:val="0"/>
      <w:divBdr>
        <w:top w:val="none" w:sz="0" w:space="0" w:color="auto"/>
        <w:left w:val="none" w:sz="0" w:space="0" w:color="auto"/>
        <w:bottom w:val="none" w:sz="0" w:space="0" w:color="auto"/>
        <w:right w:val="none" w:sz="0" w:space="0" w:color="auto"/>
      </w:divBdr>
    </w:div>
    <w:div w:id="313484649">
      <w:bodyDiv w:val="1"/>
      <w:marLeft w:val="0"/>
      <w:marRight w:val="0"/>
      <w:marTop w:val="0"/>
      <w:marBottom w:val="0"/>
      <w:divBdr>
        <w:top w:val="none" w:sz="0" w:space="0" w:color="auto"/>
        <w:left w:val="none" w:sz="0" w:space="0" w:color="auto"/>
        <w:bottom w:val="none" w:sz="0" w:space="0" w:color="auto"/>
        <w:right w:val="none" w:sz="0" w:space="0" w:color="auto"/>
      </w:divBdr>
    </w:div>
    <w:div w:id="313796596">
      <w:bodyDiv w:val="1"/>
      <w:marLeft w:val="0"/>
      <w:marRight w:val="0"/>
      <w:marTop w:val="0"/>
      <w:marBottom w:val="0"/>
      <w:divBdr>
        <w:top w:val="none" w:sz="0" w:space="0" w:color="auto"/>
        <w:left w:val="none" w:sz="0" w:space="0" w:color="auto"/>
        <w:bottom w:val="none" w:sz="0" w:space="0" w:color="auto"/>
        <w:right w:val="none" w:sz="0" w:space="0" w:color="auto"/>
      </w:divBdr>
    </w:div>
    <w:div w:id="358822390">
      <w:bodyDiv w:val="1"/>
      <w:marLeft w:val="0"/>
      <w:marRight w:val="0"/>
      <w:marTop w:val="0"/>
      <w:marBottom w:val="0"/>
      <w:divBdr>
        <w:top w:val="none" w:sz="0" w:space="0" w:color="auto"/>
        <w:left w:val="none" w:sz="0" w:space="0" w:color="auto"/>
        <w:bottom w:val="none" w:sz="0" w:space="0" w:color="auto"/>
        <w:right w:val="none" w:sz="0" w:space="0" w:color="auto"/>
      </w:divBdr>
    </w:div>
    <w:div w:id="373584308">
      <w:bodyDiv w:val="1"/>
      <w:marLeft w:val="0"/>
      <w:marRight w:val="0"/>
      <w:marTop w:val="0"/>
      <w:marBottom w:val="0"/>
      <w:divBdr>
        <w:top w:val="none" w:sz="0" w:space="0" w:color="auto"/>
        <w:left w:val="none" w:sz="0" w:space="0" w:color="auto"/>
        <w:bottom w:val="none" w:sz="0" w:space="0" w:color="auto"/>
        <w:right w:val="none" w:sz="0" w:space="0" w:color="auto"/>
      </w:divBdr>
    </w:div>
    <w:div w:id="424036048">
      <w:bodyDiv w:val="1"/>
      <w:marLeft w:val="0"/>
      <w:marRight w:val="0"/>
      <w:marTop w:val="0"/>
      <w:marBottom w:val="0"/>
      <w:divBdr>
        <w:top w:val="none" w:sz="0" w:space="0" w:color="auto"/>
        <w:left w:val="none" w:sz="0" w:space="0" w:color="auto"/>
        <w:bottom w:val="none" w:sz="0" w:space="0" w:color="auto"/>
        <w:right w:val="none" w:sz="0" w:space="0" w:color="auto"/>
      </w:divBdr>
    </w:div>
    <w:div w:id="443691412">
      <w:bodyDiv w:val="1"/>
      <w:marLeft w:val="0"/>
      <w:marRight w:val="0"/>
      <w:marTop w:val="0"/>
      <w:marBottom w:val="0"/>
      <w:divBdr>
        <w:top w:val="none" w:sz="0" w:space="0" w:color="auto"/>
        <w:left w:val="none" w:sz="0" w:space="0" w:color="auto"/>
        <w:bottom w:val="none" w:sz="0" w:space="0" w:color="auto"/>
        <w:right w:val="none" w:sz="0" w:space="0" w:color="auto"/>
      </w:divBdr>
    </w:div>
    <w:div w:id="497309222">
      <w:bodyDiv w:val="1"/>
      <w:marLeft w:val="0"/>
      <w:marRight w:val="0"/>
      <w:marTop w:val="0"/>
      <w:marBottom w:val="0"/>
      <w:divBdr>
        <w:top w:val="none" w:sz="0" w:space="0" w:color="auto"/>
        <w:left w:val="none" w:sz="0" w:space="0" w:color="auto"/>
        <w:bottom w:val="none" w:sz="0" w:space="0" w:color="auto"/>
        <w:right w:val="none" w:sz="0" w:space="0" w:color="auto"/>
      </w:divBdr>
    </w:div>
    <w:div w:id="517818615">
      <w:bodyDiv w:val="1"/>
      <w:marLeft w:val="0"/>
      <w:marRight w:val="0"/>
      <w:marTop w:val="0"/>
      <w:marBottom w:val="0"/>
      <w:divBdr>
        <w:top w:val="none" w:sz="0" w:space="0" w:color="auto"/>
        <w:left w:val="none" w:sz="0" w:space="0" w:color="auto"/>
        <w:bottom w:val="none" w:sz="0" w:space="0" w:color="auto"/>
        <w:right w:val="none" w:sz="0" w:space="0" w:color="auto"/>
      </w:divBdr>
    </w:div>
    <w:div w:id="548495560">
      <w:bodyDiv w:val="1"/>
      <w:marLeft w:val="0"/>
      <w:marRight w:val="0"/>
      <w:marTop w:val="0"/>
      <w:marBottom w:val="0"/>
      <w:divBdr>
        <w:top w:val="none" w:sz="0" w:space="0" w:color="auto"/>
        <w:left w:val="none" w:sz="0" w:space="0" w:color="auto"/>
        <w:bottom w:val="none" w:sz="0" w:space="0" w:color="auto"/>
        <w:right w:val="none" w:sz="0" w:space="0" w:color="auto"/>
      </w:divBdr>
    </w:div>
    <w:div w:id="550461704">
      <w:bodyDiv w:val="1"/>
      <w:marLeft w:val="0"/>
      <w:marRight w:val="0"/>
      <w:marTop w:val="0"/>
      <w:marBottom w:val="0"/>
      <w:divBdr>
        <w:top w:val="none" w:sz="0" w:space="0" w:color="auto"/>
        <w:left w:val="none" w:sz="0" w:space="0" w:color="auto"/>
        <w:bottom w:val="none" w:sz="0" w:space="0" w:color="auto"/>
        <w:right w:val="none" w:sz="0" w:space="0" w:color="auto"/>
      </w:divBdr>
    </w:div>
    <w:div w:id="593053920">
      <w:bodyDiv w:val="1"/>
      <w:marLeft w:val="0"/>
      <w:marRight w:val="0"/>
      <w:marTop w:val="0"/>
      <w:marBottom w:val="0"/>
      <w:divBdr>
        <w:top w:val="none" w:sz="0" w:space="0" w:color="auto"/>
        <w:left w:val="none" w:sz="0" w:space="0" w:color="auto"/>
        <w:bottom w:val="none" w:sz="0" w:space="0" w:color="auto"/>
        <w:right w:val="none" w:sz="0" w:space="0" w:color="auto"/>
      </w:divBdr>
    </w:div>
    <w:div w:id="595820145">
      <w:bodyDiv w:val="1"/>
      <w:marLeft w:val="0"/>
      <w:marRight w:val="0"/>
      <w:marTop w:val="0"/>
      <w:marBottom w:val="0"/>
      <w:divBdr>
        <w:top w:val="none" w:sz="0" w:space="0" w:color="auto"/>
        <w:left w:val="none" w:sz="0" w:space="0" w:color="auto"/>
        <w:bottom w:val="none" w:sz="0" w:space="0" w:color="auto"/>
        <w:right w:val="none" w:sz="0" w:space="0" w:color="auto"/>
      </w:divBdr>
    </w:div>
    <w:div w:id="654530394">
      <w:bodyDiv w:val="1"/>
      <w:marLeft w:val="0"/>
      <w:marRight w:val="0"/>
      <w:marTop w:val="0"/>
      <w:marBottom w:val="0"/>
      <w:divBdr>
        <w:top w:val="none" w:sz="0" w:space="0" w:color="auto"/>
        <w:left w:val="none" w:sz="0" w:space="0" w:color="auto"/>
        <w:bottom w:val="none" w:sz="0" w:space="0" w:color="auto"/>
        <w:right w:val="none" w:sz="0" w:space="0" w:color="auto"/>
      </w:divBdr>
    </w:div>
    <w:div w:id="681781495">
      <w:bodyDiv w:val="1"/>
      <w:marLeft w:val="0"/>
      <w:marRight w:val="0"/>
      <w:marTop w:val="0"/>
      <w:marBottom w:val="0"/>
      <w:divBdr>
        <w:top w:val="none" w:sz="0" w:space="0" w:color="auto"/>
        <w:left w:val="none" w:sz="0" w:space="0" w:color="auto"/>
        <w:bottom w:val="none" w:sz="0" w:space="0" w:color="auto"/>
        <w:right w:val="none" w:sz="0" w:space="0" w:color="auto"/>
      </w:divBdr>
    </w:div>
    <w:div w:id="696542368">
      <w:bodyDiv w:val="1"/>
      <w:marLeft w:val="0"/>
      <w:marRight w:val="0"/>
      <w:marTop w:val="0"/>
      <w:marBottom w:val="0"/>
      <w:divBdr>
        <w:top w:val="none" w:sz="0" w:space="0" w:color="auto"/>
        <w:left w:val="none" w:sz="0" w:space="0" w:color="auto"/>
        <w:bottom w:val="none" w:sz="0" w:space="0" w:color="auto"/>
        <w:right w:val="none" w:sz="0" w:space="0" w:color="auto"/>
      </w:divBdr>
    </w:div>
    <w:div w:id="743842700">
      <w:bodyDiv w:val="1"/>
      <w:marLeft w:val="0"/>
      <w:marRight w:val="0"/>
      <w:marTop w:val="0"/>
      <w:marBottom w:val="0"/>
      <w:divBdr>
        <w:top w:val="none" w:sz="0" w:space="0" w:color="auto"/>
        <w:left w:val="none" w:sz="0" w:space="0" w:color="auto"/>
        <w:bottom w:val="none" w:sz="0" w:space="0" w:color="auto"/>
        <w:right w:val="none" w:sz="0" w:space="0" w:color="auto"/>
      </w:divBdr>
    </w:div>
    <w:div w:id="747313803">
      <w:bodyDiv w:val="1"/>
      <w:marLeft w:val="0"/>
      <w:marRight w:val="0"/>
      <w:marTop w:val="0"/>
      <w:marBottom w:val="0"/>
      <w:divBdr>
        <w:top w:val="none" w:sz="0" w:space="0" w:color="auto"/>
        <w:left w:val="none" w:sz="0" w:space="0" w:color="auto"/>
        <w:bottom w:val="none" w:sz="0" w:space="0" w:color="auto"/>
        <w:right w:val="none" w:sz="0" w:space="0" w:color="auto"/>
      </w:divBdr>
    </w:div>
    <w:div w:id="769935192">
      <w:bodyDiv w:val="1"/>
      <w:marLeft w:val="0"/>
      <w:marRight w:val="0"/>
      <w:marTop w:val="0"/>
      <w:marBottom w:val="0"/>
      <w:divBdr>
        <w:top w:val="none" w:sz="0" w:space="0" w:color="auto"/>
        <w:left w:val="none" w:sz="0" w:space="0" w:color="auto"/>
        <w:bottom w:val="none" w:sz="0" w:space="0" w:color="auto"/>
        <w:right w:val="none" w:sz="0" w:space="0" w:color="auto"/>
      </w:divBdr>
    </w:div>
    <w:div w:id="823854922">
      <w:bodyDiv w:val="1"/>
      <w:marLeft w:val="0"/>
      <w:marRight w:val="0"/>
      <w:marTop w:val="0"/>
      <w:marBottom w:val="0"/>
      <w:divBdr>
        <w:top w:val="none" w:sz="0" w:space="0" w:color="auto"/>
        <w:left w:val="none" w:sz="0" w:space="0" w:color="auto"/>
        <w:bottom w:val="none" w:sz="0" w:space="0" w:color="auto"/>
        <w:right w:val="none" w:sz="0" w:space="0" w:color="auto"/>
      </w:divBdr>
    </w:div>
    <w:div w:id="963584487">
      <w:bodyDiv w:val="1"/>
      <w:marLeft w:val="0"/>
      <w:marRight w:val="0"/>
      <w:marTop w:val="0"/>
      <w:marBottom w:val="0"/>
      <w:divBdr>
        <w:top w:val="none" w:sz="0" w:space="0" w:color="auto"/>
        <w:left w:val="none" w:sz="0" w:space="0" w:color="auto"/>
        <w:bottom w:val="none" w:sz="0" w:space="0" w:color="auto"/>
        <w:right w:val="none" w:sz="0" w:space="0" w:color="auto"/>
      </w:divBdr>
    </w:div>
    <w:div w:id="1024748623">
      <w:bodyDiv w:val="1"/>
      <w:marLeft w:val="0"/>
      <w:marRight w:val="0"/>
      <w:marTop w:val="0"/>
      <w:marBottom w:val="0"/>
      <w:divBdr>
        <w:top w:val="none" w:sz="0" w:space="0" w:color="auto"/>
        <w:left w:val="none" w:sz="0" w:space="0" w:color="auto"/>
        <w:bottom w:val="none" w:sz="0" w:space="0" w:color="auto"/>
        <w:right w:val="none" w:sz="0" w:space="0" w:color="auto"/>
      </w:divBdr>
    </w:div>
    <w:div w:id="1074356350">
      <w:bodyDiv w:val="1"/>
      <w:marLeft w:val="0"/>
      <w:marRight w:val="0"/>
      <w:marTop w:val="0"/>
      <w:marBottom w:val="0"/>
      <w:divBdr>
        <w:top w:val="none" w:sz="0" w:space="0" w:color="auto"/>
        <w:left w:val="none" w:sz="0" w:space="0" w:color="auto"/>
        <w:bottom w:val="none" w:sz="0" w:space="0" w:color="auto"/>
        <w:right w:val="none" w:sz="0" w:space="0" w:color="auto"/>
      </w:divBdr>
    </w:div>
    <w:div w:id="1081365970">
      <w:bodyDiv w:val="1"/>
      <w:marLeft w:val="0"/>
      <w:marRight w:val="0"/>
      <w:marTop w:val="0"/>
      <w:marBottom w:val="0"/>
      <w:divBdr>
        <w:top w:val="none" w:sz="0" w:space="0" w:color="auto"/>
        <w:left w:val="none" w:sz="0" w:space="0" w:color="auto"/>
        <w:bottom w:val="none" w:sz="0" w:space="0" w:color="auto"/>
        <w:right w:val="none" w:sz="0" w:space="0" w:color="auto"/>
      </w:divBdr>
    </w:div>
    <w:div w:id="1090539564">
      <w:bodyDiv w:val="1"/>
      <w:marLeft w:val="0"/>
      <w:marRight w:val="0"/>
      <w:marTop w:val="0"/>
      <w:marBottom w:val="0"/>
      <w:divBdr>
        <w:top w:val="none" w:sz="0" w:space="0" w:color="auto"/>
        <w:left w:val="none" w:sz="0" w:space="0" w:color="auto"/>
        <w:bottom w:val="none" w:sz="0" w:space="0" w:color="auto"/>
        <w:right w:val="none" w:sz="0" w:space="0" w:color="auto"/>
      </w:divBdr>
    </w:div>
    <w:div w:id="1104348070">
      <w:bodyDiv w:val="1"/>
      <w:marLeft w:val="0"/>
      <w:marRight w:val="0"/>
      <w:marTop w:val="0"/>
      <w:marBottom w:val="0"/>
      <w:divBdr>
        <w:top w:val="none" w:sz="0" w:space="0" w:color="auto"/>
        <w:left w:val="none" w:sz="0" w:space="0" w:color="auto"/>
        <w:bottom w:val="none" w:sz="0" w:space="0" w:color="auto"/>
        <w:right w:val="none" w:sz="0" w:space="0" w:color="auto"/>
      </w:divBdr>
    </w:div>
    <w:div w:id="1163010177">
      <w:bodyDiv w:val="1"/>
      <w:marLeft w:val="0"/>
      <w:marRight w:val="0"/>
      <w:marTop w:val="0"/>
      <w:marBottom w:val="0"/>
      <w:divBdr>
        <w:top w:val="none" w:sz="0" w:space="0" w:color="auto"/>
        <w:left w:val="none" w:sz="0" w:space="0" w:color="auto"/>
        <w:bottom w:val="none" w:sz="0" w:space="0" w:color="auto"/>
        <w:right w:val="none" w:sz="0" w:space="0" w:color="auto"/>
      </w:divBdr>
    </w:div>
    <w:div w:id="1166629950">
      <w:bodyDiv w:val="1"/>
      <w:marLeft w:val="0"/>
      <w:marRight w:val="0"/>
      <w:marTop w:val="0"/>
      <w:marBottom w:val="0"/>
      <w:divBdr>
        <w:top w:val="none" w:sz="0" w:space="0" w:color="auto"/>
        <w:left w:val="none" w:sz="0" w:space="0" w:color="auto"/>
        <w:bottom w:val="none" w:sz="0" w:space="0" w:color="auto"/>
        <w:right w:val="none" w:sz="0" w:space="0" w:color="auto"/>
      </w:divBdr>
    </w:div>
    <w:div w:id="1181160561">
      <w:bodyDiv w:val="1"/>
      <w:marLeft w:val="0"/>
      <w:marRight w:val="0"/>
      <w:marTop w:val="0"/>
      <w:marBottom w:val="0"/>
      <w:divBdr>
        <w:top w:val="none" w:sz="0" w:space="0" w:color="auto"/>
        <w:left w:val="none" w:sz="0" w:space="0" w:color="auto"/>
        <w:bottom w:val="none" w:sz="0" w:space="0" w:color="auto"/>
        <w:right w:val="none" w:sz="0" w:space="0" w:color="auto"/>
      </w:divBdr>
    </w:div>
    <w:div w:id="1223754227">
      <w:bodyDiv w:val="1"/>
      <w:marLeft w:val="0"/>
      <w:marRight w:val="0"/>
      <w:marTop w:val="0"/>
      <w:marBottom w:val="0"/>
      <w:divBdr>
        <w:top w:val="none" w:sz="0" w:space="0" w:color="auto"/>
        <w:left w:val="none" w:sz="0" w:space="0" w:color="auto"/>
        <w:bottom w:val="none" w:sz="0" w:space="0" w:color="auto"/>
        <w:right w:val="none" w:sz="0" w:space="0" w:color="auto"/>
      </w:divBdr>
    </w:div>
    <w:div w:id="1236820048">
      <w:bodyDiv w:val="1"/>
      <w:marLeft w:val="0"/>
      <w:marRight w:val="0"/>
      <w:marTop w:val="0"/>
      <w:marBottom w:val="0"/>
      <w:divBdr>
        <w:top w:val="none" w:sz="0" w:space="0" w:color="auto"/>
        <w:left w:val="none" w:sz="0" w:space="0" w:color="auto"/>
        <w:bottom w:val="none" w:sz="0" w:space="0" w:color="auto"/>
        <w:right w:val="none" w:sz="0" w:space="0" w:color="auto"/>
      </w:divBdr>
    </w:div>
    <w:div w:id="1282615261">
      <w:bodyDiv w:val="1"/>
      <w:marLeft w:val="0"/>
      <w:marRight w:val="0"/>
      <w:marTop w:val="0"/>
      <w:marBottom w:val="0"/>
      <w:divBdr>
        <w:top w:val="none" w:sz="0" w:space="0" w:color="auto"/>
        <w:left w:val="none" w:sz="0" w:space="0" w:color="auto"/>
        <w:bottom w:val="none" w:sz="0" w:space="0" w:color="auto"/>
        <w:right w:val="none" w:sz="0" w:space="0" w:color="auto"/>
      </w:divBdr>
    </w:div>
    <w:div w:id="1328557765">
      <w:bodyDiv w:val="1"/>
      <w:marLeft w:val="0"/>
      <w:marRight w:val="0"/>
      <w:marTop w:val="0"/>
      <w:marBottom w:val="0"/>
      <w:divBdr>
        <w:top w:val="none" w:sz="0" w:space="0" w:color="auto"/>
        <w:left w:val="none" w:sz="0" w:space="0" w:color="auto"/>
        <w:bottom w:val="none" w:sz="0" w:space="0" w:color="auto"/>
        <w:right w:val="none" w:sz="0" w:space="0" w:color="auto"/>
      </w:divBdr>
    </w:div>
    <w:div w:id="1382636170">
      <w:bodyDiv w:val="1"/>
      <w:marLeft w:val="0"/>
      <w:marRight w:val="0"/>
      <w:marTop w:val="0"/>
      <w:marBottom w:val="0"/>
      <w:divBdr>
        <w:top w:val="none" w:sz="0" w:space="0" w:color="auto"/>
        <w:left w:val="none" w:sz="0" w:space="0" w:color="auto"/>
        <w:bottom w:val="none" w:sz="0" w:space="0" w:color="auto"/>
        <w:right w:val="none" w:sz="0" w:space="0" w:color="auto"/>
      </w:divBdr>
    </w:div>
    <w:div w:id="1405375645">
      <w:bodyDiv w:val="1"/>
      <w:marLeft w:val="0"/>
      <w:marRight w:val="0"/>
      <w:marTop w:val="0"/>
      <w:marBottom w:val="0"/>
      <w:divBdr>
        <w:top w:val="none" w:sz="0" w:space="0" w:color="auto"/>
        <w:left w:val="none" w:sz="0" w:space="0" w:color="auto"/>
        <w:bottom w:val="none" w:sz="0" w:space="0" w:color="auto"/>
        <w:right w:val="none" w:sz="0" w:space="0" w:color="auto"/>
      </w:divBdr>
    </w:div>
    <w:div w:id="1426415481">
      <w:bodyDiv w:val="1"/>
      <w:marLeft w:val="0"/>
      <w:marRight w:val="0"/>
      <w:marTop w:val="0"/>
      <w:marBottom w:val="0"/>
      <w:divBdr>
        <w:top w:val="none" w:sz="0" w:space="0" w:color="auto"/>
        <w:left w:val="none" w:sz="0" w:space="0" w:color="auto"/>
        <w:bottom w:val="none" w:sz="0" w:space="0" w:color="auto"/>
        <w:right w:val="none" w:sz="0" w:space="0" w:color="auto"/>
      </w:divBdr>
    </w:div>
    <w:div w:id="1453210364">
      <w:bodyDiv w:val="1"/>
      <w:marLeft w:val="0"/>
      <w:marRight w:val="0"/>
      <w:marTop w:val="0"/>
      <w:marBottom w:val="0"/>
      <w:divBdr>
        <w:top w:val="none" w:sz="0" w:space="0" w:color="auto"/>
        <w:left w:val="none" w:sz="0" w:space="0" w:color="auto"/>
        <w:bottom w:val="none" w:sz="0" w:space="0" w:color="auto"/>
        <w:right w:val="none" w:sz="0" w:space="0" w:color="auto"/>
      </w:divBdr>
    </w:div>
    <w:div w:id="1500540426">
      <w:bodyDiv w:val="1"/>
      <w:marLeft w:val="0"/>
      <w:marRight w:val="0"/>
      <w:marTop w:val="0"/>
      <w:marBottom w:val="0"/>
      <w:divBdr>
        <w:top w:val="none" w:sz="0" w:space="0" w:color="auto"/>
        <w:left w:val="none" w:sz="0" w:space="0" w:color="auto"/>
        <w:bottom w:val="none" w:sz="0" w:space="0" w:color="auto"/>
        <w:right w:val="none" w:sz="0" w:space="0" w:color="auto"/>
      </w:divBdr>
    </w:div>
    <w:div w:id="1526554432">
      <w:bodyDiv w:val="1"/>
      <w:marLeft w:val="0"/>
      <w:marRight w:val="0"/>
      <w:marTop w:val="0"/>
      <w:marBottom w:val="0"/>
      <w:divBdr>
        <w:top w:val="none" w:sz="0" w:space="0" w:color="auto"/>
        <w:left w:val="none" w:sz="0" w:space="0" w:color="auto"/>
        <w:bottom w:val="none" w:sz="0" w:space="0" w:color="auto"/>
        <w:right w:val="none" w:sz="0" w:space="0" w:color="auto"/>
      </w:divBdr>
    </w:div>
    <w:div w:id="1535195315">
      <w:bodyDiv w:val="1"/>
      <w:marLeft w:val="0"/>
      <w:marRight w:val="0"/>
      <w:marTop w:val="0"/>
      <w:marBottom w:val="0"/>
      <w:divBdr>
        <w:top w:val="none" w:sz="0" w:space="0" w:color="auto"/>
        <w:left w:val="none" w:sz="0" w:space="0" w:color="auto"/>
        <w:bottom w:val="none" w:sz="0" w:space="0" w:color="auto"/>
        <w:right w:val="none" w:sz="0" w:space="0" w:color="auto"/>
      </w:divBdr>
    </w:div>
    <w:div w:id="1594508181">
      <w:bodyDiv w:val="1"/>
      <w:marLeft w:val="0"/>
      <w:marRight w:val="0"/>
      <w:marTop w:val="0"/>
      <w:marBottom w:val="0"/>
      <w:divBdr>
        <w:top w:val="none" w:sz="0" w:space="0" w:color="auto"/>
        <w:left w:val="none" w:sz="0" w:space="0" w:color="auto"/>
        <w:bottom w:val="none" w:sz="0" w:space="0" w:color="auto"/>
        <w:right w:val="none" w:sz="0" w:space="0" w:color="auto"/>
      </w:divBdr>
    </w:div>
    <w:div w:id="1596093750">
      <w:bodyDiv w:val="1"/>
      <w:marLeft w:val="0"/>
      <w:marRight w:val="0"/>
      <w:marTop w:val="0"/>
      <w:marBottom w:val="0"/>
      <w:divBdr>
        <w:top w:val="none" w:sz="0" w:space="0" w:color="auto"/>
        <w:left w:val="none" w:sz="0" w:space="0" w:color="auto"/>
        <w:bottom w:val="none" w:sz="0" w:space="0" w:color="auto"/>
        <w:right w:val="none" w:sz="0" w:space="0" w:color="auto"/>
      </w:divBdr>
    </w:div>
    <w:div w:id="1780831569">
      <w:bodyDiv w:val="1"/>
      <w:marLeft w:val="0"/>
      <w:marRight w:val="0"/>
      <w:marTop w:val="0"/>
      <w:marBottom w:val="0"/>
      <w:divBdr>
        <w:top w:val="none" w:sz="0" w:space="0" w:color="auto"/>
        <w:left w:val="none" w:sz="0" w:space="0" w:color="auto"/>
        <w:bottom w:val="none" w:sz="0" w:space="0" w:color="auto"/>
        <w:right w:val="none" w:sz="0" w:space="0" w:color="auto"/>
      </w:divBdr>
    </w:div>
    <w:div w:id="1842311743">
      <w:bodyDiv w:val="1"/>
      <w:marLeft w:val="0"/>
      <w:marRight w:val="0"/>
      <w:marTop w:val="0"/>
      <w:marBottom w:val="0"/>
      <w:divBdr>
        <w:top w:val="none" w:sz="0" w:space="0" w:color="auto"/>
        <w:left w:val="none" w:sz="0" w:space="0" w:color="auto"/>
        <w:bottom w:val="none" w:sz="0" w:space="0" w:color="auto"/>
        <w:right w:val="none" w:sz="0" w:space="0" w:color="auto"/>
      </w:divBdr>
    </w:div>
    <w:div w:id="1845047089">
      <w:bodyDiv w:val="1"/>
      <w:marLeft w:val="0"/>
      <w:marRight w:val="0"/>
      <w:marTop w:val="0"/>
      <w:marBottom w:val="0"/>
      <w:divBdr>
        <w:top w:val="none" w:sz="0" w:space="0" w:color="auto"/>
        <w:left w:val="none" w:sz="0" w:space="0" w:color="auto"/>
        <w:bottom w:val="none" w:sz="0" w:space="0" w:color="auto"/>
        <w:right w:val="none" w:sz="0" w:space="0" w:color="auto"/>
      </w:divBdr>
    </w:div>
    <w:div w:id="20623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state.mn.us/communities/environment/fish/docs/consortium/bestpracticepfos.pdf" TargetMode="External"/><Relationship Id="rId18" Type="http://schemas.openxmlformats.org/officeDocument/2006/relationships/hyperlink" Target="https://www.fda.gov/food/consumers/questions-answers-fdaepa-advice-about-eating-fish-women-who-are-or-might-become-pregnant" TargetMode="External"/><Relationship Id="rId26" Type="http://schemas.openxmlformats.org/officeDocument/2006/relationships/hyperlink" Target="https://efsa.onlinelibrary.wiley.com/doi/pdf/10.2903/j.efsa.2020.6223" TargetMode="External"/><Relationship Id="rId39" Type="http://schemas.openxmlformats.org/officeDocument/2006/relationships/hyperlink" Target="https://www.michigan.gov/documents/mdch/MFCAP_Guidance_Document_500546_7.pdf"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5.xml"/><Relationship Id="rId42" Type="http://schemas.openxmlformats.org/officeDocument/2006/relationships/hyperlink" Target="https://www.epa.gov/sites/default/files/2015-01/documents/fish-consumption-rates-2014.pdf" TargetMode="External"/><Relationship Id="rId7" Type="http://schemas.openxmlformats.org/officeDocument/2006/relationships/endnotes" Target="endnotes.xml"/><Relationship Id="rId12" Type="http://schemas.openxmlformats.org/officeDocument/2006/relationships/hyperlink" Target="https://efsa.onlinelibrary.wiley.com/doi/pdf/10.2903/j.efsa.2020.6223" TargetMode="External"/><Relationship Id="rId17" Type="http://schemas.openxmlformats.org/officeDocument/2006/relationships/hyperlink" Target="https://cfpub.epa.gov/ncea/risk/recordisplay.cfm?deid=236252%20" TargetMode="Externa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yperlink" Target="https://www.health.state.mn.us/communities/environment/fish/docs/consortium/bestpracticepfos.pdf" TargetMode="External"/><Relationship Id="rId2" Type="http://schemas.openxmlformats.org/officeDocument/2006/relationships/numbering" Target="numbering.xml"/><Relationship Id="rId16" Type="http://schemas.openxmlformats.org/officeDocument/2006/relationships/hyperlink" Target="https://www.michigan.gov/documents/mdch/MFCAP_Guidance_Document_500546_7.pdf" TargetMode="External"/><Relationship Id="rId20" Type="http://schemas.openxmlformats.org/officeDocument/2006/relationships/footer" Target="footer3.xml"/><Relationship Id="rId29" Type="http://schemas.openxmlformats.org/officeDocument/2006/relationships/hyperlink" Target="https://www.epa.gov/sites/production/files/2018-10/documents/methodology-wqc-protection-hh-2000.pdf" TargetMode="External"/><Relationship Id="rId41" Type="http://schemas.openxmlformats.org/officeDocument/2006/relationships/hyperlink" Target="https://www.nj.gov/dep/dsr/publications/Investigation%20of%20Levels%20of%20Perfluorinated%20Compounds%20in%20New%20Jersey%20Fish,%20Surface%20Water,%20and%20Sedi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epartments-and-Agencies/DPH/dph/environmental_health/eoha/ATSDR/OSullivans-Island-PCBs-and-PFAS-in-fish.pdf?la=en" TargetMode="Externa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hyperlink" Target="https://portal.ct.gov/-/media/Departments-and-Agencies/DPH/dph/environmental_health/eoha/ATSDR/OSullivans-Island-PCBs-and-PFAS-in-fish.pdf?la=en" TargetMode="External"/><Relationship Id="rId40" Type="http://schemas.openxmlformats.org/officeDocument/2006/relationships/hyperlink" Target="http://www.newmoa.org/events/docs/471/MurphyApril2021.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info-details/per-and-polyfluoroalkyl-substances-pfas" TargetMode="External"/><Relationship Id="rId23" Type="http://schemas.openxmlformats.org/officeDocument/2006/relationships/header" Target="header2.xml"/><Relationship Id="rId28" Type="http://schemas.openxmlformats.org/officeDocument/2006/relationships/hyperlink" Target="https://www.state.nj.us/dep/watersupply/pdf/pfos-recommendation-appendix-a.pdf" TargetMode="External"/><Relationship Id="rId36" Type="http://schemas.openxmlformats.org/officeDocument/2006/relationships/footer" Target="footer6.xml"/><Relationship Id="rId10" Type="http://schemas.openxmlformats.org/officeDocument/2006/relationships/hyperlink" Target="https://www.atsdr.cdc.gov/ToxProfiles/tp200.pdf" TargetMode="External"/><Relationship Id="rId19" Type="http://schemas.openxmlformats.org/officeDocument/2006/relationships/footer" Target="footer2.xml"/><Relationship Id="rId31" Type="http://schemas.openxmlformats.org/officeDocument/2006/relationships/hyperlink" Target="https://www.epa.gov/sites/default/files/2016-05/documents/pfos_health_advisory_final_508.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technical-update-default-fish-ingestion-rates-and-exposure-assumptions-for-human-health-risk/download" TargetMode="External"/><Relationship Id="rId22" Type="http://schemas.openxmlformats.org/officeDocument/2006/relationships/footer" Target="footer4.xml"/><Relationship Id="rId27" Type="http://schemas.openxmlformats.org/officeDocument/2006/relationships/hyperlink" Target="https://www.mass.gov/lists/risk-assessment-information" TargetMode="External"/><Relationship Id="rId30" Type="http://schemas.openxmlformats.org/officeDocument/2006/relationships/hyperlink" Target="https://cfpub.epa.gov/ncea/risk/recordisplay.cfm?deid=236252%20" TargetMode="External"/><Relationship Id="rId35" Type="http://schemas.openxmlformats.org/officeDocument/2006/relationships/header" Target="header7.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B414-A6A0-484E-9236-B16B2215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7929</Words>
  <Characters>45197</Characters>
  <Application>Microsoft Office Word</Application>
  <DocSecurity>0</DocSecurity>
  <Lines>376</Lines>
  <Paragraphs>106</Paragraphs>
  <ScaleCrop>false</ScaleCrop>
  <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2021-12-03T21:55:00Z</dcterms:created>
  <dcterms:modified xsi:type="dcterms:W3CDTF">2021-12-03T21:58:00Z</dcterms:modified>
</cp:coreProperties>
</file>