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78945143"/>
        <w:docPartObj>
          <w:docPartGallery w:val="Cover Pages"/>
          <w:docPartUnique/>
        </w:docPartObj>
      </w:sdtPr>
      <w:sdtEndPr/>
      <w:sdtContent>
        <w:p w14:paraId="01FE5C0D" w14:textId="77777777" w:rsidR="001C0B76" w:rsidRDefault="001C0B76"/>
        <w:p w14:paraId="3D92E2F3" w14:textId="7AC5C901" w:rsidR="001C0B76" w:rsidRDefault="003C1B25" w:rsidP="007B4CDA">
          <w:pPr>
            <w:spacing w:after="0" w:line="240" w:lineRule="auto"/>
            <w:rPr>
              <w:b/>
              <w:sz w:val="32"/>
              <w:szCs w:val="32"/>
            </w:rPr>
          </w:pPr>
          <w:r>
            <w:rPr>
              <w:noProof/>
            </w:rPr>
            <mc:AlternateContent>
              <mc:Choice Requires="wps">
                <w:drawing>
                  <wp:anchor distT="45720" distB="45720" distL="114300" distR="114300" simplePos="0" relativeHeight="251658242" behindDoc="0" locked="0" layoutInCell="1" allowOverlap="1" wp14:anchorId="16B65798" wp14:editId="2FF83EFD">
                    <wp:simplePos x="0" y="0"/>
                    <wp:positionH relativeFrom="margin">
                      <wp:posOffset>1606550</wp:posOffset>
                    </wp:positionH>
                    <wp:positionV relativeFrom="paragraph">
                      <wp:posOffset>2308860</wp:posOffset>
                    </wp:positionV>
                    <wp:extent cx="5390515" cy="4503420"/>
                    <wp:effectExtent l="0" t="0" r="0" b="0"/>
                    <wp:wrapSquare wrapText="bothSides"/>
                    <wp:docPr id="12871747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4503420"/>
                            </a:xfrm>
                            <a:prstGeom prst="rect">
                              <a:avLst/>
                            </a:prstGeom>
                            <a:solidFill>
                              <a:srgbClr val="FFFFFF"/>
                            </a:solidFill>
                            <a:ln w="9525">
                              <a:noFill/>
                              <a:miter lim="800000"/>
                              <a:headEnd/>
                              <a:tailEnd/>
                            </a:ln>
                          </wps:spPr>
                          <wps:txbx>
                            <w:txbxContent>
                              <w:p w14:paraId="0FE62971" w14:textId="241D71D0" w:rsidR="00A5595C" w:rsidRPr="00A5595C" w:rsidRDefault="00A5595C" w:rsidP="007B4CDA">
                                <w:pPr>
                                  <w:spacing w:after="0" w:line="240" w:lineRule="auto"/>
                                  <w:rPr>
                                    <w:rFonts w:ascii="Verdana" w:hAnsi="Verdana"/>
                                    <w:color w:val="002060"/>
                                    <w:sz w:val="28"/>
                                    <w:szCs w:val="28"/>
                                  </w:rPr>
                                </w:pPr>
                                <w:r w:rsidRPr="00A5595C">
                                  <w:rPr>
                                    <w:rFonts w:ascii="Verdana" w:hAnsi="Verdana"/>
                                    <w:color w:val="002060"/>
                                    <w:sz w:val="28"/>
                                    <w:szCs w:val="28"/>
                                  </w:rPr>
                                  <w:t xml:space="preserve">DRAFT </w:t>
                                </w:r>
                                <w:r w:rsidR="000D3483">
                                  <w:rPr>
                                    <w:rFonts w:ascii="Verdana" w:hAnsi="Verdana"/>
                                    <w:color w:val="002060"/>
                                    <w:sz w:val="28"/>
                                    <w:szCs w:val="28"/>
                                  </w:rPr>
                                  <w:t xml:space="preserve">v. </w:t>
                                </w:r>
                                <w:r w:rsidR="00D95DDE">
                                  <w:rPr>
                                    <w:rFonts w:ascii="Verdana" w:hAnsi="Verdana"/>
                                    <w:color w:val="002060"/>
                                    <w:sz w:val="28"/>
                                    <w:szCs w:val="28"/>
                                  </w:rPr>
                                  <w:t>2</w:t>
                                </w:r>
                                <w:r w:rsidR="000D3483">
                                  <w:rPr>
                                    <w:rFonts w:ascii="Verdana" w:hAnsi="Verdana"/>
                                    <w:color w:val="002060"/>
                                    <w:sz w:val="28"/>
                                    <w:szCs w:val="28"/>
                                  </w:rPr>
                                  <w:t>.0</w:t>
                                </w:r>
                              </w:p>
                              <w:p w14:paraId="5BDA8178" w14:textId="77777777" w:rsidR="00A5595C" w:rsidRPr="00A5595C" w:rsidRDefault="00A5595C" w:rsidP="007B4CDA">
                                <w:pPr>
                                  <w:spacing w:after="0" w:line="240" w:lineRule="auto"/>
                                  <w:rPr>
                                    <w:rFonts w:ascii="Verdana" w:hAnsi="Verdana"/>
                                    <w:color w:val="002060"/>
                                    <w:sz w:val="28"/>
                                    <w:szCs w:val="28"/>
                                  </w:rPr>
                                </w:pPr>
                              </w:p>
                              <w:p w14:paraId="0E39C79E" w14:textId="0BC20E0D" w:rsidR="00A5595C" w:rsidRPr="00A5595C" w:rsidRDefault="003F232C" w:rsidP="007B4CDA">
                                <w:pPr>
                                  <w:spacing w:after="0" w:line="240" w:lineRule="auto"/>
                                  <w:rPr>
                                    <w:rFonts w:ascii="Verdana" w:hAnsi="Verdana"/>
                                    <w:b/>
                                    <w:bCs/>
                                    <w:color w:val="002060"/>
                                    <w:sz w:val="28"/>
                                    <w:szCs w:val="28"/>
                                  </w:rPr>
                                </w:pPr>
                                <w:proofErr w:type="gramStart"/>
                                <w:r>
                                  <w:rPr>
                                    <w:rFonts w:ascii="Verdana" w:hAnsi="Verdana"/>
                                    <w:b/>
                                    <w:bCs/>
                                    <w:color w:val="002060"/>
                                    <w:sz w:val="28"/>
                                    <w:szCs w:val="28"/>
                                  </w:rPr>
                                  <w:t>March</w:t>
                                </w:r>
                                <w:r w:rsidR="00A5595C" w:rsidRPr="00A5595C">
                                  <w:rPr>
                                    <w:rFonts w:ascii="Verdana" w:hAnsi="Verdana"/>
                                    <w:b/>
                                    <w:bCs/>
                                    <w:color w:val="002060"/>
                                    <w:sz w:val="28"/>
                                    <w:szCs w:val="28"/>
                                  </w:rPr>
                                  <w:t>,</w:t>
                                </w:r>
                                <w:proofErr w:type="gramEnd"/>
                                <w:r w:rsidR="00A5595C" w:rsidRPr="00A5595C">
                                  <w:rPr>
                                    <w:rFonts w:ascii="Verdana" w:hAnsi="Verdana"/>
                                    <w:b/>
                                    <w:bCs/>
                                    <w:color w:val="002060"/>
                                    <w:sz w:val="28"/>
                                    <w:szCs w:val="28"/>
                                  </w:rPr>
                                  <w:t xml:space="preserve"> </w:t>
                                </w:r>
                                <w:r w:rsidR="00D95DDE" w:rsidRPr="00A5595C">
                                  <w:rPr>
                                    <w:rFonts w:ascii="Verdana" w:hAnsi="Verdana"/>
                                    <w:b/>
                                    <w:bCs/>
                                    <w:color w:val="002060"/>
                                    <w:sz w:val="28"/>
                                    <w:szCs w:val="28"/>
                                  </w:rPr>
                                  <w:t>202</w:t>
                                </w:r>
                                <w:r w:rsidR="00852811">
                                  <w:rPr>
                                    <w:rFonts w:ascii="Verdana" w:hAnsi="Verdana"/>
                                    <w:b/>
                                    <w:bCs/>
                                    <w:color w:val="002060"/>
                                    <w:sz w:val="28"/>
                                    <w:szCs w:val="28"/>
                                  </w:rPr>
                                  <w:t>3</w:t>
                                </w:r>
                              </w:p>
                              <w:p w14:paraId="44140324" w14:textId="68A5C610" w:rsidR="00A5595C" w:rsidRDefault="00A5595C" w:rsidP="007B4CDA">
                                <w:pPr>
                                  <w:spacing w:after="0" w:line="240" w:lineRule="auto"/>
                                  <w:rPr>
                                    <w:rFonts w:ascii="Verdana" w:hAnsi="Verdana"/>
                                    <w:color w:val="002060"/>
                                    <w:sz w:val="24"/>
                                    <w:szCs w:val="24"/>
                                  </w:rPr>
                                </w:pPr>
                              </w:p>
                              <w:p w14:paraId="3AAC3C1D" w14:textId="77777777" w:rsidR="00A5595C" w:rsidRDefault="00A5595C" w:rsidP="007B4CDA">
                                <w:pPr>
                                  <w:spacing w:after="0" w:line="240" w:lineRule="auto"/>
                                  <w:rPr>
                                    <w:rFonts w:ascii="Verdana" w:hAnsi="Verdana"/>
                                    <w:color w:val="002060"/>
                                    <w:sz w:val="24"/>
                                    <w:szCs w:val="24"/>
                                  </w:rPr>
                                </w:pPr>
                              </w:p>
                              <w:p w14:paraId="1B11DFA5" w14:textId="17BD6DA6" w:rsidR="00A5595C" w:rsidRDefault="00A5595C" w:rsidP="007B4CDA">
                                <w:pPr>
                                  <w:spacing w:after="0" w:line="240" w:lineRule="auto"/>
                                  <w:rPr>
                                    <w:rFonts w:ascii="Verdana" w:hAnsi="Verdana"/>
                                    <w:color w:val="002060"/>
                                    <w:sz w:val="24"/>
                                    <w:szCs w:val="24"/>
                                  </w:rPr>
                                </w:pPr>
                              </w:p>
                              <w:p w14:paraId="59242F54" w14:textId="28A3BE0B" w:rsidR="00A5595C" w:rsidRDefault="00A5595C" w:rsidP="007B4CDA">
                                <w:pPr>
                                  <w:spacing w:after="0" w:line="240" w:lineRule="auto"/>
                                  <w:rPr>
                                    <w:rFonts w:ascii="Verdana" w:hAnsi="Verdana"/>
                                    <w:color w:val="002060"/>
                                    <w:sz w:val="24"/>
                                    <w:szCs w:val="24"/>
                                  </w:rPr>
                                </w:pPr>
                              </w:p>
                              <w:p w14:paraId="2CBE6B76" w14:textId="202D61F0" w:rsidR="00A5595C" w:rsidRDefault="00A5595C" w:rsidP="007B4CDA">
                                <w:pPr>
                                  <w:spacing w:after="0" w:line="240" w:lineRule="auto"/>
                                  <w:rPr>
                                    <w:rFonts w:ascii="Verdana" w:hAnsi="Verdana"/>
                                    <w:color w:val="002060"/>
                                    <w:sz w:val="24"/>
                                    <w:szCs w:val="24"/>
                                  </w:rPr>
                                </w:pPr>
                              </w:p>
                              <w:p w14:paraId="08130663" w14:textId="5CE8C168" w:rsidR="00A5595C" w:rsidRDefault="00A5595C" w:rsidP="007B4CDA">
                                <w:pPr>
                                  <w:spacing w:after="0" w:line="240" w:lineRule="auto"/>
                                  <w:rPr>
                                    <w:rFonts w:ascii="Verdana" w:hAnsi="Verdana"/>
                                    <w:color w:val="002060"/>
                                    <w:sz w:val="24"/>
                                    <w:szCs w:val="24"/>
                                  </w:rPr>
                                </w:pPr>
                              </w:p>
                              <w:p w14:paraId="68508A85" w14:textId="74DF050D" w:rsidR="00A5595C" w:rsidRDefault="00A5595C" w:rsidP="007B4CDA">
                                <w:pPr>
                                  <w:spacing w:after="0" w:line="240" w:lineRule="auto"/>
                                  <w:rPr>
                                    <w:rFonts w:ascii="Verdana" w:hAnsi="Verdana"/>
                                    <w:color w:val="002060"/>
                                    <w:sz w:val="24"/>
                                    <w:szCs w:val="24"/>
                                  </w:rPr>
                                </w:pPr>
                              </w:p>
                              <w:p w14:paraId="2AD1C3C7" w14:textId="4C506D1A" w:rsidR="00A5595C" w:rsidRDefault="00A5595C" w:rsidP="007B4CDA">
                                <w:pPr>
                                  <w:spacing w:after="0" w:line="240" w:lineRule="auto"/>
                                  <w:rPr>
                                    <w:rFonts w:ascii="Verdana" w:hAnsi="Verdana"/>
                                    <w:color w:val="002060"/>
                                    <w:sz w:val="24"/>
                                    <w:szCs w:val="24"/>
                                  </w:rPr>
                                </w:pPr>
                              </w:p>
                              <w:p w14:paraId="41DD7CFD" w14:textId="6910C927" w:rsidR="00A5595C" w:rsidRDefault="00A5595C" w:rsidP="007B4CDA">
                                <w:pPr>
                                  <w:spacing w:after="0" w:line="240" w:lineRule="auto"/>
                                  <w:rPr>
                                    <w:rFonts w:ascii="Verdana" w:hAnsi="Verdana"/>
                                    <w:color w:val="002060"/>
                                    <w:sz w:val="24"/>
                                    <w:szCs w:val="24"/>
                                  </w:rPr>
                                </w:pPr>
                              </w:p>
                              <w:p w14:paraId="0E6FE154" w14:textId="7B0A06EB" w:rsidR="009500B2" w:rsidRPr="002C16A2" w:rsidRDefault="00A5595C" w:rsidP="007B4CDA">
                                <w:pPr>
                                  <w:spacing w:after="0" w:line="240" w:lineRule="auto"/>
                                  <w:rPr>
                                    <w:rFonts w:ascii="Verdana" w:hAnsi="Verdana"/>
                                    <w:sz w:val="28"/>
                                    <w:szCs w:val="28"/>
                                  </w:rPr>
                                </w:pPr>
                                <w:r w:rsidRPr="002C16A2">
                                  <w:rPr>
                                    <w:rFonts w:ascii="Verdana" w:hAnsi="Verdana"/>
                                    <w:sz w:val="28"/>
                                    <w:szCs w:val="28"/>
                                  </w:rPr>
                                  <w:t>M</w:t>
                                </w:r>
                                <w:r w:rsidR="009500B2" w:rsidRPr="002C16A2">
                                  <w:rPr>
                                    <w:rFonts w:ascii="Verdana" w:hAnsi="Verdana"/>
                                    <w:sz w:val="28"/>
                                    <w:szCs w:val="28"/>
                                  </w:rPr>
                                  <w:t>assachusetts Department of Public Health</w:t>
                                </w:r>
                              </w:p>
                              <w:p w14:paraId="1D2198FC" w14:textId="76A76237" w:rsidR="009500B2" w:rsidRPr="002C16A2" w:rsidRDefault="009500B2" w:rsidP="007B4CDA">
                                <w:pPr>
                                  <w:spacing w:after="0" w:line="240" w:lineRule="auto"/>
                                  <w:rPr>
                                    <w:rFonts w:ascii="Verdana" w:hAnsi="Verdana"/>
                                    <w:sz w:val="28"/>
                                    <w:szCs w:val="28"/>
                                  </w:rPr>
                                </w:pPr>
                                <w:r w:rsidRPr="002C16A2">
                                  <w:rPr>
                                    <w:rFonts w:ascii="Verdana" w:hAnsi="Verdana"/>
                                    <w:sz w:val="28"/>
                                    <w:szCs w:val="28"/>
                                  </w:rPr>
                                  <w:t>Bureau of Environmental Health</w:t>
                                </w:r>
                              </w:p>
                              <w:p w14:paraId="4F074F3B" w14:textId="77777777" w:rsidR="0047239A" w:rsidRPr="002C16A2" w:rsidRDefault="009500B2" w:rsidP="007B4CDA">
                                <w:pPr>
                                  <w:rPr>
                                    <w:sz w:val="24"/>
                                    <w:szCs w:val="24"/>
                                  </w:rPr>
                                </w:pPr>
                                <w:r w:rsidRPr="002C16A2">
                                  <w:rPr>
                                    <w:rFonts w:ascii="Verdana" w:hAnsi="Verdana"/>
                                    <w:sz w:val="28"/>
                                    <w:szCs w:val="28"/>
                                  </w:rPr>
                                  <w:t>Environmental Toxicology Program</w:t>
                                </w:r>
                                <w:r w:rsidR="0047239A" w:rsidRPr="002C16A2">
                                  <w:rPr>
                                    <w:sz w:val="24"/>
                                    <w:szCs w:val="24"/>
                                  </w:rPr>
                                  <w:t xml:space="preserve"> </w:t>
                                </w:r>
                              </w:p>
                              <w:p w14:paraId="05E168A4" w14:textId="2285E0F3" w:rsidR="0047239A" w:rsidRPr="00A5595C" w:rsidRDefault="0047239A" w:rsidP="007B4CDA">
                                <w:pPr>
                                  <w:rPr>
                                    <w:rFonts w:ascii="Verdana" w:hAnsi="Verdana"/>
                                    <w:b/>
                                    <w:bCs/>
                                    <w:color w:val="002060"/>
                                    <w:sz w:val="28"/>
                                    <w:szCs w:val="28"/>
                                  </w:rPr>
                                </w:pPr>
                                <w:r w:rsidRPr="00A5595C">
                                  <w:rPr>
                                    <w:rFonts w:ascii="Verdana" w:hAnsi="Verdana"/>
                                    <w:b/>
                                    <w:bCs/>
                                    <w:color w:val="002060"/>
                                    <w:sz w:val="28"/>
                                    <w:szCs w:val="28"/>
                                  </w:rPr>
                                  <w:t xml:space="preserve">DPHToxicology@mass.gov </w:t>
                                </w:r>
                                <w:r w:rsidRPr="000D3483">
                                  <w:rPr>
                                    <w:rFonts w:ascii="Verdana" w:hAnsi="Verdana"/>
                                    <w:b/>
                                    <w:bCs/>
                                    <w:color w:val="808080" w:themeColor="background1" w:themeShade="80"/>
                                    <w:sz w:val="28"/>
                                    <w:szCs w:val="28"/>
                                  </w:rPr>
                                  <w:t>|</w:t>
                                </w:r>
                                <w:r w:rsidR="009C5279">
                                  <w:rPr>
                                    <w:rFonts w:ascii="Verdana" w:hAnsi="Verdana"/>
                                    <w:b/>
                                    <w:bCs/>
                                    <w:color w:val="808080" w:themeColor="background1" w:themeShade="80"/>
                                    <w:sz w:val="28"/>
                                    <w:szCs w:val="28"/>
                                  </w:rPr>
                                  <w:t xml:space="preserve"> </w:t>
                                </w:r>
                                <w:r w:rsidRPr="00A5595C">
                                  <w:rPr>
                                    <w:rFonts w:ascii="Verdana" w:hAnsi="Verdana"/>
                                    <w:b/>
                                    <w:bCs/>
                                    <w:color w:val="002060"/>
                                    <w:sz w:val="28"/>
                                    <w:szCs w:val="28"/>
                                  </w:rPr>
                                  <w:t>www.mass.gov/dph</w:t>
                                </w:r>
                              </w:p>
                              <w:p w14:paraId="5B4798B1" w14:textId="60B61F98" w:rsidR="0047239A" w:rsidRPr="0047239A" w:rsidRDefault="0047239A" w:rsidP="007B4CDA">
                                <w:pPr>
                                  <w:rPr>
                                    <w:rFonts w:ascii="Verdana" w:hAnsi="Verdana"/>
                                    <w:b/>
                                    <w:bCs/>
                                    <w:color w:val="002060"/>
                                    <w:sz w:val="24"/>
                                    <w:szCs w:val="24"/>
                                  </w:rPr>
                                </w:pPr>
                              </w:p>
                              <w:p w14:paraId="45E6F24B" w14:textId="77777777" w:rsidR="0047239A" w:rsidRPr="007B4CDA" w:rsidRDefault="0047239A" w:rsidP="007B4CDA">
                                <w:pPr>
                                  <w:rPr>
                                    <w:rFonts w:ascii="Verdana" w:hAnsi="Verdan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5798" id="_x0000_t202" coordsize="21600,21600" o:spt="202" path="m,l,21600r21600,l21600,xe">
                    <v:stroke joinstyle="miter"/>
                    <v:path gradientshapeok="t" o:connecttype="rect"/>
                  </v:shapetype>
                  <v:shape id="Text Box 3" o:spid="_x0000_s1026" type="#_x0000_t202" style="position:absolute;margin-left:126.5pt;margin-top:181.8pt;width:424.45pt;height:354.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" stroked="f">
                    <v:textbox>
                      <w:txbxContent>
                        <w:p w14:paraId="0FE62971" w14:textId="241D71D0" w:rsidR="00A5595C" w:rsidRPr="00A5595C" w:rsidRDefault="00A5595C" w:rsidP="007B4CDA">
                          <w:pPr>
                            <w:spacing w:after="0" w:line="240" w:lineRule="auto"/>
                            <w:rPr>
                              <w:rFonts w:ascii="Verdana" w:hAnsi="Verdana"/>
                              <w:color w:val="002060"/>
                              <w:sz w:val="28"/>
                              <w:szCs w:val="28"/>
                            </w:rPr>
                          </w:pPr>
                          <w:r w:rsidRPr="00A5595C">
                            <w:rPr>
                              <w:rFonts w:ascii="Verdana" w:hAnsi="Verdana"/>
                              <w:color w:val="002060"/>
                              <w:sz w:val="28"/>
                              <w:szCs w:val="28"/>
                            </w:rPr>
                            <w:t xml:space="preserve">DRAFT </w:t>
                          </w:r>
                          <w:r w:rsidR="000D3483">
                            <w:rPr>
                              <w:rFonts w:ascii="Verdana" w:hAnsi="Verdana"/>
                              <w:color w:val="002060"/>
                              <w:sz w:val="28"/>
                              <w:szCs w:val="28"/>
                            </w:rPr>
                            <w:t xml:space="preserve">v. </w:t>
                          </w:r>
                          <w:r w:rsidR="00D95DDE">
                            <w:rPr>
                              <w:rFonts w:ascii="Verdana" w:hAnsi="Verdana"/>
                              <w:color w:val="002060"/>
                              <w:sz w:val="28"/>
                              <w:szCs w:val="28"/>
                            </w:rPr>
                            <w:t>2</w:t>
                          </w:r>
                          <w:r w:rsidR="000D3483">
                            <w:rPr>
                              <w:rFonts w:ascii="Verdana" w:hAnsi="Verdana"/>
                              <w:color w:val="002060"/>
                              <w:sz w:val="28"/>
                              <w:szCs w:val="28"/>
                            </w:rPr>
                            <w:t>.0</w:t>
                          </w:r>
                        </w:p>
                        <w:p w14:paraId="5BDA8178" w14:textId="77777777" w:rsidR="00A5595C" w:rsidRPr="00A5595C" w:rsidRDefault="00A5595C" w:rsidP="007B4CDA">
                          <w:pPr>
                            <w:spacing w:after="0" w:line="240" w:lineRule="auto"/>
                            <w:rPr>
                              <w:rFonts w:ascii="Verdana" w:hAnsi="Verdana"/>
                              <w:color w:val="002060"/>
                              <w:sz w:val="28"/>
                              <w:szCs w:val="28"/>
                            </w:rPr>
                          </w:pPr>
                        </w:p>
                        <w:p w14:paraId="0E39C79E" w14:textId="0BC20E0D" w:rsidR="00A5595C" w:rsidRPr="00A5595C" w:rsidRDefault="003F232C" w:rsidP="007B4CDA">
                          <w:pPr>
                            <w:spacing w:after="0" w:line="240" w:lineRule="auto"/>
                            <w:rPr>
                              <w:rFonts w:ascii="Verdana" w:hAnsi="Verdana"/>
                              <w:b/>
                              <w:bCs/>
                              <w:color w:val="002060"/>
                              <w:sz w:val="28"/>
                              <w:szCs w:val="28"/>
                            </w:rPr>
                          </w:pPr>
                          <w:proofErr w:type="gramStart"/>
                          <w:r>
                            <w:rPr>
                              <w:rFonts w:ascii="Verdana" w:hAnsi="Verdana"/>
                              <w:b/>
                              <w:bCs/>
                              <w:color w:val="002060"/>
                              <w:sz w:val="28"/>
                              <w:szCs w:val="28"/>
                            </w:rPr>
                            <w:t>March</w:t>
                          </w:r>
                          <w:r w:rsidR="00A5595C" w:rsidRPr="00A5595C">
                            <w:rPr>
                              <w:rFonts w:ascii="Verdana" w:hAnsi="Verdana"/>
                              <w:b/>
                              <w:bCs/>
                              <w:color w:val="002060"/>
                              <w:sz w:val="28"/>
                              <w:szCs w:val="28"/>
                            </w:rPr>
                            <w:t>,</w:t>
                          </w:r>
                          <w:proofErr w:type="gramEnd"/>
                          <w:r w:rsidR="00A5595C" w:rsidRPr="00A5595C">
                            <w:rPr>
                              <w:rFonts w:ascii="Verdana" w:hAnsi="Verdana"/>
                              <w:b/>
                              <w:bCs/>
                              <w:color w:val="002060"/>
                              <w:sz w:val="28"/>
                              <w:szCs w:val="28"/>
                            </w:rPr>
                            <w:t xml:space="preserve"> </w:t>
                          </w:r>
                          <w:r w:rsidR="00D95DDE" w:rsidRPr="00A5595C">
                            <w:rPr>
                              <w:rFonts w:ascii="Verdana" w:hAnsi="Verdana"/>
                              <w:b/>
                              <w:bCs/>
                              <w:color w:val="002060"/>
                              <w:sz w:val="28"/>
                              <w:szCs w:val="28"/>
                            </w:rPr>
                            <w:t>202</w:t>
                          </w:r>
                          <w:r w:rsidR="00852811">
                            <w:rPr>
                              <w:rFonts w:ascii="Verdana" w:hAnsi="Verdana"/>
                              <w:b/>
                              <w:bCs/>
                              <w:color w:val="002060"/>
                              <w:sz w:val="28"/>
                              <w:szCs w:val="28"/>
                            </w:rPr>
                            <w:t>3</w:t>
                          </w:r>
                        </w:p>
                        <w:p w14:paraId="44140324" w14:textId="68A5C610" w:rsidR="00A5595C" w:rsidRDefault="00A5595C" w:rsidP="007B4CDA">
                          <w:pPr>
                            <w:spacing w:after="0" w:line="240" w:lineRule="auto"/>
                            <w:rPr>
                              <w:rFonts w:ascii="Verdana" w:hAnsi="Verdana"/>
                              <w:color w:val="002060"/>
                              <w:sz w:val="24"/>
                              <w:szCs w:val="24"/>
                            </w:rPr>
                          </w:pPr>
                        </w:p>
                        <w:p w14:paraId="3AAC3C1D" w14:textId="77777777" w:rsidR="00A5595C" w:rsidRDefault="00A5595C" w:rsidP="007B4CDA">
                          <w:pPr>
                            <w:spacing w:after="0" w:line="240" w:lineRule="auto"/>
                            <w:rPr>
                              <w:rFonts w:ascii="Verdana" w:hAnsi="Verdana"/>
                              <w:color w:val="002060"/>
                              <w:sz w:val="24"/>
                              <w:szCs w:val="24"/>
                            </w:rPr>
                          </w:pPr>
                        </w:p>
                        <w:p w14:paraId="1B11DFA5" w14:textId="17BD6DA6" w:rsidR="00A5595C" w:rsidRDefault="00A5595C" w:rsidP="007B4CDA">
                          <w:pPr>
                            <w:spacing w:after="0" w:line="240" w:lineRule="auto"/>
                            <w:rPr>
                              <w:rFonts w:ascii="Verdana" w:hAnsi="Verdana"/>
                              <w:color w:val="002060"/>
                              <w:sz w:val="24"/>
                              <w:szCs w:val="24"/>
                            </w:rPr>
                          </w:pPr>
                        </w:p>
                        <w:p w14:paraId="59242F54" w14:textId="28A3BE0B" w:rsidR="00A5595C" w:rsidRDefault="00A5595C" w:rsidP="007B4CDA">
                          <w:pPr>
                            <w:spacing w:after="0" w:line="240" w:lineRule="auto"/>
                            <w:rPr>
                              <w:rFonts w:ascii="Verdana" w:hAnsi="Verdana"/>
                              <w:color w:val="002060"/>
                              <w:sz w:val="24"/>
                              <w:szCs w:val="24"/>
                            </w:rPr>
                          </w:pPr>
                        </w:p>
                        <w:p w14:paraId="2CBE6B76" w14:textId="202D61F0" w:rsidR="00A5595C" w:rsidRDefault="00A5595C" w:rsidP="007B4CDA">
                          <w:pPr>
                            <w:spacing w:after="0" w:line="240" w:lineRule="auto"/>
                            <w:rPr>
                              <w:rFonts w:ascii="Verdana" w:hAnsi="Verdana"/>
                              <w:color w:val="002060"/>
                              <w:sz w:val="24"/>
                              <w:szCs w:val="24"/>
                            </w:rPr>
                          </w:pPr>
                        </w:p>
                        <w:p w14:paraId="08130663" w14:textId="5CE8C168" w:rsidR="00A5595C" w:rsidRDefault="00A5595C" w:rsidP="007B4CDA">
                          <w:pPr>
                            <w:spacing w:after="0" w:line="240" w:lineRule="auto"/>
                            <w:rPr>
                              <w:rFonts w:ascii="Verdana" w:hAnsi="Verdana"/>
                              <w:color w:val="002060"/>
                              <w:sz w:val="24"/>
                              <w:szCs w:val="24"/>
                            </w:rPr>
                          </w:pPr>
                        </w:p>
                        <w:p w14:paraId="68508A85" w14:textId="74DF050D" w:rsidR="00A5595C" w:rsidRDefault="00A5595C" w:rsidP="007B4CDA">
                          <w:pPr>
                            <w:spacing w:after="0" w:line="240" w:lineRule="auto"/>
                            <w:rPr>
                              <w:rFonts w:ascii="Verdana" w:hAnsi="Verdana"/>
                              <w:color w:val="002060"/>
                              <w:sz w:val="24"/>
                              <w:szCs w:val="24"/>
                            </w:rPr>
                          </w:pPr>
                        </w:p>
                        <w:p w14:paraId="2AD1C3C7" w14:textId="4C506D1A" w:rsidR="00A5595C" w:rsidRDefault="00A5595C" w:rsidP="007B4CDA">
                          <w:pPr>
                            <w:spacing w:after="0" w:line="240" w:lineRule="auto"/>
                            <w:rPr>
                              <w:rFonts w:ascii="Verdana" w:hAnsi="Verdana"/>
                              <w:color w:val="002060"/>
                              <w:sz w:val="24"/>
                              <w:szCs w:val="24"/>
                            </w:rPr>
                          </w:pPr>
                        </w:p>
                        <w:p w14:paraId="41DD7CFD" w14:textId="6910C927" w:rsidR="00A5595C" w:rsidRDefault="00A5595C" w:rsidP="007B4CDA">
                          <w:pPr>
                            <w:spacing w:after="0" w:line="240" w:lineRule="auto"/>
                            <w:rPr>
                              <w:rFonts w:ascii="Verdana" w:hAnsi="Verdana"/>
                              <w:color w:val="002060"/>
                              <w:sz w:val="24"/>
                              <w:szCs w:val="24"/>
                            </w:rPr>
                          </w:pPr>
                        </w:p>
                        <w:p w14:paraId="0E6FE154" w14:textId="7B0A06EB" w:rsidR="009500B2" w:rsidRPr="002C16A2" w:rsidRDefault="00A5595C" w:rsidP="007B4CDA">
                          <w:pPr>
                            <w:spacing w:after="0" w:line="240" w:lineRule="auto"/>
                            <w:rPr>
                              <w:rFonts w:ascii="Verdana" w:hAnsi="Verdana"/>
                              <w:sz w:val="28"/>
                              <w:szCs w:val="28"/>
                            </w:rPr>
                          </w:pPr>
                          <w:r w:rsidRPr="002C16A2">
                            <w:rPr>
                              <w:rFonts w:ascii="Verdana" w:hAnsi="Verdana"/>
                              <w:sz w:val="28"/>
                              <w:szCs w:val="28"/>
                            </w:rPr>
                            <w:t>M</w:t>
                          </w:r>
                          <w:r w:rsidR="009500B2" w:rsidRPr="002C16A2">
                            <w:rPr>
                              <w:rFonts w:ascii="Verdana" w:hAnsi="Verdana"/>
                              <w:sz w:val="28"/>
                              <w:szCs w:val="28"/>
                            </w:rPr>
                            <w:t>assachusetts Department of Public Health</w:t>
                          </w:r>
                        </w:p>
                        <w:p w14:paraId="1D2198FC" w14:textId="76A76237" w:rsidR="009500B2" w:rsidRPr="002C16A2" w:rsidRDefault="009500B2" w:rsidP="007B4CDA">
                          <w:pPr>
                            <w:spacing w:after="0" w:line="240" w:lineRule="auto"/>
                            <w:rPr>
                              <w:rFonts w:ascii="Verdana" w:hAnsi="Verdana"/>
                              <w:sz w:val="28"/>
                              <w:szCs w:val="28"/>
                            </w:rPr>
                          </w:pPr>
                          <w:r w:rsidRPr="002C16A2">
                            <w:rPr>
                              <w:rFonts w:ascii="Verdana" w:hAnsi="Verdana"/>
                              <w:sz w:val="28"/>
                              <w:szCs w:val="28"/>
                            </w:rPr>
                            <w:t>Bureau of Environmental Health</w:t>
                          </w:r>
                        </w:p>
                        <w:p w14:paraId="4F074F3B" w14:textId="77777777" w:rsidR="0047239A" w:rsidRPr="002C16A2" w:rsidRDefault="009500B2" w:rsidP="007B4CDA">
                          <w:pPr>
                            <w:rPr>
                              <w:sz w:val="24"/>
                              <w:szCs w:val="24"/>
                            </w:rPr>
                          </w:pPr>
                          <w:r w:rsidRPr="002C16A2">
                            <w:rPr>
                              <w:rFonts w:ascii="Verdana" w:hAnsi="Verdana"/>
                              <w:sz w:val="28"/>
                              <w:szCs w:val="28"/>
                            </w:rPr>
                            <w:t>Environmental Toxicology Program</w:t>
                          </w:r>
                          <w:r w:rsidR="0047239A" w:rsidRPr="002C16A2">
                            <w:rPr>
                              <w:sz w:val="24"/>
                              <w:szCs w:val="24"/>
                            </w:rPr>
                            <w:t xml:space="preserve"> </w:t>
                          </w:r>
                        </w:p>
                        <w:p w14:paraId="05E168A4" w14:textId="2285E0F3" w:rsidR="0047239A" w:rsidRPr="00A5595C" w:rsidRDefault="0047239A" w:rsidP="007B4CDA">
                          <w:pPr>
                            <w:rPr>
                              <w:rFonts w:ascii="Verdana" w:hAnsi="Verdana"/>
                              <w:b/>
                              <w:bCs/>
                              <w:color w:val="002060"/>
                              <w:sz w:val="28"/>
                              <w:szCs w:val="28"/>
                            </w:rPr>
                          </w:pPr>
                          <w:r w:rsidRPr="00A5595C">
                            <w:rPr>
                              <w:rFonts w:ascii="Verdana" w:hAnsi="Verdana"/>
                              <w:b/>
                              <w:bCs/>
                              <w:color w:val="002060"/>
                              <w:sz w:val="28"/>
                              <w:szCs w:val="28"/>
                            </w:rPr>
                            <w:t xml:space="preserve">DPHToxicology@mass.gov </w:t>
                          </w:r>
                          <w:r w:rsidRPr="000D3483">
                            <w:rPr>
                              <w:rFonts w:ascii="Verdana" w:hAnsi="Verdana"/>
                              <w:b/>
                              <w:bCs/>
                              <w:color w:val="808080" w:themeColor="background1" w:themeShade="80"/>
                              <w:sz w:val="28"/>
                              <w:szCs w:val="28"/>
                            </w:rPr>
                            <w:t>|</w:t>
                          </w:r>
                          <w:r w:rsidR="009C5279">
                            <w:rPr>
                              <w:rFonts w:ascii="Verdana" w:hAnsi="Verdana"/>
                              <w:b/>
                              <w:bCs/>
                              <w:color w:val="808080" w:themeColor="background1" w:themeShade="80"/>
                              <w:sz w:val="28"/>
                              <w:szCs w:val="28"/>
                            </w:rPr>
                            <w:t xml:space="preserve"> </w:t>
                          </w:r>
                          <w:r w:rsidRPr="00A5595C">
                            <w:rPr>
                              <w:rFonts w:ascii="Verdana" w:hAnsi="Verdana"/>
                              <w:b/>
                              <w:bCs/>
                              <w:color w:val="002060"/>
                              <w:sz w:val="28"/>
                              <w:szCs w:val="28"/>
                            </w:rPr>
                            <w:t>www.mass.gov/dph</w:t>
                          </w:r>
                        </w:p>
                        <w:p w14:paraId="5B4798B1" w14:textId="60B61F98" w:rsidR="0047239A" w:rsidRPr="0047239A" w:rsidRDefault="0047239A" w:rsidP="007B4CDA">
                          <w:pPr>
                            <w:rPr>
                              <w:rFonts w:ascii="Verdana" w:hAnsi="Verdana"/>
                              <w:b/>
                              <w:bCs/>
                              <w:color w:val="002060"/>
                              <w:sz w:val="24"/>
                              <w:szCs w:val="24"/>
                            </w:rPr>
                          </w:pPr>
                        </w:p>
                        <w:p w14:paraId="45E6F24B" w14:textId="77777777" w:rsidR="0047239A" w:rsidRPr="007B4CDA" w:rsidRDefault="0047239A" w:rsidP="007B4CDA">
                          <w:pPr>
                            <w:rPr>
                              <w:rFonts w:ascii="Verdana" w:hAnsi="Verdana"/>
                              <w:sz w:val="24"/>
                              <w:szCs w:val="24"/>
                            </w:rPr>
                          </w:pPr>
                        </w:p>
                      </w:txbxContent>
                    </v:textbox>
                    <w10:wrap type="square" anchorx="margin"/>
                  </v:shape>
                </w:pict>
              </mc:Fallback>
            </mc:AlternateContent>
          </w:r>
          <w:r>
            <w:rPr>
              <w:noProof/>
            </w:rPr>
            <mc:AlternateContent>
              <mc:Choice Requires="wps">
                <w:drawing>
                  <wp:anchor distT="0" distB="0" distL="114300" distR="114300" simplePos="0" relativeHeight="251658241" behindDoc="0" locked="0" layoutInCell="1" allowOverlap="1" wp14:anchorId="1565FE5D" wp14:editId="66A2B12A">
                    <wp:simplePos x="0" y="0"/>
                    <wp:positionH relativeFrom="margin">
                      <wp:posOffset>1628775</wp:posOffset>
                    </wp:positionH>
                    <wp:positionV relativeFrom="page">
                      <wp:posOffset>2430145</wp:posOffset>
                    </wp:positionV>
                    <wp:extent cx="5314950" cy="370205"/>
                    <wp:effectExtent l="0" t="0" r="0" b="0"/>
                    <wp:wrapNone/>
                    <wp:docPr id="81044345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14950" cy="37020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24B2EF" w14:textId="4E2EC518" w:rsidR="00A5595C" w:rsidRPr="00A5595C" w:rsidRDefault="00A5595C" w:rsidP="00A5595C">
                                <w:pPr>
                                  <w:pStyle w:val="NoSpacing"/>
                                  <w:spacing w:before="40" w:after="40"/>
                                  <w:rPr>
                                    <w:rFonts w:ascii="Verdana" w:hAnsi="Verdana"/>
                                    <w:b/>
                                    <w:bCs/>
                                    <w:color w:val="FFFFFF" w:themeColor="background1"/>
                                    <w:sz w:val="32"/>
                                    <w:szCs w:val="32"/>
                                  </w:rPr>
                                </w:pPr>
                                <w:r w:rsidRPr="00A5595C">
                                  <w:rPr>
                                    <w:rFonts w:ascii="Verdana" w:hAnsi="Verdana"/>
                                    <w:b/>
                                    <w:bCs/>
                                    <w:color w:val="FFFFFF" w:themeColor="background1"/>
                                    <w:sz w:val="32"/>
                                    <w:szCs w:val="32"/>
                                  </w:rPr>
                                  <w:t>Technical Support Document</w:t>
                                </w:r>
                              </w:p>
                              <w:p w14:paraId="0F7DEA2D" w14:textId="1CBDDF05" w:rsidR="009500B2" w:rsidRPr="0047239A" w:rsidRDefault="009500B2" w:rsidP="00470389">
                                <w:pPr>
                                  <w:pStyle w:val="NoSpacing"/>
                                  <w:rPr>
                                    <w:b/>
                                    <w:bCs/>
                                    <w:color w:val="FFFFFF" w:themeColor="background1"/>
                                    <w:sz w:val="28"/>
                                    <w:szCs w:val="28"/>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65FE5D" id="Rectangle 2" o:spid="_x0000_s1027" style="position:absolute;margin-left:128.25pt;margin-top:191.35pt;width:418.5pt;height:29.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" fillcolor="#243f60 [1604]" stroked="f" strokeweight="2pt">
                    <o:lock v:ext="edit" aspectratio="t"/>
                    <v:textbox inset="3.6pt,,3.6pt">
                      <w:txbxContent>
                        <w:p w14:paraId="5E24B2EF" w14:textId="4E2EC518" w:rsidR="00A5595C" w:rsidRPr="00A5595C" w:rsidRDefault="00A5595C" w:rsidP="00A5595C">
                          <w:pPr>
                            <w:pStyle w:val="NoSpacing"/>
                            <w:spacing w:before="40" w:after="40"/>
                            <w:rPr>
                              <w:rFonts w:ascii="Verdana" w:hAnsi="Verdana"/>
                              <w:b/>
                              <w:bCs/>
                              <w:color w:val="FFFFFF" w:themeColor="background1"/>
                              <w:sz w:val="32"/>
                              <w:szCs w:val="32"/>
                            </w:rPr>
                          </w:pPr>
                          <w:r w:rsidRPr="00A5595C">
                            <w:rPr>
                              <w:rFonts w:ascii="Verdana" w:hAnsi="Verdana"/>
                              <w:b/>
                              <w:bCs/>
                              <w:color w:val="FFFFFF" w:themeColor="background1"/>
                              <w:sz w:val="32"/>
                              <w:szCs w:val="32"/>
                            </w:rPr>
                            <w:t>Technical Support Document</w:t>
                          </w:r>
                        </w:p>
                        <w:p w14:paraId="0F7DEA2D" w14:textId="1CBDDF05" w:rsidR="009500B2" w:rsidRPr="0047239A" w:rsidRDefault="009500B2" w:rsidP="00470389">
                          <w:pPr>
                            <w:pStyle w:val="NoSpacing"/>
                            <w:rPr>
                              <w:b/>
                              <w:bCs/>
                              <w:color w:val="FFFFFF" w:themeColor="background1"/>
                              <w:sz w:val="28"/>
                              <w:szCs w:val="28"/>
                            </w:rPr>
                          </w:pPr>
                        </w:p>
                      </w:txbxContent>
                    </v:textbox>
                    <w10:wrap anchorx="margin" anchory="page"/>
                  </v:rect>
                </w:pict>
              </mc:Fallback>
            </mc:AlternateContent>
          </w:r>
          <w:r>
            <w:rPr>
              <w:noProof/>
            </w:rPr>
            <mc:AlternateContent>
              <mc:Choice Requires="wps">
                <w:drawing>
                  <wp:anchor distT="0" distB="0" distL="182880" distR="182880" simplePos="0" relativeHeight="251658240" behindDoc="0" locked="0" layoutInCell="1" allowOverlap="1" wp14:anchorId="244CC894" wp14:editId="2083EBBD">
                    <wp:simplePos x="0" y="0"/>
                    <wp:positionH relativeFrom="margin">
                      <wp:posOffset>1600200</wp:posOffset>
                    </wp:positionH>
                    <wp:positionV relativeFrom="page">
                      <wp:posOffset>1114425</wp:posOffset>
                    </wp:positionV>
                    <wp:extent cx="5572125" cy="2743200"/>
                    <wp:effectExtent l="0" t="0" r="0" b="0"/>
                    <wp:wrapSquare wrapText="bothSides"/>
                    <wp:docPr id="1892196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274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147F5" w14:textId="470EACAA" w:rsidR="009500B2" w:rsidRPr="00A5595C" w:rsidRDefault="009500B2" w:rsidP="007B4CDA">
                                <w:pPr>
                                  <w:pStyle w:val="NoSpacing"/>
                                  <w:spacing w:line="216" w:lineRule="auto"/>
                                  <w:rPr>
                                    <w:rFonts w:ascii="Verdana" w:hAnsi="Verdana"/>
                                    <w:b/>
                                    <w:bCs/>
                                    <w:color w:val="244061" w:themeColor="accent1" w:themeShade="80"/>
                                    <w:sz w:val="56"/>
                                    <w:szCs w:val="56"/>
                                  </w:rPr>
                                </w:pPr>
                                <w:r w:rsidRPr="00A5595C">
                                  <w:rPr>
                                    <w:rFonts w:ascii="Verdana" w:hAnsi="Verdana"/>
                                    <w:b/>
                                    <w:bCs/>
                                    <w:color w:val="244061" w:themeColor="accent1" w:themeShade="80"/>
                                    <w:sz w:val="56"/>
                                    <w:szCs w:val="56"/>
                                  </w:rPr>
                                  <w:t>Evaluation of PFAS in Recreational Waterbodies in Massachusetts</w:t>
                                </w:r>
                              </w:p>
                              <w:p w14:paraId="5EB25612" w14:textId="11E01F7D" w:rsidR="009500B2" w:rsidRPr="007B4CDA" w:rsidRDefault="009500B2">
                                <w:pPr>
                                  <w:pStyle w:val="NoSpacing"/>
                                  <w:spacing w:before="40" w:after="40"/>
                                  <w:rPr>
                                    <w:rFonts w:ascii="Verdana" w:hAnsi="Verdana"/>
                                    <w:color w:val="215868"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4CC894" id="Text Box 1" o:spid="_x0000_s1028" type="#_x0000_t202" style="position:absolute;margin-left:126pt;margin-top:87.75pt;width:438.75pt;height:3in;z-index:25165824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" filled="f" stroked="f" strokeweight=".5pt">
                    <v:textbox inset="0,0,0,0">
                      <w:txbxContent>
                        <w:p w14:paraId="348147F5" w14:textId="470EACAA" w:rsidR="009500B2" w:rsidRPr="00A5595C" w:rsidRDefault="009500B2" w:rsidP="007B4CDA">
                          <w:pPr>
                            <w:pStyle w:val="NoSpacing"/>
                            <w:spacing w:line="216" w:lineRule="auto"/>
                            <w:rPr>
                              <w:rFonts w:ascii="Verdana" w:hAnsi="Verdana"/>
                              <w:b/>
                              <w:bCs/>
                              <w:color w:val="244061" w:themeColor="accent1" w:themeShade="80"/>
                              <w:sz w:val="56"/>
                              <w:szCs w:val="56"/>
                            </w:rPr>
                          </w:pPr>
                          <w:r w:rsidRPr="00A5595C">
                            <w:rPr>
                              <w:rFonts w:ascii="Verdana" w:hAnsi="Verdana"/>
                              <w:b/>
                              <w:bCs/>
                              <w:color w:val="244061" w:themeColor="accent1" w:themeShade="80"/>
                              <w:sz w:val="56"/>
                              <w:szCs w:val="56"/>
                            </w:rPr>
                            <w:t>Evaluation of PFAS in Recreational Waterbodies in Massachusetts</w:t>
                          </w:r>
                        </w:p>
                        <w:p w14:paraId="5EB25612" w14:textId="11E01F7D" w:rsidR="009500B2" w:rsidRPr="007B4CDA" w:rsidRDefault="009500B2">
                          <w:pPr>
                            <w:pStyle w:val="NoSpacing"/>
                            <w:spacing w:before="40" w:after="40"/>
                            <w:rPr>
                              <w:rFonts w:ascii="Verdana" w:hAnsi="Verdana"/>
                              <w:color w:val="215868" w:themeColor="accent5" w:themeShade="80"/>
                              <w:sz w:val="28"/>
                              <w:szCs w:val="28"/>
                            </w:rPr>
                          </w:pPr>
                        </w:p>
                      </w:txbxContent>
                    </v:textbox>
                    <w10:wrap type="square" anchorx="margin" anchory="page"/>
                  </v:shape>
                </w:pict>
              </mc:Fallback>
            </mc:AlternateContent>
          </w:r>
          <w:r w:rsidR="00A5595C">
            <w:rPr>
              <w:noProof/>
            </w:rPr>
            <w:drawing>
              <wp:inline distT="0" distB="0" distL="0" distR="0" wp14:anchorId="72B792AA" wp14:editId="4F6EB293">
                <wp:extent cx="1362075" cy="1388632"/>
                <wp:effectExtent l="0" t="0" r="0" b="2540"/>
                <wp:docPr id="2" name="Picture 2" descr="Logo for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Massachusetts Department of Public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88632"/>
                        </a:xfrm>
                        <a:prstGeom prst="rect">
                          <a:avLst/>
                        </a:prstGeom>
                        <a:noFill/>
                      </pic:spPr>
                    </pic:pic>
                  </a:graphicData>
                </a:graphic>
              </wp:inline>
            </w:drawing>
          </w:r>
          <w:r w:rsidR="001C0B76">
            <w:br w:type="page"/>
          </w:r>
        </w:p>
      </w:sdtContent>
    </w:sdt>
    <w:sdt>
      <w:sdtPr>
        <w:rPr>
          <w:rFonts w:asciiTheme="minorHAnsi" w:eastAsiaTheme="minorHAnsi" w:hAnsiTheme="minorHAnsi" w:cstheme="minorBidi"/>
          <w:color w:val="auto"/>
          <w:sz w:val="22"/>
          <w:szCs w:val="22"/>
        </w:rPr>
        <w:id w:val="-66731181"/>
        <w:docPartObj>
          <w:docPartGallery w:val="Table of Contents"/>
          <w:docPartUnique/>
        </w:docPartObj>
      </w:sdtPr>
      <w:sdtEndPr>
        <w:rPr>
          <w:b/>
          <w:bCs/>
          <w:noProof/>
        </w:rPr>
      </w:sdtEndPr>
      <w:sdtContent>
        <w:p w14:paraId="48136CA4" w14:textId="3049104E" w:rsidR="001C0B76" w:rsidRPr="009916DF" w:rsidRDefault="001C0B76">
          <w:pPr>
            <w:pStyle w:val="TOCHeading"/>
            <w:rPr>
              <w:rFonts w:asciiTheme="minorHAnsi" w:hAnsiTheme="minorHAnsi" w:cstheme="minorHAnsi"/>
              <w:b/>
              <w:bCs/>
              <w:color w:val="244061" w:themeColor="accent1" w:themeShade="80"/>
              <w:sz w:val="36"/>
              <w:szCs w:val="36"/>
            </w:rPr>
          </w:pPr>
          <w:r w:rsidRPr="009916DF">
            <w:rPr>
              <w:rFonts w:asciiTheme="minorHAnsi" w:hAnsiTheme="minorHAnsi" w:cstheme="minorHAnsi"/>
              <w:b/>
              <w:bCs/>
              <w:color w:val="244061" w:themeColor="accent1" w:themeShade="80"/>
              <w:sz w:val="36"/>
              <w:szCs w:val="36"/>
            </w:rPr>
            <w:t>Table of Contents</w:t>
          </w:r>
        </w:p>
        <w:p w14:paraId="3DE04C64" w14:textId="2CE0BECC" w:rsidR="00FC12E8" w:rsidRDefault="001C0B76" w:rsidP="00FC12E8">
          <w:pPr>
            <w:pStyle w:val="TOC1"/>
            <w:rPr>
              <w:rFonts w:eastAsiaTheme="minorEastAsia"/>
              <w:noProof/>
              <w:kern w:val="2"/>
              <w:sz w:val="24"/>
              <w:szCs w:val="24"/>
              <w14:ligatures w14:val="standardContextual"/>
            </w:rPr>
          </w:pPr>
          <w:r w:rsidRPr="009916DF">
            <w:rPr>
              <w:sz w:val="24"/>
              <w:szCs w:val="24"/>
            </w:rPr>
            <w:fldChar w:fldCharType="begin"/>
          </w:r>
          <w:r w:rsidRPr="009916DF">
            <w:rPr>
              <w:sz w:val="24"/>
              <w:szCs w:val="24"/>
            </w:rPr>
            <w:instrText xml:space="preserve"> TOC \o "1-3" \h \z \u </w:instrText>
          </w:r>
          <w:r w:rsidRPr="009916DF">
            <w:rPr>
              <w:sz w:val="24"/>
              <w:szCs w:val="24"/>
            </w:rPr>
            <w:fldChar w:fldCharType="separate"/>
          </w:r>
          <w:hyperlink w:anchor="_Toc162620782" w:history="1">
            <w:r w:rsidR="00FC12E8" w:rsidRPr="00FA2076">
              <w:rPr>
                <w:rStyle w:val="Hyperlink"/>
                <w:noProof/>
              </w:rPr>
              <w:t>1.</w:t>
            </w:r>
            <w:r w:rsidR="00FC12E8">
              <w:rPr>
                <w:rFonts w:eastAsiaTheme="minorEastAsia"/>
                <w:noProof/>
                <w:kern w:val="2"/>
                <w:sz w:val="24"/>
                <w:szCs w:val="24"/>
                <w14:ligatures w14:val="standardContextual"/>
              </w:rPr>
              <w:tab/>
            </w:r>
            <w:r w:rsidR="00FC12E8" w:rsidRPr="00FA2076">
              <w:rPr>
                <w:rStyle w:val="Hyperlink"/>
                <w:noProof/>
              </w:rPr>
              <w:t>BACKGROUND AND OVERVIEW</w:t>
            </w:r>
            <w:r w:rsidR="00FC12E8">
              <w:rPr>
                <w:noProof/>
                <w:webHidden/>
              </w:rPr>
              <w:tab/>
            </w:r>
            <w:r w:rsidR="00FC12E8">
              <w:rPr>
                <w:noProof/>
                <w:webHidden/>
              </w:rPr>
              <w:fldChar w:fldCharType="begin"/>
            </w:r>
            <w:r w:rsidR="00FC12E8">
              <w:rPr>
                <w:noProof/>
                <w:webHidden/>
              </w:rPr>
              <w:instrText xml:space="preserve"> PAGEREF _Toc162620782 \h </w:instrText>
            </w:r>
            <w:r w:rsidR="00FC12E8">
              <w:rPr>
                <w:noProof/>
                <w:webHidden/>
              </w:rPr>
            </w:r>
            <w:r w:rsidR="00FC12E8">
              <w:rPr>
                <w:noProof/>
                <w:webHidden/>
              </w:rPr>
              <w:fldChar w:fldCharType="separate"/>
            </w:r>
            <w:r w:rsidR="00EF0788">
              <w:rPr>
                <w:noProof/>
                <w:webHidden/>
              </w:rPr>
              <w:t>1</w:t>
            </w:r>
            <w:r w:rsidR="00FC12E8">
              <w:rPr>
                <w:noProof/>
                <w:webHidden/>
              </w:rPr>
              <w:fldChar w:fldCharType="end"/>
            </w:r>
          </w:hyperlink>
        </w:p>
        <w:p w14:paraId="60DF644E" w14:textId="3B2BACEA" w:rsidR="00FC12E8" w:rsidRDefault="00FD30E8" w:rsidP="00FC12E8">
          <w:pPr>
            <w:pStyle w:val="TOC1"/>
            <w:rPr>
              <w:rFonts w:eastAsiaTheme="minorEastAsia"/>
              <w:noProof/>
              <w:kern w:val="2"/>
              <w:sz w:val="24"/>
              <w:szCs w:val="24"/>
              <w14:ligatures w14:val="standardContextual"/>
            </w:rPr>
          </w:pPr>
          <w:hyperlink w:anchor="_Toc162620783" w:history="1">
            <w:r w:rsidR="00FC12E8" w:rsidRPr="00FA2076">
              <w:rPr>
                <w:rStyle w:val="Hyperlink"/>
                <w:noProof/>
              </w:rPr>
              <w:t>2.</w:t>
            </w:r>
            <w:r w:rsidR="00FC12E8">
              <w:rPr>
                <w:rFonts w:eastAsiaTheme="minorEastAsia"/>
                <w:noProof/>
                <w:kern w:val="2"/>
                <w:sz w:val="24"/>
                <w:szCs w:val="24"/>
                <w14:ligatures w14:val="standardContextual"/>
              </w:rPr>
              <w:tab/>
            </w:r>
            <w:r w:rsidR="00FC12E8" w:rsidRPr="00FA2076">
              <w:rPr>
                <w:rStyle w:val="Hyperlink"/>
                <w:noProof/>
              </w:rPr>
              <w:t>ACTION LEVELS AND EVALUATION</w:t>
            </w:r>
            <w:r w:rsidR="00FC12E8">
              <w:rPr>
                <w:noProof/>
                <w:webHidden/>
              </w:rPr>
              <w:tab/>
            </w:r>
            <w:r w:rsidR="00FC12E8">
              <w:rPr>
                <w:noProof/>
                <w:webHidden/>
              </w:rPr>
              <w:fldChar w:fldCharType="begin"/>
            </w:r>
            <w:r w:rsidR="00FC12E8">
              <w:rPr>
                <w:noProof/>
                <w:webHidden/>
              </w:rPr>
              <w:instrText xml:space="preserve"> PAGEREF _Toc162620783 \h </w:instrText>
            </w:r>
            <w:r w:rsidR="00FC12E8">
              <w:rPr>
                <w:noProof/>
                <w:webHidden/>
              </w:rPr>
            </w:r>
            <w:r w:rsidR="00FC12E8">
              <w:rPr>
                <w:noProof/>
                <w:webHidden/>
              </w:rPr>
              <w:fldChar w:fldCharType="separate"/>
            </w:r>
            <w:r w:rsidR="00EF0788">
              <w:rPr>
                <w:noProof/>
                <w:webHidden/>
              </w:rPr>
              <w:t>2</w:t>
            </w:r>
            <w:r w:rsidR="00FC12E8">
              <w:rPr>
                <w:noProof/>
                <w:webHidden/>
              </w:rPr>
              <w:fldChar w:fldCharType="end"/>
            </w:r>
          </w:hyperlink>
        </w:p>
        <w:p w14:paraId="7517E537" w14:textId="1CA086A6" w:rsidR="00FC12E8" w:rsidRDefault="00FD30E8">
          <w:pPr>
            <w:pStyle w:val="TOC2"/>
            <w:tabs>
              <w:tab w:val="left" w:pos="960"/>
            </w:tabs>
            <w:rPr>
              <w:rFonts w:eastAsiaTheme="minorEastAsia"/>
              <w:noProof/>
              <w:kern w:val="2"/>
              <w:sz w:val="24"/>
              <w:szCs w:val="24"/>
              <w14:ligatures w14:val="standardContextual"/>
            </w:rPr>
          </w:pPr>
          <w:hyperlink w:anchor="_Toc162620784" w:history="1">
            <w:r w:rsidR="00FC12E8" w:rsidRPr="00FA2076">
              <w:rPr>
                <w:rStyle w:val="Hyperlink"/>
                <w:noProof/>
              </w:rPr>
              <w:t>2.1</w:t>
            </w:r>
            <w:r w:rsidR="00FC12E8">
              <w:rPr>
                <w:rFonts w:eastAsiaTheme="minorEastAsia"/>
                <w:noProof/>
                <w:kern w:val="2"/>
                <w:sz w:val="24"/>
                <w:szCs w:val="24"/>
                <w14:ligatures w14:val="standardContextual"/>
              </w:rPr>
              <w:tab/>
            </w:r>
            <w:r w:rsidR="00FC12E8" w:rsidRPr="00FA2076">
              <w:rPr>
                <w:rStyle w:val="Hyperlink"/>
                <w:noProof/>
              </w:rPr>
              <w:t>Exposure Point Concentration</w:t>
            </w:r>
            <w:r w:rsidR="00FC12E8">
              <w:rPr>
                <w:noProof/>
                <w:webHidden/>
              </w:rPr>
              <w:tab/>
            </w:r>
            <w:r w:rsidR="00FC12E8">
              <w:rPr>
                <w:noProof/>
                <w:webHidden/>
              </w:rPr>
              <w:fldChar w:fldCharType="begin"/>
            </w:r>
            <w:r w:rsidR="00FC12E8">
              <w:rPr>
                <w:noProof/>
                <w:webHidden/>
              </w:rPr>
              <w:instrText xml:space="preserve"> PAGEREF _Toc162620784 \h </w:instrText>
            </w:r>
            <w:r w:rsidR="00FC12E8">
              <w:rPr>
                <w:noProof/>
                <w:webHidden/>
              </w:rPr>
            </w:r>
            <w:r w:rsidR="00FC12E8">
              <w:rPr>
                <w:noProof/>
                <w:webHidden/>
              </w:rPr>
              <w:fldChar w:fldCharType="separate"/>
            </w:r>
            <w:r w:rsidR="00EF0788">
              <w:rPr>
                <w:noProof/>
                <w:webHidden/>
              </w:rPr>
              <w:t>3</w:t>
            </w:r>
            <w:r w:rsidR="00FC12E8">
              <w:rPr>
                <w:noProof/>
                <w:webHidden/>
              </w:rPr>
              <w:fldChar w:fldCharType="end"/>
            </w:r>
          </w:hyperlink>
        </w:p>
        <w:p w14:paraId="30C169DD" w14:textId="049A1050" w:rsidR="00FC12E8" w:rsidRDefault="00FD30E8">
          <w:pPr>
            <w:pStyle w:val="TOC3"/>
            <w:rPr>
              <w:rFonts w:eastAsiaTheme="minorEastAsia"/>
              <w:noProof/>
              <w:kern w:val="2"/>
              <w:sz w:val="24"/>
              <w:szCs w:val="24"/>
              <w14:ligatures w14:val="standardContextual"/>
            </w:rPr>
          </w:pPr>
          <w:hyperlink w:anchor="_Toc162620785" w:history="1">
            <w:r w:rsidR="00FC12E8" w:rsidRPr="00FA2076">
              <w:rPr>
                <w:rStyle w:val="Hyperlink"/>
                <w:rFonts w:cstheme="minorHAnsi"/>
                <w:noProof/>
              </w:rPr>
              <w:t>2.1.1</w:t>
            </w:r>
            <w:r w:rsidR="00FC12E8">
              <w:rPr>
                <w:rFonts w:eastAsiaTheme="minorEastAsia"/>
                <w:noProof/>
                <w:kern w:val="2"/>
                <w:sz w:val="24"/>
                <w:szCs w:val="24"/>
                <w14:ligatures w14:val="standardContextual"/>
              </w:rPr>
              <w:tab/>
            </w:r>
            <w:r w:rsidR="00FC12E8" w:rsidRPr="00FA2076">
              <w:rPr>
                <w:rStyle w:val="Hyperlink"/>
                <w:rFonts w:cstheme="minorHAnsi"/>
                <w:noProof/>
              </w:rPr>
              <w:t>Surface Water Exposure Point Concentration</w:t>
            </w:r>
            <w:r w:rsidR="00FC12E8">
              <w:rPr>
                <w:noProof/>
                <w:webHidden/>
              </w:rPr>
              <w:tab/>
            </w:r>
            <w:r w:rsidR="00FC12E8">
              <w:rPr>
                <w:noProof/>
                <w:webHidden/>
              </w:rPr>
              <w:fldChar w:fldCharType="begin"/>
            </w:r>
            <w:r w:rsidR="00FC12E8">
              <w:rPr>
                <w:noProof/>
                <w:webHidden/>
              </w:rPr>
              <w:instrText xml:space="preserve"> PAGEREF _Toc162620785 \h </w:instrText>
            </w:r>
            <w:r w:rsidR="00FC12E8">
              <w:rPr>
                <w:noProof/>
                <w:webHidden/>
              </w:rPr>
            </w:r>
            <w:r w:rsidR="00FC12E8">
              <w:rPr>
                <w:noProof/>
                <w:webHidden/>
              </w:rPr>
              <w:fldChar w:fldCharType="separate"/>
            </w:r>
            <w:r w:rsidR="00EF0788">
              <w:rPr>
                <w:noProof/>
                <w:webHidden/>
              </w:rPr>
              <w:t>3</w:t>
            </w:r>
            <w:r w:rsidR="00FC12E8">
              <w:rPr>
                <w:noProof/>
                <w:webHidden/>
              </w:rPr>
              <w:fldChar w:fldCharType="end"/>
            </w:r>
          </w:hyperlink>
        </w:p>
        <w:p w14:paraId="070718EF" w14:textId="673C8899" w:rsidR="00FC12E8" w:rsidRDefault="00FD30E8">
          <w:pPr>
            <w:pStyle w:val="TOC3"/>
            <w:rPr>
              <w:rFonts w:eastAsiaTheme="minorEastAsia"/>
              <w:noProof/>
              <w:kern w:val="2"/>
              <w:sz w:val="24"/>
              <w:szCs w:val="24"/>
              <w14:ligatures w14:val="standardContextual"/>
            </w:rPr>
          </w:pPr>
          <w:hyperlink w:anchor="_Toc162620786" w:history="1">
            <w:r w:rsidR="00FC12E8" w:rsidRPr="00FA2076">
              <w:rPr>
                <w:rStyle w:val="Hyperlink"/>
                <w:rFonts w:cstheme="minorHAnsi"/>
                <w:noProof/>
              </w:rPr>
              <w:t>2.1.2</w:t>
            </w:r>
            <w:r w:rsidR="00FC12E8">
              <w:rPr>
                <w:rFonts w:eastAsiaTheme="minorEastAsia"/>
                <w:noProof/>
                <w:kern w:val="2"/>
                <w:sz w:val="24"/>
                <w:szCs w:val="24"/>
                <w14:ligatures w14:val="standardContextual"/>
              </w:rPr>
              <w:tab/>
            </w:r>
            <w:r w:rsidR="00FC12E8" w:rsidRPr="00FA2076">
              <w:rPr>
                <w:rStyle w:val="Hyperlink"/>
                <w:rFonts w:cstheme="minorHAnsi"/>
                <w:noProof/>
              </w:rPr>
              <w:t>Fish Tissue Exposure Point Concentration</w:t>
            </w:r>
            <w:r w:rsidR="00FC12E8">
              <w:rPr>
                <w:noProof/>
                <w:webHidden/>
              </w:rPr>
              <w:tab/>
            </w:r>
            <w:r w:rsidR="00FC12E8">
              <w:rPr>
                <w:noProof/>
                <w:webHidden/>
              </w:rPr>
              <w:fldChar w:fldCharType="begin"/>
            </w:r>
            <w:r w:rsidR="00FC12E8">
              <w:rPr>
                <w:noProof/>
                <w:webHidden/>
              </w:rPr>
              <w:instrText xml:space="preserve"> PAGEREF _Toc162620786 \h </w:instrText>
            </w:r>
            <w:r w:rsidR="00FC12E8">
              <w:rPr>
                <w:noProof/>
                <w:webHidden/>
              </w:rPr>
            </w:r>
            <w:r w:rsidR="00FC12E8">
              <w:rPr>
                <w:noProof/>
                <w:webHidden/>
              </w:rPr>
              <w:fldChar w:fldCharType="separate"/>
            </w:r>
            <w:r w:rsidR="00EF0788">
              <w:rPr>
                <w:noProof/>
                <w:webHidden/>
              </w:rPr>
              <w:t>3</w:t>
            </w:r>
            <w:r w:rsidR="00FC12E8">
              <w:rPr>
                <w:noProof/>
                <w:webHidden/>
              </w:rPr>
              <w:fldChar w:fldCharType="end"/>
            </w:r>
          </w:hyperlink>
        </w:p>
        <w:p w14:paraId="36542D8A" w14:textId="7F444081" w:rsidR="00FC12E8" w:rsidRDefault="00FD30E8">
          <w:pPr>
            <w:pStyle w:val="TOC2"/>
            <w:tabs>
              <w:tab w:val="left" w:pos="960"/>
            </w:tabs>
            <w:rPr>
              <w:rFonts w:eastAsiaTheme="minorEastAsia"/>
              <w:noProof/>
              <w:kern w:val="2"/>
              <w:sz w:val="24"/>
              <w:szCs w:val="24"/>
              <w14:ligatures w14:val="standardContextual"/>
            </w:rPr>
          </w:pPr>
          <w:hyperlink w:anchor="_Toc162620787" w:history="1">
            <w:r w:rsidR="00FC12E8" w:rsidRPr="00FA2076">
              <w:rPr>
                <w:rStyle w:val="Hyperlink"/>
                <w:noProof/>
              </w:rPr>
              <w:t>2.2</w:t>
            </w:r>
            <w:r w:rsidR="00FC12E8">
              <w:rPr>
                <w:rFonts w:eastAsiaTheme="minorEastAsia"/>
                <w:noProof/>
                <w:kern w:val="2"/>
                <w:sz w:val="24"/>
                <w:szCs w:val="24"/>
                <w14:ligatures w14:val="standardContextual"/>
              </w:rPr>
              <w:tab/>
            </w:r>
            <w:r w:rsidR="00FC12E8" w:rsidRPr="00FA2076">
              <w:rPr>
                <w:rStyle w:val="Hyperlink"/>
                <w:noProof/>
              </w:rPr>
              <w:t>Action Levels</w:t>
            </w:r>
            <w:r w:rsidR="00FC12E8">
              <w:rPr>
                <w:noProof/>
                <w:webHidden/>
              </w:rPr>
              <w:tab/>
            </w:r>
            <w:r w:rsidR="00FC12E8">
              <w:rPr>
                <w:noProof/>
                <w:webHidden/>
              </w:rPr>
              <w:fldChar w:fldCharType="begin"/>
            </w:r>
            <w:r w:rsidR="00FC12E8">
              <w:rPr>
                <w:noProof/>
                <w:webHidden/>
              </w:rPr>
              <w:instrText xml:space="preserve"> PAGEREF _Toc162620787 \h </w:instrText>
            </w:r>
            <w:r w:rsidR="00FC12E8">
              <w:rPr>
                <w:noProof/>
                <w:webHidden/>
              </w:rPr>
            </w:r>
            <w:r w:rsidR="00FC12E8">
              <w:rPr>
                <w:noProof/>
                <w:webHidden/>
              </w:rPr>
              <w:fldChar w:fldCharType="separate"/>
            </w:r>
            <w:r w:rsidR="00EF0788">
              <w:rPr>
                <w:noProof/>
                <w:webHidden/>
              </w:rPr>
              <w:t>3</w:t>
            </w:r>
            <w:r w:rsidR="00FC12E8">
              <w:rPr>
                <w:noProof/>
                <w:webHidden/>
              </w:rPr>
              <w:fldChar w:fldCharType="end"/>
            </w:r>
          </w:hyperlink>
        </w:p>
        <w:p w14:paraId="5663E11F" w14:textId="518A8733" w:rsidR="00FC12E8" w:rsidRDefault="00FD30E8">
          <w:pPr>
            <w:pStyle w:val="TOC3"/>
            <w:rPr>
              <w:rFonts w:eastAsiaTheme="minorEastAsia"/>
              <w:noProof/>
              <w:kern w:val="2"/>
              <w:sz w:val="24"/>
              <w:szCs w:val="24"/>
              <w14:ligatures w14:val="standardContextual"/>
            </w:rPr>
          </w:pPr>
          <w:hyperlink w:anchor="_Toc162620788" w:history="1">
            <w:r w:rsidR="00FC12E8" w:rsidRPr="00FA2076">
              <w:rPr>
                <w:rStyle w:val="Hyperlink"/>
                <w:rFonts w:cstheme="minorHAnsi"/>
                <w:noProof/>
              </w:rPr>
              <w:t>2.2.1</w:t>
            </w:r>
            <w:r w:rsidR="00FC12E8">
              <w:rPr>
                <w:rFonts w:eastAsiaTheme="minorEastAsia"/>
                <w:noProof/>
                <w:kern w:val="2"/>
                <w:sz w:val="24"/>
                <w:szCs w:val="24"/>
                <w14:ligatures w14:val="standardContextual"/>
              </w:rPr>
              <w:tab/>
            </w:r>
            <w:r w:rsidR="00FC12E8" w:rsidRPr="00FA2076">
              <w:rPr>
                <w:rStyle w:val="Hyperlink"/>
                <w:rFonts w:cstheme="minorHAnsi"/>
                <w:noProof/>
              </w:rPr>
              <w:t>Surface Water Action Level</w:t>
            </w:r>
            <w:r w:rsidR="00FC12E8">
              <w:rPr>
                <w:noProof/>
                <w:webHidden/>
              </w:rPr>
              <w:tab/>
            </w:r>
            <w:r w:rsidR="00FC12E8">
              <w:rPr>
                <w:noProof/>
                <w:webHidden/>
              </w:rPr>
              <w:fldChar w:fldCharType="begin"/>
            </w:r>
            <w:r w:rsidR="00FC12E8">
              <w:rPr>
                <w:noProof/>
                <w:webHidden/>
              </w:rPr>
              <w:instrText xml:space="preserve"> PAGEREF _Toc162620788 \h </w:instrText>
            </w:r>
            <w:r w:rsidR="00FC12E8">
              <w:rPr>
                <w:noProof/>
                <w:webHidden/>
              </w:rPr>
            </w:r>
            <w:r w:rsidR="00FC12E8">
              <w:rPr>
                <w:noProof/>
                <w:webHidden/>
              </w:rPr>
              <w:fldChar w:fldCharType="separate"/>
            </w:r>
            <w:r w:rsidR="00EF0788">
              <w:rPr>
                <w:noProof/>
                <w:webHidden/>
              </w:rPr>
              <w:t>3</w:t>
            </w:r>
            <w:r w:rsidR="00FC12E8">
              <w:rPr>
                <w:noProof/>
                <w:webHidden/>
              </w:rPr>
              <w:fldChar w:fldCharType="end"/>
            </w:r>
          </w:hyperlink>
        </w:p>
        <w:p w14:paraId="50C041DF" w14:textId="00F4A9B8" w:rsidR="00FC12E8" w:rsidRDefault="00FD30E8">
          <w:pPr>
            <w:pStyle w:val="TOC3"/>
            <w:rPr>
              <w:rFonts w:eastAsiaTheme="minorEastAsia"/>
              <w:noProof/>
              <w:kern w:val="2"/>
              <w:sz w:val="24"/>
              <w:szCs w:val="24"/>
              <w14:ligatures w14:val="standardContextual"/>
            </w:rPr>
          </w:pPr>
          <w:hyperlink w:anchor="_Toc162620789" w:history="1">
            <w:r w:rsidR="00FC12E8" w:rsidRPr="00FA2076">
              <w:rPr>
                <w:rStyle w:val="Hyperlink"/>
                <w:rFonts w:cstheme="minorHAnsi"/>
                <w:noProof/>
              </w:rPr>
              <w:t xml:space="preserve">2.2.2 </w:t>
            </w:r>
            <w:r w:rsidR="00FC12E8">
              <w:rPr>
                <w:rFonts w:eastAsiaTheme="minorEastAsia"/>
                <w:noProof/>
                <w:kern w:val="2"/>
                <w:sz w:val="24"/>
                <w:szCs w:val="24"/>
                <w14:ligatures w14:val="standardContextual"/>
              </w:rPr>
              <w:tab/>
            </w:r>
            <w:r w:rsidR="00FC12E8" w:rsidRPr="00FA2076">
              <w:rPr>
                <w:rStyle w:val="Hyperlink"/>
                <w:rFonts w:cstheme="minorHAnsi"/>
                <w:noProof/>
              </w:rPr>
              <w:t>Public Beach Action Level</w:t>
            </w:r>
            <w:r w:rsidR="00FC12E8">
              <w:rPr>
                <w:noProof/>
                <w:webHidden/>
              </w:rPr>
              <w:tab/>
            </w:r>
            <w:r w:rsidR="00FC12E8">
              <w:rPr>
                <w:noProof/>
                <w:webHidden/>
              </w:rPr>
              <w:fldChar w:fldCharType="begin"/>
            </w:r>
            <w:r w:rsidR="00FC12E8">
              <w:rPr>
                <w:noProof/>
                <w:webHidden/>
              </w:rPr>
              <w:instrText xml:space="preserve"> PAGEREF _Toc162620789 \h </w:instrText>
            </w:r>
            <w:r w:rsidR="00FC12E8">
              <w:rPr>
                <w:noProof/>
                <w:webHidden/>
              </w:rPr>
            </w:r>
            <w:r w:rsidR="00FC12E8">
              <w:rPr>
                <w:noProof/>
                <w:webHidden/>
              </w:rPr>
              <w:fldChar w:fldCharType="separate"/>
            </w:r>
            <w:r w:rsidR="00EF0788">
              <w:rPr>
                <w:noProof/>
                <w:webHidden/>
              </w:rPr>
              <w:t>5</w:t>
            </w:r>
            <w:r w:rsidR="00FC12E8">
              <w:rPr>
                <w:noProof/>
                <w:webHidden/>
              </w:rPr>
              <w:fldChar w:fldCharType="end"/>
            </w:r>
          </w:hyperlink>
        </w:p>
        <w:p w14:paraId="7AABD928" w14:textId="6D57DF4D" w:rsidR="00FC12E8" w:rsidRDefault="00FD30E8">
          <w:pPr>
            <w:pStyle w:val="TOC3"/>
            <w:rPr>
              <w:rFonts w:eastAsiaTheme="minorEastAsia"/>
              <w:noProof/>
              <w:kern w:val="2"/>
              <w:sz w:val="24"/>
              <w:szCs w:val="24"/>
              <w14:ligatures w14:val="standardContextual"/>
            </w:rPr>
          </w:pPr>
          <w:hyperlink w:anchor="_Toc162620790" w:history="1">
            <w:r w:rsidR="00FC12E8" w:rsidRPr="00FA2076">
              <w:rPr>
                <w:rStyle w:val="Hyperlink"/>
                <w:rFonts w:cstheme="minorHAnsi"/>
                <w:noProof/>
              </w:rPr>
              <w:t>2.2.3</w:t>
            </w:r>
            <w:r w:rsidR="00FC12E8">
              <w:rPr>
                <w:rFonts w:eastAsiaTheme="minorEastAsia"/>
                <w:noProof/>
                <w:kern w:val="2"/>
                <w:sz w:val="24"/>
                <w:szCs w:val="24"/>
                <w14:ligatures w14:val="standardContextual"/>
              </w:rPr>
              <w:tab/>
            </w:r>
            <w:r w:rsidR="00FC12E8" w:rsidRPr="00FA2076">
              <w:rPr>
                <w:rStyle w:val="Hyperlink"/>
                <w:rFonts w:cstheme="minorHAnsi"/>
                <w:noProof/>
              </w:rPr>
              <w:t>Fish Tissue Action Level</w:t>
            </w:r>
            <w:r w:rsidR="00FC12E8">
              <w:rPr>
                <w:noProof/>
                <w:webHidden/>
              </w:rPr>
              <w:tab/>
            </w:r>
            <w:r w:rsidR="00FC12E8">
              <w:rPr>
                <w:noProof/>
                <w:webHidden/>
              </w:rPr>
              <w:fldChar w:fldCharType="begin"/>
            </w:r>
            <w:r w:rsidR="00FC12E8">
              <w:rPr>
                <w:noProof/>
                <w:webHidden/>
              </w:rPr>
              <w:instrText xml:space="preserve"> PAGEREF _Toc162620790 \h </w:instrText>
            </w:r>
            <w:r w:rsidR="00FC12E8">
              <w:rPr>
                <w:noProof/>
                <w:webHidden/>
              </w:rPr>
            </w:r>
            <w:r w:rsidR="00FC12E8">
              <w:rPr>
                <w:noProof/>
                <w:webHidden/>
              </w:rPr>
              <w:fldChar w:fldCharType="separate"/>
            </w:r>
            <w:r w:rsidR="00EF0788">
              <w:rPr>
                <w:noProof/>
                <w:webHidden/>
              </w:rPr>
              <w:t>6</w:t>
            </w:r>
            <w:r w:rsidR="00FC12E8">
              <w:rPr>
                <w:noProof/>
                <w:webHidden/>
              </w:rPr>
              <w:fldChar w:fldCharType="end"/>
            </w:r>
          </w:hyperlink>
        </w:p>
        <w:p w14:paraId="2DB6C8DF" w14:textId="308B3AFF" w:rsidR="00FC12E8" w:rsidRDefault="00FD30E8" w:rsidP="00FC12E8">
          <w:pPr>
            <w:pStyle w:val="TOC1"/>
            <w:rPr>
              <w:rFonts w:eastAsiaTheme="minorEastAsia"/>
              <w:noProof/>
              <w:kern w:val="2"/>
              <w:sz w:val="24"/>
              <w:szCs w:val="24"/>
              <w14:ligatures w14:val="standardContextual"/>
            </w:rPr>
          </w:pPr>
          <w:hyperlink w:anchor="_Toc162620791" w:history="1">
            <w:r w:rsidR="00FC12E8" w:rsidRPr="00FA2076">
              <w:rPr>
                <w:rStyle w:val="Hyperlink"/>
                <w:noProof/>
              </w:rPr>
              <w:t>3.</w:t>
            </w:r>
            <w:r w:rsidR="00FC12E8">
              <w:rPr>
                <w:rFonts w:eastAsiaTheme="minorEastAsia"/>
                <w:noProof/>
                <w:kern w:val="2"/>
                <w:sz w:val="24"/>
                <w:szCs w:val="24"/>
                <w14:ligatures w14:val="standardContextual"/>
              </w:rPr>
              <w:tab/>
            </w:r>
            <w:r w:rsidR="00FC12E8" w:rsidRPr="00FA2076">
              <w:rPr>
                <w:rStyle w:val="Hyperlink"/>
                <w:noProof/>
              </w:rPr>
              <w:t>WATERBODY-SPECIFIC RISK ASSESSMENT FOR SURFACE WATER</w:t>
            </w:r>
            <w:r w:rsidR="00FC12E8">
              <w:rPr>
                <w:noProof/>
                <w:webHidden/>
              </w:rPr>
              <w:tab/>
            </w:r>
            <w:r w:rsidR="00FC12E8">
              <w:rPr>
                <w:noProof/>
                <w:webHidden/>
              </w:rPr>
              <w:fldChar w:fldCharType="begin"/>
            </w:r>
            <w:r w:rsidR="00FC12E8">
              <w:rPr>
                <w:noProof/>
                <w:webHidden/>
              </w:rPr>
              <w:instrText xml:space="preserve"> PAGEREF _Toc162620791 \h </w:instrText>
            </w:r>
            <w:r w:rsidR="00FC12E8">
              <w:rPr>
                <w:noProof/>
                <w:webHidden/>
              </w:rPr>
            </w:r>
            <w:r w:rsidR="00FC12E8">
              <w:rPr>
                <w:noProof/>
                <w:webHidden/>
              </w:rPr>
              <w:fldChar w:fldCharType="separate"/>
            </w:r>
            <w:r w:rsidR="00EF0788">
              <w:rPr>
                <w:noProof/>
                <w:webHidden/>
              </w:rPr>
              <w:t>7</w:t>
            </w:r>
            <w:r w:rsidR="00FC12E8">
              <w:rPr>
                <w:noProof/>
                <w:webHidden/>
              </w:rPr>
              <w:fldChar w:fldCharType="end"/>
            </w:r>
          </w:hyperlink>
        </w:p>
        <w:p w14:paraId="5844D7DF" w14:textId="3DB8994C" w:rsidR="00FC12E8" w:rsidRDefault="00FD30E8">
          <w:pPr>
            <w:pStyle w:val="TOC2"/>
            <w:rPr>
              <w:rFonts w:eastAsiaTheme="minorEastAsia"/>
              <w:noProof/>
              <w:kern w:val="2"/>
              <w:sz w:val="24"/>
              <w:szCs w:val="24"/>
              <w14:ligatures w14:val="standardContextual"/>
            </w:rPr>
          </w:pPr>
          <w:hyperlink w:anchor="_Toc162620792" w:history="1">
            <w:r w:rsidR="00FC12E8" w:rsidRPr="00FA2076">
              <w:rPr>
                <w:rStyle w:val="Hyperlink"/>
                <w:noProof/>
              </w:rPr>
              <w:t>3.1 Screening Evaluation</w:t>
            </w:r>
            <w:r w:rsidR="00FC12E8">
              <w:rPr>
                <w:noProof/>
                <w:webHidden/>
              </w:rPr>
              <w:tab/>
            </w:r>
            <w:r w:rsidR="00FC12E8">
              <w:rPr>
                <w:noProof/>
                <w:webHidden/>
              </w:rPr>
              <w:fldChar w:fldCharType="begin"/>
            </w:r>
            <w:r w:rsidR="00FC12E8">
              <w:rPr>
                <w:noProof/>
                <w:webHidden/>
              </w:rPr>
              <w:instrText xml:space="preserve"> PAGEREF _Toc162620792 \h </w:instrText>
            </w:r>
            <w:r w:rsidR="00FC12E8">
              <w:rPr>
                <w:noProof/>
                <w:webHidden/>
              </w:rPr>
            </w:r>
            <w:r w:rsidR="00FC12E8">
              <w:rPr>
                <w:noProof/>
                <w:webHidden/>
              </w:rPr>
              <w:fldChar w:fldCharType="separate"/>
            </w:r>
            <w:r w:rsidR="00EF0788">
              <w:rPr>
                <w:noProof/>
                <w:webHidden/>
              </w:rPr>
              <w:t>7</w:t>
            </w:r>
            <w:r w:rsidR="00FC12E8">
              <w:rPr>
                <w:noProof/>
                <w:webHidden/>
              </w:rPr>
              <w:fldChar w:fldCharType="end"/>
            </w:r>
          </w:hyperlink>
        </w:p>
        <w:p w14:paraId="641A5D14" w14:textId="6E615FAB" w:rsidR="00FC12E8" w:rsidRDefault="00FD30E8">
          <w:pPr>
            <w:pStyle w:val="TOC2"/>
            <w:rPr>
              <w:rFonts w:eastAsiaTheme="minorEastAsia"/>
              <w:noProof/>
              <w:kern w:val="2"/>
              <w:sz w:val="24"/>
              <w:szCs w:val="24"/>
              <w14:ligatures w14:val="standardContextual"/>
            </w:rPr>
          </w:pPr>
          <w:hyperlink w:anchor="_Toc162620793" w:history="1">
            <w:r w:rsidR="00FC12E8" w:rsidRPr="00FA2076">
              <w:rPr>
                <w:rStyle w:val="Hyperlink"/>
                <w:noProof/>
              </w:rPr>
              <w:t>3.2 Evaluation of Swimming Restrictions</w:t>
            </w:r>
            <w:r w:rsidR="00FC12E8">
              <w:rPr>
                <w:noProof/>
                <w:webHidden/>
              </w:rPr>
              <w:tab/>
            </w:r>
            <w:r w:rsidR="00FC12E8">
              <w:rPr>
                <w:noProof/>
                <w:webHidden/>
              </w:rPr>
              <w:fldChar w:fldCharType="begin"/>
            </w:r>
            <w:r w:rsidR="00FC12E8">
              <w:rPr>
                <w:noProof/>
                <w:webHidden/>
              </w:rPr>
              <w:instrText xml:space="preserve"> PAGEREF _Toc162620793 \h </w:instrText>
            </w:r>
            <w:r w:rsidR="00FC12E8">
              <w:rPr>
                <w:noProof/>
                <w:webHidden/>
              </w:rPr>
            </w:r>
            <w:r w:rsidR="00FC12E8">
              <w:rPr>
                <w:noProof/>
                <w:webHidden/>
              </w:rPr>
              <w:fldChar w:fldCharType="separate"/>
            </w:r>
            <w:r w:rsidR="00EF0788">
              <w:rPr>
                <w:noProof/>
                <w:webHidden/>
              </w:rPr>
              <w:t>10</w:t>
            </w:r>
            <w:r w:rsidR="00FC12E8">
              <w:rPr>
                <w:noProof/>
                <w:webHidden/>
              </w:rPr>
              <w:fldChar w:fldCharType="end"/>
            </w:r>
          </w:hyperlink>
        </w:p>
        <w:p w14:paraId="6271A4A7" w14:textId="1F02A0BC" w:rsidR="00FC12E8" w:rsidRDefault="00FD30E8" w:rsidP="00FC12E8">
          <w:pPr>
            <w:pStyle w:val="TOC1"/>
            <w:rPr>
              <w:rFonts w:eastAsiaTheme="minorEastAsia"/>
              <w:noProof/>
              <w:kern w:val="2"/>
              <w:sz w:val="24"/>
              <w:szCs w:val="24"/>
              <w14:ligatures w14:val="standardContextual"/>
            </w:rPr>
          </w:pPr>
          <w:hyperlink w:anchor="_Toc162620794" w:history="1">
            <w:r w:rsidR="00FC12E8" w:rsidRPr="00FA2076">
              <w:rPr>
                <w:rStyle w:val="Hyperlink"/>
                <w:noProof/>
              </w:rPr>
              <w:t>4.</w:t>
            </w:r>
            <w:r w:rsidR="00FC12E8">
              <w:rPr>
                <w:rFonts w:eastAsiaTheme="minorEastAsia"/>
                <w:noProof/>
                <w:kern w:val="2"/>
                <w:sz w:val="24"/>
                <w:szCs w:val="24"/>
                <w14:ligatures w14:val="standardContextual"/>
              </w:rPr>
              <w:tab/>
            </w:r>
            <w:r w:rsidR="00FC12E8" w:rsidRPr="00FA2076">
              <w:rPr>
                <w:rStyle w:val="Hyperlink"/>
                <w:noProof/>
              </w:rPr>
              <w:t>FISH CONSUMPTION ADVISORIES</w:t>
            </w:r>
            <w:r w:rsidR="00FC12E8">
              <w:rPr>
                <w:noProof/>
                <w:webHidden/>
              </w:rPr>
              <w:tab/>
            </w:r>
            <w:r w:rsidR="00FC12E8">
              <w:rPr>
                <w:noProof/>
                <w:webHidden/>
              </w:rPr>
              <w:fldChar w:fldCharType="begin"/>
            </w:r>
            <w:r w:rsidR="00FC12E8">
              <w:rPr>
                <w:noProof/>
                <w:webHidden/>
              </w:rPr>
              <w:instrText xml:space="preserve"> PAGEREF _Toc162620794 \h </w:instrText>
            </w:r>
            <w:r w:rsidR="00FC12E8">
              <w:rPr>
                <w:noProof/>
                <w:webHidden/>
              </w:rPr>
            </w:r>
            <w:r w:rsidR="00FC12E8">
              <w:rPr>
                <w:noProof/>
                <w:webHidden/>
              </w:rPr>
              <w:fldChar w:fldCharType="separate"/>
            </w:r>
            <w:r w:rsidR="00EF0788">
              <w:rPr>
                <w:noProof/>
                <w:webHidden/>
              </w:rPr>
              <w:t>12</w:t>
            </w:r>
            <w:r w:rsidR="00FC12E8">
              <w:rPr>
                <w:noProof/>
                <w:webHidden/>
              </w:rPr>
              <w:fldChar w:fldCharType="end"/>
            </w:r>
          </w:hyperlink>
        </w:p>
        <w:p w14:paraId="3CC67315" w14:textId="34C5AFA9" w:rsidR="00FC12E8" w:rsidRDefault="00FD30E8" w:rsidP="00FC12E8">
          <w:pPr>
            <w:pStyle w:val="TOC1"/>
            <w:rPr>
              <w:rFonts w:eastAsiaTheme="minorEastAsia"/>
              <w:noProof/>
              <w:kern w:val="2"/>
              <w:sz w:val="24"/>
              <w:szCs w:val="24"/>
              <w14:ligatures w14:val="standardContextual"/>
            </w:rPr>
          </w:pPr>
          <w:hyperlink w:anchor="_Toc162620795" w:history="1">
            <w:r w:rsidR="00FC12E8" w:rsidRPr="00FA2076">
              <w:rPr>
                <w:rStyle w:val="Hyperlink"/>
                <w:noProof/>
              </w:rPr>
              <w:t>5.</w:t>
            </w:r>
            <w:r w:rsidR="00FC12E8">
              <w:rPr>
                <w:rFonts w:eastAsiaTheme="minorEastAsia"/>
                <w:noProof/>
                <w:kern w:val="2"/>
                <w:sz w:val="24"/>
                <w:szCs w:val="24"/>
                <w14:ligatures w14:val="standardContextual"/>
              </w:rPr>
              <w:tab/>
            </w:r>
            <w:r w:rsidR="00FC12E8" w:rsidRPr="00FA2076">
              <w:rPr>
                <w:rStyle w:val="Hyperlink"/>
                <w:noProof/>
              </w:rPr>
              <w:t>REFERENCES</w:t>
            </w:r>
            <w:r w:rsidR="00FC12E8">
              <w:rPr>
                <w:noProof/>
                <w:webHidden/>
              </w:rPr>
              <w:tab/>
            </w:r>
            <w:r w:rsidR="00FC12E8">
              <w:rPr>
                <w:noProof/>
                <w:webHidden/>
              </w:rPr>
              <w:fldChar w:fldCharType="begin"/>
            </w:r>
            <w:r w:rsidR="00FC12E8">
              <w:rPr>
                <w:noProof/>
                <w:webHidden/>
              </w:rPr>
              <w:instrText xml:space="preserve"> PAGEREF _Toc162620795 \h </w:instrText>
            </w:r>
            <w:r w:rsidR="00FC12E8">
              <w:rPr>
                <w:noProof/>
                <w:webHidden/>
              </w:rPr>
            </w:r>
            <w:r w:rsidR="00FC12E8">
              <w:rPr>
                <w:noProof/>
                <w:webHidden/>
              </w:rPr>
              <w:fldChar w:fldCharType="separate"/>
            </w:r>
            <w:r w:rsidR="00EF0788">
              <w:rPr>
                <w:noProof/>
                <w:webHidden/>
              </w:rPr>
              <w:t>16</w:t>
            </w:r>
            <w:r w:rsidR="00FC12E8">
              <w:rPr>
                <w:noProof/>
                <w:webHidden/>
              </w:rPr>
              <w:fldChar w:fldCharType="end"/>
            </w:r>
          </w:hyperlink>
        </w:p>
        <w:p w14:paraId="2439D35C" w14:textId="148FF508" w:rsidR="00FC12E8" w:rsidRDefault="00FD30E8" w:rsidP="00FC12E8">
          <w:pPr>
            <w:pStyle w:val="TOC1"/>
            <w:rPr>
              <w:rFonts w:eastAsiaTheme="minorEastAsia"/>
              <w:noProof/>
              <w:kern w:val="2"/>
              <w:sz w:val="24"/>
              <w:szCs w:val="24"/>
              <w14:ligatures w14:val="standardContextual"/>
            </w:rPr>
          </w:pPr>
          <w:hyperlink w:anchor="_Toc162620796" w:history="1">
            <w:r w:rsidR="00FC12E8" w:rsidRPr="00FA2076">
              <w:rPr>
                <w:rStyle w:val="Hyperlink"/>
                <w:noProof/>
              </w:rPr>
              <w:t>APPENDICES</w:t>
            </w:r>
            <w:r w:rsidR="00FC12E8">
              <w:rPr>
                <w:noProof/>
                <w:webHidden/>
              </w:rPr>
              <w:tab/>
            </w:r>
            <w:r w:rsidR="00FC12E8">
              <w:rPr>
                <w:noProof/>
                <w:webHidden/>
              </w:rPr>
              <w:fldChar w:fldCharType="begin"/>
            </w:r>
            <w:r w:rsidR="00FC12E8">
              <w:rPr>
                <w:noProof/>
                <w:webHidden/>
              </w:rPr>
              <w:instrText xml:space="preserve"> PAGEREF _Toc162620796 \h </w:instrText>
            </w:r>
            <w:r w:rsidR="00FC12E8">
              <w:rPr>
                <w:noProof/>
                <w:webHidden/>
              </w:rPr>
            </w:r>
            <w:r w:rsidR="00FC12E8">
              <w:rPr>
                <w:noProof/>
                <w:webHidden/>
              </w:rPr>
              <w:fldChar w:fldCharType="separate"/>
            </w:r>
            <w:r w:rsidR="00EF0788">
              <w:rPr>
                <w:noProof/>
                <w:webHidden/>
              </w:rPr>
              <w:t>19</w:t>
            </w:r>
            <w:r w:rsidR="00FC12E8">
              <w:rPr>
                <w:noProof/>
                <w:webHidden/>
              </w:rPr>
              <w:fldChar w:fldCharType="end"/>
            </w:r>
          </w:hyperlink>
        </w:p>
        <w:p w14:paraId="596E2505" w14:textId="3AB2640E" w:rsidR="00FC12E8" w:rsidRDefault="00FD30E8">
          <w:pPr>
            <w:pStyle w:val="TOC2"/>
            <w:rPr>
              <w:rFonts w:eastAsiaTheme="minorEastAsia"/>
              <w:noProof/>
              <w:kern w:val="2"/>
              <w:sz w:val="24"/>
              <w:szCs w:val="24"/>
              <w14:ligatures w14:val="standardContextual"/>
            </w:rPr>
          </w:pPr>
          <w:hyperlink w:anchor="_Toc162620797" w:history="1">
            <w:r w:rsidR="00FC12E8" w:rsidRPr="00FA2076">
              <w:rPr>
                <w:rStyle w:val="Hyperlink"/>
                <w:noProof/>
              </w:rPr>
              <w:t>Appendix A – Calculation of Surface Water Action Levels</w:t>
            </w:r>
            <w:r w:rsidR="00FC12E8">
              <w:rPr>
                <w:noProof/>
                <w:webHidden/>
              </w:rPr>
              <w:tab/>
            </w:r>
            <w:r w:rsidR="00FC12E8">
              <w:rPr>
                <w:noProof/>
                <w:webHidden/>
              </w:rPr>
              <w:fldChar w:fldCharType="begin"/>
            </w:r>
            <w:r w:rsidR="00FC12E8">
              <w:rPr>
                <w:noProof/>
                <w:webHidden/>
              </w:rPr>
              <w:instrText xml:space="preserve"> PAGEREF _Toc162620797 \h </w:instrText>
            </w:r>
            <w:r w:rsidR="00FC12E8">
              <w:rPr>
                <w:noProof/>
                <w:webHidden/>
              </w:rPr>
            </w:r>
            <w:r w:rsidR="00FC12E8">
              <w:rPr>
                <w:noProof/>
                <w:webHidden/>
              </w:rPr>
              <w:fldChar w:fldCharType="separate"/>
            </w:r>
            <w:r w:rsidR="00EF0788">
              <w:rPr>
                <w:noProof/>
                <w:webHidden/>
              </w:rPr>
              <w:t>20</w:t>
            </w:r>
            <w:r w:rsidR="00FC12E8">
              <w:rPr>
                <w:noProof/>
                <w:webHidden/>
              </w:rPr>
              <w:fldChar w:fldCharType="end"/>
            </w:r>
          </w:hyperlink>
        </w:p>
        <w:p w14:paraId="718F1E49" w14:textId="0B079F73" w:rsidR="00FC12E8" w:rsidRDefault="00FD30E8">
          <w:pPr>
            <w:pStyle w:val="TOC2"/>
            <w:rPr>
              <w:rFonts w:eastAsiaTheme="minorEastAsia"/>
              <w:noProof/>
              <w:kern w:val="2"/>
              <w:sz w:val="24"/>
              <w:szCs w:val="24"/>
              <w14:ligatures w14:val="standardContextual"/>
            </w:rPr>
          </w:pPr>
          <w:hyperlink w:anchor="_Toc162620798" w:history="1">
            <w:r w:rsidR="00FC12E8" w:rsidRPr="00FA2076">
              <w:rPr>
                <w:rStyle w:val="Hyperlink"/>
                <w:noProof/>
              </w:rPr>
              <w:t>Appendix B - Fish Consumption Advisories Supporting Information</w:t>
            </w:r>
            <w:r w:rsidR="00FC12E8">
              <w:rPr>
                <w:noProof/>
                <w:webHidden/>
              </w:rPr>
              <w:tab/>
            </w:r>
            <w:r w:rsidR="00FC12E8">
              <w:rPr>
                <w:noProof/>
                <w:webHidden/>
              </w:rPr>
              <w:fldChar w:fldCharType="begin"/>
            </w:r>
            <w:r w:rsidR="00FC12E8">
              <w:rPr>
                <w:noProof/>
                <w:webHidden/>
              </w:rPr>
              <w:instrText xml:space="preserve"> PAGEREF _Toc162620798 \h </w:instrText>
            </w:r>
            <w:r w:rsidR="00FC12E8">
              <w:rPr>
                <w:noProof/>
                <w:webHidden/>
              </w:rPr>
            </w:r>
            <w:r w:rsidR="00FC12E8">
              <w:rPr>
                <w:noProof/>
                <w:webHidden/>
              </w:rPr>
              <w:fldChar w:fldCharType="separate"/>
            </w:r>
            <w:r w:rsidR="00EF0788">
              <w:rPr>
                <w:noProof/>
                <w:webHidden/>
              </w:rPr>
              <w:t>34</w:t>
            </w:r>
            <w:r w:rsidR="00FC12E8">
              <w:rPr>
                <w:noProof/>
                <w:webHidden/>
              </w:rPr>
              <w:fldChar w:fldCharType="end"/>
            </w:r>
          </w:hyperlink>
        </w:p>
        <w:p w14:paraId="70F87EB5" w14:textId="1A89BED3" w:rsidR="00753772" w:rsidRPr="00EA359A" w:rsidRDefault="001C0B76" w:rsidP="00753772">
          <w:pPr>
            <w:rPr>
              <w:b/>
              <w:bCs/>
              <w:noProof/>
              <w:sz w:val="24"/>
              <w:szCs w:val="24"/>
            </w:rPr>
          </w:pPr>
          <w:r w:rsidRPr="009916DF">
            <w:rPr>
              <w:b/>
              <w:bCs/>
              <w:noProof/>
              <w:sz w:val="24"/>
              <w:szCs w:val="24"/>
            </w:rPr>
            <w:fldChar w:fldCharType="end"/>
          </w:r>
        </w:p>
      </w:sdtContent>
    </w:sdt>
    <w:p w14:paraId="61B63263" w14:textId="7605861C" w:rsidR="00753772" w:rsidRPr="00753772" w:rsidRDefault="00EA359A" w:rsidP="00753772">
      <w:r>
        <w:br w:type="page"/>
      </w:r>
    </w:p>
    <w:p w14:paraId="364F9185" w14:textId="77777777" w:rsidR="00EA359A" w:rsidRDefault="00EA359A" w:rsidP="00EA359A">
      <w:pPr>
        <w:tabs>
          <w:tab w:val="center" w:pos="4725"/>
        </w:tabs>
        <w:sectPr w:rsidR="00EA359A" w:rsidSect="000750D0">
          <w:headerReference w:type="default" r:id="rId9"/>
          <w:footerReference w:type="default" r:id="rId10"/>
          <w:headerReference w:type="first" r:id="rId11"/>
          <w:footerReference w:type="first" r:id="rId12"/>
          <w:pgSz w:w="12240" w:h="15840"/>
          <w:pgMar w:top="720" w:right="2070" w:bottom="720" w:left="720" w:header="720" w:footer="720" w:gutter="0"/>
          <w:pgNumType w:start="1"/>
          <w:cols w:space="720"/>
          <w:titlePg/>
          <w:docGrid w:linePitch="360"/>
        </w:sectPr>
      </w:pPr>
    </w:p>
    <w:p w14:paraId="7A9352D4" w14:textId="0D285CFE" w:rsidR="00FE501C" w:rsidRDefault="00FE501C" w:rsidP="00C46CD5">
      <w:pPr>
        <w:pStyle w:val="Heading1"/>
      </w:pPr>
      <w:bookmarkStart w:id="0" w:name="_Toc162620782"/>
      <w:r>
        <w:lastRenderedPageBreak/>
        <w:t>BACKGROUND</w:t>
      </w:r>
      <w:r w:rsidR="00A462D3">
        <w:t xml:space="preserve"> </w:t>
      </w:r>
      <w:r w:rsidR="00C820B1">
        <w:t>AND OVERVIEW</w:t>
      </w:r>
      <w:bookmarkEnd w:id="0"/>
    </w:p>
    <w:p w14:paraId="3110FF0C" w14:textId="3E3C111C" w:rsidR="005E3A41" w:rsidRDefault="005E3A41" w:rsidP="009362A1">
      <w:pPr>
        <w:spacing w:line="240" w:lineRule="auto"/>
        <w:rPr>
          <w:sz w:val="24"/>
          <w:szCs w:val="24"/>
        </w:rPr>
      </w:pPr>
      <w:r w:rsidRPr="006A5EEE">
        <w:rPr>
          <w:sz w:val="24"/>
          <w:szCs w:val="24"/>
        </w:rPr>
        <w:t>Since 2015</w:t>
      </w:r>
      <w:r w:rsidR="00FA37B0">
        <w:rPr>
          <w:sz w:val="24"/>
          <w:szCs w:val="24"/>
        </w:rPr>
        <w:t>,</w:t>
      </w:r>
      <w:r w:rsidRPr="006A5EEE">
        <w:rPr>
          <w:sz w:val="24"/>
          <w:szCs w:val="24"/>
        </w:rPr>
        <w:t xml:space="preserve"> </w:t>
      </w:r>
      <w:r w:rsidR="00FA37B0">
        <w:rPr>
          <w:sz w:val="24"/>
          <w:szCs w:val="24"/>
        </w:rPr>
        <w:t xml:space="preserve">emerging contaminants known as </w:t>
      </w:r>
      <w:r w:rsidR="003C1B25">
        <w:rPr>
          <w:sz w:val="24"/>
          <w:szCs w:val="24"/>
        </w:rPr>
        <w:t>per- and poly-fluorinated alkyl substances (</w:t>
      </w:r>
      <w:r w:rsidRPr="006A5EEE">
        <w:rPr>
          <w:sz w:val="24"/>
          <w:szCs w:val="24"/>
        </w:rPr>
        <w:t>PFAS</w:t>
      </w:r>
      <w:r w:rsidR="003C1B25">
        <w:rPr>
          <w:sz w:val="24"/>
          <w:szCs w:val="24"/>
        </w:rPr>
        <w:t>)</w:t>
      </w:r>
      <w:r w:rsidRPr="006A5EEE">
        <w:rPr>
          <w:sz w:val="24"/>
          <w:szCs w:val="24"/>
        </w:rPr>
        <w:t xml:space="preserve"> have been detected in groundwater, surface water, and residential drinking water wells associated with contaminated sites in Massachusetts. Recent surveillance of surface water by the Massachusetts Department of Environmental Protection (MassDEP) and the U</w:t>
      </w:r>
      <w:r w:rsidR="007A4197">
        <w:rPr>
          <w:sz w:val="24"/>
          <w:szCs w:val="24"/>
        </w:rPr>
        <w:t>.</w:t>
      </w:r>
      <w:r w:rsidRPr="006A5EEE">
        <w:rPr>
          <w:sz w:val="24"/>
          <w:szCs w:val="24"/>
        </w:rPr>
        <w:t>S</w:t>
      </w:r>
      <w:r w:rsidR="007A4197">
        <w:rPr>
          <w:sz w:val="24"/>
          <w:szCs w:val="24"/>
        </w:rPr>
        <w:t>.</w:t>
      </w:r>
      <w:r w:rsidRPr="006A5EEE">
        <w:rPr>
          <w:sz w:val="24"/>
          <w:szCs w:val="24"/>
        </w:rPr>
        <w:t xml:space="preserve"> </w:t>
      </w:r>
      <w:r w:rsidR="0019512B">
        <w:rPr>
          <w:sz w:val="24"/>
          <w:szCs w:val="24"/>
        </w:rPr>
        <w:t xml:space="preserve"> </w:t>
      </w:r>
      <w:r w:rsidRPr="006A5EEE">
        <w:rPr>
          <w:sz w:val="24"/>
          <w:szCs w:val="24"/>
        </w:rPr>
        <w:t xml:space="preserve">Geological Survey indicates that PFAS may be present in Massachusetts </w:t>
      </w:r>
      <w:r w:rsidR="0049339C">
        <w:rPr>
          <w:sz w:val="24"/>
          <w:szCs w:val="24"/>
        </w:rPr>
        <w:t xml:space="preserve">waterbody </w:t>
      </w:r>
      <w:r w:rsidRPr="006A5EEE">
        <w:rPr>
          <w:sz w:val="24"/>
          <w:szCs w:val="24"/>
        </w:rPr>
        <w:t xml:space="preserve">locations </w:t>
      </w:r>
      <w:r w:rsidR="00201F80">
        <w:rPr>
          <w:sz w:val="24"/>
          <w:szCs w:val="24"/>
        </w:rPr>
        <w:t xml:space="preserve">at concentrations </w:t>
      </w:r>
      <w:r w:rsidRPr="006A5EEE">
        <w:rPr>
          <w:sz w:val="24"/>
          <w:szCs w:val="24"/>
        </w:rPr>
        <w:t>as high as 109</w:t>
      </w:r>
      <w:r w:rsidR="0049339C">
        <w:rPr>
          <w:sz w:val="24"/>
          <w:szCs w:val="24"/>
        </w:rPr>
        <w:t xml:space="preserve"> nanograms per liter (</w:t>
      </w:r>
      <w:r w:rsidR="0025343C">
        <w:rPr>
          <w:sz w:val="24"/>
          <w:szCs w:val="24"/>
        </w:rPr>
        <w:t>ng/L</w:t>
      </w:r>
      <w:r w:rsidR="0049339C">
        <w:rPr>
          <w:sz w:val="24"/>
          <w:szCs w:val="24"/>
        </w:rPr>
        <w:t>)</w:t>
      </w:r>
      <w:r w:rsidR="0025343C">
        <w:rPr>
          <w:sz w:val="24"/>
          <w:szCs w:val="24"/>
        </w:rPr>
        <w:t>, or parts per trillion (ppt)</w:t>
      </w:r>
      <w:r w:rsidR="00027D51">
        <w:rPr>
          <w:sz w:val="24"/>
          <w:szCs w:val="24"/>
        </w:rPr>
        <w:t xml:space="preserve"> (</w:t>
      </w:r>
      <w:r w:rsidR="00BD33A9">
        <w:rPr>
          <w:sz w:val="24"/>
          <w:szCs w:val="24"/>
        </w:rPr>
        <w:t>MassDEP, 2021</w:t>
      </w:r>
      <w:r w:rsidR="00027D51">
        <w:rPr>
          <w:sz w:val="24"/>
          <w:szCs w:val="24"/>
        </w:rPr>
        <w:t>)</w:t>
      </w:r>
      <w:r w:rsidRPr="006A5EEE">
        <w:rPr>
          <w:sz w:val="24"/>
          <w:szCs w:val="24"/>
        </w:rPr>
        <w:t xml:space="preserve">. </w:t>
      </w:r>
      <w:r w:rsidR="004C4CB5" w:rsidRPr="004C4CB5">
        <w:rPr>
          <w:sz w:val="24"/>
          <w:szCs w:val="24"/>
        </w:rPr>
        <w:t xml:space="preserve"> </w:t>
      </w:r>
      <w:r w:rsidR="004A006B">
        <w:rPr>
          <w:sz w:val="24"/>
          <w:szCs w:val="24"/>
        </w:rPr>
        <w:t>If there is potential for people to be exposed to PFAS in a waterbody</w:t>
      </w:r>
      <w:r w:rsidRPr="006A5EEE">
        <w:rPr>
          <w:sz w:val="24"/>
          <w:szCs w:val="24"/>
        </w:rPr>
        <w:t xml:space="preserve">, </w:t>
      </w:r>
      <w:r w:rsidR="00201F80">
        <w:rPr>
          <w:sz w:val="24"/>
          <w:szCs w:val="24"/>
        </w:rPr>
        <w:t>the Massachusetts Department of Public Health (</w:t>
      </w:r>
      <w:r w:rsidRPr="006A5EEE">
        <w:rPr>
          <w:sz w:val="24"/>
          <w:szCs w:val="24"/>
        </w:rPr>
        <w:t>DPH</w:t>
      </w:r>
      <w:r w:rsidR="00201F80">
        <w:rPr>
          <w:sz w:val="24"/>
          <w:szCs w:val="24"/>
        </w:rPr>
        <w:t>)</w:t>
      </w:r>
      <w:r w:rsidRPr="006A5EEE">
        <w:rPr>
          <w:sz w:val="24"/>
          <w:szCs w:val="24"/>
        </w:rPr>
        <w:t xml:space="preserve"> may be asked to determine if these locations are safe for recreational activities such as swimming and fishing.</w:t>
      </w:r>
    </w:p>
    <w:p w14:paraId="06366A3D" w14:textId="2B7E405A" w:rsidR="006A5EEE" w:rsidRPr="006A5EEE" w:rsidRDefault="006A5EEE" w:rsidP="009362A1">
      <w:pPr>
        <w:spacing w:line="240" w:lineRule="auto"/>
        <w:rPr>
          <w:sz w:val="24"/>
          <w:szCs w:val="24"/>
        </w:rPr>
      </w:pPr>
      <w:r w:rsidRPr="6B970AF3">
        <w:rPr>
          <w:sz w:val="24"/>
          <w:szCs w:val="24"/>
        </w:rPr>
        <w:t xml:space="preserve">This </w:t>
      </w:r>
      <w:r w:rsidR="00201D8E" w:rsidRPr="6B970AF3">
        <w:rPr>
          <w:sz w:val="24"/>
          <w:szCs w:val="24"/>
        </w:rPr>
        <w:t xml:space="preserve">Technical Support Document </w:t>
      </w:r>
      <w:r w:rsidRPr="6B970AF3">
        <w:rPr>
          <w:sz w:val="24"/>
          <w:szCs w:val="24"/>
        </w:rPr>
        <w:t>has been prepared to support emerging contaminant surveillance conducted by DP</w:t>
      </w:r>
      <w:r w:rsidR="00201F80" w:rsidRPr="6B970AF3">
        <w:rPr>
          <w:sz w:val="24"/>
          <w:szCs w:val="24"/>
        </w:rPr>
        <w:t>H</w:t>
      </w:r>
      <w:r w:rsidR="00423C8A" w:rsidRPr="6B970AF3">
        <w:rPr>
          <w:sz w:val="24"/>
          <w:szCs w:val="24"/>
        </w:rPr>
        <w:t xml:space="preserve"> at recreational waterbodies</w:t>
      </w:r>
      <w:r w:rsidRPr="6B970AF3">
        <w:rPr>
          <w:sz w:val="24"/>
          <w:szCs w:val="24"/>
        </w:rPr>
        <w:t xml:space="preserve">. The </w:t>
      </w:r>
      <w:r w:rsidR="00423C8A" w:rsidRPr="6B970AF3">
        <w:rPr>
          <w:sz w:val="24"/>
          <w:szCs w:val="24"/>
        </w:rPr>
        <w:t>document</w:t>
      </w:r>
      <w:r w:rsidRPr="6B970AF3">
        <w:rPr>
          <w:sz w:val="24"/>
          <w:szCs w:val="24"/>
        </w:rPr>
        <w:t xml:space="preserve"> provide</w:t>
      </w:r>
      <w:r w:rsidR="00C375C3">
        <w:rPr>
          <w:sz w:val="24"/>
          <w:szCs w:val="24"/>
        </w:rPr>
        <w:t>s</w:t>
      </w:r>
      <w:r w:rsidRPr="6B970AF3">
        <w:rPr>
          <w:sz w:val="24"/>
          <w:szCs w:val="24"/>
        </w:rPr>
        <w:t xml:space="preserve"> an overview of the methodology that </w:t>
      </w:r>
      <w:r w:rsidR="00201F80" w:rsidRPr="6B970AF3">
        <w:rPr>
          <w:sz w:val="24"/>
          <w:szCs w:val="24"/>
        </w:rPr>
        <w:t>DPH</w:t>
      </w:r>
      <w:r w:rsidRPr="6B970AF3">
        <w:rPr>
          <w:sz w:val="24"/>
          <w:szCs w:val="24"/>
        </w:rPr>
        <w:t xml:space="preserve"> will use to evaluate the human health risk of exposure to PFAS in surface water and fish. </w:t>
      </w:r>
      <w:r w:rsidR="00C375C3">
        <w:rPr>
          <w:sz w:val="24"/>
          <w:szCs w:val="24"/>
        </w:rPr>
        <w:t>It</w:t>
      </w:r>
      <w:r w:rsidR="00C375C3" w:rsidRPr="6B970AF3">
        <w:rPr>
          <w:sz w:val="24"/>
          <w:szCs w:val="24"/>
        </w:rPr>
        <w:t xml:space="preserve"> </w:t>
      </w:r>
      <w:r w:rsidRPr="6B970AF3">
        <w:rPr>
          <w:sz w:val="24"/>
          <w:szCs w:val="24"/>
        </w:rPr>
        <w:t>includes both development of Action Levels (ALs) for surface water</w:t>
      </w:r>
      <w:r w:rsidR="004D01EF" w:rsidRPr="6B970AF3">
        <w:rPr>
          <w:sz w:val="24"/>
          <w:szCs w:val="24"/>
        </w:rPr>
        <w:t xml:space="preserve">, </w:t>
      </w:r>
      <w:r w:rsidR="004106C5" w:rsidRPr="6B970AF3">
        <w:rPr>
          <w:sz w:val="24"/>
          <w:szCs w:val="24"/>
        </w:rPr>
        <w:t xml:space="preserve">public </w:t>
      </w:r>
      <w:r w:rsidR="00D2099F" w:rsidRPr="6B970AF3">
        <w:rPr>
          <w:sz w:val="24"/>
          <w:szCs w:val="24"/>
        </w:rPr>
        <w:t xml:space="preserve">bathing </w:t>
      </w:r>
      <w:r w:rsidR="004106C5" w:rsidRPr="6B970AF3">
        <w:rPr>
          <w:sz w:val="24"/>
          <w:szCs w:val="24"/>
        </w:rPr>
        <w:t>beaches</w:t>
      </w:r>
      <w:r w:rsidR="00421FC9">
        <w:rPr>
          <w:rStyle w:val="FootnoteReference"/>
          <w:sz w:val="24"/>
          <w:szCs w:val="24"/>
        </w:rPr>
        <w:footnoteReference w:id="2"/>
      </w:r>
      <w:r w:rsidR="004D01EF" w:rsidRPr="6B970AF3">
        <w:rPr>
          <w:sz w:val="24"/>
          <w:szCs w:val="24"/>
        </w:rPr>
        <w:t>,</w:t>
      </w:r>
      <w:r w:rsidRPr="6B970AF3">
        <w:rPr>
          <w:sz w:val="24"/>
          <w:szCs w:val="24"/>
        </w:rPr>
        <w:t xml:space="preserve"> and fish</w:t>
      </w:r>
      <w:r w:rsidR="00D37D1A" w:rsidRPr="6B970AF3">
        <w:rPr>
          <w:sz w:val="24"/>
          <w:szCs w:val="24"/>
        </w:rPr>
        <w:t xml:space="preserve"> </w:t>
      </w:r>
      <w:r w:rsidRPr="6B970AF3">
        <w:rPr>
          <w:sz w:val="24"/>
          <w:szCs w:val="24"/>
        </w:rPr>
        <w:t xml:space="preserve">and </w:t>
      </w:r>
      <w:r w:rsidR="00C375C3">
        <w:rPr>
          <w:sz w:val="24"/>
          <w:szCs w:val="24"/>
        </w:rPr>
        <w:t xml:space="preserve">describes </w:t>
      </w:r>
      <w:r w:rsidRPr="6B970AF3">
        <w:rPr>
          <w:sz w:val="24"/>
          <w:szCs w:val="24"/>
        </w:rPr>
        <w:t xml:space="preserve">follow-up actions when ALs are exceeded. </w:t>
      </w:r>
    </w:p>
    <w:p w14:paraId="4431F547" w14:textId="31C01025" w:rsidR="00FE501C" w:rsidRPr="00C820B1" w:rsidRDefault="00201F80" w:rsidP="009362A1">
      <w:pPr>
        <w:spacing w:line="240" w:lineRule="auto"/>
        <w:rPr>
          <w:sz w:val="24"/>
          <w:szCs w:val="24"/>
        </w:rPr>
      </w:pPr>
      <w:r w:rsidRPr="6BE7E070">
        <w:rPr>
          <w:sz w:val="24"/>
          <w:szCs w:val="24"/>
        </w:rPr>
        <w:t>M</w:t>
      </w:r>
      <w:r w:rsidR="00FE501C" w:rsidRPr="6BE7E070">
        <w:rPr>
          <w:sz w:val="24"/>
          <w:szCs w:val="24"/>
        </w:rPr>
        <w:t>DPH has developed the following ALs for surface water (SWAL)</w:t>
      </w:r>
      <w:r w:rsidR="0017507E">
        <w:rPr>
          <w:sz w:val="24"/>
          <w:szCs w:val="24"/>
        </w:rPr>
        <w:t>,</w:t>
      </w:r>
      <w:r w:rsidR="004D01EF" w:rsidRPr="6BE7E070">
        <w:rPr>
          <w:sz w:val="24"/>
          <w:szCs w:val="24"/>
        </w:rPr>
        <w:t xml:space="preserve"> public beaches (PBAL)</w:t>
      </w:r>
      <w:r w:rsidR="00FE501C" w:rsidRPr="6BE7E070">
        <w:rPr>
          <w:sz w:val="24"/>
          <w:szCs w:val="24"/>
        </w:rPr>
        <w:t xml:space="preserve"> and fish (FAL):</w:t>
      </w:r>
      <w:r w:rsidR="00EA159C" w:rsidRPr="6BE7E070">
        <w:rPr>
          <w:sz w:val="24"/>
          <w:szCs w:val="24"/>
        </w:rPr>
        <w:t xml:space="preserve"> </w:t>
      </w:r>
    </w:p>
    <w:p w14:paraId="32B3FD43" w14:textId="73B6C300" w:rsidR="00F55AD4" w:rsidRPr="00027D51" w:rsidRDefault="0076216B" w:rsidP="6BE7E070">
      <w:pPr>
        <w:spacing w:after="0" w:line="240" w:lineRule="auto"/>
        <w:jc w:val="center"/>
        <w:rPr>
          <w:rFonts w:cs="Arial"/>
          <w:b/>
          <w:bCs/>
          <w:sz w:val="24"/>
          <w:szCs w:val="24"/>
        </w:rPr>
      </w:pPr>
      <w:r w:rsidRPr="6BE7E070">
        <w:rPr>
          <w:rFonts w:cs="Arial"/>
          <w:b/>
          <w:bCs/>
          <w:sz w:val="24"/>
          <w:szCs w:val="24"/>
        </w:rPr>
        <w:t xml:space="preserve">Table 1.1.  </w:t>
      </w:r>
      <w:r w:rsidR="000D046E" w:rsidRPr="6BE7E070">
        <w:rPr>
          <w:rFonts w:cs="Arial"/>
          <w:b/>
          <w:bCs/>
          <w:sz w:val="24"/>
          <w:szCs w:val="24"/>
        </w:rPr>
        <w:t>Action Levels</w:t>
      </w:r>
    </w:p>
    <w:tbl>
      <w:tblPr>
        <w:tblStyle w:val="TableGrid"/>
        <w:tblW w:w="0" w:type="auto"/>
        <w:jc w:val="center"/>
        <w:tblLook w:val="04A0" w:firstRow="1" w:lastRow="0" w:firstColumn="1" w:lastColumn="0" w:noHBand="0" w:noVBand="1"/>
      </w:tblPr>
      <w:tblGrid>
        <w:gridCol w:w="2440"/>
        <w:gridCol w:w="1350"/>
      </w:tblGrid>
      <w:tr w:rsidR="00FE501C" w:rsidRPr="00646233" w14:paraId="79017915" w14:textId="12D41C26" w:rsidTr="6BE7E070">
        <w:trPr>
          <w:trHeight w:val="251"/>
          <w:jc w:val="center"/>
        </w:trPr>
        <w:tc>
          <w:tcPr>
            <w:tcW w:w="2440" w:type="dxa"/>
            <w:tcBorders>
              <w:bottom w:val="single" w:sz="4" w:space="0" w:color="auto"/>
            </w:tcBorders>
            <w:shd w:val="clear" w:color="auto" w:fill="DBE5F1" w:themeFill="accent1" w:themeFillTint="33"/>
            <w:vAlign w:val="center"/>
          </w:tcPr>
          <w:p w14:paraId="3E07CC6E" w14:textId="363C3629" w:rsidR="00FE501C" w:rsidRPr="007F051D" w:rsidRDefault="00FE501C" w:rsidP="00244B9E">
            <w:pPr>
              <w:rPr>
                <w:rFonts w:cs="Arial"/>
                <w:b/>
              </w:rPr>
            </w:pPr>
            <w:r w:rsidRPr="007F051D">
              <w:rPr>
                <w:rFonts w:cs="Arial"/>
                <w:b/>
              </w:rPr>
              <w:t>Media</w:t>
            </w:r>
          </w:p>
        </w:tc>
        <w:tc>
          <w:tcPr>
            <w:tcW w:w="1350" w:type="dxa"/>
            <w:tcBorders>
              <w:bottom w:val="single" w:sz="4" w:space="0" w:color="auto"/>
            </w:tcBorders>
            <w:shd w:val="clear" w:color="auto" w:fill="DBE5F1" w:themeFill="accent1" w:themeFillTint="33"/>
            <w:vAlign w:val="center"/>
          </w:tcPr>
          <w:p w14:paraId="2C7BF80E" w14:textId="6D4AD459" w:rsidR="00FE501C" w:rsidRPr="007F051D" w:rsidRDefault="00FE501C" w:rsidP="00646233">
            <w:pPr>
              <w:jc w:val="center"/>
              <w:rPr>
                <w:rFonts w:cs="Arial"/>
                <w:b/>
              </w:rPr>
            </w:pPr>
            <w:r w:rsidRPr="007F051D">
              <w:rPr>
                <w:rFonts w:cs="Arial"/>
                <w:b/>
              </w:rPr>
              <w:t>Value</w:t>
            </w:r>
          </w:p>
        </w:tc>
      </w:tr>
      <w:tr w:rsidR="00FE501C" w:rsidRPr="00646233" w14:paraId="571B1DB0" w14:textId="77777777" w:rsidTr="6BE7E070">
        <w:trPr>
          <w:jc w:val="center"/>
        </w:trPr>
        <w:tc>
          <w:tcPr>
            <w:tcW w:w="2440" w:type="dxa"/>
            <w:tcBorders>
              <w:top w:val="nil"/>
              <w:bottom w:val="nil"/>
              <w:right w:val="single" w:sz="4" w:space="0" w:color="auto"/>
            </w:tcBorders>
            <w:shd w:val="clear" w:color="auto" w:fill="auto"/>
            <w:vAlign w:val="center"/>
          </w:tcPr>
          <w:p w14:paraId="5AA53FD4" w14:textId="21FCC392" w:rsidR="00FE501C" w:rsidRPr="007F051D" w:rsidRDefault="00FE501C" w:rsidP="00B850CB">
            <w:pPr>
              <w:rPr>
                <w:rFonts w:cs="Arial"/>
              </w:rPr>
            </w:pPr>
            <w:r w:rsidRPr="6BE7E070">
              <w:rPr>
                <w:rFonts w:cs="Arial"/>
              </w:rPr>
              <w:t>Surface Water</w:t>
            </w:r>
            <w:r w:rsidR="004D01EF" w:rsidRPr="6BE7E070">
              <w:rPr>
                <w:rFonts w:cs="Arial"/>
              </w:rPr>
              <w:t xml:space="preserve"> </w:t>
            </w:r>
            <w:r w:rsidR="0049339C" w:rsidRPr="6BE7E070">
              <w:rPr>
                <w:rFonts w:cs="Arial"/>
              </w:rPr>
              <w:t>(SWAL)</w:t>
            </w:r>
          </w:p>
        </w:tc>
        <w:tc>
          <w:tcPr>
            <w:tcW w:w="1350" w:type="dxa"/>
            <w:tcBorders>
              <w:top w:val="nil"/>
              <w:left w:val="single" w:sz="4" w:space="0" w:color="auto"/>
              <w:bottom w:val="nil"/>
              <w:right w:val="single" w:sz="4" w:space="0" w:color="auto"/>
            </w:tcBorders>
            <w:shd w:val="clear" w:color="auto" w:fill="auto"/>
          </w:tcPr>
          <w:p w14:paraId="4623FFB7" w14:textId="405B3AF5" w:rsidR="00FE501C" w:rsidRPr="007F051D" w:rsidRDefault="00B60BE4" w:rsidP="00E05B96">
            <w:pPr>
              <w:jc w:val="center"/>
              <w:rPr>
                <w:rFonts w:cs="Arial"/>
              </w:rPr>
            </w:pPr>
            <w:r w:rsidRPr="007F051D">
              <w:rPr>
                <w:rFonts w:cs="Arial"/>
              </w:rPr>
              <w:t>2</w:t>
            </w:r>
            <w:r>
              <w:rPr>
                <w:rFonts w:cs="Arial"/>
              </w:rPr>
              <w:t>0</w:t>
            </w:r>
            <w:r w:rsidRPr="007F051D">
              <w:rPr>
                <w:rFonts w:cs="Arial"/>
              </w:rPr>
              <w:t xml:space="preserve"> </w:t>
            </w:r>
            <w:r w:rsidR="0035385D" w:rsidRPr="007F051D">
              <w:rPr>
                <w:rFonts w:cs="Arial"/>
              </w:rPr>
              <w:t>n</w:t>
            </w:r>
            <w:r w:rsidR="00FE501C" w:rsidRPr="007F051D">
              <w:rPr>
                <w:rFonts w:cs="Arial"/>
              </w:rPr>
              <w:t>g/L</w:t>
            </w:r>
          </w:p>
        </w:tc>
      </w:tr>
      <w:tr w:rsidR="00FE501C" w:rsidRPr="00646233" w14:paraId="7C509FF4" w14:textId="77777777" w:rsidTr="6BE7E070">
        <w:trPr>
          <w:jc w:val="center"/>
        </w:trPr>
        <w:tc>
          <w:tcPr>
            <w:tcW w:w="2440" w:type="dxa"/>
            <w:tcBorders>
              <w:top w:val="nil"/>
            </w:tcBorders>
            <w:shd w:val="clear" w:color="auto" w:fill="auto"/>
          </w:tcPr>
          <w:p w14:paraId="27F29523" w14:textId="51FBBDC7" w:rsidR="004D01EF" w:rsidRDefault="004D01EF" w:rsidP="00237903">
            <w:pPr>
              <w:rPr>
                <w:rFonts w:cs="Arial"/>
              </w:rPr>
            </w:pPr>
            <w:r w:rsidRPr="6BE7E070">
              <w:rPr>
                <w:rFonts w:cs="Arial"/>
              </w:rPr>
              <w:t>Public Beach (PBAL)</w:t>
            </w:r>
          </w:p>
          <w:p w14:paraId="2C56435A" w14:textId="0901161C" w:rsidR="00FE501C" w:rsidRPr="007F051D" w:rsidRDefault="00FE501C" w:rsidP="00237903">
            <w:pPr>
              <w:rPr>
                <w:rFonts w:cs="Arial"/>
              </w:rPr>
            </w:pPr>
            <w:r w:rsidRPr="6BE7E070">
              <w:rPr>
                <w:rFonts w:cs="Arial"/>
              </w:rPr>
              <w:t>Fish</w:t>
            </w:r>
            <w:r w:rsidR="0049339C" w:rsidRPr="6BE7E070">
              <w:rPr>
                <w:rFonts w:cs="Arial"/>
              </w:rPr>
              <w:t xml:space="preserve"> (FAL)</w:t>
            </w:r>
          </w:p>
        </w:tc>
        <w:tc>
          <w:tcPr>
            <w:tcW w:w="1350" w:type="dxa"/>
            <w:tcBorders>
              <w:top w:val="nil"/>
            </w:tcBorders>
            <w:shd w:val="clear" w:color="auto" w:fill="auto"/>
          </w:tcPr>
          <w:p w14:paraId="019F06D5" w14:textId="59E2D31D" w:rsidR="004D01EF" w:rsidRDefault="00D2099F" w:rsidP="00237903">
            <w:pPr>
              <w:jc w:val="center"/>
              <w:rPr>
                <w:rFonts w:cs="Arial"/>
              </w:rPr>
            </w:pPr>
            <w:r>
              <w:rPr>
                <w:rFonts w:cs="Arial"/>
              </w:rPr>
              <w:t>90</w:t>
            </w:r>
            <w:r w:rsidR="004D01EF">
              <w:rPr>
                <w:rFonts w:cs="Arial"/>
              </w:rPr>
              <w:t xml:space="preserve"> ng/L</w:t>
            </w:r>
          </w:p>
          <w:p w14:paraId="575DA150" w14:textId="0F2B0D04" w:rsidR="00FE501C" w:rsidRPr="007F051D" w:rsidRDefault="00FE501C" w:rsidP="00237903">
            <w:pPr>
              <w:jc w:val="center"/>
              <w:rPr>
                <w:rFonts w:cs="Arial"/>
              </w:rPr>
            </w:pPr>
            <w:r w:rsidRPr="007F051D">
              <w:rPr>
                <w:rFonts w:cs="Arial"/>
              </w:rPr>
              <w:t>0.2</w:t>
            </w:r>
            <w:r w:rsidR="00D43ABE" w:rsidRPr="007F051D">
              <w:rPr>
                <w:rFonts w:cs="Arial"/>
              </w:rPr>
              <w:t>2</w:t>
            </w:r>
            <w:r w:rsidRPr="007F051D">
              <w:rPr>
                <w:rFonts w:cs="Arial"/>
              </w:rPr>
              <w:t xml:space="preserve"> µg/kg</w:t>
            </w:r>
          </w:p>
        </w:tc>
      </w:tr>
    </w:tbl>
    <w:p w14:paraId="25A5D456" w14:textId="77777777" w:rsidR="00244B9E" w:rsidRDefault="00244B9E" w:rsidP="00A6663A">
      <w:pPr>
        <w:spacing w:after="0" w:line="240" w:lineRule="auto"/>
        <w:jc w:val="both"/>
        <w:rPr>
          <w:rFonts w:cs="Arial"/>
          <w:sz w:val="24"/>
          <w:szCs w:val="24"/>
        </w:rPr>
      </w:pPr>
    </w:p>
    <w:p w14:paraId="5DCD9C21" w14:textId="64F76DCE" w:rsidR="004D01EF" w:rsidRDefault="00BD2243" w:rsidP="009362A1">
      <w:pPr>
        <w:spacing w:line="240" w:lineRule="auto"/>
        <w:rPr>
          <w:rFonts w:cs="Arial"/>
          <w:sz w:val="24"/>
          <w:szCs w:val="24"/>
        </w:rPr>
      </w:pPr>
      <w:r w:rsidRPr="6BE7E070">
        <w:rPr>
          <w:rFonts w:cs="Arial"/>
          <w:sz w:val="24"/>
          <w:szCs w:val="24"/>
        </w:rPr>
        <w:t xml:space="preserve">The </w:t>
      </w:r>
      <w:r w:rsidR="00FE501C" w:rsidRPr="6BE7E070">
        <w:rPr>
          <w:rFonts w:cs="Arial"/>
          <w:sz w:val="24"/>
          <w:szCs w:val="24"/>
        </w:rPr>
        <w:t>ALs</w:t>
      </w:r>
      <w:r w:rsidRPr="6BE7E070">
        <w:rPr>
          <w:rFonts w:cs="Arial"/>
          <w:sz w:val="24"/>
          <w:szCs w:val="24"/>
        </w:rPr>
        <w:t xml:space="preserve"> listed in Table </w:t>
      </w:r>
      <w:r w:rsidR="00A34A85" w:rsidRPr="6BE7E070">
        <w:rPr>
          <w:rFonts w:cs="Arial"/>
          <w:sz w:val="24"/>
          <w:szCs w:val="24"/>
        </w:rPr>
        <w:t>1</w:t>
      </w:r>
      <w:r w:rsidRPr="6BE7E070">
        <w:rPr>
          <w:rFonts w:cs="Arial"/>
          <w:sz w:val="24"/>
          <w:szCs w:val="24"/>
        </w:rPr>
        <w:t xml:space="preserve">.1 are </w:t>
      </w:r>
      <w:r w:rsidR="00D5693E">
        <w:rPr>
          <w:rFonts w:cs="Arial"/>
          <w:sz w:val="24"/>
          <w:szCs w:val="24"/>
        </w:rPr>
        <w:t>calculated using</w:t>
      </w:r>
      <w:r w:rsidRPr="6BE7E070">
        <w:rPr>
          <w:rFonts w:cs="Arial"/>
          <w:sz w:val="24"/>
          <w:szCs w:val="24"/>
        </w:rPr>
        <w:t xml:space="preserve"> toxicity criteri</w:t>
      </w:r>
      <w:r w:rsidR="00027D51" w:rsidRPr="6BE7E070">
        <w:rPr>
          <w:rFonts w:cs="Arial"/>
          <w:sz w:val="24"/>
          <w:szCs w:val="24"/>
        </w:rPr>
        <w:t>on</w:t>
      </w:r>
      <w:r w:rsidRPr="6BE7E070">
        <w:rPr>
          <w:rFonts w:cs="Arial"/>
          <w:sz w:val="24"/>
          <w:szCs w:val="24"/>
        </w:rPr>
        <w:t xml:space="preserve"> and exposure assumptions discussed </w:t>
      </w:r>
      <w:r w:rsidR="00143AFF" w:rsidRPr="6BE7E070">
        <w:rPr>
          <w:rFonts w:cs="Arial"/>
          <w:sz w:val="24"/>
          <w:szCs w:val="24"/>
        </w:rPr>
        <w:t xml:space="preserve">in Section </w:t>
      </w:r>
      <w:r w:rsidR="00A34A85" w:rsidRPr="6BE7E070">
        <w:rPr>
          <w:rFonts w:cs="Arial"/>
          <w:sz w:val="24"/>
          <w:szCs w:val="24"/>
        </w:rPr>
        <w:t>2</w:t>
      </w:r>
      <w:r w:rsidRPr="6BE7E070">
        <w:rPr>
          <w:rFonts w:cs="Arial"/>
          <w:sz w:val="24"/>
          <w:szCs w:val="24"/>
        </w:rPr>
        <w:t xml:space="preserve">. </w:t>
      </w:r>
      <w:r w:rsidR="00CF0E59" w:rsidRPr="6BE7E070">
        <w:rPr>
          <w:rFonts w:cs="Arial"/>
          <w:sz w:val="24"/>
          <w:szCs w:val="24"/>
        </w:rPr>
        <w:t xml:space="preserve">The ALs will be used to screen waterbodies, to determine whether </w:t>
      </w:r>
      <w:r w:rsidR="004D01EF" w:rsidRPr="6BE7E070">
        <w:rPr>
          <w:rFonts w:cs="Arial"/>
          <w:sz w:val="24"/>
          <w:szCs w:val="24"/>
        </w:rPr>
        <w:t xml:space="preserve">notification, </w:t>
      </w:r>
      <w:r w:rsidR="00CF0E59" w:rsidRPr="6BE7E070">
        <w:rPr>
          <w:rFonts w:cs="Arial"/>
          <w:sz w:val="24"/>
          <w:szCs w:val="24"/>
        </w:rPr>
        <w:t>further evaluation</w:t>
      </w:r>
      <w:r w:rsidR="002D23AA">
        <w:rPr>
          <w:rFonts w:cs="Arial"/>
          <w:sz w:val="24"/>
          <w:szCs w:val="24"/>
        </w:rPr>
        <w:t>,</w:t>
      </w:r>
      <w:r w:rsidR="00CF0E59" w:rsidRPr="6BE7E070">
        <w:rPr>
          <w:rFonts w:cs="Arial"/>
          <w:sz w:val="24"/>
          <w:szCs w:val="24"/>
        </w:rPr>
        <w:t xml:space="preserve"> or risk reduction measures are required</w:t>
      </w:r>
      <w:r w:rsidR="004D01EF" w:rsidRPr="6BE7E070">
        <w:rPr>
          <w:rFonts w:cs="Arial"/>
          <w:sz w:val="24"/>
          <w:szCs w:val="24"/>
        </w:rPr>
        <w:t>:</w:t>
      </w:r>
    </w:p>
    <w:p w14:paraId="04A49EA2" w14:textId="30E79632" w:rsidR="00966A24" w:rsidRPr="00966A24" w:rsidRDefault="00966A24" w:rsidP="00966A24">
      <w:pPr>
        <w:spacing w:after="0" w:line="240" w:lineRule="auto"/>
        <w:rPr>
          <w:rFonts w:cs="Arial"/>
          <w:i/>
          <w:iCs/>
          <w:sz w:val="24"/>
          <w:szCs w:val="24"/>
        </w:rPr>
      </w:pPr>
      <w:r w:rsidRPr="00966A24">
        <w:rPr>
          <w:rFonts w:cs="Arial"/>
          <w:i/>
          <w:iCs/>
          <w:sz w:val="24"/>
          <w:szCs w:val="24"/>
        </w:rPr>
        <w:t>For Surface Water</w:t>
      </w:r>
    </w:p>
    <w:p w14:paraId="428D39F7" w14:textId="04FAAFC6" w:rsidR="004D01EF" w:rsidRDefault="004D01EF" w:rsidP="009362A1">
      <w:pPr>
        <w:pStyle w:val="ListParagraph"/>
        <w:numPr>
          <w:ilvl w:val="0"/>
          <w:numId w:val="37"/>
        </w:numPr>
        <w:spacing w:line="240" w:lineRule="auto"/>
        <w:rPr>
          <w:rFonts w:cs="Arial"/>
          <w:sz w:val="24"/>
          <w:szCs w:val="24"/>
        </w:rPr>
      </w:pPr>
      <w:r w:rsidRPr="6BE7E070">
        <w:rPr>
          <w:rFonts w:cs="Arial"/>
          <w:sz w:val="24"/>
          <w:szCs w:val="24"/>
        </w:rPr>
        <w:t xml:space="preserve">If </w:t>
      </w:r>
      <w:r w:rsidR="00966A24">
        <w:rPr>
          <w:rFonts w:cs="Arial"/>
          <w:sz w:val="24"/>
          <w:szCs w:val="24"/>
        </w:rPr>
        <w:t xml:space="preserve">PFAS concentrations </w:t>
      </w:r>
      <w:r w:rsidR="00966A24" w:rsidRPr="6BE7E070">
        <w:rPr>
          <w:rFonts w:cs="Arial"/>
          <w:sz w:val="24"/>
          <w:szCs w:val="24"/>
        </w:rPr>
        <w:t>at a waterbody with a public bathing beach</w:t>
      </w:r>
      <w:r w:rsidR="00966A24">
        <w:rPr>
          <w:rFonts w:cs="Arial"/>
          <w:sz w:val="24"/>
          <w:szCs w:val="24"/>
        </w:rPr>
        <w:t xml:space="preserve"> exceed the</w:t>
      </w:r>
      <w:r w:rsidR="00966A24" w:rsidRPr="6BE7E070">
        <w:rPr>
          <w:rFonts w:cs="Arial"/>
          <w:sz w:val="24"/>
          <w:szCs w:val="24"/>
        </w:rPr>
        <w:t xml:space="preserve"> </w:t>
      </w:r>
      <w:r w:rsidRPr="6BE7E070">
        <w:rPr>
          <w:rFonts w:cs="Arial"/>
          <w:sz w:val="24"/>
          <w:szCs w:val="24"/>
        </w:rPr>
        <w:t>SWAL</w:t>
      </w:r>
      <w:r w:rsidR="00966A24">
        <w:rPr>
          <w:rFonts w:cs="Arial"/>
          <w:sz w:val="24"/>
          <w:szCs w:val="24"/>
        </w:rPr>
        <w:t>, but are less than or equal to the PBAL,</w:t>
      </w:r>
      <w:r w:rsidRPr="6BE7E070">
        <w:rPr>
          <w:rFonts w:cs="Arial"/>
          <w:sz w:val="24"/>
          <w:szCs w:val="24"/>
        </w:rPr>
        <w:t xml:space="preserve"> </w:t>
      </w:r>
      <w:bookmarkStart w:id="1" w:name="_Hlk115867816"/>
      <w:r w:rsidRPr="6BE7E070">
        <w:rPr>
          <w:rFonts w:cs="Arial"/>
          <w:sz w:val="24"/>
          <w:szCs w:val="24"/>
        </w:rPr>
        <w:t>sign</w:t>
      </w:r>
      <w:r w:rsidR="00424F48">
        <w:rPr>
          <w:rFonts w:cs="Arial"/>
          <w:sz w:val="24"/>
          <w:szCs w:val="24"/>
        </w:rPr>
        <w:t>age</w:t>
      </w:r>
      <w:r w:rsidRPr="6BE7E070">
        <w:rPr>
          <w:rFonts w:cs="Arial"/>
          <w:sz w:val="24"/>
          <w:szCs w:val="24"/>
        </w:rPr>
        <w:t xml:space="preserve"> will be posted notifying that PFAS has been detected in the </w:t>
      </w:r>
      <w:bookmarkEnd w:id="1"/>
      <w:r w:rsidR="009A1310" w:rsidRPr="6BE7E070">
        <w:rPr>
          <w:rFonts w:cs="Arial"/>
          <w:sz w:val="24"/>
          <w:szCs w:val="24"/>
        </w:rPr>
        <w:t>waterbody</w:t>
      </w:r>
      <w:r w:rsidR="002A10BD">
        <w:rPr>
          <w:rFonts w:cs="Arial"/>
          <w:sz w:val="24"/>
          <w:szCs w:val="24"/>
        </w:rPr>
        <w:t>, but that it is safe to swim</w:t>
      </w:r>
      <w:r w:rsidR="009A1310" w:rsidRPr="6BE7E070">
        <w:rPr>
          <w:rFonts w:cs="Arial"/>
          <w:sz w:val="24"/>
          <w:szCs w:val="24"/>
        </w:rPr>
        <w:t>.</w:t>
      </w:r>
    </w:p>
    <w:p w14:paraId="05B11867" w14:textId="60D60D07" w:rsidR="004D01EF" w:rsidRDefault="00A462D3" w:rsidP="009362A1">
      <w:pPr>
        <w:pStyle w:val="ListParagraph"/>
        <w:numPr>
          <w:ilvl w:val="0"/>
          <w:numId w:val="37"/>
        </w:numPr>
        <w:spacing w:line="240" w:lineRule="auto"/>
        <w:rPr>
          <w:rFonts w:cs="Arial"/>
          <w:sz w:val="24"/>
          <w:szCs w:val="24"/>
        </w:rPr>
      </w:pPr>
      <w:r w:rsidRPr="6BE7E070">
        <w:rPr>
          <w:rFonts w:cs="Arial"/>
          <w:sz w:val="24"/>
          <w:szCs w:val="24"/>
        </w:rPr>
        <w:t xml:space="preserve">If </w:t>
      </w:r>
      <w:r w:rsidR="00966A24">
        <w:rPr>
          <w:rFonts w:cs="Arial"/>
          <w:sz w:val="24"/>
          <w:szCs w:val="24"/>
        </w:rPr>
        <w:t>PFAS concentrations exceed the</w:t>
      </w:r>
      <w:r w:rsidR="00966A24" w:rsidRPr="6BE7E070">
        <w:rPr>
          <w:rFonts w:cs="Arial"/>
          <w:sz w:val="24"/>
          <w:szCs w:val="24"/>
        </w:rPr>
        <w:t xml:space="preserve"> </w:t>
      </w:r>
      <w:r w:rsidR="00EB27F1" w:rsidRPr="6BE7E070">
        <w:rPr>
          <w:rFonts w:cs="Arial"/>
          <w:sz w:val="24"/>
          <w:szCs w:val="24"/>
        </w:rPr>
        <w:t>PBAL</w:t>
      </w:r>
      <w:r w:rsidRPr="6BE7E070">
        <w:rPr>
          <w:rFonts w:cs="Arial"/>
          <w:sz w:val="24"/>
          <w:szCs w:val="24"/>
        </w:rPr>
        <w:t>, DPH will conduct a waterbody</w:t>
      </w:r>
      <w:r w:rsidR="00461FFC" w:rsidRPr="6BE7E070">
        <w:rPr>
          <w:rFonts w:cs="Arial"/>
          <w:sz w:val="24"/>
          <w:szCs w:val="24"/>
        </w:rPr>
        <w:t>-</w:t>
      </w:r>
      <w:r w:rsidRPr="6BE7E070">
        <w:rPr>
          <w:rFonts w:cs="Arial"/>
          <w:sz w:val="24"/>
          <w:szCs w:val="24"/>
        </w:rPr>
        <w:t xml:space="preserve">specific </w:t>
      </w:r>
      <w:r w:rsidR="00424F48">
        <w:rPr>
          <w:rFonts w:cs="Arial"/>
          <w:sz w:val="24"/>
          <w:szCs w:val="24"/>
        </w:rPr>
        <w:t>evaluation</w:t>
      </w:r>
      <w:r w:rsidRPr="6BE7E070">
        <w:rPr>
          <w:rFonts w:cs="Arial"/>
          <w:sz w:val="24"/>
          <w:szCs w:val="24"/>
        </w:rPr>
        <w:t xml:space="preserve"> to determine </w:t>
      </w:r>
      <w:r w:rsidR="00424F48">
        <w:rPr>
          <w:rFonts w:cs="Arial"/>
          <w:sz w:val="24"/>
          <w:szCs w:val="24"/>
        </w:rPr>
        <w:t xml:space="preserve">whether </w:t>
      </w:r>
      <w:r w:rsidR="00461FFC" w:rsidRPr="6BE7E070">
        <w:rPr>
          <w:rFonts w:cs="Arial"/>
          <w:sz w:val="24"/>
          <w:szCs w:val="24"/>
        </w:rPr>
        <w:t xml:space="preserve">recreational activities </w:t>
      </w:r>
      <w:r w:rsidR="00424F48">
        <w:rPr>
          <w:rFonts w:cs="Arial"/>
          <w:sz w:val="24"/>
          <w:szCs w:val="24"/>
        </w:rPr>
        <w:t>should be limited</w:t>
      </w:r>
      <w:r w:rsidR="00461FFC" w:rsidRPr="00EA557C">
        <w:rPr>
          <w:rFonts w:cs="Arial"/>
          <w:sz w:val="24"/>
          <w:szCs w:val="24"/>
        </w:rPr>
        <w:t xml:space="preserve">, </w:t>
      </w:r>
      <w:r w:rsidR="00A34A85" w:rsidRPr="6BE7E070">
        <w:rPr>
          <w:rFonts w:cs="Arial"/>
          <w:sz w:val="24"/>
          <w:szCs w:val="24"/>
        </w:rPr>
        <w:t>as outlined in Section 3</w:t>
      </w:r>
      <w:r w:rsidR="00C820B1" w:rsidRPr="6BE7E070">
        <w:rPr>
          <w:rFonts w:cs="Arial"/>
          <w:sz w:val="24"/>
          <w:szCs w:val="24"/>
        </w:rPr>
        <w:t xml:space="preserve">. </w:t>
      </w:r>
    </w:p>
    <w:p w14:paraId="0CDA61AB" w14:textId="312CF0CD" w:rsidR="00966A24" w:rsidRPr="00966A24" w:rsidRDefault="00966A24" w:rsidP="00966A24">
      <w:pPr>
        <w:spacing w:after="0" w:line="240" w:lineRule="auto"/>
        <w:rPr>
          <w:rFonts w:cs="Arial"/>
          <w:i/>
          <w:iCs/>
          <w:sz w:val="24"/>
          <w:szCs w:val="24"/>
        </w:rPr>
      </w:pPr>
      <w:r w:rsidRPr="00966A24">
        <w:rPr>
          <w:rFonts w:cs="Arial"/>
          <w:i/>
          <w:iCs/>
          <w:sz w:val="24"/>
          <w:szCs w:val="24"/>
        </w:rPr>
        <w:t>For Fish</w:t>
      </w:r>
    </w:p>
    <w:p w14:paraId="1418C850" w14:textId="42BE7B39" w:rsidR="00874BA4" w:rsidRDefault="00C820B1" w:rsidP="009362A1">
      <w:pPr>
        <w:pStyle w:val="ListParagraph"/>
        <w:numPr>
          <w:ilvl w:val="0"/>
          <w:numId w:val="37"/>
        </w:numPr>
        <w:spacing w:line="240" w:lineRule="auto"/>
        <w:rPr>
          <w:rFonts w:cs="Arial"/>
          <w:sz w:val="24"/>
          <w:szCs w:val="24"/>
        </w:rPr>
      </w:pPr>
      <w:r w:rsidRPr="1CA4B720">
        <w:rPr>
          <w:rFonts w:cs="Arial"/>
          <w:sz w:val="24"/>
          <w:szCs w:val="24"/>
        </w:rPr>
        <w:t xml:space="preserve">If </w:t>
      </w:r>
      <w:r w:rsidR="00966A24">
        <w:rPr>
          <w:rFonts w:cs="Arial"/>
          <w:sz w:val="24"/>
          <w:szCs w:val="24"/>
        </w:rPr>
        <w:t>PFAS concentrations exceed the</w:t>
      </w:r>
      <w:r w:rsidR="00966A24" w:rsidRPr="1CA4B720">
        <w:rPr>
          <w:rFonts w:cs="Arial"/>
          <w:sz w:val="24"/>
          <w:szCs w:val="24"/>
        </w:rPr>
        <w:t xml:space="preserve"> </w:t>
      </w:r>
      <w:r w:rsidRPr="1CA4B720">
        <w:rPr>
          <w:rFonts w:cs="Arial"/>
          <w:sz w:val="24"/>
          <w:szCs w:val="24"/>
        </w:rPr>
        <w:t>FAL, DPH will issue</w:t>
      </w:r>
      <w:r w:rsidR="00C375C3">
        <w:rPr>
          <w:rFonts w:cs="Arial"/>
          <w:sz w:val="24"/>
          <w:szCs w:val="24"/>
        </w:rPr>
        <w:t xml:space="preserve"> a</w:t>
      </w:r>
      <w:r w:rsidRPr="1CA4B720">
        <w:rPr>
          <w:rFonts w:cs="Arial"/>
          <w:sz w:val="24"/>
          <w:szCs w:val="24"/>
        </w:rPr>
        <w:t xml:space="preserve"> fish consumption </w:t>
      </w:r>
      <w:r w:rsidR="00C375C3" w:rsidRPr="1CA4B720">
        <w:rPr>
          <w:rFonts w:cs="Arial"/>
          <w:sz w:val="24"/>
          <w:szCs w:val="24"/>
        </w:rPr>
        <w:t>advisor</w:t>
      </w:r>
      <w:r w:rsidR="00C375C3">
        <w:rPr>
          <w:rFonts w:cs="Arial"/>
          <w:sz w:val="24"/>
          <w:szCs w:val="24"/>
        </w:rPr>
        <w:t>y</w:t>
      </w:r>
      <w:r w:rsidRPr="1CA4B720">
        <w:rPr>
          <w:rFonts w:cs="Arial"/>
          <w:sz w:val="24"/>
          <w:szCs w:val="24"/>
        </w:rPr>
        <w:t xml:space="preserve">, </w:t>
      </w:r>
      <w:r w:rsidR="00A34A85" w:rsidRPr="1CA4B720">
        <w:rPr>
          <w:rFonts w:cs="Arial"/>
          <w:sz w:val="24"/>
          <w:szCs w:val="24"/>
        </w:rPr>
        <w:t>as outlined in Section 4</w:t>
      </w:r>
      <w:r w:rsidRPr="1CA4B720">
        <w:rPr>
          <w:rFonts w:cs="Arial"/>
          <w:sz w:val="24"/>
          <w:szCs w:val="24"/>
        </w:rPr>
        <w:t xml:space="preserve">. </w:t>
      </w:r>
    </w:p>
    <w:p w14:paraId="4B61FD5D" w14:textId="77777777" w:rsidR="00874BA4" w:rsidRDefault="00874BA4" w:rsidP="0095515D">
      <w:pPr>
        <w:spacing w:after="0"/>
      </w:pPr>
    </w:p>
    <w:p w14:paraId="27356FA4" w14:textId="33E10FBF" w:rsidR="00E77E37" w:rsidRDefault="00BD2243">
      <w:pPr>
        <w:rPr>
          <w:rFonts w:cs="Arial"/>
        </w:rPr>
      </w:pPr>
      <w:r w:rsidRPr="00696722">
        <w:rPr>
          <w:sz w:val="24"/>
          <w:szCs w:val="24"/>
        </w:rPr>
        <w:t xml:space="preserve">The </w:t>
      </w:r>
      <w:r w:rsidR="00FE501C" w:rsidRPr="00696722">
        <w:rPr>
          <w:sz w:val="24"/>
          <w:szCs w:val="24"/>
        </w:rPr>
        <w:t>ALs</w:t>
      </w:r>
      <w:r w:rsidRPr="00696722">
        <w:rPr>
          <w:sz w:val="24"/>
          <w:szCs w:val="24"/>
        </w:rPr>
        <w:t xml:space="preserve"> will be updated</w:t>
      </w:r>
      <w:r w:rsidR="00E41056" w:rsidRPr="00696722">
        <w:rPr>
          <w:sz w:val="24"/>
          <w:szCs w:val="24"/>
        </w:rPr>
        <w:t xml:space="preserve"> as new toxicity criteria and/or exposure assumptions are available.</w:t>
      </w:r>
    </w:p>
    <w:p w14:paraId="2A06F074" w14:textId="13AB8C7C" w:rsidR="00AD610F" w:rsidRDefault="00E77E37" w:rsidP="004D01EF">
      <w:pPr>
        <w:pStyle w:val="Heading1"/>
        <w:keepNext/>
      </w:pPr>
      <w:bookmarkStart w:id="2" w:name="_Toc162620783"/>
      <w:r>
        <w:lastRenderedPageBreak/>
        <w:t xml:space="preserve">ACTION LEVELS </w:t>
      </w:r>
      <w:r w:rsidR="008D4F08">
        <w:t xml:space="preserve">AND </w:t>
      </w:r>
      <w:r w:rsidR="008D4F08" w:rsidRPr="00C46CD5">
        <w:t>EVALUATION</w:t>
      </w:r>
      <w:bookmarkEnd w:id="2"/>
    </w:p>
    <w:p w14:paraId="28C470A0" w14:textId="2089FF2B" w:rsidR="008D4F08" w:rsidRPr="008D4F08" w:rsidRDefault="008D4F08" w:rsidP="009362A1">
      <w:pPr>
        <w:spacing w:line="240" w:lineRule="auto"/>
        <w:rPr>
          <w:sz w:val="24"/>
          <w:szCs w:val="24"/>
        </w:rPr>
      </w:pPr>
      <w:r w:rsidRPr="6BE7E070">
        <w:rPr>
          <w:sz w:val="24"/>
          <w:szCs w:val="24"/>
        </w:rPr>
        <w:t>Screening values, including the ALs described here, are risk-based concentrations that account for both toxicity and potential exposure, and represent a concentration that is expected to be safe for all individuals</w:t>
      </w:r>
      <w:r w:rsidR="00A80DFA" w:rsidRPr="6BE7E070">
        <w:rPr>
          <w:sz w:val="24"/>
          <w:szCs w:val="24"/>
        </w:rPr>
        <w:t>, including potentially sensitive individuals</w:t>
      </w:r>
      <w:r w:rsidRPr="6BE7E070">
        <w:rPr>
          <w:sz w:val="24"/>
          <w:szCs w:val="24"/>
        </w:rPr>
        <w:t>.</w:t>
      </w:r>
      <w:r w:rsidR="00FF3273">
        <w:rPr>
          <w:rStyle w:val="FootnoteReference"/>
          <w:sz w:val="24"/>
          <w:szCs w:val="24"/>
        </w:rPr>
        <w:footnoteReference w:id="3"/>
      </w:r>
      <w:r w:rsidRPr="6BE7E070">
        <w:rPr>
          <w:sz w:val="24"/>
          <w:szCs w:val="24"/>
        </w:rPr>
        <w:t xml:space="preserve"> The </w:t>
      </w:r>
      <w:r w:rsidR="00A80DFA" w:rsidRPr="6BE7E070">
        <w:rPr>
          <w:sz w:val="24"/>
          <w:szCs w:val="24"/>
        </w:rPr>
        <w:t>toxicity</w:t>
      </w:r>
      <w:r w:rsidRPr="6BE7E070">
        <w:rPr>
          <w:sz w:val="24"/>
          <w:szCs w:val="24"/>
        </w:rPr>
        <w:t xml:space="preserve"> (or </w:t>
      </w:r>
      <w:r w:rsidR="00A80DFA" w:rsidRPr="6BE7E070">
        <w:rPr>
          <w:sz w:val="24"/>
          <w:szCs w:val="24"/>
        </w:rPr>
        <w:t>potency</w:t>
      </w:r>
      <w:r w:rsidRPr="6BE7E070">
        <w:rPr>
          <w:sz w:val="24"/>
          <w:szCs w:val="24"/>
        </w:rPr>
        <w:t>) is characterized by established criteria, which represent a dose, in milligrams of contaminant per kg of body weight, that individuals can be exposed to every day without experiencing adverse health effects. The potential exposure is estimated by characterizing the magnitude, frequency, and duration of contact with the environmental media (e.g., such as surface water when swimming, or the consumption of locally caught fish).</w:t>
      </w:r>
    </w:p>
    <w:p w14:paraId="080FA990" w14:textId="610B5189" w:rsidR="008D4F08" w:rsidRDefault="00A80DFA" w:rsidP="009362A1">
      <w:pPr>
        <w:spacing w:line="240" w:lineRule="auto"/>
        <w:rPr>
          <w:sz w:val="24"/>
          <w:szCs w:val="24"/>
        </w:rPr>
      </w:pPr>
      <w:r w:rsidRPr="6BE7E070">
        <w:rPr>
          <w:sz w:val="24"/>
          <w:szCs w:val="24"/>
        </w:rPr>
        <w:t xml:space="preserve">Toxicity criteria for </w:t>
      </w:r>
      <w:r w:rsidR="009A0A72" w:rsidRPr="64727C1C">
        <w:rPr>
          <w:sz w:val="24"/>
          <w:szCs w:val="24"/>
        </w:rPr>
        <w:t xml:space="preserve">individual </w:t>
      </w:r>
      <w:r w:rsidRPr="6BE7E070">
        <w:rPr>
          <w:sz w:val="24"/>
          <w:szCs w:val="24"/>
        </w:rPr>
        <w:t xml:space="preserve">PFAS have been developed by the </w:t>
      </w:r>
      <w:r w:rsidR="00517453">
        <w:rPr>
          <w:sz w:val="24"/>
          <w:szCs w:val="24"/>
        </w:rPr>
        <w:t xml:space="preserve">federal </w:t>
      </w:r>
      <w:r w:rsidRPr="6BE7E070">
        <w:rPr>
          <w:sz w:val="24"/>
          <w:szCs w:val="24"/>
        </w:rPr>
        <w:t xml:space="preserve">Agency for Toxic Substances and Disease Registry (ATSDR) and the US Environmental Protection Agency (US EPA). </w:t>
      </w:r>
      <w:r w:rsidR="009A0A72" w:rsidRPr="64727C1C">
        <w:rPr>
          <w:sz w:val="24"/>
          <w:szCs w:val="24"/>
        </w:rPr>
        <w:t>MassDEP</w:t>
      </w:r>
      <w:r w:rsidR="005B7478" w:rsidRPr="64727C1C">
        <w:rPr>
          <w:sz w:val="24"/>
          <w:szCs w:val="24"/>
        </w:rPr>
        <w:t xml:space="preserve"> has developed a single toxicity criterion for the sum of </w:t>
      </w:r>
      <w:r w:rsidR="00BC4688" w:rsidRPr="64727C1C">
        <w:rPr>
          <w:sz w:val="24"/>
          <w:szCs w:val="24"/>
        </w:rPr>
        <w:t>6 PFAS.</w:t>
      </w:r>
      <w:r w:rsidR="009A60C9">
        <w:rPr>
          <w:rStyle w:val="FootnoteReference"/>
          <w:sz w:val="24"/>
          <w:szCs w:val="24"/>
        </w:rPr>
        <w:footnoteReference w:id="4"/>
      </w:r>
      <w:r w:rsidR="00BC4688" w:rsidRPr="64727C1C">
        <w:rPr>
          <w:sz w:val="24"/>
          <w:szCs w:val="24"/>
        </w:rPr>
        <w:t xml:space="preserve"> </w:t>
      </w:r>
      <w:r w:rsidRPr="6BE7E070">
        <w:rPr>
          <w:sz w:val="24"/>
          <w:szCs w:val="24"/>
        </w:rPr>
        <w:t>ATSDR non-cancer toxicity criteria are referred to as Minimal Risk Level</w:t>
      </w:r>
      <w:r w:rsidR="00517453">
        <w:rPr>
          <w:sz w:val="24"/>
          <w:szCs w:val="24"/>
        </w:rPr>
        <w:t>s</w:t>
      </w:r>
      <w:r w:rsidRPr="6BE7E070">
        <w:rPr>
          <w:sz w:val="24"/>
          <w:szCs w:val="24"/>
        </w:rPr>
        <w:t xml:space="preserve"> (MRL</w:t>
      </w:r>
      <w:r w:rsidR="00517453">
        <w:rPr>
          <w:sz w:val="24"/>
          <w:szCs w:val="24"/>
        </w:rPr>
        <w:t>s</w:t>
      </w:r>
      <w:r w:rsidRPr="6BE7E070">
        <w:rPr>
          <w:sz w:val="24"/>
          <w:szCs w:val="24"/>
        </w:rPr>
        <w:t xml:space="preserve">); non-cancer toxicity criteria developed by US EPA </w:t>
      </w:r>
      <w:r w:rsidR="009A0A72" w:rsidRPr="64727C1C">
        <w:rPr>
          <w:sz w:val="24"/>
          <w:szCs w:val="24"/>
        </w:rPr>
        <w:t xml:space="preserve">and MassDEP </w:t>
      </w:r>
      <w:r w:rsidRPr="6BE7E070">
        <w:rPr>
          <w:sz w:val="24"/>
          <w:szCs w:val="24"/>
        </w:rPr>
        <w:t>are referred to as Reference Dose</w:t>
      </w:r>
      <w:r w:rsidR="00517453">
        <w:rPr>
          <w:sz w:val="24"/>
          <w:szCs w:val="24"/>
        </w:rPr>
        <w:t>s</w:t>
      </w:r>
      <w:r w:rsidRPr="6BE7E070">
        <w:rPr>
          <w:sz w:val="24"/>
          <w:szCs w:val="24"/>
        </w:rPr>
        <w:t xml:space="preserve"> (</w:t>
      </w:r>
      <w:proofErr w:type="spellStart"/>
      <w:r w:rsidRPr="6BE7E070">
        <w:rPr>
          <w:sz w:val="24"/>
          <w:szCs w:val="24"/>
        </w:rPr>
        <w:t>RfD</w:t>
      </w:r>
      <w:r w:rsidR="00517453">
        <w:rPr>
          <w:sz w:val="24"/>
          <w:szCs w:val="24"/>
        </w:rPr>
        <w:t>s</w:t>
      </w:r>
      <w:proofErr w:type="spellEnd"/>
      <w:r w:rsidRPr="6BE7E070">
        <w:rPr>
          <w:sz w:val="24"/>
          <w:szCs w:val="24"/>
        </w:rPr>
        <w:t xml:space="preserve">). Functionally, MRLs are equivalent to </w:t>
      </w:r>
      <w:proofErr w:type="spellStart"/>
      <w:r w:rsidRPr="6BE7E070">
        <w:rPr>
          <w:sz w:val="24"/>
          <w:szCs w:val="24"/>
        </w:rPr>
        <w:t>RfDs</w:t>
      </w:r>
      <w:proofErr w:type="spellEnd"/>
      <w:r w:rsidR="00201F80" w:rsidRPr="6BE7E070">
        <w:rPr>
          <w:sz w:val="24"/>
          <w:szCs w:val="24"/>
        </w:rPr>
        <w:t xml:space="preserve">. </w:t>
      </w:r>
      <w:r w:rsidR="002261CB" w:rsidRPr="6BE7E070">
        <w:rPr>
          <w:sz w:val="24"/>
          <w:szCs w:val="24"/>
        </w:rPr>
        <w:t>Action Levels for both surface water and fish are based on ATSDR’s MRL of 2.0 x 10</w:t>
      </w:r>
      <w:r w:rsidR="002261CB" w:rsidRPr="6BE7E070">
        <w:rPr>
          <w:sz w:val="24"/>
          <w:szCs w:val="24"/>
          <w:vertAlign w:val="superscript"/>
        </w:rPr>
        <w:t>-6</w:t>
      </w:r>
      <w:r w:rsidR="002261CB" w:rsidRPr="6BE7E070">
        <w:rPr>
          <w:sz w:val="24"/>
          <w:szCs w:val="24"/>
        </w:rPr>
        <w:t xml:space="preserve"> mg/kg-day for </w:t>
      </w:r>
      <w:proofErr w:type="spellStart"/>
      <w:r w:rsidR="02F1B879" w:rsidRPr="64727C1C">
        <w:rPr>
          <w:sz w:val="24"/>
          <w:szCs w:val="24"/>
        </w:rPr>
        <w:t>perfluorooctane</w:t>
      </w:r>
      <w:proofErr w:type="spellEnd"/>
      <w:r w:rsidR="02F1B879" w:rsidRPr="64727C1C">
        <w:rPr>
          <w:sz w:val="24"/>
          <w:szCs w:val="24"/>
        </w:rPr>
        <w:t xml:space="preserve"> sulfonic acid</w:t>
      </w:r>
      <w:r w:rsidR="02F1B879" w:rsidRPr="6BE7E070">
        <w:rPr>
          <w:sz w:val="24"/>
          <w:szCs w:val="24"/>
        </w:rPr>
        <w:t xml:space="preserve"> (</w:t>
      </w:r>
      <w:r w:rsidR="002261CB" w:rsidRPr="6BE7E070">
        <w:rPr>
          <w:sz w:val="24"/>
          <w:szCs w:val="24"/>
        </w:rPr>
        <w:t>PFOS</w:t>
      </w:r>
      <w:r w:rsidR="3BC5AA3B" w:rsidRPr="6BE7E070">
        <w:rPr>
          <w:sz w:val="24"/>
          <w:szCs w:val="24"/>
        </w:rPr>
        <w:t>)</w:t>
      </w:r>
      <w:r w:rsidR="002261CB" w:rsidRPr="6BE7E070">
        <w:rPr>
          <w:sz w:val="24"/>
          <w:szCs w:val="24"/>
        </w:rPr>
        <w:t xml:space="preserve">, which ATSDR has determined is the most potent of the PFAS compounds for which there are </w:t>
      </w:r>
      <w:r w:rsidR="006F3BB7" w:rsidRPr="6BE7E070">
        <w:rPr>
          <w:sz w:val="24"/>
          <w:szCs w:val="24"/>
        </w:rPr>
        <w:t xml:space="preserve">suitable </w:t>
      </w:r>
      <w:r w:rsidR="002261CB" w:rsidRPr="6BE7E070">
        <w:rPr>
          <w:sz w:val="24"/>
          <w:szCs w:val="24"/>
        </w:rPr>
        <w:t>data</w:t>
      </w:r>
      <w:r w:rsidR="006F3BB7" w:rsidRPr="6BE7E070">
        <w:rPr>
          <w:sz w:val="24"/>
          <w:szCs w:val="24"/>
        </w:rPr>
        <w:t xml:space="preserve"> for deriving toxicity criteria</w:t>
      </w:r>
      <w:r w:rsidR="00201F80" w:rsidRPr="6BE7E070">
        <w:rPr>
          <w:sz w:val="24"/>
          <w:szCs w:val="24"/>
        </w:rPr>
        <w:t xml:space="preserve"> (ATSDR, 2021)</w:t>
      </w:r>
      <w:r w:rsidR="008D4F08" w:rsidRPr="64727C1C">
        <w:rPr>
          <w:sz w:val="24"/>
          <w:szCs w:val="24"/>
        </w:rPr>
        <w:t xml:space="preserve">. </w:t>
      </w:r>
    </w:p>
    <w:p w14:paraId="4956DC8E" w14:textId="12A440CF" w:rsidR="00A80DFA" w:rsidRDefault="00143159" w:rsidP="009362A1">
      <w:pPr>
        <w:spacing w:line="240" w:lineRule="auto"/>
        <w:rPr>
          <w:sz w:val="24"/>
          <w:szCs w:val="24"/>
        </w:rPr>
      </w:pPr>
      <w:r w:rsidRPr="6BE7E070">
        <w:rPr>
          <w:sz w:val="24"/>
          <w:szCs w:val="24"/>
        </w:rPr>
        <w:t>T</w:t>
      </w:r>
      <w:r w:rsidR="00A80DFA" w:rsidRPr="6BE7E070">
        <w:rPr>
          <w:sz w:val="24"/>
          <w:szCs w:val="24"/>
        </w:rPr>
        <w:t xml:space="preserve">he AL represents a concentration that all individuals, including </w:t>
      </w:r>
      <w:r w:rsidR="004A4E7F" w:rsidRPr="6BE7E070">
        <w:rPr>
          <w:sz w:val="24"/>
          <w:szCs w:val="24"/>
        </w:rPr>
        <w:t>those who may be exposed to greater amounts of PFAS</w:t>
      </w:r>
      <w:r w:rsidR="006C02BA">
        <w:rPr>
          <w:sz w:val="24"/>
          <w:szCs w:val="24"/>
        </w:rPr>
        <w:t xml:space="preserve"> </w:t>
      </w:r>
      <w:r w:rsidR="006C02BA" w:rsidRPr="00696722">
        <w:rPr>
          <w:sz w:val="24"/>
          <w:szCs w:val="24"/>
        </w:rPr>
        <w:t>relative to their body weight</w:t>
      </w:r>
      <w:r w:rsidR="004A4E7F" w:rsidRPr="6BE7E070">
        <w:rPr>
          <w:sz w:val="24"/>
          <w:szCs w:val="24"/>
        </w:rPr>
        <w:t xml:space="preserve"> </w:t>
      </w:r>
      <w:r w:rsidR="00676684" w:rsidRPr="00696722">
        <w:rPr>
          <w:sz w:val="24"/>
          <w:szCs w:val="24"/>
        </w:rPr>
        <w:t>and individuals who are more likely to experience adverse health effects from exposure to PFAS (i.e., sensitive individuals)</w:t>
      </w:r>
      <w:r w:rsidR="00622828" w:rsidRPr="00696722">
        <w:rPr>
          <w:sz w:val="24"/>
          <w:szCs w:val="24"/>
        </w:rPr>
        <w:t>,</w:t>
      </w:r>
      <w:r w:rsidR="004A4E7F" w:rsidRPr="6BE7E070">
        <w:rPr>
          <w:sz w:val="24"/>
          <w:szCs w:val="24"/>
        </w:rPr>
        <w:t xml:space="preserve"> can be exposed</w:t>
      </w:r>
      <w:r w:rsidR="00A80DFA" w:rsidRPr="6BE7E070">
        <w:rPr>
          <w:sz w:val="24"/>
          <w:szCs w:val="24"/>
        </w:rPr>
        <w:t xml:space="preserve"> to without experiencing adverse health effects</w:t>
      </w:r>
      <w:r w:rsidRPr="6BE7E070">
        <w:rPr>
          <w:sz w:val="24"/>
          <w:szCs w:val="24"/>
        </w:rPr>
        <w:t>. To be protective of all individuals under all reasonably foreseen exposure scenarios,</w:t>
      </w:r>
      <w:r w:rsidR="00A80DFA" w:rsidRPr="6BE7E070">
        <w:rPr>
          <w:sz w:val="24"/>
          <w:szCs w:val="24"/>
        </w:rPr>
        <w:t xml:space="preserve"> </w:t>
      </w:r>
      <w:r w:rsidR="009F15D9" w:rsidRPr="00696722">
        <w:rPr>
          <w:sz w:val="24"/>
          <w:szCs w:val="24"/>
        </w:rPr>
        <w:t>ALs</w:t>
      </w:r>
      <w:r w:rsidR="009F15D9" w:rsidRPr="6BE7E070">
        <w:rPr>
          <w:sz w:val="24"/>
          <w:szCs w:val="24"/>
        </w:rPr>
        <w:t xml:space="preserve"> </w:t>
      </w:r>
      <w:r w:rsidR="00A80DFA" w:rsidRPr="6BE7E070">
        <w:rPr>
          <w:sz w:val="24"/>
          <w:szCs w:val="24"/>
        </w:rPr>
        <w:t>are derived assuming maximum potential exposure</w:t>
      </w:r>
      <w:r w:rsidR="004A4E7F" w:rsidRPr="6BE7E070">
        <w:rPr>
          <w:sz w:val="24"/>
          <w:szCs w:val="24"/>
        </w:rPr>
        <w:t xml:space="preserve">. </w:t>
      </w:r>
      <w:r w:rsidRPr="6BE7E070">
        <w:rPr>
          <w:sz w:val="24"/>
          <w:szCs w:val="24"/>
        </w:rPr>
        <w:t>As such</w:t>
      </w:r>
      <w:r w:rsidR="004A4E7F" w:rsidRPr="6BE7E070">
        <w:rPr>
          <w:sz w:val="24"/>
          <w:szCs w:val="24"/>
        </w:rPr>
        <w:t>, values for characterizing the magnitude, frequency and duration of contact will likely overestimate actual contact for most, if not all individuals.</w:t>
      </w:r>
    </w:p>
    <w:p w14:paraId="1E64BF65" w14:textId="19F8DB85" w:rsidR="00424F48" w:rsidRDefault="00424F48" w:rsidP="009362A1">
      <w:pPr>
        <w:spacing w:line="240" w:lineRule="auto"/>
        <w:rPr>
          <w:sz w:val="24"/>
          <w:szCs w:val="24"/>
        </w:rPr>
      </w:pPr>
      <w:r>
        <w:rPr>
          <w:sz w:val="24"/>
          <w:szCs w:val="24"/>
        </w:rPr>
        <w:t>I</w:t>
      </w:r>
      <w:r w:rsidRPr="6BE7E070">
        <w:rPr>
          <w:rFonts w:cs="Arial"/>
          <w:sz w:val="24"/>
          <w:szCs w:val="24"/>
        </w:rPr>
        <w:t xml:space="preserve">f </w:t>
      </w:r>
      <w:r w:rsidR="00966A24">
        <w:rPr>
          <w:rFonts w:cs="Arial"/>
          <w:sz w:val="24"/>
          <w:szCs w:val="24"/>
        </w:rPr>
        <w:t xml:space="preserve">PFAS concentrations </w:t>
      </w:r>
      <w:r w:rsidRPr="6BE7E070">
        <w:rPr>
          <w:rFonts w:cs="Arial"/>
          <w:sz w:val="24"/>
          <w:szCs w:val="24"/>
        </w:rPr>
        <w:t>at a waterbody with a public bathing beach</w:t>
      </w:r>
      <w:r w:rsidR="00966A24">
        <w:rPr>
          <w:rFonts w:cs="Arial"/>
          <w:sz w:val="24"/>
          <w:szCs w:val="24"/>
        </w:rPr>
        <w:t xml:space="preserve"> exceed the SWAL, but are less than or equal to the PBAL</w:t>
      </w:r>
      <w:r w:rsidRPr="6BE7E070">
        <w:rPr>
          <w:rFonts w:cs="Arial"/>
          <w:sz w:val="24"/>
          <w:szCs w:val="24"/>
        </w:rPr>
        <w:t>, signs will be posted notifying that PFAS has been detected in the waterbody</w:t>
      </w:r>
      <w:r w:rsidR="002A10BD">
        <w:rPr>
          <w:rFonts w:cs="Arial"/>
          <w:sz w:val="24"/>
          <w:szCs w:val="24"/>
        </w:rPr>
        <w:t>, but that it is safe to swim</w:t>
      </w:r>
      <w:r>
        <w:rPr>
          <w:rFonts w:cs="Arial"/>
          <w:sz w:val="24"/>
          <w:szCs w:val="24"/>
        </w:rPr>
        <w:t>.</w:t>
      </w:r>
      <w:r w:rsidRPr="6BE7E070">
        <w:rPr>
          <w:sz w:val="24"/>
          <w:szCs w:val="24"/>
        </w:rPr>
        <w:t xml:space="preserve"> </w:t>
      </w:r>
      <w:r>
        <w:rPr>
          <w:sz w:val="24"/>
          <w:szCs w:val="24"/>
        </w:rPr>
        <w:t xml:space="preserve"> If the PBAL is exceeded, DPH will conduct a waterbody-specific evaluation, to determine whether swimming</w:t>
      </w:r>
      <w:r w:rsidR="00CF3254">
        <w:rPr>
          <w:sz w:val="24"/>
          <w:szCs w:val="24"/>
        </w:rPr>
        <w:t xml:space="preserve"> </w:t>
      </w:r>
      <w:r>
        <w:rPr>
          <w:sz w:val="24"/>
          <w:szCs w:val="24"/>
        </w:rPr>
        <w:t xml:space="preserve">should be </w:t>
      </w:r>
      <w:r w:rsidR="00EA557C">
        <w:rPr>
          <w:sz w:val="24"/>
          <w:szCs w:val="24"/>
        </w:rPr>
        <w:t>either limited</w:t>
      </w:r>
      <w:r w:rsidR="00385441">
        <w:rPr>
          <w:sz w:val="24"/>
          <w:szCs w:val="24"/>
        </w:rPr>
        <w:t xml:space="preserve"> or prohibited</w:t>
      </w:r>
      <w:r>
        <w:rPr>
          <w:sz w:val="24"/>
          <w:szCs w:val="24"/>
        </w:rPr>
        <w:t xml:space="preserve">. If the FAL is exceeded, DPH will issue </w:t>
      </w:r>
      <w:r w:rsidR="00B43BFD">
        <w:rPr>
          <w:sz w:val="24"/>
          <w:szCs w:val="24"/>
        </w:rPr>
        <w:t xml:space="preserve">a </w:t>
      </w:r>
      <w:r>
        <w:rPr>
          <w:sz w:val="24"/>
          <w:szCs w:val="24"/>
        </w:rPr>
        <w:t xml:space="preserve">waterbody-specific fish consumption </w:t>
      </w:r>
      <w:r w:rsidR="00B43BFD">
        <w:rPr>
          <w:sz w:val="24"/>
          <w:szCs w:val="24"/>
        </w:rPr>
        <w:t>advisory</w:t>
      </w:r>
      <w:r>
        <w:rPr>
          <w:sz w:val="24"/>
          <w:szCs w:val="24"/>
        </w:rPr>
        <w:t xml:space="preserve">, based on the concentration of PFAS detected in fish. Exceedance of the FAL will also trigger consideration of fishing </w:t>
      </w:r>
      <w:r w:rsidR="002B22BA">
        <w:rPr>
          <w:sz w:val="24"/>
          <w:szCs w:val="24"/>
        </w:rPr>
        <w:t xml:space="preserve">scenarios </w:t>
      </w:r>
      <w:r>
        <w:rPr>
          <w:sz w:val="24"/>
          <w:szCs w:val="24"/>
        </w:rPr>
        <w:t xml:space="preserve">that could result in potentially greater PFAS exposure than would occur under a </w:t>
      </w:r>
      <w:r w:rsidR="002B22BA">
        <w:rPr>
          <w:sz w:val="24"/>
          <w:szCs w:val="24"/>
        </w:rPr>
        <w:t xml:space="preserve">typical </w:t>
      </w:r>
      <w:r>
        <w:rPr>
          <w:sz w:val="24"/>
          <w:szCs w:val="24"/>
        </w:rPr>
        <w:t>recreational fishing scenario</w:t>
      </w:r>
      <w:r w:rsidR="002B22BA">
        <w:rPr>
          <w:sz w:val="24"/>
          <w:szCs w:val="24"/>
        </w:rPr>
        <w:t xml:space="preserve"> (e.g., subsistence fishing, or consumption of the whole fish rather than just the filet portion)</w:t>
      </w:r>
      <w:r>
        <w:rPr>
          <w:sz w:val="24"/>
          <w:szCs w:val="24"/>
        </w:rPr>
        <w:t>.</w:t>
      </w:r>
      <w:r w:rsidR="002A10BD">
        <w:rPr>
          <w:sz w:val="24"/>
          <w:szCs w:val="24"/>
        </w:rPr>
        <w:t xml:space="preserve"> DPH will evaluate information regarding populations that fish in the waterbody to assess whether </w:t>
      </w:r>
      <w:r w:rsidR="00DB4FE8">
        <w:rPr>
          <w:sz w:val="24"/>
          <w:szCs w:val="24"/>
        </w:rPr>
        <w:t>subsistence fishing may be a concern at the waterbody, and whether fish consumption patterns differ from that of a typical recreational fisher.</w:t>
      </w:r>
    </w:p>
    <w:p w14:paraId="04D0805B" w14:textId="50454ADB" w:rsidR="00424F48" w:rsidRPr="008D4F08" w:rsidRDefault="00424F48" w:rsidP="00E10CDD">
      <w:pPr>
        <w:pStyle w:val="Heading2"/>
      </w:pPr>
    </w:p>
    <w:p w14:paraId="1E00945E" w14:textId="47979723" w:rsidR="002C6149" w:rsidRDefault="002C6149" w:rsidP="00E10CDD">
      <w:pPr>
        <w:pStyle w:val="Heading2"/>
      </w:pPr>
      <w:bookmarkStart w:id="3" w:name="_Toc162620784"/>
      <w:r>
        <w:t>2.1</w:t>
      </w:r>
      <w:r>
        <w:tab/>
        <w:t>Exposure Point Concentration</w:t>
      </w:r>
      <w:bookmarkEnd w:id="3"/>
    </w:p>
    <w:p w14:paraId="42A3BD2C" w14:textId="7CD88933" w:rsidR="0079137E" w:rsidRPr="00EE21F5" w:rsidRDefault="0020536B" w:rsidP="009362A1">
      <w:pPr>
        <w:spacing w:line="240" w:lineRule="auto"/>
        <w:rPr>
          <w:sz w:val="24"/>
          <w:szCs w:val="24"/>
        </w:rPr>
      </w:pPr>
      <w:bookmarkStart w:id="4" w:name="_Hlk117719583"/>
      <w:r>
        <w:rPr>
          <w:sz w:val="24"/>
          <w:szCs w:val="24"/>
        </w:rPr>
        <w:t>An e</w:t>
      </w:r>
      <w:r w:rsidRPr="00EE21F5">
        <w:rPr>
          <w:sz w:val="24"/>
          <w:szCs w:val="24"/>
        </w:rPr>
        <w:t xml:space="preserve">xposure </w:t>
      </w:r>
      <w:r w:rsidR="00646BEA" w:rsidRPr="00EE21F5">
        <w:rPr>
          <w:sz w:val="24"/>
          <w:szCs w:val="24"/>
        </w:rPr>
        <w:t>point concentration (EPC) represent</w:t>
      </w:r>
      <w:r>
        <w:rPr>
          <w:sz w:val="24"/>
          <w:szCs w:val="24"/>
        </w:rPr>
        <w:t>s</w:t>
      </w:r>
      <w:r w:rsidR="00646BEA" w:rsidRPr="00EE21F5">
        <w:rPr>
          <w:sz w:val="24"/>
          <w:szCs w:val="24"/>
        </w:rPr>
        <w:t xml:space="preserve"> a</w:t>
      </w:r>
      <w:r w:rsidR="00E12334" w:rsidRPr="00EE21F5">
        <w:rPr>
          <w:sz w:val="24"/>
          <w:szCs w:val="24"/>
        </w:rPr>
        <w:t xml:space="preserve"> </w:t>
      </w:r>
      <w:r w:rsidR="00646BEA" w:rsidRPr="00EE21F5">
        <w:rPr>
          <w:sz w:val="24"/>
          <w:szCs w:val="24"/>
        </w:rPr>
        <w:t xml:space="preserve">concentration of a contaminant of concern in media (such as surface water or fish) </w:t>
      </w:r>
      <w:r w:rsidR="003D1378">
        <w:rPr>
          <w:sz w:val="24"/>
          <w:szCs w:val="24"/>
        </w:rPr>
        <w:t>to which</w:t>
      </w:r>
      <w:r w:rsidR="003D1378" w:rsidRPr="00EE21F5">
        <w:rPr>
          <w:sz w:val="24"/>
          <w:szCs w:val="24"/>
        </w:rPr>
        <w:t xml:space="preserve"> </w:t>
      </w:r>
      <w:r w:rsidR="00646BEA" w:rsidRPr="00EE21F5">
        <w:rPr>
          <w:sz w:val="24"/>
          <w:szCs w:val="24"/>
        </w:rPr>
        <w:t xml:space="preserve">an individual may be exposed. </w:t>
      </w:r>
      <w:bookmarkEnd w:id="4"/>
      <w:r w:rsidR="00E50904" w:rsidRPr="00EE21F5">
        <w:rPr>
          <w:sz w:val="24"/>
          <w:szCs w:val="24"/>
        </w:rPr>
        <w:t xml:space="preserve">If the EPC exceeds the </w:t>
      </w:r>
      <w:r>
        <w:rPr>
          <w:sz w:val="24"/>
          <w:szCs w:val="24"/>
        </w:rPr>
        <w:t>A</w:t>
      </w:r>
      <w:r w:rsidRPr="00EE21F5">
        <w:rPr>
          <w:sz w:val="24"/>
          <w:szCs w:val="24"/>
        </w:rPr>
        <w:t xml:space="preserve">ction </w:t>
      </w:r>
      <w:r>
        <w:rPr>
          <w:sz w:val="24"/>
          <w:szCs w:val="24"/>
        </w:rPr>
        <w:t>L</w:t>
      </w:r>
      <w:r w:rsidRPr="00EE21F5">
        <w:rPr>
          <w:sz w:val="24"/>
          <w:szCs w:val="24"/>
        </w:rPr>
        <w:t xml:space="preserve">evel </w:t>
      </w:r>
      <w:r w:rsidR="00E50904" w:rsidRPr="00EE21F5">
        <w:rPr>
          <w:sz w:val="24"/>
          <w:szCs w:val="24"/>
        </w:rPr>
        <w:t>for the corresponding media, further action and/or analyses are required to notify the public that PFAS are present in the media, and limit exposure, if needed.</w:t>
      </w:r>
    </w:p>
    <w:p w14:paraId="7DD0AB2F" w14:textId="5A924D05" w:rsidR="002C6149" w:rsidRPr="00E50904" w:rsidRDefault="00920AE9" w:rsidP="009362A1">
      <w:pPr>
        <w:pStyle w:val="Heading3"/>
        <w:rPr>
          <w:rFonts w:asciiTheme="minorHAnsi" w:hAnsiTheme="minorHAnsi" w:cstheme="minorHAnsi"/>
          <w:sz w:val="26"/>
          <w:szCs w:val="26"/>
        </w:rPr>
      </w:pPr>
      <w:bookmarkStart w:id="5" w:name="_Toc162620785"/>
      <w:r w:rsidRPr="00E50904">
        <w:rPr>
          <w:rFonts w:asciiTheme="minorHAnsi" w:hAnsiTheme="minorHAnsi" w:cstheme="minorHAnsi"/>
          <w:sz w:val="26"/>
          <w:szCs w:val="26"/>
        </w:rPr>
        <w:t>2.1.1</w:t>
      </w:r>
      <w:r w:rsidRPr="00E50904">
        <w:rPr>
          <w:rFonts w:asciiTheme="minorHAnsi" w:hAnsiTheme="minorHAnsi" w:cstheme="minorHAnsi"/>
          <w:sz w:val="26"/>
          <w:szCs w:val="26"/>
        </w:rPr>
        <w:tab/>
        <w:t>Surface Water Exposure Point Concentration</w:t>
      </w:r>
      <w:bookmarkEnd w:id="5"/>
    </w:p>
    <w:p w14:paraId="39A1AE74" w14:textId="1EFB7A13" w:rsidR="00920AE9" w:rsidRPr="00E50904" w:rsidRDefault="00E50904" w:rsidP="009362A1">
      <w:pPr>
        <w:spacing w:line="240" w:lineRule="auto"/>
        <w:rPr>
          <w:sz w:val="24"/>
          <w:szCs w:val="24"/>
        </w:rPr>
      </w:pPr>
      <w:r w:rsidRPr="6BE7E070">
        <w:rPr>
          <w:sz w:val="24"/>
          <w:szCs w:val="24"/>
        </w:rPr>
        <w:t>For surface water at public beaches, the maximum concentration</w:t>
      </w:r>
      <w:r w:rsidR="00A14A2A" w:rsidRPr="00A14A2A">
        <w:rPr>
          <w:sz w:val="24"/>
          <w:szCs w:val="24"/>
        </w:rPr>
        <w:t xml:space="preserve"> </w:t>
      </w:r>
      <w:r w:rsidR="00A14A2A" w:rsidRPr="6BE7E070">
        <w:rPr>
          <w:sz w:val="24"/>
          <w:szCs w:val="24"/>
        </w:rPr>
        <w:t>in surface water</w:t>
      </w:r>
      <w:r w:rsidRPr="6BE7E070">
        <w:rPr>
          <w:sz w:val="24"/>
          <w:szCs w:val="24"/>
        </w:rPr>
        <w:t xml:space="preserve"> </w:t>
      </w:r>
      <w:r w:rsidR="00A14A2A">
        <w:rPr>
          <w:sz w:val="24"/>
          <w:szCs w:val="24"/>
        </w:rPr>
        <w:t>across all</w:t>
      </w:r>
      <w:r w:rsidR="00A83718" w:rsidRPr="6BE7E070">
        <w:rPr>
          <w:sz w:val="24"/>
          <w:szCs w:val="24"/>
        </w:rPr>
        <w:t xml:space="preserve"> PFAS </w:t>
      </w:r>
      <w:r w:rsidR="00A14A2A">
        <w:rPr>
          <w:sz w:val="24"/>
          <w:szCs w:val="24"/>
        </w:rPr>
        <w:t xml:space="preserve">compounds with toxicity criteria </w:t>
      </w:r>
      <w:r w:rsidR="000004B6" w:rsidRPr="6BE7E070">
        <w:rPr>
          <w:sz w:val="24"/>
          <w:szCs w:val="24"/>
        </w:rPr>
        <w:t>at</w:t>
      </w:r>
      <w:r w:rsidRPr="6BE7E070">
        <w:rPr>
          <w:sz w:val="24"/>
          <w:szCs w:val="24"/>
        </w:rPr>
        <w:t xml:space="preserve"> the public beach is used as the EPC.</w:t>
      </w:r>
      <w:r w:rsidR="00C0231E" w:rsidRPr="6BE7E070">
        <w:rPr>
          <w:sz w:val="24"/>
          <w:szCs w:val="24"/>
        </w:rPr>
        <w:t xml:space="preserve"> </w:t>
      </w:r>
      <w:r w:rsidR="00C61077" w:rsidRPr="6BE7E070">
        <w:rPr>
          <w:sz w:val="24"/>
          <w:szCs w:val="24"/>
        </w:rPr>
        <w:t xml:space="preserve">If </w:t>
      </w:r>
      <w:r w:rsidR="00A14A2A">
        <w:rPr>
          <w:sz w:val="24"/>
          <w:szCs w:val="24"/>
        </w:rPr>
        <w:t xml:space="preserve">an </w:t>
      </w:r>
      <w:r w:rsidR="00581DC8" w:rsidRPr="6BE7E070">
        <w:rPr>
          <w:sz w:val="24"/>
          <w:szCs w:val="24"/>
        </w:rPr>
        <w:t xml:space="preserve">individual PFAS </w:t>
      </w:r>
      <w:r w:rsidR="00A76357">
        <w:rPr>
          <w:sz w:val="24"/>
          <w:szCs w:val="24"/>
        </w:rPr>
        <w:t xml:space="preserve">compound </w:t>
      </w:r>
      <w:r w:rsidR="00A14A2A" w:rsidRPr="00141BAC">
        <w:rPr>
          <w:sz w:val="24"/>
          <w:szCs w:val="24"/>
        </w:rPr>
        <w:t>is</w:t>
      </w:r>
      <w:r w:rsidR="00A14A2A">
        <w:rPr>
          <w:sz w:val="24"/>
          <w:szCs w:val="24"/>
        </w:rPr>
        <w:t xml:space="preserve"> not</w:t>
      </w:r>
      <w:r w:rsidR="00A76357">
        <w:rPr>
          <w:sz w:val="24"/>
          <w:szCs w:val="24"/>
        </w:rPr>
        <w:t xml:space="preserve"> </w:t>
      </w:r>
      <w:r w:rsidR="00581DC8" w:rsidRPr="6BE7E070">
        <w:rPr>
          <w:sz w:val="24"/>
          <w:szCs w:val="24"/>
        </w:rPr>
        <w:t xml:space="preserve">detected in any of the </w:t>
      </w:r>
      <w:r w:rsidR="00C61077" w:rsidRPr="6BE7E070">
        <w:rPr>
          <w:sz w:val="24"/>
          <w:szCs w:val="24"/>
        </w:rPr>
        <w:t>samples collected at a beach, the concentration for that PFAS is assumed to be zero. This is consistent with how MassDEP handles non-detects in drinking water sources (</w:t>
      </w:r>
      <w:r w:rsidR="00A86E63" w:rsidRPr="6BE7E070">
        <w:rPr>
          <w:sz w:val="24"/>
          <w:szCs w:val="24"/>
        </w:rPr>
        <w:t>MassDEP, 2021</w:t>
      </w:r>
      <w:r w:rsidR="00C61077" w:rsidRPr="6BE7E070">
        <w:rPr>
          <w:sz w:val="24"/>
          <w:szCs w:val="24"/>
        </w:rPr>
        <w:t>)</w:t>
      </w:r>
      <w:r w:rsidR="29E28354" w:rsidRPr="6BE7E070">
        <w:rPr>
          <w:sz w:val="24"/>
          <w:szCs w:val="24"/>
        </w:rPr>
        <w:t xml:space="preserve">.  </w:t>
      </w:r>
    </w:p>
    <w:p w14:paraId="4AAA24CD" w14:textId="7A81F861" w:rsidR="00920AE9" w:rsidRDefault="00920AE9" w:rsidP="009362A1">
      <w:pPr>
        <w:pStyle w:val="Heading3"/>
        <w:rPr>
          <w:rFonts w:asciiTheme="minorHAnsi" w:hAnsiTheme="minorHAnsi" w:cstheme="minorHAnsi"/>
          <w:sz w:val="26"/>
          <w:szCs w:val="26"/>
        </w:rPr>
      </w:pPr>
      <w:bookmarkStart w:id="6" w:name="_Toc162620786"/>
      <w:r w:rsidRPr="00E50904">
        <w:rPr>
          <w:rFonts w:asciiTheme="minorHAnsi" w:hAnsiTheme="minorHAnsi" w:cstheme="minorHAnsi"/>
          <w:sz w:val="26"/>
          <w:szCs w:val="26"/>
        </w:rPr>
        <w:t>2.1.2</w:t>
      </w:r>
      <w:r w:rsidRPr="00E50904">
        <w:rPr>
          <w:rFonts w:asciiTheme="minorHAnsi" w:hAnsiTheme="minorHAnsi" w:cstheme="minorHAnsi"/>
          <w:sz w:val="26"/>
          <w:szCs w:val="26"/>
        </w:rPr>
        <w:tab/>
        <w:t>Fish Tissue Exposure Point Concentration</w:t>
      </w:r>
      <w:bookmarkEnd w:id="6"/>
    </w:p>
    <w:p w14:paraId="67228989" w14:textId="670A21A0" w:rsidR="00560737" w:rsidRPr="001934C5" w:rsidRDefault="00581DC8" w:rsidP="009362A1">
      <w:pPr>
        <w:spacing w:line="240" w:lineRule="auto"/>
        <w:rPr>
          <w:sz w:val="24"/>
          <w:szCs w:val="24"/>
        </w:rPr>
      </w:pPr>
      <w:r w:rsidRPr="1CA4B720">
        <w:rPr>
          <w:sz w:val="24"/>
          <w:szCs w:val="24"/>
        </w:rPr>
        <w:t>The EPC for fish</w:t>
      </w:r>
      <w:r w:rsidR="00C0231E" w:rsidRPr="1CA4B720">
        <w:rPr>
          <w:sz w:val="24"/>
          <w:szCs w:val="24"/>
        </w:rPr>
        <w:t xml:space="preserve"> is the average </w:t>
      </w:r>
      <w:r w:rsidRPr="1CA4B720">
        <w:rPr>
          <w:sz w:val="24"/>
          <w:szCs w:val="24"/>
        </w:rPr>
        <w:t xml:space="preserve">PFAS concentration for </w:t>
      </w:r>
      <w:r w:rsidR="00C0231E" w:rsidRPr="1CA4B720">
        <w:rPr>
          <w:sz w:val="24"/>
          <w:szCs w:val="24"/>
        </w:rPr>
        <w:t xml:space="preserve">at least </w:t>
      </w:r>
      <w:r w:rsidRPr="1CA4B720">
        <w:rPr>
          <w:sz w:val="24"/>
          <w:szCs w:val="24"/>
        </w:rPr>
        <w:t>three</w:t>
      </w:r>
      <w:r w:rsidR="00C0231E" w:rsidRPr="1CA4B720">
        <w:rPr>
          <w:sz w:val="24"/>
          <w:szCs w:val="24"/>
        </w:rPr>
        <w:t xml:space="preserve"> fish</w:t>
      </w:r>
      <w:r w:rsidRPr="1CA4B720">
        <w:rPr>
          <w:sz w:val="24"/>
          <w:szCs w:val="24"/>
        </w:rPr>
        <w:t xml:space="preserve"> per </w:t>
      </w:r>
      <w:r w:rsidR="00C0231E" w:rsidRPr="1CA4B720">
        <w:rPr>
          <w:sz w:val="24"/>
          <w:szCs w:val="24"/>
        </w:rPr>
        <w:t>species in a given waterbody.</w:t>
      </w:r>
      <w:r w:rsidRPr="1CA4B720">
        <w:rPr>
          <w:sz w:val="24"/>
          <w:szCs w:val="24"/>
        </w:rPr>
        <w:t xml:space="preserve"> If </w:t>
      </w:r>
      <w:r w:rsidR="00A86E63" w:rsidRPr="1CA4B720">
        <w:rPr>
          <w:sz w:val="24"/>
          <w:szCs w:val="24"/>
        </w:rPr>
        <w:t>an individual</w:t>
      </w:r>
      <w:r w:rsidRPr="1CA4B720">
        <w:rPr>
          <w:sz w:val="24"/>
          <w:szCs w:val="24"/>
        </w:rPr>
        <w:t xml:space="preserve"> PFAS </w:t>
      </w:r>
      <w:r w:rsidR="00A76357">
        <w:rPr>
          <w:sz w:val="24"/>
          <w:szCs w:val="24"/>
        </w:rPr>
        <w:t xml:space="preserve">compound </w:t>
      </w:r>
      <w:r w:rsidR="00A86E63" w:rsidRPr="1CA4B720">
        <w:rPr>
          <w:sz w:val="24"/>
          <w:szCs w:val="24"/>
        </w:rPr>
        <w:t xml:space="preserve">is not detected in any of the fish for a given species, the </w:t>
      </w:r>
      <w:r w:rsidR="008510CD" w:rsidRPr="1CA4B720">
        <w:rPr>
          <w:sz w:val="24"/>
          <w:szCs w:val="24"/>
        </w:rPr>
        <w:t>PFAS concentration is assumed to be zero (MassDEP, 2021).</w:t>
      </w:r>
    </w:p>
    <w:p w14:paraId="2AD15B80" w14:textId="71F38425" w:rsidR="002C6149" w:rsidRDefault="002C6149" w:rsidP="00E10CDD">
      <w:pPr>
        <w:pStyle w:val="Heading2"/>
        <w:rPr>
          <w:color w:val="0000FF"/>
          <w:sz w:val="22"/>
          <w:szCs w:val="22"/>
        </w:rPr>
      </w:pPr>
      <w:bookmarkStart w:id="7" w:name="_Toc162620787"/>
      <w:r>
        <w:t>2.2</w:t>
      </w:r>
      <w:r>
        <w:tab/>
        <w:t>Action Levels</w:t>
      </w:r>
      <w:bookmarkEnd w:id="7"/>
      <w:r w:rsidR="00A14A2A">
        <w:t xml:space="preserve"> </w:t>
      </w:r>
    </w:p>
    <w:p w14:paraId="747004AE" w14:textId="160C83F8" w:rsidR="005A3A0D" w:rsidRPr="00DC6757" w:rsidRDefault="00764B20" w:rsidP="00920AE9">
      <w:pPr>
        <w:pStyle w:val="Heading3"/>
        <w:rPr>
          <w:rFonts w:asciiTheme="minorHAnsi" w:hAnsiTheme="minorHAnsi" w:cstheme="minorHAnsi"/>
          <w:sz w:val="26"/>
          <w:szCs w:val="26"/>
        </w:rPr>
      </w:pPr>
      <w:bookmarkStart w:id="8" w:name="_Toc162620788"/>
      <w:r w:rsidRPr="00DC6757">
        <w:rPr>
          <w:rFonts w:asciiTheme="minorHAnsi" w:hAnsiTheme="minorHAnsi" w:cstheme="minorHAnsi"/>
          <w:sz w:val="26"/>
          <w:szCs w:val="26"/>
        </w:rPr>
        <w:t>2.</w:t>
      </w:r>
      <w:r w:rsidR="002C6149" w:rsidRPr="00DC6757">
        <w:rPr>
          <w:rFonts w:asciiTheme="minorHAnsi" w:hAnsiTheme="minorHAnsi" w:cstheme="minorHAnsi"/>
          <w:sz w:val="26"/>
          <w:szCs w:val="26"/>
        </w:rPr>
        <w:t>2.1</w:t>
      </w:r>
      <w:r w:rsidRPr="00DC6757">
        <w:rPr>
          <w:rFonts w:asciiTheme="minorHAnsi" w:hAnsiTheme="minorHAnsi" w:cstheme="minorHAnsi"/>
          <w:sz w:val="26"/>
          <w:szCs w:val="26"/>
        </w:rPr>
        <w:tab/>
      </w:r>
      <w:r w:rsidR="008D4F08" w:rsidRPr="00DC6757">
        <w:rPr>
          <w:rFonts w:asciiTheme="minorHAnsi" w:hAnsiTheme="minorHAnsi" w:cstheme="minorHAnsi"/>
          <w:sz w:val="26"/>
          <w:szCs w:val="26"/>
        </w:rPr>
        <w:t>Surface Water Action Level</w:t>
      </w:r>
      <w:bookmarkEnd w:id="8"/>
      <w:r w:rsidR="001C62C8" w:rsidRPr="00DC6757">
        <w:rPr>
          <w:rFonts w:asciiTheme="minorHAnsi" w:hAnsiTheme="minorHAnsi" w:cstheme="minorHAnsi"/>
          <w:sz w:val="26"/>
          <w:szCs w:val="26"/>
        </w:rPr>
        <w:t xml:space="preserve"> </w:t>
      </w:r>
    </w:p>
    <w:p w14:paraId="70E2E424" w14:textId="579BF498" w:rsidR="002A0C1A" w:rsidRDefault="000D046E" w:rsidP="009362A1">
      <w:pPr>
        <w:spacing w:after="40" w:line="240" w:lineRule="auto"/>
        <w:rPr>
          <w:sz w:val="24"/>
          <w:szCs w:val="24"/>
        </w:rPr>
      </w:pPr>
      <w:r w:rsidRPr="64727C1C">
        <w:rPr>
          <w:sz w:val="24"/>
          <w:szCs w:val="24"/>
        </w:rPr>
        <w:t xml:space="preserve">DPH recommends a </w:t>
      </w:r>
      <w:r w:rsidRPr="64727C1C">
        <w:rPr>
          <w:b/>
          <w:bCs/>
          <w:sz w:val="24"/>
          <w:szCs w:val="24"/>
        </w:rPr>
        <w:t xml:space="preserve">Surface Water Action Level (SWAL) of </w:t>
      </w:r>
      <w:r w:rsidR="00220C1C" w:rsidRPr="64727C1C">
        <w:rPr>
          <w:b/>
          <w:bCs/>
          <w:sz w:val="24"/>
          <w:szCs w:val="24"/>
        </w:rPr>
        <w:t xml:space="preserve">20 </w:t>
      </w:r>
      <w:r w:rsidRPr="64727C1C">
        <w:rPr>
          <w:b/>
          <w:bCs/>
          <w:sz w:val="24"/>
          <w:szCs w:val="24"/>
        </w:rPr>
        <w:t xml:space="preserve">ng of PFAS per </w:t>
      </w:r>
      <w:r w:rsidR="00E63A22" w:rsidRPr="64727C1C">
        <w:rPr>
          <w:b/>
          <w:bCs/>
          <w:sz w:val="24"/>
          <w:szCs w:val="24"/>
        </w:rPr>
        <w:t>l</w:t>
      </w:r>
      <w:r w:rsidRPr="64727C1C">
        <w:rPr>
          <w:b/>
          <w:bCs/>
          <w:sz w:val="24"/>
          <w:szCs w:val="24"/>
        </w:rPr>
        <w:t xml:space="preserve">iter of water </w:t>
      </w:r>
      <w:r w:rsidR="00060148" w:rsidRPr="64727C1C">
        <w:rPr>
          <w:b/>
          <w:bCs/>
          <w:sz w:val="24"/>
          <w:szCs w:val="24"/>
        </w:rPr>
        <w:t xml:space="preserve">(ng/L) </w:t>
      </w:r>
      <w:r w:rsidRPr="64727C1C">
        <w:rPr>
          <w:sz w:val="24"/>
          <w:szCs w:val="24"/>
        </w:rPr>
        <w:t xml:space="preserve">for surface waterbodies that are intended for swimming (e.g., permitted bathing beaches). Consistent with ATSDR recommendations for evaluating PFAS compounds individually, </w:t>
      </w:r>
      <w:r w:rsidR="00BD6C6C">
        <w:rPr>
          <w:sz w:val="24"/>
          <w:szCs w:val="24"/>
        </w:rPr>
        <w:t>the SWAL</w:t>
      </w:r>
      <w:r w:rsidRPr="64727C1C">
        <w:rPr>
          <w:sz w:val="24"/>
          <w:szCs w:val="24"/>
        </w:rPr>
        <w:t xml:space="preserve"> </w:t>
      </w:r>
      <w:r w:rsidR="1EE5EFAD" w:rsidRPr="64727C1C">
        <w:rPr>
          <w:sz w:val="24"/>
          <w:szCs w:val="24"/>
        </w:rPr>
        <w:t>is</w:t>
      </w:r>
      <w:r w:rsidRPr="64727C1C">
        <w:rPr>
          <w:sz w:val="24"/>
          <w:szCs w:val="24"/>
        </w:rPr>
        <w:t xml:space="preserve"> applied to individual measurements of </w:t>
      </w:r>
      <w:r w:rsidR="00A13574" w:rsidRPr="64727C1C">
        <w:rPr>
          <w:sz w:val="24"/>
          <w:szCs w:val="24"/>
        </w:rPr>
        <w:t>all PFAS for which there are established toxicity criteria</w:t>
      </w:r>
      <w:r w:rsidR="00201F80" w:rsidRPr="64727C1C">
        <w:rPr>
          <w:sz w:val="24"/>
          <w:szCs w:val="24"/>
        </w:rPr>
        <w:t xml:space="preserve">. </w:t>
      </w:r>
      <w:r w:rsidR="00116109">
        <w:rPr>
          <w:sz w:val="24"/>
          <w:szCs w:val="24"/>
        </w:rPr>
        <w:t>This includes</w:t>
      </w:r>
      <w:r w:rsidR="00B149FB" w:rsidRPr="64727C1C">
        <w:rPr>
          <w:sz w:val="24"/>
          <w:szCs w:val="24"/>
        </w:rPr>
        <w:t xml:space="preserve">: </w:t>
      </w:r>
      <w:r w:rsidR="00A40BBD" w:rsidRPr="64727C1C">
        <w:rPr>
          <w:sz w:val="24"/>
          <w:szCs w:val="24"/>
        </w:rPr>
        <w:t>hexafluoropropylene oxide dimer acid (</w:t>
      </w:r>
      <w:proofErr w:type="spellStart"/>
      <w:r w:rsidR="00A40BBD" w:rsidRPr="64727C1C">
        <w:rPr>
          <w:sz w:val="24"/>
          <w:szCs w:val="24"/>
        </w:rPr>
        <w:t>GenX</w:t>
      </w:r>
      <w:proofErr w:type="spellEnd"/>
      <w:r w:rsidR="00A40BBD" w:rsidRPr="64727C1C">
        <w:rPr>
          <w:sz w:val="24"/>
          <w:szCs w:val="24"/>
        </w:rPr>
        <w:t xml:space="preserve">), </w:t>
      </w:r>
      <w:proofErr w:type="spellStart"/>
      <w:r w:rsidR="00803A07" w:rsidRPr="64727C1C">
        <w:rPr>
          <w:sz w:val="24"/>
          <w:szCs w:val="24"/>
        </w:rPr>
        <w:t>perfluorobut</w:t>
      </w:r>
      <w:r w:rsidR="00C7668A" w:rsidRPr="64727C1C">
        <w:rPr>
          <w:sz w:val="24"/>
          <w:szCs w:val="24"/>
        </w:rPr>
        <w:t>anoic</w:t>
      </w:r>
      <w:proofErr w:type="spellEnd"/>
      <w:r w:rsidR="00803A07" w:rsidRPr="64727C1C">
        <w:rPr>
          <w:sz w:val="24"/>
          <w:szCs w:val="24"/>
        </w:rPr>
        <w:t xml:space="preserve"> acid (PFBA), </w:t>
      </w:r>
      <w:proofErr w:type="spellStart"/>
      <w:r w:rsidR="009D69F5" w:rsidRPr="64727C1C">
        <w:rPr>
          <w:sz w:val="24"/>
          <w:szCs w:val="24"/>
        </w:rPr>
        <w:t>perfluorobutane</w:t>
      </w:r>
      <w:proofErr w:type="spellEnd"/>
      <w:r w:rsidR="009D69F5" w:rsidRPr="64727C1C">
        <w:rPr>
          <w:sz w:val="24"/>
          <w:szCs w:val="24"/>
        </w:rPr>
        <w:t xml:space="preserve"> sulfonic acid (PFBS), </w:t>
      </w:r>
      <w:proofErr w:type="spellStart"/>
      <w:r w:rsidR="001F1DE2" w:rsidRPr="64727C1C">
        <w:rPr>
          <w:sz w:val="24"/>
          <w:szCs w:val="24"/>
        </w:rPr>
        <w:t>perfluorohexane</w:t>
      </w:r>
      <w:proofErr w:type="spellEnd"/>
      <w:r w:rsidR="001F1DE2" w:rsidRPr="64727C1C">
        <w:rPr>
          <w:sz w:val="24"/>
          <w:szCs w:val="24"/>
        </w:rPr>
        <w:t xml:space="preserve"> sulfonic acid (</w:t>
      </w:r>
      <w:proofErr w:type="spellStart"/>
      <w:r w:rsidR="001F1DE2" w:rsidRPr="64727C1C">
        <w:rPr>
          <w:sz w:val="24"/>
          <w:szCs w:val="24"/>
        </w:rPr>
        <w:t>PFHxS</w:t>
      </w:r>
      <w:proofErr w:type="spellEnd"/>
      <w:r w:rsidR="001F1DE2" w:rsidRPr="64727C1C">
        <w:rPr>
          <w:sz w:val="24"/>
          <w:szCs w:val="24"/>
        </w:rPr>
        <w:t xml:space="preserve">), </w:t>
      </w:r>
      <w:r w:rsidRPr="64727C1C">
        <w:rPr>
          <w:sz w:val="24"/>
          <w:szCs w:val="24"/>
        </w:rPr>
        <w:t xml:space="preserve">perfluorooctanoic acid (PFOA), PFOS, </w:t>
      </w:r>
      <w:r w:rsidR="00A40BBD" w:rsidRPr="64727C1C">
        <w:rPr>
          <w:sz w:val="24"/>
          <w:szCs w:val="24"/>
        </w:rPr>
        <w:t xml:space="preserve">and </w:t>
      </w:r>
      <w:proofErr w:type="spellStart"/>
      <w:r w:rsidRPr="64727C1C">
        <w:rPr>
          <w:sz w:val="24"/>
          <w:szCs w:val="24"/>
        </w:rPr>
        <w:t>perfluorononanoic</w:t>
      </w:r>
      <w:proofErr w:type="spellEnd"/>
      <w:r w:rsidRPr="64727C1C">
        <w:rPr>
          <w:sz w:val="24"/>
          <w:szCs w:val="24"/>
        </w:rPr>
        <w:t xml:space="preserve"> acid (PFNA)</w:t>
      </w:r>
      <w:r w:rsidR="001F1DE2" w:rsidRPr="64727C1C">
        <w:rPr>
          <w:sz w:val="24"/>
          <w:szCs w:val="24"/>
        </w:rPr>
        <w:t>.</w:t>
      </w:r>
      <w:r w:rsidR="00143159" w:rsidRPr="64727C1C">
        <w:rPr>
          <w:sz w:val="24"/>
          <w:szCs w:val="24"/>
        </w:rPr>
        <w:t xml:space="preserve"> If the concentration of </w:t>
      </w:r>
      <w:r w:rsidR="008602D6">
        <w:rPr>
          <w:sz w:val="24"/>
          <w:szCs w:val="24"/>
        </w:rPr>
        <w:t>each</w:t>
      </w:r>
      <w:r w:rsidR="00CF2538" w:rsidRPr="64727C1C">
        <w:rPr>
          <w:sz w:val="24"/>
          <w:szCs w:val="24"/>
        </w:rPr>
        <w:t xml:space="preserve"> </w:t>
      </w:r>
      <w:r w:rsidR="00977A8A" w:rsidRPr="64727C1C">
        <w:rPr>
          <w:sz w:val="24"/>
          <w:szCs w:val="24"/>
        </w:rPr>
        <w:t xml:space="preserve">individual </w:t>
      </w:r>
      <w:r w:rsidR="00143159" w:rsidRPr="64727C1C">
        <w:rPr>
          <w:sz w:val="24"/>
          <w:szCs w:val="24"/>
        </w:rPr>
        <w:t xml:space="preserve">PFAS </w:t>
      </w:r>
      <w:r w:rsidR="00CF3254" w:rsidRPr="64727C1C">
        <w:rPr>
          <w:sz w:val="24"/>
          <w:szCs w:val="24"/>
        </w:rPr>
        <w:t>is</w:t>
      </w:r>
      <w:r w:rsidR="00143159" w:rsidRPr="64727C1C">
        <w:rPr>
          <w:sz w:val="24"/>
          <w:szCs w:val="24"/>
        </w:rPr>
        <w:t xml:space="preserve"> less than </w:t>
      </w:r>
      <w:r w:rsidR="00220C1C" w:rsidRPr="64727C1C">
        <w:rPr>
          <w:sz w:val="24"/>
          <w:szCs w:val="24"/>
        </w:rPr>
        <w:t xml:space="preserve">20 </w:t>
      </w:r>
      <w:r w:rsidR="00143159" w:rsidRPr="64727C1C">
        <w:rPr>
          <w:sz w:val="24"/>
          <w:szCs w:val="24"/>
        </w:rPr>
        <w:t>ng/L, the waterbody would be safe for swimming, for all age groups</w:t>
      </w:r>
      <w:r w:rsidR="007B2F7B" w:rsidRPr="64727C1C">
        <w:rPr>
          <w:sz w:val="24"/>
          <w:szCs w:val="24"/>
        </w:rPr>
        <w:t xml:space="preserve">, </w:t>
      </w:r>
      <w:r w:rsidR="006F7B2F" w:rsidRPr="64727C1C">
        <w:rPr>
          <w:sz w:val="24"/>
          <w:szCs w:val="24"/>
        </w:rPr>
        <w:t>and no posting is required</w:t>
      </w:r>
      <w:r w:rsidR="00143159" w:rsidRPr="64727C1C">
        <w:rPr>
          <w:sz w:val="24"/>
          <w:szCs w:val="24"/>
        </w:rPr>
        <w:t xml:space="preserve">. </w:t>
      </w:r>
      <w:r w:rsidRPr="64727C1C">
        <w:rPr>
          <w:sz w:val="24"/>
          <w:szCs w:val="24"/>
        </w:rPr>
        <w:t xml:space="preserve">If </w:t>
      </w:r>
      <w:r w:rsidRPr="64727C1C">
        <w:rPr>
          <w:i/>
          <w:iCs/>
          <w:sz w:val="24"/>
          <w:szCs w:val="24"/>
        </w:rPr>
        <w:t>any</w:t>
      </w:r>
      <w:r w:rsidRPr="64727C1C">
        <w:rPr>
          <w:sz w:val="24"/>
          <w:szCs w:val="24"/>
        </w:rPr>
        <w:t xml:space="preserve"> of these compounds (individually) exceed a SWAL of </w:t>
      </w:r>
      <w:r w:rsidR="00220C1C" w:rsidRPr="64727C1C">
        <w:rPr>
          <w:sz w:val="24"/>
          <w:szCs w:val="24"/>
        </w:rPr>
        <w:t xml:space="preserve">20 </w:t>
      </w:r>
      <w:r w:rsidR="004F0497" w:rsidRPr="64727C1C">
        <w:rPr>
          <w:sz w:val="24"/>
          <w:szCs w:val="24"/>
        </w:rPr>
        <w:t>ng/L</w:t>
      </w:r>
      <w:r w:rsidR="0B65DA6B" w:rsidRPr="64727C1C">
        <w:rPr>
          <w:rFonts w:cs="Arial"/>
          <w:sz w:val="24"/>
          <w:szCs w:val="24"/>
        </w:rPr>
        <w:t xml:space="preserve"> </w:t>
      </w:r>
      <w:r w:rsidR="00966A24">
        <w:rPr>
          <w:rFonts w:cs="Arial"/>
          <w:sz w:val="24"/>
          <w:szCs w:val="24"/>
        </w:rPr>
        <w:t xml:space="preserve">but are less than or equal to the PBAL (of 90 ng/L), </w:t>
      </w:r>
      <w:r w:rsidR="0B65DA6B" w:rsidRPr="64727C1C">
        <w:rPr>
          <w:sz w:val="24"/>
          <w:szCs w:val="24"/>
        </w:rPr>
        <w:t>signs will be posted at public beaches indicating that PFAS has been detected in the waterbody</w:t>
      </w:r>
      <w:r w:rsidR="008602D6">
        <w:rPr>
          <w:sz w:val="24"/>
          <w:szCs w:val="24"/>
        </w:rPr>
        <w:t>, but that it is safe to swim</w:t>
      </w:r>
      <w:r w:rsidR="0B65DA6B" w:rsidRPr="64727C1C">
        <w:rPr>
          <w:sz w:val="24"/>
          <w:szCs w:val="24"/>
        </w:rPr>
        <w:t>.</w:t>
      </w:r>
      <w:r w:rsidR="00EA557C" w:rsidRPr="64727C1C">
        <w:rPr>
          <w:sz w:val="24"/>
          <w:szCs w:val="24"/>
        </w:rPr>
        <w:t xml:space="preserve"> </w:t>
      </w:r>
    </w:p>
    <w:p w14:paraId="3CE67597" w14:textId="77777777" w:rsidR="002A0C1A" w:rsidRDefault="002A0C1A" w:rsidP="009362A1">
      <w:pPr>
        <w:spacing w:after="40" w:line="240" w:lineRule="auto"/>
        <w:rPr>
          <w:sz w:val="24"/>
          <w:szCs w:val="24"/>
        </w:rPr>
      </w:pPr>
    </w:p>
    <w:p w14:paraId="7F94AAE2" w14:textId="5EF37543" w:rsidR="000D046E" w:rsidRPr="00231A7C" w:rsidRDefault="000D046E" w:rsidP="009362A1">
      <w:pPr>
        <w:spacing w:after="40" w:line="240" w:lineRule="auto"/>
        <w:rPr>
          <w:sz w:val="24"/>
          <w:szCs w:val="24"/>
        </w:rPr>
      </w:pPr>
      <w:r w:rsidRPr="64727C1C">
        <w:rPr>
          <w:sz w:val="24"/>
          <w:szCs w:val="24"/>
        </w:rPr>
        <w:t>The development of th</w:t>
      </w:r>
      <w:r w:rsidR="004604B0" w:rsidRPr="64727C1C">
        <w:rPr>
          <w:sz w:val="24"/>
          <w:szCs w:val="24"/>
        </w:rPr>
        <w:t>e</w:t>
      </w:r>
      <w:r w:rsidRPr="64727C1C">
        <w:rPr>
          <w:sz w:val="24"/>
          <w:szCs w:val="24"/>
        </w:rPr>
        <w:t xml:space="preserve"> SWAL is based on the following assumptions</w:t>
      </w:r>
      <w:r w:rsidR="004D4027" w:rsidRPr="64727C1C">
        <w:rPr>
          <w:sz w:val="24"/>
          <w:szCs w:val="24"/>
        </w:rPr>
        <w:t>:</w:t>
      </w:r>
    </w:p>
    <w:p w14:paraId="0F0F9E37" w14:textId="4C7490FB" w:rsidR="00E65551" w:rsidRPr="007F051D" w:rsidDel="00A421A2" w:rsidRDefault="003E2358" w:rsidP="009362A1">
      <w:pPr>
        <w:pStyle w:val="ListParagraph"/>
        <w:numPr>
          <w:ilvl w:val="0"/>
          <w:numId w:val="18"/>
        </w:numPr>
        <w:spacing w:after="80" w:line="240" w:lineRule="auto"/>
        <w:contextualSpacing w:val="0"/>
        <w:rPr>
          <w:rFonts w:cstheme="minorHAnsi"/>
          <w:sz w:val="24"/>
          <w:szCs w:val="24"/>
        </w:rPr>
      </w:pPr>
      <w:r>
        <w:rPr>
          <w:rFonts w:cstheme="minorHAnsi"/>
          <w:sz w:val="24"/>
          <w:szCs w:val="24"/>
        </w:rPr>
        <w:t>A</w:t>
      </w:r>
      <w:r w:rsidR="00E65551">
        <w:rPr>
          <w:rFonts w:cstheme="minorHAnsi"/>
          <w:sz w:val="24"/>
          <w:szCs w:val="24"/>
        </w:rPr>
        <w:t>n action level</w:t>
      </w:r>
      <w:r>
        <w:rPr>
          <w:rFonts w:cstheme="minorHAnsi"/>
          <w:sz w:val="24"/>
          <w:szCs w:val="24"/>
        </w:rPr>
        <w:t xml:space="preserve"> that can be applied to all PFAS is needed to determine when </w:t>
      </w:r>
      <w:r w:rsidR="00E01EE8">
        <w:rPr>
          <w:rFonts w:cstheme="minorHAnsi"/>
          <w:sz w:val="24"/>
          <w:szCs w:val="24"/>
        </w:rPr>
        <w:t xml:space="preserve">to notify the public that PFAS </w:t>
      </w:r>
      <w:r w:rsidR="00E65551">
        <w:rPr>
          <w:rFonts w:cstheme="minorHAnsi"/>
          <w:sz w:val="24"/>
          <w:szCs w:val="24"/>
        </w:rPr>
        <w:t xml:space="preserve">has been </w:t>
      </w:r>
      <w:r w:rsidR="00E01EE8">
        <w:rPr>
          <w:rFonts w:cstheme="minorHAnsi"/>
          <w:sz w:val="24"/>
          <w:szCs w:val="24"/>
        </w:rPr>
        <w:t>detected in surface water at a public beach</w:t>
      </w:r>
      <w:r w:rsidR="008A71F6">
        <w:rPr>
          <w:rFonts w:cstheme="minorHAnsi"/>
          <w:sz w:val="24"/>
          <w:szCs w:val="24"/>
        </w:rPr>
        <w:t xml:space="preserve"> where individuals might swim</w:t>
      </w:r>
      <w:r w:rsidR="00E01EE8">
        <w:rPr>
          <w:rFonts w:cstheme="minorHAnsi"/>
          <w:sz w:val="24"/>
          <w:szCs w:val="24"/>
        </w:rPr>
        <w:t xml:space="preserve">.  </w:t>
      </w:r>
    </w:p>
    <w:p w14:paraId="7928E604" w14:textId="47DF1A1F" w:rsidR="000D046E" w:rsidRDefault="000D046E" w:rsidP="009362A1">
      <w:pPr>
        <w:pStyle w:val="ListParagraph"/>
        <w:numPr>
          <w:ilvl w:val="0"/>
          <w:numId w:val="18"/>
        </w:numPr>
        <w:spacing w:after="80" w:line="240" w:lineRule="auto"/>
        <w:contextualSpacing w:val="0"/>
        <w:rPr>
          <w:rFonts w:cstheme="minorHAnsi"/>
          <w:sz w:val="24"/>
          <w:szCs w:val="24"/>
        </w:rPr>
      </w:pPr>
      <w:r w:rsidRPr="0E1D4E23">
        <w:rPr>
          <w:sz w:val="24"/>
          <w:szCs w:val="24"/>
        </w:rPr>
        <w:t xml:space="preserve">The primary </w:t>
      </w:r>
      <w:r w:rsidR="004604B0" w:rsidRPr="0E1D4E23">
        <w:rPr>
          <w:sz w:val="24"/>
          <w:szCs w:val="24"/>
        </w:rPr>
        <w:t>route</w:t>
      </w:r>
      <w:r w:rsidRPr="0E1D4E23">
        <w:rPr>
          <w:sz w:val="24"/>
          <w:szCs w:val="24"/>
        </w:rPr>
        <w:t xml:space="preserve"> of exposure to PFAS in surface water is incidental or non-intentional ingestion of water. The absorption of PFAS through the skin is a negligible source of potential exposure. Among all potential recreational activities (e.g., swimming, paddle boarding, kayaking, etc.), incidental/non-intentional ingestion is greatest during swimming.</w:t>
      </w:r>
    </w:p>
    <w:p w14:paraId="5E75E3B1" w14:textId="1239146A" w:rsidR="00354A73" w:rsidRPr="00354A73" w:rsidRDefault="00B57D5F" w:rsidP="009362A1">
      <w:pPr>
        <w:pStyle w:val="ListParagraph"/>
        <w:numPr>
          <w:ilvl w:val="0"/>
          <w:numId w:val="18"/>
        </w:numPr>
        <w:spacing w:after="80" w:line="240" w:lineRule="auto"/>
        <w:contextualSpacing w:val="0"/>
      </w:pPr>
      <w:r w:rsidRPr="0E1D4E23">
        <w:rPr>
          <w:sz w:val="24"/>
          <w:szCs w:val="24"/>
        </w:rPr>
        <w:lastRenderedPageBreak/>
        <w:t xml:space="preserve">The most </w:t>
      </w:r>
      <w:r w:rsidR="00847220">
        <w:rPr>
          <w:sz w:val="24"/>
          <w:szCs w:val="24"/>
        </w:rPr>
        <w:t>sensitive individual</w:t>
      </w:r>
      <w:r w:rsidRPr="0E1D4E23">
        <w:rPr>
          <w:sz w:val="24"/>
          <w:szCs w:val="24"/>
        </w:rPr>
        <w:t xml:space="preserve">, based on surface water ingestion relative to body weight, </w:t>
      </w:r>
      <w:r w:rsidR="004A5FA5" w:rsidRPr="0E1D4E23">
        <w:rPr>
          <w:sz w:val="24"/>
          <w:szCs w:val="24"/>
        </w:rPr>
        <w:t xml:space="preserve">and time spent swimming, </w:t>
      </w:r>
      <w:r w:rsidRPr="0E1D4E23">
        <w:rPr>
          <w:sz w:val="24"/>
          <w:szCs w:val="24"/>
        </w:rPr>
        <w:t>is a young child, aged 2 to &lt; 6 years</w:t>
      </w:r>
      <w:r w:rsidR="004604B0" w:rsidRPr="0E1D4E23">
        <w:rPr>
          <w:sz w:val="24"/>
          <w:szCs w:val="24"/>
        </w:rPr>
        <w:t>, with a body weight of 17.4 kg (ATSDR, 2016)</w:t>
      </w:r>
      <w:r w:rsidRPr="0E1D4E23">
        <w:rPr>
          <w:sz w:val="24"/>
          <w:szCs w:val="24"/>
        </w:rPr>
        <w:t>.</w:t>
      </w:r>
    </w:p>
    <w:p w14:paraId="52589A7A" w14:textId="009F72FC" w:rsidR="000D046E" w:rsidRPr="00231A7C" w:rsidRDefault="000D046E" w:rsidP="009362A1">
      <w:pPr>
        <w:pStyle w:val="ListParagraph"/>
        <w:numPr>
          <w:ilvl w:val="0"/>
          <w:numId w:val="18"/>
        </w:numPr>
        <w:spacing w:after="0" w:line="240" w:lineRule="auto"/>
        <w:rPr>
          <w:sz w:val="24"/>
          <w:szCs w:val="24"/>
        </w:rPr>
      </w:pPr>
      <w:r w:rsidRPr="0E1D4E23">
        <w:rPr>
          <w:sz w:val="24"/>
          <w:szCs w:val="24"/>
        </w:rPr>
        <w:t xml:space="preserve">The SWAL incorporates </w:t>
      </w:r>
      <w:r w:rsidR="007F051D" w:rsidRPr="0E1D4E23">
        <w:rPr>
          <w:sz w:val="24"/>
          <w:szCs w:val="24"/>
        </w:rPr>
        <w:t xml:space="preserve">reasonable </w:t>
      </w:r>
      <w:r w:rsidRPr="0E1D4E23">
        <w:rPr>
          <w:sz w:val="24"/>
          <w:szCs w:val="24"/>
        </w:rPr>
        <w:t>maximum expected values for exposure related to incidental ingestion of water while swimming</w:t>
      </w:r>
      <w:r w:rsidR="005E01E8" w:rsidRPr="0E1D4E23">
        <w:rPr>
          <w:sz w:val="24"/>
          <w:szCs w:val="24"/>
        </w:rPr>
        <w:t xml:space="preserve">, based on the </w:t>
      </w:r>
      <w:r w:rsidR="005E01E8" w:rsidRPr="0E1D4E23">
        <w:rPr>
          <w:rFonts w:cs="Arial"/>
          <w:sz w:val="24"/>
          <w:szCs w:val="24"/>
        </w:rPr>
        <w:t>National Human Activity Pattern Survey</w:t>
      </w:r>
      <w:r w:rsidR="005E01E8" w:rsidRPr="0E1D4E23">
        <w:rPr>
          <w:sz w:val="24"/>
          <w:szCs w:val="24"/>
        </w:rPr>
        <w:t xml:space="preserve"> (US EPA, 1996). </w:t>
      </w:r>
      <w:r w:rsidR="00E65551" w:rsidRPr="0E1D4E23">
        <w:rPr>
          <w:sz w:val="24"/>
          <w:szCs w:val="24"/>
        </w:rPr>
        <w:t xml:space="preserve">The exposure values used to calculate the SWAL are </w:t>
      </w:r>
      <w:r w:rsidR="00E37C27" w:rsidRPr="0E1D4E23">
        <w:rPr>
          <w:sz w:val="24"/>
          <w:szCs w:val="24"/>
        </w:rPr>
        <w:t xml:space="preserve">high-end </w:t>
      </w:r>
      <w:r w:rsidR="00484C94">
        <w:rPr>
          <w:sz w:val="24"/>
          <w:szCs w:val="24"/>
        </w:rPr>
        <w:t xml:space="preserve">estimates </w:t>
      </w:r>
      <w:r w:rsidR="00E37C27" w:rsidRPr="0E1D4E23">
        <w:rPr>
          <w:sz w:val="24"/>
          <w:szCs w:val="24"/>
        </w:rPr>
        <w:t>and</w:t>
      </w:r>
      <w:r w:rsidR="00E65551" w:rsidRPr="0E1D4E23">
        <w:rPr>
          <w:sz w:val="24"/>
          <w:szCs w:val="24"/>
        </w:rPr>
        <w:t xml:space="preserve"> </w:t>
      </w:r>
      <w:r w:rsidR="00E61211" w:rsidRPr="0E1D4E23">
        <w:rPr>
          <w:sz w:val="24"/>
          <w:szCs w:val="24"/>
        </w:rPr>
        <w:t xml:space="preserve">represent a hypothetical scenario that </w:t>
      </w:r>
      <w:r w:rsidR="00E65551" w:rsidRPr="0E1D4E23">
        <w:rPr>
          <w:sz w:val="24"/>
          <w:szCs w:val="24"/>
        </w:rPr>
        <w:t>would overestimate exposure for most, if not all</w:t>
      </w:r>
      <w:r w:rsidR="003C0A70">
        <w:rPr>
          <w:sz w:val="24"/>
          <w:szCs w:val="24"/>
        </w:rPr>
        <w:t>,</w:t>
      </w:r>
      <w:r w:rsidR="00E65551" w:rsidRPr="0E1D4E23">
        <w:rPr>
          <w:sz w:val="24"/>
          <w:szCs w:val="24"/>
        </w:rPr>
        <w:t xml:space="preserve"> individuals. </w:t>
      </w:r>
      <w:r w:rsidR="005E01E8" w:rsidRPr="0E1D4E23">
        <w:rPr>
          <w:sz w:val="24"/>
          <w:szCs w:val="24"/>
        </w:rPr>
        <w:t>Specifically, the young child would</w:t>
      </w:r>
      <w:r w:rsidRPr="0E1D4E23">
        <w:rPr>
          <w:sz w:val="24"/>
          <w:szCs w:val="24"/>
        </w:rPr>
        <w:t xml:space="preserve">: </w:t>
      </w:r>
    </w:p>
    <w:p w14:paraId="6C9DFFD9" w14:textId="1CBCA423" w:rsidR="005E01E8" w:rsidRDefault="005E01E8" w:rsidP="009362A1">
      <w:pPr>
        <w:pStyle w:val="ListParagraph"/>
        <w:numPr>
          <w:ilvl w:val="1"/>
          <w:numId w:val="18"/>
        </w:numPr>
        <w:spacing w:after="0" w:line="240" w:lineRule="auto"/>
        <w:contextualSpacing w:val="0"/>
        <w:rPr>
          <w:rFonts w:cstheme="minorHAnsi"/>
          <w:sz w:val="24"/>
          <w:szCs w:val="24"/>
        </w:rPr>
      </w:pPr>
      <w:r>
        <w:rPr>
          <w:rFonts w:cstheme="minorHAnsi"/>
          <w:sz w:val="24"/>
          <w:szCs w:val="24"/>
        </w:rPr>
        <w:t xml:space="preserve">Swim </w:t>
      </w:r>
      <w:r w:rsidR="00A22A98">
        <w:rPr>
          <w:rFonts w:cstheme="minorHAnsi"/>
          <w:sz w:val="24"/>
          <w:szCs w:val="24"/>
        </w:rPr>
        <w:t xml:space="preserve">seven </w:t>
      </w:r>
      <w:r>
        <w:rPr>
          <w:rFonts w:cstheme="minorHAnsi"/>
          <w:sz w:val="24"/>
          <w:szCs w:val="24"/>
        </w:rPr>
        <w:t>days/</w:t>
      </w:r>
      <w:proofErr w:type="gramStart"/>
      <w:r>
        <w:rPr>
          <w:rFonts w:cstheme="minorHAnsi"/>
          <w:sz w:val="24"/>
          <w:szCs w:val="24"/>
        </w:rPr>
        <w:t>week</w:t>
      </w:r>
      <w:r w:rsidR="007F051D">
        <w:rPr>
          <w:rFonts w:cstheme="minorHAnsi"/>
          <w:sz w:val="24"/>
          <w:szCs w:val="24"/>
        </w:rPr>
        <w:t>;</w:t>
      </w:r>
      <w:proofErr w:type="gramEnd"/>
    </w:p>
    <w:p w14:paraId="2C2B2D13" w14:textId="22A5E5B3" w:rsidR="000D046E" w:rsidRPr="00231A7C" w:rsidRDefault="005E01E8" w:rsidP="009362A1">
      <w:pPr>
        <w:pStyle w:val="ListParagraph"/>
        <w:numPr>
          <w:ilvl w:val="1"/>
          <w:numId w:val="18"/>
        </w:numPr>
        <w:spacing w:after="0" w:line="240" w:lineRule="auto"/>
        <w:contextualSpacing w:val="0"/>
        <w:rPr>
          <w:rFonts w:cstheme="minorHAnsi"/>
          <w:sz w:val="24"/>
          <w:szCs w:val="24"/>
        </w:rPr>
      </w:pPr>
      <w:r>
        <w:rPr>
          <w:rFonts w:cstheme="minorHAnsi"/>
          <w:sz w:val="24"/>
          <w:szCs w:val="24"/>
        </w:rPr>
        <w:t>Spend t</w:t>
      </w:r>
      <w:r w:rsidR="0021083B">
        <w:rPr>
          <w:rFonts w:cstheme="minorHAnsi"/>
          <w:sz w:val="24"/>
          <w:szCs w:val="24"/>
        </w:rPr>
        <w:t xml:space="preserve">hree hours </w:t>
      </w:r>
      <w:r w:rsidR="000D046E" w:rsidRPr="00231A7C">
        <w:rPr>
          <w:rFonts w:cstheme="minorHAnsi"/>
          <w:sz w:val="24"/>
          <w:szCs w:val="24"/>
        </w:rPr>
        <w:t>swimming per day</w:t>
      </w:r>
      <w:r w:rsidR="007F051D">
        <w:rPr>
          <w:rFonts w:cstheme="minorHAnsi"/>
          <w:sz w:val="24"/>
          <w:szCs w:val="24"/>
        </w:rPr>
        <w:t>; and</w:t>
      </w:r>
    </w:p>
    <w:p w14:paraId="6393BEC6" w14:textId="5169D16D" w:rsidR="000D046E" w:rsidRPr="00231A7C" w:rsidRDefault="005E01E8" w:rsidP="009362A1">
      <w:pPr>
        <w:pStyle w:val="ListParagraph"/>
        <w:numPr>
          <w:ilvl w:val="1"/>
          <w:numId w:val="18"/>
        </w:numPr>
        <w:spacing w:after="40" w:line="240" w:lineRule="auto"/>
        <w:contextualSpacing w:val="0"/>
        <w:rPr>
          <w:rFonts w:cstheme="minorHAnsi"/>
          <w:sz w:val="24"/>
          <w:szCs w:val="24"/>
        </w:rPr>
      </w:pPr>
      <w:r>
        <w:rPr>
          <w:rFonts w:cstheme="minorHAnsi"/>
          <w:sz w:val="24"/>
          <w:szCs w:val="24"/>
        </w:rPr>
        <w:t>I</w:t>
      </w:r>
      <w:r w:rsidR="000D046E" w:rsidRPr="00231A7C">
        <w:rPr>
          <w:rFonts w:cstheme="minorHAnsi"/>
          <w:sz w:val="24"/>
          <w:szCs w:val="24"/>
        </w:rPr>
        <w:t>ngest</w:t>
      </w:r>
      <w:r>
        <w:rPr>
          <w:rFonts w:cstheme="minorHAnsi"/>
          <w:sz w:val="24"/>
          <w:szCs w:val="24"/>
        </w:rPr>
        <w:t xml:space="preserve"> approximately two cups of water</w:t>
      </w:r>
      <w:r w:rsidR="000D046E" w:rsidRPr="00231A7C">
        <w:rPr>
          <w:rFonts w:cstheme="minorHAnsi"/>
          <w:sz w:val="24"/>
          <w:szCs w:val="24"/>
        </w:rPr>
        <w:t xml:space="preserve"> while swimming</w:t>
      </w:r>
      <w:r w:rsidR="00AC2B73">
        <w:rPr>
          <w:rFonts w:cstheme="minorHAnsi"/>
          <w:sz w:val="24"/>
          <w:szCs w:val="24"/>
        </w:rPr>
        <w:t>.</w:t>
      </w:r>
    </w:p>
    <w:p w14:paraId="7C634395" w14:textId="15E871CC" w:rsidR="00A63D4C" w:rsidRDefault="00A63D4C" w:rsidP="009362A1">
      <w:pPr>
        <w:pStyle w:val="ListParagraph"/>
        <w:numPr>
          <w:ilvl w:val="0"/>
          <w:numId w:val="18"/>
        </w:numPr>
        <w:spacing w:after="80" w:line="240" w:lineRule="auto"/>
        <w:contextualSpacing w:val="0"/>
        <w:rPr>
          <w:rFonts w:cstheme="minorHAnsi"/>
          <w:sz w:val="24"/>
          <w:szCs w:val="24"/>
        </w:rPr>
      </w:pPr>
      <w:r>
        <w:rPr>
          <w:rFonts w:cstheme="minorHAnsi"/>
          <w:sz w:val="24"/>
          <w:szCs w:val="24"/>
        </w:rPr>
        <w:t xml:space="preserve">Exposure to surface water while swimming </w:t>
      </w:r>
      <w:r w:rsidR="000B24AF">
        <w:rPr>
          <w:rFonts w:cstheme="minorHAnsi"/>
          <w:sz w:val="24"/>
          <w:szCs w:val="24"/>
        </w:rPr>
        <w:t>is</w:t>
      </w:r>
      <w:r>
        <w:rPr>
          <w:rFonts w:cstheme="minorHAnsi"/>
          <w:sz w:val="24"/>
          <w:szCs w:val="24"/>
        </w:rPr>
        <w:t xml:space="preserve"> averaged over the period between Memorial Day and </w:t>
      </w:r>
      <w:r w:rsidR="003C0A70">
        <w:rPr>
          <w:rFonts w:cstheme="minorHAnsi"/>
          <w:sz w:val="24"/>
          <w:szCs w:val="24"/>
        </w:rPr>
        <w:t>Labor Day when</w:t>
      </w:r>
      <w:r>
        <w:rPr>
          <w:rFonts w:cstheme="minorHAnsi"/>
          <w:sz w:val="24"/>
          <w:szCs w:val="24"/>
        </w:rPr>
        <w:t xml:space="preserve"> swimming </w:t>
      </w:r>
      <w:r w:rsidR="007F051D">
        <w:rPr>
          <w:rFonts w:cstheme="minorHAnsi"/>
          <w:sz w:val="24"/>
          <w:szCs w:val="24"/>
        </w:rPr>
        <w:t>is</w:t>
      </w:r>
      <w:r>
        <w:rPr>
          <w:rFonts w:cstheme="minorHAnsi"/>
          <w:sz w:val="24"/>
          <w:szCs w:val="24"/>
        </w:rPr>
        <w:t xml:space="preserve"> most likely to occur</w:t>
      </w:r>
      <w:r w:rsidR="00AC2B73">
        <w:rPr>
          <w:rFonts w:cstheme="minorHAnsi"/>
          <w:sz w:val="24"/>
          <w:szCs w:val="24"/>
        </w:rPr>
        <w:t>.</w:t>
      </w:r>
    </w:p>
    <w:p w14:paraId="7589BEBB" w14:textId="6D799A6E" w:rsidR="00043C48" w:rsidRPr="00043C48" w:rsidRDefault="00043C48" w:rsidP="009362A1">
      <w:pPr>
        <w:pStyle w:val="ListParagraph"/>
        <w:numPr>
          <w:ilvl w:val="0"/>
          <w:numId w:val="18"/>
        </w:numPr>
        <w:spacing w:after="80" w:line="240" w:lineRule="auto"/>
        <w:rPr>
          <w:sz w:val="24"/>
          <w:szCs w:val="24"/>
        </w:rPr>
      </w:pPr>
      <w:r w:rsidRPr="0E1D4E23">
        <w:rPr>
          <w:sz w:val="24"/>
          <w:szCs w:val="24"/>
        </w:rPr>
        <w:t xml:space="preserve">The </w:t>
      </w:r>
      <w:r w:rsidR="27813DFD" w:rsidRPr="0E1D4E23">
        <w:rPr>
          <w:sz w:val="24"/>
          <w:szCs w:val="24"/>
        </w:rPr>
        <w:t>SW</w:t>
      </w:r>
      <w:r w:rsidRPr="0E1D4E23">
        <w:rPr>
          <w:sz w:val="24"/>
          <w:szCs w:val="24"/>
        </w:rPr>
        <w:t xml:space="preserve">AL is based on </w:t>
      </w:r>
      <w:r w:rsidR="00484C94">
        <w:rPr>
          <w:sz w:val="24"/>
          <w:szCs w:val="24"/>
        </w:rPr>
        <w:t xml:space="preserve">the </w:t>
      </w:r>
      <w:r w:rsidRPr="0E1D4E23">
        <w:rPr>
          <w:sz w:val="24"/>
          <w:szCs w:val="24"/>
        </w:rPr>
        <w:t xml:space="preserve">toxicity of PFOS, which is the most potent PFAS, using toxicity values </w:t>
      </w:r>
      <w:r w:rsidRPr="00696722">
        <w:rPr>
          <w:sz w:val="24"/>
          <w:szCs w:val="24"/>
        </w:rPr>
        <w:t xml:space="preserve">developed by the Agency for Toxic Substances and Disease Registry. </w:t>
      </w:r>
      <w:r w:rsidR="00FF039C">
        <w:rPr>
          <w:sz w:val="24"/>
          <w:szCs w:val="24"/>
        </w:rPr>
        <w:t>Because the critical toxic effects for PFOS are very similar to those for PFNA</w:t>
      </w:r>
      <w:r w:rsidR="0019551A">
        <w:rPr>
          <w:sz w:val="24"/>
          <w:szCs w:val="24"/>
        </w:rPr>
        <w:t xml:space="preserve"> (see Table 3.1)</w:t>
      </w:r>
      <w:r w:rsidR="00FF039C">
        <w:rPr>
          <w:sz w:val="24"/>
          <w:szCs w:val="24"/>
        </w:rPr>
        <w:t>, t</w:t>
      </w:r>
      <w:r w:rsidR="004C350F" w:rsidRPr="00696722">
        <w:rPr>
          <w:sz w:val="24"/>
          <w:szCs w:val="24"/>
        </w:rPr>
        <w:t>he SWAL considers that t</w:t>
      </w:r>
      <w:r w:rsidRPr="00696722">
        <w:rPr>
          <w:sz w:val="24"/>
          <w:szCs w:val="24"/>
        </w:rPr>
        <w:t>oxic</w:t>
      </w:r>
      <w:r w:rsidRPr="0E1D4E23">
        <w:rPr>
          <w:sz w:val="24"/>
          <w:szCs w:val="24"/>
        </w:rPr>
        <w:t xml:space="preserve"> effects of PFOS are additive </w:t>
      </w:r>
      <w:r w:rsidR="00FF039C">
        <w:rPr>
          <w:sz w:val="24"/>
          <w:szCs w:val="24"/>
        </w:rPr>
        <w:t>to those of</w:t>
      </w:r>
      <w:r w:rsidR="00FF039C" w:rsidRPr="0E1D4E23">
        <w:rPr>
          <w:sz w:val="24"/>
          <w:szCs w:val="24"/>
        </w:rPr>
        <w:t xml:space="preserve"> </w:t>
      </w:r>
      <w:r w:rsidRPr="0E1D4E23">
        <w:rPr>
          <w:sz w:val="24"/>
          <w:szCs w:val="24"/>
        </w:rPr>
        <w:t>PFNA.</w:t>
      </w:r>
      <w:r w:rsidR="00695EC0">
        <w:rPr>
          <w:sz w:val="24"/>
          <w:szCs w:val="24"/>
        </w:rPr>
        <w:t xml:space="preserve"> This provides an additional margin of safety </w:t>
      </w:r>
      <w:r w:rsidR="00D233A5">
        <w:rPr>
          <w:sz w:val="24"/>
          <w:szCs w:val="24"/>
        </w:rPr>
        <w:t xml:space="preserve">when calculating </w:t>
      </w:r>
      <w:r w:rsidR="00695EC0">
        <w:rPr>
          <w:sz w:val="24"/>
          <w:szCs w:val="24"/>
        </w:rPr>
        <w:t>the SWAL.</w:t>
      </w:r>
    </w:p>
    <w:p w14:paraId="507DD542" w14:textId="6D2653DC" w:rsidR="000D046E" w:rsidRDefault="000D046E" w:rsidP="009362A1">
      <w:pPr>
        <w:pStyle w:val="ListParagraph"/>
        <w:numPr>
          <w:ilvl w:val="0"/>
          <w:numId w:val="18"/>
        </w:numPr>
        <w:spacing w:after="120" w:line="240" w:lineRule="auto"/>
        <w:rPr>
          <w:sz w:val="24"/>
          <w:szCs w:val="24"/>
        </w:rPr>
      </w:pPr>
      <w:r w:rsidRPr="6BE7E070">
        <w:rPr>
          <w:sz w:val="24"/>
          <w:szCs w:val="24"/>
        </w:rPr>
        <w:t xml:space="preserve">The SWAL incorporates a relative source contribution of </w:t>
      </w:r>
      <w:r w:rsidR="00A22A98" w:rsidRPr="6BE7E070">
        <w:rPr>
          <w:sz w:val="24"/>
          <w:szCs w:val="24"/>
        </w:rPr>
        <w:t>50</w:t>
      </w:r>
      <w:r w:rsidRPr="6BE7E070">
        <w:rPr>
          <w:sz w:val="24"/>
          <w:szCs w:val="24"/>
        </w:rPr>
        <w:t xml:space="preserve">%, which accounts for exposure to PFAS from sources other </w:t>
      </w:r>
      <w:r w:rsidR="008F2F86" w:rsidRPr="6BE7E070">
        <w:rPr>
          <w:sz w:val="24"/>
          <w:szCs w:val="24"/>
        </w:rPr>
        <w:t xml:space="preserve">than </w:t>
      </w:r>
      <w:r w:rsidR="003E0A8F" w:rsidRPr="6BE7E070">
        <w:rPr>
          <w:sz w:val="24"/>
          <w:szCs w:val="24"/>
        </w:rPr>
        <w:t>surface water</w:t>
      </w:r>
      <w:r w:rsidRPr="6BE7E070">
        <w:rPr>
          <w:sz w:val="24"/>
          <w:szCs w:val="24"/>
        </w:rPr>
        <w:t>, including</w:t>
      </w:r>
      <w:r w:rsidR="001741B0" w:rsidRPr="6BE7E070">
        <w:rPr>
          <w:sz w:val="24"/>
          <w:szCs w:val="24"/>
        </w:rPr>
        <w:t xml:space="preserve"> </w:t>
      </w:r>
      <w:r w:rsidRPr="6BE7E070">
        <w:rPr>
          <w:sz w:val="24"/>
          <w:szCs w:val="24"/>
        </w:rPr>
        <w:t xml:space="preserve">dietary sources as well as water and indoor dust. </w:t>
      </w:r>
    </w:p>
    <w:p w14:paraId="5AC1C34F" w14:textId="3A3DD268" w:rsidR="008B2F03" w:rsidRPr="00A34A85" w:rsidRDefault="008B2F03" w:rsidP="009362A1">
      <w:pPr>
        <w:spacing w:line="240" w:lineRule="auto"/>
        <w:rPr>
          <w:sz w:val="24"/>
          <w:szCs w:val="24"/>
        </w:rPr>
      </w:pPr>
      <w:r w:rsidRPr="6BE7E070">
        <w:rPr>
          <w:sz w:val="24"/>
          <w:szCs w:val="24"/>
        </w:rPr>
        <w:t>Table 2.1 outlines the values and basis for the parameters used to calculate the SWAL</w:t>
      </w:r>
      <w:r w:rsidR="00A34A85" w:rsidRPr="6BE7E070">
        <w:rPr>
          <w:sz w:val="24"/>
          <w:szCs w:val="24"/>
        </w:rPr>
        <w:t>.</w:t>
      </w:r>
      <w:r w:rsidR="000601E3" w:rsidRPr="6BE7E070">
        <w:rPr>
          <w:sz w:val="24"/>
          <w:szCs w:val="24"/>
        </w:rPr>
        <w:t xml:space="preserve"> </w:t>
      </w:r>
    </w:p>
    <w:p w14:paraId="5B9C4EA9" w14:textId="58C4EDE9" w:rsidR="00D51771" w:rsidRPr="007F051D" w:rsidRDefault="005E74EA" w:rsidP="005E74EA">
      <w:pPr>
        <w:keepNext/>
        <w:keepLines/>
        <w:spacing w:after="0" w:line="240" w:lineRule="auto"/>
        <w:rPr>
          <w:b/>
          <w:bCs/>
          <w:sz w:val="24"/>
          <w:szCs w:val="24"/>
        </w:rPr>
      </w:pPr>
      <w:r w:rsidRPr="6BE7E070">
        <w:rPr>
          <w:b/>
          <w:bCs/>
          <w:sz w:val="24"/>
          <w:szCs w:val="24"/>
        </w:rPr>
        <w:t>Table 2.1</w:t>
      </w:r>
      <w:r w:rsidR="0076216B" w:rsidRPr="6BE7E070">
        <w:rPr>
          <w:b/>
          <w:bCs/>
          <w:sz w:val="24"/>
          <w:szCs w:val="24"/>
        </w:rPr>
        <w:t>.</w:t>
      </w:r>
      <w:r w:rsidRPr="6BE7E070">
        <w:rPr>
          <w:b/>
          <w:bCs/>
          <w:sz w:val="24"/>
          <w:szCs w:val="24"/>
        </w:rPr>
        <w:t xml:space="preserve">  </w:t>
      </w:r>
      <w:r w:rsidR="004D153E" w:rsidRPr="6BE7E070">
        <w:rPr>
          <w:b/>
          <w:bCs/>
          <w:sz w:val="24"/>
          <w:szCs w:val="24"/>
        </w:rPr>
        <w:t xml:space="preserve">Input </w:t>
      </w:r>
      <w:r w:rsidR="00D51771" w:rsidRPr="6BE7E070">
        <w:rPr>
          <w:b/>
          <w:bCs/>
          <w:sz w:val="24"/>
          <w:szCs w:val="24"/>
        </w:rPr>
        <w:t>Parameters</w:t>
      </w:r>
      <w:r w:rsidR="008B2F03" w:rsidRPr="6BE7E070">
        <w:rPr>
          <w:b/>
          <w:bCs/>
          <w:sz w:val="24"/>
          <w:szCs w:val="24"/>
        </w:rPr>
        <w:t xml:space="preserve"> -</w:t>
      </w:r>
      <w:r w:rsidR="00D51771" w:rsidRPr="6BE7E070">
        <w:rPr>
          <w:b/>
          <w:bCs/>
          <w:sz w:val="24"/>
          <w:szCs w:val="24"/>
        </w:rPr>
        <w:t xml:space="preserve"> Surface Water Action Level (SWAL) for PFAS </w:t>
      </w:r>
    </w:p>
    <w:tbl>
      <w:tblPr>
        <w:tblStyle w:val="TableGrid"/>
        <w:tblW w:w="9985" w:type="dxa"/>
        <w:tblLook w:val="04A0" w:firstRow="1" w:lastRow="0" w:firstColumn="1" w:lastColumn="0" w:noHBand="0" w:noVBand="1"/>
      </w:tblPr>
      <w:tblGrid>
        <w:gridCol w:w="3685"/>
        <w:gridCol w:w="1080"/>
        <w:gridCol w:w="5220"/>
      </w:tblGrid>
      <w:tr w:rsidR="00D51771" w14:paraId="2089F33A" w14:textId="77777777" w:rsidTr="007F051D">
        <w:tc>
          <w:tcPr>
            <w:tcW w:w="3685" w:type="dxa"/>
            <w:tcBorders>
              <w:bottom w:val="double" w:sz="4" w:space="0" w:color="auto"/>
            </w:tcBorders>
            <w:shd w:val="clear" w:color="auto" w:fill="DBE5F1" w:themeFill="accent1" w:themeFillTint="33"/>
          </w:tcPr>
          <w:p w14:paraId="003988FA" w14:textId="6CDC6C29" w:rsidR="00D51771" w:rsidRPr="00D51771" w:rsidRDefault="00D51771" w:rsidP="00CE1B6D">
            <w:pPr>
              <w:keepNext/>
              <w:keepLines/>
              <w:rPr>
                <w:b/>
                <w:bCs/>
              </w:rPr>
            </w:pPr>
            <w:r w:rsidRPr="00D51771">
              <w:rPr>
                <w:b/>
                <w:bCs/>
              </w:rPr>
              <w:t>Parameter</w:t>
            </w:r>
          </w:p>
        </w:tc>
        <w:tc>
          <w:tcPr>
            <w:tcW w:w="1080" w:type="dxa"/>
            <w:tcBorders>
              <w:bottom w:val="double" w:sz="4" w:space="0" w:color="auto"/>
            </w:tcBorders>
            <w:shd w:val="clear" w:color="auto" w:fill="DBE5F1" w:themeFill="accent1" w:themeFillTint="33"/>
          </w:tcPr>
          <w:p w14:paraId="3A488722" w14:textId="2B41A4AA" w:rsidR="00D51771" w:rsidRDefault="00D51771" w:rsidP="00CE1B6D">
            <w:pPr>
              <w:keepNext/>
              <w:keepLines/>
              <w:jc w:val="center"/>
            </w:pPr>
            <w:r w:rsidRPr="00D51771">
              <w:rPr>
                <w:rFonts w:eastAsia="Times New Roman" w:cstheme="minorHAnsi"/>
                <w:b/>
                <w:color w:val="000000"/>
              </w:rPr>
              <w:t>Value</w:t>
            </w:r>
          </w:p>
        </w:tc>
        <w:tc>
          <w:tcPr>
            <w:tcW w:w="5220" w:type="dxa"/>
            <w:tcBorders>
              <w:bottom w:val="double" w:sz="4" w:space="0" w:color="auto"/>
            </w:tcBorders>
            <w:shd w:val="clear" w:color="auto" w:fill="DBE5F1" w:themeFill="accent1" w:themeFillTint="33"/>
          </w:tcPr>
          <w:p w14:paraId="0B74F28E" w14:textId="1B2920DD" w:rsidR="00D51771" w:rsidRPr="00CE1B6D" w:rsidRDefault="00D51771" w:rsidP="00CE1B6D">
            <w:pPr>
              <w:keepNext/>
              <w:keepLines/>
              <w:rPr>
                <w:b/>
                <w:bCs/>
              </w:rPr>
            </w:pPr>
            <w:r w:rsidRPr="00CE1B6D">
              <w:rPr>
                <w:b/>
                <w:bCs/>
              </w:rPr>
              <w:t>Basis</w:t>
            </w:r>
          </w:p>
        </w:tc>
      </w:tr>
      <w:tr w:rsidR="00D51771" w14:paraId="3AD0C180" w14:textId="77777777" w:rsidTr="004D4027">
        <w:tc>
          <w:tcPr>
            <w:tcW w:w="3685" w:type="dxa"/>
            <w:tcBorders>
              <w:top w:val="double" w:sz="4" w:space="0" w:color="auto"/>
            </w:tcBorders>
          </w:tcPr>
          <w:p w14:paraId="6744B00A" w14:textId="63678606" w:rsidR="00D51771" w:rsidRDefault="004D4027" w:rsidP="00CE1B6D">
            <w:pPr>
              <w:keepNext/>
              <w:keepLines/>
            </w:pPr>
            <w:r>
              <w:rPr>
                <w:rFonts w:eastAsia="Times New Roman" w:cstheme="minorHAnsi"/>
                <w:bCs/>
                <w:color w:val="000000"/>
              </w:rPr>
              <w:t>Minimal Risk Level</w:t>
            </w:r>
            <w:r w:rsidR="00043C48">
              <w:rPr>
                <w:rFonts w:eastAsia="Times New Roman" w:cstheme="minorHAnsi"/>
                <w:bCs/>
                <w:color w:val="000000"/>
              </w:rPr>
              <w:t xml:space="preserve"> - PFOS</w:t>
            </w:r>
            <w:r>
              <w:rPr>
                <w:rFonts w:eastAsia="Times New Roman" w:cstheme="minorHAnsi"/>
                <w:bCs/>
                <w:color w:val="000000"/>
              </w:rPr>
              <w:t xml:space="preserve">, </w:t>
            </w:r>
            <w:r w:rsidR="00043C48">
              <w:rPr>
                <w:rFonts w:eastAsia="Times New Roman" w:cstheme="minorHAnsi"/>
                <w:bCs/>
                <w:color w:val="000000"/>
              </w:rPr>
              <w:t>MRL</w:t>
            </w:r>
            <w:r w:rsidR="00043C48" w:rsidRPr="007A3F16">
              <w:rPr>
                <w:rFonts w:eastAsia="Times New Roman" w:cstheme="minorHAnsi"/>
                <w:bCs/>
                <w:color w:val="000000"/>
                <w:vertAlign w:val="subscript"/>
              </w:rPr>
              <w:t xml:space="preserve">PFOS </w:t>
            </w:r>
            <w:r w:rsidR="00D51771">
              <w:rPr>
                <w:rFonts w:eastAsia="Times New Roman" w:cstheme="minorHAnsi"/>
                <w:bCs/>
                <w:color w:val="000000"/>
              </w:rPr>
              <w:t>(</w:t>
            </w:r>
            <w:r w:rsidR="007D7183">
              <w:rPr>
                <w:rFonts w:eastAsia="Times New Roman" w:cstheme="minorHAnsi"/>
                <w:bCs/>
                <w:color w:val="000000"/>
              </w:rPr>
              <w:t>m</w:t>
            </w:r>
            <w:r w:rsidR="00D51771">
              <w:rPr>
                <w:rFonts w:eastAsia="Times New Roman" w:cstheme="minorHAnsi"/>
                <w:bCs/>
                <w:color w:val="000000"/>
              </w:rPr>
              <w:t>g/kg-day)</w:t>
            </w:r>
          </w:p>
        </w:tc>
        <w:tc>
          <w:tcPr>
            <w:tcW w:w="1080" w:type="dxa"/>
            <w:tcBorders>
              <w:top w:val="double" w:sz="4" w:space="0" w:color="auto"/>
            </w:tcBorders>
          </w:tcPr>
          <w:p w14:paraId="512263C5" w14:textId="42FCBB74" w:rsidR="00D51771" w:rsidRDefault="00D51771" w:rsidP="00CE1B6D">
            <w:pPr>
              <w:keepNext/>
              <w:keepLines/>
              <w:jc w:val="center"/>
            </w:pPr>
            <w:r>
              <w:t>2</w:t>
            </w:r>
            <w:r w:rsidR="007D7183">
              <w:t xml:space="preserve"> x 10</w:t>
            </w:r>
            <w:r w:rsidR="007D7183" w:rsidRPr="007D7183">
              <w:rPr>
                <w:vertAlign w:val="superscript"/>
              </w:rPr>
              <w:t>-6</w:t>
            </w:r>
          </w:p>
        </w:tc>
        <w:tc>
          <w:tcPr>
            <w:tcW w:w="5220" w:type="dxa"/>
            <w:tcBorders>
              <w:top w:val="double" w:sz="4" w:space="0" w:color="auto"/>
            </w:tcBorders>
          </w:tcPr>
          <w:p w14:paraId="2F5A6B3D" w14:textId="63CE5C01" w:rsidR="00D51771" w:rsidRDefault="00E901EB" w:rsidP="00CE1B6D">
            <w:pPr>
              <w:keepNext/>
              <w:keepLines/>
            </w:pPr>
            <w:r>
              <w:t>ATSDR Minimal Risk Level for PFOS</w:t>
            </w:r>
            <w:r w:rsidR="004D4027">
              <w:t xml:space="preserve"> (ATSDR, </w:t>
            </w:r>
            <w:r w:rsidR="00371F4B">
              <w:t>2021</w:t>
            </w:r>
            <w:r w:rsidR="004D4027">
              <w:t>)</w:t>
            </w:r>
          </w:p>
        </w:tc>
      </w:tr>
      <w:tr w:rsidR="00043C48" w14:paraId="10DC8640" w14:textId="77777777" w:rsidTr="00043C48">
        <w:tc>
          <w:tcPr>
            <w:tcW w:w="3685" w:type="dxa"/>
          </w:tcPr>
          <w:p w14:paraId="28E6B9F8" w14:textId="43A01DF9" w:rsidR="00043C48" w:rsidRPr="00D51771" w:rsidRDefault="00043C48" w:rsidP="00043C48">
            <w:pPr>
              <w:keepNext/>
              <w:keepLines/>
              <w:rPr>
                <w:rFonts w:eastAsia="Times New Roman" w:cstheme="minorHAnsi"/>
                <w:bCs/>
                <w:color w:val="000000"/>
              </w:rPr>
            </w:pPr>
            <w:r>
              <w:rPr>
                <w:rFonts w:eastAsia="Times New Roman" w:cstheme="minorHAnsi"/>
                <w:bCs/>
                <w:color w:val="000000"/>
              </w:rPr>
              <w:t>Minimal Risk Level - PFNA, MRL</w:t>
            </w:r>
            <w:r w:rsidRPr="007A3F16">
              <w:rPr>
                <w:rFonts w:eastAsia="Times New Roman" w:cstheme="minorHAnsi"/>
                <w:bCs/>
                <w:color w:val="000000"/>
                <w:vertAlign w:val="subscript"/>
              </w:rPr>
              <w:t>P</w:t>
            </w:r>
            <w:r>
              <w:rPr>
                <w:rFonts w:eastAsia="Times New Roman" w:cstheme="minorHAnsi"/>
                <w:bCs/>
                <w:color w:val="000000"/>
                <w:vertAlign w:val="subscript"/>
              </w:rPr>
              <w:t xml:space="preserve">FNA </w:t>
            </w:r>
            <w:r>
              <w:rPr>
                <w:rFonts w:eastAsia="Times New Roman" w:cstheme="minorHAnsi"/>
                <w:bCs/>
                <w:color w:val="000000"/>
              </w:rPr>
              <w:t>(mg/kg-day)</w:t>
            </w:r>
          </w:p>
        </w:tc>
        <w:tc>
          <w:tcPr>
            <w:tcW w:w="1080" w:type="dxa"/>
            <w:vAlign w:val="center"/>
          </w:tcPr>
          <w:p w14:paraId="36791A4A" w14:textId="70AAB4F1" w:rsidR="00043C48" w:rsidRDefault="00043C48" w:rsidP="00043C48">
            <w:pPr>
              <w:keepNext/>
              <w:keepLines/>
              <w:jc w:val="center"/>
            </w:pPr>
            <w:r>
              <w:t>3 x 10</w:t>
            </w:r>
            <w:r w:rsidRPr="007D7183">
              <w:rPr>
                <w:vertAlign w:val="superscript"/>
              </w:rPr>
              <w:t>-6</w:t>
            </w:r>
          </w:p>
        </w:tc>
        <w:tc>
          <w:tcPr>
            <w:tcW w:w="5220" w:type="dxa"/>
            <w:vAlign w:val="center"/>
          </w:tcPr>
          <w:p w14:paraId="5EF24F64" w14:textId="5FEC796F" w:rsidR="00043C48" w:rsidRDefault="00043C48" w:rsidP="00043C48">
            <w:pPr>
              <w:keepNext/>
              <w:keepLines/>
            </w:pPr>
            <w:r>
              <w:t>ATSDR Minimal Risk Level for PFNA (ATSDR, 2021)</w:t>
            </w:r>
          </w:p>
        </w:tc>
      </w:tr>
      <w:tr w:rsidR="00043C48" w14:paraId="4D34BB05" w14:textId="77777777" w:rsidTr="001552CA">
        <w:tc>
          <w:tcPr>
            <w:tcW w:w="3685" w:type="dxa"/>
            <w:vAlign w:val="center"/>
          </w:tcPr>
          <w:p w14:paraId="759C2A22" w14:textId="2308CE5F" w:rsidR="00043C48" w:rsidRDefault="00043C48" w:rsidP="00043C48">
            <w:pPr>
              <w:keepNext/>
              <w:keepLines/>
            </w:pPr>
            <w:r w:rsidRPr="00D51771">
              <w:rPr>
                <w:rFonts w:eastAsia="Times New Roman" w:cstheme="minorHAnsi"/>
                <w:bCs/>
                <w:color w:val="000000"/>
              </w:rPr>
              <w:t>Body Weight</w:t>
            </w:r>
            <w:r>
              <w:rPr>
                <w:rFonts w:eastAsia="Times New Roman" w:cstheme="minorHAnsi"/>
                <w:bCs/>
                <w:color w:val="000000"/>
              </w:rPr>
              <w:t>, BW (kg)</w:t>
            </w:r>
          </w:p>
        </w:tc>
        <w:tc>
          <w:tcPr>
            <w:tcW w:w="1080" w:type="dxa"/>
            <w:vAlign w:val="center"/>
          </w:tcPr>
          <w:p w14:paraId="03094401" w14:textId="0109C52B" w:rsidR="00043C48" w:rsidRDefault="00043C48" w:rsidP="00043C48">
            <w:pPr>
              <w:keepNext/>
              <w:keepLines/>
              <w:jc w:val="center"/>
            </w:pPr>
            <w:r>
              <w:t>17.4</w:t>
            </w:r>
          </w:p>
        </w:tc>
        <w:tc>
          <w:tcPr>
            <w:tcW w:w="5220" w:type="dxa"/>
          </w:tcPr>
          <w:p w14:paraId="15829256" w14:textId="25136B85" w:rsidR="00043C48" w:rsidRDefault="00043C48" w:rsidP="00043C48">
            <w:pPr>
              <w:keepNext/>
              <w:keepLines/>
            </w:pPr>
            <w:r>
              <w:t xml:space="preserve">Mean body weight for 2 - &lt; </w:t>
            </w:r>
            <w:proofErr w:type="gramStart"/>
            <w:r>
              <w:t>6 year old</w:t>
            </w:r>
            <w:proofErr w:type="gramEnd"/>
            <w:r>
              <w:t xml:space="preserve"> (ATSDR, 2016, US EPA, 2011)</w:t>
            </w:r>
          </w:p>
        </w:tc>
      </w:tr>
      <w:tr w:rsidR="00043C48" w14:paraId="19D70703" w14:textId="77777777" w:rsidTr="004D4027">
        <w:tc>
          <w:tcPr>
            <w:tcW w:w="3685" w:type="dxa"/>
          </w:tcPr>
          <w:p w14:paraId="58B52006" w14:textId="39628BEE" w:rsidR="00043C48" w:rsidRPr="00D51771" w:rsidRDefault="00043C48" w:rsidP="00043C48">
            <w:pPr>
              <w:keepNext/>
              <w:keepLines/>
              <w:rPr>
                <w:rFonts w:eastAsia="Times New Roman" w:cstheme="minorHAnsi"/>
                <w:bCs/>
                <w:color w:val="000000"/>
              </w:rPr>
            </w:pPr>
            <w:r w:rsidRPr="00D51771">
              <w:rPr>
                <w:rFonts w:eastAsia="Times New Roman" w:cstheme="minorHAnsi"/>
                <w:bCs/>
                <w:color w:val="000000"/>
              </w:rPr>
              <w:t>Exposure Frequency</w:t>
            </w:r>
            <w:r>
              <w:rPr>
                <w:rFonts w:eastAsia="Times New Roman" w:cstheme="minorHAnsi"/>
                <w:bCs/>
                <w:color w:val="000000"/>
              </w:rPr>
              <w:t>, EF (days/month)</w:t>
            </w:r>
          </w:p>
        </w:tc>
        <w:tc>
          <w:tcPr>
            <w:tcW w:w="1080" w:type="dxa"/>
          </w:tcPr>
          <w:p w14:paraId="379A68C9" w14:textId="344D35BB" w:rsidR="00043C48" w:rsidRDefault="00043C48" w:rsidP="00043C48">
            <w:pPr>
              <w:keepNext/>
              <w:keepLines/>
              <w:jc w:val="center"/>
            </w:pPr>
            <w:r>
              <w:t>30</w:t>
            </w:r>
          </w:p>
        </w:tc>
        <w:tc>
          <w:tcPr>
            <w:tcW w:w="5220" w:type="dxa"/>
          </w:tcPr>
          <w:p w14:paraId="39B2C25C" w14:textId="0BF8C2B0" w:rsidR="00043C48" w:rsidRDefault="00043C48" w:rsidP="00043C48">
            <w:pPr>
              <w:keepNext/>
              <w:keepLines/>
            </w:pPr>
            <w:r>
              <w:t>98</w:t>
            </w:r>
            <w:r w:rsidRPr="00E901EB">
              <w:rPr>
                <w:vertAlign w:val="superscript"/>
              </w:rPr>
              <w:t>th</w:t>
            </w:r>
            <w:r>
              <w:t xml:space="preserve"> percentile for exposure frequency (US EPA, 1996)</w:t>
            </w:r>
          </w:p>
        </w:tc>
      </w:tr>
      <w:tr w:rsidR="00043C48" w14:paraId="1303E58F" w14:textId="77777777" w:rsidTr="004D4027">
        <w:tc>
          <w:tcPr>
            <w:tcW w:w="3685" w:type="dxa"/>
          </w:tcPr>
          <w:p w14:paraId="7AF78E1F" w14:textId="5C09F575" w:rsidR="00043C48" w:rsidRDefault="00043C48" w:rsidP="00043C48">
            <w:pPr>
              <w:keepNext/>
              <w:keepLines/>
            </w:pPr>
            <w:r w:rsidRPr="00D51771">
              <w:rPr>
                <w:rFonts w:eastAsia="Times New Roman" w:cstheme="minorHAnsi"/>
                <w:bCs/>
                <w:color w:val="000000"/>
              </w:rPr>
              <w:t>Exposure Time</w:t>
            </w:r>
            <w:r>
              <w:rPr>
                <w:rFonts w:eastAsia="Times New Roman" w:cstheme="minorHAnsi"/>
                <w:bCs/>
                <w:color w:val="000000"/>
              </w:rPr>
              <w:t>, ET (hours/day)</w:t>
            </w:r>
          </w:p>
        </w:tc>
        <w:tc>
          <w:tcPr>
            <w:tcW w:w="1080" w:type="dxa"/>
          </w:tcPr>
          <w:p w14:paraId="06143D44" w14:textId="016E7B97" w:rsidR="00043C48" w:rsidRDefault="00043C48" w:rsidP="00043C48">
            <w:pPr>
              <w:keepNext/>
              <w:keepLines/>
              <w:jc w:val="center"/>
            </w:pPr>
            <w:r>
              <w:t>3</w:t>
            </w:r>
          </w:p>
        </w:tc>
        <w:tc>
          <w:tcPr>
            <w:tcW w:w="5220" w:type="dxa"/>
          </w:tcPr>
          <w:p w14:paraId="517F12DF" w14:textId="6BB527F4" w:rsidR="00043C48" w:rsidRDefault="00043C48" w:rsidP="00043C48">
            <w:pPr>
              <w:keepNext/>
              <w:keepLines/>
            </w:pPr>
            <w:r>
              <w:t>90</w:t>
            </w:r>
            <w:r w:rsidRPr="00E901EB">
              <w:rPr>
                <w:vertAlign w:val="superscript"/>
              </w:rPr>
              <w:t>th</w:t>
            </w:r>
            <w:r>
              <w:t xml:space="preserve"> percentile for time spent swimming (US EPA, 1996)</w:t>
            </w:r>
          </w:p>
        </w:tc>
      </w:tr>
      <w:tr w:rsidR="00043C48" w14:paraId="3FB5C858" w14:textId="77777777" w:rsidTr="001552CA">
        <w:tc>
          <w:tcPr>
            <w:tcW w:w="3685" w:type="dxa"/>
            <w:vAlign w:val="center"/>
          </w:tcPr>
          <w:p w14:paraId="66FFBD79" w14:textId="74DA20D6" w:rsidR="00043C48" w:rsidRDefault="00043C48" w:rsidP="00043C48">
            <w:pPr>
              <w:keepNext/>
              <w:keepLines/>
            </w:pPr>
            <w:r w:rsidRPr="00D51771">
              <w:rPr>
                <w:rFonts w:eastAsia="Times New Roman" w:cstheme="minorHAnsi"/>
                <w:bCs/>
                <w:color w:val="000000"/>
              </w:rPr>
              <w:t>Ingestion Rate</w:t>
            </w:r>
            <w:r>
              <w:rPr>
                <w:rFonts w:eastAsia="Times New Roman" w:cstheme="minorHAnsi"/>
                <w:bCs/>
                <w:color w:val="000000"/>
              </w:rPr>
              <w:t>, IR (L/hour)</w:t>
            </w:r>
          </w:p>
        </w:tc>
        <w:tc>
          <w:tcPr>
            <w:tcW w:w="1080" w:type="dxa"/>
            <w:vAlign w:val="center"/>
          </w:tcPr>
          <w:p w14:paraId="7C14CA55" w14:textId="54835C74" w:rsidR="00043C48" w:rsidRDefault="00043C48" w:rsidP="00043C48">
            <w:pPr>
              <w:keepNext/>
              <w:keepLines/>
              <w:jc w:val="center"/>
            </w:pPr>
            <w:r>
              <w:t>0.152</w:t>
            </w:r>
          </w:p>
        </w:tc>
        <w:tc>
          <w:tcPr>
            <w:tcW w:w="5220" w:type="dxa"/>
          </w:tcPr>
          <w:p w14:paraId="44A316FD" w14:textId="6AC8AFAF" w:rsidR="00043C48" w:rsidRDefault="00043C48" w:rsidP="00043C48">
            <w:pPr>
              <w:keepNext/>
              <w:keepLines/>
            </w:pPr>
            <w:r>
              <w:t>90</w:t>
            </w:r>
            <w:r w:rsidRPr="00E901EB">
              <w:rPr>
                <w:vertAlign w:val="superscript"/>
              </w:rPr>
              <w:t>th</w:t>
            </w:r>
            <w:r>
              <w:t xml:space="preserve"> percentile for incidental ingestion of surface water while swimming (US EPA, 2019)</w:t>
            </w:r>
          </w:p>
        </w:tc>
      </w:tr>
      <w:tr w:rsidR="00043C48" w14:paraId="0DB85401" w14:textId="77777777" w:rsidTr="009500B2">
        <w:tc>
          <w:tcPr>
            <w:tcW w:w="3685" w:type="dxa"/>
            <w:vAlign w:val="center"/>
          </w:tcPr>
          <w:p w14:paraId="5788112E" w14:textId="06AC35EE" w:rsidR="00043C48" w:rsidRPr="00D51771" w:rsidRDefault="00043C48" w:rsidP="00043C48">
            <w:pPr>
              <w:rPr>
                <w:rFonts w:eastAsia="Times New Roman" w:cstheme="minorHAnsi"/>
                <w:bCs/>
                <w:color w:val="000000"/>
              </w:rPr>
            </w:pPr>
            <w:r>
              <w:rPr>
                <w:rFonts w:eastAsia="Times New Roman" w:cstheme="minorHAnsi"/>
                <w:bCs/>
                <w:color w:val="000000"/>
              </w:rPr>
              <w:t>Exposure Duration, ED (months)</w:t>
            </w:r>
          </w:p>
        </w:tc>
        <w:tc>
          <w:tcPr>
            <w:tcW w:w="1080" w:type="dxa"/>
            <w:vAlign w:val="center"/>
          </w:tcPr>
          <w:p w14:paraId="1A0806AD" w14:textId="179DA203" w:rsidR="00043C48" w:rsidRDefault="00043C48" w:rsidP="00043C48">
            <w:pPr>
              <w:jc w:val="center"/>
            </w:pPr>
            <w:r>
              <w:t>3.3</w:t>
            </w:r>
          </w:p>
        </w:tc>
        <w:tc>
          <w:tcPr>
            <w:tcW w:w="5220" w:type="dxa"/>
          </w:tcPr>
          <w:p w14:paraId="40F4E314" w14:textId="155D098F" w:rsidR="00043C48" w:rsidRDefault="00043C48" w:rsidP="00043C48">
            <w:r>
              <w:t>Professional judgement that swimming would occur between Memorial Day and Labor Day</w:t>
            </w:r>
          </w:p>
        </w:tc>
      </w:tr>
      <w:tr w:rsidR="00043C48" w14:paraId="0A772FCA" w14:textId="77777777" w:rsidTr="004D4027">
        <w:tc>
          <w:tcPr>
            <w:tcW w:w="3685" w:type="dxa"/>
          </w:tcPr>
          <w:p w14:paraId="5DF7C767" w14:textId="6C31E952" w:rsidR="00043C48" w:rsidRPr="00D51771" w:rsidRDefault="00043C48" w:rsidP="00043C48">
            <w:pPr>
              <w:rPr>
                <w:rFonts w:eastAsia="Times New Roman" w:cstheme="minorHAnsi"/>
                <w:bCs/>
                <w:color w:val="000000"/>
              </w:rPr>
            </w:pPr>
            <w:r>
              <w:rPr>
                <w:rFonts w:eastAsia="Times New Roman" w:cstheme="minorHAnsi"/>
                <w:bCs/>
                <w:color w:val="000000"/>
              </w:rPr>
              <w:t>Averaging Time, AT (days)</w:t>
            </w:r>
          </w:p>
        </w:tc>
        <w:tc>
          <w:tcPr>
            <w:tcW w:w="1080" w:type="dxa"/>
          </w:tcPr>
          <w:p w14:paraId="05A9AAD0" w14:textId="24160015" w:rsidR="00043C48" w:rsidRDefault="00043C48" w:rsidP="00043C48">
            <w:pPr>
              <w:jc w:val="center"/>
            </w:pPr>
            <w:r>
              <w:t>102</w:t>
            </w:r>
          </w:p>
        </w:tc>
        <w:tc>
          <w:tcPr>
            <w:tcW w:w="5220" w:type="dxa"/>
          </w:tcPr>
          <w:p w14:paraId="590AB2B8" w14:textId="57688E72" w:rsidR="00043C48" w:rsidRDefault="00043C48" w:rsidP="00043C48">
            <w:r>
              <w:t>Dictated by exposure duration</w:t>
            </w:r>
          </w:p>
        </w:tc>
      </w:tr>
      <w:tr w:rsidR="00043C48" w14:paraId="23F5C4EC" w14:textId="77777777" w:rsidTr="00AC0B25">
        <w:tc>
          <w:tcPr>
            <w:tcW w:w="3685" w:type="dxa"/>
            <w:vAlign w:val="center"/>
          </w:tcPr>
          <w:p w14:paraId="3BD3A90B" w14:textId="4E0309BB" w:rsidR="00043C48" w:rsidRDefault="00043C48" w:rsidP="00043C48">
            <w:r w:rsidRPr="00D51771">
              <w:rPr>
                <w:rFonts w:eastAsia="Times New Roman" w:cstheme="minorHAnsi"/>
                <w:bCs/>
                <w:color w:val="000000"/>
              </w:rPr>
              <w:t>Relative Source Contribution</w:t>
            </w:r>
            <w:r>
              <w:rPr>
                <w:rFonts w:eastAsia="Times New Roman" w:cstheme="minorHAnsi"/>
                <w:bCs/>
                <w:color w:val="000000"/>
              </w:rPr>
              <w:t>, RSC (%)</w:t>
            </w:r>
          </w:p>
        </w:tc>
        <w:tc>
          <w:tcPr>
            <w:tcW w:w="1080" w:type="dxa"/>
            <w:vAlign w:val="center"/>
          </w:tcPr>
          <w:p w14:paraId="4208D301" w14:textId="0DCB1ED9" w:rsidR="00043C48" w:rsidRDefault="00043C48" w:rsidP="00043C48">
            <w:pPr>
              <w:jc w:val="center"/>
            </w:pPr>
            <w:r>
              <w:t>50</w:t>
            </w:r>
          </w:p>
        </w:tc>
        <w:tc>
          <w:tcPr>
            <w:tcW w:w="5220" w:type="dxa"/>
          </w:tcPr>
          <w:p w14:paraId="67939631" w14:textId="3A33E1DF" w:rsidR="00043C48" w:rsidRDefault="00384365" w:rsidP="00043C48">
            <w:r w:rsidRPr="00696722">
              <w:rPr>
                <w:rStyle w:val="normaltextrun"/>
                <w:rFonts w:ascii="Calibri" w:hAnsi="Calibri" w:cs="Calibri"/>
                <w:color w:val="000000"/>
                <w:shd w:val="clear" w:color="auto" w:fill="FFFFFF"/>
              </w:rPr>
              <w:t>NHANES Report on Biomonitoring (CDC, 2022</w:t>
            </w:r>
            <w:r w:rsidR="00500AB0" w:rsidRPr="00696722">
              <w:rPr>
                <w:rStyle w:val="normaltextrun"/>
                <w:rFonts w:ascii="Calibri" w:hAnsi="Calibri" w:cs="Calibri"/>
                <w:color w:val="000000"/>
                <w:shd w:val="clear" w:color="auto" w:fill="FFFFFF"/>
              </w:rPr>
              <w:t>a</w:t>
            </w:r>
            <w:r w:rsidRPr="00696722">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tc>
      </w:tr>
    </w:tbl>
    <w:p w14:paraId="48220738" w14:textId="4536E0C7" w:rsidR="006C3757" w:rsidRPr="00A34A85" w:rsidRDefault="006C3757" w:rsidP="00FF039C">
      <w:pPr>
        <w:spacing w:after="240" w:line="240" w:lineRule="auto"/>
        <w:rPr>
          <w:sz w:val="24"/>
          <w:szCs w:val="24"/>
        </w:rPr>
      </w:pPr>
      <w:r w:rsidRPr="00A34A85">
        <w:rPr>
          <w:sz w:val="24"/>
          <w:szCs w:val="24"/>
        </w:rPr>
        <w:t xml:space="preserve">Using the parameters in Table 2.1, the SWAL </w:t>
      </w:r>
      <w:r w:rsidR="007D7183" w:rsidRPr="00A34A85">
        <w:rPr>
          <w:sz w:val="24"/>
          <w:szCs w:val="24"/>
        </w:rPr>
        <w:t xml:space="preserve">(ng/L) </w:t>
      </w:r>
      <w:r w:rsidRPr="00A34A85">
        <w:rPr>
          <w:sz w:val="24"/>
          <w:szCs w:val="24"/>
        </w:rPr>
        <w:t>is calculated as follows</w:t>
      </w:r>
      <w:r w:rsidR="00710885">
        <w:rPr>
          <w:rStyle w:val="FootnoteReference"/>
          <w:sz w:val="24"/>
          <w:szCs w:val="24"/>
        </w:rPr>
        <w:footnoteReference w:id="5"/>
      </w:r>
      <w:r w:rsidRPr="00A34A85">
        <w:rPr>
          <w:sz w:val="24"/>
          <w:szCs w:val="24"/>
        </w:rPr>
        <w:t>:</w:t>
      </w:r>
    </w:p>
    <w:p w14:paraId="5A52CA73" w14:textId="4CEC5A2F" w:rsidR="000B24AF" w:rsidRPr="00A34A85" w:rsidRDefault="000B24AF" w:rsidP="000B24AF">
      <w:pPr>
        <w:spacing w:after="0" w:line="240" w:lineRule="auto"/>
        <w:rPr>
          <w:rFonts w:cs="Arial"/>
          <w:sz w:val="24"/>
          <w:szCs w:val="24"/>
        </w:rPr>
      </w:pPr>
      <m:oMathPara>
        <m:oMath>
          <m:r>
            <w:rPr>
              <w:rFonts w:ascii="Cambria Math" w:hAnsi="Cambria Math" w:cs="Arial"/>
            </w:rPr>
            <m:t>SWAL=</m:t>
          </m:r>
          <m:sSub>
            <m:sSubPr>
              <m:ctrlPr>
                <w:rPr>
                  <w:rFonts w:ascii="Cambria Math" w:hAnsi="Cambria Math" w:cs="Arial"/>
                  <w:i/>
                </w:rPr>
              </m:ctrlPr>
            </m:sSubPr>
            <m:e>
              <m:r>
                <w:rPr>
                  <w:rFonts w:ascii="Cambria Math" w:hAnsi="Cambria Math" w:cs="Arial"/>
                </w:rPr>
                <m:t>MRL</m:t>
              </m:r>
            </m:e>
            <m:sub>
              <m:r>
                <w:rPr>
                  <w:rFonts w:ascii="Cambria Math" w:hAnsi="Cambria Math" w:cs="Arial"/>
                </w:rPr>
                <m:t>PFOS</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 xml:space="preserve"> ng</m:t>
                  </m:r>
                </m:num>
                <m:den>
                  <m:r>
                    <w:rPr>
                      <w:rFonts w:ascii="Cambria Math" w:hAnsi="Cambria Math" w:cs="Arial"/>
                    </w:rPr>
                    <m:t>mg</m:t>
                  </m:r>
                </m:den>
              </m:f>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BW×AT</m:t>
                  </m:r>
                </m:num>
                <m:den>
                  <m:r>
                    <w:rPr>
                      <w:rFonts w:ascii="Cambria Math" w:hAnsi="Cambria Math" w:cs="Arial"/>
                    </w:rPr>
                    <m:t>IR×ET×EF×ED</m:t>
                  </m:r>
                </m:den>
              </m:f>
            </m:e>
          </m:d>
          <m:r>
            <w:rPr>
              <w:rFonts w:ascii="Cambria Math" w:hAnsi="Cambria Math" w:cs="Arial"/>
            </w:rPr>
            <m:t>×RSC×</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MRL</m:t>
                      </m:r>
                    </m:e>
                    <m:sub>
                      <m:r>
                        <w:rPr>
                          <w:rFonts w:ascii="Cambria Math" w:hAnsi="Cambria Math" w:cs="Arial"/>
                        </w:rPr>
                        <m:t>PFOS</m:t>
                      </m:r>
                    </m:sub>
                  </m:sSub>
                </m:num>
                <m:den>
                  <m:sSub>
                    <m:sSubPr>
                      <m:ctrlPr>
                        <w:rPr>
                          <w:rFonts w:ascii="Cambria Math" w:hAnsi="Cambria Math" w:cs="Arial"/>
                          <w:i/>
                        </w:rPr>
                      </m:ctrlPr>
                    </m:sSubPr>
                    <m:e>
                      <m:r>
                        <w:rPr>
                          <w:rFonts w:ascii="Cambria Math" w:hAnsi="Cambria Math" w:cs="Arial"/>
                        </w:rPr>
                        <m:t>MRL</m:t>
                      </m:r>
                    </m:e>
                    <m:sub>
                      <m:r>
                        <w:rPr>
                          <w:rFonts w:ascii="Cambria Math" w:hAnsi="Cambria Math" w:cs="Arial"/>
                        </w:rPr>
                        <m:t>PFOS</m:t>
                      </m:r>
                    </m:sub>
                  </m:sSub>
                  <m:r>
                    <w:rPr>
                      <w:rFonts w:ascii="Cambria Math" w:hAnsi="Cambria Math" w:cs="Arial"/>
                    </w:rPr>
                    <m:t>+</m:t>
                  </m:r>
                  <m:sSub>
                    <m:sSubPr>
                      <m:ctrlPr>
                        <w:rPr>
                          <w:rFonts w:ascii="Cambria Math" w:hAnsi="Cambria Math" w:cs="Arial"/>
                          <w:i/>
                        </w:rPr>
                      </m:ctrlPr>
                    </m:sSubPr>
                    <m:e>
                      <m:r>
                        <w:rPr>
                          <w:rFonts w:ascii="Cambria Math" w:hAnsi="Cambria Math" w:cs="Arial"/>
                        </w:rPr>
                        <m:t>MRL</m:t>
                      </m:r>
                    </m:e>
                    <m:sub>
                      <m:r>
                        <w:rPr>
                          <w:rFonts w:ascii="Cambria Math" w:hAnsi="Cambria Math" w:cs="Arial"/>
                        </w:rPr>
                        <m:t>PFNA</m:t>
                      </m:r>
                    </m:sub>
                  </m:sSub>
                </m:den>
              </m:f>
            </m:e>
          </m:d>
        </m:oMath>
      </m:oMathPara>
    </w:p>
    <w:p w14:paraId="3A6ECF52" w14:textId="6E72AE26" w:rsidR="00A34A85" w:rsidRDefault="00A34A85" w:rsidP="009362A1">
      <w:pPr>
        <w:spacing w:line="240" w:lineRule="auto"/>
        <w:rPr>
          <w:rFonts w:cs="Arial"/>
          <w:sz w:val="24"/>
          <w:szCs w:val="24"/>
        </w:rPr>
      </w:pPr>
      <w:r w:rsidRPr="00A34A85">
        <w:rPr>
          <w:rFonts w:cs="Arial"/>
          <w:sz w:val="24"/>
          <w:szCs w:val="24"/>
        </w:rPr>
        <w:lastRenderedPageBreak/>
        <w:t>Additional discussion o</w:t>
      </w:r>
      <w:r w:rsidR="00DF2856">
        <w:rPr>
          <w:rFonts w:cs="Arial"/>
          <w:sz w:val="24"/>
          <w:szCs w:val="24"/>
        </w:rPr>
        <w:t>n</w:t>
      </w:r>
      <w:r w:rsidRPr="00A34A85">
        <w:rPr>
          <w:rFonts w:cs="Arial"/>
          <w:sz w:val="24"/>
          <w:szCs w:val="24"/>
        </w:rPr>
        <w:t xml:space="preserve"> the basis for the exposure parameters, as well as exposure parameters for other age groups, </w:t>
      </w:r>
      <w:r w:rsidR="002D0B30">
        <w:rPr>
          <w:rFonts w:cs="Arial"/>
          <w:sz w:val="24"/>
          <w:szCs w:val="24"/>
        </w:rPr>
        <w:t xml:space="preserve">is </w:t>
      </w:r>
      <w:r w:rsidRPr="00A34A85">
        <w:rPr>
          <w:rFonts w:cs="Arial"/>
          <w:sz w:val="24"/>
          <w:szCs w:val="24"/>
        </w:rPr>
        <w:t>included in Ap</w:t>
      </w:r>
      <w:r w:rsidR="00A806C9">
        <w:rPr>
          <w:rFonts w:cs="Arial"/>
          <w:sz w:val="24"/>
          <w:szCs w:val="24"/>
        </w:rPr>
        <w:t>p</w:t>
      </w:r>
      <w:r w:rsidRPr="00A34A85">
        <w:rPr>
          <w:rFonts w:cs="Arial"/>
          <w:sz w:val="24"/>
          <w:szCs w:val="24"/>
        </w:rPr>
        <w:t xml:space="preserve">endix </w:t>
      </w:r>
      <w:r w:rsidR="00D81CD7">
        <w:rPr>
          <w:rFonts w:cs="Arial"/>
          <w:sz w:val="24"/>
          <w:szCs w:val="24"/>
        </w:rPr>
        <w:t>A</w:t>
      </w:r>
      <w:r w:rsidRPr="00A34A85">
        <w:rPr>
          <w:rFonts w:cs="Arial"/>
          <w:sz w:val="24"/>
          <w:szCs w:val="24"/>
        </w:rPr>
        <w:t>.</w:t>
      </w:r>
      <w:r w:rsidR="001225E1">
        <w:rPr>
          <w:rFonts w:cs="Arial"/>
          <w:sz w:val="24"/>
          <w:szCs w:val="24"/>
        </w:rPr>
        <w:t xml:space="preserve"> Appendix </w:t>
      </w:r>
      <w:r w:rsidR="00D81CD7">
        <w:rPr>
          <w:rFonts w:cs="Arial"/>
          <w:sz w:val="24"/>
          <w:szCs w:val="24"/>
        </w:rPr>
        <w:t>A</w:t>
      </w:r>
      <w:r w:rsidR="001225E1">
        <w:rPr>
          <w:rFonts w:cs="Arial"/>
          <w:sz w:val="24"/>
          <w:szCs w:val="24"/>
        </w:rPr>
        <w:t xml:space="preserve"> also includes a discussion of a SWAL based on MassDEP exposure criteria and exposure assumptions.</w:t>
      </w:r>
    </w:p>
    <w:p w14:paraId="0C80A8B9" w14:textId="25CA5965" w:rsidR="004106C5" w:rsidRPr="00DC6757" w:rsidRDefault="004106C5" w:rsidP="009362A1">
      <w:pPr>
        <w:pStyle w:val="Heading3"/>
        <w:spacing w:before="240"/>
        <w:rPr>
          <w:rFonts w:asciiTheme="minorHAnsi" w:hAnsiTheme="minorHAnsi" w:cstheme="minorHAnsi"/>
          <w:sz w:val="26"/>
          <w:szCs w:val="26"/>
        </w:rPr>
      </w:pPr>
      <w:bookmarkStart w:id="9" w:name="_Toc162620789"/>
      <w:r w:rsidRPr="00DC6757">
        <w:rPr>
          <w:rFonts w:asciiTheme="minorHAnsi" w:hAnsiTheme="minorHAnsi" w:cstheme="minorHAnsi"/>
          <w:sz w:val="26"/>
          <w:szCs w:val="26"/>
        </w:rPr>
        <w:t xml:space="preserve">2.2.2 </w:t>
      </w:r>
      <w:r w:rsidR="00E77E37">
        <w:rPr>
          <w:rFonts w:asciiTheme="minorHAnsi" w:hAnsiTheme="minorHAnsi" w:cstheme="minorHAnsi"/>
          <w:sz w:val="26"/>
          <w:szCs w:val="26"/>
        </w:rPr>
        <w:tab/>
      </w:r>
      <w:r w:rsidRPr="00DC6757">
        <w:rPr>
          <w:rFonts w:asciiTheme="minorHAnsi" w:hAnsiTheme="minorHAnsi" w:cstheme="minorHAnsi"/>
          <w:sz w:val="26"/>
          <w:szCs w:val="26"/>
        </w:rPr>
        <w:t>Public Beach Action Level</w:t>
      </w:r>
      <w:bookmarkEnd w:id="9"/>
    </w:p>
    <w:p w14:paraId="26DEA27B" w14:textId="3EDF6CDD" w:rsidR="00CF2538" w:rsidRPr="000D046E" w:rsidRDefault="00CF2538" w:rsidP="009362A1">
      <w:pPr>
        <w:spacing w:line="240" w:lineRule="auto"/>
        <w:rPr>
          <w:sz w:val="24"/>
          <w:szCs w:val="24"/>
        </w:rPr>
      </w:pPr>
      <w:r w:rsidRPr="1CA4B720">
        <w:rPr>
          <w:sz w:val="24"/>
          <w:szCs w:val="24"/>
        </w:rPr>
        <w:t xml:space="preserve">DPH recommends a </w:t>
      </w:r>
      <w:r w:rsidRPr="005B0983">
        <w:rPr>
          <w:sz w:val="24"/>
          <w:szCs w:val="24"/>
        </w:rPr>
        <w:t>Public Beach Action Level (</w:t>
      </w:r>
      <w:r w:rsidR="00DC1B2E" w:rsidRPr="005B0983">
        <w:rPr>
          <w:sz w:val="24"/>
          <w:szCs w:val="24"/>
        </w:rPr>
        <w:t>PBAL</w:t>
      </w:r>
      <w:r w:rsidRPr="005B0983">
        <w:rPr>
          <w:sz w:val="24"/>
          <w:szCs w:val="24"/>
        </w:rPr>
        <w:t xml:space="preserve">) of </w:t>
      </w:r>
      <w:r w:rsidR="00DD743F" w:rsidRPr="005B0983">
        <w:rPr>
          <w:sz w:val="24"/>
          <w:szCs w:val="24"/>
        </w:rPr>
        <w:t>90</w:t>
      </w:r>
      <w:r w:rsidRPr="005B0983">
        <w:rPr>
          <w:sz w:val="24"/>
          <w:szCs w:val="24"/>
        </w:rPr>
        <w:t xml:space="preserve"> ng of PFAS per liter of water (ng/L)</w:t>
      </w:r>
      <w:r w:rsidRPr="1CA4B720">
        <w:rPr>
          <w:b/>
          <w:bCs/>
          <w:sz w:val="24"/>
          <w:szCs w:val="24"/>
        </w:rPr>
        <w:t xml:space="preserve"> </w:t>
      </w:r>
      <w:r w:rsidRPr="1CA4B720">
        <w:rPr>
          <w:sz w:val="24"/>
          <w:szCs w:val="24"/>
        </w:rPr>
        <w:t xml:space="preserve">for surface waterbodies that are intended for </w:t>
      </w:r>
      <w:r w:rsidRPr="00696722">
        <w:rPr>
          <w:sz w:val="24"/>
          <w:szCs w:val="24"/>
        </w:rPr>
        <w:t>swimming (</w:t>
      </w:r>
      <w:r w:rsidR="0037353D" w:rsidRPr="00696722">
        <w:rPr>
          <w:sz w:val="24"/>
          <w:szCs w:val="24"/>
        </w:rPr>
        <w:t>i.e.,</w:t>
      </w:r>
      <w:r w:rsidRPr="00696722">
        <w:rPr>
          <w:sz w:val="24"/>
          <w:szCs w:val="24"/>
        </w:rPr>
        <w:t xml:space="preserve"> permitted</w:t>
      </w:r>
      <w:r w:rsidRPr="1CA4B720">
        <w:rPr>
          <w:sz w:val="24"/>
          <w:szCs w:val="24"/>
        </w:rPr>
        <w:t xml:space="preserve"> bathing beaches). </w:t>
      </w:r>
      <w:r w:rsidR="00803A07" w:rsidRPr="1CA4B720">
        <w:rPr>
          <w:sz w:val="24"/>
          <w:szCs w:val="24"/>
        </w:rPr>
        <w:t>As with the SWAL, and c</w:t>
      </w:r>
      <w:r w:rsidRPr="1CA4B720">
        <w:rPr>
          <w:sz w:val="24"/>
          <w:szCs w:val="24"/>
        </w:rPr>
        <w:t>onsistent with ATSDR recommendations for evaluating PFAS compounds individually, this value should be applied to</w:t>
      </w:r>
      <w:r w:rsidR="001020BC">
        <w:rPr>
          <w:sz w:val="24"/>
          <w:szCs w:val="24"/>
        </w:rPr>
        <w:t xml:space="preserve"> the detected concentration of each</w:t>
      </w:r>
      <w:r w:rsidRPr="1CA4B720">
        <w:rPr>
          <w:sz w:val="24"/>
          <w:szCs w:val="24"/>
        </w:rPr>
        <w:t xml:space="preserve"> individual PFAS</w:t>
      </w:r>
      <w:r w:rsidR="001020BC">
        <w:rPr>
          <w:sz w:val="24"/>
          <w:szCs w:val="24"/>
        </w:rPr>
        <w:t xml:space="preserve"> compound</w:t>
      </w:r>
      <w:r w:rsidRPr="1CA4B720">
        <w:rPr>
          <w:sz w:val="24"/>
          <w:szCs w:val="24"/>
        </w:rPr>
        <w:t xml:space="preserve"> for which there </w:t>
      </w:r>
      <w:r w:rsidR="001020BC">
        <w:rPr>
          <w:sz w:val="24"/>
          <w:szCs w:val="24"/>
        </w:rPr>
        <w:t>is</w:t>
      </w:r>
      <w:r w:rsidR="001020BC" w:rsidRPr="1CA4B720">
        <w:rPr>
          <w:sz w:val="24"/>
          <w:szCs w:val="24"/>
        </w:rPr>
        <w:t xml:space="preserve"> </w:t>
      </w:r>
      <w:r w:rsidR="001020BC">
        <w:rPr>
          <w:sz w:val="24"/>
          <w:szCs w:val="24"/>
        </w:rPr>
        <w:t xml:space="preserve">an </w:t>
      </w:r>
      <w:r w:rsidRPr="1CA4B720">
        <w:rPr>
          <w:sz w:val="24"/>
          <w:szCs w:val="24"/>
        </w:rPr>
        <w:t xml:space="preserve">established toxicity </w:t>
      </w:r>
      <w:r w:rsidR="001020BC" w:rsidRPr="1CA4B720">
        <w:rPr>
          <w:sz w:val="24"/>
          <w:szCs w:val="24"/>
        </w:rPr>
        <w:t>criteri</w:t>
      </w:r>
      <w:r w:rsidR="001020BC">
        <w:rPr>
          <w:sz w:val="24"/>
          <w:szCs w:val="24"/>
        </w:rPr>
        <w:t>on</w:t>
      </w:r>
      <w:r w:rsidR="001020BC" w:rsidRPr="1CA4B720">
        <w:rPr>
          <w:sz w:val="24"/>
          <w:szCs w:val="24"/>
        </w:rPr>
        <w:t xml:space="preserve"> </w:t>
      </w:r>
      <w:r w:rsidR="00803A07" w:rsidRPr="1CA4B720">
        <w:rPr>
          <w:sz w:val="24"/>
          <w:szCs w:val="24"/>
        </w:rPr>
        <w:t>(</w:t>
      </w:r>
      <w:proofErr w:type="spellStart"/>
      <w:r w:rsidR="00A40BBD" w:rsidRPr="1CA4B720">
        <w:rPr>
          <w:sz w:val="24"/>
          <w:szCs w:val="24"/>
        </w:rPr>
        <w:t>GenX</w:t>
      </w:r>
      <w:proofErr w:type="spellEnd"/>
      <w:r w:rsidR="00A40BBD" w:rsidRPr="1CA4B720">
        <w:rPr>
          <w:sz w:val="24"/>
          <w:szCs w:val="24"/>
        </w:rPr>
        <w:t xml:space="preserve">, </w:t>
      </w:r>
      <w:r w:rsidR="00803A07" w:rsidRPr="1CA4B720">
        <w:rPr>
          <w:sz w:val="24"/>
          <w:szCs w:val="24"/>
        </w:rPr>
        <w:t xml:space="preserve">PFBA, </w:t>
      </w:r>
      <w:r w:rsidRPr="1CA4B720">
        <w:rPr>
          <w:sz w:val="24"/>
          <w:szCs w:val="24"/>
        </w:rPr>
        <w:t xml:space="preserve">PFBS, </w:t>
      </w:r>
      <w:proofErr w:type="spellStart"/>
      <w:r w:rsidRPr="1CA4B720">
        <w:rPr>
          <w:sz w:val="24"/>
          <w:szCs w:val="24"/>
        </w:rPr>
        <w:t>PFHxS</w:t>
      </w:r>
      <w:proofErr w:type="spellEnd"/>
      <w:r w:rsidRPr="1CA4B720">
        <w:rPr>
          <w:sz w:val="24"/>
          <w:szCs w:val="24"/>
        </w:rPr>
        <w:t xml:space="preserve">, PFOA, PFOS, </w:t>
      </w:r>
      <w:r w:rsidR="00A40BBD" w:rsidRPr="1CA4B720">
        <w:rPr>
          <w:sz w:val="24"/>
          <w:szCs w:val="24"/>
        </w:rPr>
        <w:t xml:space="preserve">and </w:t>
      </w:r>
      <w:r w:rsidRPr="1CA4B720">
        <w:rPr>
          <w:sz w:val="24"/>
          <w:szCs w:val="24"/>
        </w:rPr>
        <w:t>PFNA</w:t>
      </w:r>
      <w:r w:rsidR="00855B9D" w:rsidRPr="1CA4B720">
        <w:rPr>
          <w:sz w:val="24"/>
          <w:szCs w:val="24"/>
        </w:rPr>
        <w:t xml:space="preserve">). </w:t>
      </w:r>
      <w:r w:rsidRPr="1CA4B720">
        <w:rPr>
          <w:sz w:val="24"/>
          <w:szCs w:val="24"/>
        </w:rPr>
        <w:t xml:space="preserve"> If the concentration of </w:t>
      </w:r>
      <w:r w:rsidR="001020BC">
        <w:rPr>
          <w:sz w:val="24"/>
          <w:szCs w:val="24"/>
        </w:rPr>
        <w:t>each of the</w:t>
      </w:r>
      <w:r w:rsidRPr="1CA4B720">
        <w:rPr>
          <w:sz w:val="24"/>
          <w:szCs w:val="24"/>
        </w:rPr>
        <w:t xml:space="preserve"> </w:t>
      </w:r>
      <w:r w:rsidR="00470BD4" w:rsidRPr="1CA4B720">
        <w:rPr>
          <w:sz w:val="24"/>
          <w:szCs w:val="24"/>
        </w:rPr>
        <w:t>individual</w:t>
      </w:r>
      <w:r w:rsidR="004E42FB" w:rsidRPr="1CA4B720">
        <w:rPr>
          <w:sz w:val="24"/>
          <w:szCs w:val="24"/>
        </w:rPr>
        <w:t xml:space="preserve"> </w:t>
      </w:r>
      <w:r w:rsidRPr="1CA4B720">
        <w:rPr>
          <w:sz w:val="24"/>
          <w:szCs w:val="24"/>
        </w:rPr>
        <w:t xml:space="preserve">PFAS </w:t>
      </w:r>
      <w:r w:rsidR="001020BC">
        <w:rPr>
          <w:sz w:val="24"/>
          <w:szCs w:val="24"/>
        </w:rPr>
        <w:t>compounds is</w:t>
      </w:r>
      <w:r w:rsidR="001020BC" w:rsidRPr="1CA4B720">
        <w:rPr>
          <w:sz w:val="24"/>
          <w:szCs w:val="24"/>
        </w:rPr>
        <w:t xml:space="preserve"> </w:t>
      </w:r>
      <w:r w:rsidRPr="1CA4B720">
        <w:rPr>
          <w:sz w:val="24"/>
          <w:szCs w:val="24"/>
        </w:rPr>
        <w:t xml:space="preserve">less than </w:t>
      </w:r>
      <w:r w:rsidR="00A421A2" w:rsidRPr="1CA4B720">
        <w:rPr>
          <w:sz w:val="24"/>
          <w:szCs w:val="24"/>
        </w:rPr>
        <w:t>90</w:t>
      </w:r>
      <w:r w:rsidRPr="1CA4B720">
        <w:rPr>
          <w:sz w:val="24"/>
          <w:szCs w:val="24"/>
        </w:rPr>
        <w:t xml:space="preserve"> ng/L, the waterbody would be safe for swimming, for all age groups. If </w:t>
      </w:r>
      <w:r w:rsidRPr="1CA4B720">
        <w:rPr>
          <w:i/>
          <w:iCs/>
          <w:sz w:val="24"/>
          <w:szCs w:val="24"/>
        </w:rPr>
        <w:t>any</w:t>
      </w:r>
      <w:r w:rsidRPr="1CA4B720">
        <w:rPr>
          <w:sz w:val="24"/>
          <w:szCs w:val="24"/>
        </w:rPr>
        <w:t xml:space="preserve"> of these compounds (individually) exceed a </w:t>
      </w:r>
      <w:r w:rsidR="00122B97" w:rsidRPr="1CA4B720">
        <w:rPr>
          <w:sz w:val="24"/>
          <w:szCs w:val="24"/>
        </w:rPr>
        <w:t>PB</w:t>
      </w:r>
      <w:r w:rsidRPr="1CA4B720">
        <w:rPr>
          <w:sz w:val="24"/>
          <w:szCs w:val="24"/>
        </w:rPr>
        <w:t xml:space="preserve">AL of </w:t>
      </w:r>
      <w:r w:rsidR="00855B9D" w:rsidRPr="1CA4B720">
        <w:rPr>
          <w:sz w:val="24"/>
          <w:szCs w:val="24"/>
        </w:rPr>
        <w:t>90</w:t>
      </w:r>
      <w:r w:rsidRPr="1CA4B720">
        <w:rPr>
          <w:sz w:val="24"/>
          <w:szCs w:val="24"/>
        </w:rPr>
        <w:t xml:space="preserve"> ng/L, a waterbody-specific risk assessment would be required</w:t>
      </w:r>
      <w:r w:rsidR="00A421A2" w:rsidRPr="1CA4B720">
        <w:rPr>
          <w:sz w:val="24"/>
          <w:szCs w:val="24"/>
        </w:rPr>
        <w:t xml:space="preserve"> </w:t>
      </w:r>
      <w:r w:rsidR="004E42FB" w:rsidRPr="1CA4B720">
        <w:rPr>
          <w:sz w:val="24"/>
          <w:szCs w:val="24"/>
        </w:rPr>
        <w:t xml:space="preserve">to determine whether any restrictions </w:t>
      </w:r>
      <w:r w:rsidR="003E2358" w:rsidRPr="1CA4B720">
        <w:rPr>
          <w:sz w:val="24"/>
          <w:szCs w:val="24"/>
        </w:rPr>
        <w:t xml:space="preserve">should be placed </w:t>
      </w:r>
      <w:r w:rsidR="004E42FB" w:rsidRPr="1CA4B720">
        <w:rPr>
          <w:sz w:val="24"/>
          <w:szCs w:val="24"/>
        </w:rPr>
        <w:t xml:space="preserve">on swimming </w:t>
      </w:r>
      <w:r w:rsidR="003E2358" w:rsidRPr="1CA4B720">
        <w:rPr>
          <w:sz w:val="24"/>
          <w:szCs w:val="24"/>
        </w:rPr>
        <w:t>at the beach</w:t>
      </w:r>
      <w:r w:rsidRPr="1CA4B720">
        <w:rPr>
          <w:sz w:val="24"/>
          <w:szCs w:val="24"/>
        </w:rPr>
        <w:t xml:space="preserve">. </w:t>
      </w:r>
    </w:p>
    <w:p w14:paraId="2617EB58" w14:textId="38F6648F" w:rsidR="00A0005F" w:rsidRDefault="00A0005F" w:rsidP="009362A1">
      <w:pPr>
        <w:spacing w:line="240" w:lineRule="auto"/>
        <w:rPr>
          <w:sz w:val="24"/>
          <w:szCs w:val="24"/>
        </w:rPr>
      </w:pPr>
      <w:r w:rsidRPr="6BE7E070">
        <w:rPr>
          <w:sz w:val="24"/>
          <w:szCs w:val="24"/>
        </w:rPr>
        <w:t xml:space="preserve">DPH developed the PBAL to be protective of young children who might swim at the same public beach on a regular basis. Although very little PFAS are absorbed through the skin, individuals may accidentally ingest water while swimming. Information regarding how often children swim, how much time per day they spend swimming, and how much water they accidentally ingest while swimming was derived from </w:t>
      </w:r>
      <w:r w:rsidR="00786BD5" w:rsidRPr="6BE7E070">
        <w:rPr>
          <w:sz w:val="24"/>
          <w:szCs w:val="24"/>
        </w:rPr>
        <w:t>analyses</w:t>
      </w:r>
      <w:r w:rsidRPr="6BE7E070">
        <w:rPr>
          <w:sz w:val="24"/>
          <w:szCs w:val="24"/>
        </w:rPr>
        <w:t xml:space="preserve"> by the U.S. Environmental Protection Agency</w:t>
      </w:r>
      <w:r w:rsidR="00D02B60">
        <w:rPr>
          <w:sz w:val="24"/>
          <w:szCs w:val="24"/>
        </w:rPr>
        <w:t xml:space="preserve">, </w:t>
      </w:r>
      <w:r w:rsidR="00D02B60" w:rsidRPr="000A114D">
        <w:rPr>
          <w:sz w:val="24"/>
          <w:szCs w:val="24"/>
        </w:rPr>
        <w:t>including the National Human Activity Patterns Survey</w:t>
      </w:r>
      <w:r w:rsidR="00AF4DD7" w:rsidRPr="6BE7E070">
        <w:rPr>
          <w:sz w:val="24"/>
          <w:szCs w:val="24"/>
        </w:rPr>
        <w:t xml:space="preserve"> (US EPA, 1996</w:t>
      </w:r>
      <w:r w:rsidR="00D02B60" w:rsidRPr="000A114D">
        <w:rPr>
          <w:sz w:val="24"/>
          <w:szCs w:val="24"/>
        </w:rPr>
        <w:t>)</w:t>
      </w:r>
      <w:r w:rsidR="00AF4DD7" w:rsidRPr="000A114D">
        <w:rPr>
          <w:sz w:val="24"/>
          <w:szCs w:val="24"/>
        </w:rPr>
        <w:t xml:space="preserve">, </w:t>
      </w:r>
      <w:r w:rsidR="00D02B60" w:rsidRPr="000A114D">
        <w:rPr>
          <w:sz w:val="24"/>
          <w:szCs w:val="24"/>
        </w:rPr>
        <w:t>and the Exposure Factors Handbook (US EPA,</w:t>
      </w:r>
      <w:r w:rsidR="00D02B60">
        <w:rPr>
          <w:sz w:val="24"/>
          <w:szCs w:val="24"/>
        </w:rPr>
        <w:t xml:space="preserve"> </w:t>
      </w:r>
      <w:r w:rsidR="00AF4DD7" w:rsidRPr="6BE7E070">
        <w:rPr>
          <w:sz w:val="24"/>
          <w:szCs w:val="24"/>
        </w:rPr>
        <w:t>2011)</w:t>
      </w:r>
      <w:r w:rsidRPr="6BE7E070">
        <w:rPr>
          <w:sz w:val="24"/>
          <w:szCs w:val="24"/>
        </w:rPr>
        <w:t xml:space="preserve">. </w:t>
      </w:r>
    </w:p>
    <w:p w14:paraId="7EAC5C24" w14:textId="3437DBC7" w:rsidR="00A0005F" w:rsidRDefault="00A0005F" w:rsidP="009362A1">
      <w:pPr>
        <w:keepNext/>
        <w:spacing w:after="40"/>
        <w:rPr>
          <w:sz w:val="24"/>
          <w:szCs w:val="24"/>
        </w:rPr>
      </w:pPr>
      <w:r w:rsidRPr="6BE7E070">
        <w:rPr>
          <w:sz w:val="24"/>
          <w:szCs w:val="24"/>
        </w:rPr>
        <w:t>The PBAL is based on the following assumptions:</w:t>
      </w:r>
    </w:p>
    <w:p w14:paraId="64FB2A4D" w14:textId="2EEDE1A1" w:rsidR="008510CD" w:rsidRDefault="008510CD" w:rsidP="009362A1">
      <w:pPr>
        <w:pStyle w:val="ListParagraph"/>
        <w:numPr>
          <w:ilvl w:val="0"/>
          <w:numId w:val="36"/>
        </w:numPr>
        <w:spacing w:after="80" w:line="240" w:lineRule="auto"/>
        <w:contextualSpacing w:val="0"/>
        <w:rPr>
          <w:sz w:val="24"/>
          <w:szCs w:val="24"/>
        </w:rPr>
      </w:pPr>
      <w:r>
        <w:rPr>
          <w:sz w:val="24"/>
          <w:szCs w:val="24"/>
        </w:rPr>
        <w:t xml:space="preserve">A single screening value </w:t>
      </w:r>
      <w:r w:rsidR="004F1266">
        <w:rPr>
          <w:sz w:val="24"/>
          <w:szCs w:val="24"/>
        </w:rPr>
        <w:t>that</w:t>
      </w:r>
      <w:r>
        <w:rPr>
          <w:sz w:val="24"/>
          <w:szCs w:val="24"/>
        </w:rPr>
        <w:t xml:space="preserve"> can be applied to all PFAS is needed to determine when a waterbody is assumed to </w:t>
      </w:r>
      <w:r w:rsidR="006D17E4">
        <w:rPr>
          <w:sz w:val="24"/>
          <w:szCs w:val="24"/>
        </w:rPr>
        <w:t xml:space="preserve">be </w:t>
      </w:r>
      <w:r>
        <w:rPr>
          <w:sz w:val="24"/>
          <w:szCs w:val="24"/>
        </w:rPr>
        <w:t xml:space="preserve">safe for </w:t>
      </w:r>
      <w:r w:rsidR="006D17E4">
        <w:rPr>
          <w:sz w:val="24"/>
          <w:szCs w:val="24"/>
        </w:rPr>
        <w:t>swimming for a high-</w:t>
      </w:r>
      <w:r w:rsidR="001020BC">
        <w:rPr>
          <w:sz w:val="24"/>
          <w:szCs w:val="24"/>
        </w:rPr>
        <w:t>frequency</w:t>
      </w:r>
      <w:r w:rsidR="006D17E4">
        <w:rPr>
          <w:sz w:val="24"/>
          <w:szCs w:val="24"/>
        </w:rPr>
        <w:t xml:space="preserve">, sensitive user. </w:t>
      </w:r>
    </w:p>
    <w:p w14:paraId="0588C2F5" w14:textId="3775BD71" w:rsidR="00A0005F" w:rsidRDefault="00A0005F" w:rsidP="009362A1">
      <w:pPr>
        <w:pStyle w:val="ListParagraph"/>
        <w:numPr>
          <w:ilvl w:val="0"/>
          <w:numId w:val="36"/>
        </w:numPr>
        <w:spacing w:after="80" w:line="240" w:lineRule="auto"/>
        <w:contextualSpacing w:val="0"/>
        <w:rPr>
          <w:sz w:val="24"/>
          <w:szCs w:val="24"/>
        </w:rPr>
      </w:pPr>
      <w:r>
        <w:rPr>
          <w:sz w:val="24"/>
          <w:szCs w:val="24"/>
        </w:rPr>
        <w:t>Children (ages 2 - &lt; 11 years) would swim seven days/week, for two hours/</w:t>
      </w:r>
      <w:r w:rsidR="00D124D4">
        <w:rPr>
          <w:sz w:val="24"/>
          <w:szCs w:val="24"/>
        </w:rPr>
        <w:t>day.</w:t>
      </w:r>
    </w:p>
    <w:p w14:paraId="6AABED3E" w14:textId="2BA1547F" w:rsidR="00A0005F" w:rsidRDefault="00A0005F" w:rsidP="009362A1">
      <w:pPr>
        <w:pStyle w:val="ListParagraph"/>
        <w:numPr>
          <w:ilvl w:val="0"/>
          <w:numId w:val="36"/>
        </w:numPr>
        <w:spacing w:after="80" w:line="240" w:lineRule="auto"/>
        <w:contextualSpacing w:val="0"/>
        <w:rPr>
          <w:sz w:val="24"/>
          <w:szCs w:val="24"/>
        </w:rPr>
      </w:pPr>
      <w:r>
        <w:rPr>
          <w:sz w:val="24"/>
          <w:szCs w:val="24"/>
        </w:rPr>
        <w:t xml:space="preserve">While in the water, infants, </w:t>
      </w:r>
      <w:r w:rsidR="00D124D4">
        <w:rPr>
          <w:sz w:val="24"/>
          <w:szCs w:val="24"/>
        </w:rPr>
        <w:t>toddlers,</w:t>
      </w:r>
      <w:r>
        <w:rPr>
          <w:sz w:val="24"/>
          <w:szCs w:val="24"/>
        </w:rPr>
        <w:t xml:space="preserve"> and children would accidentally ingest</w:t>
      </w:r>
      <w:r w:rsidR="00A421A2">
        <w:rPr>
          <w:sz w:val="24"/>
          <w:szCs w:val="24"/>
        </w:rPr>
        <w:t xml:space="preserve"> </w:t>
      </w:r>
      <w:r>
        <w:rPr>
          <w:sz w:val="24"/>
          <w:szCs w:val="24"/>
        </w:rPr>
        <w:t>approximately 3.5 tablespoons of water per hour, or slightly less than half a cup per day.</w:t>
      </w:r>
    </w:p>
    <w:p w14:paraId="2D89E5F9" w14:textId="673356C3" w:rsidR="00A421A2" w:rsidRPr="00231A7C" w:rsidRDefault="00A421A2" w:rsidP="009362A1">
      <w:pPr>
        <w:pStyle w:val="ListParagraph"/>
        <w:numPr>
          <w:ilvl w:val="0"/>
          <w:numId w:val="36"/>
        </w:numPr>
        <w:spacing w:after="80" w:line="240" w:lineRule="auto"/>
        <w:contextualSpacing w:val="0"/>
        <w:rPr>
          <w:rFonts w:cstheme="minorHAnsi"/>
          <w:sz w:val="24"/>
          <w:szCs w:val="24"/>
        </w:rPr>
      </w:pPr>
      <w:r>
        <w:rPr>
          <w:rFonts w:cstheme="minorHAnsi"/>
          <w:sz w:val="24"/>
          <w:szCs w:val="24"/>
        </w:rPr>
        <w:t xml:space="preserve">Exposure to surface water while swimming is averaged over the period between Memorial Day and </w:t>
      </w:r>
      <w:r w:rsidR="00E128E0">
        <w:rPr>
          <w:rFonts w:cstheme="minorHAnsi"/>
          <w:sz w:val="24"/>
          <w:szCs w:val="24"/>
        </w:rPr>
        <w:t>Labor Day when</w:t>
      </w:r>
      <w:r>
        <w:rPr>
          <w:rFonts w:cstheme="minorHAnsi"/>
          <w:sz w:val="24"/>
          <w:szCs w:val="24"/>
        </w:rPr>
        <w:t xml:space="preserve"> swimming is most likely to occur.</w:t>
      </w:r>
    </w:p>
    <w:p w14:paraId="436D25A8" w14:textId="473415A9" w:rsidR="00A0005F" w:rsidRDefault="00A0005F" w:rsidP="009362A1">
      <w:pPr>
        <w:pStyle w:val="ListParagraph"/>
        <w:numPr>
          <w:ilvl w:val="0"/>
          <w:numId w:val="36"/>
        </w:numPr>
        <w:spacing w:after="80" w:line="240" w:lineRule="auto"/>
        <w:rPr>
          <w:sz w:val="24"/>
          <w:szCs w:val="24"/>
        </w:rPr>
      </w:pPr>
      <w:r w:rsidRPr="6BE7E070">
        <w:rPr>
          <w:sz w:val="24"/>
          <w:szCs w:val="24"/>
        </w:rPr>
        <w:t xml:space="preserve">The PBAL is based on </w:t>
      </w:r>
      <w:r w:rsidR="00202D03">
        <w:rPr>
          <w:sz w:val="24"/>
          <w:szCs w:val="24"/>
        </w:rPr>
        <w:t xml:space="preserve">the </w:t>
      </w:r>
      <w:r w:rsidRPr="6BE7E070">
        <w:rPr>
          <w:sz w:val="24"/>
          <w:szCs w:val="24"/>
        </w:rPr>
        <w:t>toxicity of PFOS</w:t>
      </w:r>
      <w:r w:rsidR="00D118A1" w:rsidRPr="6BE7E070">
        <w:rPr>
          <w:sz w:val="24"/>
          <w:szCs w:val="24"/>
        </w:rPr>
        <w:t xml:space="preserve">, </w:t>
      </w:r>
      <w:r w:rsidRPr="6BE7E070">
        <w:rPr>
          <w:sz w:val="24"/>
          <w:szCs w:val="24"/>
        </w:rPr>
        <w:t xml:space="preserve">which </w:t>
      </w:r>
      <w:r w:rsidR="00D118A1" w:rsidRPr="6BE7E070">
        <w:rPr>
          <w:sz w:val="24"/>
          <w:szCs w:val="24"/>
        </w:rPr>
        <w:t>is</w:t>
      </w:r>
      <w:r w:rsidRPr="6BE7E070">
        <w:rPr>
          <w:sz w:val="24"/>
          <w:szCs w:val="24"/>
        </w:rPr>
        <w:t xml:space="preserve"> the most potent PFAS, using toxicity values developed by the Agency for Toxic Substances and Disease Registry</w:t>
      </w:r>
      <w:r w:rsidR="00043C48" w:rsidRPr="6BE7E070">
        <w:rPr>
          <w:sz w:val="24"/>
          <w:szCs w:val="24"/>
        </w:rPr>
        <w:t xml:space="preserve">. </w:t>
      </w:r>
      <w:r w:rsidR="00D233A5">
        <w:rPr>
          <w:rFonts w:cs="Arial"/>
          <w:sz w:val="24"/>
          <w:szCs w:val="24"/>
        </w:rPr>
        <w:t>A</w:t>
      </w:r>
      <w:r w:rsidR="001517E0" w:rsidRPr="6BE7E070">
        <w:rPr>
          <w:rFonts w:cs="Arial"/>
          <w:sz w:val="24"/>
          <w:szCs w:val="24"/>
        </w:rPr>
        <w:t>t a waterbody with a public bathing beach</w:t>
      </w:r>
      <w:r w:rsidR="001517E0">
        <w:rPr>
          <w:sz w:val="24"/>
          <w:szCs w:val="24"/>
        </w:rPr>
        <w:t xml:space="preserve">, the </w:t>
      </w:r>
      <w:r w:rsidR="001020BC">
        <w:rPr>
          <w:sz w:val="24"/>
          <w:szCs w:val="24"/>
        </w:rPr>
        <w:t>PBAL considers that t</w:t>
      </w:r>
      <w:r w:rsidR="00043C48" w:rsidRPr="6BE7E070">
        <w:rPr>
          <w:sz w:val="24"/>
          <w:szCs w:val="24"/>
        </w:rPr>
        <w:t xml:space="preserve">oxic effects of PFOS are additive with </w:t>
      </w:r>
      <w:r w:rsidR="001020BC">
        <w:rPr>
          <w:sz w:val="24"/>
          <w:szCs w:val="24"/>
        </w:rPr>
        <w:t xml:space="preserve">those of </w:t>
      </w:r>
      <w:r w:rsidR="00043C48" w:rsidRPr="6BE7E070">
        <w:rPr>
          <w:sz w:val="24"/>
          <w:szCs w:val="24"/>
        </w:rPr>
        <w:t>PFNA.</w:t>
      </w:r>
    </w:p>
    <w:p w14:paraId="739F6936" w14:textId="342FD1D5" w:rsidR="00A421A2" w:rsidRPr="00D118A1" w:rsidRDefault="00A421A2" w:rsidP="009362A1">
      <w:pPr>
        <w:pStyle w:val="ListParagraph"/>
        <w:numPr>
          <w:ilvl w:val="0"/>
          <w:numId w:val="36"/>
        </w:numPr>
        <w:spacing w:after="120" w:line="240" w:lineRule="auto"/>
        <w:rPr>
          <w:sz w:val="24"/>
          <w:szCs w:val="24"/>
        </w:rPr>
      </w:pPr>
      <w:r w:rsidRPr="6BE7E070">
        <w:rPr>
          <w:sz w:val="24"/>
          <w:szCs w:val="24"/>
        </w:rPr>
        <w:t xml:space="preserve">The PBAL incorporates a relative source contribution (RSC) of 50%, which accounts for exposure to PFAS from sources other than surface water, including dietary sources as well as drinking water and indoor dust. </w:t>
      </w:r>
    </w:p>
    <w:p w14:paraId="1E587797" w14:textId="0162CA08" w:rsidR="00F24E59" w:rsidRPr="00A34A85" w:rsidRDefault="00F24E59" w:rsidP="009362A1">
      <w:pPr>
        <w:spacing w:line="240" w:lineRule="auto"/>
        <w:rPr>
          <w:sz w:val="24"/>
          <w:szCs w:val="24"/>
        </w:rPr>
      </w:pPr>
      <w:r w:rsidRPr="6BE7E070">
        <w:rPr>
          <w:sz w:val="24"/>
          <w:szCs w:val="24"/>
        </w:rPr>
        <w:t xml:space="preserve">Table 2.2 outlines the values and basis for the parameters used to calculate the </w:t>
      </w:r>
      <w:r w:rsidR="00622F9D" w:rsidRPr="6BE7E070">
        <w:rPr>
          <w:sz w:val="24"/>
          <w:szCs w:val="24"/>
        </w:rPr>
        <w:t>PB</w:t>
      </w:r>
      <w:r w:rsidRPr="6BE7E070">
        <w:rPr>
          <w:sz w:val="24"/>
          <w:szCs w:val="24"/>
        </w:rPr>
        <w:t>AL.</w:t>
      </w:r>
    </w:p>
    <w:p w14:paraId="67DC56CA" w14:textId="3481DA49" w:rsidR="00F24E59" w:rsidRPr="007F051D" w:rsidRDefault="00F24E59" w:rsidP="00F24E59">
      <w:pPr>
        <w:keepNext/>
        <w:keepLines/>
        <w:spacing w:after="0" w:line="240" w:lineRule="auto"/>
        <w:rPr>
          <w:b/>
          <w:bCs/>
          <w:sz w:val="24"/>
          <w:szCs w:val="24"/>
        </w:rPr>
      </w:pPr>
      <w:r w:rsidRPr="6BE7E070">
        <w:rPr>
          <w:b/>
          <w:bCs/>
          <w:sz w:val="24"/>
          <w:szCs w:val="24"/>
        </w:rPr>
        <w:lastRenderedPageBreak/>
        <w:t xml:space="preserve">Table 2.2.  Input Parameters - </w:t>
      </w:r>
      <w:r w:rsidR="00622F9D" w:rsidRPr="6BE7E070">
        <w:rPr>
          <w:b/>
          <w:bCs/>
          <w:sz w:val="24"/>
          <w:szCs w:val="24"/>
        </w:rPr>
        <w:t>Public Beach</w:t>
      </w:r>
      <w:r w:rsidRPr="6BE7E070">
        <w:rPr>
          <w:b/>
          <w:bCs/>
          <w:sz w:val="24"/>
          <w:szCs w:val="24"/>
        </w:rPr>
        <w:t xml:space="preserve"> Action Level (</w:t>
      </w:r>
      <w:r w:rsidR="00622F9D" w:rsidRPr="6BE7E070">
        <w:rPr>
          <w:b/>
          <w:bCs/>
          <w:sz w:val="24"/>
          <w:szCs w:val="24"/>
        </w:rPr>
        <w:t>PB</w:t>
      </w:r>
      <w:r w:rsidRPr="6BE7E070">
        <w:rPr>
          <w:b/>
          <w:bCs/>
          <w:sz w:val="24"/>
          <w:szCs w:val="24"/>
        </w:rPr>
        <w:t xml:space="preserve">AL) for PFAS </w:t>
      </w:r>
    </w:p>
    <w:tbl>
      <w:tblPr>
        <w:tblStyle w:val="TableGrid"/>
        <w:tblW w:w="9985" w:type="dxa"/>
        <w:tblLook w:val="04A0" w:firstRow="1" w:lastRow="0" w:firstColumn="1" w:lastColumn="0" w:noHBand="0" w:noVBand="1"/>
      </w:tblPr>
      <w:tblGrid>
        <w:gridCol w:w="3685"/>
        <w:gridCol w:w="1080"/>
        <w:gridCol w:w="5220"/>
      </w:tblGrid>
      <w:tr w:rsidR="00F24E59" w14:paraId="0DC7DAAD" w14:textId="77777777">
        <w:tc>
          <w:tcPr>
            <w:tcW w:w="3685" w:type="dxa"/>
            <w:tcBorders>
              <w:bottom w:val="double" w:sz="4" w:space="0" w:color="auto"/>
            </w:tcBorders>
            <w:shd w:val="clear" w:color="auto" w:fill="DBE5F1" w:themeFill="accent1" w:themeFillTint="33"/>
          </w:tcPr>
          <w:p w14:paraId="0AFA7C9F" w14:textId="77777777" w:rsidR="00F24E59" w:rsidRPr="00D51771" w:rsidRDefault="00F24E59">
            <w:pPr>
              <w:keepNext/>
              <w:keepLines/>
              <w:rPr>
                <w:b/>
                <w:bCs/>
              </w:rPr>
            </w:pPr>
            <w:r w:rsidRPr="00D51771">
              <w:rPr>
                <w:b/>
                <w:bCs/>
              </w:rPr>
              <w:t>Parameter</w:t>
            </w:r>
          </w:p>
        </w:tc>
        <w:tc>
          <w:tcPr>
            <w:tcW w:w="1080" w:type="dxa"/>
            <w:tcBorders>
              <w:bottom w:val="double" w:sz="4" w:space="0" w:color="auto"/>
            </w:tcBorders>
            <w:shd w:val="clear" w:color="auto" w:fill="DBE5F1" w:themeFill="accent1" w:themeFillTint="33"/>
          </w:tcPr>
          <w:p w14:paraId="468B8F31" w14:textId="77777777" w:rsidR="00F24E59" w:rsidRDefault="00F24E59">
            <w:pPr>
              <w:keepNext/>
              <w:keepLines/>
              <w:jc w:val="center"/>
            </w:pPr>
            <w:r w:rsidRPr="00D51771">
              <w:rPr>
                <w:rFonts w:eastAsia="Times New Roman" w:cstheme="minorHAnsi"/>
                <w:b/>
                <w:color w:val="000000"/>
              </w:rPr>
              <w:t>Value</w:t>
            </w:r>
          </w:p>
        </w:tc>
        <w:tc>
          <w:tcPr>
            <w:tcW w:w="5220" w:type="dxa"/>
            <w:tcBorders>
              <w:bottom w:val="double" w:sz="4" w:space="0" w:color="auto"/>
            </w:tcBorders>
            <w:shd w:val="clear" w:color="auto" w:fill="DBE5F1" w:themeFill="accent1" w:themeFillTint="33"/>
          </w:tcPr>
          <w:p w14:paraId="730123D0" w14:textId="77777777" w:rsidR="00F24E59" w:rsidRPr="00CE1B6D" w:rsidRDefault="00F24E59">
            <w:pPr>
              <w:keepNext/>
              <w:keepLines/>
              <w:rPr>
                <w:b/>
                <w:bCs/>
              </w:rPr>
            </w:pPr>
            <w:r w:rsidRPr="00CE1B6D">
              <w:rPr>
                <w:b/>
                <w:bCs/>
              </w:rPr>
              <w:t>Basis</w:t>
            </w:r>
          </w:p>
        </w:tc>
      </w:tr>
      <w:tr w:rsidR="00F24E59" w14:paraId="1EB2C111" w14:textId="77777777" w:rsidTr="007A3F16">
        <w:tc>
          <w:tcPr>
            <w:tcW w:w="3685" w:type="dxa"/>
            <w:tcBorders>
              <w:top w:val="double" w:sz="4" w:space="0" w:color="auto"/>
            </w:tcBorders>
          </w:tcPr>
          <w:p w14:paraId="471CD8EB" w14:textId="15035639" w:rsidR="00F24E59" w:rsidRDefault="00F24E59">
            <w:pPr>
              <w:keepNext/>
              <w:keepLines/>
            </w:pPr>
            <w:r>
              <w:rPr>
                <w:rFonts w:eastAsia="Times New Roman" w:cstheme="minorHAnsi"/>
                <w:bCs/>
                <w:color w:val="000000"/>
              </w:rPr>
              <w:t>Minimal Risk Level</w:t>
            </w:r>
            <w:r w:rsidR="007A3F16">
              <w:rPr>
                <w:rFonts w:eastAsia="Times New Roman" w:cstheme="minorHAnsi"/>
                <w:bCs/>
                <w:color w:val="000000"/>
              </w:rPr>
              <w:t xml:space="preserve"> - PFOS</w:t>
            </w:r>
            <w:r>
              <w:rPr>
                <w:rFonts w:eastAsia="Times New Roman" w:cstheme="minorHAnsi"/>
                <w:bCs/>
                <w:color w:val="000000"/>
              </w:rPr>
              <w:t>, MRL</w:t>
            </w:r>
            <w:r w:rsidR="007A3F16" w:rsidRPr="007A3F16">
              <w:rPr>
                <w:rFonts w:eastAsia="Times New Roman" w:cstheme="minorHAnsi"/>
                <w:bCs/>
                <w:color w:val="000000"/>
                <w:vertAlign w:val="subscript"/>
              </w:rPr>
              <w:t>PFOS</w:t>
            </w:r>
            <w:r w:rsidRPr="007A3F16">
              <w:rPr>
                <w:rFonts w:eastAsia="Times New Roman" w:cstheme="minorHAnsi"/>
                <w:bCs/>
                <w:color w:val="000000"/>
                <w:vertAlign w:val="subscript"/>
              </w:rPr>
              <w:t xml:space="preserve"> </w:t>
            </w:r>
            <w:r>
              <w:rPr>
                <w:rFonts w:eastAsia="Times New Roman" w:cstheme="minorHAnsi"/>
                <w:bCs/>
                <w:color w:val="000000"/>
              </w:rPr>
              <w:t>(mg/kg-day)</w:t>
            </w:r>
          </w:p>
        </w:tc>
        <w:tc>
          <w:tcPr>
            <w:tcW w:w="1080" w:type="dxa"/>
            <w:tcBorders>
              <w:top w:val="double" w:sz="4" w:space="0" w:color="auto"/>
            </w:tcBorders>
            <w:vAlign w:val="center"/>
          </w:tcPr>
          <w:p w14:paraId="38BA8072" w14:textId="77777777" w:rsidR="00F24E59" w:rsidRDefault="00F24E59" w:rsidP="007A3F16">
            <w:pPr>
              <w:keepNext/>
              <w:keepLines/>
              <w:jc w:val="center"/>
            </w:pPr>
            <w:r>
              <w:t>2 x 10</w:t>
            </w:r>
            <w:r w:rsidRPr="007D7183">
              <w:rPr>
                <w:vertAlign w:val="superscript"/>
              </w:rPr>
              <w:t>-6</w:t>
            </w:r>
          </w:p>
        </w:tc>
        <w:tc>
          <w:tcPr>
            <w:tcW w:w="5220" w:type="dxa"/>
            <w:tcBorders>
              <w:top w:val="double" w:sz="4" w:space="0" w:color="auto"/>
            </w:tcBorders>
            <w:vAlign w:val="center"/>
          </w:tcPr>
          <w:p w14:paraId="65DE5D6B" w14:textId="77777777" w:rsidR="00F24E59" w:rsidRDefault="00F24E59" w:rsidP="007A3F16">
            <w:pPr>
              <w:keepNext/>
              <w:keepLines/>
            </w:pPr>
            <w:r>
              <w:t>ATSDR Minimal Risk Level for PFOS (ATSDR, 2021)</w:t>
            </w:r>
          </w:p>
        </w:tc>
      </w:tr>
      <w:tr w:rsidR="007A3F16" w14:paraId="357DBB08" w14:textId="77777777" w:rsidTr="007A3F16">
        <w:tc>
          <w:tcPr>
            <w:tcW w:w="3685" w:type="dxa"/>
          </w:tcPr>
          <w:p w14:paraId="2ABF1FB6" w14:textId="16AB9E5D" w:rsidR="007A3F16" w:rsidRPr="00D51771" w:rsidRDefault="007A3F16" w:rsidP="007A3F16">
            <w:pPr>
              <w:keepNext/>
              <w:keepLines/>
              <w:rPr>
                <w:rFonts w:eastAsia="Times New Roman" w:cstheme="minorHAnsi"/>
                <w:bCs/>
                <w:color w:val="000000"/>
              </w:rPr>
            </w:pPr>
            <w:r>
              <w:rPr>
                <w:rFonts w:eastAsia="Times New Roman" w:cstheme="minorHAnsi"/>
                <w:bCs/>
                <w:color w:val="000000"/>
              </w:rPr>
              <w:t>Minimal Risk Level - PFNA,</w:t>
            </w:r>
            <w:r w:rsidR="00043C48">
              <w:rPr>
                <w:rFonts w:eastAsia="Times New Roman" w:cstheme="minorHAnsi"/>
                <w:bCs/>
                <w:color w:val="000000"/>
              </w:rPr>
              <w:t xml:space="preserve"> </w:t>
            </w:r>
            <w:r>
              <w:rPr>
                <w:rFonts w:eastAsia="Times New Roman" w:cstheme="minorHAnsi"/>
                <w:bCs/>
                <w:color w:val="000000"/>
              </w:rPr>
              <w:t>MRL</w:t>
            </w:r>
            <w:r w:rsidRPr="007A3F16">
              <w:rPr>
                <w:rFonts w:eastAsia="Times New Roman" w:cstheme="minorHAnsi"/>
                <w:bCs/>
                <w:color w:val="000000"/>
                <w:vertAlign w:val="subscript"/>
              </w:rPr>
              <w:t>P</w:t>
            </w:r>
            <w:r>
              <w:rPr>
                <w:rFonts w:eastAsia="Times New Roman" w:cstheme="minorHAnsi"/>
                <w:bCs/>
                <w:color w:val="000000"/>
                <w:vertAlign w:val="subscript"/>
              </w:rPr>
              <w:t>FNA</w:t>
            </w:r>
            <w:r w:rsidR="00043C48">
              <w:rPr>
                <w:rFonts w:eastAsia="Times New Roman" w:cstheme="minorHAnsi"/>
                <w:bCs/>
                <w:color w:val="000000"/>
                <w:vertAlign w:val="subscript"/>
              </w:rPr>
              <w:t xml:space="preserve"> </w:t>
            </w:r>
            <w:r>
              <w:rPr>
                <w:rFonts w:eastAsia="Times New Roman" w:cstheme="minorHAnsi"/>
                <w:bCs/>
                <w:color w:val="000000"/>
              </w:rPr>
              <w:t>(mg/kg-day)</w:t>
            </w:r>
          </w:p>
        </w:tc>
        <w:tc>
          <w:tcPr>
            <w:tcW w:w="1080" w:type="dxa"/>
            <w:vAlign w:val="center"/>
          </w:tcPr>
          <w:p w14:paraId="01305A32" w14:textId="2492A0DA" w:rsidR="007A3F16" w:rsidRDefault="007A3F16" w:rsidP="007A3F16">
            <w:pPr>
              <w:keepNext/>
              <w:keepLines/>
              <w:jc w:val="center"/>
            </w:pPr>
            <w:r>
              <w:t>3 x 10</w:t>
            </w:r>
            <w:r w:rsidRPr="007D7183">
              <w:rPr>
                <w:vertAlign w:val="superscript"/>
              </w:rPr>
              <w:t>-6</w:t>
            </w:r>
          </w:p>
        </w:tc>
        <w:tc>
          <w:tcPr>
            <w:tcW w:w="5220" w:type="dxa"/>
            <w:vAlign w:val="center"/>
          </w:tcPr>
          <w:p w14:paraId="3700D1CF" w14:textId="6225D4A2" w:rsidR="007A3F16" w:rsidRDefault="007A3F16" w:rsidP="007A3F16">
            <w:pPr>
              <w:keepNext/>
              <w:keepLines/>
            </w:pPr>
            <w:r>
              <w:t>ATSDR Minimal Risk Level for PFNA (ATSDR, 2021)</w:t>
            </w:r>
          </w:p>
        </w:tc>
      </w:tr>
      <w:tr w:rsidR="007A3F16" w14:paraId="56187C72" w14:textId="77777777" w:rsidTr="001552CA">
        <w:tc>
          <w:tcPr>
            <w:tcW w:w="3685" w:type="dxa"/>
            <w:vAlign w:val="center"/>
          </w:tcPr>
          <w:p w14:paraId="4AA571EE" w14:textId="77777777" w:rsidR="007A3F16" w:rsidRDefault="007A3F16" w:rsidP="001552CA">
            <w:pPr>
              <w:keepNext/>
              <w:keepLines/>
            </w:pPr>
            <w:r w:rsidRPr="00D51771">
              <w:rPr>
                <w:rFonts w:eastAsia="Times New Roman" w:cstheme="minorHAnsi"/>
                <w:bCs/>
                <w:color w:val="000000"/>
              </w:rPr>
              <w:t>Body Weight</w:t>
            </w:r>
            <w:r>
              <w:rPr>
                <w:rFonts w:eastAsia="Times New Roman" w:cstheme="minorHAnsi"/>
                <w:bCs/>
                <w:color w:val="000000"/>
              </w:rPr>
              <w:t>, BW (kg)</w:t>
            </w:r>
          </w:p>
        </w:tc>
        <w:tc>
          <w:tcPr>
            <w:tcW w:w="1080" w:type="dxa"/>
            <w:vAlign w:val="center"/>
          </w:tcPr>
          <w:p w14:paraId="48109F9C" w14:textId="77777777" w:rsidR="007A3F16" w:rsidRDefault="007A3F16" w:rsidP="001552CA">
            <w:pPr>
              <w:keepNext/>
              <w:keepLines/>
              <w:jc w:val="center"/>
            </w:pPr>
            <w:r>
              <w:t>17.4</w:t>
            </w:r>
          </w:p>
        </w:tc>
        <w:tc>
          <w:tcPr>
            <w:tcW w:w="5220" w:type="dxa"/>
          </w:tcPr>
          <w:p w14:paraId="40C80FF2" w14:textId="677EEDC4" w:rsidR="007A3F16" w:rsidRDefault="007A3F16" w:rsidP="007A3F16">
            <w:pPr>
              <w:keepNext/>
              <w:keepLines/>
            </w:pPr>
            <w:r>
              <w:t xml:space="preserve">Mean body weight for 2 - &lt; </w:t>
            </w:r>
            <w:r w:rsidR="00B0022E">
              <w:t>6-year-old</w:t>
            </w:r>
            <w:r>
              <w:t xml:space="preserve"> (ATSDR, 2016, US EPA, 2011)</w:t>
            </w:r>
          </w:p>
        </w:tc>
      </w:tr>
      <w:tr w:rsidR="007A3F16" w14:paraId="58FC2644" w14:textId="77777777">
        <w:tc>
          <w:tcPr>
            <w:tcW w:w="3685" w:type="dxa"/>
          </w:tcPr>
          <w:p w14:paraId="046B10D6" w14:textId="77777777" w:rsidR="007A3F16" w:rsidRPr="00D51771" w:rsidRDefault="007A3F16" w:rsidP="007A3F16">
            <w:pPr>
              <w:keepNext/>
              <w:keepLines/>
              <w:rPr>
                <w:rFonts w:eastAsia="Times New Roman" w:cstheme="minorHAnsi"/>
                <w:bCs/>
                <w:color w:val="000000"/>
              </w:rPr>
            </w:pPr>
            <w:r w:rsidRPr="00D51771">
              <w:rPr>
                <w:rFonts w:eastAsia="Times New Roman" w:cstheme="minorHAnsi"/>
                <w:bCs/>
                <w:color w:val="000000"/>
              </w:rPr>
              <w:t>Exposure Frequency</w:t>
            </w:r>
            <w:r>
              <w:rPr>
                <w:rFonts w:eastAsia="Times New Roman" w:cstheme="minorHAnsi"/>
                <w:bCs/>
                <w:color w:val="000000"/>
              </w:rPr>
              <w:t>, EF (days/month)</w:t>
            </w:r>
          </w:p>
        </w:tc>
        <w:tc>
          <w:tcPr>
            <w:tcW w:w="1080" w:type="dxa"/>
          </w:tcPr>
          <w:p w14:paraId="1A71990B" w14:textId="0D442AC0" w:rsidR="007A3F16" w:rsidRDefault="001552CA" w:rsidP="007A3F16">
            <w:pPr>
              <w:keepNext/>
              <w:keepLines/>
              <w:jc w:val="center"/>
            </w:pPr>
            <w:r>
              <w:t>3</w:t>
            </w:r>
            <w:r w:rsidR="007A3F16">
              <w:t>0</w:t>
            </w:r>
          </w:p>
        </w:tc>
        <w:tc>
          <w:tcPr>
            <w:tcW w:w="5220" w:type="dxa"/>
          </w:tcPr>
          <w:p w14:paraId="1308F06C" w14:textId="0B28B9BB" w:rsidR="007A3F16" w:rsidRDefault="007A3F16" w:rsidP="007A3F16">
            <w:pPr>
              <w:keepNext/>
              <w:keepLines/>
            </w:pPr>
            <w:r>
              <w:t>9</w:t>
            </w:r>
            <w:r w:rsidR="001552CA">
              <w:t>8</w:t>
            </w:r>
            <w:r w:rsidRPr="00E901EB">
              <w:rPr>
                <w:vertAlign w:val="superscript"/>
              </w:rPr>
              <w:t>th</w:t>
            </w:r>
            <w:r>
              <w:t xml:space="preserve"> percentile for exposure frequency (US EPA, 1996)</w:t>
            </w:r>
          </w:p>
        </w:tc>
      </w:tr>
      <w:tr w:rsidR="007A3F16" w14:paraId="35626298" w14:textId="77777777">
        <w:tc>
          <w:tcPr>
            <w:tcW w:w="3685" w:type="dxa"/>
          </w:tcPr>
          <w:p w14:paraId="5C54E009" w14:textId="77777777" w:rsidR="007A3F16" w:rsidRDefault="007A3F16" w:rsidP="007A3F16">
            <w:pPr>
              <w:keepNext/>
              <w:keepLines/>
            </w:pPr>
            <w:r w:rsidRPr="00D51771">
              <w:rPr>
                <w:rFonts w:eastAsia="Times New Roman" w:cstheme="minorHAnsi"/>
                <w:bCs/>
                <w:color w:val="000000"/>
              </w:rPr>
              <w:t>Exposure Time</w:t>
            </w:r>
            <w:r>
              <w:rPr>
                <w:rFonts w:eastAsia="Times New Roman" w:cstheme="minorHAnsi"/>
                <w:bCs/>
                <w:color w:val="000000"/>
              </w:rPr>
              <w:t>, ET (hours/day)</w:t>
            </w:r>
          </w:p>
        </w:tc>
        <w:tc>
          <w:tcPr>
            <w:tcW w:w="1080" w:type="dxa"/>
          </w:tcPr>
          <w:p w14:paraId="3F23913C" w14:textId="3469F454" w:rsidR="007A3F16" w:rsidRDefault="001552CA" w:rsidP="007A3F16">
            <w:pPr>
              <w:keepNext/>
              <w:keepLines/>
              <w:jc w:val="center"/>
            </w:pPr>
            <w:r>
              <w:t>2</w:t>
            </w:r>
          </w:p>
        </w:tc>
        <w:tc>
          <w:tcPr>
            <w:tcW w:w="5220" w:type="dxa"/>
          </w:tcPr>
          <w:p w14:paraId="52878E13" w14:textId="5FCF1999" w:rsidR="007A3F16" w:rsidRDefault="001552CA" w:rsidP="007A3F16">
            <w:pPr>
              <w:keepNext/>
              <w:keepLines/>
            </w:pPr>
            <w:r>
              <w:t>75</w:t>
            </w:r>
            <w:r w:rsidR="007A3F16" w:rsidRPr="00E901EB">
              <w:rPr>
                <w:vertAlign w:val="superscript"/>
              </w:rPr>
              <w:t>th</w:t>
            </w:r>
            <w:r w:rsidR="007A3F16">
              <w:t xml:space="preserve"> percentile for time spent swimming (US EPA, 1996)</w:t>
            </w:r>
          </w:p>
        </w:tc>
      </w:tr>
      <w:tr w:rsidR="007A3F16" w14:paraId="7658621E" w14:textId="77777777" w:rsidTr="001552CA">
        <w:tc>
          <w:tcPr>
            <w:tcW w:w="3685" w:type="dxa"/>
            <w:vAlign w:val="center"/>
          </w:tcPr>
          <w:p w14:paraId="1A6D2615" w14:textId="77777777" w:rsidR="007A3F16" w:rsidRDefault="007A3F16" w:rsidP="001552CA">
            <w:pPr>
              <w:keepNext/>
              <w:keepLines/>
            </w:pPr>
            <w:r w:rsidRPr="00D51771">
              <w:rPr>
                <w:rFonts w:eastAsia="Times New Roman" w:cstheme="minorHAnsi"/>
                <w:bCs/>
                <w:color w:val="000000"/>
              </w:rPr>
              <w:t>Ingestion Rate</w:t>
            </w:r>
            <w:r>
              <w:rPr>
                <w:rFonts w:eastAsia="Times New Roman" w:cstheme="minorHAnsi"/>
                <w:bCs/>
                <w:color w:val="000000"/>
              </w:rPr>
              <w:t>, IR (L/hour)</w:t>
            </w:r>
          </w:p>
        </w:tc>
        <w:tc>
          <w:tcPr>
            <w:tcW w:w="1080" w:type="dxa"/>
            <w:vAlign w:val="center"/>
          </w:tcPr>
          <w:p w14:paraId="685AA455" w14:textId="2715EFAE" w:rsidR="007A3F16" w:rsidRDefault="007A3F16" w:rsidP="001552CA">
            <w:pPr>
              <w:keepNext/>
              <w:keepLines/>
              <w:jc w:val="center"/>
            </w:pPr>
            <w:r>
              <w:t>0.</w:t>
            </w:r>
            <w:r w:rsidR="001552CA">
              <w:t>053</w:t>
            </w:r>
          </w:p>
        </w:tc>
        <w:tc>
          <w:tcPr>
            <w:tcW w:w="5220" w:type="dxa"/>
          </w:tcPr>
          <w:p w14:paraId="785F2D43" w14:textId="0F98ABAC" w:rsidR="007A3F16" w:rsidRDefault="001552CA" w:rsidP="007A3F16">
            <w:pPr>
              <w:keepNext/>
              <w:keepLines/>
            </w:pPr>
            <w:r>
              <w:t>75</w:t>
            </w:r>
            <w:r w:rsidR="007A3F16" w:rsidRPr="00E901EB">
              <w:rPr>
                <w:vertAlign w:val="superscript"/>
              </w:rPr>
              <w:t>th</w:t>
            </w:r>
            <w:r w:rsidR="007A3F16">
              <w:t xml:space="preserve"> percentile for incidental ingestion of surface water while swimming (US EPA, 2019)</w:t>
            </w:r>
          </w:p>
        </w:tc>
      </w:tr>
      <w:tr w:rsidR="007A3F16" w14:paraId="7DC0EE0E" w14:textId="77777777">
        <w:tc>
          <w:tcPr>
            <w:tcW w:w="3685" w:type="dxa"/>
            <w:vAlign w:val="center"/>
          </w:tcPr>
          <w:p w14:paraId="37B8FFA0" w14:textId="77777777" w:rsidR="007A3F16" w:rsidRPr="00D51771" w:rsidRDefault="007A3F16" w:rsidP="007A3F16">
            <w:pPr>
              <w:rPr>
                <w:rFonts w:eastAsia="Times New Roman" w:cstheme="minorHAnsi"/>
                <w:bCs/>
                <w:color w:val="000000"/>
              </w:rPr>
            </w:pPr>
            <w:r>
              <w:rPr>
                <w:rFonts w:eastAsia="Times New Roman" w:cstheme="minorHAnsi"/>
                <w:bCs/>
                <w:color w:val="000000"/>
              </w:rPr>
              <w:t>Exposure Duration, ED (months)</w:t>
            </w:r>
          </w:p>
        </w:tc>
        <w:tc>
          <w:tcPr>
            <w:tcW w:w="1080" w:type="dxa"/>
            <w:vAlign w:val="center"/>
          </w:tcPr>
          <w:p w14:paraId="4F33782A" w14:textId="77777777" w:rsidR="007A3F16" w:rsidRDefault="007A3F16" w:rsidP="007A3F16">
            <w:pPr>
              <w:jc w:val="center"/>
            </w:pPr>
            <w:r>
              <w:t>3.3</w:t>
            </w:r>
          </w:p>
        </w:tc>
        <w:tc>
          <w:tcPr>
            <w:tcW w:w="5220" w:type="dxa"/>
          </w:tcPr>
          <w:p w14:paraId="0495B156" w14:textId="77777777" w:rsidR="007A3F16" w:rsidRDefault="007A3F16" w:rsidP="007A3F16">
            <w:r>
              <w:t>Professional judgement that swimming would occur between Memorial Day and Labor Day</w:t>
            </w:r>
          </w:p>
        </w:tc>
      </w:tr>
      <w:tr w:rsidR="007A3F16" w14:paraId="0C2438B6" w14:textId="77777777">
        <w:tc>
          <w:tcPr>
            <w:tcW w:w="3685" w:type="dxa"/>
          </w:tcPr>
          <w:p w14:paraId="6D7989AB" w14:textId="77777777" w:rsidR="007A3F16" w:rsidRPr="00D51771" w:rsidRDefault="007A3F16" w:rsidP="007A3F16">
            <w:pPr>
              <w:rPr>
                <w:rFonts w:eastAsia="Times New Roman" w:cstheme="minorHAnsi"/>
                <w:bCs/>
                <w:color w:val="000000"/>
              </w:rPr>
            </w:pPr>
            <w:r>
              <w:rPr>
                <w:rFonts w:eastAsia="Times New Roman" w:cstheme="minorHAnsi"/>
                <w:bCs/>
                <w:color w:val="000000"/>
              </w:rPr>
              <w:t>Averaging Time, AT (days)</w:t>
            </w:r>
          </w:p>
        </w:tc>
        <w:tc>
          <w:tcPr>
            <w:tcW w:w="1080" w:type="dxa"/>
          </w:tcPr>
          <w:p w14:paraId="6AA34540" w14:textId="77777777" w:rsidR="007A3F16" w:rsidRDefault="007A3F16" w:rsidP="007A3F16">
            <w:pPr>
              <w:jc w:val="center"/>
            </w:pPr>
            <w:r>
              <w:t>102</w:t>
            </w:r>
          </w:p>
        </w:tc>
        <w:tc>
          <w:tcPr>
            <w:tcW w:w="5220" w:type="dxa"/>
          </w:tcPr>
          <w:p w14:paraId="14A4AA41" w14:textId="77777777" w:rsidR="007A3F16" w:rsidRDefault="007A3F16" w:rsidP="007A3F16">
            <w:r>
              <w:t>Dictated by exposure duration</w:t>
            </w:r>
          </w:p>
        </w:tc>
      </w:tr>
      <w:tr w:rsidR="007A3F16" w14:paraId="21EF5E3A" w14:textId="77777777">
        <w:tc>
          <w:tcPr>
            <w:tcW w:w="3685" w:type="dxa"/>
            <w:vAlign w:val="center"/>
          </w:tcPr>
          <w:p w14:paraId="64A06153" w14:textId="77777777" w:rsidR="007A3F16" w:rsidRDefault="007A3F16" w:rsidP="007A3F16">
            <w:r w:rsidRPr="00D51771">
              <w:rPr>
                <w:rFonts w:eastAsia="Times New Roman" w:cstheme="minorHAnsi"/>
                <w:bCs/>
                <w:color w:val="000000"/>
              </w:rPr>
              <w:t>Relative Source Contribution</w:t>
            </w:r>
            <w:r>
              <w:rPr>
                <w:rFonts w:eastAsia="Times New Roman" w:cstheme="minorHAnsi"/>
                <w:bCs/>
                <w:color w:val="000000"/>
              </w:rPr>
              <w:t>, RSC (%)</w:t>
            </w:r>
          </w:p>
        </w:tc>
        <w:tc>
          <w:tcPr>
            <w:tcW w:w="1080" w:type="dxa"/>
            <w:vAlign w:val="center"/>
          </w:tcPr>
          <w:p w14:paraId="77C2AABB" w14:textId="6EFEA792" w:rsidR="007A3F16" w:rsidRDefault="001552CA" w:rsidP="007A3F16">
            <w:pPr>
              <w:jc w:val="center"/>
            </w:pPr>
            <w:r>
              <w:t>5</w:t>
            </w:r>
            <w:r w:rsidR="007A3F16">
              <w:t>0</w:t>
            </w:r>
          </w:p>
        </w:tc>
        <w:tc>
          <w:tcPr>
            <w:tcW w:w="5220" w:type="dxa"/>
          </w:tcPr>
          <w:p w14:paraId="021CB243" w14:textId="77777777" w:rsidR="007A3F16" w:rsidRDefault="007A3F16" w:rsidP="007A3F16">
            <w:r>
              <w:t>Professional judgement, considering exposure to PFOS from sources other than surface water</w:t>
            </w:r>
          </w:p>
        </w:tc>
      </w:tr>
    </w:tbl>
    <w:p w14:paraId="76FE9F27" w14:textId="373173D0" w:rsidR="00F24E59" w:rsidRDefault="00F24E59" w:rsidP="00F24E59"/>
    <w:p w14:paraId="212C81F9" w14:textId="220635E3" w:rsidR="00F24E59" w:rsidRPr="00A34A85" w:rsidRDefault="00F24E59" w:rsidP="009362A1">
      <w:pPr>
        <w:spacing w:line="240" w:lineRule="auto"/>
        <w:rPr>
          <w:sz w:val="24"/>
          <w:szCs w:val="24"/>
        </w:rPr>
      </w:pPr>
      <w:r w:rsidRPr="6BE7E070">
        <w:rPr>
          <w:sz w:val="24"/>
          <w:szCs w:val="24"/>
        </w:rPr>
        <w:t>Using the parameters in Table 2.2, the PBAL (ng/L) is calculated as follows</w:t>
      </w:r>
      <w:r w:rsidR="00710885">
        <w:rPr>
          <w:rStyle w:val="FootnoteReference"/>
          <w:sz w:val="24"/>
          <w:szCs w:val="24"/>
        </w:rPr>
        <w:footnoteReference w:id="6"/>
      </w:r>
      <w:r w:rsidRPr="6BE7E070">
        <w:rPr>
          <w:sz w:val="24"/>
          <w:szCs w:val="24"/>
        </w:rPr>
        <w:t>:</w:t>
      </w:r>
    </w:p>
    <w:p w14:paraId="4382E906" w14:textId="77777777" w:rsidR="00F24E59" w:rsidRPr="00A34A85" w:rsidRDefault="00F24E59" w:rsidP="009362A1">
      <w:pPr>
        <w:spacing w:after="0" w:line="240" w:lineRule="auto"/>
        <w:rPr>
          <w:rFonts w:cs="Arial"/>
          <w:sz w:val="24"/>
          <w:szCs w:val="24"/>
        </w:rPr>
      </w:pPr>
    </w:p>
    <w:p w14:paraId="10327488" w14:textId="1C76DA59" w:rsidR="00F24E59" w:rsidRPr="00A34A85" w:rsidRDefault="00F24E59" w:rsidP="009362A1">
      <w:pPr>
        <w:spacing w:after="0" w:line="240" w:lineRule="auto"/>
        <w:rPr>
          <w:rFonts w:cs="Arial"/>
          <w:sz w:val="24"/>
          <w:szCs w:val="24"/>
        </w:rPr>
      </w:pPr>
      <m:oMathPara>
        <m:oMath>
          <m:r>
            <w:rPr>
              <w:rFonts w:ascii="Cambria Math" w:hAnsi="Cambria Math" w:cs="Arial"/>
            </w:rPr>
            <m:t>PBAL=</m:t>
          </m:r>
          <m:sSub>
            <m:sSubPr>
              <m:ctrlPr>
                <w:rPr>
                  <w:rFonts w:ascii="Cambria Math" w:hAnsi="Cambria Math" w:cs="Arial"/>
                  <w:i/>
                </w:rPr>
              </m:ctrlPr>
            </m:sSubPr>
            <m:e>
              <m:r>
                <w:rPr>
                  <w:rFonts w:ascii="Cambria Math" w:hAnsi="Cambria Math" w:cs="Arial"/>
                </w:rPr>
                <m:t>MRL</m:t>
              </m:r>
            </m:e>
            <m:sub>
              <m:r>
                <w:rPr>
                  <w:rFonts w:ascii="Cambria Math" w:hAnsi="Cambria Math" w:cs="Arial"/>
                </w:rPr>
                <m:t>PFOS</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 xml:space="preserve"> ng</m:t>
                  </m:r>
                </m:num>
                <m:den>
                  <m:r>
                    <w:rPr>
                      <w:rFonts w:ascii="Cambria Math" w:hAnsi="Cambria Math" w:cs="Arial"/>
                    </w:rPr>
                    <m:t>mg</m:t>
                  </m:r>
                </m:den>
              </m:f>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BW×AT</m:t>
                  </m:r>
                </m:num>
                <m:den>
                  <m:r>
                    <w:rPr>
                      <w:rFonts w:ascii="Cambria Math" w:hAnsi="Cambria Math" w:cs="Arial"/>
                    </w:rPr>
                    <m:t>IR×ET×EF×ED</m:t>
                  </m:r>
                </m:den>
              </m:f>
            </m:e>
          </m:d>
          <m:r>
            <w:rPr>
              <w:rFonts w:ascii="Cambria Math" w:hAnsi="Cambria Math" w:cs="Arial"/>
            </w:rPr>
            <m:t>×RSC×</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MRL</m:t>
                      </m:r>
                    </m:e>
                    <m:sub>
                      <m:r>
                        <w:rPr>
                          <w:rFonts w:ascii="Cambria Math" w:hAnsi="Cambria Math" w:cs="Arial"/>
                        </w:rPr>
                        <m:t>PFOS</m:t>
                      </m:r>
                    </m:sub>
                  </m:sSub>
                </m:num>
                <m:den>
                  <m:sSub>
                    <m:sSubPr>
                      <m:ctrlPr>
                        <w:rPr>
                          <w:rFonts w:ascii="Cambria Math" w:hAnsi="Cambria Math" w:cs="Arial"/>
                          <w:i/>
                        </w:rPr>
                      </m:ctrlPr>
                    </m:sSubPr>
                    <m:e>
                      <m:r>
                        <w:rPr>
                          <w:rFonts w:ascii="Cambria Math" w:hAnsi="Cambria Math" w:cs="Arial"/>
                        </w:rPr>
                        <m:t>MRL</m:t>
                      </m:r>
                    </m:e>
                    <m:sub>
                      <m:r>
                        <w:rPr>
                          <w:rFonts w:ascii="Cambria Math" w:hAnsi="Cambria Math" w:cs="Arial"/>
                        </w:rPr>
                        <m:t>PFOS</m:t>
                      </m:r>
                    </m:sub>
                  </m:sSub>
                  <m:r>
                    <w:rPr>
                      <w:rFonts w:ascii="Cambria Math" w:hAnsi="Cambria Math" w:cs="Arial"/>
                    </w:rPr>
                    <m:t>+</m:t>
                  </m:r>
                  <m:sSub>
                    <m:sSubPr>
                      <m:ctrlPr>
                        <w:rPr>
                          <w:rFonts w:ascii="Cambria Math" w:hAnsi="Cambria Math" w:cs="Arial"/>
                          <w:i/>
                        </w:rPr>
                      </m:ctrlPr>
                    </m:sSubPr>
                    <m:e>
                      <m:r>
                        <w:rPr>
                          <w:rFonts w:ascii="Cambria Math" w:hAnsi="Cambria Math" w:cs="Arial"/>
                        </w:rPr>
                        <m:t>MRL</m:t>
                      </m:r>
                    </m:e>
                    <m:sub>
                      <m:r>
                        <w:rPr>
                          <w:rFonts w:ascii="Cambria Math" w:hAnsi="Cambria Math" w:cs="Arial"/>
                        </w:rPr>
                        <m:t>PFNA</m:t>
                      </m:r>
                    </m:sub>
                  </m:sSub>
                </m:den>
              </m:f>
            </m:e>
          </m:d>
        </m:oMath>
      </m:oMathPara>
    </w:p>
    <w:p w14:paraId="7AAD47B7" w14:textId="77777777" w:rsidR="00F24E59" w:rsidRPr="00A34A85" w:rsidRDefault="00F24E59" w:rsidP="009362A1">
      <w:pPr>
        <w:spacing w:after="0" w:line="240" w:lineRule="auto"/>
        <w:rPr>
          <w:rFonts w:cs="Arial"/>
          <w:sz w:val="24"/>
          <w:szCs w:val="24"/>
        </w:rPr>
      </w:pPr>
    </w:p>
    <w:p w14:paraId="2209363A" w14:textId="7CF1D06A" w:rsidR="00F24E59" w:rsidRDefault="00F24E59" w:rsidP="009362A1">
      <w:pPr>
        <w:spacing w:line="240" w:lineRule="auto"/>
        <w:rPr>
          <w:sz w:val="24"/>
          <w:szCs w:val="24"/>
        </w:rPr>
      </w:pPr>
      <w:r w:rsidRPr="00A34A85">
        <w:rPr>
          <w:rFonts w:cs="Arial"/>
          <w:sz w:val="24"/>
          <w:szCs w:val="24"/>
        </w:rPr>
        <w:t xml:space="preserve">Additional discussion of the basis for the exposure parameters, as well as exposure parameters for other age groups, </w:t>
      </w:r>
      <w:r>
        <w:rPr>
          <w:rFonts w:cs="Arial"/>
          <w:sz w:val="24"/>
          <w:szCs w:val="24"/>
        </w:rPr>
        <w:t xml:space="preserve">are </w:t>
      </w:r>
      <w:r w:rsidRPr="00A34A85">
        <w:rPr>
          <w:rFonts w:cs="Arial"/>
          <w:sz w:val="24"/>
          <w:szCs w:val="24"/>
        </w:rPr>
        <w:t xml:space="preserve">included in </w:t>
      </w:r>
      <w:r w:rsidR="00BE6AD8" w:rsidRPr="00A34A85">
        <w:rPr>
          <w:rFonts w:cs="Arial"/>
          <w:sz w:val="24"/>
          <w:szCs w:val="24"/>
        </w:rPr>
        <w:t>Appendix</w:t>
      </w:r>
      <w:r w:rsidRPr="00A34A85">
        <w:rPr>
          <w:rFonts w:cs="Arial"/>
          <w:sz w:val="24"/>
          <w:szCs w:val="24"/>
        </w:rPr>
        <w:t xml:space="preserve"> </w:t>
      </w:r>
      <w:r>
        <w:rPr>
          <w:rFonts w:cs="Arial"/>
          <w:sz w:val="24"/>
          <w:szCs w:val="24"/>
        </w:rPr>
        <w:t>A</w:t>
      </w:r>
      <w:r w:rsidRPr="00A34A85">
        <w:rPr>
          <w:rFonts w:cs="Arial"/>
          <w:sz w:val="24"/>
          <w:szCs w:val="24"/>
        </w:rPr>
        <w:t>.</w:t>
      </w:r>
      <w:r>
        <w:rPr>
          <w:rFonts w:cs="Arial"/>
          <w:sz w:val="24"/>
          <w:szCs w:val="24"/>
        </w:rPr>
        <w:t xml:space="preserve"> </w:t>
      </w:r>
    </w:p>
    <w:p w14:paraId="2F30E621" w14:textId="29919F43" w:rsidR="00231A7C" w:rsidRDefault="004320AA" w:rsidP="009362A1">
      <w:pPr>
        <w:spacing w:line="240" w:lineRule="auto"/>
        <w:rPr>
          <w:sz w:val="24"/>
          <w:szCs w:val="24"/>
        </w:rPr>
      </w:pPr>
      <w:r w:rsidRPr="6BE7E070">
        <w:rPr>
          <w:sz w:val="24"/>
          <w:szCs w:val="24"/>
        </w:rPr>
        <w:t xml:space="preserve">Section 3 outlines the approach for conducting a waterbody-specific risk assessment when the </w:t>
      </w:r>
      <w:r w:rsidR="00CE12A5" w:rsidRPr="6BE7E070">
        <w:rPr>
          <w:sz w:val="24"/>
          <w:szCs w:val="24"/>
        </w:rPr>
        <w:t xml:space="preserve">PBAL </w:t>
      </w:r>
      <w:r w:rsidRPr="6BE7E070">
        <w:rPr>
          <w:sz w:val="24"/>
          <w:szCs w:val="24"/>
        </w:rPr>
        <w:t>is exceeded</w:t>
      </w:r>
      <w:r w:rsidR="00E50904" w:rsidRPr="6BE7E070">
        <w:rPr>
          <w:sz w:val="24"/>
          <w:szCs w:val="24"/>
        </w:rPr>
        <w:t xml:space="preserve"> (</w:t>
      </w:r>
      <w:r w:rsidR="00151CEE" w:rsidRPr="000A114D">
        <w:rPr>
          <w:sz w:val="24"/>
          <w:szCs w:val="24"/>
        </w:rPr>
        <w:t>i.e.,</w:t>
      </w:r>
      <w:r w:rsidR="00E50904" w:rsidRPr="6BE7E070">
        <w:rPr>
          <w:sz w:val="24"/>
          <w:szCs w:val="24"/>
        </w:rPr>
        <w:t xml:space="preserve"> when the EPC for the public beach is greater than the PBAL)</w:t>
      </w:r>
      <w:r w:rsidR="00A34A85" w:rsidRPr="6BE7E070">
        <w:rPr>
          <w:sz w:val="24"/>
          <w:szCs w:val="24"/>
        </w:rPr>
        <w:t>.</w:t>
      </w:r>
    </w:p>
    <w:p w14:paraId="6EFDC5F0" w14:textId="181F28F7" w:rsidR="000D046E" w:rsidRPr="00DC6757" w:rsidRDefault="00764B20" w:rsidP="001934C5">
      <w:pPr>
        <w:pStyle w:val="Heading3"/>
        <w:spacing w:before="240"/>
        <w:rPr>
          <w:rFonts w:asciiTheme="minorHAnsi" w:hAnsiTheme="minorHAnsi" w:cstheme="minorHAnsi"/>
          <w:sz w:val="26"/>
          <w:szCs w:val="26"/>
        </w:rPr>
      </w:pPr>
      <w:bookmarkStart w:id="10" w:name="_Toc162620790"/>
      <w:r w:rsidRPr="00DC6757">
        <w:rPr>
          <w:rFonts w:asciiTheme="minorHAnsi" w:hAnsiTheme="minorHAnsi" w:cstheme="minorHAnsi"/>
          <w:sz w:val="26"/>
          <w:szCs w:val="26"/>
        </w:rPr>
        <w:t>2.</w:t>
      </w:r>
      <w:r w:rsidR="00920AE9" w:rsidRPr="00DC6757">
        <w:rPr>
          <w:rFonts w:asciiTheme="minorHAnsi" w:hAnsiTheme="minorHAnsi" w:cstheme="minorHAnsi"/>
          <w:sz w:val="26"/>
          <w:szCs w:val="26"/>
        </w:rPr>
        <w:t>2.</w:t>
      </w:r>
      <w:r w:rsidR="00CE12A5" w:rsidRPr="00DC6757">
        <w:rPr>
          <w:rFonts w:asciiTheme="minorHAnsi" w:hAnsiTheme="minorHAnsi" w:cstheme="minorHAnsi"/>
          <w:sz w:val="26"/>
          <w:szCs w:val="26"/>
        </w:rPr>
        <w:t>3</w:t>
      </w:r>
      <w:r w:rsidRPr="00DC6757">
        <w:rPr>
          <w:rFonts w:asciiTheme="minorHAnsi" w:hAnsiTheme="minorHAnsi" w:cstheme="minorHAnsi"/>
          <w:sz w:val="26"/>
          <w:szCs w:val="26"/>
        </w:rPr>
        <w:tab/>
      </w:r>
      <w:r w:rsidR="000D046E" w:rsidRPr="00DC6757">
        <w:rPr>
          <w:rFonts w:asciiTheme="minorHAnsi" w:hAnsiTheme="minorHAnsi" w:cstheme="minorHAnsi"/>
          <w:sz w:val="26"/>
          <w:szCs w:val="26"/>
        </w:rPr>
        <w:t>Fish Tissue Action Level</w:t>
      </w:r>
      <w:bookmarkEnd w:id="10"/>
    </w:p>
    <w:p w14:paraId="604E12FF" w14:textId="5297A0BC" w:rsidR="00231A7C" w:rsidRPr="00231A7C" w:rsidRDefault="00231A7C" w:rsidP="009362A1">
      <w:pPr>
        <w:spacing w:line="240" w:lineRule="auto"/>
        <w:rPr>
          <w:sz w:val="24"/>
          <w:szCs w:val="24"/>
        </w:rPr>
      </w:pPr>
      <w:r w:rsidRPr="6BE7E070">
        <w:rPr>
          <w:sz w:val="24"/>
          <w:szCs w:val="24"/>
        </w:rPr>
        <w:t xml:space="preserve">DPH recommends a </w:t>
      </w:r>
      <w:r w:rsidRPr="6BE7E070">
        <w:rPr>
          <w:b/>
          <w:bCs/>
          <w:sz w:val="24"/>
          <w:szCs w:val="24"/>
        </w:rPr>
        <w:t>Fish Action Level (FAL) of 0.2</w:t>
      </w:r>
      <w:r w:rsidR="00B72683" w:rsidRPr="6BE7E070">
        <w:rPr>
          <w:b/>
          <w:bCs/>
          <w:sz w:val="24"/>
          <w:szCs w:val="24"/>
        </w:rPr>
        <w:t>2</w:t>
      </w:r>
      <w:r w:rsidRPr="6BE7E070">
        <w:rPr>
          <w:b/>
          <w:bCs/>
          <w:sz w:val="24"/>
          <w:szCs w:val="24"/>
        </w:rPr>
        <w:t xml:space="preserve"> µg of PFAS per kilogram of fish </w:t>
      </w:r>
      <w:r w:rsidR="00A77047" w:rsidRPr="6BE7E070">
        <w:rPr>
          <w:b/>
          <w:bCs/>
          <w:sz w:val="24"/>
          <w:szCs w:val="24"/>
        </w:rPr>
        <w:t xml:space="preserve">(µg/kg) </w:t>
      </w:r>
      <w:r w:rsidRPr="6BE7E070">
        <w:rPr>
          <w:sz w:val="24"/>
          <w:szCs w:val="24"/>
        </w:rPr>
        <w:t>(</w:t>
      </w:r>
      <w:r w:rsidR="00B72683" w:rsidRPr="6BE7E070">
        <w:rPr>
          <w:sz w:val="24"/>
          <w:szCs w:val="24"/>
        </w:rPr>
        <w:t>equivalent to 0.22 ng PFAS per g of fish</w:t>
      </w:r>
      <w:r w:rsidRPr="6BE7E070">
        <w:rPr>
          <w:sz w:val="24"/>
          <w:szCs w:val="24"/>
        </w:rPr>
        <w:t xml:space="preserve">). Consistent with ATSDR recommendations for evaluating PFAS compounds individually, this value should be applied to individual measurements of </w:t>
      </w:r>
      <w:r w:rsidR="0083424A" w:rsidRPr="6BE7E070">
        <w:rPr>
          <w:sz w:val="24"/>
          <w:szCs w:val="24"/>
        </w:rPr>
        <w:t xml:space="preserve">PFBA, </w:t>
      </w:r>
      <w:r w:rsidR="008B4139" w:rsidRPr="6BE7E070">
        <w:rPr>
          <w:sz w:val="24"/>
          <w:szCs w:val="24"/>
        </w:rPr>
        <w:t xml:space="preserve">PFBS, </w:t>
      </w:r>
      <w:proofErr w:type="spellStart"/>
      <w:r w:rsidR="008B4139" w:rsidRPr="6BE7E070">
        <w:rPr>
          <w:sz w:val="24"/>
          <w:szCs w:val="24"/>
        </w:rPr>
        <w:t>PFHxS</w:t>
      </w:r>
      <w:proofErr w:type="spellEnd"/>
      <w:r w:rsidR="008B4139" w:rsidRPr="6BE7E070">
        <w:rPr>
          <w:sz w:val="24"/>
          <w:szCs w:val="24"/>
        </w:rPr>
        <w:t xml:space="preserve">, </w:t>
      </w:r>
      <w:r w:rsidRPr="6BE7E070">
        <w:rPr>
          <w:sz w:val="24"/>
          <w:szCs w:val="24"/>
        </w:rPr>
        <w:t>PFOA, PFOS,</w:t>
      </w:r>
      <w:r w:rsidR="008B4139" w:rsidRPr="6BE7E070">
        <w:rPr>
          <w:sz w:val="24"/>
          <w:szCs w:val="24"/>
        </w:rPr>
        <w:t xml:space="preserve"> </w:t>
      </w:r>
      <w:r w:rsidRPr="6BE7E070">
        <w:rPr>
          <w:sz w:val="24"/>
          <w:szCs w:val="24"/>
        </w:rPr>
        <w:t>PFNA</w:t>
      </w:r>
      <w:r w:rsidR="00CE12A5" w:rsidRPr="6BE7E070">
        <w:rPr>
          <w:sz w:val="24"/>
          <w:szCs w:val="24"/>
        </w:rPr>
        <w:t xml:space="preserve">, and </w:t>
      </w:r>
      <w:proofErr w:type="spellStart"/>
      <w:r w:rsidR="00CE12A5" w:rsidRPr="6BE7E070">
        <w:rPr>
          <w:sz w:val="24"/>
          <w:szCs w:val="24"/>
        </w:rPr>
        <w:t>GenX</w:t>
      </w:r>
      <w:proofErr w:type="spellEnd"/>
      <w:r w:rsidRPr="6BE7E070">
        <w:rPr>
          <w:sz w:val="24"/>
          <w:szCs w:val="24"/>
        </w:rPr>
        <w:t xml:space="preserve">. If </w:t>
      </w:r>
      <w:r w:rsidRPr="6BE7E070">
        <w:rPr>
          <w:i/>
          <w:iCs/>
          <w:sz w:val="24"/>
          <w:szCs w:val="24"/>
        </w:rPr>
        <w:t>any</w:t>
      </w:r>
      <w:r w:rsidRPr="6BE7E070">
        <w:rPr>
          <w:sz w:val="24"/>
          <w:szCs w:val="24"/>
        </w:rPr>
        <w:t xml:space="preserve"> of these compounds (individually) exceed </w:t>
      </w:r>
      <w:r w:rsidR="4914BA14" w:rsidRPr="6BE7E070">
        <w:rPr>
          <w:sz w:val="24"/>
          <w:szCs w:val="24"/>
        </w:rPr>
        <w:t xml:space="preserve">the </w:t>
      </w:r>
      <w:r w:rsidRPr="6BE7E070">
        <w:rPr>
          <w:sz w:val="24"/>
          <w:szCs w:val="24"/>
        </w:rPr>
        <w:t xml:space="preserve">FAL of </w:t>
      </w:r>
      <w:r w:rsidR="001806B9" w:rsidRPr="6BE7E070">
        <w:rPr>
          <w:sz w:val="24"/>
          <w:szCs w:val="24"/>
        </w:rPr>
        <w:t>0.</w:t>
      </w:r>
      <w:r w:rsidR="00392D0E" w:rsidRPr="6BE7E070">
        <w:rPr>
          <w:sz w:val="24"/>
          <w:szCs w:val="24"/>
        </w:rPr>
        <w:t xml:space="preserve">22 </w:t>
      </w:r>
      <w:r w:rsidR="001C5415" w:rsidRPr="6BE7E070">
        <w:rPr>
          <w:sz w:val="24"/>
          <w:szCs w:val="24"/>
        </w:rPr>
        <w:t>µ</w:t>
      </w:r>
      <w:r w:rsidR="00C6642F" w:rsidRPr="6BE7E070">
        <w:rPr>
          <w:sz w:val="24"/>
          <w:szCs w:val="24"/>
        </w:rPr>
        <w:t>g/</w:t>
      </w:r>
      <w:r w:rsidR="001C5415" w:rsidRPr="6BE7E070">
        <w:rPr>
          <w:sz w:val="24"/>
          <w:szCs w:val="24"/>
        </w:rPr>
        <w:t>k</w:t>
      </w:r>
      <w:r w:rsidR="00C6642F" w:rsidRPr="6BE7E070">
        <w:rPr>
          <w:sz w:val="24"/>
          <w:szCs w:val="24"/>
        </w:rPr>
        <w:t>g,</w:t>
      </w:r>
      <w:r w:rsidRPr="6BE7E070">
        <w:rPr>
          <w:sz w:val="24"/>
          <w:szCs w:val="24"/>
        </w:rPr>
        <w:t xml:space="preserve"> a waterbody-specific analys</w:t>
      </w:r>
      <w:r w:rsidR="00C6642F" w:rsidRPr="6BE7E070">
        <w:rPr>
          <w:sz w:val="24"/>
          <w:szCs w:val="24"/>
        </w:rPr>
        <w:t>i</w:t>
      </w:r>
      <w:r w:rsidRPr="6BE7E070">
        <w:rPr>
          <w:sz w:val="24"/>
          <w:szCs w:val="24"/>
        </w:rPr>
        <w:t>s to evaluate how frequently an individual should consume fish from the specific waterbody</w:t>
      </w:r>
      <w:r w:rsidR="00C6642F" w:rsidRPr="6BE7E070">
        <w:rPr>
          <w:sz w:val="24"/>
          <w:szCs w:val="24"/>
        </w:rPr>
        <w:t xml:space="preserve"> would be required</w:t>
      </w:r>
      <w:r w:rsidRPr="6BE7E070">
        <w:rPr>
          <w:sz w:val="24"/>
          <w:szCs w:val="24"/>
        </w:rPr>
        <w:t>.</w:t>
      </w:r>
      <w:r w:rsidR="00C6642F" w:rsidRPr="6BE7E070">
        <w:rPr>
          <w:sz w:val="24"/>
          <w:szCs w:val="24"/>
        </w:rPr>
        <w:t xml:space="preserve"> A concentration below 0.2</w:t>
      </w:r>
      <w:r w:rsidR="00392D0E" w:rsidRPr="6BE7E070">
        <w:rPr>
          <w:sz w:val="24"/>
          <w:szCs w:val="24"/>
        </w:rPr>
        <w:t>2</w:t>
      </w:r>
      <w:r w:rsidR="00C6642F" w:rsidRPr="6BE7E070">
        <w:rPr>
          <w:sz w:val="24"/>
          <w:szCs w:val="24"/>
        </w:rPr>
        <w:t xml:space="preserve"> </w:t>
      </w:r>
      <w:r w:rsidR="001C5415" w:rsidRPr="6BE7E070">
        <w:rPr>
          <w:sz w:val="24"/>
          <w:szCs w:val="24"/>
        </w:rPr>
        <w:t>µ</w:t>
      </w:r>
      <w:r w:rsidR="00C6642F" w:rsidRPr="6BE7E070">
        <w:rPr>
          <w:sz w:val="24"/>
          <w:szCs w:val="24"/>
        </w:rPr>
        <w:t>g/</w:t>
      </w:r>
      <w:r w:rsidR="001C5415" w:rsidRPr="6BE7E070">
        <w:rPr>
          <w:sz w:val="24"/>
          <w:szCs w:val="24"/>
        </w:rPr>
        <w:t>k</w:t>
      </w:r>
      <w:r w:rsidR="00C6642F" w:rsidRPr="6BE7E070">
        <w:rPr>
          <w:sz w:val="24"/>
          <w:szCs w:val="24"/>
        </w:rPr>
        <w:t xml:space="preserve">g for </w:t>
      </w:r>
      <w:r w:rsidR="001517E0">
        <w:rPr>
          <w:sz w:val="24"/>
          <w:szCs w:val="24"/>
        </w:rPr>
        <w:t>all</w:t>
      </w:r>
      <w:r w:rsidR="0082627D">
        <w:rPr>
          <w:sz w:val="24"/>
          <w:szCs w:val="24"/>
        </w:rPr>
        <w:t xml:space="preserve"> </w:t>
      </w:r>
      <w:r w:rsidR="00C6642F" w:rsidRPr="6BE7E070">
        <w:rPr>
          <w:sz w:val="24"/>
          <w:szCs w:val="24"/>
        </w:rPr>
        <w:t>of the</w:t>
      </w:r>
      <w:r w:rsidR="0079439E" w:rsidRPr="6BE7E070">
        <w:rPr>
          <w:sz w:val="24"/>
          <w:szCs w:val="24"/>
        </w:rPr>
        <w:t>se</w:t>
      </w:r>
      <w:r w:rsidR="00C6642F" w:rsidRPr="6BE7E070">
        <w:rPr>
          <w:sz w:val="24"/>
          <w:szCs w:val="24"/>
        </w:rPr>
        <w:t xml:space="preserve"> PFAS compounds would be protective for unlimited consumption of fish for both the general population and sensitive populations.</w:t>
      </w:r>
    </w:p>
    <w:p w14:paraId="40D87E06" w14:textId="130A1D19" w:rsidR="00231A7C" w:rsidRPr="00231A7C" w:rsidRDefault="00231A7C" w:rsidP="009362A1">
      <w:pPr>
        <w:spacing w:after="40" w:line="240" w:lineRule="auto"/>
        <w:rPr>
          <w:sz w:val="24"/>
          <w:szCs w:val="24"/>
        </w:rPr>
      </w:pPr>
      <w:r w:rsidRPr="0E1D4E23">
        <w:rPr>
          <w:sz w:val="24"/>
          <w:szCs w:val="24"/>
        </w:rPr>
        <w:t>The development of this FAL is based on the following assumptions:</w:t>
      </w:r>
    </w:p>
    <w:p w14:paraId="04091D87" w14:textId="71B18674" w:rsidR="24CB0860" w:rsidRPr="000A114D" w:rsidRDefault="24CB0860" w:rsidP="009362A1">
      <w:pPr>
        <w:numPr>
          <w:ilvl w:val="0"/>
          <w:numId w:val="19"/>
        </w:numPr>
        <w:tabs>
          <w:tab w:val="left" w:pos="8880"/>
        </w:tabs>
        <w:spacing w:after="80" w:line="240" w:lineRule="auto"/>
        <w:rPr>
          <w:rFonts w:ascii="Calibri" w:eastAsia="Calibri" w:hAnsi="Calibri" w:cs="Calibri"/>
          <w:sz w:val="24"/>
          <w:szCs w:val="24"/>
        </w:rPr>
      </w:pPr>
      <w:r w:rsidRPr="000A114D">
        <w:rPr>
          <w:rFonts w:ascii="Calibri" w:eastAsia="Calibri" w:hAnsi="Calibri" w:cs="Calibri"/>
          <w:sz w:val="24"/>
          <w:szCs w:val="24"/>
        </w:rPr>
        <w:t xml:space="preserve">The FAL is based on </w:t>
      </w:r>
      <w:r w:rsidR="004259BB">
        <w:rPr>
          <w:rFonts w:ascii="Calibri" w:eastAsia="Calibri" w:hAnsi="Calibri" w:cs="Calibri"/>
          <w:sz w:val="24"/>
          <w:szCs w:val="24"/>
        </w:rPr>
        <w:t xml:space="preserve">the </w:t>
      </w:r>
      <w:r w:rsidRPr="000A114D">
        <w:rPr>
          <w:rFonts w:ascii="Calibri" w:eastAsia="Calibri" w:hAnsi="Calibri" w:cs="Calibri"/>
          <w:sz w:val="24"/>
          <w:szCs w:val="24"/>
        </w:rPr>
        <w:t>toxicity of PFOS, which is the most potent PFAS, using toxicity values developed by the Agency for Toxic Substances and Disease Registry.</w:t>
      </w:r>
    </w:p>
    <w:p w14:paraId="740BC9D8" w14:textId="1DFE2C82" w:rsidR="00231A7C" w:rsidRPr="00411C04" w:rsidRDefault="006B204B" w:rsidP="009362A1">
      <w:pPr>
        <w:numPr>
          <w:ilvl w:val="0"/>
          <w:numId w:val="19"/>
        </w:numPr>
        <w:tabs>
          <w:tab w:val="left" w:pos="8880"/>
        </w:tabs>
        <w:spacing w:after="80" w:line="240" w:lineRule="auto"/>
        <w:rPr>
          <w:sz w:val="24"/>
          <w:szCs w:val="24"/>
        </w:rPr>
      </w:pPr>
      <w:r w:rsidRPr="68BFB0A1">
        <w:rPr>
          <w:sz w:val="24"/>
          <w:szCs w:val="24"/>
        </w:rPr>
        <w:lastRenderedPageBreak/>
        <w:t>The FAL would allow for sensitive individual</w:t>
      </w:r>
      <w:r w:rsidR="009B564B">
        <w:rPr>
          <w:sz w:val="24"/>
          <w:szCs w:val="24"/>
        </w:rPr>
        <w:t>s</w:t>
      </w:r>
      <w:r w:rsidR="007F22CC" w:rsidRPr="68BFB0A1">
        <w:rPr>
          <w:sz w:val="24"/>
          <w:szCs w:val="24"/>
        </w:rPr>
        <w:t xml:space="preserve"> (e.g., </w:t>
      </w:r>
      <w:r w:rsidR="245A2F5B" w:rsidRPr="68BFB0A1">
        <w:rPr>
          <w:sz w:val="24"/>
          <w:szCs w:val="24"/>
        </w:rPr>
        <w:t xml:space="preserve">children </w:t>
      </w:r>
      <w:r w:rsidR="7C1562B3" w:rsidRPr="000A114D">
        <w:rPr>
          <w:sz w:val="24"/>
          <w:szCs w:val="24"/>
        </w:rPr>
        <w:t>younger than</w:t>
      </w:r>
      <w:r w:rsidR="245A2F5B" w:rsidRPr="000A114D">
        <w:rPr>
          <w:sz w:val="24"/>
          <w:szCs w:val="24"/>
        </w:rPr>
        <w:t xml:space="preserve"> 1</w:t>
      </w:r>
      <w:r w:rsidR="095AC579" w:rsidRPr="000A114D">
        <w:rPr>
          <w:sz w:val="24"/>
          <w:szCs w:val="24"/>
        </w:rPr>
        <w:t>3</w:t>
      </w:r>
      <w:r w:rsidR="245A2F5B" w:rsidRPr="000A114D">
        <w:rPr>
          <w:sz w:val="24"/>
          <w:szCs w:val="24"/>
        </w:rPr>
        <w:t xml:space="preserve"> </w:t>
      </w:r>
      <w:r w:rsidR="68C63ADC" w:rsidRPr="000A114D">
        <w:rPr>
          <w:sz w:val="24"/>
          <w:szCs w:val="24"/>
        </w:rPr>
        <w:t>years of age</w:t>
      </w:r>
      <w:r w:rsidR="68C63ADC" w:rsidRPr="68BFB0A1">
        <w:rPr>
          <w:sz w:val="24"/>
          <w:szCs w:val="24"/>
        </w:rPr>
        <w:t xml:space="preserve"> </w:t>
      </w:r>
      <w:r w:rsidR="245A2F5B" w:rsidRPr="68BFB0A1">
        <w:rPr>
          <w:sz w:val="24"/>
          <w:szCs w:val="24"/>
        </w:rPr>
        <w:t>or people who are nursing, pregnant, or may become pregnant</w:t>
      </w:r>
      <w:r w:rsidR="007F22CC" w:rsidRPr="68BFB0A1">
        <w:rPr>
          <w:sz w:val="24"/>
          <w:szCs w:val="24"/>
        </w:rPr>
        <w:t xml:space="preserve">) to </w:t>
      </w:r>
      <w:r w:rsidR="0079439E" w:rsidRPr="68BFB0A1">
        <w:rPr>
          <w:sz w:val="24"/>
          <w:szCs w:val="24"/>
        </w:rPr>
        <w:t xml:space="preserve">eat one fish meal </w:t>
      </w:r>
      <w:r w:rsidR="00B72683" w:rsidRPr="68BFB0A1">
        <w:rPr>
          <w:sz w:val="24"/>
          <w:szCs w:val="24"/>
        </w:rPr>
        <w:t>every day</w:t>
      </w:r>
      <w:r w:rsidR="00231A7C" w:rsidRPr="68BFB0A1">
        <w:rPr>
          <w:sz w:val="24"/>
          <w:szCs w:val="24"/>
        </w:rPr>
        <w:t xml:space="preserve"> and still not </w:t>
      </w:r>
      <w:r w:rsidR="00647382" w:rsidRPr="68BFB0A1">
        <w:rPr>
          <w:sz w:val="24"/>
          <w:szCs w:val="24"/>
        </w:rPr>
        <w:t>be exposed to a PFOS dose that exceeds</w:t>
      </w:r>
      <w:r w:rsidR="00231A7C" w:rsidRPr="68BFB0A1">
        <w:rPr>
          <w:sz w:val="24"/>
          <w:szCs w:val="24"/>
        </w:rPr>
        <w:t xml:space="preserve"> the MRL.</w:t>
      </w:r>
    </w:p>
    <w:p w14:paraId="7B1C732E" w14:textId="5AEB91D9" w:rsidR="00231A7C" w:rsidRPr="00231A7C" w:rsidRDefault="007F22CC" w:rsidP="009362A1">
      <w:pPr>
        <w:numPr>
          <w:ilvl w:val="0"/>
          <w:numId w:val="19"/>
        </w:numPr>
        <w:tabs>
          <w:tab w:val="left" w:pos="8880"/>
        </w:tabs>
        <w:spacing w:after="80" w:line="240" w:lineRule="auto"/>
        <w:rPr>
          <w:rFonts w:cstheme="minorHAnsi"/>
          <w:sz w:val="24"/>
          <w:szCs w:val="24"/>
        </w:rPr>
      </w:pPr>
      <w:r w:rsidRPr="0E1D4E23">
        <w:rPr>
          <w:sz w:val="24"/>
          <w:szCs w:val="24"/>
        </w:rPr>
        <w:t>The most</w:t>
      </w:r>
      <w:r w:rsidR="00A53DBF">
        <w:rPr>
          <w:sz w:val="24"/>
          <w:szCs w:val="24"/>
        </w:rPr>
        <w:t xml:space="preserve"> </w:t>
      </w:r>
      <w:r w:rsidR="00847220">
        <w:rPr>
          <w:sz w:val="24"/>
          <w:szCs w:val="24"/>
        </w:rPr>
        <w:t>sensitive</w:t>
      </w:r>
      <w:r w:rsidRPr="0E1D4E23">
        <w:rPr>
          <w:sz w:val="24"/>
          <w:szCs w:val="24"/>
        </w:rPr>
        <w:t xml:space="preserve"> individual, in terms of ingestion rate relative to body weight, is a </w:t>
      </w:r>
      <w:r w:rsidR="00231A7C" w:rsidRPr="0E1D4E23">
        <w:rPr>
          <w:sz w:val="24"/>
          <w:szCs w:val="24"/>
        </w:rPr>
        <w:t xml:space="preserve">toddler, aged 1 to &lt;3 years, </w:t>
      </w:r>
      <w:r w:rsidRPr="0E1D4E23">
        <w:rPr>
          <w:sz w:val="24"/>
          <w:szCs w:val="24"/>
        </w:rPr>
        <w:t xml:space="preserve">with a body </w:t>
      </w:r>
      <w:r w:rsidR="00231A7C" w:rsidRPr="0E1D4E23">
        <w:rPr>
          <w:sz w:val="24"/>
          <w:szCs w:val="24"/>
        </w:rPr>
        <w:t>weigh</w:t>
      </w:r>
      <w:r w:rsidRPr="0E1D4E23">
        <w:rPr>
          <w:sz w:val="24"/>
          <w:szCs w:val="24"/>
        </w:rPr>
        <w:t>t of</w:t>
      </w:r>
      <w:r w:rsidR="00231A7C" w:rsidRPr="0E1D4E23">
        <w:rPr>
          <w:sz w:val="24"/>
          <w:szCs w:val="24"/>
        </w:rPr>
        <w:t xml:space="preserve"> 12.6 kg (US EPA, 2011).</w:t>
      </w:r>
    </w:p>
    <w:p w14:paraId="0D7BAD31" w14:textId="0E84F2A9" w:rsidR="00231A7C" w:rsidRPr="00231A7C" w:rsidRDefault="00231A7C" w:rsidP="009362A1">
      <w:pPr>
        <w:numPr>
          <w:ilvl w:val="0"/>
          <w:numId w:val="19"/>
        </w:numPr>
        <w:tabs>
          <w:tab w:val="left" w:pos="8880"/>
        </w:tabs>
        <w:spacing w:after="0" w:line="240" w:lineRule="auto"/>
        <w:rPr>
          <w:rFonts w:cstheme="minorHAnsi"/>
          <w:sz w:val="24"/>
          <w:szCs w:val="24"/>
        </w:rPr>
      </w:pPr>
      <w:bookmarkStart w:id="11" w:name="_Hlk84246194"/>
      <w:r w:rsidRPr="0E1D4E23">
        <w:rPr>
          <w:sz w:val="24"/>
          <w:szCs w:val="24"/>
        </w:rPr>
        <w:t>A health</w:t>
      </w:r>
      <w:r w:rsidR="009B564B">
        <w:rPr>
          <w:sz w:val="24"/>
          <w:szCs w:val="24"/>
        </w:rPr>
        <w:t>-</w:t>
      </w:r>
      <w:r w:rsidRPr="0E1D4E23">
        <w:rPr>
          <w:sz w:val="24"/>
          <w:szCs w:val="24"/>
        </w:rPr>
        <w:t xml:space="preserve">protective and reasonable maximum estimate of freshwater fish consumption </w:t>
      </w:r>
      <w:r w:rsidR="00411C04" w:rsidRPr="0E1D4E23">
        <w:rPr>
          <w:sz w:val="24"/>
          <w:szCs w:val="24"/>
        </w:rPr>
        <w:t xml:space="preserve">for a toddler </w:t>
      </w:r>
      <w:r w:rsidRPr="0E1D4E23">
        <w:rPr>
          <w:sz w:val="24"/>
          <w:szCs w:val="24"/>
        </w:rPr>
        <w:t xml:space="preserve">is 113.4 grams per day (g/day).  </w:t>
      </w:r>
    </w:p>
    <w:p w14:paraId="408530FD" w14:textId="049AAC0D" w:rsidR="00465A81" w:rsidRDefault="00465A81" w:rsidP="009362A1">
      <w:pPr>
        <w:numPr>
          <w:ilvl w:val="1"/>
          <w:numId w:val="19"/>
        </w:numPr>
        <w:tabs>
          <w:tab w:val="left" w:pos="8880"/>
        </w:tabs>
        <w:spacing w:after="0" w:line="240" w:lineRule="auto"/>
        <w:rPr>
          <w:rFonts w:cstheme="minorHAnsi"/>
          <w:sz w:val="24"/>
          <w:szCs w:val="24"/>
        </w:rPr>
      </w:pPr>
      <w:r w:rsidRPr="0E1D4E23">
        <w:rPr>
          <w:sz w:val="24"/>
          <w:szCs w:val="24"/>
        </w:rPr>
        <w:t>This estimate is equivalent to a child eating a 4</w:t>
      </w:r>
      <w:r w:rsidR="007F22CC" w:rsidRPr="0E1D4E23">
        <w:rPr>
          <w:sz w:val="24"/>
          <w:szCs w:val="24"/>
        </w:rPr>
        <w:t>-</w:t>
      </w:r>
      <w:r w:rsidRPr="0E1D4E23">
        <w:rPr>
          <w:sz w:val="24"/>
          <w:szCs w:val="24"/>
        </w:rPr>
        <w:t xml:space="preserve">ounce serving of fish every </w:t>
      </w:r>
      <w:r w:rsidR="0061294C" w:rsidRPr="0E1D4E23">
        <w:rPr>
          <w:sz w:val="24"/>
          <w:szCs w:val="24"/>
        </w:rPr>
        <w:t>day and</w:t>
      </w:r>
      <w:r w:rsidRPr="0E1D4E23">
        <w:rPr>
          <w:sz w:val="24"/>
          <w:szCs w:val="24"/>
        </w:rPr>
        <w:t xml:space="preserve"> represents an unrestricted consumption of fish from a waterbody</w:t>
      </w:r>
      <w:r w:rsidR="00542221" w:rsidRPr="0E1D4E23">
        <w:rPr>
          <w:sz w:val="24"/>
          <w:szCs w:val="24"/>
        </w:rPr>
        <w:t>, for recreational fish consumption.</w:t>
      </w:r>
    </w:p>
    <w:p w14:paraId="468D20F1" w14:textId="1D5DF751" w:rsidR="00231A7C" w:rsidRDefault="00EF06B4" w:rsidP="009362A1">
      <w:pPr>
        <w:numPr>
          <w:ilvl w:val="1"/>
          <w:numId w:val="19"/>
        </w:numPr>
        <w:tabs>
          <w:tab w:val="left" w:pos="8880"/>
        </w:tabs>
        <w:spacing w:after="0" w:line="240" w:lineRule="auto"/>
        <w:rPr>
          <w:sz w:val="24"/>
          <w:szCs w:val="24"/>
        </w:rPr>
      </w:pPr>
      <w:r w:rsidRPr="0E1D4E23">
        <w:rPr>
          <w:sz w:val="24"/>
          <w:szCs w:val="24"/>
        </w:rPr>
        <w:t xml:space="preserve">A 4-ounce serving size for a child is equal to half of the recommended serving size of fish for an adult (8 oz, or 227 grams). </w:t>
      </w:r>
      <w:r w:rsidR="00231A7C" w:rsidRPr="0E1D4E23">
        <w:rPr>
          <w:sz w:val="24"/>
          <w:szCs w:val="24"/>
        </w:rPr>
        <w:t>Th</w:t>
      </w:r>
      <w:r w:rsidR="00AC0B25" w:rsidRPr="0E1D4E23">
        <w:rPr>
          <w:sz w:val="24"/>
          <w:szCs w:val="24"/>
        </w:rPr>
        <w:t>e</w:t>
      </w:r>
      <w:r w:rsidR="00231A7C" w:rsidRPr="0E1D4E23">
        <w:rPr>
          <w:sz w:val="24"/>
          <w:szCs w:val="24"/>
        </w:rPr>
        <w:t xml:space="preserve"> approach of basing a</w:t>
      </w:r>
      <w:r w:rsidR="007F22CC" w:rsidRPr="0E1D4E23">
        <w:rPr>
          <w:sz w:val="24"/>
          <w:szCs w:val="24"/>
        </w:rPr>
        <w:t xml:space="preserve"> child’s</w:t>
      </w:r>
      <w:r w:rsidR="00231A7C" w:rsidRPr="0E1D4E23">
        <w:rPr>
          <w:sz w:val="24"/>
          <w:szCs w:val="24"/>
        </w:rPr>
        <w:t xml:space="preserve"> ingestion rate on half of </w:t>
      </w:r>
      <w:r w:rsidR="007F22CC" w:rsidRPr="0E1D4E23">
        <w:rPr>
          <w:sz w:val="24"/>
          <w:szCs w:val="24"/>
        </w:rPr>
        <w:t>the</w:t>
      </w:r>
      <w:r w:rsidR="00231A7C" w:rsidRPr="0E1D4E23">
        <w:rPr>
          <w:sz w:val="24"/>
          <w:szCs w:val="24"/>
        </w:rPr>
        <w:t xml:space="preserve"> adult </w:t>
      </w:r>
      <w:r w:rsidR="007F22CC" w:rsidRPr="0E1D4E23">
        <w:rPr>
          <w:sz w:val="24"/>
          <w:szCs w:val="24"/>
        </w:rPr>
        <w:t xml:space="preserve">ingestion rate </w:t>
      </w:r>
      <w:r w:rsidR="00231A7C" w:rsidRPr="0E1D4E23">
        <w:rPr>
          <w:sz w:val="24"/>
          <w:szCs w:val="24"/>
        </w:rPr>
        <w:t xml:space="preserve">is consistent with </w:t>
      </w:r>
      <w:r w:rsidR="00AC0B25" w:rsidRPr="0E1D4E23">
        <w:rPr>
          <w:sz w:val="24"/>
          <w:szCs w:val="24"/>
        </w:rPr>
        <w:t>MassDEP</w:t>
      </w:r>
      <w:r w:rsidR="00231A7C" w:rsidRPr="0E1D4E23">
        <w:rPr>
          <w:sz w:val="24"/>
          <w:szCs w:val="24"/>
        </w:rPr>
        <w:t xml:space="preserve"> guidance </w:t>
      </w:r>
      <w:r w:rsidR="00647382" w:rsidRPr="0E1D4E23">
        <w:rPr>
          <w:sz w:val="24"/>
          <w:szCs w:val="24"/>
        </w:rPr>
        <w:t>(</w:t>
      </w:r>
      <w:r w:rsidR="0013137D" w:rsidRPr="0E1D4E23">
        <w:rPr>
          <w:sz w:val="24"/>
          <w:szCs w:val="24"/>
        </w:rPr>
        <w:t>MassDEP, 2008</w:t>
      </w:r>
      <w:r w:rsidR="002E5EC8" w:rsidRPr="0E1D4E23">
        <w:rPr>
          <w:sz w:val="24"/>
          <w:szCs w:val="24"/>
        </w:rPr>
        <w:t>)</w:t>
      </w:r>
      <w:r w:rsidR="00360362" w:rsidRPr="0E1D4E23">
        <w:rPr>
          <w:sz w:val="24"/>
          <w:szCs w:val="24"/>
        </w:rPr>
        <w:t xml:space="preserve"> </w:t>
      </w:r>
      <w:r w:rsidR="002E5EC8" w:rsidRPr="0E1D4E23">
        <w:rPr>
          <w:sz w:val="24"/>
          <w:szCs w:val="24"/>
        </w:rPr>
        <w:t>as well as US EPA analyses (</w:t>
      </w:r>
      <w:r w:rsidR="007802EB" w:rsidRPr="0E1D4E23">
        <w:rPr>
          <w:sz w:val="24"/>
          <w:szCs w:val="24"/>
        </w:rPr>
        <w:t xml:space="preserve">US EPA Region 1, </w:t>
      </w:r>
      <w:r w:rsidR="00360362" w:rsidRPr="0E1D4E23">
        <w:rPr>
          <w:sz w:val="24"/>
          <w:szCs w:val="24"/>
        </w:rPr>
        <w:t>2005</w:t>
      </w:r>
      <w:r w:rsidR="00647382" w:rsidRPr="0E1D4E23">
        <w:rPr>
          <w:sz w:val="24"/>
          <w:szCs w:val="24"/>
        </w:rPr>
        <w:t>)</w:t>
      </w:r>
      <w:r w:rsidR="00231A7C" w:rsidRPr="0E1D4E23">
        <w:rPr>
          <w:sz w:val="24"/>
          <w:szCs w:val="24"/>
        </w:rPr>
        <w:t>.</w:t>
      </w:r>
    </w:p>
    <w:bookmarkEnd w:id="11"/>
    <w:p w14:paraId="7F0AB033" w14:textId="443BE310" w:rsidR="00E63A22" w:rsidRPr="009E210F" w:rsidRDefault="00E63A22" w:rsidP="00E63A22">
      <w:pPr>
        <w:tabs>
          <w:tab w:val="left" w:pos="8880"/>
        </w:tabs>
        <w:spacing w:after="0" w:line="240" w:lineRule="auto"/>
        <w:jc w:val="both"/>
        <w:rPr>
          <w:rFonts w:cstheme="minorHAnsi"/>
          <w:sz w:val="24"/>
          <w:szCs w:val="24"/>
        </w:rPr>
      </w:pPr>
    </w:p>
    <w:p w14:paraId="5BF05BF5" w14:textId="55BA7C03" w:rsidR="008B2F03" w:rsidRPr="009E210F" w:rsidRDefault="008B2F03" w:rsidP="00BD4CEE">
      <w:pPr>
        <w:spacing w:line="240" w:lineRule="auto"/>
        <w:rPr>
          <w:sz w:val="24"/>
          <w:szCs w:val="24"/>
        </w:rPr>
      </w:pPr>
      <w:r w:rsidRPr="1CA4B720">
        <w:rPr>
          <w:sz w:val="24"/>
          <w:szCs w:val="24"/>
        </w:rPr>
        <w:t>Table 2.</w:t>
      </w:r>
      <w:r w:rsidR="00F24E59" w:rsidRPr="1CA4B720">
        <w:rPr>
          <w:sz w:val="24"/>
          <w:szCs w:val="24"/>
        </w:rPr>
        <w:t xml:space="preserve">3 </w:t>
      </w:r>
      <w:r w:rsidRPr="1CA4B720">
        <w:rPr>
          <w:sz w:val="24"/>
          <w:szCs w:val="24"/>
        </w:rPr>
        <w:t>outlines the values and basis for the parameters used to calculate the FAL</w:t>
      </w:r>
      <w:r w:rsidR="009E210F" w:rsidRPr="1CA4B720">
        <w:rPr>
          <w:sz w:val="24"/>
          <w:szCs w:val="24"/>
        </w:rPr>
        <w:t>.</w:t>
      </w:r>
    </w:p>
    <w:p w14:paraId="5A0CDFE1" w14:textId="55C5F9CB" w:rsidR="00E63A22" w:rsidRPr="005E74EA" w:rsidRDefault="005E74EA" w:rsidP="005E74EA">
      <w:pPr>
        <w:keepNext/>
        <w:keepLines/>
        <w:spacing w:after="0" w:line="240" w:lineRule="auto"/>
        <w:rPr>
          <w:b/>
          <w:bCs/>
          <w:sz w:val="24"/>
          <w:szCs w:val="24"/>
        </w:rPr>
      </w:pPr>
      <w:r w:rsidRPr="6BE7E070">
        <w:rPr>
          <w:b/>
          <w:bCs/>
          <w:sz w:val="24"/>
          <w:szCs w:val="24"/>
        </w:rPr>
        <w:t>Table 2.</w:t>
      </w:r>
      <w:r w:rsidR="00F24E59" w:rsidRPr="6BE7E070">
        <w:rPr>
          <w:b/>
          <w:bCs/>
          <w:sz w:val="24"/>
          <w:szCs w:val="24"/>
        </w:rPr>
        <w:t>3</w:t>
      </w:r>
      <w:r w:rsidR="0076216B" w:rsidRPr="6BE7E070">
        <w:rPr>
          <w:b/>
          <w:bCs/>
          <w:sz w:val="24"/>
          <w:szCs w:val="24"/>
        </w:rPr>
        <w:t>.</w:t>
      </w:r>
      <w:r w:rsidRPr="6BE7E070">
        <w:rPr>
          <w:b/>
          <w:bCs/>
          <w:sz w:val="24"/>
          <w:szCs w:val="24"/>
        </w:rPr>
        <w:t xml:space="preserve">  </w:t>
      </w:r>
      <w:r w:rsidR="004D153E" w:rsidRPr="6BE7E070">
        <w:rPr>
          <w:b/>
          <w:bCs/>
          <w:sz w:val="24"/>
          <w:szCs w:val="24"/>
        </w:rPr>
        <w:t xml:space="preserve">Input </w:t>
      </w:r>
      <w:r w:rsidR="00E63A22" w:rsidRPr="6BE7E070">
        <w:rPr>
          <w:b/>
          <w:bCs/>
          <w:sz w:val="24"/>
          <w:szCs w:val="24"/>
        </w:rPr>
        <w:t xml:space="preserve">Parameters </w:t>
      </w:r>
      <w:r w:rsidR="008B2F03" w:rsidRPr="6BE7E070">
        <w:rPr>
          <w:b/>
          <w:bCs/>
          <w:sz w:val="24"/>
          <w:szCs w:val="24"/>
        </w:rPr>
        <w:t>-</w:t>
      </w:r>
      <w:r w:rsidR="00E63A22" w:rsidRPr="6BE7E070">
        <w:rPr>
          <w:b/>
          <w:bCs/>
          <w:sz w:val="24"/>
          <w:szCs w:val="24"/>
        </w:rPr>
        <w:t xml:space="preserve"> Fish Action Level (</w:t>
      </w:r>
      <w:r w:rsidR="00A67F91" w:rsidRPr="6BE7E070">
        <w:rPr>
          <w:b/>
          <w:bCs/>
          <w:sz w:val="24"/>
          <w:szCs w:val="24"/>
        </w:rPr>
        <w:t>F</w:t>
      </w:r>
      <w:r w:rsidR="00E63A22" w:rsidRPr="6BE7E070">
        <w:rPr>
          <w:b/>
          <w:bCs/>
          <w:sz w:val="24"/>
          <w:szCs w:val="24"/>
        </w:rPr>
        <w:t xml:space="preserve">AL) for PFAS </w:t>
      </w:r>
    </w:p>
    <w:tbl>
      <w:tblPr>
        <w:tblStyle w:val="TableGrid"/>
        <w:tblW w:w="9985" w:type="dxa"/>
        <w:tblLook w:val="04A0" w:firstRow="1" w:lastRow="0" w:firstColumn="1" w:lastColumn="0" w:noHBand="0" w:noVBand="1"/>
      </w:tblPr>
      <w:tblGrid>
        <w:gridCol w:w="3685"/>
        <w:gridCol w:w="1080"/>
        <w:gridCol w:w="5220"/>
      </w:tblGrid>
      <w:tr w:rsidR="00E63A22" w14:paraId="06A0FDB9" w14:textId="77777777" w:rsidTr="0076151F">
        <w:tc>
          <w:tcPr>
            <w:tcW w:w="3685" w:type="dxa"/>
            <w:tcBorders>
              <w:bottom w:val="double" w:sz="4" w:space="0" w:color="auto"/>
            </w:tcBorders>
            <w:shd w:val="clear" w:color="auto" w:fill="DBE5F1" w:themeFill="accent1" w:themeFillTint="33"/>
          </w:tcPr>
          <w:p w14:paraId="3AF5B060" w14:textId="77777777" w:rsidR="00E63A22" w:rsidRPr="00D51771" w:rsidRDefault="00E63A22" w:rsidP="009500B2">
            <w:pPr>
              <w:keepNext/>
              <w:keepLines/>
              <w:rPr>
                <w:b/>
                <w:bCs/>
              </w:rPr>
            </w:pPr>
            <w:r w:rsidRPr="00D51771">
              <w:rPr>
                <w:b/>
                <w:bCs/>
              </w:rPr>
              <w:t>Parameter</w:t>
            </w:r>
          </w:p>
        </w:tc>
        <w:tc>
          <w:tcPr>
            <w:tcW w:w="1080" w:type="dxa"/>
            <w:tcBorders>
              <w:bottom w:val="double" w:sz="4" w:space="0" w:color="auto"/>
            </w:tcBorders>
            <w:shd w:val="clear" w:color="auto" w:fill="DBE5F1" w:themeFill="accent1" w:themeFillTint="33"/>
          </w:tcPr>
          <w:p w14:paraId="7E7C3374" w14:textId="77777777" w:rsidR="00E63A22" w:rsidRDefault="00E63A22" w:rsidP="009500B2">
            <w:pPr>
              <w:keepNext/>
              <w:keepLines/>
              <w:jc w:val="center"/>
            </w:pPr>
            <w:r w:rsidRPr="00D51771">
              <w:rPr>
                <w:rFonts w:eastAsia="Times New Roman" w:cstheme="minorHAnsi"/>
                <w:b/>
                <w:color w:val="000000"/>
              </w:rPr>
              <w:t>Value</w:t>
            </w:r>
          </w:p>
        </w:tc>
        <w:tc>
          <w:tcPr>
            <w:tcW w:w="5220" w:type="dxa"/>
            <w:tcBorders>
              <w:bottom w:val="double" w:sz="4" w:space="0" w:color="auto"/>
            </w:tcBorders>
            <w:shd w:val="clear" w:color="auto" w:fill="DBE5F1" w:themeFill="accent1" w:themeFillTint="33"/>
          </w:tcPr>
          <w:p w14:paraId="7DCEEE82" w14:textId="77777777" w:rsidR="00E63A22" w:rsidRPr="00CE1B6D" w:rsidRDefault="00E63A22" w:rsidP="009500B2">
            <w:pPr>
              <w:keepNext/>
              <w:keepLines/>
              <w:rPr>
                <w:b/>
                <w:bCs/>
              </w:rPr>
            </w:pPr>
            <w:r w:rsidRPr="00CE1B6D">
              <w:rPr>
                <w:b/>
                <w:bCs/>
              </w:rPr>
              <w:t>Basis</w:t>
            </w:r>
          </w:p>
        </w:tc>
      </w:tr>
      <w:tr w:rsidR="007D643A" w14:paraId="41F2F439" w14:textId="77777777" w:rsidTr="009500B2">
        <w:tc>
          <w:tcPr>
            <w:tcW w:w="3685" w:type="dxa"/>
            <w:tcBorders>
              <w:top w:val="double" w:sz="4" w:space="0" w:color="auto"/>
            </w:tcBorders>
          </w:tcPr>
          <w:p w14:paraId="6932457F" w14:textId="11FA9B73" w:rsidR="007D643A" w:rsidRDefault="007D643A" w:rsidP="007D643A">
            <w:pPr>
              <w:keepNext/>
              <w:keepLines/>
            </w:pPr>
            <w:r>
              <w:rPr>
                <w:rFonts w:eastAsia="Times New Roman" w:cstheme="minorHAnsi"/>
                <w:bCs/>
                <w:color w:val="000000"/>
              </w:rPr>
              <w:t>Minimal Risk Level, MRL (mg/kg-day)</w:t>
            </w:r>
          </w:p>
        </w:tc>
        <w:tc>
          <w:tcPr>
            <w:tcW w:w="1080" w:type="dxa"/>
            <w:tcBorders>
              <w:top w:val="double" w:sz="4" w:space="0" w:color="auto"/>
            </w:tcBorders>
          </w:tcPr>
          <w:p w14:paraId="48A1082E" w14:textId="2F74C056" w:rsidR="007D643A" w:rsidRDefault="007D643A" w:rsidP="007D643A">
            <w:pPr>
              <w:keepNext/>
              <w:keepLines/>
              <w:jc w:val="center"/>
            </w:pPr>
            <w:r>
              <w:t>2 x 10</w:t>
            </w:r>
            <w:r w:rsidRPr="007D7183">
              <w:rPr>
                <w:vertAlign w:val="superscript"/>
              </w:rPr>
              <w:t>-6</w:t>
            </w:r>
          </w:p>
        </w:tc>
        <w:tc>
          <w:tcPr>
            <w:tcW w:w="5220" w:type="dxa"/>
            <w:tcBorders>
              <w:top w:val="double" w:sz="4" w:space="0" w:color="auto"/>
            </w:tcBorders>
          </w:tcPr>
          <w:p w14:paraId="64C3ADE4" w14:textId="39524675" w:rsidR="007D643A" w:rsidRDefault="007D643A" w:rsidP="007D643A">
            <w:pPr>
              <w:keepNext/>
              <w:keepLines/>
            </w:pPr>
            <w:r>
              <w:t>ATSDR Minimal Risk Level for PFOS (ATSDR, 20</w:t>
            </w:r>
            <w:r w:rsidR="00B00013">
              <w:t>2</w:t>
            </w:r>
            <w:r>
              <w:t>1)</w:t>
            </w:r>
          </w:p>
        </w:tc>
      </w:tr>
      <w:tr w:rsidR="00E63A22" w14:paraId="0CC84E60" w14:textId="77777777" w:rsidTr="009500B2">
        <w:tc>
          <w:tcPr>
            <w:tcW w:w="3685" w:type="dxa"/>
          </w:tcPr>
          <w:p w14:paraId="208FF3DE" w14:textId="77777777" w:rsidR="00E63A22" w:rsidRDefault="00E63A22" w:rsidP="009500B2">
            <w:pPr>
              <w:keepNext/>
              <w:keepLines/>
            </w:pPr>
            <w:r w:rsidRPr="00D51771">
              <w:rPr>
                <w:rFonts w:eastAsia="Times New Roman" w:cstheme="minorHAnsi"/>
                <w:bCs/>
                <w:color w:val="000000"/>
              </w:rPr>
              <w:t>Body Weight</w:t>
            </w:r>
            <w:r>
              <w:rPr>
                <w:rFonts w:eastAsia="Times New Roman" w:cstheme="minorHAnsi"/>
                <w:bCs/>
                <w:color w:val="000000"/>
              </w:rPr>
              <w:t>, BW (kg)</w:t>
            </w:r>
          </w:p>
        </w:tc>
        <w:tc>
          <w:tcPr>
            <w:tcW w:w="1080" w:type="dxa"/>
          </w:tcPr>
          <w:p w14:paraId="4D8B583A" w14:textId="0723EB18" w:rsidR="00E63A22" w:rsidRDefault="00E63A22" w:rsidP="009500B2">
            <w:pPr>
              <w:keepNext/>
              <w:keepLines/>
              <w:jc w:val="center"/>
            </w:pPr>
            <w:r>
              <w:t>12.6</w:t>
            </w:r>
          </w:p>
        </w:tc>
        <w:tc>
          <w:tcPr>
            <w:tcW w:w="5220" w:type="dxa"/>
          </w:tcPr>
          <w:p w14:paraId="75C474F8" w14:textId="4346620E" w:rsidR="00E63A22" w:rsidRDefault="00E63A22" w:rsidP="009500B2">
            <w:pPr>
              <w:keepNext/>
              <w:keepLines/>
            </w:pPr>
            <w:r>
              <w:t xml:space="preserve">Mean body weight for 1 - &lt; </w:t>
            </w:r>
            <w:r w:rsidR="0040591D">
              <w:t>3-year-old</w:t>
            </w:r>
            <w:r>
              <w:t xml:space="preserve"> (US EPA, 2011)</w:t>
            </w:r>
          </w:p>
        </w:tc>
      </w:tr>
      <w:tr w:rsidR="00E63A22" w14:paraId="5DE10E3B" w14:textId="77777777" w:rsidTr="009500B2">
        <w:tc>
          <w:tcPr>
            <w:tcW w:w="3685" w:type="dxa"/>
          </w:tcPr>
          <w:p w14:paraId="76B2FC91" w14:textId="4988E14F" w:rsidR="00E63A22" w:rsidRDefault="00E63A22" w:rsidP="009500B2">
            <w:pPr>
              <w:keepNext/>
              <w:keepLines/>
            </w:pPr>
            <w:r w:rsidRPr="00D51771">
              <w:rPr>
                <w:rFonts w:eastAsia="Times New Roman" w:cstheme="minorHAnsi"/>
                <w:bCs/>
                <w:color w:val="000000"/>
              </w:rPr>
              <w:t>Ingestion Rate</w:t>
            </w:r>
            <w:r>
              <w:rPr>
                <w:rFonts w:eastAsia="Times New Roman" w:cstheme="minorHAnsi"/>
                <w:bCs/>
                <w:color w:val="000000"/>
              </w:rPr>
              <w:t>, IR (g/day)</w:t>
            </w:r>
          </w:p>
        </w:tc>
        <w:tc>
          <w:tcPr>
            <w:tcW w:w="1080" w:type="dxa"/>
          </w:tcPr>
          <w:p w14:paraId="4B903EDC" w14:textId="3B7C9FF5" w:rsidR="00E63A22" w:rsidRDefault="007D643A" w:rsidP="009500B2">
            <w:pPr>
              <w:keepNext/>
              <w:keepLines/>
              <w:jc w:val="center"/>
            </w:pPr>
            <w:r>
              <w:t>113</w:t>
            </w:r>
            <w:r w:rsidR="00A67F91">
              <w:t>.</w:t>
            </w:r>
            <w:r>
              <w:t>4</w:t>
            </w:r>
          </w:p>
        </w:tc>
        <w:tc>
          <w:tcPr>
            <w:tcW w:w="5220" w:type="dxa"/>
          </w:tcPr>
          <w:p w14:paraId="77C8653F" w14:textId="3594402D" w:rsidR="00E63A22" w:rsidRDefault="00E63A22" w:rsidP="009500B2">
            <w:pPr>
              <w:keepNext/>
              <w:keepLines/>
            </w:pPr>
            <w:r>
              <w:t>Equivalent to ingestion of 4 ounces/day</w:t>
            </w:r>
          </w:p>
        </w:tc>
      </w:tr>
    </w:tbl>
    <w:p w14:paraId="66D53D5A" w14:textId="56B9CE71" w:rsidR="00E63A22" w:rsidRPr="00B149FB" w:rsidRDefault="00E63A22" w:rsidP="001934C5">
      <w:pPr>
        <w:spacing w:before="120" w:after="120" w:line="240" w:lineRule="auto"/>
        <w:jc w:val="both"/>
        <w:rPr>
          <w:sz w:val="24"/>
          <w:szCs w:val="24"/>
        </w:rPr>
      </w:pPr>
      <w:r w:rsidRPr="1CA4B720">
        <w:rPr>
          <w:sz w:val="24"/>
          <w:szCs w:val="24"/>
        </w:rPr>
        <w:t xml:space="preserve">Using the parameters in Table 2.2, the </w:t>
      </w:r>
      <w:r w:rsidR="007D643A" w:rsidRPr="1CA4B720">
        <w:rPr>
          <w:sz w:val="24"/>
          <w:szCs w:val="24"/>
        </w:rPr>
        <w:t>F</w:t>
      </w:r>
      <w:r w:rsidRPr="1CA4B720">
        <w:rPr>
          <w:sz w:val="24"/>
          <w:szCs w:val="24"/>
        </w:rPr>
        <w:t xml:space="preserve">AL </w:t>
      </w:r>
      <w:r w:rsidR="007D643A" w:rsidRPr="1CA4B720">
        <w:rPr>
          <w:sz w:val="24"/>
          <w:szCs w:val="24"/>
        </w:rPr>
        <w:t>(</w:t>
      </w:r>
      <w:bookmarkStart w:id="12" w:name="_Hlk84420392"/>
      <w:r w:rsidR="007D643A" w:rsidRPr="1CA4B720">
        <w:rPr>
          <w:sz w:val="24"/>
          <w:szCs w:val="24"/>
        </w:rPr>
        <w:t>µ</w:t>
      </w:r>
      <w:bookmarkEnd w:id="12"/>
      <w:r w:rsidR="007D643A" w:rsidRPr="1CA4B720">
        <w:rPr>
          <w:sz w:val="24"/>
          <w:szCs w:val="24"/>
        </w:rPr>
        <w:t xml:space="preserve">g/kg) </w:t>
      </w:r>
      <w:r w:rsidRPr="1CA4B720">
        <w:rPr>
          <w:sz w:val="24"/>
          <w:szCs w:val="24"/>
        </w:rPr>
        <w:t>is calculated as follows:</w:t>
      </w:r>
    </w:p>
    <w:p w14:paraId="0D7EBED4" w14:textId="64568820" w:rsidR="00E63A22" w:rsidRPr="009E210F" w:rsidRDefault="00E63A22" w:rsidP="00E63A22">
      <w:pPr>
        <w:spacing w:after="0" w:line="240" w:lineRule="auto"/>
        <w:rPr>
          <w:rFonts w:cs="Arial"/>
        </w:rPr>
      </w:pPr>
      <m:oMathPara>
        <m:oMath>
          <m:r>
            <w:rPr>
              <w:rFonts w:ascii="Cambria Math" w:hAnsi="Cambria Math" w:cs="Arial"/>
            </w:rPr>
            <m:t>FAL=MRL×</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 xml:space="preserve"> µg</m:t>
                  </m:r>
                </m:num>
                <m:den>
                  <m:r>
                    <w:rPr>
                      <w:rFonts w:ascii="Cambria Math" w:hAnsi="Cambria Math" w:cs="Arial"/>
                    </w:rPr>
                    <m:t>mg</m:t>
                  </m:r>
                </m:den>
              </m:f>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BW</m:t>
                  </m:r>
                </m:num>
                <m:den>
                  <m:r>
                    <w:rPr>
                      <w:rFonts w:ascii="Cambria Math" w:hAnsi="Cambria Math" w:cs="Arial"/>
                    </w:rPr>
                    <m:t>IR</m:t>
                  </m:r>
                </m:den>
              </m:f>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g</m:t>
                  </m:r>
                </m:num>
                <m:den>
                  <m:r>
                    <w:rPr>
                      <w:rFonts w:ascii="Cambria Math" w:hAnsi="Cambria Math" w:cs="Arial"/>
                    </w:rPr>
                    <m:t>kg</m:t>
                  </m:r>
                </m:den>
              </m:f>
            </m:e>
          </m:d>
        </m:oMath>
      </m:oMathPara>
    </w:p>
    <w:p w14:paraId="296C2C91" w14:textId="77777777" w:rsidR="008E6672" w:rsidRPr="00A34A85" w:rsidRDefault="008E6672" w:rsidP="00E63A22">
      <w:pPr>
        <w:tabs>
          <w:tab w:val="left" w:pos="8880"/>
        </w:tabs>
        <w:spacing w:after="0" w:line="240" w:lineRule="auto"/>
        <w:jc w:val="both"/>
        <w:rPr>
          <w:rFonts w:cstheme="minorHAnsi"/>
          <w:sz w:val="24"/>
          <w:szCs w:val="24"/>
        </w:rPr>
      </w:pPr>
    </w:p>
    <w:p w14:paraId="7676EE8A" w14:textId="5FFDE6A3" w:rsidR="00E63A22" w:rsidRPr="00A34A85" w:rsidRDefault="008E6672" w:rsidP="1CA4B720">
      <w:pPr>
        <w:tabs>
          <w:tab w:val="left" w:pos="8880"/>
        </w:tabs>
        <w:spacing w:line="240" w:lineRule="auto"/>
        <w:jc w:val="both"/>
        <w:rPr>
          <w:sz w:val="24"/>
          <w:szCs w:val="24"/>
        </w:rPr>
      </w:pPr>
      <w:r w:rsidRPr="1CA4B720">
        <w:rPr>
          <w:sz w:val="24"/>
          <w:szCs w:val="24"/>
        </w:rPr>
        <w:t xml:space="preserve">Section 4 outlines </w:t>
      </w:r>
      <w:r w:rsidR="006F3BB7" w:rsidRPr="1CA4B720">
        <w:rPr>
          <w:sz w:val="24"/>
          <w:szCs w:val="24"/>
        </w:rPr>
        <w:t xml:space="preserve">development of </w:t>
      </w:r>
      <w:r w:rsidRPr="1CA4B720">
        <w:rPr>
          <w:sz w:val="24"/>
          <w:szCs w:val="24"/>
        </w:rPr>
        <w:t>fish consumption advisories for waterbodies where the FAL is exceeded.</w:t>
      </w:r>
      <w:r w:rsidR="001225E1" w:rsidRPr="1CA4B720">
        <w:rPr>
          <w:sz w:val="24"/>
          <w:szCs w:val="24"/>
        </w:rPr>
        <w:t xml:space="preserve"> </w:t>
      </w:r>
    </w:p>
    <w:p w14:paraId="5D48082D" w14:textId="54129466" w:rsidR="000D046E" w:rsidRDefault="004320AA" w:rsidP="004320AA">
      <w:pPr>
        <w:pStyle w:val="Heading1"/>
      </w:pPr>
      <w:bookmarkStart w:id="13" w:name="_Toc162620791"/>
      <w:r>
        <w:t>WATERBODY-SPECIFIC RISK ASSESSMENT</w:t>
      </w:r>
      <w:r w:rsidR="00F27D78">
        <w:t xml:space="preserve"> FOR SURFACE WATER</w:t>
      </w:r>
      <w:bookmarkEnd w:id="13"/>
    </w:p>
    <w:p w14:paraId="5035D11D" w14:textId="390209E9" w:rsidR="00145AF8" w:rsidRDefault="00951DF8" w:rsidP="009362A1">
      <w:pPr>
        <w:spacing w:line="240" w:lineRule="auto"/>
        <w:rPr>
          <w:sz w:val="24"/>
          <w:szCs w:val="24"/>
        </w:rPr>
      </w:pPr>
      <w:r w:rsidRPr="6BE7E070">
        <w:rPr>
          <w:sz w:val="24"/>
          <w:szCs w:val="24"/>
        </w:rPr>
        <w:t>If the surface water concentration for any</w:t>
      </w:r>
      <w:r w:rsidR="00B70072">
        <w:rPr>
          <w:sz w:val="24"/>
          <w:szCs w:val="24"/>
        </w:rPr>
        <w:t xml:space="preserve"> one</w:t>
      </w:r>
      <w:r w:rsidRPr="6BE7E070">
        <w:rPr>
          <w:sz w:val="24"/>
          <w:szCs w:val="24"/>
        </w:rPr>
        <w:t xml:space="preserve"> of the </w:t>
      </w:r>
      <w:r w:rsidR="00B70072">
        <w:rPr>
          <w:sz w:val="24"/>
          <w:szCs w:val="24"/>
        </w:rPr>
        <w:t xml:space="preserve">individual </w:t>
      </w:r>
      <w:r w:rsidRPr="6BE7E070">
        <w:rPr>
          <w:sz w:val="24"/>
          <w:szCs w:val="24"/>
        </w:rPr>
        <w:t xml:space="preserve">PFAS </w:t>
      </w:r>
      <w:r w:rsidR="00B70072">
        <w:rPr>
          <w:sz w:val="24"/>
          <w:szCs w:val="24"/>
        </w:rPr>
        <w:t xml:space="preserve">compounds </w:t>
      </w:r>
      <w:r w:rsidRPr="6BE7E070">
        <w:rPr>
          <w:sz w:val="24"/>
          <w:szCs w:val="24"/>
        </w:rPr>
        <w:t xml:space="preserve">for which there are toxicity criteria exceeds the </w:t>
      </w:r>
      <w:r w:rsidR="00CE12A5" w:rsidRPr="6BE7E070">
        <w:rPr>
          <w:sz w:val="24"/>
          <w:szCs w:val="24"/>
        </w:rPr>
        <w:t xml:space="preserve">PBAL </w:t>
      </w:r>
      <w:r w:rsidRPr="6BE7E070">
        <w:rPr>
          <w:sz w:val="24"/>
          <w:szCs w:val="24"/>
        </w:rPr>
        <w:t xml:space="preserve">of </w:t>
      </w:r>
      <w:r w:rsidR="00DD743F" w:rsidRPr="6BE7E070">
        <w:rPr>
          <w:sz w:val="24"/>
          <w:szCs w:val="24"/>
        </w:rPr>
        <w:t>90</w:t>
      </w:r>
      <w:r w:rsidR="00CE12A5" w:rsidRPr="6BE7E070">
        <w:rPr>
          <w:sz w:val="24"/>
          <w:szCs w:val="24"/>
        </w:rPr>
        <w:t xml:space="preserve"> </w:t>
      </w:r>
      <w:r w:rsidRPr="6BE7E070">
        <w:rPr>
          <w:sz w:val="24"/>
          <w:szCs w:val="24"/>
        </w:rPr>
        <w:t>ng/L, a waterbody-specific risk assessment should be conducted</w:t>
      </w:r>
      <w:r w:rsidR="00BF4687" w:rsidRPr="6BE7E070">
        <w:rPr>
          <w:sz w:val="24"/>
          <w:szCs w:val="24"/>
        </w:rPr>
        <w:t xml:space="preserve">, </w:t>
      </w:r>
      <w:r w:rsidR="00F24E59" w:rsidRPr="6BE7E070">
        <w:rPr>
          <w:sz w:val="24"/>
          <w:szCs w:val="24"/>
        </w:rPr>
        <w:t>to evaluate whether swimming should be restricted</w:t>
      </w:r>
      <w:r w:rsidR="00F24E59" w:rsidRPr="00FC12E8">
        <w:rPr>
          <w:sz w:val="24"/>
          <w:szCs w:val="24"/>
        </w:rPr>
        <w:t>.</w:t>
      </w:r>
      <w:r w:rsidR="00DD743F" w:rsidRPr="00FC12E8">
        <w:rPr>
          <w:sz w:val="24"/>
          <w:szCs w:val="24"/>
        </w:rPr>
        <w:t xml:space="preserve"> </w:t>
      </w:r>
      <w:r w:rsidR="00145AF8" w:rsidRPr="00FC12E8">
        <w:rPr>
          <w:sz w:val="24"/>
          <w:szCs w:val="24"/>
        </w:rPr>
        <w:t xml:space="preserve">The </w:t>
      </w:r>
      <w:r w:rsidR="006F56DA" w:rsidRPr="00FC12E8">
        <w:rPr>
          <w:sz w:val="24"/>
          <w:szCs w:val="24"/>
        </w:rPr>
        <w:t xml:space="preserve">first </w:t>
      </w:r>
      <w:r w:rsidR="00E80D12" w:rsidRPr="00FC12E8">
        <w:rPr>
          <w:sz w:val="24"/>
          <w:szCs w:val="24"/>
        </w:rPr>
        <w:t xml:space="preserve">step </w:t>
      </w:r>
      <w:r w:rsidR="006F56DA" w:rsidRPr="00FC12E8">
        <w:rPr>
          <w:sz w:val="24"/>
          <w:szCs w:val="24"/>
        </w:rPr>
        <w:t>of</w:t>
      </w:r>
      <w:r w:rsidR="00E80D12" w:rsidRPr="00FC12E8">
        <w:rPr>
          <w:sz w:val="24"/>
          <w:szCs w:val="24"/>
        </w:rPr>
        <w:t xml:space="preserve"> a </w:t>
      </w:r>
      <w:r w:rsidR="00145AF8" w:rsidRPr="00FC12E8">
        <w:rPr>
          <w:sz w:val="24"/>
          <w:szCs w:val="24"/>
        </w:rPr>
        <w:t xml:space="preserve">waterbody-specific risk assessment </w:t>
      </w:r>
      <w:r w:rsidR="006F56DA" w:rsidRPr="00FC12E8">
        <w:rPr>
          <w:sz w:val="24"/>
          <w:szCs w:val="24"/>
        </w:rPr>
        <w:t>is to conduct a screening evaluation, as</w:t>
      </w:r>
      <w:r w:rsidR="00145AF8" w:rsidRPr="00FC12E8">
        <w:rPr>
          <w:sz w:val="24"/>
          <w:szCs w:val="24"/>
        </w:rPr>
        <w:t xml:space="preserve"> outlined below.</w:t>
      </w:r>
    </w:p>
    <w:p w14:paraId="2470DF3C" w14:textId="1CF32E50" w:rsidR="00145AF8" w:rsidRPr="00855B9D" w:rsidRDefault="00E80D12" w:rsidP="00E10CDD">
      <w:pPr>
        <w:pStyle w:val="Heading2"/>
      </w:pPr>
      <w:bookmarkStart w:id="14" w:name="_Toc162620792"/>
      <w:r>
        <w:t>3.1 Screening Evaluation</w:t>
      </w:r>
      <w:bookmarkEnd w:id="14"/>
    </w:p>
    <w:p w14:paraId="7EAA8407" w14:textId="1E4307C3" w:rsidR="00F24E59" w:rsidRDefault="00145AF8" w:rsidP="009362A1">
      <w:pPr>
        <w:spacing w:line="240" w:lineRule="auto"/>
        <w:rPr>
          <w:sz w:val="24"/>
          <w:szCs w:val="24"/>
        </w:rPr>
      </w:pPr>
      <w:r w:rsidRPr="6BE7E070">
        <w:rPr>
          <w:sz w:val="24"/>
          <w:szCs w:val="24"/>
        </w:rPr>
        <w:t xml:space="preserve">Depending on the specific PFAS that exceeds the PBAL, and the </w:t>
      </w:r>
      <w:r w:rsidR="00E077F3">
        <w:rPr>
          <w:sz w:val="24"/>
          <w:szCs w:val="24"/>
        </w:rPr>
        <w:t>EPC</w:t>
      </w:r>
      <w:r w:rsidR="00C948FA" w:rsidRPr="6BE7E070">
        <w:rPr>
          <w:sz w:val="24"/>
          <w:szCs w:val="24"/>
        </w:rPr>
        <w:t xml:space="preserve">, swimming may be safe even if one or more PFAS </w:t>
      </w:r>
      <w:r w:rsidR="0061294C" w:rsidRPr="6BE7E070">
        <w:rPr>
          <w:sz w:val="24"/>
          <w:szCs w:val="24"/>
        </w:rPr>
        <w:t>exceeds</w:t>
      </w:r>
      <w:r w:rsidR="00C948FA" w:rsidRPr="6BE7E070">
        <w:rPr>
          <w:sz w:val="24"/>
          <w:szCs w:val="24"/>
        </w:rPr>
        <w:t xml:space="preserve"> the PBAL.</w:t>
      </w:r>
      <w:r w:rsidR="00245B3B" w:rsidRPr="6BE7E070">
        <w:rPr>
          <w:sz w:val="24"/>
          <w:szCs w:val="24"/>
        </w:rPr>
        <w:t xml:space="preserve"> </w:t>
      </w:r>
      <w:r w:rsidR="00DD743F" w:rsidRPr="6BE7E070">
        <w:rPr>
          <w:sz w:val="24"/>
          <w:szCs w:val="24"/>
        </w:rPr>
        <w:t>Therefore, the first step in the risk assessment is to evaluate whether</w:t>
      </w:r>
      <w:r w:rsidR="00E077F3">
        <w:rPr>
          <w:sz w:val="24"/>
          <w:szCs w:val="24"/>
        </w:rPr>
        <w:t xml:space="preserve"> the EPC for</w:t>
      </w:r>
      <w:r w:rsidR="00DD743F" w:rsidRPr="6BE7E070">
        <w:rPr>
          <w:sz w:val="24"/>
          <w:szCs w:val="24"/>
        </w:rPr>
        <w:t xml:space="preserve"> </w:t>
      </w:r>
      <w:r w:rsidR="00E077F3">
        <w:rPr>
          <w:sz w:val="24"/>
          <w:szCs w:val="24"/>
        </w:rPr>
        <w:t xml:space="preserve">any of </w:t>
      </w:r>
      <w:r w:rsidR="00DD743F" w:rsidRPr="6BE7E070">
        <w:rPr>
          <w:sz w:val="24"/>
          <w:szCs w:val="24"/>
        </w:rPr>
        <w:t>the s</w:t>
      </w:r>
      <w:r w:rsidR="00F25B91" w:rsidRPr="6BE7E070">
        <w:rPr>
          <w:sz w:val="24"/>
          <w:szCs w:val="24"/>
        </w:rPr>
        <w:t>even</w:t>
      </w:r>
      <w:r w:rsidR="00DD743F" w:rsidRPr="6BE7E070">
        <w:rPr>
          <w:sz w:val="24"/>
          <w:szCs w:val="24"/>
        </w:rPr>
        <w:t xml:space="preserve"> PFAS with toxicity criteria exceed their specific action levels</w:t>
      </w:r>
      <w:r w:rsidR="00995B57" w:rsidRPr="6BE7E070">
        <w:rPr>
          <w:sz w:val="24"/>
          <w:szCs w:val="24"/>
        </w:rPr>
        <w:t xml:space="preserve">. Action levels for individual PFAS </w:t>
      </w:r>
      <w:r w:rsidR="00B70072">
        <w:rPr>
          <w:sz w:val="24"/>
          <w:szCs w:val="24"/>
        </w:rPr>
        <w:t xml:space="preserve">compounds </w:t>
      </w:r>
      <w:r w:rsidR="00995B57" w:rsidRPr="6BE7E070">
        <w:rPr>
          <w:sz w:val="24"/>
          <w:szCs w:val="24"/>
        </w:rPr>
        <w:t xml:space="preserve">are calculated using input parameters listed in Table 2.2, and toxicity criteria listed in Table 3.1. Action levels are </w:t>
      </w:r>
      <w:r w:rsidR="00DD743F" w:rsidRPr="6BE7E070">
        <w:rPr>
          <w:sz w:val="24"/>
          <w:szCs w:val="24"/>
        </w:rPr>
        <w:t xml:space="preserve">listed in </w:t>
      </w:r>
      <w:r w:rsidR="00B70072">
        <w:rPr>
          <w:sz w:val="24"/>
          <w:szCs w:val="24"/>
        </w:rPr>
        <w:t>T</w:t>
      </w:r>
      <w:r w:rsidR="00B70072" w:rsidRPr="6BE7E070">
        <w:rPr>
          <w:sz w:val="24"/>
          <w:szCs w:val="24"/>
        </w:rPr>
        <w:t xml:space="preserve">able </w:t>
      </w:r>
      <w:r w:rsidR="00622598" w:rsidRPr="6BE7E070">
        <w:rPr>
          <w:sz w:val="24"/>
          <w:szCs w:val="24"/>
        </w:rPr>
        <w:t>3.2.</w:t>
      </w:r>
    </w:p>
    <w:p w14:paraId="35D078C4" w14:textId="45B47954" w:rsidR="00CF3E49" w:rsidRPr="0069698F" w:rsidRDefault="00CF3E49" w:rsidP="00CF3E49">
      <w:pPr>
        <w:spacing w:line="240" w:lineRule="auto"/>
        <w:rPr>
          <w:rStyle w:val="cf01"/>
          <w:rFonts w:asciiTheme="minorHAnsi" w:hAnsiTheme="minorHAnsi" w:cstheme="minorHAnsi"/>
          <w:sz w:val="24"/>
          <w:szCs w:val="24"/>
        </w:rPr>
      </w:pPr>
      <w:r w:rsidRPr="0069698F">
        <w:rPr>
          <w:rStyle w:val="cf01"/>
          <w:rFonts w:asciiTheme="minorHAnsi" w:hAnsiTheme="minorHAnsi" w:cstheme="minorHAnsi"/>
          <w:sz w:val="24"/>
          <w:szCs w:val="24"/>
        </w:rPr>
        <w:t>As shown in Table 3.1</w:t>
      </w:r>
      <w:r>
        <w:rPr>
          <w:rStyle w:val="cf01"/>
          <w:rFonts w:asciiTheme="minorHAnsi" w:hAnsiTheme="minorHAnsi" w:cstheme="minorHAnsi"/>
          <w:sz w:val="24"/>
          <w:szCs w:val="24"/>
        </w:rPr>
        <w:t>, the critical toxicological effects for deriving PFAS toxicity criteria</w:t>
      </w:r>
      <w:r w:rsidRPr="0069698F">
        <w:rPr>
          <w:rStyle w:val="cf01"/>
          <w:rFonts w:asciiTheme="minorHAnsi" w:hAnsiTheme="minorHAnsi" w:cstheme="minorHAnsi"/>
          <w:sz w:val="24"/>
          <w:szCs w:val="24"/>
        </w:rPr>
        <w:t xml:space="preserve"> </w:t>
      </w:r>
      <w:r>
        <w:rPr>
          <w:rStyle w:val="cf01"/>
          <w:rFonts w:asciiTheme="minorHAnsi" w:hAnsiTheme="minorHAnsi" w:cstheme="minorHAnsi"/>
          <w:sz w:val="24"/>
          <w:szCs w:val="24"/>
        </w:rPr>
        <w:t xml:space="preserve">are not unique to individual PFAS compounds. For example, the critical effect for both </w:t>
      </w:r>
      <w:proofErr w:type="spellStart"/>
      <w:r>
        <w:rPr>
          <w:rStyle w:val="cf01"/>
          <w:rFonts w:asciiTheme="minorHAnsi" w:hAnsiTheme="minorHAnsi" w:cstheme="minorHAnsi"/>
          <w:sz w:val="24"/>
          <w:szCs w:val="24"/>
        </w:rPr>
        <w:t>GenX</w:t>
      </w:r>
      <w:proofErr w:type="spellEnd"/>
      <w:r>
        <w:rPr>
          <w:rStyle w:val="cf01"/>
          <w:rFonts w:asciiTheme="minorHAnsi" w:hAnsiTheme="minorHAnsi" w:cstheme="minorHAnsi"/>
          <w:sz w:val="24"/>
          <w:szCs w:val="24"/>
        </w:rPr>
        <w:t xml:space="preserve"> and PFBA </w:t>
      </w:r>
      <w:r>
        <w:rPr>
          <w:rStyle w:val="cf01"/>
          <w:rFonts w:asciiTheme="minorHAnsi" w:hAnsiTheme="minorHAnsi" w:cstheme="minorHAnsi"/>
          <w:sz w:val="24"/>
          <w:szCs w:val="24"/>
        </w:rPr>
        <w:lastRenderedPageBreak/>
        <w:t>involves liver toxicity. Because PFAS compounds may co-occur in the environment, DPH developed action levels applicable to groups of PFAS with similar critical effects.</w:t>
      </w:r>
      <w:r w:rsidR="00D52AF6">
        <w:rPr>
          <w:rStyle w:val="cf01"/>
          <w:rFonts w:asciiTheme="minorHAnsi" w:hAnsiTheme="minorHAnsi" w:cstheme="minorHAnsi"/>
          <w:sz w:val="24"/>
          <w:szCs w:val="24"/>
        </w:rPr>
        <w:t xml:space="preserve"> For </w:t>
      </w:r>
      <w:r w:rsidR="00E077F3">
        <w:rPr>
          <w:rStyle w:val="cf01"/>
          <w:rFonts w:asciiTheme="minorHAnsi" w:hAnsiTheme="minorHAnsi" w:cstheme="minorHAnsi"/>
          <w:sz w:val="24"/>
          <w:szCs w:val="24"/>
        </w:rPr>
        <w:t>these</w:t>
      </w:r>
      <w:r w:rsidR="00D52AF6">
        <w:rPr>
          <w:rStyle w:val="cf01"/>
          <w:rFonts w:asciiTheme="minorHAnsi" w:hAnsiTheme="minorHAnsi" w:cstheme="minorHAnsi"/>
          <w:sz w:val="24"/>
          <w:szCs w:val="24"/>
        </w:rPr>
        <w:t xml:space="preserve">, </w:t>
      </w:r>
      <w:r w:rsidR="00A64B6B">
        <w:rPr>
          <w:rStyle w:val="cf01"/>
          <w:rFonts w:asciiTheme="minorHAnsi" w:hAnsiTheme="minorHAnsi" w:cstheme="minorHAnsi"/>
          <w:sz w:val="24"/>
          <w:szCs w:val="24"/>
        </w:rPr>
        <w:t xml:space="preserve">the action level corresponds to the action level for the most potent PFAS in the group, and </w:t>
      </w:r>
      <w:r w:rsidR="00220886">
        <w:rPr>
          <w:rStyle w:val="cf01"/>
          <w:rFonts w:asciiTheme="minorHAnsi" w:hAnsiTheme="minorHAnsi" w:cstheme="minorHAnsi"/>
          <w:sz w:val="24"/>
          <w:szCs w:val="24"/>
        </w:rPr>
        <w:t>the EPC</w:t>
      </w:r>
      <w:r w:rsidR="00A64B6B">
        <w:rPr>
          <w:rStyle w:val="cf01"/>
          <w:rFonts w:asciiTheme="minorHAnsi" w:hAnsiTheme="minorHAnsi" w:cstheme="minorHAnsi"/>
          <w:sz w:val="24"/>
          <w:szCs w:val="24"/>
        </w:rPr>
        <w:t xml:space="preserve"> </w:t>
      </w:r>
      <w:r w:rsidR="00220886">
        <w:rPr>
          <w:rStyle w:val="cf01"/>
          <w:rFonts w:asciiTheme="minorHAnsi" w:hAnsiTheme="minorHAnsi" w:cstheme="minorHAnsi"/>
          <w:sz w:val="24"/>
          <w:szCs w:val="24"/>
        </w:rPr>
        <w:t>for each PFAS in the group is</w:t>
      </w:r>
      <w:r w:rsidR="00D52AF6">
        <w:rPr>
          <w:rStyle w:val="cf01"/>
          <w:rFonts w:asciiTheme="minorHAnsi" w:hAnsiTheme="minorHAnsi" w:cstheme="minorHAnsi"/>
          <w:sz w:val="24"/>
          <w:szCs w:val="24"/>
        </w:rPr>
        <w:t xml:space="preserve"> </w:t>
      </w:r>
      <w:r w:rsidR="00A64B6B">
        <w:rPr>
          <w:rStyle w:val="cf01"/>
          <w:rFonts w:asciiTheme="minorHAnsi" w:hAnsiTheme="minorHAnsi" w:cstheme="minorHAnsi"/>
          <w:sz w:val="24"/>
          <w:szCs w:val="24"/>
        </w:rPr>
        <w:t>adjusted</w:t>
      </w:r>
      <w:r w:rsidR="00D52AF6">
        <w:rPr>
          <w:rStyle w:val="cf01"/>
          <w:rFonts w:asciiTheme="minorHAnsi" w:hAnsiTheme="minorHAnsi" w:cstheme="minorHAnsi"/>
          <w:sz w:val="24"/>
          <w:szCs w:val="24"/>
        </w:rPr>
        <w:t xml:space="preserve"> to </w:t>
      </w:r>
      <w:r w:rsidR="00A64B6B">
        <w:rPr>
          <w:rStyle w:val="cf01"/>
          <w:rFonts w:asciiTheme="minorHAnsi" w:hAnsiTheme="minorHAnsi" w:cstheme="minorHAnsi"/>
          <w:sz w:val="24"/>
          <w:szCs w:val="24"/>
        </w:rPr>
        <w:t xml:space="preserve">an equipotent </w:t>
      </w:r>
      <w:r w:rsidR="00E077F3">
        <w:rPr>
          <w:rStyle w:val="cf01"/>
          <w:rFonts w:asciiTheme="minorHAnsi" w:hAnsiTheme="minorHAnsi" w:cstheme="minorHAnsi"/>
          <w:sz w:val="24"/>
          <w:szCs w:val="24"/>
        </w:rPr>
        <w:t>EPC</w:t>
      </w:r>
      <w:r w:rsidR="00A64B6B">
        <w:rPr>
          <w:rStyle w:val="cf01"/>
          <w:rFonts w:asciiTheme="minorHAnsi" w:hAnsiTheme="minorHAnsi" w:cstheme="minorHAnsi"/>
          <w:sz w:val="24"/>
          <w:szCs w:val="24"/>
        </w:rPr>
        <w:t xml:space="preserve"> for </w:t>
      </w:r>
      <w:r w:rsidR="00D52AF6">
        <w:rPr>
          <w:rStyle w:val="cf01"/>
          <w:rFonts w:asciiTheme="minorHAnsi" w:hAnsiTheme="minorHAnsi" w:cstheme="minorHAnsi"/>
          <w:sz w:val="24"/>
          <w:szCs w:val="24"/>
        </w:rPr>
        <w:t>the most potent PFAS in the group</w:t>
      </w:r>
      <w:r w:rsidR="00A64B6B">
        <w:rPr>
          <w:rStyle w:val="cf01"/>
          <w:rFonts w:asciiTheme="minorHAnsi" w:hAnsiTheme="minorHAnsi" w:cstheme="minorHAnsi"/>
          <w:sz w:val="24"/>
          <w:szCs w:val="24"/>
        </w:rPr>
        <w:t xml:space="preserve">, to calculate a total PFAS </w:t>
      </w:r>
      <w:r w:rsidR="00220886">
        <w:rPr>
          <w:rStyle w:val="cf01"/>
          <w:rFonts w:asciiTheme="minorHAnsi" w:hAnsiTheme="minorHAnsi" w:cstheme="minorHAnsi"/>
          <w:sz w:val="24"/>
          <w:szCs w:val="24"/>
        </w:rPr>
        <w:t>EPC</w:t>
      </w:r>
      <w:r w:rsidR="00A64B6B">
        <w:rPr>
          <w:rStyle w:val="cf01"/>
          <w:rFonts w:asciiTheme="minorHAnsi" w:hAnsiTheme="minorHAnsi" w:cstheme="minorHAnsi"/>
          <w:sz w:val="24"/>
          <w:szCs w:val="24"/>
        </w:rPr>
        <w:t xml:space="preserve"> for the group</w:t>
      </w:r>
      <w:r w:rsidR="00D52AF6">
        <w:rPr>
          <w:rStyle w:val="cf01"/>
          <w:rFonts w:asciiTheme="minorHAnsi" w:hAnsiTheme="minorHAnsi" w:cstheme="minorHAnsi"/>
          <w:sz w:val="24"/>
          <w:szCs w:val="24"/>
        </w:rPr>
        <w:t xml:space="preserve">. For example, </w:t>
      </w:r>
      <w:r w:rsidR="00A64B6B">
        <w:rPr>
          <w:rStyle w:val="cf01"/>
          <w:rFonts w:asciiTheme="minorHAnsi" w:hAnsiTheme="minorHAnsi" w:cstheme="minorHAnsi"/>
          <w:sz w:val="24"/>
          <w:szCs w:val="24"/>
        </w:rPr>
        <w:t>considering</w:t>
      </w:r>
      <w:r w:rsidR="00D52AF6">
        <w:rPr>
          <w:rStyle w:val="cf01"/>
          <w:rFonts w:asciiTheme="minorHAnsi" w:hAnsiTheme="minorHAnsi" w:cstheme="minorHAnsi"/>
          <w:sz w:val="24"/>
          <w:szCs w:val="24"/>
        </w:rPr>
        <w:t xml:space="preserve"> </w:t>
      </w:r>
      <w:proofErr w:type="spellStart"/>
      <w:r w:rsidR="00D52AF6">
        <w:rPr>
          <w:rStyle w:val="cf01"/>
          <w:rFonts w:asciiTheme="minorHAnsi" w:hAnsiTheme="minorHAnsi" w:cstheme="minorHAnsi"/>
          <w:sz w:val="24"/>
          <w:szCs w:val="24"/>
        </w:rPr>
        <w:t>PFHxS</w:t>
      </w:r>
      <w:proofErr w:type="spellEnd"/>
      <w:r w:rsidR="00D52AF6">
        <w:rPr>
          <w:rStyle w:val="cf01"/>
          <w:rFonts w:asciiTheme="minorHAnsi" w:hAnsiTheme="minorHAnsi" w:cstheme="minorHAnsi"/>
          <w:sz w:val="24"/>
          <w:szCs w:val="24"/>
        </w:rPr>
        <w:t xml:space="preserve">, PFBA, and PFBS, for which the critical </w:t>
      </w:r>
      <w:r w:rsidR="00A64B6B">
        <w:rPr>
          <w:rStyle w:val="cf01"/>
          <w:rFonts w:asciiTheme="minorHAnsi" w:hAnsiTheme="minorHAnsi" w:cstheme="minorHAnsi"/>
          <w:sz w:val="24"/>
          <w:szCs w:val="24"/>
        </w:rPr>
        <w:t xml:space="preserve">effect involves the thyroid, </w:t>
      </w:r>
      <w:r w:rsidR="00220886">
        <w:rPr>
          <w:rStyle w:val="cf01"/>
          <w:rFonts w:asciiTheme="minorHAnsi" w:hAnsiTheme="minorHAnsi" w:cstheme="minorHAnsi"/>
          <w:sz w:val="24"/>
          <w:szCs w:val="24"/>
        </w:rPr>
        <w:t>the EPCs for</w:t>
      </w:r>
      <w:r w:rsidR="00A64B6B">
        <w:rPr>
          <w:rStyle w:val="cf01"/>
          <w:rFonts w:asciiTheme="minorHAnsi" w:hAnsiTheme="minorHAnsi" w:cstheme="minorHAnsi"/>
          <w:sz w:val="24"/>
          <w:szCs w:val="24"/>
        </w:rPr>
        <w:t xml:space="preserve"> PFBA and PFBS are adjusted to represent an equivalent </w:t>
      </w:r>
      <w:proofErr w:type="spellStart"/>
      <w:r w:rsidR="00A64B6B">
        <w:rPr>
          <w:rStyle w:val="cf01"/>
          <w:rFonts w:asciiTheme="minorHAnsi" w:hAnsiTheme="minorHAnsi" w:cstheme="minorHAnsi"/>
          <w:sz w:val="24"/>
          <w:szCs w:val="24"/>
        </w:rPr>
        <w:t>PFHxS</w:t>
      </w:r>
      <w:proofErr w:type="spellEnd"/>
      <w:r w:rsidR="00A64B6B">
        <w:rPr>
          <w:rStyle w:val="cf01"/>
          <w:rFonts w:asciiTheme="minorHAnsi" w:hAnsiTheme="minorHAnsi" w:cstheme="minorHAnsi"/>
          <w:sz w:val="24"/>
          <w:szCs w:val="24"/>
        </w:rPr>
        <w:t xml:space="preserve"> </w:t>
      </w:r>
      <w:r w:rsidR="00220886">
        <w:rPr>
          <w:rStyle w:val="cf01"/>
          <w:rFonts w:asciiTheme="minorHAnsi" w:hAnsiTheme="minorHAnsi" w:cstheme="minorHAnsi"/>
          <w:sz w:val="24"/>
          <w:szCs w:val="24"/>
        </w:rPr>
        <w:t>EPC</w:t>
      </w:r>
      <w:r w:rsidR="00A64B6B">
        <w:rPr>
          <w:rStyle w:val="cf01"/>
          <w:rFonts w:asciiTheme="minorHAnsi" w:hAnsiTheme="minorHAnsi" w:cstheme="minorHAnsi"/>
          <w:sz w:val="24"/>
          <w:szCs w:val="24"/>
        </w:rPr>
        <w:t xml:space="preserve">, to calculate a total equivalent </w:t>
      </w:r>
      <w:proofErr w:type="spellStart"/>
      <w:r w:rsidR="00A64B6B">
        <w:rPr>
          <w:rStyle w:val="cf01"/>
          <w:rFonts w:asciiTheme="minorHAnsi" w:hAnsiTheme="minorHAnsi" w:cstheme="minorHAnsi"/>
          <w:sz w:val="24"/>
          <w:szCs w:val="24"/>
        </w:rPr>
        <w:t>PFHxS</w:t>
      </w:r>
      <w:proofErr w:type="spellEnd"/>
      <w:r w:rsidR="00A64B6B">
        <w:rPr>
          <w:rStyle w:val="cf01"/>
          <w:rFonts w:asciiTheme="minorHAnsi" w:hAnsiTheme="minorHAnsi" w:cstheme="minorHAnsi"/>
          <w:sz w:val="24"/>
          <w:szCs w:val="24"/>
        </w:rPr>
        <w:t xml:space="preserve"> </w:t>
      </w:r>
      <w:r w:rsidR="00220886">
        <w:rPr>
          <w:rStyle w:val="cf01"/>
          <w:rFonts w:asciiTheme="minorHAnsi" w:hAnsiTheme="minorHAnsi" w:cstheme="minorHAnsi"/>
          <w:sz w:val="24"/>
          <w:szCs w:val="24"/>
        </w:rPr>
        <w:t>EPC</w:t>
      </w:r>
      <w:r w:rsidR="00A64B6B">
        <w:rPr>
          <w:rStyle w:val="cf01"/>
          <w:rFonts w:asciiTheme="minorHAnsi" w:hAnsiTheme="minorHAnsi" w:cstheme="minorHAnsi"/>
          <w:sz w:val="24"/>
          <w:szCs w:val="24"/>
        </w:rPr>
        <w:t>.</w:t>
      </w:r>
    </w:p>
    <w:p w14:paraId="0FBCE69E" w14:textId="6A99FA2F" w:rsidR="00B47905" w:rsidRPr="00CF3E49" w:rsidRDefault="00B47905" w:rsidP="00CF3E49">
      <w:pPr>
        <w:spacing w:line="240" w:lineRule="auto"/>
        <w:rPr>
          <w:rFonts w:cstheme="minorHAnsi"/>
          <w:sz w:val="24"/>
          <w:szCs w:val="24"/>
        </w:rPr>
      </w:pPr>
    </w:p>
    <w:p w14:paraId="334BD22F" w14:textId="565C37ED" w:rsidR="00995B57" w:rsidRPr="00AA24DA" w:rsidRDefault="00995B57" w:rsidP="00995B57">
      <w:pPr>
        <w:keepNext/>
        <w:keepLines/>
        <w:spacing w:after="0"/>
        <w:rPr>
          <w:b/>
          <w:bCs/>
          <w:sz w:val="24"/>
          <w:szCs w:val="24"/>
        </w:rPr>
      </w:pPr>
      <w:r w:rsidRPr="00AA24DA">
        <w:rPr>
          <w:b/>
          <w:bCs/>
          <w:sz w:val="24"/>
          <w:szCs w:val="24"/>
        </w:rPr>
        <w:t>Table 3.1.  PFAS Toxicity Criteria for Waterbody-Specific Risk Assessments</w:t>
      </w:r>
    </w:p>
    <w:tbl>
      <w:tblPr>
        <w:tblStyle w:val="TableGrid"/>
        <w:tblW w:w="9535" w:type="dxa"/>
        <w:tblLook w:val="04A0" w:firstRow="1" w:lastRow="0" w:firstColumn="1" w:lastColumn="0" w:noHBand="0" w:noVBand="1"/>
      </w:tblPr>
      <w:tblGrid>
        <w:gridCol w:w="1615"/>
        <w:gridCol w:w="1350"/>
        <w:gridCol w:w="2970"/>
        <w:gridCol w:w="1890"/>
        <w:gridCol w:w="1710"/>
      </w:tblGrid>
      <w:tr w:rsidR="00995B57" w14:paraId="5EB0B56B" w14:textId="77777777" w:rsidTr="00E446F5">
        <w:tc>
          <w:tcPr>
            <w:tcW w:w="1615" w:type="dxa"/>
            <w:tcBorders>
              <w:bottom w:val="double" w:sz="4" w:space="0" w:color="auto"/>
            </w:tcBorders>
            <w:shd w:val="clear" w:color="auto" w:fill="DBE5F1" w:themeFill="accent1" w:themeFillTint="33"/>
            <w:vAlign w:val="bottom"/>
          </w:tcPr>
          <w:p w14:paraId="7ECB1FD9" w14:textId="77777777" w:rsidR="00995B57" w:rsidRPr="00AB2B4F" w:rsidRDefault="00995B57">
            <w:pPr>
              <w:keepNext/>
              <w:keepLines/>
              <w:rPr>
                <w:b/>
                <w:bCs/>
              </w:rPr>
            </w:pPr>
            <w:r w:rsidRPr="00AB2B4F">
              <w:rPr>
                <w:b/>
                <w:bCs/>
              </w:rPr>
              <w:t>Contaminant</w:t>
            </w:r>
          </w:p>
        </w:tc>
        <w:tc>
          <w:tcPr>
            <w:tcW w:w="1350" w:type="dxa"/>
            <w:tcBorders>
              <w:bottom w:val="double" w:sz="4" w:space="0" w:color="auto"/>
            </w:tcBorders>
            <w:shd w:val="clear" w:color="auto" w:fill="DBE5F1" w:themeFill="accent1" w:themeFillTint="33"/>
          </w:tcPr>
          <w:p w14:paraId="5191D2AC" w14:textId="77777777" w:rsidR="00995B57" w:rsidRPr="00AB2B4F" w:rsidRDefault="00995B57">
            <w:pPr>
              <w:keepNext/>
              <w:keepLines/>
              <w:jc w:val="center"/>
              <w:rPr>
                <w:b/>
                <w:bCs/>
              </w:rPr>
            </w:pPr>
            <w:r w:rsidRPr="00AB2B4F">
              <w:rPr>
                <w:b/>
                <w:bCs/>
              </w:rPr>
              <w:t>Value</w:t>
            </w:r>
          </w:p>
          <w:p w14:paraId="624C00A6" w14:textId="77777777" w:rsidR="00995B57" w:rsidRPr="00AB2B4F" w:rsidRDefault="00995B57">
            <w:pPr>
              <w:keepNext/>
              <w:keepLines/>
              <w:jc w:val="center"/>
              <w:rPr>
                <w:b/>
                <w:bCs/>
              </w:rPr>
            </w:pPr>
            <w:r w:rsidRPr="00AB2B4F">
              <w:rPr>
                <w:b/>
                <w:bCs/>
              </w:rPr>
              <w:t>(mg/kg-day)</w:t>
            </w:r>
          </w:p>
        </w:tc>
        <w:tc>
          <w:tcPr>
            <w:tcW w:w="2970" w:type="dxa"/>
            <w:tcBorders>
              <w:bottom w:val="double" w:sz="4" w:space="0" w:color="auto"/>
            </w:tcBorders>
            <w:shd w:val="clear" w:color="auto" w:fill="DBE5F1" w:themeFill="accent1" w:themeFillTint="33"/>
            <w:vAlign w:val="bottom"/>
          </w:tcPr>
          <w:p w14:paraId="18C1DD4A" w14:textId="77777777" w:rsidR="00995B57" w:rsidRPr="00AB2B4F" w:rsidRDefault="00995B57" w:rsidP="00E446F5">
            <w:pPr>
              <w:keepNext/>
              <w:keepLines/>
              <w:jc w:val="center"/>
              <w:rPr>
                <w:b/>
                <w:bCs/>
              </w:rPr>
            </w:pPr>
            <w:r w:rsidRPr="00AB2B4F">
              <w:rPr>
                <w:b/>
                <w:bCs/>
              </w:rPr>
              <w:t>Critical Effect</w:t>
            </w:r>
          </w:p>
        </w:tc>
        <w:tc>
          <w:tcPr>
            <w:tcW w:w="1890" w:type="dxa"/>
            <w:tcBorders>
              <w:bottom w:val="double" w:sz="4" w:space="0" w:color="auto"/>
            </w:tcBorders>
            <w:shd w:val="clear" w:color="auto" w:fill="DBE5F1" w:themeFill="accent1" w:themeFillTint="33"/>
            <w:vAlign w:val="bottom"/>
          </w:tcPr>
          <w:p w14:paraId="60531275" w14:textId="77777777" w:rsidR="00995B57" w:rsidRPr="00AB2B4F" w:rsidRDefault="00995B57">
            <w:pPr>
              <w:keepNext/>
              <w:keepLines/>
              <w:jc w:val="center"/>
              <w:rPr>
                <w:b/>
                <w:bCs/>
              </w:rPr>
            </w:pPr>
            <w:r w:rsidRPr="00AB2B4F">
              <w:rPr>
                <w:b/>
                <w:bCs/>
              </w:rPr>
              <w:t>Type</w:t>
            </w:r>
          </w:p>
        </w:tc>
        <w:tc>
          <w:tcPr>
            <w:tcW w:w="1710" w:type="dxa"/>
            <w:tcBorders>
              <w:bottom w:val="double" w:sz="4" w:space="0" w:color="auto"/>
            </w:tcBorders>
            <w:shd w:val="clear" w:color="auto" w:fill="DBE5F1" w:themeFill="accent1" w:themeFillTint="33"/>
            <w:vAlign w:val="bottom"/>
          </w:tcPr>
          <w:p w14:paraId="6DF803A5" w14:textId="77777777" w:rsidR="00995B57" w:rsidRPr="00AB2B4F" w:rsidRDefault="00995B57">
            <w:pPr>
              <w:keepNext/>
              <w:keepLines/>
              <w:jc w:val="center"/>
              <w:rPr>
                <w:b/>
                <w:bCs/>
              </w:rPr>
            </w:pPr>
            <w:r w:rsidRPr="00AB2B4F">
              <w:rPr>
                <w:b/>
                <w:bCs/>
              </w:rPr>
              <w:t>Source</w:t>
            </w:r>
          </w:p>
        </w:tc>
      </w:tr>
      <w:tr w:rsidR="00EE20B7" w14:paraId="28F6D3CB" w14:textId="77777777" w:rsidTr="00852811">
        <w:tc>
          <w:tcPr>
            <w:tcW w:w="1615" w:type="dxa"/>
            <w:tcBorders>
              <w:top w:val="single" w:sz="4" w:space="0" w:color="auto"/>
            </w:tcBorders>
            <w:vAlign w:val="center"/>
          </w:tcPr>
          <w:p w14:paraId="7A4513BE" w14:textId="55C86671" w:rsidR="00EE20B7" w:rsidRDefault="00EE20B7" w:rsidP="00852811">
            <w:pPr>
              <w:keepNext/>
              <w:keepLines/>
            </w:pPr>
            <w:proofErr w:type="spellStart"/>
            <w:r>
              <w:t>GenX</w:t>
            </w:r>
            <w:proofErr w:type="spellEnd"/>
          </w:p>
        </w:tc>
        <w:tc>
          <w:tcPr>
            <w:tcW w:w="1350" w:type="dxa"/>
            <w:tcBorders>
              <w:top w:val="single" w:sz="4" w:space="0" w:color="auto"/>
            </w:tcBorders>
            <w:vAlign w:val="center"/>
          </w:tcPr>
          <w:p w14:paraId="47135210" w14:textId="040ED4B9" w:rsidR="00EE20B7" w:rsidRDefault="00EE20B7" w:rsidP="00852811">
            <w:pPr>
              <w:keepNext/>
              <w:keepLines/>
              <w:jc w:val="center"/>
            </w:pPr>
            <w:r>
              <w:t>3 x 10</w:t>
            </w:r>
            <w:r w:rsidRPr="00AB2B4F">
              <w:rPr>
                <w:vertAlign w:val="superscript"/>
              </w:rPr>
              <w:t>-</w:t>
            </w:r>
            <w:r>
              <w:rPr>
                <w:vertAlign w:val="superscript"/>
              </w:rPr>
              <w:t>6</w:t>
            </w:r>
          </w:p>
        </w:tc>
        <w:tc>
          <w:tcPr>
            <w:tcW w:w="2970" w:type="dxa"/>
            <w:tcBorders>
              <w:top w:val="single" w:sz="4" w:space="0" w:color="auto"/>
            </w:tcBorders>
            <w:vAlign w:val="center"/>
          </w:tcPr>
          <w:p w14:paraId="4B401B56" w14:textId="48035E40" w:rsidR="00EE20B7" w:rsidRDefault="00EE20B7" w:rsidP="00852811">
            <w:pPr>
              <w:keepNext/>
              <w:keepLines/>
              <w:jc w:val="center"/>
            </w:pPr>
            <w:r>
              <w:t>Liver toxicity</w:t>
            </w:r>
          </w:p>
        </w:tc>
        <w:tc>
          <w:tcPr>
            <w:tcW w:w="1890" w:type="dxa"/>
            <w:vMerge w:val="restart"/>
            <w:vAlign w:val="center"/>
          </w:tcPr>
          <w:p w14:paraId="75657ED1" w14:textId="6A0A767E" w:rsidR="00EE20B7" w:rsidRDefault="00EE20B7" w:rsidP="00852811">
            <w:pPr>
              <w:keepNext/>
              <w:keepLines/>
              <w:jc w:val="center"/>
            </w:pPr>
            <w:r>
              <w:t xml:space="preserve">Chronic </w:t>
            </w:r>
            <w:proofErr w:type="spellStart"/>
            <w:r>
              <w:t>RfD</w:t>
            </w:r>
            <w:proofErr w:type="spellEnd"/>
          </w:p>
        </w:tc>
        <w:tc>
          <w:tcPr>
            <w:tcW w:w="1710" w:type="dxa"/>
            <w:tcBorders>
              <w:top w:val="single" w:sz="4" w:space="0" w:color="auto"/>
            </w:tcBorders>
          </w:tcPr>
          <w:p w14:paraId="51BF0A31" w14:textId="400E9300" w:rsidR="00EE20B7" w:rsidRDefault="00EE20B7" w:rsidP="00852811">
            <w:pPr>
              <w:keepNext/>
              <w:keepLines/>
              <w:jc w:val="center"/>
            </w:pPr>
            <w:r>
              <w:t>US EPA</w:t>
            </w:r>
            <w:r w:rsidRPr="00AB2B4F">
              <w:t>, 2021</w:t>
            </w:r>
            <w:r>
              <w:t>a</w:t>
            </w:r>
          </w:p>
        </w:tc>
      </w:tr>
      <w:tr w:rsidR="00EE20B7" w14:paraId="03B2A44A" w14:textId="77777777">
        <w:tc>
          <w:tcPr>
            <w:tcW w:w="1615" w:type="dxa"/>
            <w:tcBorders>
              <w:top w:val="single" w:sz="4" w:space="0" w:color="auto"/>
            </w:tcBorders>
            <w:vAlign w:val="center"/>
          </w:tcPr>
          <w:p w14:paraId="5632197B" w14:textId="7297F02B" w:rsidR="00EE20B7" w:rsidRPr="00AB2B4F" w:rsidRDefault="00EE20B7" w:rsidP="00852811">
            <w:pPr>
              <w:keepNext/>
              <w:keepLines/>
            </w:pPr>
            <w:r>
              <w:t>PFBA</w:t>
            </w:r>
          </w:p>
        </w:tc>
        <w:tc>
          <w:tcPr>
            <w:tcW w:w="1350" w:type="dxa"/>
            <w:tcBorders>
              <w:top w:val="single" w:sz="4" w:space="0" w:color="auto"/>
            </w:tcBorders>
            <w:vAlign w:val="center"/>
          </w:tcPr>
          <w:p w14:paraId="5B086F6E" w14:textId="7FC3A563" w:rsidR="00EE20B7" w:rsidRDefault="00EE20B7" w:rsidP="00852811">
            <w:pPr>
              <w:keepNext/>
              <w:keepLines/>
              <w:jc w:val="center"/>
            </w:pPr>
            <w:r>
              <w:t>1 x 10</w:t>
            </w:r>
            <w:r w:rsidRPr="00AB2B4F">
              <w:rPr>
                <w:vertAlign w:val="superscript"/>
              </w:rPr>
              <w:t>-</w:t>
            </w:r>
            <w:r>
              <w:rPr>
                <w:vertAlign w:val="superscript"/>
              </w:rPr>
              <w:t>3</w:t>
            </w:r>
          </w:p>
        </w:tc>
        <w:tc>
          <w:tcPr>
            <w:tcW w:w="2970" w:type="dxa"/>
            <w:tcBorders>
              <w:top w:val="single" w:sz="4" w:space="0" w:color="auto"/>
            </w:tcBorders>
            <w:vAlign w:val="center"/>
          </w:tcPr>
          <w:p w14:paraId="605C6DFF" w14:textId="77777777" w:rsidR="00EE20B7" w:rsidRDefault="00EE20B7" w:rsidP="00852811">
            <w:pPr>
              <w:keepNext/>
              <w:keepLines/>
              <w:jc w:val="center"/>
            </w:pPr>
            <w:r>
              <w:t>↓ Thyroxine</w:t>
            </w:r>
          </w:p>
          <w:p w14:paraId="6DA7B071" w14:textId="7E465553" w:rsidR="00EE20B7" w:rsidRPr="00D43ABE" w:rsidRDefault="00EE20B7" w:rsidP="00852811">
            <w:pPr>
              <w:keepNext/>
              <w:keepLines/>
              <w:jc w:val="center"/>
            </w:pPr>
            <w:r>
              <w:t>↑ Liver hypertrophy</w:t>
            </w:r>
          </w:p>
        </w:tc>
        <w:tc>
          <w:tcPr>
            <w:tcW w:w="1890" w:type="dxa"/>
            <w:vMerge/>
            <w:vAlign w:val="center"/>
          </w:tcPr>
          <w:p w14:paraId="5528C4F4" w14:textId="6AA57F1D" w:rsidR="00EE20B7" w:rsidRDefault="00EE20B7" w:rsidP="00852811">
            <w:pPr>
              <w:keepNext/>
              <w:keepLines/>
              <w:jc w:val="center"/>
            </w:pPr>
          </w:p>
        </w:tc>
        <w:tc>
          <w:tcPr>
            <w:tcW w:w="1710" w:type="dxa"/>
            <w:tcBorders>
              <w:top w:val="single" w:sz="4" w:space="0" w:color="auto"/>
            </w:tcBorders>
            <w:vAlign w:val="center"/>
          </w:tcPr>
          <w:p w14:paraId="18189FAE" w14:textId="1158CA17" w:rsidR="00EE20B7" w:rsidRDefault="00EE20B7" w:rsidP="00852811">
            <w:pPr>
              <w:keepNext/>
              <w:keepLines/>
              <w:jc w:val="center"/>
            </w:pPr>
            <w:r>
              <w:t>US EPA</w:t>
            </w:r>
            <w:r w:rsidRPr="00AB2B4F">
              <w:t>, 202</w:t>
            </w:r>
            <w:r>
              <w:t>2</w:t>
            </w:r>
          </w:p>
        </w:tc>
      </w:tr>
      <w:tr w:rsidR="00EE20B7" w14:paraId="1DA70E9E" w14:textId="77777777">
        <w:tc>
          <w:tcPr>
            <w:tcW w:w="1615" w:type="dxa"/>
            <w:tcBorders>
              <w:top w:val="single" w:sz="4" w:space="0" w:color="auto"/>
            </w:tcBorders>
            <w:vAlign w:val="center"/>
          </w:tcPr>
          <w:p w14:paraId="3C2CBA0A" w14:textId="77777777" w:rsidR="00EE20B7" w:rsidRPr="00AB2B4F" w:rsidRDefault="00EE20B7" w:rsidP="00852811">
            <w:pPr>
              <w:keepNext/>
              <w:keepLines/>
            </w:pPr>
            <w:r w:rsidRPr="00AB2B4F">
              <w:t>PF</w:t>
            </w:r>
            <w:r>
              <w:t>B</w:t>
            </w:r>
            <w:r w:rsidRPr="00AB2B4F">
              <w:t>S</w:t>
            </w:r>
          </w:p>
        </w:tc>
        <w:tc>
          <w:tcPr>
            <w:tcW w:w="1350" w:type="dxa"/>
            <w:tcBorders>
              <w:top w:val="single" w:sz="4" w:space="0" w:color="auto"/>
            </w:tcBorders>
            <w:vAlign w:val="center"/>
          </w:tcPr>
          <w:p w14:paraId="1AE9E841" w14:textId="14CF49A8" w:rsidR="00EE20B7" w:rsidRPr="00AB2B4F" w:rsidRDefault="00EE20B7" w:rsidP="00852811">
            <w:pPr>
              <w:keepNext/>
              <w:keepLines/>
              <w:jc w:val="center"/>
            </w:pPr>
            <w:r>
              <w:t>3 x 10</w:t>
            </w:r>
            <w:r w:rsidRPr="00AB2B4F">
              <w:rPr>
                <w:vertAlign w:val="superscript"/>
              </w:rPr>
              <w:t>-</w:t>
            </w:r>
            <w:r>
              <w:rPr>
                <w:vertAlign w:val="superscript"/>
              </w:rPr>
              <w:t>4</w:t>
            </w:r>
          </w:p>
        </w:tc>
        <w:tc>
          <w:tcPr>
            <w:tcW w:w="2970" w:type="dxa"/>
            <w:tcBorders>
              <w:top w:val="single" w:sz="4" w:space="0" w:color="auto"/>
            </w:tcBorders>
            <w:vAlign w:val="center"/>
          </w:tcPr>
          <w:p w14:paraId="1A7FB831" w14:textId="77777777" w:rsidR="00EE20B7" w:rsidRPr="00F04FE2" w:rsidRDefault="00EE20B7" w:rsidP="00852811">
            <w:pPr>
              <w:keepNext/>
              <w:keepLines/>
              <w:jc w:val="center"/>
            </w:pPr>
            <w:r w:rsidRPr="00D43ABE">
              <w:t>Thyroid hormone perturbation</w:t>
            </w:r>
          </w:p>
        </w:tc>
        <w:tc>
          <w:tcPr>
            <w:tcW w:w="1890" w:type="dxa"/>
            <w:vMerge/>
            <w:vAlign w:val="center"/>
          </w:tcPr>
          <w:p w14:paraId="30C9FA95" w14:textId="7B1E371C" w:rsidR="00EE20B7" w:rsidRPr="00AB2B4F" w:rsidRDefault="00EE20B7" w:rsidP="00852811">
            <w:pPr>
              <w:keepNext/>
              <w:keepLines/>
              <w:jc w:val="center"/>
            </w:pPr>
          </w:p>
        </w:tc>
        <w:tc>
          <w:tcPr>
            <w:tcW w:w="1710" w:type="dxa"/>
            <w:tcBorders>
              <w:top w:val="single" w:sz="4" w:space="0" w:color="auto"/>
            </w:tcBorders>
            <w:vAlign w:val="center"/>
          </w:tcPr>
          <w:p w14:paraId="4F9EE43E" w14:textId="785F4787" w:rsidR="00EE20B7" w:rsidRPr="00AB2B4F" w:rsidRDefault="00EE20B7" w:rsidP="00852811">
            <w:pPr>
              <w:keepNext/>
              <w:keepLines/>
              <w:jc w:val="center"/>
            </w:pPr>
            <w:r>
              <w:t>US EPA</w:t>
            </w:r>
            <w:r w:rsidRPr="00AB2B4F">
              <w:t>, 2021</w:t>
            </w:r>
            <w:r>
              <w:t>b</w:t>
            </w:r>
          </w:p>
        </w:tc>
      </w:tr>
      <w:tr w:rsidR="00852811" w14:paraId="18973118" w14:textId="77777777" w:rsidTr="00E446F5">
        <w:tc>
          <w:tcPr>
            <w:tcW w:w="1615" w:type="dxa"/>
          </w:tcPr>
          <w:p w14:paraId="2CE8930C" w14:textId="77777777" w:rsidR="00852811" w:rsidRPr="00AB2B4F" w:rsidRDefault="00852811" w:rsidP="00852811">
            <w:pPr>
              <w:keepNext/>
              <w:keepLines/>
            </w:pPr>
            <w:proofErr w:type="spellStart"/>
            <w:r w:rsidRPr="00AB2B4F">
              <w:t>PFHxS</w:t>
            </w:r>
            <w:proofErr w:type="spellEnd"/>
          </w:p>
        </w:tc>
        <w:tc>
          <w:tcPr>
            <w:tcW w:w="1350" w:type="dxa"/>
          </w:tcPr>
          <w:p w14:paraId="715E106B" w14:textId="77777777" w:rsidR="00852811" w:rsidRDefault="00852811" w:rsidP="00852811">
            <w:pPr>
              <w:keepNext/>
              <w:keepLines/>
              <w:jc w:val="center"/>
            </w:pPr>
            <w:r>
              <w:t>2 x 10</w:t>
            </w:r>
            <w:r w:rsidRPr="00AB2B4F">
              <w:rPr>
                <w:vertAlign w:val="superscript"/>
              </w:rPr>
              <w:t>-5</w:t>
            </w:r>
          </w:p>
        </w:tc>
        <w:tc>
          <w:tcPr>
            <w:tcW w:w="2970" w:type="dxa"/>
          </w:tcPr>
          <w:p w14:paraId="40A8C9A3" w14:textId="77777777" w:rsidR="00852811" w:rsidRPr="00F04FE2" w:rsidRDefault="00852811" w:rsidP="00852811">
            <w:pPr>
              <w:keepNext/>
              <w:keepLines/>
              <w:jc w:val="center"/>
            </w:pPr>
            <w:r w:rsidRPr="00F04FE2">
              <w:rPr>
                <w:rFonts w:cs="Arial"/>
              </w:rPr>
              <w:t>Thyroid follicular cell damage</w:t>
            </w:r>
          </w:p>
        </w:tc>
        <w:tc>
          <w:tcPr>
            <w:tcW w:w="1890" w:type="dxa"/>
            <w:vMerge w:val="restart"/>
            <w:vAlign w:val="center"/>
          </w:tcPr>
          <w:p w14:paraId="264C5A4B" w14:textId="77777777" w:rsidR="00852811" w:rsidRPr="00AB2B4F" w:rsidRDefault="00852811" w:rsidP="00852811">
            <w:pPr>
              <w:keepNext/>
              <w:keepLines/>
              <w:jc w:val="center"/>
            </w:pPr>
            <w:r w:rsidRPr="00AB2B4F">
              <w:t>Intermediate</w:t>
            </w:r>
            <w:r>
              <w:t xml:space="preserve"> MRL</w:t>
            </w:r>
          </w:p>
        </w:tc>
        <w:tc>
          <w:tcPr>
            <w:tcW w:w="1710" w:type="dxa"/>
            <w:vMerge w:val="restart"/>
            <w:vAlign w:val="center"/>
          </w:tcPr>
          <w:p w14:paraId="5A30AE2F" w14:textId="77777777" w:rsidR="00852811" w:rsidRPr="00AB2B4F" w:rsidRDefault="00852811" w:rsidP="00852811">
            <w:pPr>
              <w:keepNext/>
              <w:keepLines/>
              <w:jc w:val="center"/>
            </w:pPr>
            <w:r w:rsidRPr="00AB2B4F">
              <w:t>ATSDR, 2021</w:t>
            </w:r>
          </w:p>
        </w:tc>
      </w:tr>
      <w:tr w:rsidR="00852811" w14:paraId="3F674128" w14:textId="77777777" w:rsidTr="00E446F5">
        <w:tc>
          <w:tcPr>
            <w:tcW w:w="1615" w:type="dxa"/>
            <w:vAlign w:val="center"/>
          </w:tcPr>
          <w:p w14:paraId="7B432E65" w14:textId="77777777" w:rsidR="00852811" w:rsidRPr="00AB2B4F" w:rsidRDefault="00852811" w:rsidP="00852811">
            <w:pPr>
              <w:keepNext/>
              <w:keepLines/>
            </w:pPr>
            <w:r w:rsidRPr="00AB2B4F">
              <w:t>PFOA</w:t>
            </w:r>
          </w:p>
        </w:tc>
        <w:tc>
          <w:tcPr>
            <w:tcW w:w="1350" w:type="dxa"/>
            <w:vAlign w:val="center"/>
          </w:tcPr>
          <w:p w14:paraId="5B57E03C" w14:textId="77777777" w:rsidR="00852811" w:rsidRPr="00AB2B4F" w:rsidRDefault="00852811" w:rsidP="00852811">
            <w:pPr>
              <w:keepNext/>
              <w:keepLines/>
              <w:jc w:val="center"/>
            </w:pPr>
            <w:r>
              <w:t>3 x 10</w:t>
            </w:r>
            <w:r w:rsidRPr="00AB2B4F">
              <w:rPr>
                <w:vertAlign w:val="superscript"/>
              </w:rPr>
              <w:t>-</w:t>
            </w:r>
            <w:r>
              <w:rPr>
                <w:vertAlign w:val="superscript"/>
              </w:rPr>
              <w:t>6</w:t>
            </w:r>
          </w:p>
        </w:tc>
        <w:tc>
          <w:tcPr>
            <w:tcW w:w="2970" w:type="dxa"/>
          </w:tcPr>
          <w:p w14:paraId="55424E43" w14:textId="77777777" w:rsidR="00852811" w:rsidRPr="00F04FE2" w:rsidRDefault="00852811" w:rsidP="00852811">
            <w:pPr>
              <w:keepNext/>
              <w:keepLines/>
              <w:jc w:val="center"/>
            </w:pPr>
            <w:r w:rsidRPr="00F04FE2">
              <w:t>↑Pup activity</w:t>
            </w:r>
          </w:p>
          <w:p w14:paraId="6BC152D4" w14:textId="77777777" w:rsidR="00852811" w:rsidRPr="00AB2B4F" w:rsidRDefault="00852811" w:rsidP="00852811">
            <w:pPr>
              <w:keepNext/>
              <w:keepLines/>
              <w:jc w:val="center"/>
            </w:pPr>
            <w:r w:rsidRPr="00F04FE2">
              <w:t>Skeletal alterations</w:t>
            </w:r>
          </w:p>
        </w:tc>
        <w:tc>
          <w:tcPr>
            <w:tcW w:w="1890" w:type="dxa"/>
            <w:vMerge/>
          </w:tcPr>
          <w:p w14:paraId="72937DD5" w14:textId="77777777" w:rsidR="00852811" w:rsidRPr="00AB2B4F" w:rsidRDefault="00852811" w:rsidP="00852811">
            <w:pPr>
              <w:keepNext/>
              <w:keepLines/>
            </w:pPr>
          </w:p>
        </w:tc>
        <w:tc>
          <w:tcPr>
            <w:tcW w:w="1710" w:type="dxa"/>
            <w:vMerge/>
          </w:tcPr>
          <w:p w14:paraId="1F4F4719" w14:textId="77777777" w:rsidR="00852811" w:rsidRPr="00AB2B4F" w:rsidRDefault="00852811" w:rsidP="00852811">
            <w:pPr>
              <w:keepNext/>
              <w:keepLines/>
              <w:jc w:val="center"/>
            </w:pPr>
          </w:p>
        </w:tc>
      </w:tr>
      <w:tr w:rsidR="00852811" w14:paraId="31789ED1" w14:textId="77777777" w:rsidTr="00E446F5">
        <w:tc>
          <w:tcPr>
            <w:tcW w:w="1615" w:type="dxa"/>
            <w:vAlign w:val="center"/>
          </w:tcPr>
          <w:p w14:paraId="773B6269" w14:textId="77777777" w:rsidR="00852811" w:rsidRPr="00AB2B4F" w:rsidRDefault="00852811" w:rsidP="00852811">
            <w:pPr>
              <w:keepNext/>
              <w:keepLines/>
            </w:pPr>
            <w:r w:rsidRPr="00AB2B4F">
              <w:t>PFOS</w:t>
            </w:r>
          </w:p>
        </w:tc>
        <w:tc>
          <w:tcPr>
            <w:tcW w:w="1350" w:type="dxa"/>
            <w:vAlign w:val="center"/>
          </w:tcPr>
          <w:p w14:paraId="3C3B4FE7" w14:textId="77777777" w:rsidR="00852811" w:rsidRPr="00AB2B4F" w:rsidRDefault="00852811" w:rsidP="00852811">
            <w:pPr>
              <w:keepNext/>
              <w:keepLines/>
              <w:jc w:val="center"/>
            </w:pPr>
            <w:r>
              <w:t>2 x 10</w:t>
            </w:r>
            <w:r w:rsidRPr="00AB2B4F">
              <w:rPr>
                <w:vertAlign w:val="superscript"/>
              </w:rPr>
              <w:t>-</w:t>
            </w:r>
            <w:r>
              <w:rPr>
                <w:vertAlign w:val="superscript"/>
              </w:rPr>
              <w:t>6</w:t>
            </w:r>
          </w:p>
        </w:tc>
        <w:tc>
          <w:tcPr>
            <w:tcW w:w="2970" w:type="dxa"/>
          </w:tcPr>
          <w:p w14:paraId="4A753133" w14:textId="77777777" w:rsidR="00852811" w:rsidRPr="00D82EF2" w:rsidRDefault="00852811" w:rsidP="00852811">
            <w:pPr>
              <w:keepNext/>
              <w:keepLines/>
              <w:jc w:val="center"/>
            </w:pPr>
            <w:r w:rsidRPr="00D82EF2">
              <w:t xml:space="preserve">↓Pup </w:t>
            </w:r>
            <w:r>
              <w:t>body weight</w:t>
            </w:r>
          </w:p>
          <w:p w14:paraId="0CED5B08" w14:textId="77777777" w:rsidR="00852811" w:rsidRPr="00D82EF2" w:rsidRDefault="00852811" w:rsidP="00852811">
            <w:pPr>
              <w:keepNext/>
              <w:keepLines/>
              <w:jc w:val="center"/>
            </w:pPr>
            <w:r w:rsidRPr="00D82EF2">
              <w:t>Delayed eye opening</w:t>
            </w:r>
          </w:p>
        </w:tc>
        <w:tc>
          <w:tcPr>
            <w:tcW w:w="1890" w:type="dxa"/>
            <w:vMerge/>
          </w:tcPr>
          <w:p w14:paraId="08C9EBCB" w14:textId="77777777" w:rsidR="00852811" w:rsidRPr="00AB2B4F" w:rsidRDefault="00852811" w:rsidP="00852811">
            <w:pPr>
              <w:keepNext/>
              <w:keepLines/>
            </w:pPr>
          </w:p>
        </w:tc>
        <w:tc>
          <w:tcPr>
            <w:tcW w:w="1710" w:type="dxa"/>
            <w:vMerge/>
          </w:tcPr>
          <w:p w14:paraId="456792D4" w14:textId="77777777" w:rsidR="00852811" w:rsidRPr="00AB2B4F" w:rsidRDefault="00852811" w:rsidP="00852811">
            <w:pPr>
              <w:keepNext/>
              <w:keepLines/>
              <w:jc w:val="center"/>
            </w:pPr>
          </w:p>
        </w:tc>
      </w:tr>
      <w:tr w:rsidR="00852811" w14:paraId="61DDF00B" w14:textId="77777777" w:rsidTr="00E446F5">
        <w:tc>
          <w:tcPr>
            <w:tcW w:w="1615" w:type="dxa"/>
            <w:vAlign w:val="center"/>
          </w:tcPr>
          <w:p w14:paraId="7B717C8F" w14:textId="77777777" w:rsidR="00852811" w:rsidRPr="00AB2B4F" w:rsidRDefault="00852811" w:rsidP="00852811">
            <w:pPr>
              <w:keepNext/>
              <w:keepLines/>
            </w:pPr>
            <w:r w:rsidRPr="00AB2B4F">
              <w:t>PFNA</w:t>
            </w:r>
          </w:p>
        </w:tc>
        <w:tc>
          <w:tcPr>
            <w:tcW w:w="1350" w:type="dxa"/>
            <w:vAlign w:val="center"/>
          </w:tcPr>
          <w:p w14:paraId="4BC46279" w14:textId="77777777" w:rsidR="00852811" w:rsidRPr="00AB2B4F" w:rsidRDefault="00852811" w:rsidP="00852811">
            <w:pPr>
              <w:keepNext/>
              <w:keepLines/>
              <w:jc w:val="center"/>
            </w:pPr>
            <w:r>
              <w:t>3 x 10</w:t>
            </w:r>
            <w:r w:rsidRPr="00AB2B4F">
              <w:rPr>
                <w:vertAlign w:val="superscript"/>
              </w:rPr>
              <w:t>-</w:t>
            </w:r>
            <w:r>
              <w:rPr>
                <w:vertAlign w:val="superscript"/>
              </w:rPr>
              <w:t>6</w:t>
            </w:r>
          </w:p>
        </w:tc>
        <w:tc>
          <w:tcPr>
            <w:tcW w:w="2970" w:type="dxa"/>
          </w:tcPr>
          <w:p w14:paraId="4802A4C8" w14:textId="77777777" w:rsidR="00852811" w:rsidRPr="00D82EF2" w:rsidRDefault="00852811" w:rsidP="00852811">
            <w:pPr>
              <w:keepNext/>
              <w:keepLines/>
              <w:jc w:val="center"/>
            </w:pPr>
            <w:r w:rsidRPr="00D82EF2">
              <w:t>↓Pup</w:t>
            </w:r>
            <w:r>
              <w:t xml:space="preserve"> body weight</w:t>
            </w:r>
          </w:p>
          <w:p w14:paraId="28786AEB" w14:textId="77777777" w:rsidR="00852811" w:rsidRPr="00D82EF2" w:rsidRDefault="00852811" w:rsidP="00852811">
            <w:pPr>
              <w:keepNext/>
              <w:keepLines/>
              <w:jc w:val="center"/>
            </w:pPr>
            <w:r w:rsidRPr="00D82EF2">
              <w:t>Developmental delays</w:t>
            </w:r>
          </w:p>
        </w:tc>
        <w:tc>
          <w:tcPr>
            <w:tcW w:w="1890" w:type="dxa"/>
            <w:vMerge/>
          </w:tcPr>
          <w:p w14:paraId="2EAA802E" w14:textId="77777777" w:rsidR="00852811" w:rsidRPr="00AB2B4F" w:rsidRDefault="00852811" w:rsidP="00852811">
            <w:pPr>
              <w:keepNext/>
              <w:keepLines/>
            </w:pPr>
          </w:p>
        </w:tc>
        <w:tc>
          <w:tcPr>
            <w:tcW w:w="1710" w:type="dxa"/>
            <w:vMerge/>
          </w:tcPr>
          <w:p w14:paraId="5E043123" w14:textId="77777777" w:rsidR="00852811" w:rsidRPr="00AB2B4F" w:rsidRDefault="00852811" w:rsidP="00852811">
            <w:pPr>
              <w:keepNext/>
              <w:keepLines/>
              <w:jc w:val="center"/>
            </w:pPr>
          </w:p>
        </w:tc>
      </w:tr>
      <w:tr w:rsidR="00852811" w14:paraId="3F20E8BD" w14:textId="77777777" w:rsidTr="00C7668A">
        <w:tc>
          <w:tcPr>
            <w:tcW w:w="1615" w:type="dxa"/>
            <w:vAlign w:val="center"/>
          </w:tcPr>
          <w:p w14:paraId="1A4EB828" w14:textId="77777777" w:rsidR="00852811" w:rsidRPr="00AB2B4F" w:rsidRDefault="00852811" w:rsidP="00852811">
            <w:pPr>
              <w:keepNext/>
              <w:keepLines/>
            </w:pPr>
            <w:r>
              <w:t xml:space="preserve">Sum 6 </w:t>
            </w:r>
            <w:proofErr w:type="spellStart"/>
            <w:r>
              <w:t>PFAS</w:t>
            </w:r>
            <w:r w:rsidRPr="00C974EB">
              <w:rPr>
                <w:vertAlign w:val="superscript"/>
              </w:rPr>
              <w:t>a</w:t>
            </w:r>
            <w:proofErr w:type="spellEnd"/>
          </w:p>
        </w:tc>
        <w:tc>
          <w:tcPr>
            <w:tcW w:w="1350" w:type="dxa"/>
            <w:vAlign w:val="center"/>
          </w:tcPr>
          <w:p w14:paraId="58FB880F" w14:textId="77777777" w:rsidR="00852811" w:rsidRDefault="00852811" w:rsidP="00852811">
            <w:pPr>
              <w:keepNext/>
              <w:keepLines/>
              <w:jc w:val="center"/>
            </w:pPr>
            <w:r>
              <w:t>5 x 10</w:t>
            </w:r>
            <w:r>
              <w:rPr>
                <w:vertAlign w:val="superscript"/>
              </w:rPr>
              <w:t>-6</w:t>
            </w:r>
          </w:p>
        </w:tc>
        <w:tc>
          <w:tcPr>
            <w:tcW w:w="2970" w:type="dxa"/>
            <w:vAlign w:val="bottom"/>
          </w:tcPr>
          <w:p w14:paraId="449F83C3" w14:textId="77777777" w:rsidR="00852811" w:rsidRPr="00D82EF2" w:rsidRDefault="00852811" w:rsidP="00852811">
            <w:pPr>
              <w:keepNext/>
              <w:keepLines/>
              <w:jc w:val="center"/>
            </w:pPr>
            <w:r>
              <w:t>Developmental, Liver toxicity, Immunotoxicity</w:t>
            </w:r>
          </w:p>
        </w:tc>
        <w:tc>
          <w:tcPr>
            <w:tcW w:w="1890" w:type="dxa"/>
            <w:vAlign w:val="center"/>
          </w:tcPr>
          <w:p w14:paraId="368EA14A" w14:textId="77777777" w:rsidR="00852811" w:rsidRPr="00AB2B4F" w:rsidRDefault="00852811" w:rsidP="00852811">
            <w:pPr>
              <w:keepNext/>
              <w:keepLines/>
              <w:jc w:val="center"/>
            </w:pPr>
            <w:proofErr w:type="spellStart"/>
            <w:r>
              <w:t>RfD</w:t>
            </w:r>
            <w:proofErr w:type="spellEnd"/>
          </w:p>
        </w:tc>
        <w:tc>
          <w:tcPr>
            <w:tcW w:w="1710" w:type="dxa"/>
            <w:vAlign w:val="center"/>
          </w:tcPr>
          <w:p w14:paraId="18CE585F" w14:textId="77777777" w:rsidR="00852811" w:rsidRPr="00AB2B4F" w:rsidRDefault="00852811" w:rsidP="00852811">
            <w:pPr>
              <w:keepNext/>
              <w:keepLines/>
              <w:jc w:val="center"/>
            </w:pPr>
            <w:r>
              <w:t>MassDEP, 2019</w:t>
            </w:r>
          </w:p>
        </w:tc>
      </w:tr>
    </w:tbl>
    <w:p w14:paraId="6C8D6549" w14:textId="267F31AB" w:rsidR="00995B57" w:rsidRDefault="00855B9D" w:rsidP="00995B57">
      <w:pPr>
        <w:spacing w:after="0"/>
        <w:rPr>
          <w:i/>
          <w:iCs/>
          <w:sz w:val="20"/>
          <w:szCs w:val="20"/>
        </w:rPr>
      </w:pPr>
      <w:proofErr w:type="spellStart"/>
      <w:r>
        <w:rPr>
          <w:i/>
          <w:iCs/>
          <w:sz w:val="20"/>
          <w:szCs w:val="20"/>
        </w:rPr>
        <w:t>GenX</w:t>
      </w:r>
      <w:proofErr w:type="spellEnd"/>
      <w:r>
        <w:rPr>
          <w:i/>
          <w:iCs/>
          <w:sz w:val="20"/>
          <w:szCs w:val="20"/>
        </w:rPr>
        <w:t xml:space="preserve"> -</w:t>
      </w:r>
      <w:r w:rsidRPr="00855B9D">
        <w:rPr>
          <w:rFonts w:cstheme="minorHAnsi"/>
          <w:sz w:val="24"/>
          <w:szCs w:val="24"/>
        </w:rPr>
        <w:t xml:space="preserve"> </w:t>
      </w:r>
      <w:r w:rsidRPr="00855B9D">
        <w:rPr>
          <w:rFonts w:cstheme="minorHAnsi"/>
          <w:i/>
          <w:iCs/>
          <w:sz w:val="20"/>
          <w:szCs w:val="20"/>
        </w:rPr>
        <w:t>hexafluoropropylene oxide dimer acid</w:t>
      </w:r>
      <w:r>
        <w:rPr>
          <w:rFonts w:cstheme="minorHAnsi"/>
          <w:i/>
          <w:iCs/>
          <w:sz w:val="20"/>
          <w:szCs w:val="20"/>
        </w:rPr>
        <w:t>;</w:t>
      </w:r>
      <w:r>
        <w:rPr>
          <w:i/>
          <w:iCs/>
          <w:sz w:val="20"/>
          <w:szCs w:val="20"/>
        </w:rPr>
        <w:t xml:space="preserve"> </w:t>
      </w:r>
      <w:r w:rsidR="00995B57">
        <w:rPr>
          <w:i/>
          <w:iCs/>
          <w:sz w:val="20"/>
          <w:szCs w:val="20"/>
        </w:rPr>
        <w:t xml:space="preserve">MRL – Minimal Risk Level; </w:t>
      </w:r>
      <w:r w:rsidR="00C7668A">
        <w:rPr>
          <w:i/>
          <w:iCs/>
          <w:sz w:val="20"/>
          <w:szCs w:val="20"/>
        </w:rPr>
        <w:t xml:space="preserve">PFBA – </w:t>
      </w:r>
      <w:proofErr w:type="spellStart"/>
      <w:r w:rsidR="00C7668A">
        <w:rPr>
          <w:i/>
          <w:iCs/>
          <w:sz w:val="20"/>
          <w:szCs w:val="20"/>
        </w:rPr>
        <w:t>perfluorobutanoic</w:t>
      </w:r>
      <w:proofErr w:type="spellEnd"/>
      <w:r w:rsidR="00C7668A">
        <w:rPr>
          <w:i/>
          <w:iCs/>
          <w:sz w:val="20"/>
          <w:szCs w:val="20"/>
        </w:rPr>
        <w:t xml:space="preserve"> acid; </w:t>
      </w:r>
      <w:r w:rsidR="00995B57">
        <w:rPr>
          <w:i/>
          <w:iCs/>
          <w:sz w:val="20"/>
          <w:szCs w:val="20"/>
        </w:rPr>
        <w:t xml:space="preserve">PFBS – </w:t>
      </w:r>
      <w:proofErr w:type="spellStart"/>
      <w:r w:rsidR="00995B57">
        <w:rPr>
          <w:i/>
          <w:iCs/>
          <w:sz w:val="20"/>
          <w:szCs w:val="20"/>
        </w:rPr>
        <w:t>perfluorobutane</w:t>
      </w:r>
      <w:proofErr w:type="spellEnd"/>
      <w:r w:rsidR="00995B57">
        <w:rPr>
          <w:i/>
          <w:iCs/>
          <w:sz w:val="20"/>
          <w:szCs w:val="20"/>
        </w:rPr>
        <w:t xml:space="preserve"> sulfonic acid; </w:t>
      </w:r>
      <w:proofErr w:type="spellStart"/>
      <w:r w:rsidR="00995B57" w:rsidRPr="000175F7">
        <w:rPr>
          <w:i/>
          <w:iCs/>
          <w:sz w:val="20"/>
          <w:szCs w:val="20"/>
        </w:rPr>
        <w:t>PFHxS</w:t>
      </w:r>
      <w:proofErr w:type="spellEnd"/>
      <w:r w:rsidR="00995B57" w:rsidRPr="000175F7">
        <w:rPr>
          <w:i/>
          <w:iCs/>
          <w:sz w:val="20"/>
          <w:szCs w:val="20"/>
        </w:rPr>
        <w:t xml:space="preserve"> – </w:t>
      </w:r>
      <w:proofErr w:type="spellStart"/>
      <w:r w:rsidR="00995B57" w:rsidRPr="000175F7">
        <w:rPr>
          <w:i/>
          <w:iCs/>
          <w:sz w:val="20"/>
          <w:szCs w:val="20"/>
        </w:rPr>
        <w:t>perfluorohexane</w:t>
      </w:r>
      <w:proofErr w:type="spellEnd"/>
      <w:r w:rsidR="00995B57" w:rsidRPr="000175F7">
        <w:rPr>
          <w:i/>
          <w:iCs/>
          <w:sz w:val="20"/>
          <w:szCs w:val="20"/>
        </w:rPr>
        <w:t xml:space="preserve"> sulfonic acid; PFOA – perfluorooctanoic acid; </w:t>
      </w:r>
      <w:r w:rsidR="00995B57">
        <w:rPr>
          <w:i/>
          <w:iCs/>
          <w:sz w:val="20"/>
          <w:szCs w:val="20"/>
        </w:rPr>
        <w:t xml:space="preserve">PFOS - </w:t>
      </w:r>
      <w:proofErr w:type="spellStart"/>
      <w:r w:rsidR="00995B57" w:rsidRPr="000175F7">
        <w:rPr>
          <w:i/>
          <w:iCs/>
          <w:sz w:val="20"/>
          <w:szCs w:val="20"/>
        </w:rPr>
        <w:t>perfluorooctane</w:t>
      </w:r>
      <w:proofErr w:type="spellEnd"/>
      <w:r w:rsidR="00995B57" w:rsidRPr="000175F7">
        <w:rPr>
          <w:i/>
          <w:iCs/>
          <w:sz w:val="20"/>
          <w:szCs w:val="20"/>
        </w:rPr>
        <w:t xml:space="preserve"> sulfonic acid; PFNA – </w:t>
      </w:r>
      <w:proofErr w:type="spellStart"/>
      <w:r w:rsidR="00995B57" w:rsidRPr="000175F7">
        <w:rPr>
          <w:i/>
          <w:iCs/>
          <w:sz w:val="20"/>
          <w:szCs w:val="20"/>
        </w:rPr>
        <w:t>perfluorononanoic</w:t>
      </w:r>
      <w:proofErr w:type="spellEnd"/>
      <w:r w:rsidR="00995B57" w:rsidRPr="000175F7">
        <w:rPr>
          <w:i/>
          <w:iCs/>
          <w:sz w:val="20"/>
          <w:szCs w:val="20"/>
        </w:rPr>
        <w:t xml:space="preserve"> acid</w:t>
      </w:r>
      <w:r w:rsidR="00995B57">
        <w:rPr>
          <w:i/>
          <w:iCs/>
          <w:sz w:val="20"/>
          <w:szCs w:val="20"/>
        </w:rPr>
        <w:t xml:space="preserve">; </w:t>
      </w:r>
      <w:proofErr w:type="spellStart"/>
      <w:r w:rsidR="00995B57">
        <w:rPr>
          <w:i/>
          <w:iCs/>
          <w:sz w:val="20"/>
          <w:szCs w:val="20"/>
        </w:rPr>
        <w:t>RfD</w:t>
      </w:r>
      <w:proofErr w:type="spellEnd"/>
      <w:r w:rsidR="00995B57">
        <w:rPr>
          <w:i/>
          <w:iCs/>
          <w:sz w:val="20"/>
          <w:szCs w:val="20"/>
        </w:rPr>
        <w:t xml:space="preserve"> – Reference Dose</w:t>
      </w:r>
    </w:p>
    <w:p w14:paraId="09A4ED03" w14:textId="239CC90D" w:rsidR="00995B57" w:rsidRDefault="00995B57" w:rsidP="004C4CB5">
      <w:pPr>
        <w:rPr>
          <w:i/>
          <w:iCs/>
          <w:sz w:val="20"/>
          <w:szCs w:val="20"/>
        </w:rPr>
      </w:pPr>
      <w:r>
        <w:rPr>
          <w:i/>
          <w:iCs/>
          <w:sz w:val="20"/>
          <w:szCs w:val="20"/>
        </w:rPr>
        <w:t xml:space="preserve">[a] Includes </w:t>
      </w:r>
      <w:proofErr w:type="spellStart"/>
      <w:r>
        <w:rPr>
          <w:i/>
          <w:iCs/>
          <w:sz w:val="20"/>
          <w:szCs w:val="20"/>
        </w:rPr>
        <w:t>PFHxS</w:t>
      </w:r>
      <w:proofErr w:type="spellEnd"/>
      <w:r>
        <w:rPr>
          <w:i/>
          <w:iCs/>
          <w:sz w:val="20"/>
          <w:szCs w:val="20"/>
        </w:rPr>
        <w:t xml:space="preserve">, </w:t>
      </w:r>
      <w:proofErr w:type="spellStart"/>
      <w:r w:rsidRPr="000175F7">
        <w:rPr>
          <w:i/>
          <w:iCs/>
          <w:sz w:val="20"/>
          <w:szCs w:val="20"/>
        </w:rPr>
        <w:t>perfluoroheptanoic</w:t>
      </w:r>
      <w:proofErr w:type="spellEnd"/>
      <w:r w:rsidRPr="000175F7">
        <w:rPr>
          <w:i/>
          <w:iCs/>
          <w:sz w:val="20"/>
          <w:szCs w:val="20"/>
        </w:rPr>
        <w:t xml:space="preserve"> acid</w:t>
      </w:r>
      <w:r>
        <w:rPr>
          <w:i/>
          <w:iCs/>
          <w:sz w:val="20"/>
          <w:szCs w:val="20"/>
        </w:rPr>
        <w:t xml:space="preserve"> (</w:t>
      </w:r>
      <w:proofErr w:type="spellStart"/>
      <w:r>
        <w:rPr>
          <w:i/>
          <w:iCs/>
          <w:sz w:val="20"/>
          <w:szCs w:val="20"/>
        </w:rPr>
        <w:t>PFHpA</w:t>
      </w:r>
      <w:proofErr w:type="spellEnd"/>
      <w:r>
        <w:rPr>
          <w:i/>
          <w:iCs/>
          <w:sz w:val="20"/>
          <w:szCs w:val="20"/>
        </w:rPr>
        <w:t xml:space="preserve">), PFOA, PFOS, PFNA and </w:t>
      </w:r>
      <w:proofErr w:type="spellStart"/>
      <w:r w:rsidRPr="000175F7">
        <w:rPr>
          <w:i/>
          <w:iCs/>
          <w:sz w:val="20"/>
          <w:szCs w:val="20"/>
        </w:rPr>
        <w:t>perfluorodecanoic</w:t>
      </w:r>
      <w:proofErr w:type="spellEnd"/>
      <w:r w:rsidRPr="000175F7">
        <w:rPr>
          <w:i/>
          <w:iCs/>
          <w:sz w:val="20"/>
          <w:szCs w:val="20"/>
        </w:rPr>
        <w:t xml:space="preserve"> acid</w:t>
      </w:r>
      <w:r>
        <w:rPr>
          <w:i/>
          <w:iCs/>
          <w:sz w:val="20"/>
          <w:szCs w:val="20"/>
        </w:rPr>
        <w:t xml:space="preserve"> (PFDA)</w:t>
      </w:r>
    </w:p>
    <w:p w14:paraId="2F13D30B" w14:textId="77777777" w:rsidR="00500269" w:rsidRDefault="00500269" w:rsidP="004C4CB5">
      <w:pPr>
        <w:rPr>
          <w:i/>
          <w:iCs/>
          <w:sz w:val="20"/>
          <w:szCs w:val="20"/>
        </w:rPr>
      </w:pPr>
    </w:p>
    <w:p w14:paraId="3C36DBE6" w14:textId="77777777" w:rsidR="00500269" w:rsidRDefault="00500269" w:rsidP="004C4CB5">
      <w:pPr>
        <w:rPr>
          <w:sz w:val="24"/>
          <w:szCs w:val="24"/>
        </w:rPr>
        <w:sectPr w:rsidR="00500269" w:rsidSect="000750D0">
          <w:headerReference w:type="default" r:id="rId13"/>
          <w:footerReference w:type="default" r:id="rId14"/>
          <w:headerReference w:type="first" r:id="rId15"/>
          <w:footerReference w:type="first" r:id="rId16"/>
          <w:pgSz w:w="12240" w:h="15840"/>
          <w:pgMar w:top="720" w:right="2070" w:bottom="720" w:left="720" w:header="720" w:footer="720" w:gutter="0"/>
          <w:pgNumType w:start="1"/>
          <w:cols w:space="720"/>
          <w:docGrid w:linePitch="360"/>
        </w:sectPr>
      </w:pPr>
    </w:p>
    <w:p w14:paraId="4026A4D8" w14:textId="61FBEBA2" w:rsidR="00DD743F" w:rsidRPr="00027D51" w:rsidRDefault="00DD743F" w:rsidP="004C4CB5">
      <w:pPr>
        <w:keepNext/>
        <w:spacing w:after="0" w:line="240" w:lineRule="auto"/>
        <w:jc w:val="center"/>
        <w:rPr>
          <w:rFonts w:cs="Arial"/>
          <w:b/>
          <w:sz w:val="24"/>
          <w:szCs w:val="24"/>
        </w:rPr>
      </w:pPr>
      <w:r>
        <w:rPr>
          <w:rFonts w:cs="Arial"/>
          <w:b/>
          <w:sz w:val="24"/>
          <w:szCs w:val="24"/>
        </w:rPr>
        <w:lastRenderedPageBreak/>
        <w:t>Table 3.</w:t>
      </w:r>
      <w:r w:rsidR="00995B57">
        <w:rPr>
          <w:rFonts w:cs="Arial"/>
          <w:b/>
          <w:sz w:val="24"/>
          <w:szCs w:val="24"/>
        </w:rPr>
        <w:t>2</w:t>
      </w:r>
      <w:r>
        <w:rPr>
          <w:rFonts w:cs="Arial"/>
          <w:b/>
          <w:sz w:val="24"/>
          <w:szCs w:val="24"/>
        </w:rPr>
        <w:t>.  Action Levels for Individual PFAS</w:t>
      </w:r>
    </w:p>
    <w:tbl>
      <w:tblPr>
        <w:tblStyle w:val="TableGrid"/>
        <w:tblW w:w="12520" w:type="dxa"/>
        <w:jc w:val="center"/>
        <w:tblLook w:val="04A0" w:firstRow="1" w:lastRow="0" w:firstColumn="1" w:lastColumn="0" w:noHBand="0" w:noVBand="1"/>
      </w:tblPr>
      <w:tblGrid>
        <w:gridCol w:w="4225"/>
        <w:gridCol w:w="3330"/>
        <w:gridCol w:w="3510"/>
        <w:gridCol w:w="1455"/>
      </w:tblGrid>
      <w:tr w:rsidR="00FF3273" w:rsidRPr="00646233" w14:paraId="55D02014" w14:textId="77777777" w:rsidTr="00FF3273">
        <w:trPr>
          <w:trHeight w:val="251"/>
          <w:jc w:val="center"/>
        </w:trPr>
        <w:tc>
          <w:tcPr>
            <w:tcW w:w="4225" w:type="dxa"/>
            <w:tcBorders>
              <w:bottom w:val="single" w:sz="4" w:space="0" w:color="auto"/>
            </w:tcBorders>
            <w:shd w:val="clear" w:color="auto" w:fill="DBE5F1" w:themeFill="accent1" w:themeFillTint="33"/>
            <w:vAlign w:val="center"/>
          </w:tcPr>
          <w:p w14:paraId="258EB7A1" w14:textId="5994FF3D" w:rsidR="00FF3273" w:rsidRPr="007F051D" w:rsidRDefault="00FF3273" w:rsidP="00FF3273">
            <w:pPr>
              <w:keepNext/>
              <w:rPr>
                <w:rFonts w:cs="Arial"/>
                <w:b/>
              </w:rPr>
            </w:pPr>
            <w:r>
              <w:rPr>
                <w:rFonts w:cs="Arial"/>
                <w:b/>
              </w:rPr>
              <w:t>PFAS</w:t>
            </w:r>
          </w:p>
        </w:tc>
        <w:tc>
          <w:tcPr>
            <w:tcW w:w="3330" w:type="dxa"/>
            <w:tcBorders>
              <w:bottom w:val="single" w:sz="4" w:space="0" w:color="auto"/>
            </w:tcBorders>
            <w:shd w:val="clear" w:color="auto" w:fill="DBE5F1" w:themeFill="accent1" w:themeFillTint="33"/>
            <w:vAlign w:val="center"/>
          </w:tcPr>
          <w:p w14:paraId="31B6962F" w14:textId="2A99A17F" w:rsidR="00FF3273" w:rsidRDefault="00FF3273" w:rsidP="00FF3273">
            <w:pPr>
              <w:keepNext/>
              <w:jc w:val="center"/>
              <w:rPr>
                <w:rFonts w:cs="Arial"/>
                <w:b/>
              </w:rPr>
            </w:pPr>
            <w:r>
              <w:rPr>
                <w:rFonts w:cs="Arial"/>
                <w:b/>
              </w:rPr>
              <w:t>Critical Effect</w:t>
            </w:r>
          </w:p>
        </w:tc>
        <w:tc>
          <w:tcPr>
            <w:tcW w:w="3510" w:type="dxa"/>
            <w:tcBorders>
              <w:bottom w:val="single" w:sz="4" w:space="0" w:color="auto"/>
            </w:tcBorders>
            <w:shd w:val="clear" w:color="auto" w:fill="DBE5F1" w:themeFill="accent1" w:themeFillTint="33"/>
            <w:vAlign w:val="center"/>
          </w:tcPr>
          <w:p w14:paraId="47555A95" w14:textId="4F41FDE8" w:rsidR="00FF3273" w:rsidRDefault="00FF3273" w:rsidP="00FF3273">
            <w:pPr>
              <w:keepNext/>
              <w:jc w:val="center"/>
              <w:rPr>
                <w:rFonts w:cs="Arial"/>
                <w:b/>
              </w:rPr>
            </w:pPr>
            <w:r>
              <w:rPr>
                <w:rFonts w:cs="Arial"/>
                <w:b/>
              </w:rPr>
              <w:t>Applicability</w:t>
            </w:r>
          </w:p>
        </w:tc>
        <w:tc>
          <w:tcPr>
            <w:tcW w:w="1455" w:type="dxa"/>
            <w:tcBorders>
              <w:bottom w:val="single" w:sz="4" w:space="0" w:color="auto"/>
            </w:tcBorders>
            <w:shd w:val="clear" w:color="auto" w:fill="DBE5F1" w:themeFill="accent1" w:themeFillTint="33"/>
            <w:vAlign w:val="center"/>
          </w:tcPr>
          <w:p w14:paraId="6F276810" w14:textId="18EC41CA" w:rsidR="00FF3273" w:rsidRPr="007F051D" w:rsidRDefault="00FF3273" w:rsidP="00FF3273">
            <w:pPr>
              <w:keepNext/>
              <w:jc w:val="center"/>
              <w:rPr>
                <w:rFonts w:cs="Arial"/>
                <w:b/>
              </w:rPr>
            </w:pPr>
            <w:r>
              <w:rPr>
                <w:rFonts w:cs="Arial"/>
                <w:b/>
              </w:rPr>
              <w:t>Action Level (ng/L)</w:t>
            </w:r>
          </w:p>
        </w:tc>
      </w:tr>
      <w:tr w:rsidR="00FF3273" w:rsidRPr="00646233" w14:paraId="4D5165DB" w14:textId="77777777" w:rsidTr="00FF3273">
        <w:trPr>
          <w:jc w:val="center"/>
        </w:trPr>
        <w:tc>
          <w:tcPr>
            <w:tcW w:w="4225" w:type="dxa"/>
            <w:tcBorders>
              <w:top w:val="single" w:sz="4" w:space="0" w:color="auto"/>
              <w:bottom w:val="single" w:sz="4" w:space="0" w:color="auto"/>
              <w:right w:val="single" w:sz="4" w:space="0" w:color="auto"/>
            </w:tcBorders>
            <w:shd w:val="clear" w:color="auto" w:fill="auto"/>
            <w:vAlign w:val="center"/>
          </w:tcPr>
          <w:p w14:paraId="2C6B7942" w14:textId="5D58E7C0" w:rsidR="00FF3273" w:rsidRPr="007F051D" w:rsidRDefault="00FF3273" w:rsidP="00FF3273">
            <w:pPr>
              <w:keepNext/>
              <w:rPr>
                <w:rFonts w:cs="Arial"/>
              </w:rPr>
            </w:pPr>
            <w:proofErr w:type="spellStart"/>
            <w:r>
              <w:rPr>
                <w:rFonts w:cs="Arial"/>
              </w:rPr>
              <w:t>GenX</w:t>
            </w:r>
            <w:proofErr w:type="spellEnd"/>
          </w:p>
        </w:tc>
        <w:tc>
          <w:tcPr>
            <w:tcW w:w="3330" w:type="dxa"/>
            <w:tcBorders>
              <w:top w:val="single" w:sz="4" w:space="0" w:color="auto"/>
              <w:bottom w:val="single" w:sz="4" w:space="0" w:color="auto"/>
            </w:tcBorders>
            <w:vAlign w:val="center"/>
          </w:tcPr>
          <w:p w14:paraId="2050AB3D" w14:textId="02FFB3E4" w:rsidR="00FF3273" w:rsidRDefault="00FF3273" w:rsidP="00FF3273">
            <w:pPr>
              <w:pStyle w:val="ListParagraph"/>
              <w:keepNext/>
              <w:ind w:left="-119"/>
              <w:jc w:val="center"/>
              <w:rPr>
                <w:rFonts w:cs="Arial"/>
              </w:rPr>
            </w:pPr>
            <w:r>
              <w:t>Liver toxicity</w:t>
            </w:r>
          </w:p>
        </w:tc>
        <w:tc>
          <w:tcPr>
            <w:tcW w:w="3510" w:type="dxa"/>
            <w:tcBorders>
              <w:top w:val="single" w:sz="4" w:space="0" w:color="auto"/>
              <w:bottom w:val="single" w:sz="4" w:space="0" w:color="auto"/>
              <w:right w:val="single" w:sz="4" w:space="0" w:color="auto"/>
            </w:tcBorders>
            <w:vAlign w:val="center"/>
          </w:tcPr>
          <w:p w14:paraId="5BFA54CE" w14:textId="44AC47F0" w:rsidR="00FF3273" w:rsidRPr="00245B3B" w:rsidRDefault="00FF3273" w:rsidP="00FF3273">
            <w:pPr>
              <w:pStyle w:val="ListParagraph"/>
              <w:keepNext/>
              <w:ind w:left="-119"/>
              <w:jc w:val="center"/>
              <w:rPr>
                <w:rFonts w:cs="Arial"/>
              </w:rPr>
            </w:pPr>
            <w:r>
              <w:rPr>
                <w:rFonts w:cs="Arial"/>
              </w:rPr>
              <w:t>If PFBA not detected</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2179239" w14:textId="3080E5BD" w:rsidR="00FF3273" w:rsidRPr="007F051D" w:rsidRDefault="00FF3273" w:rsidP="00FF3273">
            <w:pPr>
              <w:keepNext/>
              <w:jc w:val="center"/>
              <w:rPr>
                <w:rFonts w:cs="Arial"/>
              </w:rPr>
            </w:pPr>
            <w:r>
              <w:rPr>
                <w:rFonts w:cs="Arial"/>
              </w:rPr>
              <w:t>252</w:t>
            </w:r>
          </w:p>
        </w:tc>
      </w:tr>
      <w:tr w:rsidR="00FF3273" w:rsidRPr="00646233" w14:paraId="3A644E87" w14:textId="77777777" w:rsidTr="00FF3273">
        <w:trPr>
          <w:jc w:val="center"/>
        </w:trPr>
        <w:tc>
          <w:tcPr>
            <w:tcW w:w="4225" w:type="dxa"/>
            <w:tcBorders>
              <w:top w:val="single" w:sz="4" w:space="0" w:color="auto"/>
              <w:bottom w:val="single" w:sz="4" w:space="0" w:color="auto"/>
            </w:tcBorders>
            <w:shd w:val="clear" w:color="auto" w:fill="auto"/>
            <w:vAlign w:val="center"/>
          </w:tcPr>
          <w:p w14:paraId="4044A625" w14:textId="054EBDC4" w:rsidR="00FF3273" w:rsidRDefault="00FF3273" w:rsidP="00FF3273">
            <w:pPr>
              <w:keepNext/>
              <w:rPr>
                <w:rFonts w:cs="Arial"/>
              </w:rPr>
            </w:pPr>
            <w:r>
              <w:rPr>
                <w:rFonts w:cs="Arial"/>
              </w:rPr>
              <w:t>PFBA</w:t>
            </w:r>
          </w:p>
        </w:tc>
        <w:tc>
          <w:tcPr>
            <w:tcW w:w="3330" w:type="dxa"/>
            <w:tcBorders>
              <w:top w:val="single" w:sz="4" w:space="0" w:color="auto"/>
              <w:bottom w:val="single" w:sz="4" w:space="0" w:color="auto"/>
            </w:tcBorders>
            <w:vAlign w:val="center"/>
          </w:tcPr>
          <w:p w14:paraId="26A4D858" w14:textId="77777777" w:rsidR="00FF3273" w:rsidRDefault="00FF3273" w:rsidP="00FF3273">
            <w:pPr>
              <w:keepNext/>
              <w:keepLines/>
              <w:jc w:val="center"/>
            </w:pPr>
            <w:r>
              <w:t>↓ Thyroxine</w:t>
            </w:r>
          </w:p>
          <w:p w14:paraId="365F312D" w14:textId="1D0C6963" w:rsidR="00FF3273" w:rsidRDefault="00FF3273" w:rsidP="00FF3273">
            <w:pPr>
              <w:keepNext/>
              <w:jc w:val="center"/>
              <w:rPr>
                <w:rFonts w:cs="Arial"/>
              </w:rPr>
            </w:pPr>
            <w:r>
              <w:t>↑ Liver hypertrophy</w:t>
            </w:r>
          </w:p>
        </w:tc>
        <w:tc>
          <w:tcPr>
            <w:tcW w:w="3510" w:type="dxa"/>
            <w:tcBorders>
              <w:top w:val="single" w:sz="4" w:space="0" w:color="auto"/>
              <w:bottom w:val="single" w:sz="4" w:space="0" w:color="auto"/>
            </w:tcBorders>
            <w:vAlign w:val="center"/>
          </w:tcPr>
          <w:p w14:paraId="24A6AF16" w14:textId="51C60FF6" w:rsidR="00FF3273" w:rsidRDefault="00FF3273" w:rsidP="00FF3273">
            <w:pPr>
              <w:keepNext/>
              <w:jc w:val="center"/>
              <w:rPr>
                <w:rFonts w:cs="Arial"/>
              </w:rPr>
            </w:pPr>
            <w:r>
              <w:rPr>
                <w:rFonts w:cs="Arial"/>
              </w:rPr>
              <w:t xml:space="preserve">If PFBS, </w:t>
            </w:r>
            <w:proofErr w:type="spellStart"/>
            <w:r>
              <w:rPr>
                <w:rFonts w:cs="Arial"/>
              </w:rPr>
              <w:t>PFHxS</w:t>
            </w:r>
            <w:proofErr w:type="spellEnd"/>
            <w:r>
              <w:rPr>
                <w:rFonts w:cs="Arial"/>
              </w:rPr>
              <w:t xml:space="preserve">, </w:t>
            </w:r>
            <w:proofErr w:type="spellStart"/>
            <w:r>
              <w:rPr>
                <w:rFonts w:cs="Arial"/>
              </w:rPr>
              <w:t>GenX</w:t>
            </w:r>
            <w:proofErr w:type="spellEnd"/>
            <w:r>
              <w:rPr>
                <w:rFonts w:cs="Arial"/>
              </w:rPr>
              <w:t xml:space="preserve"> not detected</w:t>
            </w:r>
          </w:p>
        </w:tc>
        <w:tc>
          <w:tcPr>
            <w:tcW w:w="1455" w:type="dxa"/>
            <w:tcBorders>
              <w:top w:val="single" w:sz="4" w:space="0" w:color="auto"/>
              <w:bottom w:val="single" w:sz="4" w:space="0" w:color="auto"/>
            </w:tcBorders>
            <w:shd w:val="clear" w:color="auto" w:fill="auto"/>
            <w:vAlign w:val="center"/>
          </w:tcPr>
          <w:p w14:paraId="2997AA12" w14:textId="524C15DD" w:rsidR="00FF3273" w:rsidRDefault="00FF3273" w:rsidP="00FF3273">
            <w:pPr>
              <w:keepNext/>
              <w:jc w:val="center"/>
              <w:rPr>
                <w:rFonts w:cs="Arial"/>
              </w:rPr>
            </w:pPr>
            <w:r>
              <w:rPr>
                <w:rFonts w:cs="Arial"/>
              </w:rPr>
              <w:t>83,900</w:t>
            </w:r>
          </w:p>
        </w:tc>
      </w:tr>
      <w:tr w:rsidR="00FF3273" w:rsidRPr="00646233" w14:paraId="1FBFCB78" w14:textId="77777777" w:rsidTr="00FF3273">
        <w:trPr>
          <w:jc w:val="center"/>
        </w:trPr>
        <w:tc>
          <w:tcPr>
            <w:tcW w:w="4225" w:type="dxa"/>
            <w:tcBorders>
              <w:top w:val="single" w:sz="4" w:space="0" w:color="auto"/>
              <w:bottom w:val="single" w:sz="4" w:space="0" w:color="auto"/>
            </w:tcBorders>
            <w:shd w:val="clear" w:color="auto" w:fill="auto"/>
            <w:vAlign w:val="center"/>
          </w:tcPr>
          <w:p w14:paraId="67EDB97A" w14:textId="740C630E" w:rsidR="00FF3273" w:rsidRPr="007F051D" w:rsidRDefault="00FF3273" w:rsidP="00FF3273">
            <w:pPr>
              <w:keepNext/>
              <w:rPr>
                <w:rFonts w:cs="Arial"/>
              </w:rPr>
            </w:pPr>
            <w:r>
              <w:rPr>
                <w:rFonts w:cs="Arial"/>
              </w:rPr>
              <w:t>PFBS</w:t>
            </w:r>
          </w:p>
        </w:tc>
        <w:tc>
          <w:tcPr>
            <w:tcW w:w="3330" w:type="dxa"/>
            <w:tcBorders>
              <w:top w:val="single" w:sz="4" w:space="0" w:color="auto"/>
              <w:bottom w:val="single" w:sz="4" w:space="0" w:color="auto"/>
            </w:tcBorders>
            <w:vAlign w:val="center"/>
          </w:tcPr>
          <w:p w14:paraId="5ED54951" w14:textId="0033B50A" w:rsidR="00FF3273" w:rsidRDefault="00FF3273" w:rsidP="00FF3273">
            <w:pPr>
              <w:keepNext/>
              <w:jc w:val="center"/>
              <w:rPr>
                <w:rFonts w:cs="Arial"/>
              </w:rPr>
            </w:pPr>
            <w:r w:rsidRPr="00D43ABE">
              <w:t>Thyroid hormone perturbation</w:t>
            </w:r>
          </w:p>
        </w:tc>
        <w:tc>
          <w:tcPr>
            <w:tcW w:w="3510" w:type="dxa"/>
            <w:tcBorders>
              <w:top w:val="single" w:sz="4" w:space="0" w:color="auto"/>
              <w:bottom w:val="single" w:sz="4" w:space="0" w:color="auto"/>
            </w:tcBorders>
            <w:vAlign w:val="center"/>
          </w:tcPr>
          <w:p w14:paraId="2F077B0F" w14:textId="7CEE58E5" w:rsidR="00FF3273" w:rsidRDefault="00FF3273" w:rsidP="00FF3273">
            <w:pPr>
              <w:keepNext/>
              <w:jc w:val="center"/>
              <w:rPr>
                <w:rFonts w:cs="Arial"/>
              </w:rPr>
            </w:pPr>
            <w:r>
              <w:rPr>
                <w:rFonts w:cs="Arial"/>
              </w:rPr>
              <w:t xml:space="preserve">If PFBA, </w:t>
            </w:r>
            <w:proofErr w:type="spellStart"/>
            <w:r>
              <w:rPr>
                <w:rFonts w:cs="Arial"/>
              </w:rPr>
              <w:t>PFHxS</w:t>
            </w:r>
            <w:proofErr w:type="spellEnd"/>
            <w:r>
              <w:rPr>
                <w:rFonts w:cs="Arial"/>
              </w:rPr>
              <w:t xml:space="preserve"> not detected</w:t>
            </w:r>
          </w:p>
        </w:tc>
        <w:tc>
          <w:tcPr>
            <w:tcW w:w="1455" w:type="dxa"/>
            <w:tcBorders>
              <w:top w:val="single" w:sz="4" w:space="0" w:color="auto"/>
              <w:bottom w:val="single" w:sz="4" w:space="0" w:color="auto"/>
            </w:tcBorders>
            <w:shd w:val="clear" w:color="auto" w:fill="auto"/>
            <w:vAlign w:val="center"/>
          </w:tcPr>
          <w:p w14:paraId="39E84C31" w14:textId="67D666E0" w:rsidR="00FF3273" w:rsidRPr="007F051D" w:rsidRDefault="00FF3273" w:rsidP="00FF3273">
            <w:pPr>
              <w:keepNext/>
              <w:jc w:val="center"/>
              <w:rPr>
                <w:rFonts w:cs="Arial"/>
              </w:rPr>
            </w:pPr>
            <w:r>
              <w:rPr>
                <w:rFonts w:cs="Arial"/>
              </w:rPr>
              <w:t>25,200</w:t>
            </w:r>
          </w:p>
        </w:tc>
      </w:tr>
      <w:tr w:rsidR="00FF3273" w:rsidRPr="00646233" w14:paraId="6D335F00" w14:textId="77777777" w:rsidTr="00FF3273">
        <w:trPr>
          <w:jc w:val="center"/>
        </w:trPr>
        <w:tc>
          <w:tcPr>
            <w:tcW w:w="4225" w:type="dxa"/>
            <w:tcBorders>
              <w:top w:val="single" w:sz="4" w:space="0" w:color="auto"/>
              <w:bottom w:val="single" w:sz="4" w:space="0" w:color="auto"/>
            </w:tcBorders>
            <w:shd w:val="clear" w:color="auto" w:fill="auto"/>
            <w:vAlign w:val="center"/>
          </w:tcPr>
          <w:p w14:paraId="42F007F9" w14:textId="1A40FF35" w:rsidR="00FF3273" w:rsidRDefault="00FF3273" w:rsidP="00FF3273">
            <w:pPr>
              <w:keepNext/>
              <w:rPr>
                <w:rFonts w:cs="Arial"/>
              </w:rPr>
            </w:pPr>
            <w:proofErr w:type="spellStart"/>
            <w:r>
              <w:rPr>
                <w:rFonts w:cs="Arial"/>
              </w:rPr>
              <w:t>PFHxS</w:t>
            </w:r>
            <w:proofErr w:type="spellEnd"/>
          </w:p>
        </w:tc>
        <w:tc>
          <w:tcPr>
            <w:tcW w:w="3330" w:type="dxa"/>
            <w:tcBorders>
              <w:top w:val="single" w:sz="4" w:space="0" w:color="auto"/>
              <w:bottom w:val="single" w:sz="4" w:space="0" w:color="auto"/>
            </w:tcBorders>
          </w:tcPr>
          <w:p w14:paraId="0F951407" w14:textId="5AB4EB57" w:rsidR="00FF3273" w:rsidRDefault="00FF3273" w:rsidP="00FF3273">
            <w:pPr>
              <w:keepNext/>
              <w:jc w:val="center"/>
              <w:rPr>
                <w:rFonts w:cs="Arial"/>
              </w:rPr>
            </w:pPr>
            <w:r w:rsidRPr="00F04FE2">
              <w:rPr>
                <w:rFonts w:cs="Arial"/>
              </w:rPr>
              <w:t>Thyroid follicular cell damage</w:t>
            </w:r>
          </w:p>
        </w:tc>
        <w:tc>
          <w:tcPr>
            <w:tcW w:w="3510" w:type="dxa"/>
            <w:tcBorders>
              <w:top w:val="single" w:sz="4" w:space="0" w:color="auto"/>
              <w:bottom w:val="single" w:sz="4" w:space="0" w:color="auto"/>
            </w:tcBorders>
            <w:vAlign w:val="center"/>
          </w:tcPr>
          <w:p w14:paraId="62778D64" w14:textId="376A99A5" w:rsidR="00FF3273" w:rsidRDefault="00FF3273" w:rsidP="00FF3273">
            <w:pPr>
              <w:keepNext/>
              <w:jc w:val="center"/>
              <w:rPr>
                <w:rFonts w:cs="Arial"/>
              </w:rPr>
            </w:pPr>
            <w:r>
              <w:rPr>
                <w:rFonts w:cs="Arial"/>
              </w:rPr>
              <w:t>If PFBA, PFBS not detected</w:t>
            </w:r>
          </w:p>
        </w:tc>
        <w:tc>
          <w:tcPr>
            <w:tcW w:w="1455" w:type="dxa"/>
            <w:tcBorders>
              <w:top w:val="single" w:sz="4" w:space="0" w:color="auto"/>
              <w:bottom w:val="single" w:sz="4" w:space="0" w:color="auto"/>
            </w:tcBorders>
            <w:shd w:val="clear" w:color="auto" w:fill="auto"/>
            <w:vAlign w:val="center"/>
          </w:tcPr>
          <w:p w14:paraId="0D6EC2C9" w14:textId="233E9361" w:rsidR="00FF3273" w:rsidRDefault="00FF3273" w:rsidP="00FF3273">
            <w:pPr>
              <w:keepNext/>
              <w:jc w:val="center"/>
              <w:rPr>
                <w:rFonts w:cs="Arial"/>
              </w:rPr>
            </w:pPr>
            <w:r>
              <w:rPr>
                <w:rFonts w:cs="Arial"/>
              </w:rPr>
              <w:t>1,680</w:t>
            </w:r>
          </w:p>
        </w:tc>
      </w:tr>
      <w:tr w:rsidR="00FF3273" w:rsidRPr="00646233" w14:paraId="17E59DB1" w14:textId="77777777" w:rsidTr="00FF3273">
        <w:trPr>
          <w:jc w:val="center"/>
        </w:trPr>
        <w:tc>
          <w:tcPr>
            <w:tcW w:w="4225" w:type="dxa"/>
            <w:tcBorders>
              <w:top w:val="single" w:sz="4" w:space="0" w:color="auto"/>
              <w:bottom w:val="single" w:sz="4" w:space="0" w:color="auto"/>
            </w:tcBorders>
            <w:shd w:val="clear" w:color="auto" w:fill="auto"/>
            <w:vAlign w:val="center"/>
          </w:tcPr>
          <w:p w14:paraId="5CDA8D66" w14:textId="5E213D70" w:rsidR="00FF3273" w:rsidRDefault="00FF3273" w:rsidP="00FF3273">
            <w:pPr>
              <w:keepNext/>
              <w:rPr>
                <w:rFonts w:cs="Arial"/>
              </w:rPr>
            </w:pPr>
            <w:r>
              <w:rPr>
                <w:rFonts w:cs="Arial"/>
              </w:rPr>
              <w:t>PFOA</w:t>
            </w:r>
          </w:p>
        </w:tc>
        <w:tc>
          <w:tcPr>
            <w:tcW w:w="3330" w:type="dxa"/>
            <w:tcBorders>
              <w:top w:val="single" w:sz="4" w:space="0" w:color="auto"/>
              <w:bottom w:val="single" w:sz="4" w:space="0" w:color="auto"/>
            </w:tcBorders>
          </w:tcPr>
          <w:p w14:paraId="69B556F9" w14:textId="77777777" w:rsidR="00FF3273" w:rsidRPr="00F04FE2" w:rsidRDefault="00FF3273" w:rsidP="00FF3273">
            <w:pPr>
              <w:keepNext/>
              <w:keepLines/>
              <w:jc w:val="center"/>
            </w:pPr>
            <w:r w:rsidRPr="00F04FE2">
              <w:t>↑Pup activity</w:t>
            </w:r>
          </w:p>
          <w:p w14:paraId="3414A631" w14:textId="6CD68C09" w:rsidR="00FF3273" w:rsidRDefault="00FF3273" w:rsidP="00FF3273">
            <w:pPr>
              <w:keepNext/>
              <w:jc w:val="center"/>
              <w:rPr>
                <w:rFonts w:cs="Arial"/>
              </w:rPr>
            </w:pPr>
            <w:r w:rsidRPr="00F04FE2">
              <w:t>Skeletal alterations</w:t>
            </w:r>
          </w:p>
        </w:tc>
        <w:tc>
          <w:tcPr>
            <w:tcW w:w="3510" w:type="dxa"/>
            <w:tcBorders>
              <w:top w:val="single" w:sz="4" w:space="0" w:color="auto"/>
              <w:bottom w:val="single" w:sz="4" w:space="0" w:color="auto"/>
            </w:tcBorders>
            <w:vAlign w:val="center"/>
          </w:tcPr>
          <w:p w14:paraId="615717D4" w14:textId="652E1626" w:rsidR="00FF3273" w:rsidRDefault="00FF3273" w:rsidP="00FF3273">
            <w:pPr>
              <w:keepNext/>
              <w:jc w:val="center"/>
              <w:rPr>
                <w:rFonts w:cs="Arial"/>
              </w:rPr>
            </w:pPr>
            <w:r>
              <w:rPr>
                <w:rFonts w:cs="Arial"/>
              </w:rPr>
              <w:t>Always applicable</w:t>
            </w:r>
          </w:p>
        </w:tc>
        <w:tc>
          <w:tcPr>
            <w:tcW w:w="1455" w:type="dxa"/>
            <w:tcBorders>
              <w:top w:val="single" w:sz="4" w:space="0" w:color="auto"/>
              <w:bottom w:val="single" w:sz="4" w:space="0" w:color="auto"/>
            </w:tcBorders>
            <w:shd w:val="clear" w:color="auto" w:fill="auto"/>
            <w:vAlign w:val="center"/>
          </w:tcPr>
          <w:p w14:paraId="476F6795" w14:textId="1F78335C" w:rsidR="00FF3273" w:rsidRDefault="00FF3273" w:rsidP="00FF3273">
            <w:pPr>
              <w:keepNext/>
              <w:jc w:val="center"/>
              <w:rPr>
                <w:rFonts w:cs="Arial"/>
              </w:rPr>
            </w:pPr>
            <w:r>
              <w:rPr>
                <w:rFonts w:cs="Arial"/>
              </w:rPr>
              <w:t>252</w:t>
            </w:r>
          </w:p>
        </w:tc>
      </w:tr>
      <w:tr w:rsidR="00FF3273" w:rsidRPr="00646233" w14:paraId="7B8D505E" w14:textId="77777777" w:rsidTr="00FF3273">
        <w:trPr>
          <w:jc w:val="center"/>
        </w:trPr>
        <w:tc>
          <w:tcPr>
            <w:tcW w:w="4225" w:type="dxa"/>
            <w:tcBorders>
              <w:top w:val="single" w:sz="4" w:space="0" w:color="auto"/>
              <w:bottom w:val="single" w:sz="4" w:space="0" w:color="auto"/>
            </w:tcBorders>
            <w:shd w:val="clear" w:color="auto" w:fill="auto"/>
            <w:vAlign w:val="center"/>
          </w:tcPr>
          <w:p w14:paraId="7A56AF86" w14:textId="4A8B561E" w:rsidR="00FF3273" w:rsidRDefault="00FF3273" w:rsidP="00FF3273">
            <w:pPr>
              <w:keepNext/>
              <w:rPr>
                <w:rFonts w:cs="Arial"/>
              </w:rPr>
            </w:pPr>
            <w:r>
              <w:rPr>
                <w:rFonts w:cs="Arial"/>
              </w:rPr>
              <w:t>PFOS</w:t>
            </w:r>
          </w:p>
        </w:tc>
        <w:tc>
          <w:tcPr>
            <w:tcW w:w="3330" w:type="dxa"/>
            <w:tcBorders>
              <w:top w:val="single" w:sz="4" w:space="0" w:color="auto"/>
              <w:bottom w:val="single" w:sz="4" w:space="0" w:color="auto"/>
            </w:tcBorders>
          </w:tcPr>
          <w:p w14:paraId="7DC71F97" w14:textId="77777777" w:rsidR="00FF3273" w:rsidRPr="00D82EF2" w:rsidRDefault="00FF3273" w:rsidP="00FF3273">
            <w:pPr>
              <w:keepNext/>
              <w:keepLines/>
              <w:jc w:val="center"/>
            </w:pPr>
            <w:r w:rsidRPr="00D82EF2">
              <w:t xml:space="preserve">↓Pup </w:t>
            </w:r>
            <w:r>
              <w:t>body weight</w:t>
            </w:r>
          </w:p>
          <w:p w14:paraId="6D7A08C4" w14:textId="5B13DA77" w:rsidR="00FF3273" w:rsidRDefault="00FF3273" w:rsidP="00FF3273">
            <w:pPr>
              <w:keepNext/>
              <w:jc w:val="center"/>
              <w:rPr>
                <w:rFonts w:cs="Arial"/>
              </w:rPr>
            </w:pPr>
            <w:r w:rsidRPr="00D82EF2">
              <w:t>Delayed eye opening</w:t>
            </w:r>
          </w:p>
        </w:tc>
        <w:tc>
          <w:tcPr>
            <w:tcW w:w="3510" w:type="dxa"/>
            <w:tcBorders>
              <w:top w:val="single" w:sz="4" w:space="0" w:color="auto"/>
              <w:bottom w:val="single" w:sz="4" w:space="0" w:color="auto"/>
            </w:tcBorders>
            <w:vAlign w:val="center"/>
          </w:tcPr>
          <w:p w14:paraId="7CCB715F" w14:textId="17387F58" w:rsidR="00FF3273" w:rsidRDefault="00FF3273" w:rsidP="00FF3273">
            <w:pPr>
              <w:keepNext/>
              <w:jc w:val="center"/>
              <w:rPr>
                <w:rFonts w:cs="Arial"/>
              </w:rPr>
            </w:pPr>
            <w:r>
              <w:rPr>
                <w:rFonts w:cs="Arial"/>
              </w:rPr>
              <w:t>If PFNA not detected</w:t>
            </w:r>
          </w:p>
        </w:tc>
        <w:tc>
          <w:tcPr>
            <w:tcW w:w="1455" w:type="dxa"/>
            <w:tcBorders>
              <w:top w:val="single" w:sz="4" w:space="0" w:color="auto"/>
              <w:bottom w:val="single" w:sz="4" w:space="0" w:color="auto"/>
            </w:tcBorders>
            <w:shd w:val="clear" w:color="auto" w:fill="auto"/>
            <w:vAlign w:val="center"/>
          </w:tcPr>
          <w:p w14:paraId="6A989B5E" w14:textId="6539FDD3" w:rsidR="00FF3273" w:rsidRDefault="00FF3273" w:rsidP="00FF3273">
            <w:pPr>
              <w:keepNext/>
              <w:jc w:val="center"/>
              <w:rPr>
                <w:rFonts w:cs="Arial"/>
              </w:rPr>
            </w:pPr>
            <w:r>
              <w:rPr>
                <w:rFonts w:cs="Arial"/>
              </w:rPr>
              <w:t>168</w:t>
            </w:r>
          </w:p>
        </w:tc>
      </w:tr>
      <w:tr w:rsidR="00FF3273" w:rsidRPr="00646233" w14:paraId="7D06C314" w14:textId="77777777" w:rsidTr="00FF3273">
        <w:trPr>
          <w:jc w:val="center"/>
        </w:trPr>
        <w:tc>
          <w:tcPr>
            <w:tcW w:w="4225" w:type="dxa"/>
            <w:tcBorders>
              <w:top w:val="single" w:sz="4" w:space="0" w:color="auto"/>
              <w:bottom w:val="single" w:sz="4" w:space="0" w:color="auto"/>
            </w:tcBorders>
            <w:shd w:val="clear" w:color="auto" w:fill="auto"/>
            <w:vAlign w:val="center"/>
          </w:tcPr>
          <w:p w14:paraId="1CA50305" w14:textId="5E7389C6" w:rsidR="00FF3273" w:rsidRDefault="00FF3273" w:rsidP="00FF3273">
            <w:pPr>
              <w:keepNext/>
              <w:rPr>
                <w:rFonts w:cs="Arial"/>
              </w:rPr>
            </w:pPr>
            <w:r>
              <w:rPr>
                <w:rFonts w:cs="Arial"/>
              </w:rPr>
              <w:t>PFNA</w:t>
            </w:r>
          </w:p>
        </w:tc>
        <w:tc>
          <w:tcPr>
            <w:tcW w:w="3330" w:type="dxa"/>
            <w:tcBorders>
              <w:top w:val="single" w:sz="4" w:space="0" w:color="auto"/>
              <w:bottom w:val="single" w:sz="4" w:space="0" w:color="auto"/>
            </w:tcBorders>
          </w:tcPr>
          <w:p w14:paraId="23B0F5C0" w14:textId="77777777" w:rsidR="00FF3273" w:rsidRPr="00D82EF2" w:rsidRDefault="00FF3273" w:rsidP="00FF3273">
            <w:pPr>
              <w:keepNext/>
              <w:keepLines/>
              <w:jc w:val="center"/>
            </w:pPr>
            <w:r w:rsidRPr="00D82EF2">
              <w:t>↓Pup</w:t>
            </w:r>
            <w:r>
              <w:t xml:space="preserve"> body weight</w:t>
            </w:r>
          </w:p>
          <w:p w14:paraId="44FA9911" w14:textId="56D09D84" w:rsidR="00FF3273" w:rsidRDefault="00FF3273" w:rsidP="00FF3273">
            <w:pPr>
              <w:keepNext/>
              <w:jc w:val="center"/>
              <w:rPr>
                <w:rFonts w:cs="Arial"/>
              </w:rPr>
            </w:pPr>
            <w:r w:rsidRPr="00D82EF2">
              <w:t>Developmental delays</w:t>
            </w:r>
          </w:p>
        </w:tc>
        <w:tc>
          <w:tcPr>
            <w:tcW w:w="3510" w:type="dxa"/>
            <w:tcBorders>
              <w:top w:val="single" w:sz="4" w:space="0" w:color="auto"/>
              <w:bottom w:val="single" w:sz="4" w:space="0" w:color="auto"/>
            </w:tcBorders>
            <w:vAlign w:val="center"/>
          </w:tcPr>
          <w:p w14:paraId="7DCFCFC5" w14:textId="7DAF3113" w:rsidR="00FF3273" w:rsidRDefault="00FF3273" w:rsidP="00FF3273">
            <w:pPr>
              <w:keepNext/>
              <w:jc w:val="center"/>
              <w:rPr>
                <w:rFonts w:cs="Arial"/>
              </w:rPr>
            </w:pPr>
            <w:r>
              <w:rPr>
                <w:rFonts w:cs="Arial"/>
              </w:rPr>
              <w:t>If PFOS not detected</w:t>
            </w:r>
          </w:p>
        </w:tc>
        <w:tc>
          <w:tcPr>
            <w:tcW w:w="1455" w:type="dxa"/>
            <w:tcBorders>
              <w:top w:val="single" w:sz="4" w:space="0" w:color="auto"/>
              <w:bottom w:val="single" w:sz="4" w:space="0" w:color="auto"/>
            </w:tcBorders>
            <w:shd w:val="clear" w:color="auto" w:fill="auto"/>
            <w:vAlign w:val="center"/>
          </w:tcPr>
          <w:p w14:paraId="01719250" w14:textId="23C95508" w:rsidR="00FF3273" w:rsidRDefault="00FF3273" w:rsidP="00FF3273">
            <w:pPr>
              <w:keepNext/>
              <w:jc w:val="center"/>
              <w:rPr>
                <w:rFonts w:cs="Arial"/>
              </w:rPr>
            </w:pPr>
            <w:r>
              <w:rPr>
                <w:rFonts w:cs="Arial"/>
              </w:rPr>
              <w:t>252</w:t>
            </w:r>
          </w:p>
        </w:tc>
      </w:tr>
      <w:tr w:rsidR="00FF3273" w:rsidRPr="00646233" w14:paraId="5E61277D" w14:textId="77777777" w:rsidTr="00FF3273">
        <w:trPr>
          <w:jc w:val="center"/>
        </w:trPr>
        <w:tc>
          <w:tcPr>
            <w:tcW w:w="4225" w:type="dxa"/>
            <w:tcBorders>
              <w:top w:val="single" w:sz="4" w:space="0" w:color="auto"/>
              <w:bottom w:val="single" w:sz="4" w:space="0" w:color="auto"/>
            </w:tcBorders>
            <w:shd w:val="clear" w:color="auto" w:fill="auto"/>
            <w:vAlign w:val="center"/>
          </w:tcPr>
          <w:p w14:paraId="49EE3D60" w14:textId="3D3C2F6C" w:rsidR="00FF3273" w:rsidRDefault="00FF3273" w:rsidP="00FF3273">
            <w:pPr>
              <w:keepNext/>
              <w:rPr>
                <w:rFonts w:cs="Arial"/>
              </w:rPr>
            </w:pPr>
            <w:proofErr w:type="spellStart"/>
            <w:r>
              <w:rPr>
                <w:rFonts w:cs="Arial"/>
              </w:rPr>
              <w:t>GenX</w:t>
            </w:r>
            <w:proofErr w:type="spellEnd"/>
            <w:r>
              <w:rPr>
                <w:rFonts w:cs="Arial"/>
              </w:rPr>
              <w:t xml:space="preserve"> + (3/1000) x PFBA</w:t>
            </w:r>
            <w:r>
              <w:rPr>
                <w:rFonts w:cs="Arial"/>
                <w:vertAlign w:val="superscript"/>
              </w:rPr>
              <w:t>1</w:t>
            </w:r>
          </w:p>
        </w:tc>
        <w:tc>
          <w:tcPr>
            <w:tcW w:w="3330" w:type="dxa"/>
            <w:tcBorders>
              <w:top w:val="single" w:sz="4" w:space="0" w:color="auto"/>
              <w:bottom w:val="single" w:sz="4" w:space="0" w:color="auto"/>
            </w:tcBorders>
          </w:tcPr>
          <w:p w14:paraId="0C8ECDF9" w14:textId="1013C35E" w:rsidR="00FF3273" w:rsidRDefault="00FF3273" w:rsidP="004C4CB5">
            <w:pPr>
              <w:keepNext/>
              <w:jc w:val="center"/>
              <w:rPr>
                <w:rFonts w:cs="Arial"/>
              </w:rPr>
            </w:pPr>
            <w:r>
              <w:t>Liver toxicity</w:t>
            </w:r>
          </w:p>
        </w:tc>
        <w:tc>
          <w:tcPr>
            <w:tcW w:w="3510" w:type="dxa"/>
            <w:tcBorders>
              <w:top w:val="single" w:sz="4" w:space="0" w:color="auto"/>
              <w:bottom w:val="single" w:sz="4" w:space="0" w:color="auto"/>
            </w:tcBorders>
            <w:vAlign w:val="center"/>
          </w:tcPr>
          <w:p w14:paraId="53B55E38" w14:textId="5CCF020E" w:rsidR="00FF3273" w:rsidRDefault="00FF3273" w:rsidP="00FF3273">
            <w:pPr>
              <w:keepNext/>
              <w:jc w:val="center"/>
              <w:rPr>
                <w:rFonts w:cs="Arial"/>
              </w:rPr>
            </w:pPr>
            <w:r>
              <w:rPr>
                <w:rFonts w:cs="Arial"/>
              </w:rPr>
              <w:t xml:space="preserve">If </w:t>
            </w:r>
            <w:proofErr w:type="spellStart"/>
            <w:r>
              <w:rPr>
                <w:rFonts w:cs="Arial"/>
              </w:rPr>
              <w:t>GenX</w:t>
            </w:r>
            <w:proofErr w:type="spellEnd"/>
            <w:r>
              <w:rPr>
                <w:rFonts w:cs="Arial"/>
              </w:rPr>
              <w:t xml:space="preserve"> and PFBA detected</w:t>
            </w:r>
          </w:p>
        </w:tc>
        <w:tc>
          <w:tcPr>
            <w:tcW w:w="1455" w:type="dxa"/>
            <w:tcBorders>
              <w:top w:val="single" w:sz="4" w:space="0" w:color="auto"/>
              <w:bottom w:val="single" w:sz="4" w:space="0" w:color="auto"/>
            </w:tcBorders>
            <w:shd w:val="clear" w:color="auto" w:fill="auto"/>
            <w:vAlign w:val="center"/>
          </w:tcPr>
          <w:p w14:paraId="6FEC7C15" w14:textId="00B00A40" w:rsidR="00FF3273" w:rsidRDefault="00FF3273" w:rsidP="00FF3273">
            <w:pPr>
              <w:keepNext/>
              <w:jc w:val="center"/>
              <w:rPr>
                <w:rFonts w:cs="Arial"/>
              </w:rPr>
            </w:pPr>
            <w:r>
              <w:rPr>
                <w:rFonts w:cs="Arial"/>
              </w:rPr>
              <w:t>252</w:t>
            </w:r>
          </w:p>
        </w:tc>
      </w:tr>
      <w:tr w:rsidR="00FF3273" w:rsidRPr="00646233" w14:paraId="40AE35BF" w14:textId="77777777" w:rsidTr="00FF3273">
        <w:trPr>
          <w:jc w:val="center"/>
        </w:trPr>
        <w:tc>
          <w:tcPr>
            <w:tcW w:w="4225" w:type="dxa"/>
            <w:tcBorders>
              <w:top w:val="single" w:sz="4" w:space="0" w:color="auto"/>
              <w:bottom w:val="single" w:sz="4" w:space="0" w:color="auto"/>
            </w:tcBorders>
            <w:shd w:val="clear" w:color="auto" w:fill="auto"/>
            <w:vAlign w:val="center"/>
          </w:tcPr>
          <w:p w14:paraId="28B43580" w14:textId="089EF077" w:rsidR="00FF3273" w:rsidRDefault="00FF3273" w:rsidP="00FF3273">
            <w:pPr>
              <w:keepNext/>
              <w:rPr>
                <w:rFonts w:cs="Arial"/>
              </w:rPr>
            </w:pPr>
            <w:proofErr w:type="spellStart"/>
            <w:r>
              <w:rPr>
                <w:rFonts w:cs="Arial"/>
              </w:rPr>
              <w:t>PFHxS</w:t>
            </w:r>
            <w:proofErr w:type="spellEnd"/>
            <w:r>
              <w:rPr>
                <w:rFonts w:cs="Arial"/>
              </w:rPr>
              <w:t xml:space="preserve"> + [(2/100) x PFBA] + [(2/30) x PFBS]</w:t>
            </w:r>
            <w:r>
              <w:rPr>
                <w:rFonts w:cs="Arial"/>
                <w:vertAlign w:val="superscript"/>
              </w:rPr>
              <w:t>2</w:t>
            </w:r>
          </w:p>
        </w:tc>
        <w:tc>
          <w:tcPr>
            <w:tcW w:w="3330" w:type="dxa"/>
            <w:tcBorders>
              <w:top w:val="single" w:sz="4" w:space="0" w:color="auto"/>
              <w:bottom w:val="single" w:sz="4" w:space="0" w:color="auto"/>
            </w:tcBorders>
          </w:tcPr>
          <w:p w14:paraId="24A4B5BE" w14:textId="1504922C" w:rsidR="00FF3273" w:rsidRDefault="00FF3273" w:rsidP="004C4CB5">
            <w:pPr>
              <w:keepNext/>
              <w:jc w:val="center"/>
              <w:rPr>
                <w:rFonts w:cs="Arial"/>
              </w:rPr>
            </w:pPr>
            <w:r>
              <w:rPr>
                <w:rFonts w:cs="Arial"/>
              </w:rPr>
              <w:t>Thyroid Effects</w:t>
            </w:r>
          </w:p>
        </w:tc>
        <w:tc>
          <w:tcPr>
            <w:tcW w:w="3510" w:type="dxa"/>
            <w:tcBorders>
              <w:top w:val="single" w:sz="4" w:space="0" w:color="auto"/>
              <w:bottom w:val="single" w:sz="4" w:space="0" w:color="auto"/>
            </w:tcBorders>
            <w:vAlign w:val="center"/>
          </w:tcPr>
          <w:p w14:paraId="6F17C6B9" w14:textId="5D8078BC" w:rsidR="00FF3273" w:rsidRDefault="00FF3273" w:rsidP="00FF3273">
            <w:pPr>
              <w:keepNext/>
              <w:jc w:val="center"/>
              <w:rPr>
                <w:rFonts w:cs="Arial"/>
              </w:rPr>
            </w:pPr>
            <w:r>
              <w:rPr>
                <w:rFonts w:cs="Arial"/>
              </w:rPr>
              <w:t xml:space="preserve">If </w:t>
            </w:r>
            <w:proofErr w:type="spellStart"/>
            <w:r>
              <w:rPr>
                <w:rFonts w:cs="Arial"/>
              </w:rPr>
              <w:t>PFHxS</w:t>
            </w:r>
            <w:proofErr w:type="spellEnd"/>
            <w:r>
              <w:rPr>
                <w:rFonts w:cs="Arial"/>
              </w:rPr>
              <w:t>, PFBA and/or PFBS detected</w:t>
            </w:r>
          </w:p>
        </w:tc>
        <w:tc>
          <w:tcPr>
            <w:tcW w:w="1455" w:type="dxa"/>
            <w:tcBorders>
              <w:top w:val="single" w:sz="4" w:space="0" w:color="auto"/>
              <w:bottom w:val="single" w:sz="4" w:space="0" w:color="auto"/>
            </w:tcBorders>
            <w:shd w:val="clear" w:color="auto" w:fill="auto"/>
            <w:vAlign w:val="center"/>
          </w:tcPr>
          <w:p w14:paraId="24753CE7" w14:textId="5150A116" w:rsidR="00FF3273" w:rsidRDefault="00FF3273" w:rsidP="00FF3273">
            <w:pPr>
              <w:keepNext/>
              <w:jc w:val="center"/>
              <w:rPr>
                <w:rFonts w:cs="Arial"/>
              </w:rPr>
            </w:pPr>
            <w:r>
              <w:rPr>
                <w:rFonts w:cs="Arial"/>
              </w:rPr>
              <w:t>1,680</w:t>
            </w:r>
          </w:p>
        </w:tc>
      </w:tr>
      <w:tr w:rsidR="00FF3273" w:rsidRPr="00646233" w14:paraId="69AC8D89" w14:textId="77777777" w:rsidTr="00FF3273">
        <w:trPr>
          <w:jc w:val="center"/>
        </w:trPr>
        <w:tc>
          <w:tcPr>
            <w:tcW w:w="4225" w:type="dxa"/>
            <w:tcBorders>
              <w:top w:val="single" w:sz="4" w:space="0" w:color="auto"/>
              <w:bottom w:val="single" w:sz="4" w:space="0" w:color="auto"/>
            </w:tcBorders>
            <w:shd w:val="clear" w:color="auto" w:fill="auto"/>
            <w:vAlign w:val="center"/>
          </w:tcPr>
          <w:p w14:paraId="7631D20D" w14:textId="05382291" w:rsidR="00FF3273" w:rsidRDefault="00FF3273" w:rsidP="00FF3273">
            <w:pPr>
              <w:keepNext/>
              <w:rPr>
                <w:rFonts w:cs="Arial"/>
              </w:rPr>
            </w:pPr>
            <w:r>
              <w:rPr>
                <w:rFonts w:cs="Arial"/>
              </w:rPr>
              <w:t>PFOS + (2/3) x PFNA</w:t>
            </w:r>
            <w:r>
              <w:rPr>
                <w:rFonts w:cs="Arial"/>
                <w:vertAlign w:val="superscript"/>
              </w:rPr>
              <w:t>3</w:t>
            </w:r>
          </w:p>
        </w:tc>
        <w:tc>
          <w:tcPr>
            <w:tcW w:w="3330" w:type="dxa"/>
            <w:tcBorders>
              <w:top w:val="single" w:sz="4" w:space="0" w:color="auto"/>
              <w:bottom w:val="single" w:sz="4" w:space="0" w:color="auto"/>
            </w:tcBorders>
          </w:tcPr>
          <w:p w14:paraId="76C85FBF" w14:textId="77777777" w:rsidR="00FF3273" w:rsidRPr="00D82EF2" w:rsidRDefault="00FF3273" w:rsidP="00FF3273">
            <w:pPr>
              <w:keepNext/>
              <w:keepLines/>
              <w:jc w:val="center"/>
            </w:pPr>
            <w:r w:rsidRPr="00D82EF2">
              <w:t>↓Pup</w:t>
            </w:r>
            <w:r>
              <w:t xml:space="preserve"> body weight</w:t>
            </w:r>
          </w:p>
          <w:p w14:paraId="7F95D8E9" w14:textId="000E1E53" w:rsidR="00FF3273" w:rsidRDefault="00FF3273" w:rsidP="00FF3273">
            <w:pPr>
              <w:keepNext/>
              <w:jc w:val="center"/>
              <w:rPr>
                <w:rFonts w:cs="Arial"/>
              </w:rPr>
            </w:pPr>
            <w:r w:rsidRPr="00D82EF2">
              <w:t>Developmental delays</w:t>
            </w:r>
          </w:p>
        </w:tc>
        <w:tc>
          <w:tcPr>
            <w:tcW w:w="3510" w:type="dxa"/>
            <w:tcBorders>
              <w:top w:val="single" w:sz="4" w:space="0" w:color="auto"/>
              <w:bottom w:val="single" w:sz="4" w:space="0" w:color="auto"/>
            </w:tcBorders>
            <w:vAlign w:val="center"/>
          </w:tcPr>
          <w:p w14:paraId="005990F8" w14:textId="5DDCEDA6" w:rsidR="00FF3273" w:rsidRDefault="00FF3273" w:rsidP="00FF3273">
            <w:pPr>
              <w:keepNext/>
              <w:jc w:val="center"/>
              <w:rPr>
                <w:rFonts w:cs="Arial"/>
              </w:rPr>
            </w:pPr>
            <w:r>
              <w:rPr>
                <w:rFonts w:cs="Arial"/>
              </w:rPr>
              <w:t>If PFOS and PFNA detected</w:t>
            </w:r>
          </w:p>
        </w:tc>
        <w:tc>
          <w:tcPr>
            <w:tcW w:w="1455" w:type="dxa"/>
            <w:tcBorders>
              <w:top w:val="single" w:sz="4" w:space="0" w:color="auto"/>
              <w:bottom w:val="single" w:sz="4" w:space="0" w:color="auto"/>
            </w:tcBorders>
            <w:shd w:val="clear" w:color="auto" w:fill="auto"/>
            <w:vAlign w:val="center"/>
          </w:tcPr>
          <w:p w14:paraId="7054361B" w14:textId="068C1824" w:rsidR="00FF3273" w:rsidRDefault="00FF3273" w:rsidP="00FF3273">
            <w:pPr>
              <w:keepNext/>
              <w:jc w:val="center"/>
              <w:rPr>
                <w:rFonts w:cs="Arial"/>
              </w:rPr>
            </w:pPr>
            <w:r>
              <w:rPr>
                <w:rFonts w:cs="Arial"/>
              </w:rPr>
              <w:t>168</w:t>
            </w:r>
          </w:p>
        </w:tc>
      </w:tr>
    </w:tbl>
    <w:p w14:paraId="608AC331" w14:textId="0D3DE663" w:rsidR="00777DC1" w:rsidRDefault="00777DC1" w:rsidP="00FF3273">
      <w:pPr>
        <w:spacing w:after="0" w:line="240" w:lineRule="auto"/>
        <w:ind w:left="990" w:right="1080"/>
        <w:jc w:val="both"/>
        <w:rPr>
          <w:i/>
          <w:iCs/>
          <w:sz w:val="20"/>
          <w:szCs w:val="20"/>
        </w:rPr>
      </w:pPr>
      <w:r>
        <w:rPr>
          <w:i/>
          <w:iCs/>
          <w:sz w:val="20"/>
          <w:szCs w:val="20"/>
        </w:rPr>
        <w:t xml:space="preserve">[1] Assumes toxicity of </w:t>
      </w:r>
      <w:proofErr w:type="spellStart"/>
      <w:r>
        <w:rPr>
          <w:i/>
          <w:iCs/>
          <w:sz w:val="20"/>
          <w:szCs w:val="20"/>
        </w:rPr>
        <w:t>GenX</w:t>
      </w:r>
      <w:proofErr w:type="spellEnd"/>
      <w:r>
        <w:rPr>
          <w:i/>
          <w:iCs/>
          <w:sz w:val="20"/>
          <w:szCs w:val="20"/>
        </w:rPr>
        <w:t xml:space="preserve"> and PFBA are additive; action level based on toxicity of </w:t>
      </w:r>
      <w:proofErr w:type="spellStart"/>
      <w:r>
        <w:rPr>
          <w:i/>
          <w:iCs/>
          <w:sz w:val="20"/>
          <w:szCs w:val="20"/>
        </w:rPr>
        <w:t>Genx</w:t>
      </w:r>
      <w:proofErr w:type="spellEnd"/>
      <w:r>
        <w:rPr>
          <w:i/>
          <w:iCs/>
          <w:sz w:val="20"/>
          <w:szCs w:val="20"/>
        </w:rPr>
        <w:t xml:space="preserve">; PFBA concentration adjusted based on MRL for </w:t>
      </w:r>
      <w:proofErr w:type="spellStart"/>
      <w:r>
        <w:rPr>
          <w:i/>
          <w:iCs/>
          <w:sz w:val="20"/>
          <w:szCs w:val="20"/>
        </w:rPr>
        <w:t>GenX</w:t>
      </w:r>
      <w:proofErr w:type="spellEnd"/>
      <w:r>
        <w:rPr>
          <w:i/>
          <w:iCs/>
          <w:sz w:val="20"/>
          <w:szCs w:val="20"/>
        </w:rPr>
        <w:t xml:space="preserve"> relative to </w:t>
      </w:r>
      <w:proofErr w:type="gramStart"/>
      <w:r>
        <w:rPr>
          <w:i/>
          <w:iCs/>
          <w:sz w:val="20"/>
          <w:szCs w:val="20"/>
        </w:rPr>
        <w:t>PFBA</w:t>
      </w:r>
      <w:proofErr w:type="gramEnd"/>
    </w:p>
    <w:p w14:paraId="40704619" w14:textId="7133895E" w:rsidR="004F5097" w:rsidRDefault="001A54A9" w:rsidP="00FF3273">
      <w:pPr>
        <w:spacing w:after="0" w:line="240" w:lineRule="auto"/>
        <w:ind w:left="990" w:right="1080"/>
        <w:jc w:val="both"/>
        <w:rPr>
          <w:i/>
          <w:iCs/>
          <w:sz w:val="20"/>
          <w:szCs w:val="20"/>
        </w:rPr>
      </w:pPr>
      <w:r w:rsidRPr="00F25B91">
        <w:rPr>
          <w:i/>
          <w:iCs/>
          <w:sz w:val="20"/>
          <w:szCs w:val="20"/>
        </w:rPr>
        <w:t>[</w:t>
      </w:r>
      <w:r w:rsidR="00777DC1" w:rsidRPr="00F25B91">
        <w:rPr>
          <w:i/>
          <w:iCs/>
          <w:sz w:val="20"/>
          <w:szCs w:val="20"/>
        </w:rPr>
        <w:t>2</w:t>
      </w:r>
      <w:r w:rsidRPr="00F25B91">
        <w:rPr>
          <w:i/>
          <w:iCs/>
          <w:sz w:val="20"/>
          <w:szCs w:val="20"/>
        </w:rPr>
        <w:t>]</w:t>
      </w:r>
      <w:r w:rsidR="00C77633" w:rsidRPr="00F25B91">
        <w:rPr>
          <w:i/>
          <w:iCs/>
          <w:sz w:val="20"/>
          <w:szCs w:val="20"/>
        </w:rPr>
        <w:t xml:space="preserve"> Assumes toxicity of </w:t>
      </w:r>
      <w:proofErr w:type="spellStart"/>
      <w:r w:rsidR="00C77633" w:rsidRPr="00F25B91">
        <w:rPr>
          <w:i/>
          <w:iCs/>
          <w:sz w:val="20"/>
          <w:szCs w:val="20"/>
        </w:rPr>
        <w:t>PFHxS</w:t>
      </w:r>
      <w:proofErr w:type="spellEnd"/>
      <w:r w:rsidR="000C4678" w:rsidRPr="00F25B91">
        <w:rPr>
          <w:i/>
          <w:iCs/>
          <w:sz w:val="20"/>
          <w:szCs w:val="20"/>
        </w:rPr>
        <w:t xml:space="preserve">, PFBA, </w:t>
      </w:r>
      <w:r w:rsidR="00C77633" w:rsidRPr="00F25B91">
        <w:rPr>
          <w:i/>
          <w:iCs/>
          <w:sz w:val="20"/>
          <w:szCs w:val="20"/>
        </w:rPr>
        <w:t xml:space="preserve">and PFBS are </w:t>
      </w:r>
      <w:r w:rsidR="0094486A" w:rsidRPr="00F25B91">
        <w:rPr>
          <w:i/>
          <w:iCs/>
          <w:sz w:val="20"/>
          <w:szCs w:val="20"/>
        </w:rPr>
        <w:t>additive</w:t>
      </w:r>
      <w:r w:rsidR="00C77633" w:rsidRPr="00F25B91">
        <w:rPr>
          <w:i/>
          <w:iCs/>
          <w:sz w:val="20"/>
          <w:szCs w:val="20"/>
        </w:rPr>
        <w:t>;</w:t>
      </w:r>
      <w:r w:rsidRPr="00F25B91">
        <w:rPr>
          <w:i/>
          <w:iCs/>
          <w:sz w:val="20"/>
          <w:szCs w:val="20"/>
        </w:rPr>
        <w:t xml:space="preserve"> </w:t>
      </w:r>
      <w:r w:rsidR="00C77633" w:rsidRPr="00F25B91">
        <w:rPr>
          <w:i/>
          <w:iCs/>
          <w:sz w:val="20"/>
          <w:szCs w:val="20"/>
        </w:rPr>
        <w:t>a</w:t>
      </w:r>
      <w:r w:rsidRPr="00F25B91">
        <w:rPr>
          <w:i/>
          <w:iCs/>
          <w:sz w:val="20"/>
          <w:szCs w:val="20"/>
        </w:rPr>
        <w:t xml:space="preserve">ction level based on toxicity of </w:t>
      </w:r>
      <w:proofErr w:type="spellStart"/>
      <w:r w:rsidRPr="00F25B91">
        <w:rPr>
          <w:i/>
          <w:iCs/>
          <w:sz w:val="20"/>
          <w:szCs w:val="20"/>
        </w:rPr>
        <w:t>PFHxS</w:t>
      </w:r>
      <w:proofErr w:type="spellEnd"/>
      <w:r w:rsidRPr="00F25B91">
        <w:rPr>
          <w:i/>
          <w:iCs/>
          <w:sz w:val="20"/>
          <w:szCs w:val="20"/>
        </w:rPr>
        <w:t xml:space="preserve">; </w:t>
      </w:r>
      <w:r w:rsidR="000C4678" w:rsidRPr="00F25B91">
        <w:rPr>
          <w:i/>
          <w:iCs/>
          <w:sz w:val="20"/>
          <w:szCs w:val="20"/>
        </w:rPr>
        <w:t xml:space="preserve">PFBA and </w:t>
      </w:r>
      <w:r w:rsidRPr="00F25B91">
        <w:rPr>
          <w:i/>
          <w:iCs/>
          <w:sz w:val="20"/>
          <w:szCs w:val="20"/>
        </w:rPr>
        <w:t>PFBS concentration</w:t>
      </w:r>
      <w:r w:rsidR="000C4678" w:rsidRPr="00F25B91">
        <w:rPr>
          <w:i/>
          <w:iCs/>
          <w:sz w:val="20"/>
          <w:szCs w:val="20"/>
        </w:rPr>
        <w:t>s</w:t>
      </w:r>
      <w:r w:rsidRPr="00F25B91">
        <w:rPr>
          <w:i/>
          <w:iCs/>
          <w:sz w:val="20"/>
          <w:szCs w:val="20"/>
        </w:rPr>
        <w:t xml:space="preserve"> adjusted based on MRL for </w:t>
      </w:r>
      <w:proofErr w:type="spellStart"/>
      <w:r w:rsidRPr="00F25B91">
        <w:rPr>
          <w:i/>
          <w:iCs/>
          <w:sz w:val="20"/>
          <w:szCs w:val="20"/>
        </w:rPr>
        <w:t>PFHxS</w:t>
      </w:r>
      <w:proofErr w:type="spellEnd"/>
      <w:r w:rsidRPr="00F25B91">
        <w:rPr>
          <w:i/>
          <w:iCs/>
          <w:sz w:val="20"/>
          <w:szCs w:val="20"/>
        </w:rPr>
        <w:t xml:space="preserve"> relative to </w:t>
      </w:r>
      <w:r w:rsidR="000C4678" w:rsidRPr="00F25B91">
        <w:rPr>
          <w:i/>
          <w:iCs/>
          <w:sz w:val="20"/>
          <w:szCs w:val="20"/>
        </w:rPr>
        <w:t xml:space="preserve">PFBA, </w:t>
      </w:r>
      <w:r w:rsidRPr="00F25B91">
        <w:rPr>
          <w:i/>
          <w:iCs/>
          <w:sz w:val="20"/>
          <w:szCs w:val="20"/>
        </w:rPr>
        <w:t>PFBS</w:t>
      </w:r>
      <w:r w:rsidR="000C4678">
        <w:rPr>
          <w:i/>
          <w:iCs/>
          <w:sz w:val="20"/>
          <w:szCs w:val="20"/>
        </w:rPr>
        <w:t xml:space="preserve">, </w:t>
      </w:r>
      <w:r w:rsidR="0061294C">
        <w:rPr>
          <w:i/>
          <w:iCs/>
          <w:sz w:val="20"/>
          <w:szCs w:val="20"/>
        </w:rPr>
        <w:t>respectively.</w:t>
      </w:r>
    </w:p>
    <w:p w14:paraId="3848FA03" w14:textId="5E6FE9DF" w:rsidR="001A54A9" w:rsidRDefault="001A54A9" w:rsidP="00FF3273">
      <w:pPr>
        <w:spacing w:after="0" w:line="240" w:lineRule="auto"/>
        <w:ind w:left="990" w:right="1080"/>
        <w:jc w:val="both"/>
        <w:rPr>
          <w:i/>
          <w:iCs/>
          <w:sz w:val="20"/>
          <w:szCs w:val="20"/>
        </w:rPr>
      </w:pPr>
      <w:r w:rsidRPr="00BF3301">
        <w:rPr>
          <w:i/>
          <w:iCs/>
          <w:sz w:val="20"/>
          <w:szCs w:val="20"/>
        </w:rPr>
        <w:t>[</w:t>
      </w:r>
      <w:r w:rsidR="00777DC1" w:rsidRPr="00BF3301">
        <w:rPr>
          <w:i/>
          <w:iCs/>
          <w:sz w:val="20"/>
          <w:szCs w:val="20"/>
        </w:rPr>
        <w:t>3</w:t>
      </w:r>
      <w:r w:rsidRPr="00BF3301">
        <w:rPr>
          <w:i/>
          <w:iCs/>
          <w:sz w:val="20"/>
          <w:szCs w:val="20"/>
        </w:rPr>
        <w:t>] A</w:t>
      </w:r>
      <w:r w:rsidR="00C77633" w:rsidRPr="00BF3301">
        <w:rPr>
          <w:i/>
          <w:iCs/>
          <w:sz w:val="20"/>
          <w:szCs w:val="20"/>
        </w:rPr>
        <w:t>ssumes toxicity of PFOS and PFNA are additive; a</w:t>
      </w:r>
      <w:r w:rsidRPr="00BF3301">
        <w:rPr>
          <w:i/>
          <w:iCs/>
          <w:sz w:val="20"/>
          <w:szCs w:val="20"/>
        </w:rPr>
        <w:t>ction level based on toxicity of PFOS; PFNA concentration adjusted based on MRL for PFOS relative to PFNA</w:t>
      </w:r>
      <w:r w:rsidR="00A6438B" w:rsidRPr="00BF3301">
        <w:rPr>
          <w:i/>
          <w:iCs/>
          <w:sz w:val="20"/>
          <w:szCs w:val="20"/>
        </w:rPr>
        <w:t>.</w:t>
      </w:r>
    </w:p>
    <w:p w14:paraId="10986C65" w14:textId="7E1E2226" w:rsidR="000C4678" w:rsidRDefault="000C4678" w:rsidP="00070ACB">
      <w:pPr>
        <w:spacing w:after="0" w:line="240" w:lineRule="auto"/>
        <w:ind w:right="1080"/>
        <w:jc w:val="both"/>
        <w:rPr>
          <w:i/>
          <w:iCs/>
          <w:sz w:val="20"/>
          <w:szCs w:val="20"/>
        </w:rPr>
      </w:pPr>
    </w:p>
    <w:p w14:paraId="651101AA" w14:textId="77777777" w:rsidR="000C4678" w:rsidRPr="004F5097" w:rsidRDefault="000C4678" w:rsidP="00F25B91">
      <w:pPr>
        <w:spacing w:after="0" w:line="240" w:lineRule="auto"/>
        <w:ind w:right="1080"/>
        <w:jc w:val="both"/>
        <w:rPr>
          <w:i/>
          <w:iCs/>
          <w:sz w:val="20"/>
          <w:szCs w:val="20"/>
        </w:rPr>
      </w:pPr>
    </w:p>
    <w:p w14:paraId="1B69BF81" w14:textId="77777777" w:rsidR="00500269" w:rsidRDefault="00D00B7E">
      <w:pPr>
        <w:rPr>
          <w:sz w:val="24"/>
          <w:szCs w:val="24"/>
        </w:rPr>
        <w:sectPr w:rsidR="00500269" w:rsidSect="00726623">
          <w:pgSz w:w="15840" w:h="12240" w:orient="landscape"/>
          <w:pgMar w:top="2070" w:right="720" w:bottom="720" w:left="720" w:header="720" w:footer="720" w:gutter="0"/>
          <w:cols w:space="720"/>
          <w:docGrid w:linePitch="360"/>
        </w:sectPr>
      </w:pPr>
      <w:r>
        <w:rPr>
          <w:sz w:val="24"/>
          <w:szCs w:val="24"/>
        </w:rPr>
        <w:br w:type="page"/>
      </w:r>
    </w:p>
    <w:p w14:paraId="7CE085B8" w14:textId="77777777" w:rsidR="00D00B7E" w:rsidRDefault="00D00B7E">
      <w:pPr>
        <w:rPr>
          <w:sz w:val="24"/>
          <w:szCs w:val="24"/>
        </w:rPr>
      </w:pPr>
    </w:p>
    <w:p w14:paraId="07DC8D9E" w14:textId="4C8DB71C" w:rsidR="0083449C" w:rsidRDefault="0083449C" w:rsidP="00BD4CEE">
      <w:pPr>
        <w:spacing w:line="240" w:lineRule="auto"/>
        <w:jc w:val="both"/>
        <w:rPr>
          <w:sz w:val="24"/>
          <w:szCs w:val="24"/>
        </w:rPr>
      </w:pPr>
      <w:bookmarkStart w:id="15" w:name="_Hlk164787584"/>
      <w:r>
        <w:rPr>
          <w:sz w:val="24"/>
          <w:szCs w:val="24"/>
        </w:rPr>
        <w:t xml:space="preserve">The </w:t>
      </w:r>
      <w:r w:rsidR="00BC1127">
        <w:rPr>
          <w:sz w:val="24"/>
          <w:szCs w:val="24"/>
        </w:rPr>
        <w:t>scenarios below illustrate application of the action levels</w:t>
      </w:r>
      <w:r w:rsidR="009D4AA4">
        <w:rPr>
          <w:sz w:val="24"/>
          <w:szCs w:val="24"/>
        </w:rPr>
        <w:t xml:space="preserve"> shown in Table 3-2</w:t>
      </w:r>
      <w:r w:rsidR="00500269">
        <w:rPr>
          <w:sz w:val="24"/>
          <w:szCs w:val="24"/>
        </w:rPr>
        <w:t>, for when an individual PFAS exceeds the PBAL</w:t>
      </w:r>
      <w:r w:rsidR="00EA59AA">
        <w:rPr>
          <w:sz w:val="24"/>
          <w:szCs w:val="24"/>
        </w:rPr>
        <w:t xml:space="preserve">.  For example, in Scenario A, although the PFOS </w:t>
      </w:r>
      <w:r w:rsidR="00220886">
        <w:rPr>
          <w:sz w:val="24"/>
          <w:szCs w:val="24"/>
        </w:rPr>
        <w:t>EPC</w:t>
      </w:r>
      <w:r w:rsidR="00EA59AA">
        <w:rPr>
          <w:sz w:val="24"/>
          <w:szCs w:val="24"/>
        </w:rPr>
        <w:t xml:space="preserve"> exceeds the PBAL of 90 ng/L</w:t>
      </w:r>
      <w:r w:rsidR="00A64B6B">
        <w:rPr>
          <w:sz w:val="24"/>
          <w:szCs w:val="24"/>
        </w:rPr>
        <w:t xml:space="preserve">, the total equivalent PFOS </w:t>
      </w:r>
      <w:r w:rsidR="00220886">
        <w:rPr>
          <w:sz w:val="24"/>
          <w:szCs w:val="24"/>
        </w:rPr>
        <w:t>EPC</w:t>
      </w:r>
      <w:r w:rsidR="00A64B6B">
        <w:rPr>
          <w:sz w:val="24"/>
          <w:szCs w:val="24"/>
        </w:rPr>
        <w:t xml:space="preserve"> of PFOS and PFNA is less than 168 ng/L. In contrast, for Scenario B, the total equivalent PFOS </w:t>
      </w:r>
      <w:r w:rsidR="00220886">
        <w:rPr>
          <w:sz w:val="24"/>
          <w:szCs w:val="24"/>
        </w:rPr>
        <w:t>EPC</w:t>
      </w:r>
      <w:r w:rsidR="00A64B6B">
        <w:rPr>
          <w:sz w:val="24"/>
          <w:szCs w:val="24"/>
        </w:rPr>
        <w:t xml:space="preserve"> is greater than</w:t>
      </w:r>
      <w:r w:rsidR="00220886">
        <w:rPr>
          <w:sz w:val="24"/>
          <w:szCs w:val="24"/>
        </w:rPr>
        <w:t xml:space="preserve"> 168 ng/L.</w:t>
      </w:r>
      <w:r w:rsidR="00A64B6B">
        <w:rPr>
          <w:sz w:val="24"/>
          <w:szCs w:val="24"/>
        </w:rPr>
        <w:t xml:space="preserve"> </w:t>
      </w:r>
    </w:p>
    <w:tbl>
      <w:tblPr>
        <w:tblW w:w="7740" w:type="dxa"/>
        <w:tblLook w:val="04A0" w:firstRow="1" w:lastRow="0" w:firstColumn="1" w:lastColumn="0" w:noHBand="0" w:noVBand="1"/>
      </w:tblPr>
      <w:tblGrid>
        <w:gridCol w:w="1612"/>
        <w:gridCol w:w="1448"/>
        <w:gridCol w:w="1201"/>
        <w:gridCol w:w="3479"/>
      </w:tblGrid>
      <w:tr w:rsidR="00BC1127" w:rsidRPr="00A0005F" w14:paraId="69758DD7" w14:textId="77777777" w:rsidTr="00E80D12">
        <w:trPr>
          <w:trHeight w:val="290"/>
        </w:trPr>
        <w:tc>
          <w:tcPr>
            <w:tcW w:w="3060" w:type="dxa"/>
            <w:gridSpan w:val="2"/>
            <w:tcBorders>
              <w:top w:val="nil"/>
              <w:left w:val="nil"/>
              <w:bottom w:val="nil"/>
              <w:right w:val="nil"/>
            </w:tcBorders>
            <w:shd w:val="clear" w:color="auto" w:fill="auto"/>
            <w:noWrap/>
            <w:vAlign w:val="bottom"/>
            <w:hideMark/>
          </w:tcPr>
          <w:bookmarkEnd w:id="15"/>
          <w:p w14:paraId="26806DDB" w14:textId="7CA6450C" w:rsidR="00BC1127" w:rsidRPr="00A0005F" w:rsidRDefault="00BC1127">
            <w:pPr>
              <w:spacing w:after="0" w:line="240" w:lineRule="auto"/>
              <w:rPr>
                <w:rFonts w:ascii="Calibri" w:eastAsia="Times New Roman" w:hAnsi="Calibri" w:cs="Times New Roman"/>
                <w:b/>
                <w:bCs/>
                <w:i/>
                <w:iCs/>
                <w:color w:val="000000"/>
              </w:rPr>
            </w:pPr>
            <w:r>
              <w:rPr>
                <w:rFonts w:ascii="Calibri" w:eastAsia="Times New Roman" w:hAnsi="Calibri" w:cs="Times New Roman"/>
                <w:b/>
                <w:bCs/>
                <w:i/>
                <w:iCs/>
                <w:color w:val="000000"/>
              </w:rPr>
              <w:t>Scenario</w:t>
            </w:r>
            <w:r w:rsidRPr="00A0005F">
              <w:rPr>
                <w:rFonts w:ascii="Calibri" w:eastAsia="Times New Roman" w:hAnsi="Calibri" w:cs="Times New Roman"/>
                <w:b/>
                <w:bCs/>
                <w:i/>
                <w:iCs/>
                <w:color w:val="000000"/>
              </w:rPr>
              <w:t xml:space="preserve"> A: PFOS </w:t>
            </w:r>
            <w:r w:rsidR="00C77633">
              <w:rPr>
                <w:rFonts w:ascii="Calibri" w:eastAsia="Times New Roman" w:hAnsi="Calibri" w:cs="Times New Roman"/>
                <w:b/>
                <w:bCs/>
                <w:i/>
                <w:iCs/>
                <w:color w:val="000000"/>
              </w:rPr>
              <w:t xml:space="preserve">EPC </w:t>
            </w:r>
            <w:r w:rsidRPr="00A0005F">
              <w:rPr>
                <w:rFonts w:ascii="Calibri" w:eastAsia="Times New Roman" w:hAnsi="Calibri" w:cs="Times New Roman"/>
                <w:b/>
                <w:bCs/>
                <w:i/>
                <w:iCs/>
                <w:color w:val="000000"/>
              </w:rPr>
              <w:t xml:space="preserve">&gt; </w:t>
            </w:r>
            <w:r>
              <w:rPr>
                <w:rFonts w:ascii="Calibri" w:eastAsia="Times New Roman" w:hAnsi="Calibri" w:cs="Times New Roman"/>
                <w:b/>
                <w:bCs/>
                <w:i/>
                <w:iCs/>
                <w:color w:val="000000"/>
              </w:rPr>
              <w:t>90</w:t>
            </w:r>
            <w:r w:rsidRPr="00A0005F">
              <w:rPr>
                <w:rFonts w:ascii="Calibri" w:eastAsia="Times New Roman" w:hAnsi="Calibri" w:cs="Times New Roman"/>
                <w:b/>
                <w:bCs/>
                <w:i/>
                <w:iCs/>
                <w:color w:val="000000"/>
              </w:rPr>
              <w:t xml:space="preserve"> ng/L</w:t>
            </w:r>
          </w:p>
        </w:tc>
        <w:tc>
          <w:tcPr>
            <w:tcW w:w="1201" w:type="dxa"/>
            <w:tcBorders>
              <w:top w:val="nil"/>
              <w:left w:val="nil"/>
              <w:bottom w:val="nil"/>
              <w:right w:val="nil"/>
            </w:tcBorders>
            <w:shd w:val="clear" w:color="auto" w:fill="auto"/>
            <w:noWrap/>
            <w:vAlign w:val="bottom"/>
            <w:hideMark/>
          </w:tcPr>
          <w:p w14:paraId="28033617" w14:textId="77777777" w:rsidR="00BC1127" w:rsidRPr="00A0005F" w:rsidRDefault="00BC1127">
            <w:pPr>
              <w:spacing w:after="0" w:line="240" w:lineRule="auto"/>
              <w:rPr>
                <w:rFonts w:ascii="Calibri" w:eastAsia="Times New Roman" w:hAnsi="Calibri" w:cs="Times New Roman"/>
                <w:b/>
                <w:bCs/>
                <w:i/>
                <w:iCs/>
                <w:color w:val="000000"/>
              </w:rPr>
            </w:pPr>
          </w:p>
        </w:tc>
        <w:tc>
          <w:tcPr>
            <w:tcW w:w="3479" w:type="dxa"/>
            <w:tcBorders>
              <w:top w:val="nil"/>
              <w:left w:val="nil"/>
              <w:bottom w:val="nil"/>
              <w:right w:val="nil"/>
            </w:tcBorders>
            <w:shd w:val="clear" w:color="auto" w:fill="auto"/>
            <w:noWrap/>
            <w:vAlign w:val="bottom"/>
            <w:hideMark/>
          </w:tcPr>
          <w:p w14:paraId="1E3EC76E" w14:textId="77777777" w:rsidR="00BC1127" w:rsidRPr="00A0005F" w:rsidRDefault="00BC1127">
            <w:pPr>
              <w:spacing w:after="0" w:line="240" w:lineRule="auto"/>
              <w:rPr>
                <w:rFonts w:ascii="Times New Roman" w:eastAsia="Times New Roman" w:hAnsi="Times New Roman" w:cs="Times New Roman"/>
                <w:sz w:val="20"/>
                <w:szCs w:val="20"/>
              </w:rPr>
            </w:pPr>
          </w:p>
        </w:tc>
      </w:tr>
      <w:tr w:rsidR="00BC1127" w:rsidRPr="00A0005F" w14:paraId="383A38C8" w14:textId="77777777" w:rsidTr="00E80D12">
        <w:trPr>
          <w:trHeight w:val="290"/>
        </w:trPr>
        <w:tc>
          <w:tcPr>
            <w:tcW w:w="1612" w:type="dxa"/>
            <w:tcBorders>
              <w:top w:val="nil"/>
              <w:left w:val="nil"/>
              <w:bottom w:val="nil"/>
              <w:right w:val="nil"/>
            </w:tcBorders>
            <w:shd w:val="clear" w:color="000000" w:fill="B8CCE4"/>
            <w:noWrap/>
            <w:vAlign w:val="bottom"/>
            <w:hideMark/>
          </w:tcPr>
          <w:p w14:paraId="5DCF6ADD" w14:textId="77777777" w:rsidR="00BC1127" w:rsidRPr="00A0005F" w:rsidRDefault="00BC1127">
            <w:pPr>
              <w:spacing w:after="0" w:line="240" w:lineRule="auto"/>
              <w:rPr>
                <w:rFonts w:ascii="Calibri" w:eastAsia="Times New Roman" w:hAnsi="Calibri" w:cs="Times New Roman"/>
                <w:b/>
                <w:bCs/>
                <w:color w:val="000000"/>
              </w:rPr>
            </w:pPr>
            <w:r w:rsidRPr="00A0005F">
              <w:rPr>
                <w:rFonts w:ascii="Calibri" w:eastAsia="Times New Roman" w:hAnsi="Calibri" w:cs="Times New Roman"/>
                <w:b/>
                <w:bCs/>
                <w:color w:val="000000"/>
              </w:rPr>
              <w:t>PFAS</w:t>
            </w:r>
          </w:p>
        </w:tc>
        <w:tc>
          <w:tcPr>
            <w:tcW w:w="1448" w:type="dxa"/>
            <w:tcBorders>
              <w:top w:val="nil"/>
              <w:left w:val="nil"/>
              <w:bottom w:val="nil"/>
              <w:right w:val="nil"/>
            </w:tcBorders>
            <w:shd w:val="clear" w:color="000000" w:fill="B8CCE4"/>
            <w:noWrap/>
            <w:vAlign w:val="center"/>
            <w:hideMark/>
          </w:tcPr>
          <w:p w14:paraId="7943807D" w14:textId="6C4D9E75" w:rsidR="00BC1127" w:rsidRPr="00A0005F" w:rsidRDefault="00C7763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EPC</w:t>
            </w:r>
          </w:p>
        </w:tc>
        <w:tc>
          <w:tcPr>
            <w:tcW w:w="4680" w:type="dxa"/>
            <w:gridSpan w:val="2"/>
            <w:vMerge w:val="restart"/>
            <w:tcBorders>
              <w:top w:val="nil"/>
              <w:left w:val="nil"/>
              <w:bottom w:val="nil"/>
              <w:right w:val="nil"/>
            </w:tcBorders>
            <w:shd w:val="clear" w:color="000000" w:fill="EBF1DE"/>
            <w:vAlign w:val="center"/>
            <w:hideMark/>
          </w:tcPr>
          <w:p w14:paraId="2DA5444E" w14:textId="77777777" w:rsidR="00BC1127" w:rsidRPr="00A0005F" w:rsidRDefault="00BC1127">
            <w:pPr>
              <w:spacing w:after="0" w:line="240" w:lineRule="auto"/>
              <w:jc w:val="center"/>
              <w:rPr>
                <w:rFonts w:ascii="Calibri" w:eastAsia="Times New Roman" w:hAnsi="Calibri" w:cs="Times New Roman"/>
                <w:color w:val="000000"/>
                <w:sz w:val="20"/>
                <w:szCs w:val="20"/>
              </w:rPr>
            </w:pPr>
            <w:r w:rsidRPr="00A0005F">
              <w:rPr>
                <w:rFonts w:ascii="Calibri" w:eastAsia="Times New Roman" w:hAnsi="Calibri" w:cs="Times New Roman"/>
                <w:color w:val="000000"/>
                <w:sz w:val="20"/>
                <w:szCs w:val="20"/>
              </w:rPr>
              <w:t xml:space="preserve">•PFOS + </w:t>
            </w:r>
            <w:r>
              <w:rPr>
                <w:rFonts w:ascii="Calibri" w:eastAsia="Times New Roman" w:hAnsi="Calibri" w:cs="Times New Roman"/>
                <w:color w:val="000000"/>
                <w:sz w:val="20"/>
                <w:szCs w:val="20"/>
              </w:rPr>
              <w:t>(MRL</w:t>
            </w:r>
            <w:r w:rsidRPr="00F03125">
              <w:rPr>
                <w:rFonts w:ascii="Calibri" w:eastAsia="Times New Roman" w:hAnsi="Calibri" w:cs="Times New Roman"/>
                <w:color w:val="000000"/>
                <w:sz w:val="20"/>
                <w:szCs w:val="20"/>
                <w:vertAlign w:val="subscript"/>
              </w:rPr>
              <w:t>PF</w:t>
            </w:r>
            <w:r>
              <w:rPr>
                <w:rFonts w:ascii="Calibri" w:eastAsia="Times New Roman" w:hAnsi="Calibri" w:cs="Times New Roman"/>
                <w:color w:val="000000"/>
                <w:sz w:val="20"/>
                <w:szCs w:val="20"/>
                <w:vertAlign w:val="subscript"/>
              </w:rPr>
              <w:t>OS</w:t>
            </w:r>
            <w:r>
              <w:rPr>
                <w:rFonts w:ascii="Calibri" w:eastAsia="Times New Roman" w:hAnsi="Calibri" w:cs="Times New Roman"/>
                <w:color w:val="000000"/>
                <w:sz w:val="20"/>
                <w:szCs w:val="20"/>
              </w:rPr>
              <w:t>/MRL</w:t>
            </w:r>
            <w:r w:rsidRPr="00F03125">
              <w:rPr>
                <w:rFonts w:ascii="Calibri" w:eastAsia="Times New Roman" w:hAnsi="Calibri" w:cs="Times New Roman"/>
                <w:color w:val="000000"/>
                <w:sz w:val="20"/>
                <w:szCs w:val="20"/>
                <w:vertAlign w:val="subscript"/>
              </w:rPr>
              <w:t>PF</w:t>
            </w:r>
            <w:r>
              <w:rPr>
                <w:rFonts w:ascii="Calibri" w:eastAsia="Times New Roman" w:hAnsi="Calibri" w:cs="Times New Roman"/>
                <w:color w:val="000000"/>
                <w:sz w:val="20"/>
                <w:szCs w:val="20"/>
                <w:vertAlign w:val="subscript"/>
              </w:rPr>
              <w:t>NA</w:t>
            </w:r>
            <w:r>
              <w:rPr>
                <w:rFonts w:ascii="Calibri" w:eastAsia="Times New Roman" w:hAnsi="Calibri" w:cs="Times New Roman"/>
                <w:color w:val="000000"/>
                <w:sz w:val="20"/>
                <w:szCs w:val="20"/>
              </w:rPr>
              <w:t>)*</w:t>
            </w:r>
            <w:r w:rsidRPr="00A0005F">
              <w:rPr>
                <w:rFonts w:ascii="Calibri" w:eastAsia="Times New Roman" w:hAnsi="Calibri" w:cs="Times New Roman"/>
                <w:color w:val="000000"/>
                <w:sz w:val="20"/>
                <w:szCs w:val="20"/>
              </w:rPr>
              <w:t>PFNA &lt; 168 ng/L</w:t>
            </w:r>
            <w:r w:rsidRPr="00A0005F">
              <w:rPr>
                <w:rFonts w:ascii="Calibri" w:eastAsia="Times New Roman" w:hAnsi="Calibri" w:cs="Times New Roman"/>
                <w:color w:val="000000"/>
                <w:sz w:val="20"/>
                <w:szCs w:val="20"/>
              </w:rPr>
              <w:br/>
              <w:t xml:space="preserve">   </w:t>
            </w:r>
            <w:r w:rsidRPr="00A0005F">
              <w:rPr>
                <w:rFonts w:ascii="Arial" w:eastAsia="Times New Roman" w:hAnsi="Arial" w:cs="Arial"/>
                <w:color w:val="000000"/>
                <w:sz w:val="20"/>
                <w:szCs w:val="20"/>
              </w:rPr>
              <w:t>►</w:t>
            </w:r>
            <w:r w:rsidRPr="00A0005F">
              <w:rPr>
                <w:rFonts w:ascii="Calibri" w:eastAsia="Times New Roman" w:hAnsi="Calibri" w:cs="Times New Roman"/>
                <w:color w:val="000000"/>
                <w:sz w:val="20"/>
                <w:szCs w:val="20"/>
              </w:rPr>
              <w:t xml:space="preserve"> Swimming is </w:t>
            </w:r>
            <w:r w:rsidRPr="00A0005F">
              <w:rPr>
                <w:rFonts w:ascii="Calibri" w:eastAsia="Times New Roman" w:hAnsi="Calibri" w:cs="Times New Roman"/>
                <w:b/>
                <w:bCs/>
                <w:color w:val="000000"/>
                <w:sz w:val="20"/>
                <w:szCs w:val="20"/>
              </w:rPr>
              <w:t>safe</w:t>
            </w:r>
            <w:r w:rsidRPr="00A0005F">
              <w:rPr>
                <w:rFonts w:ascii="Calibri" w:eastAsia="Times New Roman" w:hAnsi="Calibri" w:cs="Times New Roman"/>
                <w:color w:val="000000"/>
                <w:sz w:val="20"/>
                <w:szCs w:val="20"/>
              </w:rPr>
              <w:t xml:space="preserve"> at Public Beach A</w:t>
            </w:r>
          </w:p>
        </w:tc>
      </w:tr>
      <w:tr w:rsidR="00BC1127" w:rsidRPr="00A0005F" w14:paraId="2DC899DF" w14:textId="77777777" w:rsidTr="00E80D12">
        <w:trPr>
          <w:trHeight w:val="290"/>
        </w:trPr>
        <w:tc>
          <w:tcPr>
            <w:tcW w:w="1612" w:type="dxa"/>
            <w:tcBorders>
              <w:top w:val="nil"/>
              <w:left w:val="nil"/>
              <w:bottom w:val="nil"/>
              <w:right w:val="nil"/>
            </w:tcBorders>
            <w:shd w:val="clear" w:color="000000" w:fill="DCE6F1"/>
            <w:noWrap/>
            <w:vAlign w:val="center"/>
            <w:hideMark/>
          </w:tcPr>
          <w:p w14:paraId="2CA11F55" w14:textId="77777777" w:rsidR="00BC1127" w:rsidRPr="00A0005F" w:rsidRDefault="00BC1127">
            <w:pPr>
              <w:spacing w:after="0" w:line="240" w:lineRule="auto"/>
              <w:rPr>
                <w:rFonts w:ascii="Calibri" w:eastAsia="Times New Roman" w:hAnsi="Calibri" w:cs="Times New Roman"/>
                <w:color w:val="000000"/>
              </w:rPr>
            </w:pPr>
            <w:proofErr w:type="spellStart"/>
            <w:r w:rsidRPr="00A0005F">
              <w:rPr>
                <w:rFonts w:ascii="Calibri" w:eastAsia="Times New Roman" w:hAnsi="Calibri" w:cs="Times New Roman"/>
                <w:color w:val="000000"/>
              </w:rPr>
              <w:t>GenX</w:t>
            </w:r>
            <w:proofErr w:type="spellEnd"/>
          </w:p>
        </w:tc>
        <w:tc>
          <w:tcPr>
            <w:tcW w:w="1448" w:type="dxa"/>
            <w:tcBorders>
              <w:top w:val="nil"/>
              <w:left w:val="nil"/>
              <w:bottom w:val="nil"/>
              <w:right w:val="nil"/>
            </w:tcBorders>
            <w:shd w:val="clear" w:color="000000" w:fill="DCE6F1"/>
            <w:noWrap/>
            <w:vAlign w:val="center"/>
            <w:hideMark/>
          </w:tcPr>
          <w:p w14:paraId="3C3BCF14" w14:textId="7CEE1A34" w:rsidR="00BC1127" w:rsidRPr="00A0005F" w:rsidRDefault="00B4790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ND</w:t>
            </w:r>
          </w:p>
        </w:tc>
        <w:tc>
          <w:tcPr>
            <w:tcW w:w="4680" w:type="dxa"/>
            <w:gridSpan w:val="2"/>
            <w:vMerge/>
            <w:tcBorders>
              <w:top w:val="nil"/>
              <w:left w:val="nil"/>
              <w:bottom w:val="nil"/>
              <w:right w:val="nil"/>
            </w:tcBorders>
            <w:vAlign w:val="center"/>
            <w:hideMark/>
          </w:tcPr>
          <w:p w14:paraId="5D840BE1" w14:textId="77777777" w:rsidR="00BC1127" w:rsidRPr="00A0005F" w:rsidRDefault="00BC1127">
            <w:pPr>
              <w:spacing w:after="0" w:line="240" w:lineRule="auto"/>
              <w:rPr>
                <w:rFonts w:ascii="Calibri" w:eastAsia="Times New Roman" w:hAnsi="Calibri" w:cs="Times New Roman"/>
                <w:color w:val="000000"/>
                <w:sz w:val="20"/>
                <w:szCs w:val="20"/>
              </w:rPr>
            </w:pPr>
          </w:p>
        </w:tc>
      </w:tr>
      <w:tr w:rsidR="00D04DC2" w:rsidRPr="00A0005F" w14:paraId="6C7881E9" w14:textId="77777777" w:rsidTr="00E80D12">
        <w:trPr>
          <w:trHeight w:val="290"/>
        </w:trPr>
        <w:tc>
          <w:tcPr>
            <w:tcW w:w="1612" w:type="dxa"/>
            <w:tcBorders>
              <w:top w:val="nil"/>
              <w:left w:val="nil"/>
              <w:bottom w:val="nil"/>
              <w:right w:val="nil"/>
            </w:tcBorders>
            <w:shd w:val="clear" w:color="000000" w:fill="DCE6F1"/>
            <w:noWrap/>
            <w:vAlign w:val="center"/>
          </w:tcPr>
          <w:p w14:paraId="6CB31694" w14:textId="36BE877F" w:rsidR="00D04DC2" w:rsidRPr="00A0005F" w:rsidRDefault="00757E66">
            <w:pPr>
              <w:spacing w:after="0" w:line="240" w:lineRule="auto"/>
              <w:rPr>
                <w:rFonts w:ascii="Calibri" w:eastAsia="Times New Roman" w:hAnsi="Calibri" w:cs="Times New Roman"/>
                <w:color w:val="000000"/>
              </w:rPr>
            </w:pPr>
            <w:r>
              <w:rPr>
                <w:rFonts w:ascii="Calibri" w:eastAsia="Times New Roman" w:hAnsi="Calibri" w:cs="Times New Roman"/>
                <w:color w:val="000000"/>
              </w:rPr>
              <w:t>PFBA</w:t>
            </w:r>
          </w:p>
        </w:tc>
        <w:tc>
          <w:tcPr>
            <w:tcW w:w="1448" w:type="dxa"/>
            <w:tcBorders>
              <w:top w:val="nil"/>
              <w:left w:val="nil"/>
              <w:bottom w:val="nil"/>
              <w:right w:val="nil"/>
            </w:tcBorders>
            <w:shd w:val="clear" w:color="000000" w:fill="DCE6F1"/>
            <w:noWrap/>
            <w:vAlign w:val="center"/>
          </w:tcPr>
          <w:p w14:paraId="2D761D5C" w14:textId="4A03A8A0" w:rsidR="00D04DC2" w:rsidRPr="00A0005F" w:rsidRDefault="00B4790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ND</w:t>
            </w:r>
          </w:p>
        </w:tc>
        <w:tc>
          <w:tcPr>
            <w:tcW w:w="4680" w:type="dxa"/>
            <w:gridSpan w:val="2"/>
            <w:vMerge/>
            <w:tcBorders>
              <w:top w:val="nil"/>
              <w:left w:val="nil"/>
              <w:bottom w:val="nil"/>
              <w:right w:val="nil"/>
            </w:tcBorders>
            <w:vAlign w:val="center"/>
          </w:tcPr>
          <w:p w14:paraId="275113FC" w14:textId="77777777" w:rsidR="00D04DC2" w:rsidRPr="00A0005F" w:rsidRDefault="00D04DC2">
            <w:pPr>
              <w:spacing w:after="0" w:line="240" w:lineRule="auto"/>
              <w:rPr>
                <w:rFonts w:ascii="Calibri" w:eastAsia="Times New Roman" w:hAnsi="Calibri" w:cs="Times New Roman"/>
                <w:color w:val="000000"/>
                <w:sz w:val="20"/>
                <w:szCs w:val="20"/>
              </w:rPr>
            </w:pPr>
          </w:p>
        </w:tc>
      </w:tr>
      <w:tr w:rsidR="00BC1127" w:rsidRPr="00A0005F" w14:paraId="25A63549" w14:textId="77777777" w:rsidTr="00E80D12">
        <w:trPr>
          <w:trHeight w:val="290"/>
        </w:trPr>
        <w:tc>
          <w:tcPr>
            <w:tcW w:w="1612" w:type="dxa"/>
            <w:tcBorders>
              <w:top w:val="nil"/>
              <w:left w:val="nil"/>
              <w:bottom w:val="nil"/>
              <w:right w:val="nil"/>
            </w:tcBorders>
            <w:shd w:val="clear" w:color="000000" w:fill="DCE6F1"/>
            <w:noWrap/>
            <w:vAlign w:val="center"/>
            <w:hideMark/>
          </w:tcPr>
          <w:p w14:paraId="03C3BF68" w14:textId="77777777" w:rsidR="00BC1127" w:rsidRPr="00A0005F" w:rsidRDefault="00BC1127">
            <w:pPr>
              <w:spacing w:after="0" w:line="240" w:lineRule="auto"/>
              <w:rPr>
                <w:rFonts w:ascii="Calibri" w:eastAsia="Times New Roman" w:hAnsi="Calibri" w:cs="Times New Roman"/>
                <w:color w:val="000000"/>
              </w:rPr>
            </w:pPr>
            <w:r w:rsidRPr="00A0005F">
              <w:rPr>
                <w:rFonts w:ascii="Calibri" w:eastAsia="Times New Roman" w:hAnsi="Calibri" w:cs="Times New Roman"/>
                <w:color w:val="000000"/>
              </w:rPr>
              <w:t>PFBS</w:t>
            </w:r>
          </w:p>
        </w:tc>
        <w:tc>
          <w:tcPr>
            <w:tcW w:w="1448" w:type="dxa"/>
            <w:tcBorders>
              <w:top w:val="nil"/>
              <w:left w:val="nil"/>
              <w:bottom w:val="nil"/>
              <w:right w:val="nil"/>
            </w:tcBorders>
            <w:shd w:val="clear" w:color="000000" w:fill="DCE6F1"/>
            <w:noWrap/>
            <w:vAlign w:val="center"/>
            <w:hideMark/>
          </w:tcPr>
          <w:p w14:paraId="07929F86" w14:textId="23860003" w:rsidR="00BC1127" w:rsidRPr="00A0005F" w:rsidRDefault="00BC1127">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N</w:t>
            </w:r>
            <w:r w:rsidR="00B47905">
              <w:rPr>
                <w:rFonts w:ascii="Calibri" w:eastAsia="Times New Roman" w:hAnsi="Calibri" w:cs="Times New Roman"/>
                <w:color w:val="000000"/>
              </w:rPr>
              <w:t>D</w:t>
            </w:r>
          </w:p>
        </w:tc>
        <w:tc>
          <w:tcPr>
            <w:tcW w:w="4680" w:type="dxa"/>
            <w:gridSpan w:val="2"/>
            <w:vMerge/>
            <w:tcBorders>
              <w:top w:val="nil"/>
              <w:left w:val="nil"/>
              <w:bottom w:val="nil"/>
              <w:right w:val="nil"/>
            </w:tcBorders>
            <w:vAlign w:val="center"/>
            <w:hideMark/>
          </w:tcPr>
          <w:p w14:paraId="1EFE87A3"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6FA0C04D" w14:textId="77777777" w:rsidTr="00E80D12">
        <w:trPr>
          <w:trHeight w:val="290"/>
        </w:trPr>
        <w:tc>
          <w:tcPr>
            <w:tcW w:w="1612" w:type="dxa"/>
            <w:tcBorders>
              <w:top w:val="nil"/>
              <w:left w:val="nil"/>
              <w:bottom w:val="nil"/>
              <w:right w:val="nil"/>
            </w:tcBorders>
            <w:shd w:val="clear" w:color="000000" w:fill="DCE6F1"/>
            <w:noWrap/>
            <w:vAlign w:val="bottom"/>
            <w:hideMark/>
          </w:tcPr>
          <w:p w14:paraId="7456E66B" w14:textId="77777777" w:rsidR="00BC1127" w:rsidRPr="00A0005F" w:rsidRDefault="00BC1127">
            <w:pPr>
              <w:spacing w:after="0" w:line="240" w:lineRule="auto"/>
              <w:rPr>
                <w:rFonts w:ascii="Calibri" w:eastAsia="Times New Roman" w:hAnsi="Calibri" w:cs="Times New Roman"/>
                <w:color w:val="000000"/>
              </w:rPr>
            </w:pPr>
            <w:proofErr w:type="spellStart"/>
            <w:r w:rsidRPr="00A0005F">
              <w:rPr>
                <w:rFonts w:ascii="Calibri" w:eastAsia="Times New Roman" w:hAnsi="Calibri" w:cs="Times New Roman"/>
                <w:color w:val="000000"/>
              </w:rPr>
              <w:t>PFHxS</w:t>
            </w:r>
            <w:proofErr w:type="spellEnd"/>
          </w:p>
        </w:tc>
        <w:tc>
          <w:tcPr>
            <w:tcW w:w="1448" w:type="dxa"/>
            <w:tcBorders>
              <w:top w:val="nil"/>
              <w:left w:val="nil"/>
              <w:bottom w:val="nil"/>
              <w:right w:val="nil"/>
            </w:tcBorders>
            <w:shd w:val="clear" w:color="000000" w:fill="DCE6F1"/>
            <w:noWrap/>
            <w:vAlign w:val="center"/>
            <w:hideMark/>
          </w:tcPr>
          <w:p w14:paraId="44D279DA" w14:textId="77777777" w:rsidR="00BC1127" w:rsidRPr="00A0005F" w:rsidRDefault="00BC1127">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78</w:t>
            </w:r>
          </w:p>
        </w:tc>
        <w:tc>
          <w:tcPr>
            <w:tcW w:w="4680" w:type="dxa"/>
            <w:gridSpan w:val="2"/>
            <w:vMerge/>
            <w:tcBorders>
              <w:top w:val="nil"/>
              <w:left w:val="nil"/>
              <w:bottom w:val="nil"/>
              <w:right w:val="nil"/>
            </w:tcBorders>
            <w:vAlign w:val="center"/>
            <w:hideMark/>
          </w:tcPr>
          <w:p w14:paraId="59997816"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551229A9" w14:textId="77777777" w:rsidTr="00E80D12">
        <w:trPr>
          <w:trHeight w:val="290"/>
        </w:trPr>
        <w:tc>
          <w:tcPr>
            <w:tcW w:w="1612" w:type="dxa"/>
            <w:tcBorders>
              <w:top w:val="nil"/>
              <w:left w:val="nil"/>
              <w:bottom w:val="nil"/>
              <w:right w:val="nil"/>
            </w:tcBorders>
            <w:shd w:val="clear" w:color="000000" w:fill="DCE6F1"/>
            <w:noWrap/>
            <w:vAlign w:val="bottom"/>
            <w:hideMark/>
          </w:tcPr>
          <w:p w14:paraId="04FE41C9" w14:textId="77777777" w:rsidR="00BC1127" w:rsidRPr="00A0005F" w:rsidRDefault="00BC1127">
            <w:pPr>
              <w:spacing w:after="0" w:line="240" w:lineRule="auto"/>
              <w:rPr>
                <w:rFonts w:ascii="Calibri" w:eastAsia="Times New Roman" w:hAnsi="Calibri" w:cs="Times New Roman"/>
                <w:color w:val="000000"/>
              </w:rPr>
            </w:pPr>
            <w:r w:rsidRPr="00A0005F">
              <w:rPr>
                <w:rFonts w:ascii="Calibri" w:eastAsia="Times New Roman" w:hAnsi="Calibri" w:cs="Times New Roman"/>
                <w:color w:val="000000"/>
              </w:rPr>
              <w:t>PFOA</w:t>
            </w:r>
          </w:p>
        </w:tc>
        <w:tc>
          <w:tcPr>
            <w:tcW w:w="1448" w:type="dxa"/>
            <w:tcBorders>
              <w:top w:val="nil"/>
              <w:left w:val="nil"/>
              <w:bottom w:val="nil"/>
              <w:right w:val="nil"/>
            </w:tcBorders>
            <w:shd w:val="clear" w:color="000000" w:fill="DCE6F1"/>
            <w:noWrap/>
            <w:vAlign w:val="center"/>
            <w:hideMark/>
          </w:tcPr>
          <w:p w14:paraId="292E8095" w14:textId="77777777" w:rsidR="00BC1127" w:rsidRPr="00A0005F" w:rsidRDefault="00BC1127">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29</w:t>
            </w:r>
          </w:p>
        </w:tc>
        <w:tc>
          <w:tcPr>
            <w:tcW w:w="4680" w:type="dxa"/>
            <w:gridSpan w:val="2"/>
            <w:vMerge/>
            <w:tcBorders>
              <w:top w:val="nil"/>
              <w:left w:val="nil"/>
              <w:bottom w:val="nil"/>
              <w:right w:val="nil"/>
            </w:tcBorders>
            <w:vAlign w:val="center"/>
            <w:hideMark/>
          </w:tcPr>
          <w:p w14:paraId="78078F52"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2EB58F25" w14:textId="77777777" w:rsidTr="00E80D12">
        <w:trPr>
          <w:trHeight w:val="290"/>
        </w:trPr>
        <w:tc>
          <w:tcPr>
            <w:tcW w:w="1612" w:type="dxa"/>
            <w:tcBorders>
              <w:top w:val="nil"/>
              <w:left w:val="nil"/>
              <w:bottom w:val="nil"/>
              <w:right w:val="nil"/>
            </w:tcBorders>
            <w:shd w:val="clear" w:color="000000" w:fill="C4BD97"/>
            <w:noWrap/>
            <w:vAlign w:val="bottom"/>
            <w:hideMark/>
          </w:tcPr>
          <w:p w14:paraId="34D50F63" w14:textId="77777777" w:rsidR="00BC1127" w:rsidRPr="00A0005F" w:rsidRDefault="00BC1127">
            <w:pPr>
              <w:spacing w:after="0" w:line="240" w:lineRule="auto"/>
              <w:rPr>
                <w:rFonts w:ascii="Calibri" w:eastAsia="Times New Roman" w:hAnsi="Calibri" w:cs="Times New Roman"/>
                <w:color w:val="000000"/>
              </w:rPr>
            </w:pPr>
            <w:r w:rsidRPr="00A0005F">
              <w:rPr>
                <w:rFonts w:ascii="Calibri" w:eastAsia="Times New Roman" w:hAnsi="Calibri" w:cs="Times New Roman"/>
                <w:color w:val="000000"/>
              </w:rPr>
              <w:t>PFOS</w:t>
            </w:r>
          </w:p>
        </w:tc>
        <w:tc>
          <w:tcPr>
            <w:tcW w:w="1448" w:type="dxa"/>
            <w:tcBorders>
              <w:top w:val="nil"/>
              <w:left w:val="nil"/>
              <w:bottom w:val="nil"/>
              <w:right w:val="nil"/>
            </w:tcBorders>
            <w:shd w:val="clear" w:color="000000" w:fill="C4BD97"/>
            <w:noWrap/>
            <w:vAlign w:val="center"/>
            <w:hideMark/>
          </w:tcPr>
          <w:p w14:paraId="6CBC1E61" w14:textId="3B6CD434" w:rsidR="00BC1127" w:rsidRPr="00A0005F" w:rsidRDefault="007253F3">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13</w:t>
            </w:r>
            <w:r>
              <w:rPr>
                <w:rFonts w:ascii="Calibri" w:eastAsia="Times New Roman" w:hAnsi="Calibri" w:cs="Times New Roman"/>
                <w:color w:val="000000"/>
              </w:rPr>
              <w:t>4</w:t>
            </w:r>
          </w:p>
        </w:tc>
        <w:tc>
          <w:tcPr>
            <w:tcW w:w="4680" w:type="dxa"/>
            <w:gridSpan w:val="2"/>
            <w:vMerge/>
            <w:tcBorders>
              <w:top w:val="nil"/>
              <w:left w:val="nil"/>
              <w:bottom w:val="nil"/>
              <w:right w:val="nil"/>
            </w:tcBorders>
            <w:vAlign w:val="center"/>
            <w:hideMark/>
          </w:tcPr>
          <w:p w14:paraId="07E67224"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0C585C9F" w14:textId="77777777" w:rsidTr="00E80D12">
        <w:trPr>
          <w:trHeight w:val="290"/>
        </w:trPr>
        <w:tc>
          <w:tcPr>
            <w:tcW w:w="1612" w:type="dxa"/>
            <w:tcBorders>
              <w:top w:val="nil"/>
              <w:left w:val="nil"/>
              <w:bottom w:val="nil"/>
              <w:right w:val="nil"/>
            </w:tcBorders>
            <w:shd w:val="clear" w:color="000000" w:fill="DCE6F1"/>
            <w:noWrap/>
            <w:vAlign w:val="bottom"/>
            <w:hideMark/>
          </w:tcPr>
          <w:p w14:paraId="06413D89" w14:textId="77777777" w:rsidR="00BC1127" w:rsidRPr="00A0005F" w:rsidRDefault="00BC1127">
            <w:pPr>
              <w:spacing w:after="0" w:line="240" w:lineRule="auto"/>
              <w:rPr>
                <w:rFonts w:ascii="Calibri" w:eastAsia="Times New Roman" w:hAnsi="Calibri" w:cs="Times New Roman"/>
                <w:color w:val="000000"/>
              </w:rPr>
            </w:pPr>
            <w:r w:rsidRPr="00A0005F">
              <w:rPr>
                <w:rFonts w:ascii="Calibri" w:eastAsia="Times New Roman" w:hAnsi="Calibri" w:cs="Times New Roman"/>
                <w:color w:val="000000"/>
              </w:rPr>
              <w:t>PFNA</w:t>
            </w:r>
          </w:p>
        </w:tc>
        <w:tc>
          <w:tcPr>
            <w:tcW w:w="1448" w:type="dxa"/>
            <w:tcBorders>
              <w:top w:val="nil"/>
              <w:left w:val="nil"/>
              <w:bottom w:val="nil"/>
              <w:right w:val="nil"/>
            </w:tcBorders>
            <w:shd w:val="clear" w:color="000000" w:fill="DCE6F1"/>
            <w:noWrap/>
            <w:vAlign w:val="center"/>
            <w:hideMark/>
          </w:tcPr>
          <w:p w14:paraId="0FE26200" w14:textId="5915A3B5" w:rsidR="00BC1127" w:rsidRPr="00A0005F" w:rsidRDefault="007253F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48</w:t>
            </w:r>
          </w:p>
        </w:tc>
        <w:tc>
          <w:tcPr>
            <w:tcW w:w="4680" w:type="dxa"/>
            <w:gridSpan w:val="2"/>
            <w:vMerge/>
            <w:tcBorders>
              <w:top w:val="nil"/>
              <w:left w:val="nil"/>
              <w:bottom w:val="nil"/>
              <w:right w:val="nil"/>
            </w:tcBorders>
            <w:vAlign w:val="center"/>
            <w:hideMark/>
          </w:tcPr>
          <w:p w14:paraId="7AD65A6F"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75BF4B1E" w14:textId="77777777" w:rsidTr="00E80D12">
        <w:trPr>
          <w:trHeight w:val="290"/>
        </w:trPr>
        <w:tc>
          <w:tcPr>
            <w:tcW w:w="1612" w:type="dxa"/>
            <w:tcBorders>
              <w:top w:val="nil"/>
              <w:left w:val="nil"/>
              <w:bottom w:val="nil"/>
              <w:right w:val="nil"/>
            </w:tcBorders>
            <w:shd w:val="clear" w:color="auto" w:fill="auto"/>
            <w:noWrap/>
            <w:vAlign w:val="bottom"/>
            <w:hideMark/>
          </w:tcPr>
          <w:p w14:paraId="34E602D3" w14:textId="77777777" w:rsidR="00BC1127" w:rsidRPr="00A0005F" w:rsidRDefault="00BC1127">
            <w:pPr>
              <w:spacing w:after="0" w:line="240" w:lineRule="auto"/>
              <w:jc w:val="center"/>
              <w:rPr>
                <w:rFonts w:ascii="Calibri" w:eastAsia="Times New Roman" w:hAnsi="Calibri" w:cs="Times New Roman"/>
                <w:color w:val="000000"/>
              </w:rPr>
            </w:pPr>
          </w:p>
        </w:tc>
        <w:tc>
          <w:tcPr>
            <w:tcW w:w="1448" w:type="dxa"/>
            <w:tcBorders>
              <w:top w:val="nil"/>
              <w:left w:val="nil"/>
              <w:bottom w:val="nil"/>
              <w:right w:val="nil"/>
            </w:tcBorders>
            <w:shd w:val="clear" w:color="auto" w:fill="auto"/>
            <w:noWrap/>
            <w:vAlign w:val="center"/>
            <w:hideMark/>
          </w:tcPr>
          <w:p w14:paraId="770721EE" w14:textId="77777777" w:rsidR="00BC1127" w:rsidRPr="00A0005F" w:rsidRDefault="00BC1127">
            <w:pPr>
              <w:spacing w:after="0" w:line="240" w:lineRule="auto"/>
              <w:rPr>
                <w:rFonts w:ascii="Times New Roman" w:eastAsia="Times New Roman" w:hAnsi="Times New Roman" w:cs="Times New Roman"/>
                <w:sz w:val="20"/>
                <w:szCs w:val="20"/>
              </w:rPr>
            </w:pPr>
          </w:p>
        </w:tc>
        <w:tc>
          <w:tcPr>
            <w:tcW w:w="1201" w:type="dxa"/>
            <w:tcBorders>
              <w:top w:val="nil"/>
              <w:left w:val="nil"/>
              <w:bottom w:val="nil"/>
              <w:right w:val="nil"/>
            </w:tcBorders>
            <w:shd w:val="clear" w:color="auto" w:fill="auto"/>
            <w:noWrap/>
            <w:vAlign w:val="center"/>
            <w:hideMark/>
          </w:tcPr>
          <w:p w14:paraId="67AD9A06" w14:textId="77777777" w:rsidR="00BC1127" w:rsidRPr="00A0005F" w:rsidRDefault="00BC1127">
            <w:pPr>
              <w:spacing w:after="0" w:line="240" w:lineRule="auto"/>
              <w:jc w:val="center"/>
              <w:rPr>
                <w:rFonts w:ascii="Times New Roman" w:eastAsia="Times New Roman" w:hAnsi="Times New Roman" w:cs="Times New Roman"/>
                <w:sz w:val="20"/>
                <w:szCs w:val="20"/>
              </w:rPr>
            </w:pPr>
          </w:p>
        </w:tc>
        <w:tc>
          <w:tcPr>
            <w:tcW w:w="3479" w:type="dxa"/>
            <w:tcBorders>
              <w:top w:val="nil"/>
              <w:left w:val="nil"/>
              <w:bottom w:val="nil"/>
              <w:right w:val="nil"/>
            </w:tcBorders>
            <w:shd w:val="clear" w:color="auto" w:fill="auto"/>
            <w:noWrap/>
            <w:vAlign w:val="center"/>
            <w:hideMark/>
          </w:tcPr>
          <w:p w14:paraId="09FACE0C" w14:textId="77777777" w:rsidR="00BC1127" w:rsidRPr="00A0005F" w:rsidRDefault="00BC1127">
            <w:pPr>
              <w:spacing w:after="0" w:line="240" w:lineRule="auto"/>
              <w:jc w:val="center"/>
              <w:rPr>
                <w:rFonts w:ascii="Times New Roman" w:eastAsia="Times New Roman" w:hAnsi="Times New Roman" w:cs="Times New Roman"/>
                <w:sz w:val="20"/>
                <w:szCs w:val="20"/>
              </w:rPr>
            </w:pPr>
          </w:p>
        </w:tc>
      </w:tr>
      <w:tr w:rsidR="00BC1127" w:rsidRPr="00A0005F" w14:paraId="2D409889" w14:textId="77777777" w:rsidTr="00E80D12">
        <w:trPr>
          <w:trHeight w:val="290"/>
        </w:trPr>
        <w:tc>
          <w:tcPr>
            <w:tcW w:w="3060" w:type="dxa"/>
            <w:gridSpan w:val="2"/>
            <w:tcBorders>
              <w:top w:val="nil"/>
              <w:left w:val="nil"/>
              <w:bottom w:val="nil"/>
              <w:right w:val="nil"/>
            </w:tcBorders>
            <w:shd w:val="clear" w:color="auto" w:fill="auto"/>
            <w:noWrap/>
            <w:vAlign w:val="bottom"/>
            <w:hideMark/>
          </w:tcPr>
          <w:p w14:paraId="46B1B6E8" w14:textId="2A42C7DD" w:rsidR="00BC1127" w:rsidRPr="00A0005F" w:rsidRDefault="00BC1127">
            <w:pPr>
              <w:spacing w:after="0" w:line="240" w:lineRule="auto"/>
              <w:rPr>
                <w:rFonts w:ascii="Calibri" w:eastAsia="Times New Roman" w:hAnsi="Calibri" w:cs="Times New Roman"/>
                <w:b/>
                <w:bCs/>
                <w:i/>
                <w:iCs/>
                <w:color w:val="000000"/>
              </w:rPr>
            </w:pPr>
            <w:r>
              <w:rPr>
                <w:rFonts w:ascii="Calibri" w:eastAsia="Times New Roman" w:hAnsi="Calibri" w:cs="Times New Roman"/>
                <w:b/>
                <w:bCs/>
                <w:i/>
                <w:iCs/>
                <w:color w:val="000000"/>
              </w:rPr>
              <w:t xml:space="preserve">Scenario </w:t>
            </w:r>
            <w:r w:rsidRPr="00A0005F">
              <w:rPr>
                <w:rFonts w:ascii="Calibri" w:eastAsia="Times New Roman" w:hAnsi="Calibri" w:cs="Times New Roman"/>
                <w:b/>
                <w:bCs/>
                <w:i/>
                <w:iCs/>
                <w:color w:val="000000"/>
              </w:rPr>
              <w:t xml:space="preserve">B: PFOS </w:t>
            </w:r>
            <w:r w:rsidR="00C77633">
              <w:rPr>
                <w:rFonts w:ascii="Calibri" w:eastAsia="Times New Roman" w:hAnsi="Calibri" w:cs="Times New Roman"/>
                <w:b/>
                <w:bCs/>
                <w:i/>
                <w:iCs/>
                <w:color w:val="000000"/>
              </w:rPr>
              <w:t xml:space="preserve">EPC </w:t>
            </w:r>
            <w:r w:rsidRPr="00A0005F">
              <w:rPr>
                <w:rFonts w:ascii="Calibri" w:eastAsia="Times New Roman" w:hAnsi="Calibri" w:cs="Times New Roman"/>
                <w:b/>
                <w:bCs/>
                <w:i/>
                <w:iCs/>
                <w:color w:val="000000"/>
              </w:rPr>
              <w:t xml:space="preserve">&gt; </w:t>
            </w:r>
            <w:r>
              <w:rPr>
                <w:rFonts w:ascii="Calibri" w:eastAsia="Times New Roman" w:hAnsi="Calibri" w:cs="Times New Roman"/>
                <w:b/>
                <w:bCs/>
                <w:i/>
                <w:iCs/>
                <w:color w:val="000000"/>
              </w:rPr>
              <w:t>90</w:t>
            </w:r>
            <w:r w:rsidRPr="00A0005F">
              <w:rPr>
                <w:rFonts w:ascii="Calibri" w:eastAsia="Times New Roman" w:hAnsi="Calibri" w:cs="Times New Roman"/>
                <w:b/>
                <w:bCs/>
                <w:i/>
                <w:iCs/>
                <w:color w:val="000000"/>
              </w:rPr>
              <w:t xml:space="preserve"> ng/L</w:t>
            </w:r>
          </w:p>
        </w:tc>
        <w:tc>
          <w:tcPr>
            <w:tcW w:w="1201" w:type="dxa"/>
            <w:tcBorders>
              <w:top w:val="nil"/>
              <w:left w:val="nil"/>
              <w:bottom w:val="nil"/>
              <w:right w:val="nil"/>
            </w:tcBorders>
            <w:shd w:val="clear" w:color="auto" w:fill="auto"/>
            <w:noWrap/>
            <w:vAlign w:val="bottom"/>
            <w:hideMark/>
          </w:tcPr>
          <w:p w14:paraId="2AC2C99C" w14:textId="77777777" w:rsidR="00BC1127" w:rsidRPr="00A0005F" w:rsidRDefault="00BC1127">
            <w:pPr>
              <w:spacing w:after="0" w:line="240" w:lineRule="auto"/>
              <w:rPr>
                <w:rFonts w:ascii="Calibri" w:eastAsia="Times New Roman" w:hAnsi="Calibri" w:cs="Times New Roman"/>
                <w:b/>
                <w:bCs/>
                <w:i/>
                <w:iCs/>
                <w:color w:val="000000"/>
              </w:rPr>
            </w:pPr>
          </w:p>
        </w:tc>
        <w:tc>
          <w:tcPr>
            <w:tcW w:w="3479" w:type="dxa"/>
            <w:tcBorders>
              <w:top w:val="nil"/>
              <w:left w:val="nil"/>
              <w:bottom w:val="nil"/>
              <w:right w:val="nil"/>
            </w:tcBorders>
            <w:shd w:val="clear" w:color="auto" w:fill="auto"/>
            <w:noWrap/>
            <w:vAlign w:val="bottom"/>
            <w:hideMark/>
          </w:tcPr>
          <w:p w14:paraId="0DBD2BA9" w14:textId="77777777" w:rsidR="00BC1127" w:rsidRPr="00A0005F" w:rsidRDefault="00BC1127">
            <w:pPr>
              <w:spacing w:after="0" w:line="240" w:lineRule="auto"/>
              <w:rPr>
                <w:rFonts w:ascii="Times New Roman" w:eastAsia="Times New Roman" w:hAnsi="Times New Roman" w:cs="Times New Roman"/>
                <w:sz w:val="20"/>
                <w:szCs w:val="20"/>
              </w:rPr>
            </w:pPr>
          </w:p>
        </w:tc>
      </w:tr>
      <w:tr w:rsidR="00BC1127" w:rsidRPr="00A0005F" w14:paraId="417CC31C" w14:textId="77777777" w:rsidTr="00E80D12">
        <w:trPr>
          <w:trHeight w:val="290"/>
        </w:trPr>
        <w:tc>
          <w:tcPr>
            <w:tcW w:w="1612" w:type="dxa"/>
            <w:tcBorders>
              <w:top w:val="nil"/>
              <w:left w:val="nil"/>
              <w:bottom w:val="nil"/>
              <w:right w:val="nil"/>
            </w:tcBorders>
            <w:shd w:val="clear" w:color="000000" w:fill="B8CCE4"/>
            <w:noWrap/>
            <w:vAlign w:val="bottom"/>
            <w:hideMark/>
          </w:tcPr>
          <w:p w14:paraId="222884B5" w14:textId="77777777" w:rsidR="00BC1127" w:rsidRPr="00A0005F" w:rsidRDefault="00BC1127">
            <w:pPr>
              <w:spacing w:after="0" w:line="240" w:lineRule="auto"/>
              <w:rPr>
                <w:rFonts w:ascii="Calibri" w:eastAsia="Times New Roman" w:hAnsi="Calibri" w:cs="Times New Roman"/>
                <w:b/>
                <w:bCs/>
                <w:color w:val="000000"/>
              </w:rPr>
            </w:pPr>
            <w:r w:rsidRPr="00A0005F">
              <w:rPr>
                <w:rFonts w:ascii="Calibri" w:eastAsia="Times New Roman" w:hAnsi="Calibri" w:cs="Times New Roman"/>
                <w:b/>
                <w:bCs/>
                <w:color w:val="000000"/>
              </w:rPr>
              <w:t>PFAS</w:t>
            </w:r>
          </w:p>
        </w:tc>
        <w:tc>
          <w:tcPr>
            <w:tcW w:w="1448" w:type="dxa"/>
            <w:tcBorders>
              <w:top w:val="nil"/>
              <w:left w:val="nil"/>
              <w:bottom w:val="nil"/>
              <w:right w:val="nil"/>
            </w:tcBorders>
            <w:shd w:val="clear" w:color="000000" w:fill="B8CCE4"/>
            <w:noWrap/>
            <w:vAlign w:val="center"/>
            <w:hideMark/>
          </w:tcPr>
          <w:p w14:paraId="0777CB6E" w14:textId="78C4E350" w:rsidR="00BC1127" w:rsidRPr="00A0005F" w:rsidRDefault="00C7763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EPC</w:t>
            </w:r>
          </w:p>
        </w:tc>
        <w:tc>
          <w:tcPr>
            <w:tcW w:w="4680" w:type="dxa"/>
            <w:gridSpan w:val="2"/>
            <w:vMerge w:val="restart"/>
            <w:tcBorders>
              <w:top w:val="nil"/>
              <w:left w:val="nil"/>
              <w:bottom w:val="nil"/>
              <w:right w:val="nil"/>
            </w:tcBorders>
            <w:shd w:val="clear" w:color="000000" w:fill="F2DCDB"/>
            <w:vAlign w:val="center"/>
            <w:hideMark/>
          </w:tcPr>
          <w:p w14:paraId="19C3ECDE" w14:textId="77777777" w:rsidR="00BC1127" w:rsidRDefault="00BC1127">
            <w:pPr>
              <w:spacing w:after="0" w:line="240" w:lineRule="auto"/>
              <w:jc w:val="center"/>
              <w:rPr>
                <w:rFonts w:ascii="Calibri" w:eastAsia="Times New Roman" w:hAnsi="Calibri" w:cs="Times New Roman"/>
                <w:color w:val="000000"/>
                <w:sz w:val="20"/>
                <w:szCs w:val="20"/>
              </w:rPr>
            </w:pPr>
            <w:r w:rsidRPr="00A0005F">
              <w:rPr>
                <w:rFonts w:ascii="Calibri" w:eastAsia="Times New Roman" w:hAnsi="Calibri" w:cs="Times New Roman"/>
                <w:color w:val="000000"/>
                <w:sz w:val="20"/>
                <w:szCs w:val="20"/>
              </w:rPr>
              <w:t xml:space="preserve">•PFOS + </w:t>
            </w:r>
            <w:r>
              <w:rPr>
                <w:rFonts w:ascii="Calibri" w:eastAsia="Times New Roman" w:hAnsi="Calibri" w:cs="Times New Roman"/>
                <w:color w:val="000000"/>
                <w:sz w:val="20"/>
                <w:szCs w:val="20"/>
              </w:rPr>
              <w:t>(MRL</w:t>
            </w:r>
            <w:r w:rsidRPr="00F03125">
              <w:rPr>
                <w:rFonts w:ascii="Calibri" w:eastAsia="Times New Roman" w:hAnsi="Calibri" w:cs="Times New Roman"/>
                <w:color w:val="000000"/>
                <w:sz w:val="20"/>
                <w:szCs w:val="20"/>
                <w:vertAlign w:val="subscript"/>
              </w:rPr>
              <w:t>PF</w:t>
            </w:r>
            <w:r>
              <w:rPr>
                <w:rFonts w:ascii="Calibri" w:eastAsia="Times New Roman" w:hAnsi="Calibri" w:cs="Times New Roman"/>
                <w:color w:val="000000"/>
                <w:sz w:val="20"/>
                <w:szCs w:val="20"/>
                <w:vertAlign w:val="subscript"/>
              </w:rPr>
              <w:t>OS</w:t>
            </w:r>
            <w:r>
              <w:rPr>
                <w:rFonts w:ascii="Calibri" w:eastAsia="Times New Roman" w:hAnsi="Calibri" w:cs="Times New Roman"/>
                <w:color w:val="000000"/>
                <w:sz w:val="20"/>
                <w:szCs w:val="20"/>
              </w:rPr>
              <w:t>/MRL</w:t>
            </w:r>
            <w:r w:rsidRPr="00F03125">
              <w:rPr>
                <w:rFonts w:ascii="Calibri" w:eastAsia="Times New Roman" w:hAnsi="Calibri" w:cs="Times New Roman"/>
                <w:color w:val="000000"/>
                <w:sz w:val="20"/>
                <w:szCs w:val="20"/>
                <w:vertAlign w:val="subscript"/>
              </w:rPr>
              <w:t>PF</w:t>
            </w:r>
            <w:r>
              <w:rPr>
                <w:rFonts w:ascii="Calibri" w:eastAsia="Times New Roman" w:hAnsi="Calibri" w:cs="Times New Roman"/>
                <w:color w:val="000000"/>
                <w:sz w:val="20"/>
                <w:szCs w:val="20"/>
                <w:vertAlign w:val="subscript"/>
              </w:rPr>
              <w:t>NA</w:t>
            </w:r>
            <w:r>
              <w:rPr>
                <w:rFonts w:ascii="Calibri" w:eastAsia="Times New Roman" w:hAnsi="Calibri" w:cs="Times New Roman"/>
                <w:color w:val="000000"/>
                <w:sz w:val="20"/>
                <w:szCs w:val="20"/>
              </w:rPr>
              <w:t>)*</w:t>
            </w:r>
            <w:r w:rsidRPr="00A0005F">
              <w:rPr>
                <w:rFonts w:ascii="Calibri" w:eastAsia="Times New Roman" w:hAnsi="Calibri" w:cs="Times New Roman"/>
                <w:color w:val="000000"/>
                <w:sz w:val="20"/>
                <w:szCs w:val="20"/>
              </w:rPr>
              <w:t>PFNA &gt; 168 ng/L</w:t>
            </w:r>
            <w:r w:rsidRPr="00A0005F">
              <w:rPr>
                <w:rFonts w:ascii="Calibri" w:eastAsia="Times New Roman" w:hAnsi="Calibri" w:cs="Times New Roman"/>
                <w:color w:val="000000"/>
                <w:sz w:val="20"/>
                <w:szCs w:val="20"/>
              </w:rPr>
              <w:br/>
              <w:t xml:space="preserve">   </w:t>
            </w:r>
            <w:r w:rsidRPr="00A0005F">
              <w:rPr>
                <w:rFonts w:ascii="Arial" w:eastAsia="Times New Roman" w:hAnsi="Arial" w:cs="Arial"/>
                <w:color w:val="000000"/>
                <w:sz w:val="20"/>
                <w:szCs w:val="20"/>
              </w:rPr>
              <w:t>►</w:t>
            </w:r>
            <w:r w:rsidRPr="00A0005F">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Unlimited s</w:t>
            </w:r>
            <w:r w:rsidRPr="00A0005F">
              <w:rPr>
                <w:rFonts w:ascii="Calibri" w:eastAsia="Times New Roman" w:hAnsi="Calibri" w:cs="Times New Roman"/>
                <w:color w:val="000000"/>
                <w:sz w:val="20"/>
                <w:szCs w:val="20"/>
              </w:rPr>
              <w:t xml:space="preserve">wimming is </w:t>
            </w:r>
            <w:r w:rsidRPr="00A0005F">
              <w:rPr>
                <w:rFonts w:ascii="Calibri" w:eastAsia="Times New Roman" w:hAnsi="Calibri" w:cs="Times New Roman"/>
                <w:b/>
                <w:bCs/>
                <w:color w:val="000000"/>
                <w:sz w:val="20"/>
                <w:szCs w:val="20"/>
              </w:rPr>
              <w:t>not safe</w:t>
            </w:r>
            <w:r w:rsidRPr="00A0005F">
              <w:rPr>
                <w:rFonts w:ascii="Calibri" w:eastAsia="Times New Roman" w:hAnsi="Calibri" w:cs="Times New Roman"/>
                <w:color w:val="000000"/>
                <w:sz w:val="20"/>
                <w:szCs w:val="20"/>
              </w:rPr>
              <w:t xml:space="preserve"> at Public Beach B</w:t>
            </w:r>
          </w:p>
          <w:p w14:paraId="0C62B314" w14:textId="54535BBC" w:rsidR="00BC1127" w:rsidRPr="00A0005F" w:rsidRDefault="00BC1127">
            <w:pPr>
              <w:spacing w:after="0" w:line="240" w:lineRule="auto"/>
              <w:jc w:val="center"/>
              <w:rPr>
                <w:rFonts w:ascii="Calibri" w:eastAsia="Times New Roman" w:hAnsi="Calibri" w:cs="Times New Roman"/>
                <w:color w:val="000000"/>
                <w:sz w:val="20"/>
                <w:szCs w:val="20"/>
              </w:rPr>
            </w:pPr>
            <w:r w:rsidRPr="00A0005F">
              <w:rPr>
                <w:rFonts w:ascii="Arial" w:eastAsia="Times New Roman" w:hAnsi="Arial" w:cs="Arial"/>
                <w:color w:val="000000"/>
                <w:sz w:val="20"/>
                <w:szCs w:val="20"/>
              </w:rPr>
              <w:t>►</w:t>
            </w:r>
            <w:r w:rsidRPr="00A0005F">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Conduct risk assessment to identify restrictions</w:t>
            </w:r>
          </w:p>
        </w:tc>
      </w:tr>
      <w:tr w:rsidR="00BC1127" w:rsidRPr="00A0005F" w14:paraId="692C8E03" w14:textId="77777777" w:rsidTr="00E80D12">
        <w:trPr>
          <w:trHeight w:val="290"/>
        </w:trPr>
        <w:tc>
          <w:tcPr>
            <w:tcW w:w="1612" w:type="dxa"/>
            <w:tcBorders>
              <w:top w:val="nil"/>
              <w:left w:val="nil"/>
              <w:bottom w:val="nil"/>
              <w:right w:val="nil"/>
            </w:tcBorders>
            <w:shd w:val="clear" w:color="000000" w:fill="DCE6F1"/>
            <w:noWrap/>
            <w:vAlign w:val="center"/>
            <w:hideMark/>
          </w:tcPr>
          <w:p w14:paraId="6A55CF87" w14:textId="77777777" w:rsidR="00BC1127" w:rsidRPr="00A0005F" w:rsidRDefault="00BC1127">
            <w:pPr>
              <w:spacing w:after="0" w:line="240" w:lineRule="auto"/>
              <w:rPr>
                <w:rFonts w:ascii="Calibri" w:eastAsia="Times New Roman" w:hAnsi="Calibri" w:cs="Times New Roman"/>
                <w:color w:val="000000"/>
              </w:rPr>
            </w:pPr>
            <w:proofErr w:type="spellStart"/>
            <w:r w:rsidRPr="00A0005F">
              <w:rPr>
                <w:rFonts w:ascii="Calibri" w:eastAsia="Times New Roman" w:hAnsi="Calibri" w:cs="Times New Roman"/>
                <w:color w:val="000000"/>
              </w:rPr>
              <w:t>GenX</w:t>
            </w:r>
            <w:proofErr w:type="spellEnd"/>
          </w:p>
        </w:tc>
        <w:tc>
          <w:tcPr>
            <w:tcW w:w="1448" w:type="dxa"/>
            <w:tcBorders>
              <w:top w:val="nil"/>
              <w:left w:val="nil"/>
              <w:bottom w:val="nil"/>
              <w:right w:val="nil"/>
            </w:tcBorders>
            <w:shd w:val="clear" w:color="000000" w:fill="DCE6F1"/>
            <w:noWrap/>
            <w:vAlign w:val="center"/>
            <w:hideMark/>
          </w:tcPr>
          <w:p w14:paraId="79075D62" w14:textId="6F156661" w:rsidR="00BC1127" w:rsidRPr="00A0005F" w:rsidRDefault="00BC1127">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N</w:t>
            </w:r>
            <w:r w:rsidR="00B47905">
              <w:rPr>
                <w:rFonts w:ascii="Calibri" w:eastAsia="Times New Roman" w:hAnsi="Calibri" w:cs="Times New Roman"/>
                <w:color w:val="000000"/>
              </w:rPr>
              <w:t>D</w:t>
            </w:r>
          </w:p>
        </w:tc>
        <w:tc>
          <w:tcPr>
            <w:tcW w:w="4680" w:type="dxa"/>
            <w:gridSpan w:val="2"/>
            <w:vMerge/>
            <w:tcBorders>
              <w:top w:val="nil"/>
              <w:left w:val="nil"/>
              <w:bottom w:val="nil"/>
              <w:right w:val="nil"/>
            </w:tcBorders>
            <w:vAlign w:val="center"/>
            <w:hideMark/>
          </w:tcPr>
          <w:p w14:paraId="2A9675A9" w14:textId="77777777" w:rsidR="00BC1127" w:rsidRPr="00A0005F" w:rsidRDefault="00BC1127">
            <w:pPr>
              <w:spacing w:after="0" w:line="240" w:lineRule="auto"/>
              <w:rPr>
                <w:rFonts w:ascii="Calibri" w:eastAsia="Times New Roman" w:hAnsi="Calibri" w:cs="Times New Roman"/>
                <w:color w:val="000000"/>
                <w:sz w:val="20"/>
                <w:szCs w:val="20"/>
              </w:rPr>
            </w:pPr>
          </w:p>
        </w:tc>
      </w:tr>
      <w:tr w:rsidR="00D04DC2" w:rsidRPr="00A0005F" w14:paraId="193F2B17" w14:textId="77777777" w:rsidTr="00E80D12">
        <w:trPr>
          <w:trHeight w:val="290"/>
        </w:trPr>
        <w:tc>
          <w:tcPr>
            <w:tcW w:w="1612" w:type="dxa"/>
            <w:tcBorders>
              <w:top w:val="nil"/>
              <w:left w:val="nil"/>
              <w:bottom w:val="nil"/>
              <w:right w:val="nil"/>
            </w:tcBorders>
            <w:shd w:val="clear" w:color="000000" w:fill="DCE6F1"/>
            <w:noWrap/>
            <w:vAlign w:val="center"/>
          </w:tcPr>
          <w:p w14:paraId="145CDBA9" w14:textId="202AF798" w:rsidR="00D04DC2" w:rsidRPr="00A0005F" w:rsidRDefault="00757E66">
            <w:pPr>
              <w:spacing w:after="0" w:line="240" w:lineRule="auto"/>
              <w:rPr>
                <w:rFonts w:ascii="Calibri" w:eastAsia="Times New Roman" w:hAnsi="Calibri" w:cs="Times New Roman"/>
                <w:color w:val="000000"/>
              </w:rPr>
            </w:pPr>
            <w:r w:rsidRPr="00F25B91">
              <w:rPr>
                <w:rFonts w:ascii="Calibri" w:eastAsia="Times New Roman" w:hAnsi="Calibri" w:cs="Times New Roman"/>
                <w:color w:val="000000"/>
              </w:rPr>
              <w:t>PFBA</w:t>
            </w:r>
          </w:p>
        </w:tc>
        <w:tc>
          <w:tcPr>
            <w:tcW w:w="1448" w:type="dxa"/>
            <w:tcBorders>
              <w:top w:val="nil"/>
              <w:left w:val="nil"/>
              <w:bottom w:val="nil"/>
              <w:right w:val="nil"/>
            </w:tcBorders>
            <w:shd w:val="clear" w:color="000000" w:fill="DCE6F1"/>
            <w:noWrap/>
            <w:vAlign w:val="center"/>
          </w:tcPr>
          <w:p w14:paraId="49639678" w14:textId="602AF087" w:rsidR="00D04DC2" w:rsidRPr="00A0005F" w:rsidRDefault="00F25B9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9.4</w:t>
            </w:r>
          </w:p>
        </w:tc>
        <w:tc>
          <w:tcPr>
            <w:tcW w:w="4680" w:type="dxa"/>
            <w:gridSpan w:val="2"/>
            <w:vMerge/>
            <w:tcBorders>
              <w:top w:val="nil"/>
              <w:left w:val="nil"/>
              <w:bottom w:val="nil"/>
              <w:right w:val="nil"/>
            </w:tcBorders>
            <w:vAlign w:val="center"/>
          </w:tcPr>
          <w:p w14:paraId="0C905CA7" w14:textId="77777777" w:rsidR="00D04DC2" w:rsidRPr="00A0005F" w:rsidRDefault="00D04DC2">
            <w:pPr>
              <w:spacing w:after="0" w:line="240" w:lineRule="auto"/>
              <w:rPr>
                <w:rFonts w:ascii="Calibri" w:eastAsia="Times New Roman" w:hAnsi="Calibri" w:cs="Times New Roman"/>
                <w:color w:val="000000"/>
                <w:sz w:val="20"/>
                <w:szCs w:val="20"/>
              </w:rPr>
            </w:pPr>
          </w:p>
        </w:tc>
      </w:tr>
      <w:tr w:rsidR="00BC1127" w:rsidRPr="00A0005F" w14:paraId="5B41D0E2" w14:textId="77777777" w:rsidTr="00E80D12">
        <w:trPr>
          <w:trHeight w:val="290"/>
        </w:trPr>
        <w:tc>
          <w:tcPr>
            <w:tcW w:w="1612" w:type="dxa"/>
            <w:tcBorders>
              <w:top w:val="nil"/>
              <w:left w:val="nil"/>
              <w:bottom w:val="nil"/>
              <w:right w:val="nil"/>
            </w:tcBorders>
            <w:shd w:val="clear" w:color="000000" w:fill="DCE6F1"/>
            <w:noWrap/>
            <w:vAlign w:val="center"/>
            <w:hideMark/>
          </w:tcPr>
          <w:p w14:paraId="6D50FD14" w14:textId="77777777" w:rsidR="00BC1127" w:rsidRPr="00A0005F" w:rsidRDefault="00BC1127">
            <w:pPr>
              <w:spacing w:after="0" w:line="240" w:lineRule="auto"/>
              <w:rPr>
                <w:rFonts w:ascii="Calibri" w:eastAsia="Times New Roman" w:hAnsi="Calibri" w:cs="Times New Roman"/>
                <w:color w:val="000000"/>
              </w:rPr>
            </w:pPr>
            <w:r w:rsidRPr="00A0005F">
              <w:rPr>
                <w:rFonts w:ascii="Calibri" w:eastAsia="Times New Roman" w:hAnsi="Calibri" w:cs="Times New Roman"/>
                <w:color w:val="000000"/>
              </w:rPr>
              <w:t>PFBS</w:t>
            </w:r>
          </w:p>
        </w:tc>
        <w:tc>
          <w:tcPr>
            <w:tcW w:w="1448" w:type="dxa"/>
            <w:tcBorders>
              <w:top w:val="nil"/>
              <w:left w:val="nil"/>
              <w:bottom w:val="nil"/>
              <w:right w:val="nil"/>
            </w:tcBorders>
            <w:shd w:val="clear" w:color="000000" w:fill="DCE6F1"/>
            <w:noWrap/>
            <w:vAlign w:val="center"/>
            <w:hideMark/>
          </w:tcPr>
          <w:p w14:paraId="5709C8FF" w14:textId="71F493F4" w:rsidR="00BC1127" w:rsidRPr="00A0005F" w:rsidRDefault="00BC1127">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N</w:t>
            </w:r>
            <w:r w:rsidR="00B47905">
              <w:rPr>
                <w:rFonts w:ascii="Calibri" w:eastAsia="Times New Roman" w:hAnsi="Calibri" w:cs="Times New Roman"/>
                <w:color w:val="000000"/>
              </w:rPr>
              <w:t>D</w:t>
            </w:r>
          </w:p>
        </w:tc>
        <w:tc>
          <w:tcPr>
            <w:tcW w:w="4680" w:type="dxa"/>
            <w:gridSpan w:val="2"/>
            <w:vMerge/>
            <w:tcBorders>
              <w:top w:val="nil"/>
              <w:left w:val="nil"/>
              <w:bottom w:val="nil"/>
              <w:right w:val="nil"/>
            </w:tcBorders>
            <w:vAlign w:val="center"/>
            <w:hideMark/>
          </w:tcPr>
          <w:p w14:paraId="2D70CBA9"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795F3DFF" w14:textId="77777777" w:rsidTr="00E80D12">
        <w:trPr>
          <w:trHeight w:val="290"/>
        </w:trPr>
        <w:tc>
          <w:tcPr>
            <w:tcW w:w="1612" w:type="dxa"/>
            <w:tcBorders>
              <w:top w:val="nil"/>
              <w:left w:val="nil"/>
              <w:bottom w:val="nil"/>
              <w:right w:val="nil"/>
            </w:tcBorders>
            <w:shd w:val="clear" w:color="000000" w:fill="DCE6F1"/>
            <w:noWrap/>
            <w:vAlign w:val="bottom"/>
            <w:hideMark/>
          </w:tcPr>
          <w:p w14:paraId="06F75AAD" w14:textId="77777777" w:rsidR="00BC1127" w:rsidRPr="00A0005F" w:rsidRDefault="00BC1127">
            <w:pPr>
              <w:spacing w:after="0" w:line="240" w:lineRule="auto"/>
              <w:rPr>
                <w:rFonts w:ascii="Calibri" w:eastAsia="Times New Roman" w:hAnsi="Calibri" w:cs="Times New Roman"/>
                <w:color w:val="000000"/>
              </w:rPr>
            </w:pPr>
            <w:proofErr w:type="spellStart"/>
            <w:r w:rsidRPr="00A0005F">
              <w:rPr>
                <w:rFonts w:ascii="Calibri" w:eastAsia="Times New Roman" w:hAnsi="Calibri" w:cs="Times New Roman"/>
                <w:color w:val="000000"/>
              </w:rPr>
              <w:t>PFHxS</w:t>
            </w:r>
            <w:proofErr w:type="spellEnd"/>
          </w:p>
        </w:tc>
        <w:tc>
          <w:tcPr>
            <w:tcW w:w="1448" w:type="dxa"/>
            <w:tcBorders>
              <w:top w:val="nil"/>
              <w:left w:val="nil"/>
              <w:bottom w:val="nil"/>
              <w:right w:val="nil"/>
            </w:tcBorders>
            <w:shd w:val="clear" w:color="000000" w:fill="DCE6F1"/>
            <w:noWrap/>
            <w:vAlign w:val="center"/>
            <w:hideMark/>
          </w:tcPr>
          <w:p w14:paraId="5A5E59E4" w14:textId="77777777" w:rsidR="00BC1127" w:rsidRPr="00A0005F" w:rsidRDefault="00BC1127">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83</w:t>
            </w:r>
          </w:p>
        </w:tc>
        <w:tc>
          <w:tcPr>
            <w:tcW w:w="4680" w:type="dxa"/>
            <w:gridSpan w:val="2"/>
            <w:vMerge/>
            <w:tcBorders>
              <w:top w:val="nil"/>
              <w:left w:val="nil"/>
              <w:bottom w:val="nil"/>
              <w:right w:val="nil"/>
            </w:tcBorders>
            <w:vAlign w:val="center"/>
            <w:hideMark/>
          </w:tcPr>
          <w:p w14:paraId="70AB5EC2"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0F1A5C40" w14:textId="77777777" w:rsidTr="00E80D12">
        <w:trPr>
          <w:trHeight w:val="290"/>
        </w:trPr>
        <w:tc>
          <w:tcPr>
            <w:tcW w:w="1612" w:type="dxa"/>
            <w:tcBorders>
              <w:top w:val="nil"/>
              <w:left w:val="nil"/>
              <w:bottom w:val="nil"/>
              <w:right w:val="nil"/>
            </w:tcBorders>
            <w:shd w:val="clear" w:color="000000" w:fill="DCE6F1"/>
            <w:noWrap/>
            <w:vAlign w:val="bottom"/>
            <w:hideMark/>
          </w:tcPr>
          <w:p w14:paraId="55DA53D9" w14:textId="77777777" w:rsidR="00BC1127" w:rsidRPr="00A0005F" w:rsidRDefault="00BC1127">
            <w:pPr>
              <w:spacing w:after="0" w:line="240" w:lineRule="auto"/>
              <w:rPr>
                <w:rFonts w:ascii="Calibri" w:eastAsia="Times New Roman" w:hAnsi="Calibri" w:cs="Times New Roman"/>
                <w:color w:val="000000"/>
              </w:rPr>
            </w:pPr>
            <w:r w:rsidRPr="00A0005F">
              <w:rPr>
                <w:rFonts w:ascii="Calibri" w:eastAsia="Times New Roman" w:hAnsi="Calibri" w:cs="Times New Roman"/>
                <w:color w:val="000000"/>
              </w:rPr>
              <w:t>PFOA</w:t>
            </w:r>
          </w:p>
        </w:tc>
        <w:tc>
          <w:tcPr>
            <w:tcW w:w="1448" w:type="dxa"/>
            <w:tcBorders>
              <w:top w:val="nil"/>
              <w:left w:val="nil"/>
              <w:bottom w:val="nil"/>
              <w:right w:val="nil"/>
            </w:tcBorders>
            <w:shd w:val="clear" w:color="000000" w:fill="DCE6F1"/>
            <w:noWrap/>
            <w:vAlign w:val="center"/>
            <w:hideMark/>
          </w:tcPr>
          <w:p w14:paraId="33CFA18C" w14:textId="77777777" w:rsidR="00BC1127" w:rsidRPr="00A0005F" w:rsidRDefault="00BC1127">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33</w:t>
            </w:r>
          </w:p>
        </w:tc>
        <w:tc>
          <w:tcPr>
            <w:tcW w:w="4680" w:type="dxa"/>
            <w:gridSpan w:val="2"/>
            <w:vMerge/>
            <w:tcBorders>
              <w:top w:val="nil"/>
              <w:left w:val="nil"/>
              <w:bottom w:val="nil"/>
              <w:right w:val="nil"/>
            </w:tcBorders>
            <w:vAlign w:val="center"/>
            <w:hideMark/>
          </w:tcPr>
          <w:p w14:paraId="3F75390C"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34361AF7" w14:textId="77777777" w:rsidTr="00E80D12">
        <w:trPr>
          <w:trHeight w:val="290"/>
        </w:trPr>
        <w:tc>
          <w:tcPr>
            <w:tcW w:w="1612" w:type="dxa"/>
            <w:tcBorders>
              <w:top w:val="nil"/>
              <w:left w:val="nil"/>
              <w:bottom w:val="nil"/>
              <w:right w:val="nil"/>
            </w:tcBorders>
            <w:shd w:val="clear" w:color="000000" w:fill="C4BD97"/>
            <w:noWrap/>
            <w:vAlign w:val="bottom"/>
            <w:hideMark/>
          </w:tcPr>
          <w:p w14:paraId="0151C365" w14:textId="77777777" w:rsidR="00BC1127" w:rsidRPr="00A0005F" w:rsidRDefault="00BC1127">
            <w:pPr>
              <w:spacing w:after="0" w:line="240" w:lineRule="auto"/>
              <w:rPr>
                <w:rFonts w:ascii="Calibri" w:eastAsia="Times New Roman" w:hAnsi="Calibri" w:cs="Times New Roman"/>
                <w:color w:val="000000"/>
              </w:rPr>
            </w:pPr>
            <w:r w:rsidRPr="00A0005F">
              <w:rPr>
                <w:rFonts w:ascii="Calibri" w:eastAsia="Times New Roman" w:hAnsi="Calibri" w:cs="Times New Roman"/>
                <w:color w:val="000000"/>
              </w:rPr>
              <w:t>PFOS</w:t>
            </w:r>
          </w:p>
        </w:tc>
        <w:tc>
          <w:tcPr>
            <w:tcW w:w="1448" w:type="dxa"/>
            <w:tcBorders>
              <w:top w:val="nil"/>
              <w:left w:val="nil"/>
              <w:bottom w:val="nil"/>
              <w:right w:val="nil"/>
            </w:tcBorders>
            <w:shd w:val="clear" w:color="000000" w:fill="C4BD97"/>
            <w:noWrap/>
            <w:vAlign w:val="center"/>
            <w:hideMark/>
          </w:tcPr>
          <w:p w14:paraId="38C19963" w14:textId="74B8C6BF" w:rsidR="00BC1127" w:rsidRPr="00A0005F" w:rsidRDefault="007253F3">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1</w:t>
            </w:r>
            <w:r>
              <w:rPr>
                <w:rFonts w:ascii="Calibri" w:eastAsia="Times New Roman" w:hAnsi="Calibri" w:cs="Times New Roman"/>
                <w:color w:val="000000"/>
              </w:rPr>
              <w:t>54</w:t>
            </w:r>
          </w:p>
        </w:tc>
        <w:tc>
          <w:tcPr>
            <w:tcW w:w="4680" w:type="dxa"/>
            <w:gridSpan w:val="2"/>
            <w:vMerge/>
            <w:tcBorders>
              <w:top w:val="nil"/>
              <w:left w:val="nil"/>
              <w:bottom w:val="nil"/>
              <w:right w:val="nil"/>
            </w:tcBorders>
            <w:vAlign w:val="center"/>
            <w:hideMark/>
          </w:tcPr>
          <w:p w14:paraId="76263E6F"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5E1A1087" w14:textId="77777777" w:rsidTr="00E80D12">
        <w:trPr>
          <w:trHeight w:val="290"/>
        </w:trPr>
        <w:tc>
          <w:tcPr>
            <w:tcW w:w="1612" w:type="dxa"/>
            <w:tcBorders>
              <w:top w:val="nil"/>
              <w:left w:val="nil"/>
              <w:bottom w:val="nil"/>
              <w:right w:val="nil"/>
            </w:tcBorders>
            <w:shd w:val="clear" w:color="000000" w:fill="DCE6F1"/>
            <w:noWrap/>
            <w:vAlign w:val="bottom"/>
            <w:hideMark/>
          </w:tcPr>
          <w:p w14:paraId="1AB54C46" w14:textId="77777777" w:rsidR="00BC1127" w:rsidRPr="00A0005F" w:rsidRDefault="00BC1127">
            <w:pPr>
              <w:spacing w:after="0" w:line="240" w:lineRule="auto"/>
              <w:rPr>
                <w:rFonts w:ascii="Calibri" w:eastAsia="Times New Roman" w:hAnsi="Calibri" w:cs="Times New Roman"/>
                <w:color w:val="000000"/>
              </w:rPr>
            </w:pPr>
            <w:r w:rsidRPr="00A0005F">
              <w:rPr>
                <w:rFonts w:ascii="Calibri" w:eastAsia="Times New Roman" w:hAnsi="Calibri" w:cs="Times New Roman"/>
                <w:color w:val="000000"/>
              </w:rPr>
              <w:t>PFNA</w:t>
            </w:r>
          </w:p>
        </w:tc>
        <w:tc>
          <w:tcPr>
            <w:tcW w:w="1448" w:type="dxa"/>
            <w:tcBorders>
              <w:top w:val="nil"/>
              <w:left w:val="nil"/>
              <w:bottom w:val="nil"/>
              <w:right w:val="nil"/>
            </w:tcBorders>
            <w:shd w:val="clear" w:color="000000" w:fill="DCE6F1"/>
            <w:noWrap/>
            <w:vAlign w:val="center"/>
            <w:hideMark/>
          </w:tcPr>
          <w:p w14:paraId="383BEB67" w14:textId="6DA5480D" w:rsidR="00BC1127" w:rsidRPr="00A0005F" w:rsidRDefault="007253F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p>
        </w:tc>
        <w:tc>
          <w:tcPr>
            <w:tcW w:w="4680" w:type="dxa"/>
            <w:gridSpan w:val="2"/>
            <w:vMerge/>
            <w:tcBorders>
              <w:top w:val="nil"/>
              <w:left w:val="nil"/>
              <w:bottom w:val="nil"/>
              <w:right w:val="nil"/>
            </w:tcBorders>
            <w:vAlign w:val="center"/>
            <w:hideMark/>
          </w:tcPr>
          <w:p w14:paraId="6DC29D51"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5D026002" w14:textId="77777777" w:rsidTr="00E80D12">
        <w:trPr>
          <w:trHeight w:val="290"/>
        </w:trPr>
        <w:tc>
          <w:tcPr>
            <w:tcW w:w="1612" w:type="dxa"/>
            <w:tcBorders>
              <w:top w:val="nil"/>
              <w:left w:val="nil"/>
              <w:bottom w:val="nil"/>
              <w:right w:val="nil"/>
            </w:tcBorders>
            <w:shd w:val="clear" w:color="auto" w:fill="auto"/>
            <w:noWrap/>
            <w:vAlign w:val="bottom"/>
            <w:hideMark/>
          </w:tcPr>
          <w:p w14:paraId="28F8FEA9" w14:textId="77777777" w:rsidR="00BC1127" w:rsidRPr="00A0005F" w:rsidRDefault="00BC1127">
            <w:pPr>
              <w:spacing w:after="0" w:line="240" w:lineRule="auto"/>
              <w:jc w:val="center"/>
              <w:rPr>
                <w:rFonts w:ascii="Calibri" w:eastAsia="Times New Roman" w:hAnsi="Calibri" w:cs="Times New Roman"/>
                <w:color w:val="000000"/>
              </w:rPr>
            </w:pPr>
          </w:p>
        </w:tc>
        <w:tc>
          <w:tcPr>
            <w:tcW w:w="1448" w:type="dxa"/>
            <w:tcBorders>
              <w:top w:val="nil"/>
              <w:left w:val="nil"/>
              <w:bottom w:val="nil"/>
              <w:right w:val="nil"/>
            </w:tcBorders>
            <w:shd w:val="clear" w:color="auto" w:fill="auto"/>
            <w:noWrap/>
            <w:vAlign w:val="center"/>
            <w:hideMark/>
          </w:tcPr>
          <w:p w14:paraId="734E5748" w14:textId="77777777" w:rsidR="00BC1127" w:rsidRPr="00A0005F" w:rsidRDefault="00BC1127">
            <w:pPr>
              <w:spacing w:after="0" w:line="240" w:lineRule="auto"/>
              <w:rPr>
                <w:rFonts w:ascii="Times New Roman" w:eastAsia="Times New Roman" w:hAnsi="Times New Roman" w:cs="Times New Roman"/>
                <w:sz w:val="20"/>
                <w:szCs w:val="20"/>
              </w:rPr>
            </w:pPr>
          </w:p>
        </w:tc>
        <w:tc>
          <w:tcPr>
            <w:tcW w:w="1201" w:type="dxa"/>
            <w:tcBorders>
              <w:top w:val="nil"/>
              <w:left w:val="nil"/>
              <w:bottom w:val="nil"/>
              <w:right w:val="nil"/>
            </w:tcBorders>
            <w:shd w:val="clear" w:color="auto" w:fill="auto"/>
            <w:noWrap/>
            <w:vAlign w:val="center"/>
            <w:hideMark/>
          </w:tcPr>
          <w:p w14:paraId="1F7766B6" w14:textId="77777777" w:rsidR="00BC1127" w:rsidRPr="00A0005F" w:rsidRDefault="00BC1127">
            <w:pPr>
              <w:spacing w:after="0" w:line="240" w:lineRule="auto"/>
              <w:jc w:val="center"/>
              <w:rPr>
                <w:rFonts w:ascii="Times New Roman" w:eastAsia="Times New Roman" w:hAnsi="Times New Roman" w:cs="Times New Roman"/>
                <w:sz w:val="20"/>
                <w:szCs w:val="20"/>
              </w:rPr>
            </w:pPr>
          </w:p>
        </w:tc>
        <w:tc>
          <w:tcPr>
            <w:tcW w:w="3479" w:type="dxa"/>
            <w:tcBorders>
              <w:top w:val="nil"/>
              <w:left w:val="nil"/>
              <w:bottom w:val="nil"/>
              <w:right w:val="nil"/>
            </w:tcBorders>
            <w:shd w:val="clear" w:color="auto" w:fill="auto"/>
            <w:noWrap/>
            <w:vAlign w:val="center"/>
            <w:hideMark/>
          </w:tcPr>
          <w:p w14:paraId="42AC09D7" w14:textId="77777777" w:rsidR="00BC1127" w:rsidRPr="00A0005F" w:rsidRDefault="00BC1127">
            <w:pPr>
              <w:spacing w:after="0" w:line="240" w:lineRule="auto"/>
              <w:jc w:val="center"/>
              <w:rPr>
                <w:rFonts w:ascii="Times New Roman" w:eastAsia="Times New Roman" w:hAnsi="Times New Roman" w:cs="Times New Roman"/>
                <w:sz w:val="20"/>
                <w:szCs w:val="20"/>
              </w:rPr>
            </w:pPr>
          </w:p>
        </w:tc>
      </w:tr>
      <w:tr w:rsidR="00BC1127" w:rsidRPr="00A0005F" w14:paraId="0BADE6DD" w14:textId="77777777" w:rsidTr="00E80D12">
        <w:trPr>
          <w:trHeight w:val="290"/>
        </w:trPr>
        <w:tc>
          <w:tcPr>
            <w:tcW w:w="4261" w:type="dxa"/>
            <w:gridSpan w:val="3"/>
            <w:tcBorders>
              <w:top w:val="nil"/>
              <w:left w:val="nil"/>
              <w:bottom w:val="nil"/>
              <w:right w:val="nil"/>
            </w:tcBorders>
            <w:shd w:val="clear" w:color="auto" w:fill="auto"/>
            <w:noWrap/>
            <w:vAlign w:val="bottom"/>
            <w:hideMark/>
          </w:tcPr>
          <w:p w14:paraId="3F2A23F0" w14:textId="3140BE3B" w:rsidR="00BC1127" w:rsidRPr="00A0005F" w:rsidRDefault="00BC1127">
            <w:pPr>
              <w:spacing w:after="0" w:line="240" w:lineRule="auto"/>
              <w:rPr>
                <w:rFonts w:ascii="Calibri" w:eastAsia="Times New Roman" w:hAnsi="Calibri" w:cs="Times New Roman"/>
                <w:b/>
                <w:bCs/>
                <w:i/>
                <w:iCs/>
                <w:color w:val="000000"/>
              </w:rPr>
            </w:pPr>
            <w:r>
              <w:rPr>
                <w:rFonts w:ascii="Calibri" w:eastAsia="Times New Roman" w:hAnsi="Calibri" w:cs="Times New Roman"/>
                <w:b/>
                <w:bCs/>
                <w:i/>
                <w:iCs/>
                <w:color w:val="000000"/>
              </w:rPr>
              <w:t xml:space="preserve">Scenario </w:t>
            </w:r>
            <w:r w:rsidRPr="00A0005F">
              <w:rPr>
                <w:rFonts w:ascii="Calibri" w:eastAsia="Times New Roman" w:hAnsi="Calibri" w:cs="Times New Roman"/>
                <w:b/>
                <w:bCs/>
                <w:i/>
                <w:iCs/>
                <w:color w:val="000000"/>
              </w:rPr>
              <w:t xml:space="preserve">C: </w:t>
            </w:r>
            <w:proofErr w:type="spellStart"/>
            <w:r w:rsidRPr="00A0005F">
              <w:rPr>
                <w:rFonts w:ascii="Calibri" w:eastAsia="Times New Roman" w:hAnsi="Calibri" w:cs="Times New Roman"/>
                <w:b/>
                <w:bCs/>
                <w:i/>
                <w:iCs/>
                <w:color w:val="000000"/>
              </w:rPr>
              <w:t>PFHxS</w:t>
            </w:r>
            <w:proofErr w:type="spellEnd"/>
            <w:r w:rsidRPr="00A0005F">
              <w:rPr>
                <w:rFonts w:ascii="Calibri" w:eastAsia="Times New Roman" w:hAnsi="Calibri" w:cs="Times New Roman"/>
                <w:b/>
                <w:bCs/>
                <w:i/>
                <w:iCs/>
                <w:color w:val="000000"/>
              </w:rPr>
              <w:t xml:space="preserve"> </w:t>
            </w:r>
            <w:r w:rsidR="00C77633">
              <w:rPr>
                <w:rFonts w:ascii="Calibri" w:eastAsia="Times New Roman" w:hAnsi="Calibri" w:cs="Times New Roman"/>
                <w:b/>
                <w:bCs/>
                <w:i/>
                <w:iCs/>
                <w:color w:val="000000"/>
              </w:rPr>
              <w:t xml:space="preserve">EPC </w:t>
            </w:r>
            <w:r w:rsidRPr="00A0005F">
              <w:rPr>
                <w:rFonts w:ascii="Calibri" w:eastAsia="Times New Roman" w:hAnsi="Calibri" w:cs="Times New Roman"/>
                <w:b/>
                <w:bCs/>
                <w:i/>
                <w:iCs/>
                <w:color w:val="000000"/>
              </w:rPr>
              <w:t xml:space="preserve">&gt; </w:t>
            </w:r>
            <w:r>
              <w:rPr>
                <w:rFonts w:ascii="Calibri" w:eastAsia="Times New Roman" w:hAnsi="Calibri" w:cs="Times New Roman"/>
                <w:b/>
                <w:bCs/>
                <w:i/>
                <w:iCs/>
                <w:color w:val="000000"/>
              </w:rPr>
              <w:t>90</w:t>
            </w:r>
            <w:r w:rsidRPr="00A0005F">
              <w:rPr>
                <w:rFonts w:ascii="Calibri" w:eastAsia="Times New Roman" w:hAnsi="Calibri" w:cs="Times New Roman"/>
                <w:b/>
                <w:bCs/>
                <w:i/>
                <w:iCs/>
                <w:color w:val="000000"/>
              </w:rPr>
              <w:t xml:space="preserve"> ng/L</w:t>
            </w:r>
          </w:p>
        </w:tc>
        <w:tc>
          <w:tcPr>
            <w:tcW w:w="3479" w:type="dxa"/>
            <w:tcBorders>
              <w:top w:val="nil"/>
              <w:left w:val="nil"/>
              <w:bottom w:val="nil"/>
              <w:right w:val="nil"/>
            </w:tcBorders>
            <w:shd w:val="clear" w:color="auto" w:fill="auto"/>
            <w:noWrap/>
            <w:vAlign w:val="bottom"/>
            <w:hideMark/>
          </w:tcPr>
          <w:p w14:paraId="4EB187A7" w14:textId="77777777" w:rsidR="00BC1127" w:rsidRPr="00A0005F" w:rsidRDefault="00BC1127">
            <w:pPr>
              <w:spacing w:after="0" w:line="240" w:lineRule="auto"/>
              <w:rPr>
                <w:rFonts w:ascii="Calibri" w:eastAsia="Times New Roman" w:hAnsi="Calibri" w:cs="Times New Roman"/>
                <w:b/>
                <w:bCs/>
                <w:i/>
                <w:iCs/>
                <w:color w:val="000000"/>
              </w:rPr>
            </w:pPr>
          </w:p>
        </w:tc>
      </w:tr>
      <w:tr w:rsidR="00BC1127" w:rsidRPr="00A0005F" w14:paraId="695EB91A" w14:textId="77777777" w:rsidTr="00E80D12">
        <w:trPr>
          <w:trHeight w:val="290"/>
        </w:trPr>
        <w:tc>
          <w:tcPr>
            <w:tcW w:w="1612" w:type="dxa"/>
            <w:tcBorders>
              <w:top w:val="nil"/>
              <w:left w:val="nil"/>
              <w:bottom w:val="nil"/>
              <w:right w:val="nil"/>
            </w:tcBorders>
            <w:shd w:val="clear" w:color="000000" w:fill="B8CCE4"/>
            <w:noWrap/>
            <w:vAlign w:val="bottom"/>
            <w:hideMark/>
          </w:tcPr>
          <w:p w14:paraId="297E73EB" w14:textId="77777777" w:rsidR="00BC1127" w:rsidRPr="00A0005F" w:rsidRDefault="00BC1127">
            <w:pPr>
              <w:spacing w:after="0" w:line="240" w:lineRule="auto"/>
              <w:rPr>
                <w:rFonts w:ascii="Calibri" w:eastAsia="Times New Roman" w:hAnsi="Calibri" w:cs="Times New Roman"/>
                <w:b/>
                <w:bCs/>
                <w:color w:val="000000"/>
              </w:rPr>
            </w:pPr>
            <w:r w:rsidRPr="00A0005F">
              <w:rPr>
                <w:rFonts w:ascii="Calibri" w:eastAsia="Times New Roman" w:hAnsi="Calibri" w:cs="Times New Roman"/>
                <w:b/>
                <w:bCs/>
                <w:color w:val="000000"/>
              </w:rPr>
              <w:t>PFAS</w:t>
            </w:r>
          </w:p>
        </w:tc>
        <w:tc>
          <w:tcPr>
            <w:tcW w:w="1448" w:type="dxa"/>
            <w:tcBorders>
              <w:top w:val="nil"/>
              <w:left w:val="nil"/>
              <w:bottom w:val="nil"/>
              <w:right w:val="nil"/>
            </w:tcBorders>
            <w:shd w:val="clear" w:color="000000" w:fill="B8CCE4"/>
            <w:noWrap/>
            <w:vAlign w:val="center"/>
            <w:hideMark/>
          </w:tcPr>
          <w:p w14:paraId="7331CAB8" w14:textId="34517B29" w:rsidR="00BC1127" w:rsidRPr="00A0005F" w:rsidRDefault="00C77633">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EPC</w:t>
            </w:r>
          </w:p>
        </w:tc>
        <w:tc>
          <w:tcPr>
            <w:tcW w:w="4680" w:type="dxa"/>
            <w:gridSpan w:val="2"/>
            <w:vMerge w:val="restart"/>
            <w:tcBorders>
              <w:top w:val="nil"/>
              <w:left w:val="nil"/>
              <w:bottom w:val="nil"/>
              <w:right w:val="nil"/>
            </w:tcBorders>
            <w:shd w:val="clear" w:color="000000" w:fill="EBF1DE"/>
            <w:vAlign w:val="center"/>
            <w:hideMark/>
          </w:tcPr>
          <w:p w14:paraId="583AF891" w14:textId="77777777" w:rsidR="00BC1127" w:rsidRPr="00A0005F" w:rsidRDefault="00BC1127">
            <w:pPr>
              <w:spacing w:after="0" w:line="240" w:lineRule="auto"/>
              <w:jc w:val="center"/>
              <w:rPr>
                <w:rFonts w:ascii="Calibri" w:eastAsia="Times New Roman" w:hAnsi="Calibri" w:cs="Times New Roman"/>
                <w:color w:val="000000"/>
                <w:sz w:val="20"/>
                <w:szCs w:val="20"/>
              </w:rPr>
            </w:pPr>
            <w:r w:rsidRPr="00A0005F">
              <w:rPr>
                <w:rFonts w:ascii="Calibri" w:eastAsia="Times New Roman" w:hAnsi="Calibri" w:cs="Times New Roman"/>
                <w:color w:val="000000"/>
                <w:sz w:val="20"/>
                <w:szCs w:val="20"/>
              </w:rPr>
              <w:t>•</w:t>
            </w:r>
            <w:proofErr w:type="spellStart"/>
            <w:r w:rsidRPr="00A0005F">
              <w:rPr>
                <w:rFonts w:ascii="Calibri" w:eastAsia="Times New Roman" w:hAnsi="Calibri" w:cs="Times New Roman"/>
                <w:color w:val="000000"/>
                <w:sz w:val="20"/>
                <w:szCs w:val="20"/>
              </w:rPr>
              <w:t>PFHxS</w:t>
            </w:r>
            <w:proofErr w:type="spellEnd"/>
            <w:r w:rsidRPr="00A0005F">
              <w:rPr>
                <w:rFonts w:ascii="Calibri" w:eastAsia="Times New Roman" w:hAnsi="Calibri" w:cs="Times New Roman"/>
                <w:color w:val="000000"/>
                <w:sz w:val="20"/>
                <w:szCs w:val="20"/>
              </w:rPr>
              <w:t xml:space="preserve"> &lt; 1680 ng/L</w:t>
            </w:r>
            <w:r w:rsidRPr="00A0005F">
              <w:rPr>
                <w:rFonts w:ascii="Calibri" w:eastAsia="Times New Roman" w:hAnsi="Calibri" w:cs="Times New Roman"/>
                <w:color w:val="000000"/>
                <w:sz w:val="20"/>
                <w:szCs w:val="20"/>
              </w:rPr>
              <w:br/>
              <w:t xml:space="preserve">   </w:t>
            </w:r>
            <w:r w:rsidRPr="00A0005F">
              <w:rPr>
                <w:rFonts w:ascii="Arial" w:eastAsia="Times New Roman" w:hAnsi="Arial" w:cs="Arial"/>
                <w:color w:val="000000"/>
                <w:sz w:val="20"/>
                <w:szCs w:val="20"/>
              </w:rPr>
              <w:t>►</w:t>
            </w:r>
            <w:r w:rsidRPr="00A0005F">
              <w:rPr>
                <w:rFonts w:ascii="Calibri" w:eastAsia="Times New Roman" w:hAnsi="Calibri" w:cs="Times New Roman"/>
                <w:color w:val="000000"/>
                <w:sz w:val="20"/>
                <w:szCs w:val="20"/>
              </w:rPr>
              <w:t xml:space="preserve"> Swimming is </w:t>
            </w:r>
            <w:r w:rsidRPr="00A0005F">
              <w:rPr>
                <w:rFonts w:ascii="Calibri" w:eastAsia="Times New Roman" w:hAnsi="Calibri" w:cs="Times New Roman"/>
                <w:b/>
                <w:bCs/>
                <w:color w:val="000000"/>
                <w:sz w:val="20"/>
                <w:szCs w:val="20"/>
              </w:rPr>
              <w:t>safe</w:t>
            </w:r>
            <w:r w:rsidRPr="00A0005F">
              <w:rPr>
                <w:rFonts w:ascii="Calibri" w:eastAsia="Times New Roman" w:hAnsi="Calibri" w:cs="Times New Roman"/>
                <w:color w:val="000000"/>
                <w:sz w:val="20"/>
                <w:szCs w:val="20"/>
              </w:rPr>
              <w:t xml:space="preserve"> at Public Beach C</w:t>
            </w:r>
          </w:p>
        </w:tc>
      </w:tr>
      <w:tr w:rsidR="00BC1127" w:rsidRPr="00A0005F" w14:paraId="4A187853" w14:textId="77777777" w:rsidTr="00E80D12">
        <w:trPr>
          <w:trHeight w:val="290"/>
        </w:trPr>
        <w:tc>
          <w:tcPr>
            <w:tcW w:w="1612" w:type="dxa"/>
            <w:tcBorders>
              <w:top w:val="nil"/>
              <w:left w:val="nil"/>
              <w:bottom w:val="nil"/>
              <w:right w:val="nil"/>
            </w:tcBorders>
            <w:shd w:val="clear" w:color="000000" w:fill="DCE6F1"/>
            <w:noWrap/>
            <w:vAlign w:val="center"/>
            <w:hideMark/>
          </w:tcPr>
          <w:p w14:paraId="71EFFFE5" w14:textId="77777777" w:rsidR="00BC1127" w:rsidRPr="00A0005F" w:rsidRDefault="00BC1127">
            <w:pPr>
              <w:spacing w:after="0" w:line="240" w:lineRule="auto"/>
              <w:rPr>
                <w:rFonts w:ascii="Calibri" w:eastAsia="Times New Roman" w:hAnsi="Calibri" w:cs="Times New Roman"/>
                <w:color w:val="000000"/>
              </w:rPr>
            </w:pPr>
            <w:proofErr w:type="spellStart"/>
            <w:r w:rsidRPr="00A0005F">
              <w:rPr>
                <w:rFonts w:ascii="Calibri" w:eastAsia="Times New Roman" w:hAnsi="Calibri" w:cs="Times New Roman"/>
                <w:color w:val="000000"/>
              </w:rPr>
              <w:t>GenX</w:t>
            </w:r>
            <w:proofErr w:type="spellEnd"/>
          </w:p>
        </w:tc>
        <w:tc>
          <w:tcPr>
            <w:tcW w:w="1448" w:type="dxa"/>
            <w:tcBorders>
              <w:top w:val="nil"/>
              <w:left w:val="nil"/>
              <w:bottom w:val="nil"/>
              <w:right w:val="nil"/>
            </w:tcBorders>
            <w:shd w:val="clear" w:color="000000" w:fill="DCE6F1"/>
            <w:noWrap/>
            <w:vAlign w:val="center"/>
            <w:hideMark/>
          </w:tcPr>
          <w:p w14:paraId="1F38F226" w14:textId="6E087A0D" w:rsidR="00BC1127" w:rsidRPr="00A0005F" w:rsidRDefault="00BC1127">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N</w:t>
            </w:r>
            <w:r w:rsidR="00B47905">
              <w:rPr>
                <w:rFonts w:ascii="Calibri" w:eastAsia="Times New Roman" w:hAnsi="Calibri" w:cs="Times New Roman"/>
                <w:color w:val="000000"/>
              </w:rPr>
              <w:t>D</w:t>
            </w:r>
          </w:p>
        </w:tc>
        <w:tc>
          <w:tcPr>
            <w:tcW w:w="4680" w:type="dxa"/>
            <w:gridSpan w:val="2"/>
            <w:vMerge/>
            <w:tcBorders>
              <w:top w:val="nil"/>
              <w:left w:val="nil"/>
              <w:bottom w:val="nil"/>
              <w:right w:val="nil"/>
            </w:tcBorders>
            <w:vAlign w:val="center"/>
            <w:hideMark/>
          </w:tcPr>
          <w:p w14:paraId="66AE5C51" w14:textId="77777777" w:rsidR="00BC1127" w:rsidRPr="00A0005F" w:rsidRDefault="00BC1127">
            <w:pPr>
              <w:spacing w:after="0" w:line="240" w:lineRule="auto"/>
              <w:rPr>
                <w:rFonts w:ascii="Calibri" w:eastAsia="Times New Roman" w:hAnsi="Calibri" w:cs="Times New Roman"/>
                <w:color w:val="000000"/>
                <w:sz w:val="20"/>
                <w:szCs w:val="20"/>
              </w:rPr>
            </w:pPr>
          </w:p>
        </w:tc>
      </w:tr>
      <w:tr w:rsidR="00D04DC2" w:rsidRPr="00A0005F" w14:paraId="7F2E6FA0" w14:textId="77777777" w:rsidTr="00E80D12">
        <w:trPr>
          <w:trHeight w:val="290"/>
        </w:trPr>
        <w:tc>
          <w:tcPr>
            <w:tcW w:w="1612" w:type="dxa"/>
            <w:tcBorders>
              <w:top w:val="nil"/>
              <w:left w:val="nil"/>
              <w:bottom w:val="nil"/>
              <w:right w:val="nil"/>
            </w:tcBorders>
            <w:shd w:val="clear" w:color="000000" w:fill="DCE6F1"/>
            <w:noWrap/>
            <w:vAlign w:val="center"/>
          </w:tcPr>
          <w:p w14:paraId="451A4A43" w14:textId="151A58E7" w:rsidR="00D04DC2" w:rsidRPr="00A0005F" w:rsidRDefault="00757E66">
            <w:pPr>
              <w:spacing w:after="0" w:line="240" w:lineRule="auto"/>
              <w:rPr>
                <w:rFonts w:ascii="Calibri" w:eastAsia="Times New Roman" w:hAnsi="Calibri" w:cs="Times New Roman"/>
                <w:color w:val="000000"/>
              </w:rPr>
            </w:pPr>
            <w:r>
              <w:rPr>
                <w:rFonts w:ascii="Calibri" w:eastAsia="Times New Roman" w:hAnsi="Calibri" w:cs="Times New Roman"/>
                <w:color w:val="000000"/>
              </w:rPr>
              <w:t>PFBA</w:t>
            </w:r>
          </w:p>
        </w:tc>
        <w:tc>
          <w:tcPr>
            <w:tcW w:w="1448" w:type="dxa"/>
            <w:tcBorders>
              <w:top w:val="nil"/>
              <w:left w:val="nil"/>
              <w:bottom w:val="nil"/>
              <w:right w:val="nil"/>
            </w:tcBorders>
            <w:shd w:val="clear" w:color="000000" w:fill="DCE6F1"/>
            <w:noWrap/>
            <w:vAlign w:val="center"/>
          </w:tcPr>
          <w:p w14:paraId="1C9FC043" w14:textId="1C529724" w:rsidR="00D04DC2" w:rsidRPr="00A0005F" w:rsidRDefault="00757E6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w:t>
            </w:r>
            <w:r w:rsidR="00B47905">
              <w:rPr>
                <w:rFonts w:ascii="Calibri" w:eastAsia="Times New Roman" w:hAnsi="Calibri" w:cs="Times New Roman"/>
                <w:color w:val="000000"/>
              </w:rPr>
              <w:t>D</w:t>
            </w:r>
          </w:p>
        </w:tc>
        <w:tc>
          <w:tcPr>
            <w:tcW w:w="4680" w:type="dxa"/>
            <w:gridSpan w:val="2"/>
            <w:vMerge/>
            <w:tcBorders>
              <w:top w:val="nil"/>
              <w:left w:val="nil"/>
              <w:bottom w:val="nil"/>
              <w:right w:val="nil"/>
            </w:tcBorders>
            <w:vAlign w:val="center"/>
          </w:tcPr>
          <w:p w14:paraId="379F8E9A" w14:textId="77777777" w:rsidR="00D04DC2" w:rsidRPr="00A0005F" w:rsidRDefault="00D04DC2">
            <w:pPr>
              <w:spacing w:after="0" w:line="240" w:lineRule="auto"/>
              <w:rPr>
                <w:rFonts w:ascii="Calibri" w:eastAsia="Times New Roman" w:hAnsi="Calibri" w:cs="Times New Roman"/>
                <w:color w:val="000000"/>
                <w:sz w:val="20"/>
                <w:szCs w:val="20"/>
              </w:rPr>
            </w:pPr>
          </w:p>
        </w:tc>
      </w:tr>
      <w:tr w:rsidR="00BC1127" w:rsidRPr="00A0005F" w14:paraId="4F65B475" w14:textId="77777777" w:rsidTr="00E80D12">
        <w:trPr>
          <w:trHeight w:val="290"/>
        </w:trPr>
        <w:tc>
          <w:tcPr>
            <w:tcW w:w="1612" w:type="dxa"/>
            <w:tcBorders>
              <w:top w:val="nil"/>
              <w:left w:val="nil"/>
              <w:bottom w:val="nil"/>
              <w:right w:val="nil"/>
            </w:tcBorders>
            <w:shd w:val="clear" w:color="000000" w:fill="DCE6F1"/>
            <w:noWrap/>
            <w:vAlign w:val="center"/>
            <w:hideMark/>
          </w:tcPr>
          <w:p w14:paraId="27CCED62" w14:textId="77777777" w:rsidR="00BC1127" w:rsidRPr="00A0005F" w:rsidRDefault="00BC1127">
            <w:pPr>
              <w:spacing w:after="0" w:line="240" w:lineRule="auto"/>
              <w:rPr>
                <w:rFonts w:ascii="Calibri" w:eastAsia="Times New Roman" w:hAnsi="Calibri" w:cs="Times New Roman"/>
                <w:color w:val="000000"/>
              </w:rPr>
            </w:pPr>
            <w:r w:rsidRPr="00A0005F">
              <w:rPr>
                <w:rFonts w:ascii="Calibri" w:eastAsia="Times New Roman" w:hAnsi="Calibri" w:cs="Times New Roman"/>
                <w:color w:val="000000"/>
              </w:rPr>
              <w:t>PFBS</w:t>
            </w:r>
          </w:p>
        </w:tc>
        <w:tc>
          <w:tcPr>
            <w:tcW w:w="1448" w:type="dxa"/>
            <w:tcBorders>
              <w:top w:val="nil"/>
              <w:left w:val="nil"/>
              <w:bottom w:val="nil"/>
              <w:right w:val="nil"/>
            </w:tcBorders>
            <w:shd w:val="clear" w:color="000000" w:fill="DCE6F1"/>
            <w:noWrap/>
            <w:vAlign w:val="center"/>
            <w:hideMark/>
          </w:tcPr>
          <w:p w14:paraId="7BBB8B49" w14:textId="084F377D" w:rsidR="00BC1127" w:rsidRPr="00A0005F" w:rsidRDefault="00BC1127">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N</w:t>
            </w:r>
            <w:r w:rsidR="00B47905">
              <w:rPr>
                <w:rFonts w:ascii="Calibri" w:eastAsia="Times New Roman" w:hAnsi="Calibri" w:cs="Times New Roman"/>
                <w:color w:val="000000"/>
              </w:rPr>
              <w:t>D</w:t>
            </w:r>
          </w:p>
        </w:tc>
        <w:tc>
          <w:tcPr>
            <w:tcW w:w="4680" w:type="dxa"/>
            <w:gridSpan w:val="2"/>
            <w:vMerge/>
            <w:tcBorders>
              <w:top w:val="nil"/>
              <w:left w:val="nil"/>
              <w:bottom w:val="nil"/>
              <w:right w:val="nil"/>
            </w:tcBorders>
            <w:vAlign w:val="center"/>
            <w:hideMark/>
          </w:tcPr>
          <w:p w14:paraId="64DB62AF"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1C6B9CED" w14:textId="77777777" w:rsidTr="00E80D12">
        <w:trPr>
          <w:trHeight w:val="290"/>
        </w:trPr>
        <w:tc>
          <w:tcPr>
            <w:tcW w:w="1612" w:type="dxa"/>
            <w:tcBorders>
              <w:top w:val="nil"/>
              <w:left w:val="nil"/>
              <w:bottom w:val="nil"/>
              <w:right w:val="nil"/>
            </w:tcBorders>
            <w:shd w:val="clear" w:color="000000" w:fill="C4BD97"/>
            <w:noWrap/>
            <w:vAlign w:val="bottom"/>
            <w:hideMark/>
          </w:tcPr>
          <w:p w14:paraId="0BC8C107" w14:textId="77777777" w:rsidR="00BC1127" w:rsidRPr="00A0005F" w:rsidRDefault="00BC1127">
            <w:pPr>
              <w:spacing w:after="0" w:line="240" w:lineRule="auto"/>
              <w:rPr>
                <w:rFonts w:ascii="Calibri" w:eastAsia="Times New Roman" w:hAnsi="Calibri" w:cs="Times New Roman"/>
                <w:color w:val="000000"/>
              </w:rPr>
            </w:pPr>
            <w:proofErr w:type="spellStart"/>
            <w:r w:rsidRPr="00A0005F">
              <w:rPr>
                <w:rFonts w:ascii="Calibri" w:eastAsia="Times New Roman" w:hAnsi="Calibri" w:cs="Times New Roman"/>
                <w:color w:val="000000"/>
              </w:rPr>
              <w:t>PFHxS</w:t>
            </w:r>
            <w:proofErr w:type="spellEnd"/>
          </w:p>
        </w:tc>
        <w:tc>
          <w:tcPr>
            <w:tcW w:w="1448" w:type="dxa"/>
            <w:tcBorders>
              <w:top w:val="nil"/>
              <w:left w:val="nil"/>
              <w:bottom w:val="nil"/>
              <w:right w:val="nil"/>
            </w:tcBorders>
            <w:shd w:val="clear" w:color="000000" w:fill="C4BD97"/>
            <w:noWrap/>
            <w:vAlign w:val="center"/>
            <w:hideMark/>
          </w:tcPr>
          <w:p w14:paraId="2FA1D8D3" w14:textId="77777777" w:rsidR="00BC1127" w:rsidRPr="00A0005F" w:rsidRDefault="00BC1127">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153</w:t>
            </w:r>
          </w:p>
        </w:tc>
        <w:tc>
          <w:tcPr>
            <w:tcW w:w="4680" w:type="dxa"/>
            <w:gridSpan w:val="2"/>
            <w:vMerge/>
            <w:tcBorders>
              <w:top w:val="nil"/>
              <w:left w:val="nil"/>
              <w:bottom w:val="nil"/>
              <w:right w:val="nil"/>
            </w:tcBorders>
            <w:vAlign w:val="center"/>
            <w:hideMark/>
          </w:tcPr>
          <w:p w14:paraId="6F07E1BA"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3C90F54A" w14:textId="77777777" w:rsidTr="00E80D12">
        <w:trPr>
          <w:trHeight w:val="290"/>
        </w:trPr>
        <w:tc>
          <w:tcPr>
            <w:tcW w:w="1612" w:type="dxa"/>
            <w:tcBorders>
              <w:top w:val="nil"/>
              <w:left w:val="nil"/>
              <w:bottom w:val="nil"/>
              <w:right w:val="nil"/>
            </w:tcBorders>
            <w:shd w:val="clear" w:color="000000" w:fill="DCE6F1"/>
            <w:noWrap/>
            <w:vAlign w:val="bottom"/>
            <w:hideMark/>
          </w:tcPr>
          <w:p w14:paraId="676FE96A" w14:textId="77777777" w:rsidR="00BC1127" w:rsidRPr="00A0005F" w:rsidRDefault="00BC1127">
            <w:pPr>
              <w:spacing w:after="0" w:line="240" w:lineRule="auto"/>
              <w:rPr>
                <w:rFonts w:ascii="Calibri" w:eastAsia="Times New Roman" w:hAnsi="Calibri" w:cs="Times New Roman"/>
                <w:color w:val="000000"/>
              </w:rPr>
            </w:pPr>
            <w:r w:rsidRPr="00A0005F">
              <w:rPr>
                <w:rFonts w:ascii="Calibri" w:eastAsia="Times New Roman" w:hAnsi="Calibri" w:cs="Times New Roman"/>
                <w:color w:val="000000"/>
              </w:rPr>
              <w:t>PFOA</w:t>
            </w:r>
          </w:p>
        </w:tc>
        <w:tc>
          <w:tcPr>
            <w:tcW w:w="1448" w:type="dxa"/>
            <w:tcBorders>
              <w:top w:val="nil"/>
              <w:left w:val="nil"/>
              <w:bottom w:val="nil"/>
              <w:right w:val="nil"/>
            </w:tcBorders>
            <w:shd w:val="clear" w:color="000000" w:fill="DCE6F1"/>
            <w:noWrap/>
            <w:vAlign w:val="center"/>
            <w:hideMark/>
          </w:tcPr>
          <w:p w14:paraId="4B5A85FD" w14:textId="77777777" w:rsidR="00BC1127" w:rsidRPr="00A0005F" w:rsidRDefault="00BC1127">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13</w:t>
            </w:r>
          </w:p>
        </w:tc>
        <w:tc>
          <w:tcPr>
            <w:tcW w:w="4680" w:type="dxa"/>
            <w:gridSpan w:val="2"/>
            <w:vMerge/>
            <w:tcBorders>
              <w:top w:val="nil"/>
              <w:left w:val="nil"/>
              <w:bottom w:val="nil"/>
              <w:right w:val="nil"/>
            </w:tcBorders>
            <w:vAlign w:val="center"/>
            <w:hideMark/>
          </w:tcPr>
          <w:p w14:paraId="6AD305C3"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173785E0" w14:textId="77777777" w:rsidTr="00E80D12">
        <w:trPr>
          <w:trHeight w:val="290"/>
        </w:trPr>
        <w:tc>
          <w:tcPr>
            <w:tcW w:w="1612" w:type="dxa"/>
            <w:tcBorders>
              <w:top w:val="nil"/>
              <w:left w:val="nil"/>
              <w:bottom w:val="nil"/>
              <w:right w:val="nil"/>
            </w:tcBorders>
            <w:shd w:val="clear" w:color="000000" w:fill="DCE6F1"/>
            <w:noWrap/>
            <w:vAlign w:val="bottom"/>
            <w:hideMark/>
          </w:tcPr>
          <w:p w14:paraId="201EDDA5" w14:textId="77777777" w:rsidR="00BC1127" w:rsidRPr="00A0005F" w:rsidRDefault="00BC1127">
            <w:pPr>
              <w:spacing w:after="0" w:line="240" w:lineRule="auto"/>
              <w:rPr>
                <w:rFonts w:ascii="Calibri" w:eastAsia="Times New Roman" w:hAnsi="Calibri" w:cs="Times New Roman"/>
                <w:color w:val="000000"/>
              </w:rPr>
            </w:pPr>
            <w:r w:rsidRPr="00A0005F">
              <w:rPr>
                <w:rFonts w:ascii="Calibri" w:eastAsia="Times New Roman" w:hAnsi="Calibri" w:cs="Times New Roman"/>
                <w:color w:val="000000"/>
              </w:rPr>
              <w:t>PFOS</w:t>
            </w:r>
          </w:p>
        </w:tc>
        <w:tc>
          <w:tcPr>
            <w:tcW w:w="1448" w:type="dxa"/>
            <w:tcBorders>
              <w:top w:val="nil"/>
              <w:left w:val="nil"/>
              <w:bottom w:val="nil"/>
              <w:right w:val="nil"/>
            </w:tcBorders>
            <w:shd w:val="clear" w:color="000000" w:fill="DCE6F1"/>
            <w:noWrap/>
            <w:vAlign w:val="center"/>
            <w:hideMark/>
          </w:tcPr>
          <w:p w14:paraId="5B29BA89" w14:textId="77777777" w:rsidR="00BC1127" w:rsidRPr="00A0005F" w:rsidRDefault="00BC1127">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70</w:t>
            </w:r>
          </w:p>
        </w:tc>
        <w:tc>
          <w:tcPr>
            <w:tcW w:w="4680" w:type="dxa"/>
            <w:gridSpan w:val="2"/>
            <w:vMerge/>
            <w:tcBorders>
              <w:top w:val="nil"/>
              <w:left w:val="nil"/>
              <w:bottom w:val="nil"/>
              <w:right w:val="nil"/>
            </w:tcBorders>
            <w:vAlign w:val="center"/>
            <w:hideMark/>
          </w:tcPr>
          <w:p w14:paraId="6AE6116D" w14:textId="77777777" w:rsidR="00BC1127" w:rsidRPr="00A0005F" w:rsidRDefault="00BC1127">
            <w:pPr>
              <w:spacing w:after="0" w:line="240" w:lineRule="auto"/>
              <w:rPr>
                <w:rFonts w:ascii="Calibri" w:eastAsia="Times New Roman" w:hAnsi="Calibri" w:cs="Times New Roman"/>
                <w:color w:val="000000"/>
                <w:sz w:val="20"/>
                <w:szCs w:val="20"/>
              </w:rPr>
            </w:pPr>
          </w:p>
        </w:tc>
      </w:tr>
      <w:tr w:rsidR="00BC1127" w:rsidRPr="00A0005F" w14:paraId="72291130" w14:textId="77777777" w:rsidTr="00E80D12">
        <w:trPr>
          <w:trHeight w:val="290"/>
        </w:trPr>
        <w:tc>
          <w:tcPr>
            <w:tcW w:w="1612" w:type="dxa"/>
            <w:tcBorders>
              <w:top w:val="nil"/>
              <w:left w:val="nil"/>
              <w:bottom w:val="nil"/>
              <w:right w:val="nil"/>
            </w:tcBorders>
            <w:shd w:val="clear" w:color="000000" w:fill="DCE6F1"/>
            <w:noWrap/>
            <w:vAlign w:val="bottom"/>
            <w:hideMark/>
          </w:tcPr>
          <w:p w14:paraId="48179ED8" w14:textId="77777777" w:rsidR="00BC1127" w:rsidRPr="00A0005F" w:rsidRDefault="00BC1127">
            <w:pPr>
              <w:spacing w:after="0" w:line="240" w:lineRule="auto"/>
              <w:rPr>
                <w:rFonts w:ascii="Calibri" w:eastAsia="Times New Roman" w:hAnsi="Calibri" w:cs="Times New Roman"/>
                <w:color w:val="000000"/>
              </w:rPr>
            </w:pPr>
            <w:r w:rsidRPr="00A0005F">
              <w:rPr>
                <w:rFonts w:ascii="Calibri" w:eastAsia="Times New Roman" w:hAnsi="Calibri" w:cs="Times New Roman"/>
                <w:color w:val="000000"/>
              </w:rPr>
              <w:t>PFNA</w:t>
            </w:r>
          </w:p>
        </w:tc>
        <w:tc>
          <w:tcPr>
            <w:tcW w:w="1448" w:type="dxa"/>
            <w:tcBorders>
              <w:top w:val="nil"/>
              <w:left w:val="nil"/>
              <w:bottom w:val="nil"/>
              <w:right w:val="nil"/>
            </w:tcBorders>
            <w:shd w:val="clear" w:color="000000" w:fill="DCE6F1"/>
            <w:noWrap/>
            <w:vAlign w:val="center"/>
            <w:hideMark/>
          </w:tcPr>
          <w:p w14:paraId="4D358E59" w14:textId="77777777" w:rsidR="00BC1127" w:rsidRPr="00A0005F" w:rsidRDefault="00BC1127">
            <w:pPr>
              <w:spacing w:after="0" w:line="240" w:lineRule="auto"/>
              <w:jc w:val="center"/>
              <w:rPr>
                <w:rFonts w:ascii="Calibri" w:eastAsia="Times New Roman" w:hAnsi="Calibri" w:cs="Times New Roman"/>
                <w:color w:val="000000"/>
              </w:rPr>
            </w:pPr>
            <w:r w:rsidRPr="00A0005F">
              <w:rPr>
                <w:rFonts w:ascii="Calibri" w:eastAsia="Times New Roman" w:hAnsi="Calibri" w:cs="Times New Roman"/>
                <w:color w:val="000000"/>
              </w:rPr>
              <w:t>11</w:t>
            </w:r>
          </w:p>
        </w:tc>
        <w:tc>
          <w:tcPr>
            <w:tcW w:w="4680" w:type="dxa"/>
            <w:gridSpan w:val="2"/>
            <w:vMerge/>
            <w:tcBorders>
              <w:top w:val="nil"/>
              <w:left w:val="nil"/>
              <w:bottom w:val="nil"/>
              <w:right w:val="nil"/>
            </w:tcBorders>
            <w:vAlign w:val="center"/>
            <w:hideMark/>
          </w:tcPr>
          <w:p w14:paraId="1AA2C9EC" w14:textId="77777777" w:rsidR="00BC1127" w:rsidRPr="00A0005F" w:rsidRDefault="00BC1127">
            <w:pPr>
              <w:spacing w:after="0" w:line="240" w:lineRule="auto"/>
              <w:rPr>
                <w:rFonts w:ascii="Calibri" w:eastAsia="Times New Roman" w:hAnsi="Calibri" w:cs="Times New Roman"/>
                <w:color w:val="000000"/>
                <w:sz w:val="20"/>
                <w:szCs w:val="20"/>
              </w:rPr>
            </w:pPr>
          </w:p>
        </w:tc>
      </w:tr>
    </w:tbl>
    <w:p w14:paraId="2C854FF5" w14:textId="77777777" w:rsidR="00BC1127" w:rsidRPr="009E210F" w:rsidRDefault="00BC1127" w:rsidP="00BC1127">
      <w:pPr>
        <w:spacing w:line="240" w:lineRule="auto"/>
        <w:jc w:val="both"/>
        <w:rPr>
          <w:sz w:val="24"/>
          <w:szCs w:val="24"/>
        </w:rPr>
      </w:pPr>
    </w:p>
    <w:p w14:paraId="7083A339" w14:textId="73B68882" w:rsidR="0091537F" w:rsidRPr="00C77633" w:rsidRDefault="00C77633" w:rsidP="00E10CDD">
      <w:pPr>
        <w:pStyle w:val="Heading2"/>
      </w:pPr>
      <w:bookmarkStart w:id="16" w:name="_Toc162620793"/>
      <w:r>
        <w:t xml:space="preserve">3.2 </w:t>
      </w:r>
      <w:r w:rsidR="001517E0">
        <w:t>Evaluat</w:t>
      </w:r>
      <w:r w:rsidR="00385441">
        <w:t>ion of</w:t>
      </w:r>
      <w:r w:rsidR="001517E0">
        <w:t xml:space="preserve"> Swimming Restrictions</w:t>
      </w:r>
      <w:bookmarkEnd w:id="16"/>
    </w:p>
    <w:p w14:paraId="3F9F7ACB" w14:textId="1AF7D859" w:rsidR="00C77633" w:rsidRDefault="0083449C" w:rsidP="009362A1">
      <w:pPr>
        <w:spacing w:line="240" w:lineRule="auto"/>
        <w:rPr>
          <w:sz w:val="24"/>
          <w:szCs w:val="24"/>
        </w:rPr>
      </w:pPr>
      <w:r>
        <w:rPr>
          <w:sz w:val="24"/>
          <w:szCs w:val="24"/>
        </w:rPr>
        <w:t xml:space="preserve">If </w:t>
      </w:r>
      <w:r w:rsidR="00F90480">
        <w:rPr>
          <w:sz w:val="24"/>
          <w:szCs w:val="24"/>
        </w:rPr>
        <w:t xml:space="preserve">the </w:t>
      </w:r>
      <w:r w:rsidR="00C77633">
        <w:rPr>
          <w:sz w:val="24"/>
          <w:szCs w:val="24"/>
        </w:rPr>
        <w:t>EPC for</w:t>
      </w:r>
      <w:r>
        <w:rPr>
          <w:sz w:val="24"/>
          <w:szCs w:val="24"/>
        </w:rPr>
        <w:t xml:space="preserve"> </w:t>
      </w:r>
      <w:r w:rsidR="00F90480">
        <w:rPr>
          <w:sz w:val="24"/>
          <w:szCs w:val="24"/>
        </w:rPr>
        <w:t>an</w:t>
      </w:r>
      <w:r>
        <w:rPr>
          <w:sz w:val="24"/>
          <w:szCs w:val="24"/>
        </w:rPr>
        <w:t xml:space="preserve"> individual PFAS</w:t>
      </w:r>
      <w:r w:rsidR="00F90480">
        <w:rPr>
          <w:sz w:val="24"/>
          <w:szCs w:val="24"/>
        </w:rPr>
        <w:t xml:space="preserve">, or combined concentration of </w:t>
      </w:r>
      <w:r w:rsidR="005E56F4">
        <w:rPr>
          <w:sz w:val="24"/>
          <w:szCs w:val="24"/>
        </w:rPr>
        <w:t xml:space="preserve">PFAS </w:t>
      </w:r>
      <w:r w:rsidR="00C15F58">
        <w:rPr>
          <w:sz w:val="24"/>
          <w:szCs w:val="24"/>
        </w:rPr>
        <w:t xml:space="preserve">with </w:t>
      </w:r>
      <w:r w:rsidR="00803527">
        <w:rPr>
          <w:sz w:val="24"/>
          <w:szCs w:val="24"/>
        </w:rPr>
        <w:t>the same or similar</w:t>
      </w:r>
      <w:r w:rsidR="006458DD">
        <w:rPr>
          <w:sz w:val="24"/>
          <w:szCs w:val="24"/>
        </w:rPr>
        <w:t xml:space="preserve"> critical </w:t>
      </w:r>
      <w:r w:rsidR="001D5AC0">
        <w:rPr>
          <w:sz w:val="24"/>
          <w:szCs w:val="24"/>
        </w:rPr>
        <w:t>effects</w:t>
      </w:r>
      <w:r w:rsidR="00500269">
        <w:rPr>
          <w:sz w:val="24"/>
          <w:szCs w:val="24"/>
        </w:rPr>
        <w:t xml:space="preserve"> (i.e., a total equivalent EPC)</w:t>
      </w:r>
      <w:r w:rsidR="005E6034">
        <w:rPr>
          <w:sz w:val="24"/>
          <w:szCs w:val="24"/>
        </w:rPr>
        <w:t>,</w:t>
      </w:r>
      <w:r w:rsidR="001D5AC0">
        <w:rPr>
          <w:sz w:val="24"/>
          <w:szCs w:val="24"/>
        </w:rPr>
        <w:t xml:space="preserve"> </w:t>
      </w:r>
      <w:r>
        <w:rPr>
          <w:sz w:val="24"/>
          <w:szCs w:val="24"/>
        </w:rPr>
        <w:t>exceed</w:t>
      </w:r>
      <w:r w:rsidR="00145AF8">
        <w:rPr>
          <w:sz w:val="24"/>
          <w:szCs w:val="24"/>
        </w:rPr>
        <w:t>s</w:t>
      </w:r>
      <w:r>
        <w:rPr>
          <w:sz w:val="24"/>
          <w:szCs w:val="24"/>
        </w:rPr>
        <w:t xml:space="preserve"> the </w:t>
      </w:r>
      <w:r w:rsidR="00F90480">
        <w:rPr>
          <w:sz w:val="24"/>
          <w:szCs w:val="24"/>
        </w:rPr>
        <w:t xml:space="preserve">corresponding </w:t>
      </w:r>
      <w:r>
        <w:rPr>
          <w:sz w:val="24"/>
          <w:szCs w:val="24"/>
        </w:rPr>
        <w:t xml:space="preserve">action level in </w:t>
      </w:r>
      <w:r w:rsidR="00E80D12">
        <w:rPr>
          <w:sz w:val="24"/>
          <w:szCs w:val="24"/>
        </w:rPr>
        <w:t xml:space="preserve">Table </w:t>
      </w:r>
      <w:r>
        <w:rPr>
          <w:sz w:val="24"/>
          <w:szCs w:val="24"/>
        </w:rPr>
        <w:t>3.</w:t>
      </w:r>
      <w:r w:rsidR="00E80D12">
        <w:rPr>
          <w:sz w:val="24"/>
          <w:szCs w:val="24"/>
        </w:rPr>
        <w:t>2</w:t>
      </w:r>
      <w:r>
        <w:rPr>
          <w:sz w:val="24"/>
          <w:szCs w:val="24"/>
        </w:rPr>
        <w:t xml:space="preserve">, the next step is to </w:t>
      </w:r>
      <w:r w:rsidR="00C77633">
        <w:rPr>
          <w:sz w:val="24"/>
          <w:szCs w:val="24"/>
        </w:rPr>
        <w:t xml:space="preserve">evaluate whether it is safe for individuals to swim in the waterbody on a limited </w:t>
      </w:r>
      <w:r w:rsidR="00C77633" w:rsidRPr="00FC12E8">
        <w:rPr>
          <w:sz w:val="24"/>
          <w:szCs w:val="24"/>
        </w:rPr>
        <w:t>b</w:t>
      </w:r>
      <w:r w:rsidR="00A87232" w:rsidRPr="00FC12E8">
        <w:rPr>
          <w:sz w:val="24"/>
          <w:szCs w:val="24"/>
        </w:rPr>
        <w:t>asis.</w:t>
      </w:r>
      <w:r w:rsidR="00A85F01" w:rsidRPr="00FC12E8">
        <w:rPr>
          <w:sz w:val="24"/>
          <w:szCs w:val="24"/>
        </w:rPr>
        <w:t xml:space="preserve"> If </w:t>
      </w:r>
      <w:r w:rsidR="00220886" w:rsidRPr="00FC12E8">
        <w:rPr>
          <w:sz w:val="24"/>
          <w:szCs w:val="24"/>
        </w:rPr>
        <w:t>none of the EPCs (for individual PFAS compounds) or total equivalent EPCs (for groups of PFAS with similar critical effects) exceed the corresponding action level,</w:t>
      </w:r>
      <w:r w:rsidR="00A85F01" w:rsidRPr="00FC12E8">
        <w:rPr>
          <w:sz w:val="24"/>
          <w:szCs w:val="24"/>
        </w:rPr>
        <w:t xml:space="preserve"> then the waterbody is considered safe for unlimited use.</w:t>
      </w:r>
      <w:r w:rsidR="00A85F01">
        <w:rPr>
          <w:sz w:val="24"/>
          <w:szCs w:val="24"/>
        </w:rPr>
        <w:t xml:space="preserve"> </w:t>
      </w:r>
    </w:p>
    <w:p w14:paraId="3B75375D" w14:textId="1417CB91" w:rsidR="0083449C" w:rsidRDefault="00A87232" w:rsidP="009362A1">
      <w:pPr>
        <w:spacing w:line="240" w:lineRule="auto"/>
        <w:rPr>
          <w:sz w:val="24"/>
          <w:szCs w:val="24"/>
        </w:rPr>
      </w:pPr>
      <w:r w:rsidRPr="6BE7E070">
        <w:rPr>
          <w:sz w:val="24"/>
          <w:szCs w:val="24"/>
        </w:rPr>
        <w:lastRenderedPageBreak/>
        <w:t xml:space="preserve">To evaluate whether swimming is safe on a limited basis, the equation used to calculate the PBAL is re-arranged to </w:t>
      </w:r>
      <w:r w:rsidR="0083449C" w:rsidRPr="6BE7E070">
        <w:rPr>
          <w:sz w:val="24"/>
          <w:szCs w:val="24"/>
        </w:rPr>
        <w:t xml:space="preserve">determine the </w:t>
      </w:r>
      <w:r w:rsidR="0039678A" w:rsidRPr="6BE7E070">
        <w:rPr>
          <w:sz w:val="24"/>
          <w:szCs w:val="24"/>
        </w:rPr>
        <w:t>target</w:t>
      </w:r>
      <w:r w:rsidR="0083449C" w:rsidRPr="6BE7E070">
        <w:rPr>
          <w:sz w:val="24"/>
          <w:szCs w:val="24"/>
        </w:rPr>
        <w:t xml:space="preserve"> exposure frequency</w:t>
      </w:r>
      <w:r w:rsidR="0039678A" w:rsidRPr="6BE7E070">
        <w:rPr>
          <w:sz w:val="24"/>
          <w:szCs w:val="24"/>
        </w:rPr>
        <w:t xml:space="preserve"> (EF</w:t>
      </w:r>
      <w:r w:rsidR="0039678A" w:rsidRPr="6BE7E070">
        <w:rPr>
          <w:i/>
          <w:iCs/>
          <w:sz w:val="24"/>
          <w:szCs w:val="24"/>
          <w:vertAlign w:val="subscript"/>
        </w:rPr>
        <w:t>T</w:t>
      </w:r>
      <w:r w:rsidR="0039678A" w:rsidRPr="6BE7E070">
        <w:rPr>
          <w:sz w:val="24"/>
          <w:szCs w:val="24"/>
        </w:rPr>
        <w:t xml:space="preserve">) that would ensure exposure to PFAS </w:t>
      </w:r>
      <w:r w:rsidRPr="6BE7E070">
        <w:rPr>
          <w:sz w:val="24"/>
          <w:szCs w:val="24"/>
        </w:rPr>
        <w:t xml:space="preserve">while </w:t>
      </w:r>
      <w:r w:rsidR="002E1C59" w:rsidRPr="6BE7E070">
        <w:rPr>
          <w:sz w:val="24"/>
          <w:szCs w:val="24"/>
        </w:rPr>
        <w:t>swimming</w:t>
      </w:r>
      <w:r w:rsidRPr="6BE7E070">
        <w:rPr>
          <w:sz w:val="24"/>
          <w:szCs w:val="24"/>
        </w:rPr>
        <w:t xml:space="preserve"> </w:t>
      </w:r>
      <w:r w:rsidR="0039678A" w:rsidRPr="6BE7E070">
        <w:rPr>
          <w:sz w:val="24"/>
          <w:szCs w:val="24"/>
        </w:rPr>
        <w:t>does not exceed an acceptable level, as defined by toxicity criteria</w:t>
      </w:r>
      <w:r w:rsidR="00E57E78" w:rsidRPr="000A114D">
        <w:rPr>
          <w:sz w:val="24"/>
          <w:szCs w:val="24"/>
        </w:rPr>
        <w:t xml:space="preserve"> and other exposure assumptions (e.g., body weight, </w:t>
      </w:r>
      <w:r w:rsidR="00CF0600" w:rsidRPr="000A114D">
        <w:rPr>
          <w:sz w:val="24"/>
          <w:szCs w:val="24"/>
        </w:rPr>
        <w:t>incidental ingestion of surface water)</w:t>
      </w:r>
      <w:r w:rsidR="0039678A" w:rsidRPr="000A114D">
        <w:rPr>
          <w:sz w:val="24"/>
          <w:szCs w:val="24"/>
        </w:rPr>
        <w:t>.</w:t>
      </w:r>
      <w:r w:rsidR="0039678A" w:rsidRPr="6BE7E070">
        <w:rPr>
          <w:sz w:val="24"/>
          <w:szCs w:val="24"/>
        </w:rPr>
        <w:t xml:space="preserve"> The EF</w:t>
      </w:r>
      <w:r w:rsidR="0039678A" w:rsidRPr="6BE7E070">
        <w:rPr>
          <w:sz w:val="24"/>
          <w:szCs w:val="24"/>
          <w:vertAlign w:val="subscript"/>
        </w:rPr>
        <w:t>T</w:t>
      </w:r>
      <w:r w:rsidR="0039678A" w:rsidRPr="6BE7E070">
        <w:rPr>
          <w:sz w:val="24"/>
          <w:szCs w:val="24"/>
        </w:rPr>
        <w:t xml:space="preserve"> is calculated as follows</w:t>
      </w:r>
      <w:r w:rsidR="004946CE" w:rsidRPr="6BE7E070">
        <w:rPr>
          <w:sz w:val="24"/>
          <w:szCs w:val="24"/>
        </w:rPr>
        <w:t>, using values for input parameters as defined in Table 2.2</w:t>
      </w:r>
      <w:r w:rsidR="0039678A" w:rsidRPr="6BE7E070">
        <w:rPr>
          <w:sz w:val="24"/>
          <w:szCs w:val="24"/>
        </w:rPr>
        <w:t>:</w:t>
      </w:r>
    </w:p>
    <w:p w14:paraId="3D40CA68" w14:textId="5C4B7B2E" w:rsidR="0039678A" w:rsidRDefault="0039678A" w:rsidP="00D00B7E">
      <w:pPr>
        <w:keepNext/>
        <w:spacing w:line="240" w:lineRule="auto"/>
        <w:jc w:val="both"/>
        <w:rPr>
          <w:sz w:val="24"/>
          <w:szCs w:val="24"/>
        </w:rPr>
      </w:pPr>
      <w:r>
        <w:rPr>
          <w:sz w:val="24"/>
          <w:szCs w:val="24"/>
        </w:rPr>
        <w:t xml:space="preserve">For </w:t>
      </w:r>
      <w:r w:rsidR="007A4197">
        <w:rPr>
          <w:sz w:val="24"/>
          <w:szCs w:val="24"/>
        </w:rPr>
        <w:t xml:space="preserve">exposure to </w:t>
      </w:r>
      <w:r>
        <w:rPr>
          <w:sz w:val="24"/>
          <w:szCs w:val="24"/>
        </w:rPr>
        <w:t>individual PFAS:</w:t>
      </w:r>
    </w:p>
    <w:p w14:paraId="74D0A929" w14:textId="6455468D" w:rsidR="0039678A" w:rsidRPr="00E5702C" w:rsidRDefault="00FD30E8" w:rsidP="00E5702C">
      <w:pPr>
        <w:spacing w:after="0" w:line="240" w:lineRule="auto"/>
        <w:rPr>
          <w:rFonts w:cs="Arial"/>
          <w:sz w:val="24"/>
          <w:szCs w:val="24"/>
        </w:rPr>
      </w:pPr>
      <m:oMathPara>
        <m:oMath>
          <m:sSub>
            <m:sSubPr>
              <m:ctrlPr>
                <w:rPr>
                  <w:rFonts w:ascii="Cambria Math" w:hAnsi="Cambria Math" w:cs="Arial"/>
                  <w:i/>
                </w:rPr>
              </m:ctrlPr>
            </m:sSubPr>
            <m:e>
              <m:r>
                <w:rPr>
                  <w:rFonts w:ascii="Cambria Math" w:hAnsi="Cambria Math" w:cs="Arial"/>
                </w:rPr>
                <m:t>EF</m:t>
              </m:r>
            </m:e>
            <m:sub>
              <m:r>
                <w:rPr>
                  <w:rFonts w:ascii="Cambria Math" w:hAnsi="Cambria Math" w:cs="Arial"/>
                </w:rPr>
                <m:t>T</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EPC</m:t>
                      </m:r>
                    </m:e>
                    <m:sub>
                      <m:r>
                        <w:rPr>
                          <w:rFonts w:ascii="Cambria Math" w:hAnsi="Cambria Math" w:cs="Arial"/>
                        </w:rPr>
                        <m:t>PFAS</m:t>
                      </m:r>
                    </m:sub>
                  </m:sSub>
                </m:den>
              </m:f>
            </m:e>
          </m:d>
          <m:r>
            <w:rPr>
              <w:rFonts w:ascii="Cambria Math" w:hAnsi="Cambria Math" w:cs="Arial"/>
            </w:rPr>
            <m:t>×</m:t>
          </m:r>
          <m:d>
            <m:dPr>
              <m:ctrlPr>
                <w:rPr>
                  <w:rFonts w:ascii="Cambria Math" w:hAnsi="Cambria Math" w:cs="Arial"/>
                  <w:i/>
                </w:rPr>
              </m:ctrlPr>
            </m:dPr>
            <m:e>
              <m:r>
                <w:rPr>
                  <w:rFonts w:ascii="Cambria Math" w:hAnsi="Cambria Math" w:cs="Arial"/>
                </w:rPr>
                <m:t>MRL or RfD</m:t>
              </m:r>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 xml:space="preserve"> ng</m:t>
                  </m:r>
                </m:num>
                <m:den>
                  <m:r>
                    <w:rPr>
                      <w:rFonts w:ascii="Cambria Math" w:hAnsi="Cambria Math" w:cs="Arial"/>
                    </w:rPr>
                    <m:t>mg</m:t>
                  </m:r>
                </m:den>
              </m:f>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BW×AT</m:t>
                  </m:r>
                </m:num>
                <m:den>
                  <m:r>
                    <w:rPr>
                      <w:rFonts w:ascii="Cambria Math" w:hAnsi="Cambria Math" w:cs="Arial"/>
                    </w:rPr>
                    <m:t>IR×ET×ED</m:t>
                  </m:r>
                </m:den>
              </m:f>
            </m:e>
          </m:d>
          <m:r>
            <w:rPr>
              <w:rFonts w:ascii="Cambria Math" w:hAnsi="Cambria Math" w:cs="Arial"/>
            </w:rPr>
            <m:t>×RSC</m:t>
          </m:r>
        </m:oMath>
      </m:oMathPara>
    </w:p>
    <w:p w14:paraId="5BEFBD5F" w14:textId="77777777" w:rsidR="00E5702C" w:rsidRDefault="00E5702C" w:rsidP="002B5E1E">
      <w:pPr>
        <w:spacing w:after="120" w:line="240" w:lineRule="auto"/>
        <w:jc w:val="both"/>
        <w:rPr>
          <w:sz w:val="24"/>
          <w:szCs w:val="24"/>
        </w:rPr>
      </w:pPr>
    </w:p>
    <w:p w14:paraId="5929644E" w14:textId="20EA15AE" w:rsidR="00DC3BB3" w:rsidRDefault="00DC3BB3" w:rsidP="00DC3BB3">
      <w:pPr>
        <w:spacing w:line="240" w:lineRule="auto"/>
        <w:jc w:val="both"/>
        <w:rPr>
          <w:sz w:val="24"/>
          <w:szCs w:val="24"/>
        </w:rPr>
      </w:pPr>
      <w:r>
        <w:rPr>
          <w:sz w:val="24"/>
          <w:szCs w:val="24"/>
        </w:rPr>
        <w:t xml:space="preserve">For combined exposure to </w:t>
      </w:r>
      <w:proofErr w:type="spellStart"/>
      <w:r w:rsidR="007A4197">
        <w:rPr>
          <w:sz w:val="24"/>
          <w:szCs w:val="24"/>
        </w:rPr>
        <w:t>GenX</w:t>
      </w:r>
      <w:proofErr w:type="spellEnd"/>
      <w:r>
        <w:rPr>
          <w:sz w:val="24"/>
          <w:szCs w:val="24"/>
        </w:rPr>
        <w:t xml:space="preserve"> and PF</w:t>
      </w:r>
      <w:r w:rsidR="007A4197">
        <w:rPr>
          <w:sz w:val="24"/>
          <w:szCs w:val="24"/>
        </w:rPr>
        <w:t>B</w:t>
      </w:r>
      <w:r>
        <w:rPr>
          <w:sz w:val="24"/>
          <w:szCs w:val="24"/>
        </w:rPr>
        <w:t>A:</w:t>
      </w:r>
    </w:p>
    <w:p w14:paraId="23F9F45B" w14:textId="257E9CEB" w:rsidR="00DC3BB3" w:rsidRPr="00E5702C" w:rsidRDefault="00FD30E8" w:rsidP="00DC3BB3">
      <w:pPr>
        <w:spacing w:after="0" w:line="240" w:lineRule="auto"/>
        <w:rPr>
          <w:rFonts w:cs="Arial"/>
          <w:sz w:val="24"/>
          <w:szCs w:val="24"/>
        </w:rPr>
      </w:pPr>
      <m:oMathPara>
        <m:oMath>
          <m:sSub>
            <m:sSubPr>
              <m:ctrlPr>
                <w:rPr>
                  <w:rFonts w:ascii="Cambria Math" w:hAnsi="Cambria Math" w:cs="Arial"/>
                  <w:i/>
                  <w:sz w:val="20"/>
                  <w:szCs w:val="20"/>
                </w:rPr>
              </m:ctrlPr>
            </m:sSubPr>
            <m:e>
              <m:r>
                <w:rPr>
                  <w:rFonts w:ascii="Cambria Math" w:hAnsi="Cambria Math" w:cs="Arial"/>
                  <w:sz w:val="20"/>
                  <w:szCs w:val="20"/>
                </w:rPr>
                <m:t>EF</m:t>
              </m:r>
            </m:e>
            <m:sub>
              <m:r>
                <w:rPr>
                  <w:rFonts w:ascii="Cambria Math" w:hAnsi="Cambria Math" w:cs="Arial"/>
                  <w:sz w:val="20"/>
                  <w:szCs w:val="20"/>
                </w:rPr>
                <m:t>T</m:t>
              </m:r>
            </m:sub>
          </m:sSub>
          <m:r>
            <w:rPr>
              <w:rFonts w:ascii="Cambria Math" w:hAnsi="Cambria Math" w:cs="Arial"/>
              <w:sz w:val="20"/>
              <w:szCs w:val="20"/>
            </w:rPr>
            <m:t>=</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sSub>
                    <m:sSubPr>
                      <m:ctrlPr>
                        <w:rPr>
                          <w:rFonts w:ascii="Cambria Math" w:hAnsi="Cambria Math" w:cs="Arial"/>
                          <w:i/>
                          <w:sz w:val="20"/>
                          <w:szCs w:val="20"/>
                        </w:rPr>
                      </m:ctrlPr>
                    </m:sSubPr>
                    <m:e>
                      <m:r>
                        <w:rPr>
                          <w:rFonts w:ascii="Cambria Math" w:hAnsi="Cambria Math" w:cs="Arial"/>
                          <w:sz w:val="20"/>
                          <w:szCs w:val="20"/>
                        </w:rPr>
                        <m:t>EPC</m:t>
                      </m:r>
                    </m:e>
                    <m:sub>
                      <m:r>
                        <w:rPr>
                          <w:rFonts w:ascii="Cambria Math" w:hAnsi="Cambria Math" w:cs="Arial"/>
                          <w:sz w:val="20"/>
                          <w:szCs w:val="20"/>
                        </w:rPr>
                        <m:t>GenX</m:t>
                      </m:r>
                    </m:sub>
                  </m:sSub>
                  <m:r>
                    <w:rPr>
                      <w:rFonts w:ascii="Cambria Math" w:hAnsi="Cambria Math" w:cs="Arial"/>
                      <w:sz w:val="20"/>
                      <w:szCs w:val="20"/>
                    </w:rPr>
                    <m:t>+</m:t>
                  </m:r>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RfD</m:t>
                              </m:r>
                            </m:e>
                            <m:sub>
                              <m:r>
                                <w:rPr>
                                  <w:rFonts w:ascii="Cambria Math" w:hAnsi="Cambria Math" w:cs="Arial"/>
                                  <w:sz w:val="20"/>
                                  <w:szCs w:val="20"/>
                                </w:rPr>
                                <m:t>GenX</m:t>
                              </m:r>
                            </m:sub>
                          </m:sSub>
                        </m:num>
                        <m:den>
                          <m:sSub>
                            <m:sSubPr>
                              <m:ctrlPr>
                                <w:rPr>
                                  <w:rFonts w:ascii="Cambria Math" w:hAnsi="Cambria Math" w:cs="Arial"/>
                                  <w:i/>
                                  <w:sz w:val="20"/>
                                  <w:szCs w:val="20"/>
                                </w:rPr>
                              </m:ctrlPr>
                            </m:sSubPr>
                            <m:e>
                              <m:r>
                                <w:rPr>
                                  <w:rFonts w:ascii="Cambria Math" w:hAnsi="Cambria Math" w:cs="Arial"/>
                                  <w:sz w:val="20"/>
                                  <w:szCs w:val="20"/>
                                </w:rPr>
                                <m:t>MRL</m:t>
                              </m:r>
                            </m:e>
                            <m:sub>
                              <m:r>
                                <w:rPr>
                                  <w:rFonts w:ascii="Cambria Math" w:hAnsi="Cambria Math" w:cs="Arial"/>
                                  <w:sz w:val="20"/>
                                  <w:szCs w:val="20"/>
                                </w:rPr>
                                <m:t>PFBA</m:t>
                              </m:r>
                            </m:sub>
                          </m:sSub>
                        </m:den>
                      </m:f>
                    </m:e>
                  </m:d>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EPC</m:t>
                      </m:r>
                    </m:e>
                    <m:sub>
                      <m:r>
                        <w:rPr>
                          <w:rFonts w:ascii="Cambria Math" w:hAnsi="Cambria Math" w:cs="Arial"/>
                          <w:sz w:val="20"/>
                          <w:szCs w:val="20"/>
                        </w:rPr>
                        <m:t>PFBA</m:t>
                      </m:r>
                    </m:sub>
                  </m:sSub>
                </m:den>
              </m:f>
            </m:e>
          </m:d>
          <m:r>
            <w:rPr>
              <w:rFonts w:ascii="Cambria Math" w:hAnsi="Cambria Math" w:cs="Arial"/>
              <w:sz w:val="20"/>
              <w:szCs w:val="20"/>
            </w:rPr>
            <m:t>×</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 xml:space="preserve">RfD </m:t>
                  </m:r>
                </m:e>
                <m:sub>
                  <m:r>
                    <w:rPr>
                      <w:rFonts w:ascii="Cambria Math" w:hAnsi="Cambria Math" w:cs="Arial"/>
                      <w:sz w:val="20"/>
                      <w:szCs w:val="20"/>
                    </w:rPr>
                    <m:t>GenX</m:t>
                  </m:r>
                </m:sub>
              </m:sSub>
            </m:e>
          </m:d>
          <m:r>
            <w:rPr>
              <w:rFonts w:ascii="Cambria Math" w:hAnsi="Cambria Math" w:cs="Arial"/>
              <w:sz w:val="20"/>
              <w:szCs w:val="20"/>
            </w:rPr>
            <m:t>×</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sSup>
                    <m:sSupPr>
                      <m:ctrlPr>
                        <w:rPr>
                          <w:rFonts w:ascii="Cambria Math" w:hAnsi="Cambria Math" w:cs="Arial"/>
                          <w:i/>
                          <w:sz w:val="20"/>
                          <w:szCs w:val="20"/>
                        </w:rPr>
                      </m:ctrlPr>
                    </m:sSupPr>
                    <m:e>
                      <m:r>
                        <w:rPr>
                          <w:rFonts w:ascii="Cambria Math" w:hAnsi="Cambria Math" w:cs="Arial"/>
                          <w:sz w:val="20"/>
                          <w:szCs w:val="20"/>
                        </w:rPr>
                        <m:t>10</m:t>
                      </m:r>
                    </m:e>
                    <m:sup>
                      <m:r>
                        <w:rPr>
                          <w:rFonts w:ascii="Cambria Math" w:hAnsi="Cambria Math" w:cs="Arial"/>
                          <w:sz w:val="20"/>
                          <w:szCs w:val="20"/>
                        </w:rPr>
                        <m:t>6</m:t>
                      </m:r>
                    </m:sup>
                  </m:sSup>
                  <m:r>
                    <w:rPr>
                      <w:rFonts w:ascii="Cambria Math" w:hAnsi="Cambria Math" w:cs="Arial"/>
                      <w:sz w:val="20"/>
                      <w:szCs w:val="20"/>
                    </w:rPr>
                    <m:t xml:space="preserve"> ng</m:t>
                  </m:r>
                </m:num>
                <m:den>
                  <m:r>
                    <w:rPr>
                      <w:rFonts w:ascii="Cambria Math" w:hAnsi="Cambria Math" w:cs="Arial"/>
                      <w:sz w:val="20"/>
                      <w:szCs w:val="20"/>
                    </w:rPr>
                    <m:t>mg</m:t>
                  </m:r>
                </m:den>
              </m:f>
            </m:e>
          </m:d>
          <m:r>
            <w:rPr>
              <w:rFonts w:ascii="Cambria Math" w:hAnsi="Cambria Math" w:cs="Arial"/>
              <w:sz w:val="20"/>
              <w:szCs w:val="20"/>
            </w:rPr>
            <m:t>×</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BW×AT</m:t>
                  </m:r>
                </m:num>
                <m:den>
                  <m:r>
                    <w:rPr>
                      <w:rFonts w:ascii="Cambria Math" w:hAnsi="Cambria Math" w:cs="Arial"/>
                      <w:sz w:val="20"/>
                      <w:szCs w:val="20"/>
                    </w:rPr>
                    <m:t>IR×ET×ED</m:t>
                  </m:r>
                </m:den>
              </m:f>
            </m:e>
          </m:d>
          <m:r>
            <w:rPr>
              <w:rFonts w:ascii="Cambria Math" w:hAnsi="Cambria Math" w:cs="Arial"/>
              <w:sz w:val="20"/>
              <w:szCs w:val="20"/>
            </w:rPr>
            <m:t>×RSC</m:t>
          </m:r>
        </m:oMath>
      </m:oMathPara>
    </w:p>
    <w:p w14:paraId="6FA402AB" w14:textId="77777777" w:rsidR="00DC3BB3" w:rsidRDefault="00DC3BB3" w:rsidP="00390799">
      <w:pPr>
        <w:spacing w:line="240" w:lineRule="auto"/>
        <w:ind w:right="-450"/>
        <w:jc w:val="both"/>
        <w:rPr>
          <w:sz w:val="24"/>
          <w:szCs w:val="24"/>
        </w:rPr>
      </w:pPr>
    </w:p>
    <w:p w14:paraId="5C086914" w14:textId="7E6E7C50" w:rsidR="0039678A" w:rsidRDefault="0039678A" w:rsidP="00390799">
      <w:pPr>
        <w:spacing w:line="240" w:lineRule="auto"/>
        <w:ind w:right="-450"/>
        <w:jc w:val="both"/>
        <w:rPr>
          <w:sz w:val="24"/>
          <w:szCs w:val="24"/>
        </w:rPr>
      </w:pPr>
      <w:r>
        <w:rPr>
          <w:sz w:val="24"/>
          <w:szCs w:val="24"/>
        </w:rPr>
        <w:t xml:space="preserve">For combined exposure to </w:t>
      </w:r>
      <w:r w:rsidR="0013181E">
        <w:rPr>
          <w:sz w:val="24"/>
          <w:szCs w:val="24"/>
        </w:rPr>
        <w:t xml:space="preserve">PFBA, </w:t>
      </w:r>
      <w:r>
        <w:rPr>
          <w:sz w:val="24"/>
          <w:szCs w:val="24"/>
        </w:rPr>
        <w:t xml:space="preserve">PFBS and </w:t>
      </w:r>
      <w:proofErr w:type="spellStart"/>
      <w:r>
        <w:rPr>
          <w:sz w:val="24"/>
          <w:szCs w:val="24"/>
        </w:rPr>
        <w:t>PFHxS</w:t>
      </w:r>
      <w:proofErr w:type="spellEnd"/>
      <w:r>
        <w:rPr>
          <w:sz w:val="24"/>
          <w:szCs w:val="24"/>
        </w:rPr>
        <w:t>:</w:t>
      </w:r>
    </w:p>
    <w:p w14:paraId="762DF038" w14:textId="57F1B75F" w:rsidR="00713622" w:rsidRPr="00E5702C" w:rsidRDefault="00FD30E8" w:rsidP="00390799">
      <w:pPr>
        <w:spacing w:after="0" w:line="240" w:lineRule="auto"/>
        <w:ind w:left="-180" w:right="-450"/>
        <w:rPr>
          <w:rFonts w:cs="Arial"/>
          <w:sz w:val="24"/>
          <w:szCs w:val="24"/>
        </w:rPr>
      </w:pPr>
      <m:oMathPara>
        <m:oMath>
          <m:sSub>
            <m:sSubPr>
              <m:ctrlPr>
                <w:rPr>
                  <w:rFonts w:ascii="Cambria Math" w:hAnsi="Cambria Math" w:cs="Arial"/>
                  <w:i/>
                  <w:sz w:val="18"/>
                  <w:szCs w:val="18"/>
                </w:rPr>
              </m:ctrlPr>
            </m:sSubPr>
            <m:e>
              <m:r>
                <w:rPr>
                  <w:rFonts w:ascii="Cambria Math" w:hAnsi="Cambria Math" w:cs="Arial"/>
                  <w:sz w:val="18"/>
                  <w:szCs w:val="18"/>
                </w:rPr>
                <m:t>EF</m:t>
              </m:r>
            </m:e>
            <m:sub>
              <m:r>
                <w:rPr>
                  <w:rFonts w:ascii="Cambria Math" w:hAnsi="Cambria Math" w:cs="Arial"/>
                  <w:sz w:val="18"/>
                  <w:szCs w:val="18"/>
                </w:rPr>
                <m:t>T</m:t>
              </m:r>
            </m:sub>
          </m:sSub>
          <m:r>
            <w:rPr>
              <w:rFonts w:ascii="Cambria Math" w:hAnsi="Cambria Math" w:cs="Arial"/>
              <w:sz w:val="18"/>
              <w:szCs w:val="18"/>
            </w:rPr>
            <m:t>=</m:t>
          </m:r>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1</m:t>
                  </m:r>
                </m:num>
                <m:den>
                  <m:sSub>
                    <m:sSubPr>
                      <m:ctrlPr>
                        <w:rPr>
                          <w:rFonts w:ascii="Cambria Math" w:hAnsi="Cambria Math" w:cs="Arial"/>
                          <w:i/>
                          <w:sz w:val="18"/>
                          <w:szCs w:val="18"/>
                        </w:rPr>
                      </m:ctrlPr>
                    </m:sSubPr>
                    <m:e>
                      <m:r>
                        <w:rPr>
                          <w:rFonts w:ascii="Cambria Math" w:hAnsi="Cambria Math" w:cs="Arial"/>
                          <w:sz w:val="18"/>
                          <w:szCs w:val="18"/>
                        </w:rPr>
                        <m:t>EPC</m:t>
                      </m:r>
                    </m:e>
                    <m:sub>
                      <m:r>
                        <w:rPr>
                          <w:rFonts w:ascii="Cambria Math" w:hAnsi="Cambria Math" w:cs="Arial"/>
                          <w:sz w:val="18"/>
                          <w:szCs w:val="18"/>
                        </w:rPr>
                        <m:t>PFHxS</m:t>
                      </m:r>
                    </m:sub>
                  </m:sSub>
                  <m:r>
                    <w:rPr>
                      <w:rFonts w:ascii="Cambria Math" w:hAnsi="Cambria Math" w:cs="Arial"/>
                      <w:sz w:val="18"/>
                      <w:szCs w:val="18"/>
                    </w:rPr>
                    <m:t>+</m:t>
                  </m:r>
                  <m:d>
                    <m:dPr>
                      <m:ctrlPr>
                        <w:rPr>
                          <w:rFonts w:ascii="Cambria Math" w:hAnsi="Cambria Math" w:cs="Arial"/>
                          <w:i/>
                          <w:sz w:val="18"/>
                          <w:szCs w:val="18"/>
                        </w:rPr>
                      </m:ctrlPr>
                    </m:dPr>
                    <m:e>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MRL</m:t>
                              </m:r>
                            </m:e>
                            <m:sub>
                              <m:r>
                                <w:rPr>
                                  <w:rFonts w:ascii="Cambria Math" w:hAnsi="Cambria Math" w:cs="Arial"/>
                                  <w:sz w:val="18"/>
                                  <w:szCs w:val="18"/>
                                </w:rPr>
                                <m:t>PFHxS</m:t>
                              </m:r>
                            </m:sub>
                          </m:sSub>
                        </m:num>
                        <m:den>
                          <m:sSub>
                            <m:sSubPr>
                              <m:ctrlPr>
                                <w:rPr>
                                  <w:rFonts w:ascii="Cambria Math" w:hAnsi="Cambria Math" w:cs="Arial"/>
                                  <w:i/>
                                  <w:sz w:val="18"/>
                                  <w:szCs w:val="18"/>
                                </w:rPr>
                              </m:ctrlPr>
                            </m:sSubPr>
                            <m:e>
                              <m:r>
                                <w:rPr>
                                  <w:rFonts w:ascii="Cambria Math" w:hAnsi="Cambria Math" w:cs="Arial"/>
                                  <w:sz w:val="18"/>
                                  <w:szCs w:val="18"/>
                                </w:rPr>
                                <m:t>MRL</m:t>
                              </m:r>
                            </m:e>
                            <m:sub>
                              <m:r>
                                <w:rPr>
                                  <w:rFonts w:ascii="Cambria Math" w:hAnsi="Cambria Math" w:cs="Arial"/>
                                  <w:sz w:val="18"/>
                                  <w:szCs w:val="18"/>
                                </w:rPr>
                                <m:t>PFBA</m:t>
                              </m:r>
                            </m:sub>
                          </m:sSub>
                        </m:den>
                      </m:f>
                    </m:e>
                  </m:d>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EPC</m:t>
                      </m:r>
                    </m:e>
                    <m:sub>
                      <m:r>
                        <w:rPr>
                          <w:rFonts w:ascii="Cambria Math" w:hAnsi="Cambria Math" w:cs="Arial"/>
                          <w:sz w:val="18"/>
                          <w:szCs w:val="18"/>
                        </w:rPr>
                        <m:t>PFBA</m:t>
                      </m:r>
                    </m:sub>
                  </m:sSub>
                  <m:r>
                    <w:rPr>
                      <w:rFonts w:ascii="Cambria Math" w:hAnsi="Cambria Math" w:cs="Arial"/>
                      <w:sz w:val="18"/>
                      <w:szCs w:val="18"/>
                    </w:rPr>
                    <m:t>+</m:t>
                  </m:r>
                  <m:d>
                    <m:dPr>
                      <m:ctrlPr>
                        <w:rPr>
                          <w:rFonts w:ascii="Cambria Math" w:hAnsi="Cambria Math" w:cs="Arial"/>
                          <w:i/>
                          <w:sz w:val="18"/>
                          <w:szCs w:val="18"/>
                        </w:rPr>
                      </m:ctrlPr>
                    </m:dPr>
                    <m:e>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MRL</m:t>
                              </m:r>
                            </m:e>
                            <m:sub>
                              <m:r>
                                <w:rPr>
                                  <w:rFonts w:ascii="Cambria Math" w:hAnsi="Cambria Math" w:cs="Arial"/>
                                  <w:sz w:val="18"/>
                                  <w:szCs w:val="18"/>
                                </w:rPr>
                                <m:t>PFHxS</m:t>
                              </m:r>
                            </m:sub>
                          </m:sSub>
                        </m:num>
                        <m:den>
                          <m:sSub>
                            <m:sSubPr>
                              <m:ctrlPr>
                                <w:rPr>
                                  <w:rFonts w:ascii="Cambria Math" w:hAnsi="Cambria Math" w:cs="Arial"/>
                                  <w:i/>
                                  <w:sz w:val="18"/>
                                  <w:szCs w:val="18"/>
                                </w:rPr>
                              </m:ctrlPr>
                            </m:sSubPr>
                            <m:e>
                              <m:r>
                                <w:rPr>
                                  <w:rFonts w:ascii="Cambria Math" w:hAnsi="Cambria Math" w:cs="Arial"/>
                                  <w:sz w:val="18"/>
                                  <w:szCs w:val="18"/>
                                </w:rPr>
                                <m:t>MRL</m:t>
                              </m:r>
                            </m:e>
                            <m:sub>
                              <m:r>
                                <w:rPr>
                                  <w:rFonts w:ascii="Cambria Math" w:hAnsi="Cambria Math" w:cs="Arial"/>
                                  <w:sz w:val="18"/>
                                  <w:szCs w:val="18"/>
                                </w:rPr>
                                <m:t>PFBS</m:t>
                              </m:r>
                            </m:sub>
                          </m:sSub>
                        </m:den>
                      </m:f>
                    </m:e>
                  </m:d>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EPC</m:t>
                      </m:r>
                    </m:e>
                    <m:sub>
                      <m:r>
                        <w:rPr>
                          <w:rFonts w:ascii="Cambria Math" w:hAnsi="Cambria Math" w:cs="Arial"/>
                          <w:sz w:val="18"/>
                          <w:szCs w:val="18"/>
                        </w:rPr>
                        <m:t>PFBS</m:t>
                      </m:r>
                    </m:sub>
                  </m:sSub>
                </m:den>
              </m:f>
            </m:e>
          </m:d>
          <m:r>
            <w:rPr>
              <w:rFonts w:ascii="Cambria Math" w:hAnsi="Cambria Math" w:cs="Arial"/>
              <w:sz w:val="18"/>
              <w:szCs w:val="18"/>
            </w:rPr>
            <m:t>×</m:t>
          </m:r>
          <m:d>
            <m:dPr>
              <m:ctrlPr>
                <w:rPr>
                  <w:rFonts w:ascii="Cambria Math" w:hAnsi="Cambria Math" w:cs="Arial"/>
                  <w:i/>
                  <w:sz w:val="18"/>
                  <w:szCs w:val="18"/>
                </w:rPr>
              </m:ctrlPr>
            </m:dPr>
            <m:e>
              <m:sSub>
                <m:sSubPr>
                  <m:ctrlPr>
                    <w:rPr>
                      <w:rFonts w:ascii="Cambria Math" w:hAnsi="Cambria Math" w:cs="Arial"/>
                      <w:i/>
                      <w:sz w:val="18"/>
                      <w:szCs w:val="18"/>
                    </w:rPr>
                  </m:ctrlPr>
                </m:sSubPr>
                <m:e>
                  <m:r>
                    <w:rPr>
                      <w:rFonts w:ascii="Cambria Math" w:hAnsi="Cambria Math" w:cs="Arial"/>
                      <w:sz w:val="18"/>
                      <w:szCs w:val="18"/>
                    </w:rPr>
                    <m:t xml:space="preserve">MRL </m:t>
                  </m:r>
                </m:e>
                <m:sub>
                  <m:r>
                    <w:rPr>
                      <w:rFonts w:ascii="Cambria Math" w:hAnsi="Cambria Math" w:cs="Arial"/>
                      <w:sz w:val="18"/>
                      <w:szCs w:val="18"/>
                    </w:rPr>
                    <m:t>PFHxS</m:t>
                  </m:r>
                </m:sub>
              </m:sSub>
            </m:e>
          </m:d>
          <m:r>
            <w:rPr>
              <w:rFonts w:ascii="Cambria Math" w:hAnsi="Cambria Math" w:cs="Arial"/>
              <w:sz w:val="18"/>
              <w:szCs w:val="18"/>
            </w:rPr>
            <m:t>×</m:t>
          </m:r>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1×</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6</m:t>
                      </m:r>
                    </m:sup>
                  </m:sSup>
                  <m:r>
                    <w:rPr>
                      <w:rFonts w:ascii="Cambria Math" w:hAnsi="Cambria Math" w:cs="Arial"/>
                      <w:sz w:val="18"/>
                      <w:szCs w:val="18"/>
                    </w:rPr>
                    <m:t xml:space="preserve"> ng</m:t>
                  </m:r>
                </m:num>
                <m:den>
                  <m:r>
                    <w:rPr>
                      <w:rFonts w:ascii="Cambria Math" w:hAnsi="Cambria Math" w:cs="Arial"/>
                      <w:sz w:val="18"/>
                      <w:szCs w:val="18"/>
                    </w:rPr>
                    <m:t>mg</m:t>
                  </m:r>
                </m:den>
              </m:f>
            </m:e>
          </m:d>
          <m:r>
            <w:rPr>
              <w:rFonts w:ascii="Cambria Math" w:hAnsi="Cambria Math" w:cs="Arial"/>
              <w:sz w:val="18"/>
              <w:szCs w:val="18"/>
            </w:rPr>
            <m:t>×</m:t>
          </m:r>
          <m:d>
            <m:dPr>
              <m:ctrlPr>
                <w:rPr>
                  <w:rFonts w:ascii="Cambria Math" w:hAnsi="Cambria Math" w:cs="Arial"/>
                  <w:i/>
                  <w:sz w:val="18"/>
                  <w:szCs w:val="18"/>
                </w:rPr>
              </m:ctrlPr>
            </m:dPr>
            <m:e>
              <m:f>
                <m:fPr>
                  <m:ctrlPr>
                    <w:rPr>
                      <w:rFonts w:ascii="Cambria Math" w:hAnsi="Cambria Math" w:cs="Arial"/>
                      <w:i/>
                      <w:sz w:val="18"/>
                      <w:szCs w:val="18"/>
                    </w:rPr>
                  </m:ctrlPr>
                </m:fPr>
                <m:num>
                  <m:r>
                    <w:rPr>
                      <w:rFonts w:ascii="Cambria Math" w:hAnsi="Cambria Math" w:cs="Arial"/>
                      <w:sz w:val="18"/>
                      <w:szCs w:val="18"/>
                    </w:rPr>
                    <m:t>BW×AT</m:t>
                  </m:r>
                </m:num>
                <m:den>
                  <m:r>
                    <w:rPr>
                      <w:rFonts w:ascii="Cambria Math" w:hAnsi="Cambria Math" w:cs="Arial"/>
                      <w:sz w:val="18"/>
                      <w:szCs w:val="18"/>
                    </w:rPr>
                    <m:t>IR×ET×ED</m:t>
                  </m:r>
                </m:den>
              </m:f>
            </m:e>
          </m:d>
          <m:r>
            <w:rPr>
              <w:rFonts w:ascii="Cambria Math" w:hAnsi="Cambria Math" w:cs="Arial"/>
              <w:sz w:val="18"/>
              <w:szCs w:val="18"/>
            </w:rPr>
            <m:t>×RSC</m:t>
          </m:r>
        </m:oMath>
      </m:oMathPara>
    </w:p>
    <w:p w14:paraId="7C7366E1" w14:textId="5ECAF485" w:rsidR="0039678A" w:rsidRDefault="0039678A" w:rsidP="00DC3BB3">
      <w:pPr>
        <w:spacing w:after="120" w:line="240" w:lineRule="auto"/>
        <w:ind w:right="-450"/>
        <w:jc w:val="both"/>
        <w:rPr>
          <w:sz w:val="24"/>
          <w:szCs w:val="24"/>
        </w:rPr>
      </w:pPr>
    </w:p>
    <w:p w14:paraId="2B136A82" w14:textId="5F8AF439" w:rsidR="0039678A" w:rsidRDefault="0039678A" w:rsidP="00BD4CEE">
      <w:pPr>
        <w:spacing w:line="240" w:lineRule="auto"/>
        <w:jc w:val="both"/>
        <w:rPr>
          <w:sz w:val="24"/>
          <w:szCs w:val="24"/>
        </w:rPr>
      </w:pPr>
      <w:r>
        <w:rPr>
          <w:sz w:val="24"/>
          <w:szCs w:val="24"/>
        </w:rPr>
        <w:t>For combined exposure to PFOS and PFNA:</w:t>
      </w:r>
    </w:p>
    <w:p w14:paraId="270763E8" w14:textId="1EB7BCBC" w:rsidR="001109C6" w:rsidRPr="00E5702C" w:rsidRDefault="00FD30E8" w:rsidP="001109C6">
      <w:pPr>
        <w:spacing w:after="0" w:line="240" w:lineRule="auto"/>
        <w:rPr>
          <w:rFonts w:cs="Arial"/>
          <w:sz w:val="24"/>
          <w:szCs w:val="24"/>
        </w:rPr>
      </w:pPr>
      <m:oMathPara>
        <m:oMath>
          <m:sSub>
            <m:sSubPr>
              <m:ctrlPr>
                <w:rPr>
                  <w:rFonts w:ascii="Cambria Math" w:hAnsi="Cambria Math" w:cs="Arial"/>
                  <w:i/>
                  <w:sz w:val="20"/>
                  <w:szCs w:val="20"/>
                </w:rPr>
              </m:ctrlPr>
            </m:sSubPr>
            <m:e>
              <m:r>
                <w:rPr>
                  <w:rFonts w:ascii="Cambria Math" w:hAnsi="Cambria Math" w:cs="Arial"/>
                  <w:sz w:val="20"/>
                  <w:szCs w:val="20"/>
                </w:rPr>
                <m:t>EF</m:t>
              </m:r>
            </m:e>
            <m:sub>
              <m:r>
                <w:rPr>
                  <w:rFonts w:ascii="Cambria Math" w:hAnsi="Cambria Math" w:cs="Arial"/>
                  <w:sz w:val="20"/>
                  <w:szCs w:val="20"/>
                </w:rPr>
                <m:t>T</m:t>
              </m:r>
            </m:sub>
          </m:sSub>
          <m:r>
            <w:rPr>
              <w:rFonts w:ascii="Cambria Math" w:hAnsi="Cambria Math" w:cs="Arial"/>
              <w:sz w:val="20"/>
              <w:szCs w:val="20"/>
            </w:rPr>
            <m:t>=</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sSub>
                    <m:sSubPr>
                      <m:ctrlPr>
                        <w:rPr>
                          <w:rFonts w:ascii="Cambria Math" w:hAnsi="Cambria Math" w:cs="Arial"/>
                          <w:i/>
                          <w:sz w:val="20"/>
                          <w:szCs w:val="20"/>
                        </w:rPr>
                      </m:ctrlPr>
                    </m:sSubPr>
                    <m:e>
                      <m:r>
                        <w:rPr>
                          <w:rFonts w:ascii="Cambria Math" w:hAnsi="Cambria Math" w:cs="Arial"/>
                          <w:sz w:val="20"/>
                          <w:szCs w:val="20"/>
                        </w:rPr>
                        <m:t>EPC</m:t>
                      </m:r>
                    </m:e>
                    <m:sub>
                      <m:r>
                        <w:rPr>
                          <w:rFonts w:ascii="Cambria Math" w:hAnsi="Cambria Math" w:cs="Arial"/>
                          <w:sz w:val="20"/>
                          <w:szCs w:val="20"/>
                        </w:rPr>
                        <m:t>PFOS</m:t>
                      </m:r>
                    </m:sub>
                  </m:sSub>
                  <m:r>
                    <w:rPr>
                      <w:rFonts w:ascii="Cambria Math" w:hAnsi="Cambria Math" w:cs="Arial"/>
                      <w:sz w:val="20"/>
                      <w:szCs w:val="20"/>
                    </w:rPr>
                    <m:t>+</m:t>
                  </m:r>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MRL</m:t>
                              </m:r>
                            </m:e>
                            <m:sub>
                              <m:r>
                                <w:rPr>
                                  <w:rFonts w:ascii="Cambria Math" w:hAnsi="Cambria Math" w:cs="Arial"/>
                                  <w:sz w:val="20"/>
                                  <w:szCs w:val="20"/>
                                </w:rPr>
                                <m:t>PFOS</m:t>
                              </m:r>
                            </m:sub>
                          </m:sSub>
                        </m:num>
                        <m:den>
                          <m:sSub>
                            <m:sSubPr>
                              <m:ctrlPr>
                                <w:rPr>
                                  <w:rFonts w:ascii="Cambria Math" w:hAnsi="Cambria Math" w:cs="Arial"/>
                                  <w:i/>
                                  <w:sz w:val="20"/>
                                  <w:szCs w:val="20"/>
                                </w:rPr>
                              </m:ctrlPr>
                            </m:sSubPr>
                            <m:e>
                              <m:r>
                                <w:rPr>
                                  <w:rFonts w:ascii="Cambria Math" w:hAnsi="Cambria Math" w:cs="Arial"/>
                                  <w:sz w:val="20"/>
                                  <w:szCs w:val="20"/>
                                </w:rPr>
                                <m:t>MRL</m:t>
                              </m:r>
                            </m:e>
                            <m:sub>
                              <m:r>
                                <w:rPr>
                                  <w:rFonts w:ascii="Cambria Math" w:hAnsi="Cambria Math" w:cs="Arial"/>
                                  <w:sz w:val="20"/>
                                  <w:szCs w:val="20"/>
                                </w:rPr>
                                <m:t>PFNA</m:t>
                              </m:r>
                            </m:sub>
                          </m:sSub>
                        </m:den>
                      </m:f>
                    </m:e>
                  </m:d>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EPC</m:t>
                      </m:r>
                    </m:e>
                    <m:sub>
                      <m:r>
                        <w:rPr>
                          <w:rFonts w:ascii="Cambria Math" w:hAnsi="Cambria Math" w:cs="Arial"/>
                          <w:sz w:val="20"/>
                          <w:szCs w:val="20"/>
                        </w:rPr>
                        <m:t>PFNA</m:t>
                      </m:r>
                    </m:sub>
                  </m:sSub>
                </m:den>
              </m:f>
            </m:e>
          </m:d>
          <m:r>
            <w:rPr>
              <w:rFonts w:ascii="Cambria Math" w:hAnsi="Cambria Math" w:cs="Arial"/>
              <w:sz w:val="20"/>
              <w:szCs w:val="20"/>
            </w:rPr>
            <m:t>×</m:t>
          </m:r>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 xml:space="preserve">MRL </m:t>
                  </m:r>
                </m:e>
                <m:sub>
                  <m:r>
                    <w:rPr>
                      <w:rFonts w:ascii="Cambria Math" w:hAnsi="Cambria Math" w:cs="Arial"/>
                      <w:sz w:val="20"/>
                      <w:szCs w:val="20"/>
                    </w:rPr>
                    <m:t>PFOS</m:t>
                  </m:r>
                </m:sub>
              </m:sSub>
            </m:e>
          </m:d>
          <m:r>
            <w:rPr>
              <w:rFonts w:ascii="Cambria Math" w:hAnsi="Cambria Math" w:cs="Arial"/>
              <w:sz w:val="20"/>
              <w:szCs w:val="20"/>
            </w:rPr>
            <m:t>×</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sSup>
                    <m:sSupPr>
                      <m:ctrlPr>
                        <w:rPr>
                          <w:rFonts w:ascii="Cambria Math" w:hAnsi="Cambria Math" w:cs="Arial"/>
                          <w:i/>
                          <w:sz w:val="20"/>
                          <w:szCs w:val="20"/>
                        </w:rPr>
                      </m:ctrlPr>
                    </m:sSupPr>
                    <m:e>
                      <m:r>
                        <w:rPr>
                          <w:rFonts w:ascii="Cambria Math" w:hAnsi="Cambria Math" w:cs="Arial"/>
                          <w:sz w:val="20"/>
                          <w:szCs w:val="20"/>
                        </w:rPr>
                        <m:t>10</m:t>
                      </m:r>
                    </m:e>
                    <m:sup>
                      <m:r>
                        <w:rPr>
                          <w:rFonts w:ascii="Cambria Math" w:hAnsi="Cambria Math" w:cs="Arial"/>
                          <w:sz w:val="20"/>
                          <w:szCs w:val="20"/>
                        </w:rPr>
                        <m:t>6</m:t>
                      </m:r>
                    </m:sup>
                  </m:sSup>
                  <m:r>
                    <w:rPr>
                      <w:rFonts w:ascii="Cambria Math" w:hAnsi="Cambria Math" w:cs="Arial"/>
                      <w:sz w:val="20"/>
                      <w:szCs w:val="20"/>
                    </w:rPr>
                    <m:t xml:space="preserve"> ng</m:t>
                  </m:r>
                </m:num>
                <m:den>
                  <m:r>
                    <w:rPr>
                      <w:rFonts w:ascii="Cambria Math" w:hAnsi="Cambria Math" w:cs="Arial"/>
                      <w:sz w:val="20"/>
                      <w:szCs w:val="20"/>
                    </w:rPr>
                    <m:t>mg</m:t>
                  </m:r>
                </m:den>
              </m:f>
            </m:e>
          </m:d>
          <m:r>
            <w:rPr>
              <w:rFonts w:ascii="Cambria Math" w:hAnsi="Cambria Math" w:cs="Arial"/>
              <w:sz w:val="20"/>
              <w:szCs w:val="20"/>
            </w:rPr>
            <m:t>×</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BW×AT</m:t>
                  </m:r>
                </m:num>
                <m:den>
                  <m:r>
                    <w:rPr>
                      <w:rFonts w:ascii="Cambria Math" w:hAnsi="Cambria Math" w:cs="Arial"/>
                      <w:sz w:val="20"/>
                      <w:szCs w:val="20"/>
                    </w:rPr>
                    <m:t>IR×ET×ED</m:t>
                  </m:r>
                </m:den>
              </m:f>
            </m:e>
          </m:d>
          <m:r>
            <w:rPr>
              <w:rFonts w:ascii="Cambria Math" w:hAnsi="Cambria Math" w:cs="Arial"/>
              <w:sz w:val="20"/>
              <w:szCs w:val="20"/>
            </w:rPr>
            <m:t>×RSC</m:t>
          </m:r>
        </m:oMath>
      </m:oMathPara>
    </w:p>
    <w:p w14:paraId="6A2509AD" w14:textId="5E7EBD06" w:rsidR="00D118A1" w:rsidRDefault="00D118A1" w:rsidP="002B5E1E">
      <w:pPr>
        <w:spacing w:after="120" w:line="240" w:lineRule="auto"/>
        <w:jc w:val="both"/>
        <w:rPr>
          <w:sz w:val="24"/>
          <w:szCs w:val="24"/>
        </w:rPr>
      </w:pPr>
    </w:p>
    <w:p w14:paraId="4BC29BA7" w14:textId="54E5A82C" w:rsidR="00F27D78" w:rsidRDefault="00F27D78" w:rsidP="006E4074">
      <w:pPr>
        <w:spacing w:line="240" w:lineRule="auto"/>
        <w:rPr>
          <w:sz w:val="24"/>
          <w:szCs w:val="24"/>
        </w:rPr>
      </w:pPr>
      <w:r>
        <w:rPr>
          <w:sz w:val="24"/>
          <w:szCs w:val="24"/>
        </w:rPr>
        <w:br w:type="page"/>
      </w:r>
    </w:p>
    <w:p w14:paraId="24FC7641" w14:textId="683B5AED" w:rsidR="004320AA" w:rsidRDefault="008E6672" w:rsidP="00A22A98">
      <w:pPr>
        <w:pStyle w:val="Heading1"/>
        <w:keepNext/>
      </w:pPr>
      <w:bookmarkStart w:id="17" w:name="_Toc162620794"/>
      <w:r>
        <w:lastRenderedPageBreak/>
        <w:t>FISH CONSUMPTION ADVISORIES</w:t>
      </w:r>
      <w:bookmarkEnd w:id="17"/>
    </w:p>
    <w:p w14:paraId="692484D4" w14:textId="34185B7B" w:rsidR="007B5B66" w:rsidRPr="00A32330" w:rsidRDefault="007B5B66" w:rsidP="006E4074">
      <w:pPr>
        <w:spacing w:line="240" w:lineRule="auto"/>
        <w:rPr>
          <w:rFonts w:cstheme="minorHAnsi"/>
          <w:sz w:val="24"/>
          <w:szCs w:val="24"/>
        </w:rPr>
      </w:pPr>
      <w:r w:rsidRPr="00A32330">
        <w:rPr>
          <w:rFonts w:cstheme="minorHAnsi"/>
          <w:sz w:val="24"/>
          <w:szCs w:val="24"/>
        </w:rPr>
        <w:t xml:space="preserve">Fish </w:t>
      </w:r>
      <w:r w:rsidR="00AA24DA">
        <w:rPr>
          <w:rFonts w:cstheme="minorHAnsi"/>
          <w:sz w:val="24"/>
          <w:szCs w:val="24"/>
        </w:rPr>
        <w:t>c</w:t>
      </w:r>
      <w:r w:rsidRPr="00A32330">
        <w:rPr>
          <w:rFonts w:cstheme="minorHAnsi"/>
          <w:sz w:val="24"/>
          <w:szCs w:val="24"/>
        </w:rPr>
        <w:t xml:space="preserve">onsumption </w:t>
      </w:r>
      <w:r w:rsidR="00AA24DA">
        <w:rPr>
          <w:rFonts w:cstheme="minorHAnsi"/>
          <w:sz w:val="24"/>
          <w:szCs w:val="24"/>
        </w:rPr>
        <w:t>a</w:t>
      </w:r>
      <w:r w:rsidRPr="00A32330">
        <w:rPr>
          <w:rFonts w:cstheme="minorHAnsi"/>
          <w:sz w:val="24"/>
          <w:szCs w:val="24"/>
        </w:rPr>
        <w:t xml:space="preserve">dvisories </w:t>
      </w:r>
      <w:r w:rsidR="00AA24DA">
        <w:rPr>
          <w:rFonts w:cstheme="minorHAnsi"/>
          <w:sz w:val="24"/>
          <w:szCs w:val="24"/>
        </w:rPr>
        <w:t xml:space="preserve">(FCAs) </w:t>
      </w:r>
      <w:r w:rsidRPr="00A32330">
        <w:rPr>
          <w:rFonts w:cstheme="minorHAnsi"/>
          <w:sz w:val="24"/>
          <w:szCs w:val="24"/>
        </w:rPr>
        <w:t xml:space="preserve">are typically risk-based recommendations of an estimated </w:t>
      </w:r>
      <w:r w:rsidR="001363C1">
        <w:rPr>
          <w:rFonts w:cstheme="minorHAnsi"/>
          <w:sz w:val="24"/>
          <w:szCs w:val="24"/>
        </w:rPr>
        <w:t>frequency</w:t>
      </w:r>
      <w:r w:rsidRPr="00A32330">
        <w:rPr>
          <w:rFonts w:cstheme="minorHAnsi"/>
          <w:sz w:val="24"/>
          <w:szCs w:val="24"/>
        </w:rPr>
        <w:t xml:space="preserve"> of fish consumption (e.g., servings per day, week, month, or year) </w:t>
      </w:r>
      <w:r w:rsidR="00AA24DA">
        <w:rPr>
          <w:rFonts w:cstheme="minorHAnsi"/>
          <w:sz w:val="24"/>
          <w:szCs w:val="24"/>
        </w:rPr>
        <w:t xml:space="preserve">associated with negligible risk of adverse health effects. Fish consumption advisories are </w:t>
      </w:r>
      <w:r w:rsidRPr="00A32330">
        <w:rPr>
          <w:rFonts w:cstheme="minorHAnsi"/>
          <w:sz w:val="24"/>
          <w:szCs w:val="24"/>
        </w:rPr>
        <w:t>informed by the measured concentration of contaminants in a sample of fish representative of a specific waterbody. The underlying basis for the recommendation is often an established toxicity</w:t>
      </w:r>
      <w:r w:rsidR="00DB797B">
        <w:rPr>
          <w:rFonts w:cstheme="minorHAnsi"/>
          <w:sz w:val="24"/>
          <w:szCs w:val="24"/>
        </w:rPr>
        <w:t xml:space="preserve"> </w:t>
      </w:r>
      <w:r w:rsidRPr="00A32330">
        <w:rPr>
          <w:rFonts w:cstheme="minorHAnsi"/>
          <w:sz w:val="24"/>
          <w:szCs w:val="24"/>
        </w:rPr>
        <w:t xml:space="preserve">criterion, such as an MRL or </w:t>
      </w:r>
      <w:proofErr w:type="spellStart"/>
      <w:r w:rsidRPr="00A32330">
        <w:rPr>
          <w:rFonts w:cstheme="minorHAnsi"/>
          <w:sz w:val="24"/>
          <w:szCs w:val="24"/>
        </w:rPr>
        <w:t>RfD</w:t>
      </w:r>
      <w:proofErr w:type="spellEnd"/>
      <w:r w:rsidRPr="00A32330">
        <w:rPr>
          <w:rFonts w:cstheme="minorHAnsi"/>
          <w:sz w:val="24"/>
          <w:szCs w:val="24"/>
        </w:rPr>
        <w:t xml:space="preserve">. Generally speaking, </w:t>
      </w:r>
      <w:r w:rsidR="001363C1">
        <w:rPr>
          <w:rFonts w:cstheme="minorHAnsi"/>
          <w:sz w:val="24"/>
          <w:szCs w:val="24"/>
        </w:rPr>
        <w:t>as</w:t>
      </w:r>
      <w:r w:rsidR="00DE0324">
        <w:rPr>
          <w:rFonts w:cstheme="minorHAnsi"/>
          <w:sz w:val="24"/>
          <w:szCs w:val="24"/>
        </w:rPr>
        <w:t xml:space="preserve"> the</w:t>
      </w:r>
      <w:r w:rsidR="001363C1">
        <w:rPr>
          <w:rFonts w:cstheme="minorHAnsi"/>
          <w:sz w:val="24"/>
          <w:szCs w:val="24"/>
        </w:rPr>
        <w:t xml:space="preserve"> </w:t>
      </w:r>
      <w:r w:rsidRPr="00A32330">
        <w:rPr>
          <w:rFonts w:cstheme="minorHAnsi"/>
          <w:sz w:val="24"/>
          <w:szCs w:val="24"/>
        </w:rPr>
        <w:t xml:space="preserve">contamination </w:t>
      </w:r>
      <w:r w:rsidR="001363C1">
        <w:rPr>
          <w:rFonts w:cstheme="minorHAnsi"/>
          <w:sz w:val="24"/>
          <w:szCs w:val="24"/>
        </w:rPr>
        <w:t xml:space="preserve">concentration </w:t>
      </w:r>
      <w:r w:rsidRPr="00A32330">
        <w:rPr>
          <w:rFonts w:cstheme="minorHAnsi"/>
          <w:sz w:val="24"/>
          <w:szCs w:val="24"/>
        </w:rPr>
        <w:t>in fish</w:t>
      </w:r>
      <w:r w:rsidR="001363C1">
        <w:rPr>
          <w:rFonts w:cstheme="minorHAnsi"/>
          <w:sz w:val="24"/>
          <w:szCs w:val="24"/>
        </w:rPr>
        <w:t xml:space="preserve"> increases</w:t>
      </w:r>
      <w:r w:rsidRPr="00A32330">
        <w:rPr>
          <w:rFonts w:cstheme="minorHAnsi"/>
          <w:sz w:val="24"/>
          <w:szCs w:val="24"/>
        </w:rPr>
        <w:t xml:space="preserve">, the </w:t>
      </w:r>
      <w:r w:rsidR="001363C1">
        <w:rPr>
          <w:rFonts w:cstheme="minorHAnsi"/>
          <w:sz w:val="24"/>
          <w:szCs w:val="24"/>
        </w:rPr>
        <w:t>recommended frequency for consuming fish decreases</w:t>
      </w:r>
      <w:r w:rsidRPr="00A32330">
        <w:rPr>
          <w:rFonts w:cstheme="minorHAnsi"/>
          <w:sz w:val="24"/>
          <w:szCs w:val="24"/>
        </w:rPr>
        <w:t>.</w:t>
      </w:r>
    </w:p>
    <w:p w14:paraId="5407B273" w14:textId="31339C69" w:rsidR="007B5B66" w:rsidRPr="00A32330" w:rsidRDefault="007B5B66" w:rsidP="006E4074">
      <w:pPr>
        <w:spacing w:line="240" w:lineRule="auto"/>
        <w:rPr>
          <w:sz w:val="24"/>
          <w:szCs w:val="24"/>
        </w:rPr>
      </w:pPr>
      <w:r w:rsidRPr="1CA4B720">
        <w:rPr>
          <w:sz w:val="24"/>
          <w:szCs w:val="24"/>
        </w:rPr>
        <w:t xml:space="preserve">When a </w:t>
      </w:r>
      <w:r w:rsidR="00AA24DA" w:rsidRPr="1CA4B720">
        <w:rPr>
          <w:sz w:val="24"/>
          <w:szCs w:val="24"/>
        </w:rPr>
        <w:t>waterbody</w:t>
      </w:r>
      <w:r w:rsidRPr="1CA4B720">
        <w:rPr>
          <w:sz w:val="24"/>
          <w:szCs w:val="24"/>
        </w:rPr>
        <w:t xml:space="preserve">-specific assessment is required following an exceedance of the DPH PFAS </w:t>
      </w:r>
      <w:r w:rsidR="00F955BE" w:rsidRPr="1CA4B720">
        <w:rPr>
          <w:sz w:val="24"/>
          <w:szCs w:val="24"/>
        </w:rPr>
        <w:t>FAL</w:t>
      </w:r>
      <w:r w:rsidRPr="1CA4B720">
        <w:rPr>
          <w:sz w:val="24"/>
          <w:szCs w:val="24"/>
        </w:rPr>
        <w:t xml:space="preserve"> (0.22 </w:t>
      </w:r>
      <w:r w:rsidR="00AA24DA" w:rsidRPr="1CA4B720">
        <w:rPr>
          <w:sz w:val="24"/>
          <w:szCs w:val="24"/>
        </w:rPr>
        <w:t>µg</w:t>
      </w:r>
      <w:r w:rsidR="007D51A9" w:rsidRPr="1CA4B720">
        <w:rPr>
          <w:sz w:val="24"/>
          <w:szCs w:val="24"/>
        </w:rPr>
        <w:t>/</w:t>
      </w:r>
      <w:r w:rsidR="00AA24DA" w:rsidRPr="1CA4B720">
        <w:rPr>
          <w:sz w:val="24"/>
          <w:szCs w:val="24"/>
        </w:rPr>
        <w:t>kg</w:t>
      </w:r>
      <w:r w:rsidRPr="1CA4B720">
        <w:rPr>
          <w:sz w:val="24"/>
          <w:szCs w:val="24"/>
        </w:rPr>
        <w:t xml:space="preserve">), </w:t>
      </w:r>
      <w:r w:rsidR="00AA24DA" w:rsidRPr="000A114D">
        <w:rPr>
          <w:sz w:val="24"/>
          <w:szCs w:val="24"/>
        </w:rPr>
        <w:t>threshold</w:t>
      </w:r>
      <w:r w:rsidRPr="000A114D">
        <w:rPr>
          <w:sz w:val="24"/>
          <w:szCs w:val="24"/>
        </w:rPr>
        <w:t xml:space="preserve"> values</w:t>
      </w:r>
      <w:r w:rsidR="00A913C6">
        <w:rPr>
          <w:sz w:val="24"/>
          <w:szCs w:val="24"/>
        </w:rPr>
        <w:t xml:space="preserve"> for specific consumption frequencies </w:t>
      </w:r>
      <w:r w:rsidRPr="000A114D">
        <w:rPr>
          <w:sz w:val="24"/>
          <w:szCs w:val="24"/>
        </w:rPr>
        <w:t>will be used to develop more refined waterbody-specific recommendations.</w:t>
      </w:r>
      <w:r w:rsidRPr="1CA4B720">
        <w:rPr>
          <w:sz w:val="24"/>
          <w:szCs w:val="24"/>
        </w:rPr>
        <w:t xml:space="preserve"> </w:t>
      </w:r>
      <w:r w:rsidR="003A0A16">
        <w:rPr>
          <w:sz w:val="24"/>
          <w:szCs w:val="24"/>
        </w:rPr>
        <w:t xml:space="preserve">Threshold values are the maximum PFAS concentration in fish for a corresponding </w:t>
      </w:r>
      <w:r w:rsidR="00A913C6">
        <w:rPr>
          <w:sz w:val="24"/>
          <w:szCs w:val="24"/>
        </w:rPr>
        <w:t xml:space="preserve">consumption frequency. </w:t>
      </w:r>
      <w:r w:rsidRPr="1CA4B720">
        <w:rPr>
          <w:sz w:val="24"/>
          <w:szCs w:val="24"/>
        </w:rPr>
        <w:t xml:space="preserve">This location-specific assessment will also trigger local public health </w:t>
      </w:r>
      <w:r w:rsidR="002D3B81" w:rsidRPr="1CA4B720">
        <w:rPr>
          <w:sz w:val="24"/>
          <w:szCs w:val="24"/>
        </w:rPr>
        <w:t>notification and</w:t>
      </w:r>
      <w:r w:rsidRPr="1CA4B720">
        <w:rPr>
          <w:sz w:val="24"/>
          <w:szCs w:val="24"/>
        </w:rPr>
        <w:t xml:space="preserve"> allow consideration of non-recreational activities (e.g. subsistence fishing) at a waterbody that may result in greater potential PFAS exposure </w:t>
      </w:r>
      <w:r w:rsidR="003F3345" w:rsidRPr="1CA4B720">
        <w:rPr>
          <w:sz w:val="24"/>
          <w:szCs w:val="24"/>
        </w:rPr>
        <w:t>(e.g., &gt; 1 meal/day</w:t>
      </w:r>
      <w:r w:rsidR="00BB5172" w:rsidRPr="000A114D">
        <w:rPr>
          <w:sz w:val="24"/>
          <w:szCs w:val="24"/>
        </w:rPr>
        <w:t>, or consumption of the whole fish rather than just the fillet portion</w:t>
      </w:r>
      <w:r w:rsidR="003F3345" w:rsidRPr="1CA4B720">
        <w:rPr>
          <w:sz w:val="24"/>
          <w:szCs w:val="24"/>
        </w:rPr>
        <w:t xml:space="preserve">) </w:t>
      </w:r>
      <w:r w:rsidRPr="1CA4B720">
        <w:rPr>
          <w:sz w:val="24"/>
          <w:szCs w:val="24"/>
        </w:rPr>
        <w:t>than evaluated in typical recreational use exposure scenarios.</w:t>
      </w:r>
    </w:p>
    <w:p w14:paraId="62C1A0C6" w14:textId="62943655" w:rsidR="007B5B66" w:rsidRPr="00A32330" w:rsidRDefault="007B5B66" w:rsidP="006E4074">
      <w:pPr>
        <w:tabs>
          <w:tab w:val="left" w:pos="8880"/>
        </w:tabs>
        <w:spacing w:line="240" w:lineRule="auto"/>
        <w:rPr>
          <w:rFonts w:cstheme="minorHAnsi"/>
          <w:sz w:val="24"/>
          <w:szCs w:val="24"/>
        </w:rPr>
      </w:pPr>
      <w:r w:rsidRPr="00A32330">
        <w:rPr>
          <w:rFonts w:cstheme="minorHAnsi"/>
          <w:sz w:val="24"/>
          <w:szCs w:val="24"/>
        </w:rPr>
        <w:t>To derive specific level</w:t>
      </w:r>
      <w:r w:rsidR="00542221">
        <w:rPr>
          <w:rFonts w:cstheme="minorHAnsi"/>
          <w:sz w:val="24"/>
          <w:szCs w:val="24"/>
        </w:rPr>
        <w:t>s</w:t>
      </w:r>
      <w:r w:rsidRPr="00A32330">
        <w:rPr>
          <w:rFonts w:cstheme="minorHAnsi"/>
          <w:sz w:val="24"/>
          <w:szCs w:val="24"/>
        </w:rPr>
        <w:t xml:space="preserve"> of fish consumption </w:t>
      </w:r>
      <w:r w:rsidR="00954CB5">
        <w:rPr>
          <w:rFonts w:cstheme="minorHAnsi"/>
          <w:sz w:val="24"/>
          <w:szCs w:val="24"/>
        </w:rPr>
        <w:t xml:space="preserve">that would be safe to consume </w:t>
      </w:r>
      <w:r w:rsidRPr="00A32330">
        <w:rPr>
          <w:rFonts w:cstheme="minorHAnsi"/>
          <w:sz w:val="24"/>
          <w:szCs w:val="24"/>
        </w:rPr>
        <w:t xml:space="preserve">every day, </w:t>
      </w:r>
      <w:r w:rsidR="00542221">
        <w:rPr>
          <w:rFonts w:cstheme="minorHAnsi"/>
          <w:sz w:val="24"/>
          <w:szCs w:val="24"/>
        </w:rPr>
        <w:t xml:space="preserve">toxicity criteria for individual PFAS (either ATSDR MRLs, or US EPA </w:t>
      </w:r>
      <w:proofErr w:type="spellStart"/>
      <w:r w:rsidR="00542221">
        <w:rPr>
          <w:rFonts w:cstheme="minorHAnsi"/>
          <w:sz w:val="24"/>
          <w:szCs w:val="24"/>
        </w:rPr>
        <w:t>RfDs</w:t>
      </w:r>
      <w:proofErr w:type="spellEnd"/>
      <w:r w:rsidR="00542221">
        <w:rPr>
          <w:rFonts w:cstheme="minorHAnsi"/>
          <w:sz w:val="24"/>
          <w:szCs w:val="24"/>
        </w:rPr>
        <w:t xml:space="preserve">) </w:t>
      </w:r>
      <w:r w:rsidR="00FA0943">
        <w:rPr>
          <w:rFonts w:cstheme="minorHAnsi"/>
          <w:sz w:val="24"/>
          <w:szCs w:val="24"/>
        </w:rPr>
        <w:t>are used to</w:t>
      </w:r>
      <w:r w:rsidRPr="00A32330">
        <w:rPr>
          <w:rFonts w:cstheme="minorHAnsi"/>
          <w:sz w:val="24"/>
          <w:szCs w:val="24"/>
        </w:rPr>
        <w:t xml:space="preserve"> </w:t>
      </w:r>
      <w:r w:rsidR="00FA0943">
        <w:rPr>
          <w:rFonts w:cstheme="minorHAnsi"/>
          <w:sz w:val="24"/>
          <w:szCs w:val="24"/>
        </w:rPr>
        <w:t>derive</w:t>
      </w:r>
      <w:r w:rsidRPr="00A32330">
        <w:rPr>
          <w:rFonts w:cstheme="minorHAnsi"/>
          <w:sz w:val="24"/>
          <w:szCs w:val="24"/>
        </w:rPr>
        <w:t xml:space="preserve"> the </w:t>
      </w:r>
      <w:r w:rsidR="00FA0943">
        <w:rPr>
          <w:rFonts w:cstheme="minorHAnsi"/>
          <w:sz w:val="24"/>
          <w:szCs w:val="24"/>
        </w:rPr>
        <w:t xml:space="preserve">threshold </w:t>
      </w:r>
      <w:r w:rsidRPr="00A32330">
        <w:rPr>
          <w:rFonts w:cstheme="minorHAnsi"/>
          <w:sz w:val="24"/>
          <w:szCs w:val="24"/>
        </w:rPr>
        <w:t>amount of PF</w:t>
      </w:r>
      <w:r w:rsidR="00542221">
        <w:rPr>
          <w:rFonts w:cstheme="minorHAnsi"/>
          <w:sz w:val="24"/>
          <w:szCs w:val="24"/>
        </w:rPr>
        <w:t>A</w:t>
      </w:r>
      <w:r w:rsidRPr="00A32330">
        <w:rPr>
          <w:rFonts w:cstheme="minorHAnsi"/>
          <w:sz w:val="24"/>
          <w:szCs w:val="24"/>
        </w:rPr>
        <w:t>S that may be present in fish</w:t>
      </w:r>
      <w:r w:rsidR="00FA0943">
        <w:rPr>
          <w:rFonts w:cstheme="minorHAnsi"/>
          <w:sz w:val="24"/>
          <w:szCs w:val="24"/>
        </w:rPr>
        <w:t xml:space="preserve"> that an individual could consume, at specified frequencies, and still not exceed the toxicity criteria. These threshold amounts are derived for</w:t>
      </w:r>
      <w:r w:rsidRPr="00A32330">
        <w:rPr>
          <w:rFonts w:cstheme="minorHAnsi"/>
          <w:sz w:val="24"/>
          <w:szCs w:val="24"/>
        </w:rPr>
        <w:t xml:space="preserve"> </w:t>
      </w:r>
      <w:r w:rsidR="00542221">
        <w:rPr>
          <w:rFonts w:cstheme="minorHAnsi"/>
          <w:sz w:val="24"/>
          <w:szCs w:val="24"/>
        </w:rPr>
        <w:t>both</w:t>
      </w:r>
      <w:r w:rsidRPr="00A32330">
        <w:rPr>
          <w:rFonts w:cstheme="minorHAnsi"/>
          <w:sz w:val="24"/>
          <w:szCs w:val="24"/>
        </w:rPr>
        <w:t xml:space="preserve"> sensitive individual</w:t>
      </w:r>
      <w:r w:rsidR="00542221">
        <w:rPr>
          <w:rFonts w:cstheme="minorHAnsi"/>
          <w:sz w:val="24"/>
          <w:szCs w:val="24"/>
        </w:rPr>
        <w:t>s</w:t>
      </w:r>
      <w:r w:rsidRPr="00A32330">
        <w:rPr>
          <w:rFonts w:cstheme="minorHAnsi"/>
          <w:sz w:val="24"/>
          <w:szCs w:val="24"/>
        </w:rPr>
        <w:t xml:space="preserve"> and </w:t>
      </w:r>
      <w:r w:rsidR="00542221">
        <w:rPr>
          <w:rFonts w:cstheme="minorHAnsi"/>
          <w:sz w:val="24"/>
          <w:szCs w:val="24"/>
        </w:rPr>
        <w:t>the general public</w:t>
      </w:r>
      <w:r w:rsidRPr="00A32330">
        <w:rPr>
          <w:rFonts w:cstheme="minorHAnsi"/>
          <w:sz w:val="24"/>
          <w:szCs w:val="24"/>
        </w:rPr>
        <w:t xml:space="preserve">. </w:t>
      </w:r>
      <w:r w:rsidR="00A32330" w:rsidRPr="00A32330">
        <w:rPr>
          <w:rFonts w:cstheme="minorHAnsi"/>
          <w:sz w:val="24"/>
          <w:szCs w:val="24"/>
        </w:rPr>
        <w:t xml:space="preserve">Threshold </w:t>
      </w:r>
      <w:r w:rsidR="00021AA3">
        <w:rPr>
          <w:rFonts w:cstheme="minorHAnsi"/>
          <w:sz w:val="24"/>
          <w:szCs w:val="24"/>
        </w:rPr>
        <w:t>l</w:t>
      </w:r>
      <w:r w:rsidR="00A32330" w:rsidRPr="00A32330">
        <w:rPr>
          <w:rFonts w:cstheme="minorHAnsi"/>
          <w:sz w:val="24"/>
          <w:szCs w:val="24"/>
        </w:rPr>
        <w:t>evels</w:t>
      </w:r>
      <w:r w:rsidRPr="00A32330">
        <w:rPr>
          <w:rFonts w:cstheme="minorHAnsi"/>
          <w:sz w:val="24"/>
          <w:szCs w:val="24"/>
        </w:rPr>
        <w:t xml:space="preserve"> for issuing FCAs </w:t>
      </w:r>
      <w:r w:rsidR="00A32330" w:rsidRPr="00A32330">
        <w:rPr>
          <w:rFonts w:cstheme="minorHAnsi"/>
          <w:sz w:val="24"/>
          <w:szCs w:val="24"/>
        </w:rPr>
        <w:t>are</w:t>
      </w:r>
      <w:r w:rsidRPr="00A32330">
        <w:rPr>
          <w:rFonts w:cstheme="minorHAnsi"/>
          <w:sz w:val="24"/>
          <w:szCs w:val="24"/>
        </w:rPr>
        <w:t xml:space="preserve"> based on the following assumptions:</w:t>
      </w:r>
    </w:p>
    <w:p w14:paraId="76A87151" w14:textId="455EB027" w:rsidR="007B5B66" w:rsidRPr="00A32330" w:rsidRDefault="006928C2" w:rsidP="006E4074">
      <w:pPr>
        <w:numPr>
          <w:ilvl w:val="0"/>
          <w:numId w:val="24"/>
        </w:numPr>
        <w:tabs>
          <w:tab w:val="left" w:pos="8880"/>
        </w:tabs>
        <w:spacing w:after="0" w:line="240" w:lineRule="auto"/>
        <w:rPr>
          <w:sz w:val="24"/>
          <w:szCs w:val="24"/>
        </w:rPr>
      </w:pPr>
      <w:r w:rsidRPr="68BFB0A1">
        <w:rPr>
          <w:sz w:val="24"/>
          <w:szCs w:val="24"/>
        </w:rPr>
        <w:t>Threshold levels</w:t>
      </w:r>
      <w:r w:rsidR="007B5B66" w:rsidRPr="68BFB0A1">
        <w:rPr>
          <w:sz w:val="24"/>
          <w:szCs w:val="24"/>
        </w:rPr>
        <w:t xml:space="preserve"> should specifically consider sensitive life stages (</w:t>
      </w:r>
      <w:r w:rsidR="003F3345" w:rsidRPr="68BFB0A1">
        <w:rPr>
          <w:sz w:val="24"/>
          <w:szCs w:val="24"/>
        </w:rPr>
        <w:t xml:space="preserve">e.g., </w:t>
      </w:r>
      <w:r w:rsidR="44851748" w:rsidRPr="68BFB0A1">
        <w:rPr>
          <w:sz w:val="24"/>
          <w:szCs w:val="24"/>
        </w:rPr>
        <w:t xml:space="preserve">children </w:t>
      </w:r>
      <w:r w:rsidR="0C810C22" w:rsidRPr="00B120CB">
        <w:rPr>
          <w:sz w:val="24"/>
          <w:szCs w:val="24"/>
        </w:rPr>
        <w:t>younger than</w:t>
      </w:r>
      <w:r w:rsidR="44851748" w:rsidRPr="00B120CB">
        <w:rPr>
          <w:sz w:val="24"/>
          <w:szCs w:val="24"/>
        </w:rPr>
        <w:t xml:space="preserve"> 1</w:t>
      </w:r>
      <w:r w:rsidR="5208562C" w:rsidRPr="00B120CB">
        <w:rPr>
          <w:sz w:val="24"/>
          <w:szCs w:val="24"/>
        </w:rPr>
        <w:t>3</w:t>
      </w:r>
      <w:r w:rsidR="44851748" w:rsidRPr="00B120CB">
        <w:rPr>
          <w:sz w:val="24"/>
          <w:szCs w:val="24"/>
        </w:rPr>
        <w:t xml:space="preserve"> </w:t>
      </w:r>
      <w:r w:rsidR="43BC00DF" w:rsidRPr="00B120CB">
        <w:rPr>
          <w:sz w:val="24"/>
          <w:szCs w:val="24"/>
        </w:rPr>
        <w:t>years of age;</w:t>
      </w:r>
      <w:r w:rsidR="43BC00DF" w:rsidRPr="68BFB0A1">
        <w:rPr>
          <w:sz w:val="24"/>
          <w:szCs w:val="24"/>
        </w:rPr>
        <w:t xml:space="preserve"> </w:t>
      </w:r>
      <w:r w:rsidR="44851748" w:rsidRPr="68BFB0A1">
        <w:rPr>
          <w:sz w:val="24"/>
          <w:szCs w:val="24"/>
        </w:rPr>
        <w:t>or people who are nursing, pregnant, or may become pregnant</w:t>
      </w:r>
      <w:r w:rsidR="007B5B66" w:rsidRPr="68BFB0A1">
        <w:rPr>
          <w:sz w:val="24"/>
          <w:szCs w:val="24"/>
        </w:rPr>
        <w:t xml:space="preserve">).  </w:t>
      </w:r>
    </w:p>
    <w:p w14:paraId="124FDF11" w14:textId="77777777" w:rsidR="003F3345" w:rsidRDefault="007B5B66" w:rsidP="006E4074">
      <w:pPr>
        <w:numPr>
          <w:ilvl w:val="1"/>
          <w:numId w:val="24"/>
        </w:numPr>
        <w:tabs>
          <w:tab w:val="left" w:pos="8880"/>
        </w:tabs>
        <w:spacing w:after="0" w:line="240" w:lineRule="auto"/>
        <w:rPr>
          <w:rFonts w:cstheme="minorHAnsi"/>
          <w:sz w:val="24"/>
          <w:szCs w:val="24"/>
        </w:rPr>
      </w:pPr>
      <w:r w:rsidRPr="1CA4B720">
        <w:rPr>
          <w:b/>
          <w:bCs/>
          <w:sz w:val="24"/>
          <w:szCs w:val="24"/>
        </w:rPr>
        <w:t>To consider the most sensitive life stage</w:t>
      </w:r>
      <w:r w:rsidR="003F3345" w:rsidRPr="1CA4B720">
        <w:rPr>
          <w:sz w:val="24"/>
          <w:szCs w:val="24"/>
        </w:rPr>
        <w:t xml:space="preserve">, </w:t>
      </w:r>
      <w:r w:rsidR="00FA0943" w:rsidRPr="1CA4B720">
        <w:rPr>
          <w:sz w:val="24"/>
          <w:szCs w:val="24"/>
        </w:rPr>
        <w:t>threshold levels are derived for</w:t>
      </w:r>
      <w:r w:rsidRPr="1CA4B720">
        <w:rPr>
          <w:sz w:val="24"/>
          <w:szCs w:val="24"/>
        </w:rPr>
        <w:t xml:space="preserve"> a typical toddler, aged 1 to &lt;3 years, that weighs 12.6 kg (US EPA, 2011). </w:t>
      </w:r>
    </w:p>
    <w:p w14:paraId="023AACD8" w14:textId="5B72A1EB" w:rsidR="007B5B66" w:rsidRPr="00A32330" w:rsidRDefault="007B5B66" w:rsidP="006E4074">
      <w:pPr>
        <w:numPr>
          <w:ilvl w:val="1"/>
          <w:numId w:val="24"/>
        </w:numPr>
        <w:tabs>
          <w:tab w:val="left" w:pos="8880"/>
        </w:tabs>
        <w:spacing w:after="0" w:line="240" w:lineRule="auto"/>
        <w:rPr>
          <w:rFonts w:cstheme="minorHAnsi"/>
          <w:sz w:val="24"/>
          <w:szCs w:val="24"/>
        </w:rPr>
      </w:pPr>
      <w:r w:rsidRPr="1CA4B720">
        <w:rPr>
          <w:sz w:val="24"/>
          <w:szCs w:val="24"/>
        </w:rPr>
        <w:t>A health</w:t>
      </w:r>
      <w:r w:rsidR="006C60E0">
        <w:rPr>
          <w:sz w:val="24"/>
          <w:szCs w:val="24"/>
        </w:rPr>
        <w:t>-</w:t>
      </w:r>
      <w:r w:rsidRPr="1CA4B720">
        <w:rPr>
          <w:sz w:val="24"/>
          <w:szCs w:val="24"/>
        </w:rPr>
        <w:t xml:space="preserve">protective and reasonable maximum estimate of freshwater fish consumption for a child is 113.4 grams per day (g/day).  </w:t>
      </w:r>
    </w:p>
    <w:p w14:paraId="20058D1F" w14:textId="597B8984" w:rsidR="007B5B66" w:rsidRPr="00A32330" w:rsidRDefault="00BB4AC8" w:rsidP="006E4074">
      <w:pPr>
        <w:numPr>
          <w:ilvl w:val="2"/>
          <w:numId w:val="24"/>
        </w:numPr>
        <w:tabs>
          <w:tab w:val="left" w:pos="8880"/>
        </w:tabs>
        <w:spacing w:after="0" w:line="240" w:lineRule="auto"/>
        <w:rPr>
          <w:rFonts w:cstheme="minorHAnsi"/>
          <w:sz w:val="24"/>
          <w:szCs w:val="24"/>
        </w:rPr>
      </w:pPr>
      <w:bookmarkStart w:id="18" w:name="_Hlk84247555"/>
      <w:r w:rsidRPr="1CA4B720">
        <w:rPr>
          <w:sz w:val="24"/>
          <w:szCs w:val="24"/>
        </w:rPr>
        <w:t>This estimate</w:t>
      </w:r>
      <w:r w:rsidR="007B5B66" w:rsidRPr="1CA4B720">
        <w:rPr>
          <w:sz w:val="24"/>
          <w:szCs w:val="24"/>
        </w:rPr>
        <w:t xml:space="preserve"> is </w:t>
      </w:r>
      <w:r w:rsidR="006928C2" w:rsidRPr="1CA4B720">
        <w:rPr>
          <w:sz w:val="24"/>
          <w:szCs w:val="24"/>
        </w:rPr>
        <w:t>equivalent to</w:t>
      </w:r>
      <w:r w:rsidR="007B5B66" w:rsidRPr="1CA4B720">
        <w:rPr>
          <w:sz w:val="24"/>
          <w:szCs w:val="24"/>
        </w:rPr>
        <w:t xml:space="preserve"> a child eating a 4</w:t>
      </w:r>
      <w:r w:rsidR="003F3345" w:rsidRPr="1CA4B720">
        <w:rPr>
          <w:sz w:val="24"/>
          <w:szCs w:val="24"/>
        </w:rPr>
        <w:t>-</w:t>
      </w:r>
      <w:r w:rsidR="007B5B66" w:rsidRPr="1CA4B720">
        <w:rPr>
          <w:sz w:val="24"/>
          <w:szCs w:val="24"/>
        </w:rPr>
        <w:t xml:space="preserve">ounce serving of fish every </w:t>
      </w:r>
      <w:r w:rsidR="00FA5A30" w:rsidRPr="1CA4B720">
        <w:rPr>
          <w:sz w:val="24"/>
          <w:szCs w:val="24"/>
        </w:rPr>
        <w:t>day and</w:t>
      </w:r>
      <w:r w:rsidR="003469AF" w:rsidRPr="1CA4B720">
        <w:rPr>
          <w:sz w:val="24"/>
          <w:szCs w:val="24"/>
        </w:rPr>
        <w:t xml:space="preserve"> represents an unrestricted use of fish from a waterbody</w:t>
      </w:r>
      <w:r w:rsidR="00EF06B4" w:rsidRPr="1CA4B720">
        <w:rPr>
          <w:sz w:val="24"/>
          <w:szCs w:val="24"/>
        </w:rPr>
        <w:t>, for recreational fish consumption</w:t>
      </w:r>
      <w:r w:rsidR="003469AF" w:rsidRPr="1CA4B720">
        <w:rPr>
          <w:sz w:val="24"/>
          <w:szCs w:val="24"/>
        </w:rPr>
        <w:t>.</w:t>
      </w:r>
    </w:p>
    <w:p w14:paraId="78843416" w14:textId="27B361CD" w:rsidR="007B5B66" w:rsidRDefault="00EF06B4" w:rsidP="006E4074">
      <w:pPr>
        <w:numPr>
          <w:ilvl w:val="2"/>
          <w:numId w:val="24"/>
        </w:numPr>
        <w:tabs>
          <w:tab w:val="left" w:pos="8880"/>
        </w:tabs>
        <w:spacing w:after="0" w:line="240" w:lineRule="auto"/>
        <w:rPr>
          <w:sz w:val="24"/>
          <w:szCs w:val="24"/>
        </w:rPr>
      </w:pPr>
      <w:bookmarkStart w:id="19" w:name="_Hlk86414296"/>
      <w:r w:rsidRPr="0E1D4E23">
        <w:rPr>
          <w:sz w:val="24"/>
          <w:szCs w:val="24"/>
        </w:rPr>
        <w:t xml:space="preserve">A 4-ounce serving size for a child is equal to half of the recommended serving size of fish for an adult (8 oz, or 227 grams). </w:t>
      </w:r>
      <w:bookmarkEnd w:id="19"/>
      <w:r w:rsidR="007B5B66" w:rsidRPr="0E1D4E23">
        <w:rPr>
          <w:sz w:val="24"/>
          <w:szCs w:val="24"/>
        </w:rPr>
        <w:t>Th</w:t>
      </w:r>
      <w:r w:rsidR="006928C2" w:rsidRPr="0E1D4E23">
        <w:rPr>
          <w:sz w:val="24"/>
          <w:szCs w:val="24"/>
        </w:rPr>
        <w:t>e</w:t>
      </w:r>
      <w:r w:rsidR="007B5B66" w:rsidRPr="0E1D4E23">
        <w:rPr>
          <w:sz w:val="24"/>
          <w:szCs w:val="24"/>
        </w:rPr>
        <w:t xml:space="preserve"> approach of basing </w:t>
      </w:r>
      <w:r w:rsidR="003F3345" w:rsidRPr="0E1D4E23">
        <w:rPr>
          <w:sz w:val="24"/>
          <w:szCs w:val="24"/>
        </w:rPr>
        <w:t>the</w:t>
      </w:r>
      <w:r w:rsidR="007B5B66" w:rsidRPr="0E1D4E23">
        <w:rPr>
          <w:sz w:val="24"/>
          <w:szCs w:val="24"/>
        </w:rPr>
        <w:t xml:space="preserve"> ingestion rate for a child on half </w:t>
      </w:r>
      <w:r w:rsidR="003F3345" w:rsidRPr="0E1D4E23">
        <w:rPr>
          <w:sz w:val="24"/>
          <w:szCs w:val="24"/>
        </w:rPr>
        <w:t>the</w:t>
      </w:r>
      <w:r w:rsidR="007B5B66" w:rsidRPr="0E1D4E23">
        <w:rPr>
          <w:sz w:val="24"/>
          <w:szCs w:val="24"/>
        </w:rPr>
        <w:t xml:space="preserve"> adult </w:t>
      </w:r>
      <w:r w:rsidR="003F3345" w:rsidRPr="0E1D4E23">
        <w:rPr>
          <w:sz w:val="24"/>
          <w:szCs w:val="24"/>
        </w:rPr>
        <w:t>ingestion rate</w:t>
      </w:r>
      <w:r w:rsidR="007B5B66" w:rsidRPr="0E1D4E23">
        <w:rPr>
          <w:sz w:val="24"/>
          <w:szCs w:val="24"/>
        </w:rPr>
        <w:t xml:space="preserve"> is consistent with </w:t>
      </w:r>
      <w:r w:rsidR="00B310DD" w:rsidRPr="0E1D4E23">
        <w:rPr>
          <w:sz w:val="24"/>
          <w:szCs w:val="24"/>
        </w:rPr>
        <w:t xml:space="preserve">MassDEP guidance (MassDEP, 2008), as well as US </w:t>
      </w:r>
      <w:r w:rsidR="007B5B66" w:rsidRPr="0E1D4E23">
        <w:rPr>
          <w:sz w:val="24"/>
          <w:szCs w:val="24"/>
        </w:rPr>
        <w:t xml:space="preserve">EPA </w:t>
      </w:r>
      <w:r w:rsidR="00B310DD" w:rsidRPr="0E1D4E23">
        <w:rPr>
          <w:sz w:val="24"/>
          <w:szCs w:val="24"/>
        </w:rPr>
        <w:t>analyses (US EPA Region 1, 2005).</w:t>
      </w:r>
    </w:p>
    <w:bookmarkEnd w:id="18"/>
    <w:p w14:paraId="5DC14AA4" w14:textId="7845E5EB" w:rsidR="007B5B66" w:rsidRPr="00A32330" w:rsidRDefault="007B5B66" w:rsidP="006E4074">
      <w:pPr>
        <w:keepNext/>
        <w:numPr>
          <w:ilvl w:val="0"/>
          <w:numId w:val="24"/>
        </w:numPr>
        <w:tabs>
          <w:tab w:val="left" w:pos="8880"/>
        </w:tabs>
        <w:spacing w:before="240" w:after="0" w:line="240" w:lineRule="auto"/>
        <w:rPr>
          <w:rFonts w:cstheme="minorHAnsi"/>
          <w:sz w:val="24"/>
          <w:szCs w:val="24"/>
        </w:rPr>
      </w:pPr>
      <w:r w:rsidRPr="1CA4B720">
        <w:rPr>
          <w:b/>
          <w:bCs/>
          <w:sz w:val="24"/>
          <w:szCs w:val="24"/>
        </w:rPr>
        <w:t xml:space="preserve">When considering </w:t>
      </w:r>
      <w:r w:rsidR="000D643B" w:rsidRPr="1CA4B720">
        <w:rPr>
          <w:b/>
          <w:bCs/>
          <w:sz w:val="24"/>
          <w:szCs w:val="24"/>
        </w:rPr>
        <w:t>the general population</w:t>
      </w:r>
      <w:r w:rsidRPr="1CA4B720">
        <w:rPr>
          <w:sz w:val="24"/>
          <w:szCs w:val="24"/>
        </w:rPr>
        <w:t xml:space="preserve">, </w:t>
      </w:r>
      <w:r w:rsidR="00FA0943" w:rsidRPr="1CA4B720">
        <w:rPr>
          <w:sz w:val="24"/>
          <w:szCs w:val="24"/>
        </w:rPr>
        <w:t xml:space="preserve">threshold levels are derived for an </w:t>
      </w:r>
      <w:r w:rsidR="00FA5A30" w:rsidRPr="1CA4B720">
        <w:rPr>
          <w:sz w:val="24"/>
          <w:szCs w:val="24"/>
        </w:rPr>
        <w:t>11–16-year-old</w:t>
      </w:r>
      <w:r w:rsidR="00FA0943" w:rsidRPr="1CA4B720">
        <w:rPr>
          <w:sz w:val="24"/>
          <w:szCs w:val="24"/>
        </w:rPr>
        <w:t xml:space="preserve">, with </w:t>
      </w:r>
      <w:r w:rsidRPr="1CA4B720">
        <w:rPr>
          <w:sz w:val="24"/>
          <w:szCs w:val="24"/>
        </w:rPr>
        <w:t xml:space="preserve">a </w:t>
      </w:r>
      <w:r w:rsidR="006928C2" w:rsidRPr="1CA4B720">
        <w:rPr>
          <w:sz w:val="24"/>
          <w:szCs w:val="24"/>
        </w:rPr>
        <w:t xml:space="preserve">body </w:t>
      </w:r>
      <w:r w:rsidRPr="1CA4B720">
        <w:rPr>
          <w:sz w:val="24"/>
          <w:szCs w:val="24"/>
        </w:rPr>
        <w:t xml:space="preserve">weight of </w:t>
      </w:r>
      <w:r w:rsidR="006928C2" w:rsidRPr="1CA4B720">
        <w:rPr>
          <w:sz w:val="24"/>
          <w:szCs w:val="24"/>
        </w:rPr>
        <w:t>56.8</w:t>
      </w:r>
      <w:r w:rsidRPr="1CA4B720">
        <w:rPr>
          <w:sz w:val="24"/>
          <w:szCs w:val="24"/>
        </w:rPr>
        <w:t xml:space="preserve"> kg (US EPA, 2011), and a reasonable maximum estimate of freshwater fish consumption of 227 grams per day (g/day).</w:t>
      </w:r>
    </w:p>
    <w:p w14:paraId="541B9E64" w14:textId="077224C6" w:rsidR="003F3345" w:rsidRPr="00A32330" w:rsidRDefault="003F3345" w:rsidP="006E4074">
      <w:pPr>
        <w:numPr>
          <w:ilvl w:val="1"/>
          <w:numId w:val="24"/>
        </w:numPr>
        <w:tabs>
          <w:tab w:val="left" w:pos="8880"/>
        </w:tabs>
        <w:spacing w:after="0" w:line="240" w:lineRule="auto"/>
        <w:rPr>
          <w:rFonts w:cstheme="minorHAnsi"/>
          <w:sz w:val="24"/>
          <w:szCs w:val="24"/>
        </w:rPr>
      </w:pPr>
      <w:r w:rsidRPr="1CA4B720">
        <w:rPr>
          <w:sz w:val="24"/>
          <w:szCs w:val="24"/>
        </w:rPr>
        <w:t xml:space="preserve">Deriving threshold levels based on an </w:t>
      </w:r>
      <w:r w:rsidR="00C04858" w:rsidRPr="1CA4B720">
        <w:rPr>
          <w:sz w:val="24"/>
          <w:szCs w:val="24"/>
        </w:rPr>
        <w:t>11–16-year-old</w:t>
      </w:r>
      <w:r w:rsidRPr="1CA4B720">
        <w:rPr>
          <w:sz w:val="24"/>
          <w:szCs w:val="24"/>
        </w:rPr>
        <w:t xml:space="preserve"> is consistent with DPH fish consumption advisories for the general population, which apply to </w:t>
      </w:r>
      <w:r w:rsidRPr="00B120CB">
        <w:rPr>
          <w:sz w:val="24"/>
          <w:szCs w:val="24"/>
        </w:rPr>
        <w:t xml:space="preserve">individuals </w:t>
      </w:r>
      <w:r w:rsidR="00BD147D" w:rsidRPr="00B120CB">
        <w:rPr>
          <w:sz w:val="24"/>
          <w:szCs w:val="24"/>
        </w:rPr>
        <w:t>13</w:t>
      </w:r>
      <w:r w:rsidR="00BD147D" w:rsidRPr="1CA4B720">
        <w:rPr>
          <w:sz w:val="24"/>
          <w:szCs w:val="24"/>
        </w:rPr>
        <w:t xml:space="preserve"> </w:t>
      </w:r>
      <w:r w:rsidRPr="1CA4B720">
        <w:rPr>
          <w:sz w:val="24"/>
          <w:szCs w:val="24"/>
        </w:rPr>
        <w:t xml:space="preserve">years of age or older. Use of an adult intake rate for this age group is also </w:t>
      </w:r>
      <w:r w:rsidRPr="1CA4B720">
        <w:rPr>
          <w:sz w:val="24"/>
          <w:szCs w:val="24"/>
        </w:rPr>
        <w:lastRenderedPageBreak/>
        <w:t>consistent with US FDA guidance on eating fish, which assumes fish meal sizes for this age group are the same as adult meal sizes (US FDA, 2019).</w:t>
      </w:r>
    </w:p>
    <w:p w14:paraId="5B596453" w14:textId="738C35D3" w:rsidR="007B5B66" w:rsidRPr="003F3345" w:rsidRDefault="007B5B66" w:rsidP="006E4074">
      <w:pPr>
        <w:keepNext/>
        <w:numPr>
          <w:ilvl w:val="1"/>
          <w:numId w:val="24"/>
        </w:numPr>
        <w:tabs>
          <w:tab w:val="left" w:pos="8880"/>
        </w:tabs>
        <w:spacing w:after="0" w:line="240" w:lineRule="auto"/>
        <w:rPr>
          <w:rFonts w:cstheme="minorHAnsi"/>
          <w:sz w:val="24"/>
          <w:szCs w:val="24"/>
        </w:rPr>
      </w:pPr>
      <w:r w:rsidRPr="1CA4B720">
        <w:rPr>
          <w:sz w:val="24"/>
          <w:szCs w:val="24"/>
        </w:rPr>
        <w:t xml:space="preserve">An intake rate of 227 g/day is consistent with an </w:t>
      </w:r>
      <w:r w:rsidR="000D643B" w:rsidRPr="1CA4B720">
        <w:rPr>
          <w:sz w:val="24"/>
          <w:szCs w:val="24"/>
        </w:rPr>
        <w:t>individual</w:t>
      </w:r>
      <w:r w:rsidRPr="1CA4B720">
        <w:rPr>
          <w:sz w:val="24"/>
          <w:szCs w:val="24"/>
        </w:rPr>
        <w:t xml:space="preserve"> eating an 8 ounce </w:t>
      </w:r>
      <w:r w:rsidR="00476064" w:rsidRPr="1CA4B720">
        <w:rPr>
          <w:sz w:val="24"/>
          <w:szCs w:val="24"/>
        </w:rPr>
        <w:t xml:space="preserve">(i.e., half a pound) </w:t>
      </w:r>
      <w:r w:rsidRPr="1CA4B720">
        <w:rPr>
          <w:sz w:val="24"/>
          <w:szCs w:val="24"/>
        </w:rPr>
        <w:t xml:space="preserve">serving of fish every day and represents unrestricted </w:t>
      </w:r>
      <w:r w:rsidR="00465A81" w:rsidRPr="1CA4B720">
        <w:rPr>
          <w:sz w:val="24"/>
          <w:szCs w:val="24"/>
        </w:rPr>
        <w:t>consumption</w:t>
      </w:r>
      <w:r w:rsidRPr="1CA4B720">
        <w:rPr>
          <w:sz w:val="24"/>
          <w:szCs w:val="24"/>
        </w:rPr>
        <w:t xml:space="preserve"> of fish from a waterbody.</w:t>
      </w:r>
    </w:p>
    <w:p w14:paraId="12EE9BFA" w14:textId="3DD2C2AF" w:rsidR="00216747" w:rsidRDefault="00216747" w:rsidP="006E4074">
      <w:pPr>
        <w:numPr>
          <w:ilvl w:val="1"/>
          <w:numId w:val="24"/>
        </w:numPr>
        <w:tabs>
          <w:tab w:val="left" w:pos="8880"/>
        </w:tabs>
        <w:spacing w:after="0" w:line="240" w:lineRule="auto"/>
        <w:rPr>
          <w:sz w:val="24"/>
          <w:szCs w:val="24"/>
        </w:rPr>
      </w:pPr>
      <w:bookmarkStart w:id="20" w:name="_Hlk86266302"/>
      <w:r w:rsidRPr="0E1D4E23">
        <w:rPr>
          <w:sz w:val="24"/>
          <w:szCs w:val="24"/>
        </w:rPr>
        <w:t xml:space="preserve">An intake rate of 227 g/day </w:t>
      </w:r>
      <w:r w:rsidR="00EE0DEA" w:rsidRPr="0E1D4E23">
        <w:rPr>
          <w:sz w:val="24"/>
          <w:szCs w:val="24"/>
        </w:rPr>
        <w:t xml:space="preserve">for adults </w:t>
      </w:r>
      <w:r w:rsidRPr="0E1D4E23">
        <w:rPr>
          <w:sz w:val="24"/>
          <w:szCs w:val="24"/>
        </w:rPr>
        <w:t xml:space="preserve">is used by US EPA </w:t>
      </w:r>
      <w:r w:rsidR="3A04375C" w:rsidRPr="0E1D4E23">
        <w:rPr>
          <w:sz w:val="24"/>
          <w:szCs w:val="24"/>
        </w:rPr>
        <w:t>(20</w:t>
      </w:r>
      <w:r w:rsidR="00E837BD">
        <w:rPr>
          <w:sz w:val="24"/>
          <w:szCs w:val="24"/>
        </w:rPr>
        <w:t>00</w:t>
      </w:r>
      <w:r w:rsidR="3A04375C" w:rsidRPr="0E1D4E23">
        <w:rPr>
          <w:sz w:val="24"/>
          <w:szCs w:val="24"/>
        </w:rPr>
        <w:t xml:space="preserve">) </w:t>
      </w:r>
      <w:r w:rsidRPr="0E1D4E23">
        <w:rPr>
          <w:sz w:val="24"/>
          <w:szCs w:val="24"/>
        </w:rPr>
        <w:t xml:space="preserve">as an estimate of fish consumed per meal, as well as by other states, for the purpose establishing fish advisories (e.g., </w:t>
      </w:r>
      <w:r w:rsidR="00450787" w:rsidRPr="0E1D4E23">
        <w:rPr>
          <w:sz w:val="24"/>
          <w:szCs w:val="24"/>
        </w:rPr>
        <w:t xml:space="preserve">CT DPH, 2018; Great Lakes Consortium, 2018; </w:t>
      </w:r>
      <w:r w:rsidRPr="0E1D4E23">
        <w:rPr>
          <w:sz w:val="24"/>
          <w:szCs w:val="24"/>
        </w:rPr>
        <w:t>M</w:t>
      </w:r>
      <w:r w:rsidR="00ED070D" w:rsidRPr="0E1D4E23">
        <w:rPr>
          <w:sz w:val="24"/>
          <w:szCs w:val="24"/>
        </w:rPr>
        <w:t>DHHS</w:t>
      </w:r>
      <w:r w:rsidR="00450787" w:rsidRPr="0E1D4E23">
        <w:rPr>
          <w:sz w:val="24"/>
          <w:szCs w:val="24"/>
        </w:rPr>
        <w:t>, 2016</w:t>
      </w:r>
      <w:r w:rsidRPr="0E1D4E23">
        <w:rPr>
          <w:sz w:val="24"/>
          <w:szCs w:val="24"/>
        </w:rPr>
        <w:t>).</w:t>
      </w:r>
    </w:p>
    <w:bookmarkEnd w:id="20"/>
    <w:p w14:paraId="790C3392" w14:textId="0803A040" w:rsidR="008B2F03" w:rsidRPr="003469AF" w:rsidRDefault="008B2F03" w:rsidP="006E4074">
      <w:pPr>
        <w:spacing w:before="240" w:line="240" w:lineRule="auto"/>
        <w:rPr>
          <w:sz w:val="24"/>
          <w:szCs w:val="24"/>
        </w:rPr>
      </w:pPr>
      <w:r w:rsidRPr="003469AF">
        <w:rPr>
          <w:sz w:val="24"/>
          <w:szCs w:val="24"/>
        </w:rPr>
        <w:t>Table 4.1 outlines the values and basis used to calculate the advisory thresholds, according to frequency of consumption</w:t>
      </w:r>
      <w:r w:rsidR="00A41C36" w:rsidRPr="003469AF">
        <w:rPr>
          <w:sz w:val="24"/>
          <w:szCs w:val="24"/>
        </w:rPr>
        <w:t>.</w:t>
      </w:r>
    </w:p>
    <w:p w14:paraId="3B4C3C53" w14:textId="2778D652" w:rsidR="008B2F03" w:rsidRPr="00954CB5" w:rsidRDefault="00954CB5" w:rsidP="00954CB5">
      <w:pPr>
        <w:keepNext/>
        <w:keepLines/>
        <w:spacing w:after="0"/>
        <w:rPr>
          <w:b/>
          <w:bCs/>
          <w:sz w:val="24"/>
          <w:szCs w:val="24"/>
        </w:rPr>
      </w:pPr>
      <w:r w:rsidRPr="00954CB5">
        <w:rPr>
          <w:b/>
          <w:bCs/>
          <w:sz w:val="24"/>
          <w:szCs w:val="24"/>
        </w:rPr>
        <w:t>Table 4.1</w:t>
      </w:r>
      <w:r w:rsidR="0076216B">
        <w:rPr>
          <w:b/>
          <w:bCs/>
          <w:sz w:val="24"/>
          <w:szCs w:val="24"/>
        </w:rPr>
        <w:t>.</w:t>
      </w:r>
      <w:r w:rsidRPr="00954CB5">
        <w:rPr>
          <w:b/>
          <w:bCs/>
          <w:sz w:val="24"/>
          <w:szCs w:val="24"/>
        </w:rPr>
        <w:t xml:space="preserve">  </w:t>
      </w:r>
      <w:r w:rsidR="008B2F03" w:rsidRPr="00954CB5">
        <w:rPr>
          <w:b/>
          <w:bCs/>
          <w:sz w:val="24"/>
          <w:szCs w:val="24"/>
        </w:rPr>
        <w:t>Parameters – Advisory Threshold</w:t>
      </w:r>
    </w:p>
    <w:tbl>
      <w:tblPr>
        <w:tblStyle w:val="TableGrid"/>
        <w:tblW w:w="10165" w:type="dxa"/>
        <w:tblLook w:val="04A0" w:firstRow="1" w:lastRow="0" w:firstColumn="1" w:lastColumn="0" w:noHBand="0" w:noVBand="1"/>
      </w:tblPr>
      <w:tblGrid>
        <w:gridCol w:w="3955"/>
        <w:gridCol w:w="1260"/>
        <w:gridCol w:w="4950"/>
      </w:tblGrid>
      <w:tr w:rsidR="008B2F03" w14:paraId="172C190C" w14:textId="77777777" w:rsidTr="00662A37">
        <w:tc>
          <w:tcPr>
            <w:tcW w:w="3955" w:type="dxa"/>
            <w:tcBorders>
              <w:bottom w:val="double" w:sz="4" w:space="0" w:color="auto"/>
            </w:tcBorders>
            <w:shd w:val="clear" w:color="auto" w:fill="BFBFBF" w:themeFill="background1" w:themeFillShade="BF"/>
          </w:tcPr>
          <w:p w14:paraId="76B31BC2" w14:textId="77777777" w:rsidR="008B2F03" w:rsidRPr="00D51771" w:rsidRDefault="008B2F03" w:rsidP="009500B2">
            <w:pPr>
              <w:keepNext/>
              <w:keepLines/>
              <w:rPr>
                <w:b/>
                <w:bCs/>
              </w:rPr>
            </w:pPr>
            <w:r w:rsidRPr="00D51771">
              <w:rPr>
                <w:b/>
                <w:bCs/>
              </w:rPr>
              <w:t>Parameter</w:t>
            </w:r>
          </w:p>
        </w:tc>
        <w:tc>
          <w:tcPr>
            <w:tcW w:w="1260" w:type="dxa"/>
            <w:tcBorders>
              <w:bottom w:val="double" w:sz="4" w:space="0" w:color="auto"/>
            </w:tcBorders>
            <w:shd w:val="clear" w:color="auto" w:fill="BFBFBF" w:themeFill="background1" w:themeFillShade="BF"/>
          </w:tcPr>
          <w:p w14:paraId="503CD8FD" w14:textId="77777777" w:rsidR="008B2F03" w:rsidRDefault="008B2F03" w:rsidP="009500B2">
            <w:pPr>
              <w:keepNext/>
              <w:keepLines/>
              <w:jc w:val="center"/>
            </w:pPr>
            <w:r w:rsidRPr="00D51771">
              <w:rPr>
                <w:rFonts w:eastAsia="Times New Roman" w:cstheme="minorHAnsi"/>
                <w:b/>
                <w:color w:val="000000"/>
              </w:rPr>
              <w:t>Value</w:t>
            </w:r>
          </w:p>
        </w:tc>
        <w:tc>
          <w:tcPr>
            <w:tcW w:w="4950" w:type="dxa"/>
            <w:tcBorders>
              <w:bottom w:val="double" w:sz="4" w:space="0" w:color="auto"/>
            </w:tcBorders>
            <w:shd w:val="clear" w:color="auto" w:fill="BFBFBF" w:themeFill="background1" w:themeFillShade="BF"/>
          </w:tcPr>
          <w:p w14:paraId="495D30F6" w14:textId="77777777" w:rsidR="008B2F03" w:rsidRPr="00CE1B6D" w:rsidRDefault="008B2F03" w:rsidP="009500B2">
            <w:pPr>
              <w:keepNext/>
              <w:keepLines/>
              <w:rPr>
                <w:b/>
                <w:bCs/>
              </w:rPr>
            </w:pPr>
            <w:r w:rsidRPr="00CE1B6D">
              <w:rPr>
                <w:b/>
                <w:bCs/>
              </w:rPr>
              <w:t>Basis</w:t>
            </w:r>
          </w:p>
        </w:tc>
      </w:tr>
      <w:tr w:rsidR="00473F2D" w:rsidRPr="007F1DF7" w14:paraId="70A6FC7B" w14:textId="77777777" w:rsidTr="00662A37">
        <w:tc>
          <w:tcPr>
            <w:tcW w:w="3955" w:type="dxa"/>
            <w:tcBorders>
              <w:top w:val="double" w:sz="4" w:space="0" w:color="auto"/>
              <w:right w:val="nil"/>
            </w:tcBorders>
            <w:shd w:val="clear" w:color="auto" w:fill="D9D9D9" w:themeFill="background1" w:themeFillShade="D9"/>
            <w:vAlign w:val="center"/>
          </w:tcPr>
          <w:p w14:paraId="4400EAEE" w14:textId="0971752E" w:rsidR="00473F2D" w:rsidRPr="00473F2D" w:rsidRDefault="00473F2D" w:rsidP="00D876D7">
            <w:pPr>
              <w:keepNext/>
              <w:keepLines/>
              <w:rPr>
                <w:rFonts w:eastAsia="Times New Roman" w:cstheme="minorHAnsi"/>
                <w:bCs/>
                <w:i/>
                <w:iCs/>
                <w:color w:val="000000"/>
              </w:rPr>
            </w:pPr>
            <w:r w:rsidRPr="00473F2D">
              <w:rPr>
                <w:rFonts w:eastAsia="Times New Roman" w:cstheme="minorHAnsi"/>
                <w:bCs/>
                <w:i/>
                <w:iCs/>
                <w:color w:val="000000"/>
              </w:rPr>
              <w:t>Toxicity Criteria</w:t>
            </w:r>
            <w:r w:rsidR="000F2174">
              <w:rPr>
                <w:rFonts w:eastAsia="Times New Roman" w:cstheme="minorHAnsi"/>
                <w:bCs/>
                <w:i/>
                <w:iCs/>
                <w:color w:val="000000"/>
              </w:rPr>
              <w:t xml:space="preserve"> (</w:t>
            </w:r>
            <w:r w:rsidR="00662A37">
              <w:rPr>
                <w:rFonts w:eastAsia="Times New Roman" w:cstheme="minorHAnsi"/>
                <w:bCs/>
                <w:i/>
                <w:iCs/>
                <w:color w:val="000000"/>
              </w:rPr>
              <w:t>ng</w:t>
            </w:r>
            <w:r w:rsidR="000F2174">
              <w:rPr>
                <w:rFonts w:eastAsia="Times New Roman" w:cstheme="minorHAnsi"/>
                <w:bCs/>
                <w:i/>
                <w:iCs/>
                <w:color w:val="000000"/>
              </w:rPr>
              <w:t>/kg-day)</w:t>
            </w:r>
          </w:p>
        </w:tc>
        <w:tc>
          <w:tcPr>
            <w:tcW w:w="1260" w:type="dxa"/>
            <w:tcBorders>
              <w:top w:val="double" w:sz="4" w:space="0" w:color="auto"/>
              <w:left w:val="nil"/>
              <w:right w:val="nil"/>
            </w:tcBorders>
            <w:shd w:val="clear" w:color="auto" w:fill="D9D9D9" w:themeFill="background1" w:themeFillShade="D9"/>
            <w:vAlign w:val="center"/>
          </w:tcPr>
          <w:p w14:paraId="724184E0" w14:textId="77777777" w:rsidR="00473F2D" w:rsidRDefault="00473F2D" w:rsidP="00D876D7">
            <w:pPr>
              <w:keepNext/>
              <w:keepLines/>
              <w:jc w:val="center"/>
            </w:pPr>
          </w:p>
        </w:tc>
        <w:tc>
          <w:tcPr>
            <w:tcW w:w="4950" w:type="dxa"/>
            <w:tcBorders>
              <w:top w:val="double" w:sz="4" w:space="0" w:color="auto"/>
              <w:left w:val="nil"/>
            </w:tcBorders>
            <w:shd w:val="clear" w:color="auto" w:fill="D9D9D9" w:themeFill="background1" w:themeFillShade="D9"/>
            <w:vAlign w:val="center"/>
          </w:tcPr>
          <w:p w14:paraId="56936C1A" w14:textId="77777777" w:rsidR="00473F2D" w:rsidRDefault="00473F2D" w:rsidP="00D876D7">
            <w:pPr>
              <w:keepNext/>
              <w:keepLines/>
            </w:pPr>
          </w:p>
        </w:tc>
      </w:tr>
      <w:tr w:rsidR="00852811" w:rsidRPr="007F1DF7" w14:paraId="1AAEE5DE" w14:textId="77777777" w:rsidTr="00662A37">
        <w:tc>
          <w:tcPr>
            <w:tcW w:w="3955" w:type="dxa"/>
            <w:tcBorders>
              <w:right w:val="single" w:sz="4" w:space="0" w:color="auto"/>
            </w:tcBorders>
            <w:shd w:val="clear" w:color="auto" w:fill="auto"/>
            <w:vAlign w:val="center"/>
          </w:tcPr>
          <w:p w14:paraId="7836BB80" w14:textId="2BEFDF50" w:rsidR="00852811" w:rsidRDefault="00852811" w:rsidP="00852811">
            <w:pPr>
              <w:keepNext/>
              <w:keepLines/>
              <w:rPr>
                <w:rFonts w:eastAsia="Times New Roman" w:cstheme="minorHAnsi"/>
                <w:bCs/>
                <w:color w:val="000000"/>
              </w:rPr>
            </w:pPr>
            <w:proofErr w:type="spellStart"/>
            <w:r>
              <w:rPr>
                <w:rFonts w:eastAsia="Times New Roman" w:cstheme="minorHAnsi"/>
                <w:bCs/>
                <w:color w:val="000000"/>
              </w:rPr>
              <w:t>GenX</w:t>
            </w:r>
            <w:proofErr w:type="spellEnd"/>
          </w:p>
        </w:tc>
        <w:tc>
          <w:tcPr>
            <w:tcW w:w="1260" w:type="dxa"/>
            <w:tcBorders>
              <w:left w:val="single" w:sz="4" w:space="0" w:color="auto"/>
              <w:right w:val="single" w:sz="4" w:space="0" w:color="auto"/>
            </w:tcBorders>
            <w:shd w:val="clear" w:color="auto" w:fill="auto"/>
            <w:vAlign w:val="center"/>
          </w:tcPr>
          <w:p w14:paraId="66C41A54" w14:textId="2CFF0827" w:rsidR="00852811" w:rsidRDefault="00852811" w:rsidP="00852811">
            <w:pPr>
              <w:keepNext/>
              <w:keepLines/>
              <w:jc w:val="center"/>
            </w:pPr>
            <w:r>
              <w:t xml:space="preserve">3 </w:t>
            </w:r>
          </w:p>
        </w:tc>
        <w:tc>
          <w:tcPr>
            <w:tcW w:w="4950" w:type="dxa"/>
            <w:tcBorders>
              <w:left w:val="single" w:sz="4" w:space="0" w:color="auto"/>
            </w:tcBorders>
            <w:shd w:val="clear" w:color="auto" w:fill="auto"/>
            <w:vAlign w:val="center"/>
          </w:tcPr>
          <w:p w14:paraId="0C32FA09" w14:textId="3AABFDD8" w:rsidR="00852811" w:rsidRDefault="00852811" w:rsidP="00852811">
            <w:pPr>
              <w:keepNext/>
              <w:keepLines/>
            </w:pPr>
            <w:r>
              <w:t xml:space="preserve">Chronic </w:t>
            </w:r>
            <w:proofErr w:type="spellStart"/>
            <w:r>
              <w:t>RfD</w:t>
            </w:r>
            <w:proofErr w:type="spellEnd"/>
            <w:r>
              <w:t xml:space="preserve"> (US EPA, 2021</w:t>
            </w:r>
            <w:r w:rsidR="00D00B7E">
              <w:t>a</w:t>
            </w:r>
            <w:r>
              <w:t>)</w:t>
            </w:r>
          </w:p>
        </w:tc>
      </w:tr>
      <w:tr w:rsidR="00852811" w:rsidRPr="007F1DF7" w14:paraId="123A532E" w14:textId="77777777" w:rsidTr="00662A37">
        <w:tc>
          <w:tcPr>
            <w:tcW w:w="3955" w:type="dxa"/>
            <w:tcBorders>
              <w:right w:val="single" w:sz="4" w:space="0" w:color="auto"/>
            </w:tcBorders>
            <w:shd w:val="clear" w:color="auto" w:fill="auto"/>
            <w:vAlign w:val="center"/>
          </w:tcPr>
          <w:p w14:paraId="572C9A0D" w14:textId="0D339F04" w:rsidR="00852811" w:rsidRDefault="00852811" w:rsidP="00852811">
            <w:pPr>
              <w:keepNext/>
              <w:keepLines/>
              <w:rPr>
                <w:rFonts w:eastAsia="Times New Roman" w:cstheme="minorHAnsi"/>
                <w:bCs/>
                <w:color w:val="000000"/>
              </w:rPr>
            </w:pPr>
            <w:r>
              <w:rPr>
                <w:rFonts w:eastAsia="Times New Roman" w:cstheme="minorHAnsi"/>
                <w:bCs/>
                <w:color w:val="000000"/>
              </w:rPr>
              <w:t>PFBA</w:t>
            </w:r>
          </w:p>
        </w:tc>
        <w:tc>
          <w:tcPr>
            <w:tcW w:w="1260" w:type="dxa"/>
            <w:tcBorders>
              <w:left w:val="single" w:sz="4" w:space="0" w:color="auto"/>
              <w:right w:val="single" w:sz="4" w:space="0" w:color="auto"/>
            </w:tcBorders>
            <w:shd w:val="clear" w:color="auto" w:fill="auto"/>
            <w:vAlign w:val="center"/>
          </w:tcPr>
          <w:p w14:paraId="651EC8AD" w14:textId="6A7BD446" w:rsidR="00852811" w:rsidRDefault="00852811" w:rsidP="00852811">
            <w:pPr>
              <w:keepNext/>
              <w:keepLines/>
              <w:jc w:val="center"/>
            </w:pPr>
            <w:r>
              <w:t>1</w:t>
            </w:r>
            <w:r w:rsidR="00662A37">
              <w:t>000</w:t>
            </w:r>
            <w:r>
              <w:t xml:space="preserve"> </w:t>
            </w:r>
          </w:p>
        </w:tc>
        <w:tc>
          <w:tcPr>
            <w:tcW w:w="4950" w:type="dxa"/>
            <w:tcBorders>
              <w:left w:val="single" w:sz="4" w:space="0" w:color="auto"/>
            </w:tcBorders>
            <w:shd w:val="clear" w:color="auto" w:fill="auto"/>
            <w:vAlign w:val="center"/>
          </w:tcPr>
          <w:p w14:paraId="69057A86" w14:textId="5BDB4FDE" w:rsidR="00852811" w:rsidRDefault="00852811" w:rsidP="00852811">
            <w:pPr>
              <w:keepNext/>
              <w:keepLines/>
            </w:pPr>
            <w:r>
              <w:t xml:space="preserve">Chronic </w:t>
            </w:r>
            <w:proofErr w:type="spellStart"/>
            <w:r>
              <w:t>RfD</w:t>
            </w:r>
            <w:proofErr w:type="spellEnd"/>
            <w:r>
              <w:t xml:space="preserve"> (US EPA, 2022)</w:t>
            </w:r>
          </w:p>
        </w:tc>
      </w:tr>
      <w:tr w:rsidR="00852811" w:rsidRPr="007F1DF7" w14:paraId="5C7DA59D" w14:textId="77777777" w:rsidTr="00662A37">
        <w:tc>
          <w:tcPr>
            <w:tcW w:w="3955" w:type="dxa"/>
            <w:tcBorders>
              <w:right w:val="single" w:sz="4" w:space="0" w:color="auto"/>
            </w:tcBorders>
            <w:shd w:val="clear" w:color="auto" w:fill="auto"/>
            <w:vAlign w:val="center"/>
          </w:tcPr>
          <w:p w14:paraId="4F1CA7C6" w14:textId="761D29AE" w:rsidR="00852811" w:rsidRDefault="00852811" w:rsidP="00852811">
            <w:pPr>
              <w:keepNext/>
              <w:keepLines/>
              <w:rPr>
                <w:rFonts w:eastAsia="Times New Roman" w:cstheme="minorHAnsi"/>
                <w:bCs/>
                <w:color w:val="000000"/>
              </w:rPr>
            </w:pPr>
            <w:r>
              <w:rPr>
                <w:rFonts w:eastAsia="Times New Roman" w:cstheme="minorHAnsi"/>
                <w:bCs/>
                <w:color w:val="000000"/>
              </w:rPr>
              <w:t>PFBS</w:t>
            </w:r>
          </w:p>
        </w:tc>
        <w:tc>
          <w:tcPr>
            <w:tcW w:w="1260" w:type="dxa"/>
            <w:tcBorders>
              <w:left w:val="single" w:sz="4" w:space="0" w:color="auto"/>
              <w:right w:val="single" w:sz="4" w:space="0" w:color="auto"/>
            </w:tcBorders>
            <w:shd w:val="clear" w:color="auto" w:fill="auto"/>
            <w:vAlign w:val="center"/>
          </w:tcPr>
          <w:p w14:paraId="195D3844" w14:textId="10F1933B" w:rsidR="00852811" w:rsidRDefault="00852811" w:rsidP="00852811">
            <w:pPr>
              <w:keepNext/>
              <w:keepLines/>
              <w:jc w:val="center"/>
            </w:pPr>
            <w:r>
              <w:t>3</w:t>
            </w:r>
            <w:r w:rsidR="00662A37">
              <w:t>00</w:t>
            </w:r>
            <w:r>
              <w:t xml:space="preserve"> </w:t>
            </w:r>
          </w:p>
        </w:tc>
        <w:tc>
          <w:tcPr>
            <w:tcW w:w="4950" w:type="dxa"/>
            <w:tcBorders>
              <w:left w:val="single" w:sz="4" w:space="0" w:color="auto"/>
            </w:tcBorders>
            <w:shd w:val="clear" w:color="auto" w:fill="auto"/>
            <w:vAlign w:val="center"/>
          </w:tcPr>
          <w:p w14:paraId="28443A4F" w14:textId="5B90ED5B" w:rsidR="00852811" w:rsidRDefault="00852811" w:rsidP="00852811">
            <w:pPr>
              <w:keepNext/>
              <w:keepLines/>
            </w:pPr>
            <w:r>
              <w:t xml:space="preserve">Chronic </w:t>
            </w:r>
            <w:proofErr w:type="spellStart"/>
            <w:r>
              <w:t>RfD</w:t>
            </w:r>
            <w:proofErr w:type="spellEnd"/>
            <w:r>
              <w:t xml:space="preserve"> (US EPA, 2021</w:t>
            </w:r>
            <w:r w:rsidR="00D00B7E">
              <w:t>b</w:t>
            </w:r>
            <w:r>
              <w:t>)</w:t>
            </w:r>
          </w:p>
        </w:tc>
      </w:tr>
      <w:tr w:rsidR="00852811" w:rsidRPr="007F1DF7" w14:paraId="296DDADF" w14:textId="77777777" w:rsidTr="00662A37">
        <w:tc>
          <w:tcPr>
            <w:tcW w:w="3955" w:type="dxa"/>
            <w:tcBorders>
              <w:right w:val="single" w:sz="4" w:space="0" w:color="auto"/>
            </w:tcBorders>
            <w:shd w:val="clear" w:color="auto" w:fill="auto"/>
            <w:vAlign w:val="center"/>
          </w:tcPr>
          <w:p w14:paraId="262B3368" w14:textId="4CD9740F" w:rsidR="00852811" w:rsidRDefault="00852811" w:rsidP="00852811">
            <w:pPr>
              <w:keepNext/>
              <w:keepLines/>
              <w:rPr>
                <w:rFonts w:eastAsia="Times New Roman" w:cstheme="minorHAnsi"/>
                <w:bCs/>
                <w:color w:val="000000"/>
              </w:rPr>
            </w:pPr>
            <w:proofErr w:type="spellStart"/>
            <w:r>
              <w:rPr>
                <w:rFonts w:eastAsia="Times New Roman" w:cstheme="minorHAnsi"/>
                <w:bCs/>
                <w:color w:val="000000"/>
              </w:rPr>
              <w:t>PFHxS</w:t>
            </w:r>
            <w:proofErr w:type="spellEnd"/>
          </w:p>
        </w:tc>
        <w:tc>
          <w:tcPr>
            <w:tcW w:w="1260" w:type="dxa"/>
            <w:tcBorders>
              <w:left w:val="single" w:sz="4" w:space="0" w:color="auto"/>
              <w:right w:val="single" w:sz="4" w:space="0" w:color="auto"/>
            </w:tcBorders>
            <w:shd w:val="clear" w:color="auto" w:fill="auto"/>
          </w:tcPr>
          <w:p w14:paraId="625FF3C5" w14:textId="7A5BB62C" w:rsidR="00852811" w:rsidRDefault="00852811" w:rsidP="00852811">
            <w:pPr>
              <w:keepNext/>
              <w:keepLines/>
              <w:jc w:val="center"/>
            </w:pPr>
            <w:r>
              <w:t>2</w:t>
            </w:r>
            <w:r w:rsidR="00662A37">
              <w:t>0</w:t>
            </w:r>
            <w:r>
              <w:t xml:space="preserve"> </w:t>
            </w:r>
          </w:p>
        </w:tc>
        <w:tc>
          <w:tcPr>
            <w:tcW w:w="4950" w:type="dxa"/>
            <w:tcBorders>
              <w:left w:val="single" w:sz="4" w:space="0" w:color="auto"/>
            </w:tcBorders>
            <w:shd w:val="clear" w:color="auto" w:fill="auto"/>
            <w:vAlign w:val="center"/>
          </w:tcPr>
          <w:p w14:paraId="1617C85A" w14:textId="41E33967" w:rsidR="00852811" w:rsidRDefault="00852811" w:rsidP="00852811">
            <w:pPr>
              <w:keepNext/>
              <w:keepLines/>
            </w:pPr>
            <w:r>
              <w:t>MRL (ATSDR, 2021)</w:t>
            </w:r>
          </w:p>
        </w:tc>
      </w:tr>
      <w:tr w:rsidR="00852811" w:rsidRPr="007F1DF7" w14:paraId="1CA16489" w14:textId="77777777" w:rsidTr="00662A37">
        <w:tc>
          <w:tcPr>
            <w:tcW w:w="3955" w:type="dxa"/>
            <w:tcBorders>
              <w:right w:val="single" w:sz="4" w:space="0" w:color="auto"/>
            </w:tcBorders>
            <w:shd w:val="clear" w:color="auto" w:fill="auto"/>
            <w:vAlign w:val="center"/>
          </w:tcPr>
          <w:p w14:paraId="3B59DF66" w14:textId="19BE5C29" w:rsidR="00852811" w:rsidRDefault="00852811" w:rsidP="00852811">
            <w:pPr>
              <w:keepNext/>
              <w:keepLines/>
              <w:rPr>
                <w:rFonts w:eastAsia="Times New Roman" w:cstheme="minorHAnsi"/>
                <w:bCs/>
                <w:color w:val="000000"/>
              </w:rPr>
            </w:pPr>
            <w:r>
              <w:rPr>
                <w:rFonts w:eastAsia="Times New Roman" w:cstheme="minorHAnsi"/>
                <w:bCs/>
                <w:color w:val="000000"/>
              </w:rPr>
              <w:t>PFOA</w:t>
            </w:r>
          </w:p>
        </w:tc>
        <w:tc>
          <w:tcPr>
            <w:tcW w:w="1260" w:type="dxa"/>
            <w:tcBorders>
              <w:left w:val="single" w:sz="4" w:space="0" w:color="auto"/>
              <w:right w:val="single" w:sz="4" w:space="0" w:color="auto"/>
            </w:tcBorders>
            <w:shd w:val="clear" w:color="auto" w:fill="auto"/>
            <w:vAlign w:val="center"/>
          </w:tcPr>
          <w:p w14:paraId="01DC1B09" w14:textId="6806EF66" w:rsidR="00852811" w:rsidRDefault="00852811" w:rsidP="00852811">
            <w:pPr>
              <w:keepNext/>
              <w:keepLines/>
              <w:jc w:val="center"/>
            </w:pPr>
            <w:r>
              <w:t xml:space="preserve">3 </w:t>
            </w:r>
          </w:p>
        </w:tc>
        <w:tc>
          <w:tcPr>
            <w:tcW w:w="4950" w:type="dxa"/>
            <w:tcBorders>
              <w:left w:val="single" w:sz="4" w:space="0" w:color="auto"/>
            </w:tcBorders>
            <w:shd w:val="clear" w:color="auto" w:fill="auto"/>
            <w:vAlign w:val="center"/>
          </w:tcPr>
          <w:p w14:paraId="7405C69D" w14:textId="451DF005" w:rsidR="00852811" w:rsidRDefault="00852811" w:rsidP="00852811">
            <w:pPr>
              <w:keepNext/>
              <w:keepLines/>
            </w:pPr>
            <w:r>
              <w:t>MRL (ATSDR, 2021)</w:t>
            </w:r>
          </w:p>
        </w:tc>
      </w:tr>
      <w:tr w:rsidR="00852811" w:rsidRPr="007F1DF7" w14:paraId="2601FD49" w14:textId="77777777" w:rsidTr="00662A37">
        <w:tc>
          <w:tcPr>
            <w:tcW w:w="3955" w:type="dxa"/>
            <w:tcBorders>
              <w:right w:val="single" w:sz="4" w:space="0" w:color="auto"/>
            </w:tcBorders>
            <w:shd w:val="clear" w:color="auto" w:fill="auto"/>
            <w:vAlign w:val="center"/>
          </w:tcPr>
          <w:p w14:paraId="29CBC03D" w14:textId="25FA8D6C" w:rsidR="00852811" w:rsidRPr="007F1DF7" w:rsidRDefault="00852811" w:rsidP="00852811">
            <w:pPr>
              <w:keepNext/>
              <w:keepLines/>
              <w:rPr>
                <w:rFonts w:eastAsia="Times New Roman" w:cstheme="minorHAnsi"/>
                <w:bCs/>
                <w:color w:val="000000"/>
              </w:rPr>
            </w:pPr>
            <w:r>
              <w:rPr>
                <w:rFonts w:eastAsia="Times New Roman" w:cstheme="minorHAnsi"/>
                <w:bCs/>
                <w:color w:val="000000"/>
              </w:rPr>
              <w:t>PFOS</w:t>
            </w:r>
          </w:p>
        </w:tc>
        <w:tc>
          <w:tcPr>
            <w:tcW w:w="1260" w:type="dxa"/>
            <w:tcBorders>
              <w:left w:val="single" w:sz="4" w:space="0" w:color="auto"/>
              <w:right w:val="single" w:sz="4" w:space="0" w:color="auto"/>
            </w:tcBorders>
            <w:shd w:val="clear" w:color="auto" w:fill="auto"/>
            <w:vAlign w:val="center"/>
          </w:tcPr>
          <w:p w14:paraId="089AA50D" w14:textId="00B8BCA9" w:rsidR="00852811" w:rsidRPr="007F1DF7" w:rsidRDefault="00852811" w:rsidP="00852811">
            <w:pPr>
              <w:keepNext/>
              <w:keepLines/>
              <w:jc w:val="center"/>
            </w:pPr>
            <w:r>
              <w:t xml:space="preserve">2 </w:t>
            </w:r>
          </w:p>
        </w:tc>
        <w:tc>
          <w:tcPr>
            <w:tcW w:w="4950" w:type="dxa"/>
            <w:tcBorders>
              <w:left w:val="single" w:sz="4" w:space="0" w:color="auto"/>
            </w:tcBorders>
            <w:shd w:val="clear" w:color="auto" w:fill="auto"/>
          </w:tcPr>
          <w:p w14:paraId="2FBAA2BD" w14:textId="288DD439" w:rsidR="00852811" w:rsidRPr="007F1DF7" w:rsidRDefault="00852811" w:rsidP="00852811">
            <w:pPr>
              <w:keepNext/>
              <w:keepLines/>
            </w:pPr>
            <w:r>
              <w:t>MRL (ATSDR, 2021)</w:t>
            </w:r>
          </w:p>
        </w:tc>
      </w:tr>
      <w:tr w:rsidR="00852811" w:rsidRPr="007F1DF7" w14:paraId="412E4F0F" w14:textId="77777777" w:rsidTr="00662A37">
        <w:tc>
          <w:tcPr>
            <w:tcW w:w="3955" w:type="dxa"/>
            <w:tcBorders>
              <w:right w:val="single" w:sz="4" w:space="0" w:color="auto"/>
            </w:tcBorders>
            <w:shd w:val="clear" w:color="auto" w:fill="auto"/>
            <w:vAlign w:val="center"/>
          </w:tcPr>
          <w:p w14:paraId="6B3802D6" w14:textId="2C4797CF" w:rsidR="00852811" w:rsidRPr="007F1DF7" w:rsidRDefault="00852811" w:rsidP="00852811">
            <w:pPr>
              <w:keepNext/>
              <w:keepLines/>
              <w:rPr>
                <w:rFonts w:eastAsia="Times New Roman" w:cstheme="minorHAnsi"/>
                <w:bCs/>
                <w:color w:val="000000"/>
              </w:rPr>
            </w:pPr>
            <w:r>
              <w:rPr>
                <w:rFonts w:eastAsia="Times New Roman" w:cstheme="minorHAnsi"/>
                <w:bCs/>
                <w:color w:val="000000"/>
              </w:rPr>
              <w:t>PFNA</w:t>
            </w:r>
          </w:p>
        </w:tc>
        <w:tc>
          <w:tcPr>
            <w:tcW w:w="1260" w:type="dxa"/>
            <w:tcBorders>
              <w:left w:val="single" w:sz="4" w:space="0" w:color="auto"/>
              <w:right w:val="single" w:sz="4" w:space="0" w:color="auto"/>
            </w:tcBorders>
            <w:shd w:val="clear" w:color="auto" w:fill="auto"/>
            <w:vAlign w:val="center"/>
          </w:tcPr>
          <w:p w14:paraId="5ED1C174" w14:textId="6DA77C1A" w:rsidR="00852811" w:rsidRPr="007F1DF7" w:rsidRDefault="00852811" w:rsidP="00852811">
            <w:pPr>
              <w:keepNext/>
              <w:keepLines/>
              <w:jc w:val="center"/>
            </w:pPr>
            <w:r>
              <w:t xml:space="preserve">3 </w:t>
            </w:r>
          </w:p>
        </w:tc>
        <w:tc>
          <w:tcPr>
            <w:tcW w:w="4950" w:type="dxa"/>
            <w:tcBorders>
              <w:left w:val="single" w:sz="4" w:space="0" w:color="auto"/>
            </w:tcBorders>
            <w:shd w:val="clear" w:color="auto" w:fill="auto"/>
            <w:vAlign w:val="center"/>
          </w:tcPr>
          <w:p w14:paraId="2FF766C5" w14:textId="08D20B40" w:rsidR="00852811" w:rsidRPr="007F1DF7" w:rsidRDefault="00852811" w:rsidP="00852811">
            <w:pPr>
              <w:keepNext/>
              <w:keepLines/>
            </w:pPr>
            <w:r>
              <w:t>MRL (ATSDR, 2021)</w:t>
            </w:r>
          </w:p>
        </w:tc>
      </w:tr>
      <w:tr w:rsidR="00852811" w14:paraId="74026840" w14:textId="77777777" w:rsidTr="00662A37">
        <w:tc>
          <w:tcPr>
            <w:tcW w:w="3955" w:type="dxa"/>
            <w:tcBorders>
              <w:right w:val="nil"/>
            </w:tcBorders>
            <w:shd w:val="clear" w:color="auto" w:fill="D9D9D9" w:themeFill="background1" w:themeFillShade="D9"/>
            <w:vAlign w:val="center"/>
          </w:tcPr>
          <w:p w14:paraId="6CB7F3AB" w14:textId="6FB3400F" w:rsidR="00852811" w:rsidRPr="00D876D7" w:rsidRDefault="00852811" w:rsidP="00852811">
            <w:pPr>
              <w:keepNext/>
              <w:keepLines/>
              <w:rPr>
                <w:rFonts w:eastAsia="Times New Roman" w:cstheme="minorHAnsi"/>
                <w:bCs/>
                <w:i/>
                <w:iCs/>
                <w:color w:val="000000"/>
              </w:rPr>
            </w:pPr>
            <w:r w:rsidRPr="00D876D7">
              <w:rPr>
                <w:rFonts w:eastAsia="Times New Roman" w:cstheme="minorHAnsi"/>
                <w:bCs/>
                <w:i/>
                <w:iCs/>
                <w:color w:val="000000"/>
              </w:rPr>
              <w:t>Sensitive Populations</w:t>
            </w:r>
          </w:p>
        </w:tc>
        <w:tc>
          <w:tcPr>
            <w:tcW w:w="1260" w:type="dxa"/>
            <w:tcBorders>
              <w:left w:val="nil"/>
              <w:right w:val="nil"/>
            </w:tcBorders>
            <w:shd w:val="clear" w:color="auto" w:fill="D9D9D9" w:themeFill="background1" w:themeFillShade="D9"/>
            <w:vAlign w:val="center"/>
          </w:tcPr>
          <w:p w14:paraId="680BC77A" w14:textId="77777777" w:rsidR="00852811" w:rsidRDefault="00852811" w:rsidP="00852811">
            <w:pPr>
              <w:keepNext/>
              <w:keepLines/>
              <w:jc w:val="center"/>
            </w:pPr>
          </w:p>
        </w:tc>
        <w:tc>
          <w:tcPr>
            <w:tcW w:w="4950" w:type="dxa"/>
            <w:tcBorders>
              <w:left w:val="nil"/>
            </w:tcBorders>
            <w:shd w:val="clear" w:color="auto" w:fill="D9D9D9" w:themeFill="background1" w:themeFillShade="D9"/>
            <w:vAlign w:val="center"/>
          </w:tcPr>
          <w:p w14:paraId="26F083F0" w14:textId="77777777" w:rsidR="00852811" w:rsidRDefault="00852811" w:rsidP="00852811">
            <w:pPr>
              <w:keepNext/>
              <w:keepLines/>
            </w:pPr>
          </w:p>
        </w:tc>
      </w:tr>
      <w:tr w:rsidR="00852811" w14:paraId="30952247" w14:textId="77777777" w:rsidTr="00662A37">
        <w:tc>
          <w:tcPr>
            <w:tcW w:w="3955" w:type="dxa"/>
            <w:vAlign w:val="center"/>
          </w:tcPr>
          <w:p w14:paraId="658DD58A" w14:textId="4AD2E18C" w:rsidR="00852811" w:rsidRDefault="00852811" w:rsidP="00852811">
            <w:pPr>
              <w:keepNext/>
              <w:keepLines/>
            </w:pPr>
            <w:r w:rsidRPr="00D51771">
              <w:rPr>
                <w:rFonts w:eastAsia="Times New Roman" w:cstheme="minorHAnsi"/>
                <w:bCs/>
                <w:color w:val="000000"/>
              </w:rPr>
              <w:t>Body Weight</w:t>
            </w:r>
            <w:r>
              <w:rPr>
                <w:rFonts w:eastAsia="Times New Roman" w:cstheme="minorHAnsi"/>
                <w:bCs/>
                <w:color w:val="000000"/>
              </w:rPr>
              <w:t>, BW (kg)</w:t>
            </w:r>
          </w:p>
        </w:tc>
        <w:tc>
          <w:tcPr>
            <w:tcW w:w="1260" w:type="dxa"/>
            <w:vAlign w:val="center"/>
          </w:tcPr>
          <w:p w14:paraId="0D45F770" w14:textId="77777777" w:rsidR="00852811" w:rsidRDefault="00852811" w:rsidP="00852811">
            <w:pPr>
              <w:keepNext/>
              <w:keepLines/>
              <w:jc w:val="center"/>
            </w:pPr>
            <w:r>
              <w:t>12.6</w:t>
            </w:r>
          </w:p>
        </w:tc>
        <w:tc>
          <w:tcPr>
            <w:tcW w:w="4950" w:type="dxa"/>
            <w:vAlign w:val="center"/>
          </w:tcPr>
          <w:p w14:paraId="5032312B" w14:textId="77777777" w:rsidR="00852811" w:rsidRDefault="00852811" w:rsidP="00852811">
            <w:pPr>
              <w:keepNext/>
              <w:keepLines/>
            </w:pPr>
            <w:r>
              <w:t xml:space="preserve">Mean body weight for 1 - &lt; </w:t>
            </w:r>
            <w:proofErr w:type="gramStart"/>
            <w:r>
              <w:t>3 year old</w:t>
            </w:r>
            <w:proofErr w:type="gramEnd"/>
            <w:r>
              <w:t xml:space="preserve"> (US EPA, 2011)</w:t>
            </w:r>
          </w:p>
        </w:tc>
      </w:tr>
      <w:tr w:rsidR="00852811" w14:paraId="04F2F660" w14:textId="77777777" w:rsidTr="00662A37">
        <w:tc>
          <w:tcPr>
            <w:tcW w:w="3955" w:type="dxa"/>
            <w:tcBorders>
              <w:bottom w:val="single" w:sz="4" w:space="0" w:color="auto"/>
            </w:tcBorders>
          </w:tcPr>
          <w:p w14:paraId="6450C798" w14:textId="6AF11B46" w:rsidR="00852811" w:rsidRDefault="00852811" w:rsidP="00852811">
            <w:pPr>
              <w:keepNext/>
              <w:keepLines/>
            </w:pPr>
            <w:r w:rsidRPr="0E1D4E23">
              <w:rPr>
                <w:rFonts w:eastAsia="Times New Roman"/>
                <w:color w:val="000000" w:themeColor="text1"/>
              </w:rPr>
              <w:t>Ingestion Rate, IR (g/</w:t>
            </w:r>
            <w:r w:rsidR="3C206D24" w:rsidRPr="0E1D4E23">
              <w:rPr>
                <w:rFonts w:eastAsia="Times New Roman"/>
                <w:color w:val="000000" w:themeColor="text1"/>
              </w:rPr>
              <w:t>meal</w:t>
            </w:r>
            <w:r w:rsidRPr="0E1D4E23">
              <w:rPr>
                <w:rFonts w:eastAsia="Times New Roman"/>
                <w:color w:val="000000" w:themeColor="text1"/>
              </w:rPr>
              <w:t>)</w:t>
            </w:r>
          </w:p>
        </w:tc>
        <w:tc>
          <w:tcPr>
            <w:tcW w:w="1260" w:type="dxa"/>
            <w:tcBorders>
              <w:bottom w:val="single" w:sz="4" w:space="0" w:color="auto"/>
            </w:tcBorders>
          </w:tcPr>
          <w:p w14:paraId="0A060F34" w14:textId="4AAD7ED4" w:rsidR="00852811" w:rsidRDefault="00852811" w:rsidP="00852811">
            <w:pPr>
              <w:keepNext/>
              <w:keepLines/>
              <w:jc w:val="center"/>
            </w:pPr>
            <w:r>
              <w:t>113.4</w:t>
            </w:r>
          </w:p>
        </w:tc>
        <w:tc>
          <w:tcPr>
            <w:tcW w:w="4950" w:type="dxa"/>
            <w:tcBorders>
              <w:bottom w:val="single" w:sz="4" w:space="0" w:color="auto"/>
            </w:tcBorders>
          </w:tcPr>
          <w:p w14:paraId="2581F078" w14:textId="3EB03EC5" w:rsidR="00852811" w:rsidRDefault="00852811" w:rsidP="00852811">
            <w:pPr>
              <w:keepNext/>
              <w:keepLines/>
            </w:pPr>
            <w:r>
              <w:t>Equivalent to ingestion of 4 ounces/</w:t>
            </w:r>
            <w:r w:rsidR="752860EC">
              <w:t>meal</w:t>
            </w:r>
          </w:p>
        </w:tc>
      </w:tr>
      <w:tr w:rsidR="00852811" w14:paraId="6AA56FB0" w14:textId="77777777" w:rsidTr="00662A37">
        <w:tc>
          <w:tcPr>
            <w:tcW w:w="3955" w:type="dxa"/>
            <w:tcBorders>
              <w:right w:val="nil"/>
            </w:tcBorders>
            <w:shd w:val="clear" w:color="auto" w:fill="D9D9D9" w:themeFill="background1" w:themeFillShade="D9"/>
          </w:tcPr>
          <w:p w14:paraId="0DD235B9" w14:textId="44390A57" w:rsidR="00852811" w:rsidRPr="00D876D7" w:rsidRDefault="00852811" w:rsidP="00852811">
            <w:pPr>
              <w:keepNext/>
              <w:keepLines/>
              <w:rPr>
                <w:rFonts w:eastAsia="Times New Roman" w:cstheme="minorHAnsi"/>
                <w:bCs/>
                <w:i/>
                <w:iCs/>
                <w:color w:val="000000"/>
              </w:rPr>
            </w:pPr>
            <w:r w:rsidRPr="00D876D7">
              <w:rPr>
                <w:rFonts w:eastAsia="Times New Roman" w:cstheme="minorHAnsi"/>
                <w:bCs/>
                <w:i/>
                <w:iCs/>
                <w:color w:val="000000"/>
              </w:rPr>
              <w:t>General Population</w:t>
            </w:r>
          </w:p>
        </w:tc>
        <w:tc>
          <w:tcPr>
            <w:tcW w:w="1260" w:type="dxa"/>
            <w:tcBorders>
              <w:left w:val="nil"/>
              <w:right w:val="nil"/>
            </w:tcBorders>
            <w:shd w:val="clear" w:color="auto" w:fill="D9D9D9" w:themeFill="background1" w:themeFillShade="D9"/>
          </w:tcPr>
          <w:p w14:paraId="5463BA6B" w14:textId="77777777" w:rsidR="00852811" w:rsidRDefault="00852811" w:rsidP="00852811">
            <w:pPr>
              <w:keepNext/>
              <w:keepLines/>
              <w:jc w:val="center"/>
            </w:pPr>
          </w:p>
        </w:tc>
        <w:tc>
          <w:tcPr>
            <w:tcW w:w="4950" w:type="dxa"/>
            <w:tcBorders>
              <w:left w:val="nil"/>
            </w:tcBorders>
            <w:shd w:val="clear" w:color="auto" w:fill="D9D9D9" w:themeFill="background1" w:themeFillShade="D9"/>
          </w:tcPr>
          <w:p w14:paraId="10F38E44" w14:textId="77777777" w:rsidR="00852811" w:rsidRDefault="00852811" w:rsidP="00852811">
            <w:pPr>
              <w:keepNext/>
              <w:keepLines/>
            </w:pPr>
          </w:p>
        </w:tc>
      </w:tr>
      <w:tr w:rsidR="00852811" w14:paraId="12A4D3F3" w14:textId="77777777" w:rsidTr="00662A37">
        <w:tc>
          <w:tcPr>
            <w:tcW w:w="3955" w:type="dxa"/>
            <w:vAlign w:val="center"/>
          </w:tcPr>
          <w:p w14:paraId="525FC898" w14:textId="16E27439" w:rsidR="00852811" w:rsidRPr="00D51771" w:rsidRDefault="00852811" w:rsidP="00852811">
            <w:pPr>
              <w:keepNext/>
              <w:keepLines/>
              <w:rPr>
                <w:rFonts w:eastAsia="Times New Roman" w:cstheme="minorHAnsi"/>
                <w:bCs/>
                <w:color w:val="000000"/>
              </w:rPr>
            </w:pPr>
            <w:r w:rsidRPr="00D51771">
              <w:rPr>
                <w:rFonts w:eastAsia="Times New Roman" w:cstheme="minorHAnsi"/>
                <w:bCs/>
                <w:color w:val="000000"/>
              </w:rPr>
              <w:t>Body Weight</w:t>
            </w:r>
            <w:r>
              <w:rPr>
                <w:rFonts w:eastAsia="Times New Roman" w:cstheme="minorHAnsi"/>
                <w:bCs/>
                <w:color w:val="000000"/>
              </w:rPr>
              <w:t>, BW (kg)</w:t>
            </w:r>
          </w:p>
        </w:tc>
        <w:tc>
          <w:tcPr>
            <w:tcW w:w="1260" w:type="dxa"/>
          </w:tcPr>
          <w:p w14:paraId="3F9F42B0" w14:textId="5931AD67" w:rsidR="00852811" w:rsidRDefault="00852811" w:rsidP="00852811">
            <w:pPr>
              <w:keepNext/>
              <w:keepLines/>
              <w:jc w:val="center"/>
            </w:pPr>
            <w:r>
              <w:t>56.8</w:t>
            </w:r>
          </w:p>
        </w:tc>
        <w:tc>
          <w:tcPr>
            <w:tcW w:w="4950" w:type="dxa"/>
            <w:vAlign w:val="center"/>
          </w:tcPr>
          <w:p w14:paraId="5BCE411D" w14:textId="5CD58C09" w:rsidR="00852811" w:rsidRDefault="00852811" w:rsidP="00852811">
            <w:pPr>
              <w:keepNext/>
              <w:keepLines/>
            </w:pPr>
            <w:r>
              <w:t xml:space="preserve">Mean body weight for </w:t>
            </w:r>
            <w:r w:rsidR="50FC768E">
              <w:t xml:space="preserve">11 - &lt; </w:t>
            </w:r>
            <w:r w:rsidR="00D3795C">
              <w:t>16-year-old</w:t>
            </w:r>
            <w:r>
              <w:t xml:space="preserve"> (US EPA, 2011)</w:t>
            </w:r>
          </w:p>
        </w:tc>
      </w:tr>
      <w:tr w:rsidR="00852811" w14:paraId="4C7E272E" w14:textId="77777777" w:rsidTr="00662A37">
        <w:tc>
          <w:tcPr>
            <w:tcW w:w="3955" w:type="dxa"/>
            <w:tcBorders>
              <w:bottom w:val="single" w:sz="4" w:space="0" w:color="auto"/>
            </w:tcBorders>
          </w:tcPr>
          <w:p w14:paraId="2A265461" w14:textId="076A290A" w:rsidR="00852811" w:rsidRPr="00D51771" w:rsidRDefault="00852811" w:rsidP="0E1D4E23">
            <w:pPr>
              <w:keepNext/>
              <w:keepLines/>
              <w:rPr>
                <w:rFonts w:eastAsia="Times New Roman"/>
                <w:color w:val="000000"/>
              </w:rPr>
            </w:pPr>
            <w:r w:rsidRPr="0E1D4E23">
              <w:rPr>
                <w:rFonts w:eastAsia="Times New Roman"/>
                <w:color w:val="000000" w:themeColor="text1"/>
              </w:rPr>
              <w:t>Ingestion Rate, IR (g/</w:t>
            </w:r>
            <w:r w:rsidR="0F7B9352" w:rsidRPr="0E1D4E23">
              <w:rPr>
                <w:rFonts w:eastAsia="Times New Roman"/>
                <w:color w:val="000000" w:themeColor="text1"/>
              </w:rPr>
              <w:t>meal</w:t>
            </w:r>
            <w:r w:rsidRPr="0E1D4E23">
              <w:rPr>
                <w:rFonts w:eastAsia="Times New Roman"/>
                <w:color w:val="000000" w:themeColor="text1"/>
              </w:rPr>
              <w:t>)</w:t>
            </w:r>
          </w:p>
        </w:tc>
        <w:tc>
          <w:tcPr>
            <w:tcW w:w="1260" w:type="dxa"/>
            <w:tcBorders>
              <w:bottom w:val="single" w:sz="4" w:space="0" w:color="auto"/>
            </w:tcBorders>
          </w:tcPr>
          <w:p w14:paraId="1B7FDB04" w14:textId="0C2AD5A0" w:rsidR="00852811" w:rsidRDefault="00852811" w:rsidP="00852811">
            <w:pPr>
              <w:keepNext/>
              <w:keepLines/>
              <w:jc w:val="center"/>
            </w:pPr>
            <w:r>
              <w:t>227</w:t>
            </w:r>
          </w:p>
        </w:tc>
        <w:tc>
          <w:tcPr>
            <w:tcW w:w="4950" w:type="dxa"/>
            <w:tcBorders>
              <w:bottom w:val="single" w:sz="4" w:space="0" w:color="auto"/>
            </w:tcBorders>
          </w:tcPr>
          <w:p w14:paraId="1301F0C3" w14:textId="0EB50A1A" w:rsidR="00852811" w:rsidRDefault="00852811" w:rsidP="00852811">
            <w:pPr>
              <w:keepNext/>
              <w:keepLines/>
            </w:pPr>
            <w:r>
              <w:t>Equivalent to ingestion of 8 ounces/</w:t>
            </w:r>
            <w:r w:rsidR="20E9AD4B">
              <w:t>meal</w:t>
            </w:r>
          </w:p>
        </w:tc>
      </w:tr>
      <w:tr w:rsidR="00852811" w14:paraId="5D74434B" w14:textId="77777777" w:rsidTr="00662A37">
        <w:tc>
          <w:tcPr>
            <w:tcW w:w="3955" w:type="dxa"/>
            <w:tcBorders>
              <w:right w:val="nil"/>
            </w:tcBorders>
            <w:shd w:val="clear" w:color="auto" w:fill="D9D9D9" w:themeFill="background1" w:themeFillShade="D9"/>
          </w:tcPr>
          <w:p w14:paraId="20E1ADEE" w14:textId="43364035" w:rsidR="00852811" w:rsidRPr="00473F2D" w:rsidRDefault="00852811" w:rsidP="00852811">
            <w:pPr>
              <w:keepNext/>
              <w:keepLines/>
              <w:rPr>
                <w:rFonts w:eastAsia="Times New Roman" w:cstheme="minorHAnsi"/>
                <w:bCs/>
                <w:i/>
                <w:iCs/>
                <w:color w:val="000000"/>
              </w:rPr>
            </w:pPr>
            <w:r w:rsidRPr="00473F2D">
              <w:rPr>
                <w:rFonts w:eastAsia="Times New Roman" w:cstheme="minorHAnsi"/>
                <w:bCs/>
                <w:i/>
                <w:iCs/>
                <w:color w:val="000000"/>
              </w:rPr>
              <w:t>All Populations</w:t>
            </w:r>
          </w:p>
        </w:tc>
        <w:tc>
          <w:tcPr>
            <w:tcW w:w="1260" w:type="dxa"/>
            <w:tcBorders>
              <w:left w:val="nil"/>
              <w:right w:val="nil"/>
            </w:tcBorders>
            <w:shd w:val="clear" w:color="auto" w:fill="D9D9D9" w:themeFill="background1" w:themeFillShade="D9"/>
          </w:tcPr>
          <w:p w14:paraId="0CDA525D" w14:textId="77777777" w:rsidR="00852811" w:rsidRDefault="00852811" w:rsidP="00852811">
            <w:pPr>
              <w:keepNext/>
              <w:keepLines/>
              <w:jc w:val="center"/>
            </w:pPr>
          </w:p>
        </w:tc>
        <w:tc>
          <w:tcPr>
            <w:tcW w:w="4950" w:type="dxa"/>
            <w:tcBorders>
              <w:left w:val="nil"/>
            </w:tcBorders>
            <w:shd w:val="clear" w:color="auto" w:fill="D9D9D9" w:themeFill="background1" w:themeFillShade="D9"/>
          </w:tcPr>
          <w:p w14:paraId="2E967787" w14:textId="77777777" w:rsidR="00852811" w:rsidRDefault="00852811" w:rsidP="00852811">
            <w:pPr>
              <w:keepNext/>
              <w:keepLines/>
            </w:pPr>
          </w:p>
        </w:tc>
      </w:tr>
      <w:tr w:rsidR="00852811" w14:paraId="49DDBDAE" w14:textId="77777777" w:rsidTr="00662A37">
        <w:tc>
          <w:tcPr>
            <w:tcW w:w="3955" w:type="dxa"/>
            <w:vAlign w:val="center"/>
          </w:tcPr>
          <w:p w14:paraId="7C201E36" w14:textId="6C5A18E4" w:rsidR="00852811" w:rsidRPr="00D51771" w:rsidRDefault="00852811" w:rsidP="00852811">
            <w:pPr>
              <w:keepNext/>
              <w:keepLines/>
              <w:rPr>
                <w:rFonts w:eastAsia="Times New Roman" w:cstheme="minorHAnsi"/>
                <w:bCs/>
                <w:color w:val="000000"/>
              </w:rPr>
            </w:pPr>
            <w:r>
              <w:rPr>
                <w:rFonts w:eastAsia="Times New Roman" w:cstheme="minorHAnsi"/>
                <w:bCs/>
                <w:color w:val="000000"/>
              </w:rPr>
              <w:t>Averaging Time (days/year)</w:t>
            </w:r>
          </w:p>
        </w:tc>
        <w:tc>
          <w:tcPr>
            <w:tcW w:w="1260" w:type="dxa"/>
            <w:vAlign w:val="center"/>
          </w:tcPr>
          <w:p w14:paraId="7733F8F2" w14:textId="5779D47E" w:rsidR="00852811" w:rsidRDefault="00852811" w:rsidP="00852811">
            <w:pPr>
              <w:keepNext/>
              <w:keepLines/>
              <w:jc w:val="center"/>
            </w:pPr>
            <w:r>
              <w:t>365</w:t>
            </w:r>
          </w:p>
        </w:tc>
        <w:tc>
          <w:tcPr>
            <w:tcW w:w="4950" w:type="dxa"/>
            <w:vAlign w:val="center"/>
          </w:tcPr>
          <w:p w14:paraId="1FE25B85" w14:textId="77D9D4BD" w:rsidR="00852811" w:rsidRDefault="00852811" w:rsidP="00852811">
            <w:pPr>
              <w:keepNext/>
              <w:keepLines/>
            </w:pPr>
            <w:r>
              <w:t>Dictated by advisory denominator</w:t>
            </w:r>
          </w:p>
        </w:tc>
      </w:tr>
      <w:tr w:rsidR="00852811" w14:paraId="17FCEBBA" w14:textId="77777777" w:rsidTr="00662A37">
        <w:tc>
          <w:tcPr>
            <w:tcW w:w="3955" w:type="dxa"/>
            <w:vAlign w:val="center"/>
          </w:tcPr>
          <w:p w14:paraId="1B6404E6" w14:textId="7AC3573C" w:rsidR="00852811" w:rsidRPr="00D51771" w:rsidRDefault="00852811" w:rsidP="00852811">
            <w:pPr>
              <w:keepNext/>
              <w:keepLines/>
              <w:rPr>
                <w:rFonts w:eastAsia="Times New Roman" w:cstheme="minorHAnsi"/>
                <w:bCs/>
                <w:color w:val="000000"/>
              </w:rPr>
            </w:pPr>
            <w:r>
              <w:rPr>
                <w:rFonts w:eastAsia="Times New Roman" w:cstheme="minorHAnsi"/>
                <w:bCs/>
                <w:color w:val="000000"/>
              </w:rPr>
              <w:t>Consumption Frequency, CF (meals/year)</w:t>
            </w:r>
          </w:p>
        </w:tc>
        <w:tc>
          <w:tcPr>
            <w:tcW w:w="1260" w:type="dxa"/>
            <w:vAlign w:val="center"/>
          </w:tcPr>
          <w:p w14:paraId="671CA8EB" w14:textId="32F68D50" w:rsidR="00852811" w:rsidRDefault="00852811" w:rsidP="00852811">
            <w:pPr>
              <w:keepNext/>
              <w:keepLines/>
              <w:jc w:val="center"/>
            </w:pPr>
            <w:r>
              <w:t>Varies</w:t>
            </w:r>
          </w:p>
        </w:tc>
        <w:tc>
          <w:tcPr>
            <w:tcW w:w="4950" w:type="dxa"/>
            <w:vAlign w:val="center"/>
          </w:tcPr>
          <w:p w14:paraId="51893682" w14:textId="3797FAEC" w:rsidR="00852811" w:rsidRDefault="00852811" w:rsidP="00852811">
            <w:pPr>
              <w:keepNext/>
              <w:keepLines/>
            </w:pPr>
            <w:r>
              <w:t>Dictated by advisory</w:t>
            </w:r>
          </w:p>
        </w:tc>
      </w:tr>
    </w:tbl>
    <w:p w14:paraId="003D959E" w14:textId="4EFE4948" w:rsidR="00473F2D" w:rsidRDefault="004C4CB5" w:rsidP="00473F2D">
      <w:pPr>
        <w:spacing w:after="0"/>
        <w:rPr>
          <w:i/>
          <w:iCs/>
          <w:sz w:val="20"/>
          <w:szCs w:val="20"/>
        </w:rPr>
      </w:pPr>
      <w:proofErr w:type="spellStart"/>
      <w:r>
        <w:rPr>
          <w:i/>
          <w:iCs/>
          <w:sz w:val="20"/>
          <w:szCs w:val="20"/>
        </w:rPr>
        <w:t>GenX</w:t>
      </w:r>
      <w:proofErr w:type="spellEnd"/>
      <w:r>
        <w:rPr>
          <w:i/>
          <w:iCs/>
          <w:sz w:val="20"/>
          <w:szCs w:val="20"/>
        </w:rPr>
        <w:t xml:space="preserve"> -</w:t>
      </w:r>
      <w:r w:rsidRPr="00855B9D">
        <w:rPr>
          <w:rFonts w:cstheme="minorHAnsi"/>
          <w:sz w:val="24"/>
          <w:szCs w:val="24"/>
        </w:rPr>
        <w:t xml:space="preserve"> </w:t>
      </w:r>
      <w:r w:rsidRPr="00855B9D">
        <w:rPr>
          <w:rFonts w:cstheme="minorHAnsi"/>
          <w:i/>
          <w:iCs/>
          <w:sz w:val="20"/>
          <w:szCs w:val="20"/>
        </w:rPr>
        <w:t>hexafluoropropylene oxide dimer acid</w:t>
      </w:r>
      <w:r>
        <w:rPr>
          <w:rFonts w:cstheme="minorHAnsi"/>
          <w:i/>
          <w:iCs/>
          <w:sz w:val="20"/>
          <w:szCs w:val="20"/>
        </w:rPr>
        <w:t>;</w:t>
      </w:r>
      <w:r>
        <w:rPr>
          <w:i/>
          <w:iCs/>
          <w:sz w:val="20"/>
          <w:szCs w:val="20"/>
        </w:rPr>
        <w:t xml:space="preserve"> </w:t>
      </w:r>
      <w:r w:rsidR="00473F2D">
        <w:rPr>
          <w:i/>
          <w:iCs/>
          <w:sz w:val="20"/>
          <w:szCs w:val="20"/>
        </w:rPr>
        <w:t xml:space="preserve">MRL – Minimal Risk Level; </w:t>
      </w:r>
      <w:r w:rsidR="0083424A">
        <w:rPr>
          <w:i/>
          <w:iCs/>
          <w:sz w:val="20"/>
          <w:szCs w:val="20"/>
        </w:rPr>
        <w:t xml:space="preserve">PFBA - </w:t>
      </w:r>
      <w:proofErr w:type="spellStart"/>
      <w:r w:rsidR="0083424A" w:rsidRPr="0083424A">
        <w:rPr>
          <w:rFonts w:cstheme="minorHAnsi"/>
          <w:i/>
          <w:iCs/>
          <w:sz w:val="20"/>
          <w:szCs w:val="20"/>
        </w:rPr>
        <w:t>perfluorobutanoic</w:t>
      </w:r>
      <w:proofErr w:type="spellEnd"/>
      <w:r w:rsidR="0083424A" w:rsidRPr="0083424A">
        <w:rPr>
          <w:rFonts w:cstheme="minorHAnsi"/>
          <w:i/>
          <w:iCs/>
          <w:sz w:val="20"/>
          <w:szCs w:val="20"/>
        </w:rPr>
        <w:t xml:space="preserve"> acid;</w:t>
      </w:r>
      <w:r w:rsidR="0083424A">
        <w:rPr>
          <w:rFonts w:cstheme="minorHAnsi"/>
          <w:sz w:val="24"/>
          <w:szCs w:val="24"/>
        </w:rPr>
        <w:t xml:space="preserve"> </w:t>
      </w:r>
      <w:r w:rsidR="00473F2D">
        <w:rPr>
          <w:i/>
          <w:iCs/>
          <w:sz w:val="20"/>
          <w:szCs w:val="20"/>
        </w:rPr>
        <w:t xml:space="preserve">PFBS – </w:t>
      </w:r>
      <w:proofErr w:type="spellStart"/>
      <w:r w:rsidR="00473F2D">
        <w:rPr>
          <w:i/>
          <w:iCs/>
          <w:sz w:val="20"/>
          <w:szCs w:val="20"/>
        </w:rPr>
        <w:t>perfluorobutane</w:t>
      </w:r>
      <w:proofErr w:type="spellEnd"/>
      <w:r w:rsidR="00473F2D">
        <w:rPr>
          <w:i/>
          <w:iCs/>
          <w:sz w:val="20"/>
          <w:szCs w:val="20"/>
        </w:rPr>
        <w:t xml:space="preserve"> sulfonic acid (PFBS); </w:t>
      </w:r>
      <w:proofErr w:type="spellStart"/>
      <w:r w:rsidR="00473F2D" w:rsidRPr="000175F7">
        <w:rPr>
          <w:i/>
          <w:iCs/>
          <w:sz w:val="20"/>
          <w:szCs w:val="20"/>
        </w:rPr>
        <w:t>PFHxS</w:t>
      </w:r>
      <w:proofErr w:type="spellEnd"/>
      <w:r w:rsidR="00473F2D" w:rsidRPr="000175F7">
        <w:rPr>
          <w:i/>
          <w:iCs/>
          <w:sz w:val="20"/>
          <w:szCs w:val="20"/>
        </w:rPr>
        <w:t xml:space="preserve"> – </w:t>
      </w:r>
      <w:proofErr w:type="spellStart"/>
      <w:r w:rsidR="00473F2D" w:rsidRPr="000175F7">
        <w:rPr>
          <w:i/>
          <w:iCs/>
          <w:sz w:val="20"/>
          <w:szCs w:val="20"/>
        </w:rPr>
        <w:t>perfluorohexane</w:t>
      </w:r>
      <w:proofErr w:type="spellEnd"/>
      <w:r w:rsidR="00473F2D" w:rsidRPr="000175F7">
        <w:rPr>
          <w:i/>
          <w:iCs/>
          <w:sz w:val="20"/>
          <w:szCs w:val="20"/>
        </w:rPr>
        <w:t xml:space="preserve"> sulfonic acid; PFOA – perfluorooctanoic acid; </w:t>
      </w:r>
      <w:r w:rsidR="00801103">
        <w:rPr>
          <w:i/>
          <w:iCs/>
          <w:sz w:val="20"/>
          <w:szCs w:val="20"/>
        </w:rPr>
        <w:t xml:space="preserve">PFOS - </w:t>
      </w:r>
      <w:proofErr w:type="spellStart"/>
      <w:r w:rsidR="00473F2D" w:rsidRPr="000175F7">
        <w:rPr>
          <w:i/>
          <w:iCs/>
          <w:sz w:val="20"/>
          <w:szCs w:val="20"/>
        </w:rPr>
        <w:t>perfluorooctane</w:t>
      </w:r>
      <w:proofErr w:type="spellEnd"/>
      <w:r w:rsidR="00473F2D" w:rsidRPr="000175F7">
        <w:rPr>
          <w:i/>
          <w:iCs/>
          <w:sz w:val="20"/>
          <w:szCs w:val="20"/>
        </w:rPr>
        <w:t xml:space="preserve"> sulfonic acid; PFNA – </w:t>
      </w:r>
      <w:proofErr w:type="spellStart"/>
      <w:r w:rsidR="00473F2D" w:rsidRPr="000175F7">
        <w:rPr>
          <w:i/>
          <w:iCs/>
          <w:sz w:val="20"/>
          <w:szCs w:val="20"/>
        </w:rPr>
        <w:t>perfluorononanoic</w:t>
      </w:r>
      <w:proofErr w:type="spellEnd"/>
      <w:r w:rsidR="00473F2D" w:rsidRPr="000175F7">
        <w:rPr>
          <w:i/>
          <w:iCs/>
          <w:sz w:val="20"/>
          <w:szCs w:val="20"/>
        </w:rPr>
        <w:t xml:space="preserve"> acid</w:t>
      </w:r>
      <w:r w:rsidR="00473F2D">
        <w:rPr>
          <w:i/>
          <w:iCs/>
          <w:sz w:val="20"/>
          <w:szCs w:val="20"/>
        </w:rPr>
        <w:t xml:space="preserve">; </w:t>
      </w:r>
      <w:proofErr w:type="spellStart"/>
      <w:r w:rsidR="00473F2D">
        <w:rPr>
          <w:i/>
          <w:iCs/>
          <w:sz w:val="20"/>
          <w:szCs w:val="20"/>
        </w:rPr>
        <w:t>RfD</w:t>
      </w:r>
      <w:proofErr w:type="spellEnd"/>
      <w:r w:rsidR="00473F2D">
        <w:rPr>
          <w:i/>
          <w:iCs/>
          <w:sz w:val="20"/>
          <w:szCs w:val="20"/>
        </w:rPr>
        <w:t xml:space="preserve"> – Reference Dose</w:t>
      </w:r>
    </w:p>
    <w:p w14:paraId="7566D84F" w14:textId="6FEEE892" w:rsidR="000B0974" w:rsidRPr="003469AF" w:rsidRDefault="000B0974" w:rsidP="00040A9E">
      <w:pPr>
        <w:spacing w:before="240" w:line="240" w:lineRule="auto"/>
        <w:rPr>
          <w:sz w:val="24"/>
          <w:szCs w:val="24"/>
        </w:rPr>
      </w:pPr>
      <w:r w:rsidRPr="003469AF">
        <w:rPr>
          <w:sz w:val="24"/>
          <w:szCs w:val="24"/>
        </w:rPr>
        <w:t>Using the parameters in Table 4.1</w:t>
      </w:r>
      <w:r w:rsidR="008739D2">
        <w:rPr>
          <w:sz w:val="24"/>
          <w:szCs w:val="24"/>
        </w:rPr>
        <w:t xml:space="preserve">, </w:t>
      </w:r>
      <w:r w:rsidRPr="003469AF">
        <w:rPr>
          <w:sz w:val="24"/>
          <w:szCs w:val="24"/>
        </w:rPr>
        <w:t>advisory threshold concentrations, by consumption frequency, are calculated as follows:</w:t>
      </w:r>
    </w:p>
    <w:p w14:paraId="294FBF2C" w14:textId="0687292F" w:rsidR="000B0974" w:rsidRDefault="00476064" w:rsidP="006E4074">
      <m:oMathPara>
        <m:oMath>
          <m:r>
            <w:rPr>
              <w:rFonts w:ascii="Cambria Math" w:hAnsi="Cambria Math"/>
            </w:rPr>
            <m:t>Advisory Threshold =</m:t>
          </m:r>
          <m:d>
            <m:dPr>
              <m:ctrlPr>
                <w:rPr>
                  <w:rFonts w:ascii="Cambria Math" w:hAnsi="Cambria Math"/>
                  <w:i/>
                </w:rPr>
              </m:ctrlPr>
            </m:dPr>
            <m:e>
              <m:r>
                <w:rPr>
                  <w:rFonts w:ascii="Cambria Math" w:hAnsi="Cambria Math"/>
                </w:rPr>
                <m:t>MRL or RfD</m:t>
              </m:r>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BW×AT</m:t>
                  </m:r>
                </m:num>
                <m:den>
                  <m:r>
                    <w:rPr>
                      <w:rFonts w:ascii="Cambria Math" w:hAnsi="Cambria Math"/>
                    </w:rPr>
                    <m:t>CF×IR</m:t>
                  </m:r>
                </m:den>
              </m:f>
            </m:e>
          </m:d>
        </m:oMath>
      </m:oMathPara>
    </w:p>
    <w:p w14:paraId="5C84D4FA" w14:textId="58A09D5D" w:rsidR="00040A9E" w:rsidRPr="003469AF" w:rsidRDefault="00040A9E" w:rsidP="00040A9E">
      <w:pPr>
        <w:spacing w:line="240" w:lineRule="auto"/>
        <w:rPr>
          <w:sz w:val="24"/>
          <w:szCs w:val="24"/>
        </w:rPr>
      </w:pPr>
      <w:r>
        <w:rPr>
          <w:sz w:val="24"/>
          <w:szCs w:val="24"/>
        </w:rPr>
        <w:t xml:space="preserve">For example, for sensitive populations, the PFOS advisory threshold for eating two meals/month is calculated as: </w:t>
      </w:r>
    </w:p>
    <w:p w14:paraId="6EEB5482" w14:textId="6D6C9D63" w:rsidR="00040A9E" w:rsidRDefault="00040A9E" w:rsidP="00040A9E">
      <m:oMathPara>
        <m:oMath>
          <m:r>
            <w:rPr>
              <w:rFonts w:ascii="Cambria Math" w:hAnsi="Cambria Math"/>
            </w:rPr>
            <m:t xml:space="preserve">2 </m:t>
          </m:r>
          <m:f>
            <m:fPr>
              <m:type m:val="lin"/>
              <m:ctrlPr>
                <w:rPr>
                  <w:rFonts w:ascii="Cambria Math" w:hAnsi="Cambria Math"/>
                  <w:i/>
                </w:rPr>
              </m:ctrlPr>
            </m:fPr>
            <m:num>
              <m:r>
                <w:rPr>
                  <w:rFonts w:ascii="Cambria Math" w:hAnsi="Cambria Math"/>
                </w:rPr>
                <m:t>ng</m:t>
              </m:r>
            </m:num>
            <m:den>
              <m:r>
                <w:rPr>
                  <w:rFonts w:ascii="Cambria Math" w:hAnsi="Cambria Math"/>
                </w:rPr>
                <m:t>kg-day</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12.6 kg×365 days/year</m:t>
                  </m:r>
                </m:num>
                <m:den>
                  <m:r>
                    <w:rPr>
                      <w:rFonts w:ascii="Cambria Math" w:hAnsi="Cambria Math"/>
                    </w:rPr>
                    <m:t>24 meals/year×113.4 ng/year</m:t>
                  </m:r>
                </m:den>
              </m:f>
            </m:e>
          </m:d>
        </m:oMath>
      </m:oMathPara>
    </w:p>
    <w:p w14:paraId="7663DF92" w14:textId="5515F4CA" w:rsidR="00040A9E" w:rsidRDefault="00040A9E" w:rsidP="006E4074">
      <w:pPr>
        <w:spacing w:line="240" w:lineRule="auto"/>
        <w:rPr>
          <w:sz w:val="24"/>
          <w:szCs w:val="24"/>
        </w:rPr>
      </w:pPr>
    </w:p>
    <w:p w14:paraId="487B08F5" w14:textId="640A336E" w:rsidR="000B0974" w:rsidRPr="003469AF" w:rsidRDefault="000B0974" w:rsidP="006E4074">
      <w:pPr>
        <w:spacing w:line="240" w:lineRule="auto"/>
        <w:rPr>
          <w:sz w:val="24"/>
          <w:szCs w:val="24"/>
        </w:rPr>
      </w:pPr>
      <w:r w:rsidRPr="68BFB0A1">
        <w:rPr>
          <w:sz w:val="24"/>
          <w:szCs w:val="24"/>
        </w:rPr>
        <w:lastRenderedPageBreak/>
        <w:t xml:space="preserve">Table 4.2 lists the advisory thresholds for issuing fish consumption advisories, for both the general population and sensitive populations, including </w:t>
      </w:r>
      <w:r w:rsidR="2E4000DD" w:rsidRPr="68BFB0A1">
        <w:rPr>
          <w:sz w:val="24"/>
          <w:szCs w:val="24"/>
        </w:rPr>
        <w:t xml:space="preserve">children </w:t>
      </w:r>
      <w:r w:rsidR="7B75CBE6" w:rsidRPr="00B120CB">
        <w:rPr>
          <w:sz w:val="24"/>
          <w:szCs w:val="24"/>
        </w:rPr>
        <w:t>younger than</w:t>
      </w:r>
      <w:r w:rsidR="2E4000DD" w:rsidRPr="00B120CB">
        <w:rPr>
          <w:sz w:val="24"/>
          <w:szCs w:val="24"/>
        </w:rPr>
        <w:t xml:space="preserve"> 1</w:t>
      </w:r>
      <w:r w:rsidR="104C1CD1" w:rsidRPr="00B120CB">
        <w:rPr>
          <w:sz w:val="24"/>
          <w:szCs w:val="24"/>
        </w:rPr>
        <w:t>3</w:t>
      </w:r>
      <w:r w:rsidR="2E4000DD" w:rsidRPr="00B120CB">
        <w:rPr>
          <w:sz w:val="24"/>
          <w:szCs w:val="24"/>
        </w:rPr>
        <w:t xml:space="preserve"> </w:t>
      </w:r>
      <w:r w:rsidR="47BCD545" w:rsidRPr="00B120CB">
        <w:rPr>
          <w:sz w:val="24"/>
          <w:szCs w:val="24"/>
        </w:rPr>
        <w:t>years of age;</w:t>
      </w:r>
      <w:r w:rsidR="47BCD545" w:rsidRPr="68BFB0A1">
        <w:rPr>
          <w:sz w:val="24"/>
          <w:szCs w:val="24"/>
        </w:rPr>
        <w:t xml:space="preserve"> </w:t>
      </w:r>
      <w:r w:rsidR="2E4000DD" w:rsidRPr="68BFB0A1">
        <w:rPr>
          <w:sz w:val="24"/>
          <w:szCs w:val="24"/>
        </w:rPr>
        <w:t>or people who are nursing, pregnant, or may become pregnant</w:t>
      </w:r>
      <w:r w:rsidRPr="68BFB0A1">
        <w:rPr>
          <w:sz w:val="24"/>
          <w:szCs w:val="24"/>
        </w:rPr>
        <w:t>.</w:t>
      </w:r>
    </w:p>
    <w:p w14:paraId="6FEE8041" w14:textId="33ADA3B8" w:rsidR="00385B14" w:rsidRDefault="00385B14" w:rsidP="006E4074">
      <w:pPr>
        <w:spacing w:line="240" w:lineRule="auto"/>
        <w:rPr>
          <w:rFonts w:cstheme="minorHAnsi"/>
          <w:sz w:val="24"/>
          <w:szCs w:val="24"/>
        </w:rPr>
      </w:pPr>
      <w:r>
        <w:rPr>
          <w:rFonts w:cstheme="minorHAnsi"/>
          <w:sz w:val="24"/>
          <w:szCs w:val="24"/>
        </w:rPr>
        <w:t xml:space="preserve">Appendix </w:t>
      </w:r>
      <w:r w:rsidR="00E404A9">
        <w:rPr>
          <w:rFonts w:cstheme="minorHAnsi"/>
          <w:sz w:val="24"/>
          <w:szCs w:val="24"/>
        </w:rPr>
        <w:t>B</w:t>
      </w:r>
      <w:r>
        <w:rPr>
          <w:rFonts w:cstheme="minorHAnsi"/>
          <w:sz w:val="24"/>
          <w:szCs w:val="24"/>
        </w:rPr>
        <w:t xml:space="preserve"> includes fish consumption advisories developed by other jurisdictions.</w:t>
      </w:r>
    </w:p>
    <w:p w14:paraId="5B0C6704" w14:textId="77777777" w:rsidR="00F42E3D" w:rsidRDefault="00F42E3D" w:rsidP="007B5B66">
      <w:pPr>
        <w:rPr>
          <w:rFonts w:ascii="Arial" w:hAnsi="Arial" w:cs="Arial"/>
          <w:b/>
          <w:sz w:val="24"/>
          <w:szCs w:val="24"/>
        </w:rPr>
        <w:sectPr w:rsidR="00F42E3D" w:rsidSect="00726623">
          <w:pgSz w:w="12240" w:h="15840"/>
          <w:pgMar w:top="720" w:right="2070" w:bottom="720" w:left="720" w:header="720" w:footer="720" w:gutter="0"/>
          <w:cols w:space="720"/>
          <w:docGrid w:linePitch="360"/>
        </w:sectPr>
      </w:pPr>
    </w:p>
    <w:p w14:paraId="34C4C5B2" w14:textId="61506766" w:rsidR="007B5B66" w:rsidRPr="00AC0B25" w:rsidRDefault="007B5B66" w:rsidP="00F42E3D">
      <w:pPr>
        <w:rPr>
          <w:rFonts w:cstheme="minorHAnsi"/>
          <w:b/>
          <w:sz w:val="24"/>
          <w:szCs w:val="24"/>
        </w:rPr>
      </w:pPr>
      <w:r w:rsidRPr="00AC0B25">
        <w:rPr>
          <w:rFonts w:cstheme="minorHAnsi"/>
          <w:b/>
          <w:sz w:val="24"/>
          <w:szCs w:val="24"/>
        </w:rPr>
        <w:lastRenderedPageBreak/>
        <w:t xml:space="preserve">Table </w:t>
      </w:r>
      <w:r w:rsidR="003F1C2A" w:rsidRPr="00AC0B25">
        <w:rPr>
          <w:rFonts w:cstheme="minorHAnsi"/>
          <w:b/>
          <w:sz w:val="24"/>
          <w:szCs w:val="24"/>
        </w:rPr>
        <w:t>4.</w:t>
      </w:r>
      <w:r w:rsidR="000B0974" w:rsidRPr="00AC0B25">
        <w:rPr>
          <w:rFonts w:cstheme="minorHAnsi"/>
          <w:b/>
          <w:sz w:val="24"/>
          <w:szCs w:val="24"/>
        </w:rPr>
        <w:t>2</w:t>
      </w:r>
      <w:r w:rsidRPr="00AC0B25">
        <w:rPr>
          <w:rFonts w:cstheme="minorHAnsi"/>
          <w:b/>
          <w:sz w:val="24"/>
          <w:szCs w:val="24"/>
        </w:rPr>
        <w:t>.  DPH PFAS Guidelines for Issuing Recreational Fish Consumption Advisories</w:t>
      </w:r>
    </w:p>
    <w:tbl>
      <w:tblPr>
        <w:tblW w:w="12822" w:type="dxa"/>
        <w:tblInd w:w="-75" w:type="dxa"/>
        <w:tblCellMar>
          <w:left w:w="0" w:type="dxa"/>
          <w:right w:w="0" w:type="dxa"/>
        </w:tblCellMar>
        <w:tblLook w:val="04A0" w:firstRow="1" w:lastRow="0" w:firstColumn="1" w:lastColumn="0" w:noHBand="0" w:noVBand="1"/>
      </w:tblPr>
      <w:tblGrid>
        <w:gridCol w:w="1330"/>
        <w:gridCol w:w="1710"/>
        <w:gridCol w:w="990"/>
        <w:gridCol w:w="1837"/>
        <w:gridCol w:w="1737"/>
        <w:gridCol w:w="1581"/>
        <w:gridCol w:w="1726"/>
        <w:gridCol w:w="1911"/>
      </w:tblGrid>
      <w:tr w:rsidR="003A38A6" w14:paraId="6F3C1513" w14:textId="28080AA6" w:rsidTr="008A5495">
        <w:trPr>
          <w:trHeight w:val="548"/>
        </w:trPr>
        <w:tc>
          <w:tcPr>
            <w:tcW w:w="1330" w:type="dxa"/>
            <w:vMerge w:val="restart"/>
            <w:tcBorders>
              <w:top w:val="single" w:sz="4" w:space="0" w:color="auto"/>
              <w:left w:val="single" w:sz="4" w:space="0" w:color="auto"/>
              <w:right w:val="nil"/>
            </w:tcBorders>
            <w:shd w:val="clear" w:color="auto" w:fill="DBE5F1" w:themeFill="accent1" w:themeFillTint="33"/>
            <w:tcMar>
              <w:top w:w="15" w:type="dxa"/>
              <w:left w:w="15" w:type="dxa"/>
              <w:bottom w:w="0" w:type="dxa"/>
              <w:right w:w="15" w:type="dxa"/>
            </w:tcMar>
            <w:vAlign w:val="center"/>
            <w:hideMark/>
          </w:tcPr>
          <w:p w14:paraId="24E96111" w14:textId="106DA912" w:rsidR="003A38A6" w:rsidRPr="00874351" w:rsidRDefault="003A38A6" w:rsidP="00041E5D">
            <w:pPr>
              <w:spacing w:after="0" w:line="240" w:lineRule="auto"/>
              <w:jc w:val="center"/>
              <w:rPr>
                <w:rFonts w:cstheme="minorHAnsi"/>
                <w:b/>
                <w:bCs/>
                <w:color w:val="000000"/>
              </w:rPr>
            </w:pPr>
            <w:r w:rsidRPr="00874351">
              <w:rPr>
                <w:rFonts w:cstheme="minorHAnsi"/>
                <w:b/>
                <w:bCs/>
                <w:color w:val="000000"/>
              </w:rPr>
              <w:t>Target Population</w:t>
            </w:r>
          </w:p>
        </w:tc>
        <w:tc>
          <w:tcPr>
            <w:tcW w:w="1710" w:type="dxa"/>
            <w:vMerge w:val="restart"/>
            <w:tcBorders>
              <w:top w:val="single" w:sz="4" w:space="0" w:color="auto"/>
              <w:left w:val="nil"/>
              <w:right w:val="nil"/>
            </w:tcBorders>
            <w:shd w:val="clear" w:color="auto" w:fill="DBE5F1" w:themeFill="accent1" w:themeFillTint="33"/>
            <w:noWrap/>
            <w:tcMar>
              <w:top w:w="15" w:type="dxa"/>
              <w:left w:w="15" w:type="dxa"/>
              <w:bottom w:w="0" w:type="dxa"/>
              <w:right w:w="15" w:type="dxa"/>
            </w:tcMar>
            <w:vAlign w:val="center"/>
            <w:hideMark/>
          </w:tcPr>
          <w:p w14:paraId="283D9B26" w14:textId="6EF198FD" w:rsidR="003A38A6" w:rsidRPr="00874351" w:rsidRDefault="003A38A6" w:rsidP="00041E5D">
            <w:pPr>
              <w:spacing w:after="0" w:line="240" w:lineRule="auto"/>
              <w:jc w:val="center"/>
              <w:rPr>
                <w:rFonts w:cstheme="minorHAnsi"/>
                <w:b/>
                <w:bCs/>
                <w:color w:val="000000"/>
              </w:rPr>
            </w:pPr>
            <w:r w:rsidRPr="00874351">
              <w:rPr>
                <w:rFonts w:cstheme="minorHAnsi"/>
                <w:b/>
                <w:bCs/>
                <w:color w:val="000000"/>
              </w:rPr>
              <w:t xml:space="preserve">Consumption Frequency </w:t>
            </w:r>
          </w:p>
        </w:tc>
        <w:tc>
          <w:tcPr>
            <w:tcW w:w="990" w:type="dxa"/>
            <w:vMerge w:val="restart"/>
            <w:tcBorders>
              <w:top w:val="single" w:sz="4" w:space="0" w:color="auto"/>
              <w:left w:val="nil"/>
              <w:right w:val="single" w:sz="4" w:space="0" w:color="auto"/>
            </w:tcBorders>
            <w:shd w:val="clear" w:color="auto" w:fill="DBE5F1" w:themeFill="accent1" w:themeFillTint="33"/>
            <w:noWrap/>
            <w:tcMar>
              <w:top w:w="15" w:type="dxa"/>
              <w:left w:w="15" w:type="dxa"/>
              <w:bottom w:w="0" w:type="dxa"/>
              <w:right w:w="15" w:type="dxa"/>
            </w:tcMar>
            <w:vAlign w:val="center"/>
            <w:hideMark/>
          </w:tcPr>
          <w:p w14:paraId="00E95EAF" w14:textId="02F43D05" w:rsidR="003A38A6" w:rsidRPr="00874351" w:rsidRDefault="003A38A6" w:rsidP="00041E5D">
            <w:pPr>
              <w:spacing w:after="0" w:line="240" w:lineRule="auto"/>
              <w:jc w:val="center"/>
              <w:rPr>
                <w:rFonts w:cstheme="minorHAnsi"/>
                <w:b/>
                <w:bCs/>
                <w:color w:val="000000"/>
              </w:rPr>
            </w:pPr>
            <w:r w:rsidRPr="00874351">
              <w:rPr>
                <w:rFonts w:cstheme="minorHAnsi"/>
                <w:b/>
                <w:bCs/>
                <w:color w:val="000000"/>
              </w:rPr>
              <w:t>Serving Size (g/day)</w:t>
            </w:r>
          </w:p>
        </w:tc>
        <w:tc>
          <w:tcPr>
            <w:tcW w:w="87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127210FF" w14:textId="199C8A60" w:rsidR="003A38A6" w:rsidRPr="00874351" w:rsidRDefault="003A38A6" w:rsidP="00041E5D">
            <w:pPr>
              <w:spacing w:after="0" w:line="240" w:lineRule="auto"/>
              <w:ind w:left="-15" w:firstLine="15"/>
              <w:jc w:val="center"/>
              <w:rPr>
                <w:rFonts w:cstheme="minorHAnsi"/>
                <w:b/>
                <w:bCs/>
                <w:color w:val="000000"/>
              </w:rPr>
            </w:pPr>
            <w:r>
              <w:rPr>
                <w:rFonts w:cstheme="minorHAnsi"/>
                <w:b/>
                <w:bCs/>
                <w:color w:val="000000"/>
              </w:rPr>
              <w:t>Fish Tissue Concentration</w:t>
            </w:r>
            <w:r w:rsidRPr="00874351">
              <w:rPr>
                <w:rFonts w:cstheme="minorHAnsi"/>
                <w:b/>
                <w:bCs/>
                <w:color w:val="000000"/>
              </w:rPr>
              <w:br/>
              <w:t>(µg/kg)</w:t>
            </w:r>
          </w:p>
        </w:tc>
      </w:tr>
      <w:tr w:rsidR="003A38A6" w14:paraId="2A01F5EF" w14:textId="6487EF73" w:rsidTr="00DB797B">
        <w:trPr>
          <w:trHeight w:val="398"/>
        </w:trPr>
        <w:tc>
          <w:tcPr>
            <w:tcW w:w="1330" w:type="dxa"/>
            <w:vMerge/>
            <w:tcBorders>
              <w:left w:val="single" w:sz="4" w:space="0" w:color="auto"/>
              <w:bottom w:val="single" w:sz="4" w:space="0" w:color="auto"/>
              <w:right w:val="nil"/>
            </w:tcBorders>
            <w:tcMar>
              <w:top w:w="15" w:type="dxa"/>
              <w:left w:w="15" w:type="dxa"/>
              <w:bottom w:w="0" w:type="dxa"/>
              <w:right w:w="15" w:type="dxa"/>
            </w:tcMar>
            <w:vAlign w:val="center"/>
          </w:tcPr>
          <w:p w14:paraId="22C762DE" w14:textId="77777777" w:rsidR="003A38A6" w:rsidRPr="00874351" w:rsidRDefault="003A38A6" w:rsidP="00041E5D">
            <w:pPr>
              <w:spacing w:after="0" w:line="240" w:lineRule="auto"/>
              <w:jc w:val="center"/>
              <w:rPr>
                <w:rFonts w:cstheme="minorHAnsi"/>
                <w:b/>
                <w:bCs/>
                <w:color w:val="000000"/>
              </w:rPr>
            </w:pPr>
          </w:p>
        </w:tc>
        <w:tc>
          <w:tcPr>
            <w:tcW w:w="1710" w:type="dxa"/>
            <w:vMerge/>
            <w:tcBorders>
              <w:left w:val="nil"/>
              <w:bottom w:val="single" w:sz="4" w:space="0" w:color="auto"/>
              <w:right w:val="nil"/>
            </w:tcBorders>
            <w:noWrap/>
            <w:tcMar>
              <w:top w:w="15" w:type="dxa"/>
              <w:left w:w="15" w:type="dxa"/>
              <w:bottom w:w="0" w:type="dxa"/>
              <w:right w:w="15" w:type="dxa"/>
            </w:tcMar>
            <w:vAlign w:val="center"/>
          </w:tcPr>
          <w:p w14:paraId="56289DD0" w14:textId="77777777" w:rsidR="003A38A6" w:rsidRPr="00874351" w:rsidRDefault="003A38A6" w:rsidP="00041E5D">
            <w:pPr>
              <w:spacing w:after="0" w:line="240" w:lineRule="auto"/>
              <w:jc w:val="center"/>
              <w:rPr>
                <w:rFonts w:cstheme="minorHAnsi"/>
                <w:b/>
                <w:bCs/>
                <w:color w:val="000000"/>
              </w:rPr>
            </w:pPr>
          </w:p>
        </w:tc>
        <w:tc>
          <w:tcPr>
            <w:tcW w:w="990" w:type="dxa"/>
            <w:vMerge/>
            <w:tcBorders>
              <w:left w:val="nil"/>
              <w:bottom w:val="single" w:sz="4" w:space="0" w:color="auto"/>
              <w:right w:val="single" w:sz="4" w:space="0" w:color="auto"/>
            </w:tcBorders>
            <w:noWrap/>
            <w:tcMar>
              <w:top w:w="15" w:type="dxa"/>
              <w:left w:w="15" w:type="dxa"/>
              <w:bottom w:w="0" w:type="dxa"/>
              <w:right w:w="15" w:type="dxa"/>
            </w:tcMar>
            <w:vAlign w:val="center"/>
          </w:tcPr>
          <w:p w14:paraId="6F3B131F" w14:textId="77777777" w:rsidR="003A38A6" w:rsidRPr="00874351" w:rsidRDefault="003A38A6" w:rsidP="00041E5D">
            <w:pPr>
              <w:spacing w:after="0" w:line="240" w:lineRule="auto"/>
              <w:jc w:val="center"/>
              <w:rPr>
                <w:rFonts w:cstheme="minorHAnsi"/>
                <w:b/>
                <w:bCs/>
                <w:color w:val="000000"/>
              </w:rPr>
            </w:pPr>
          </w:p>
        </w:tc>
        <w:tc>
          <w:tcPr>
            <w:tcW w:w="1837"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14:paraId="5796EE26" w14:textId="3E492E3F" w:rsidR="003A38A6" w:rsidRPr="00874351" w:rsidRDefault="003A38A6" w:rsidP="00041E5D">
            <w:pPr>
              <w:spacing w:after="0" w:line="240" w:lineRule="auto"/>
              <w:ind w:left="-15" w:firstLine="15"/>
              <w:jc w:val="center"/>
              <w:rPr>
                <w:rFonts w:cstheme="minorHAnsi"/>
                <w:b/>
                <w:bCs/>
                <w:color w:val="000000"/>
              </w:rPr>
            </w:pPr>
            <w:r w:rsidRPr="00874351">
              <w:rPr>
                <w:rFonts w:cstheme="minorHAnsi"/>
                <w:b/>
                <w:bCs/>
                <w:color w:val="000000"/>
              </w:rPr>
              <w:t>PFOS</w:t>
            </w:r>
          </w:p>
        </w:tc>
        <w:tc>
          <w:tcPr>
            <w:tcW w:w="1737" w:type="dxa"/>
            <w:tcBorders>
              <w:top w:val="single" w:sz="4" w:space="0" w:color="auto"/>
              <w:bottom w:val="single" w:sz="4" w:space="0" w:color="auto"/>
            </w:tcBorders>
          </w:tcPr>
          <w:p w14:paraId="351E6589" w14:textId="78F0625D" w:rsidR="003A38A6" w:rsidRPr="00874351" w:rsidRDefault="003A38A6" w:rsidP="00041E5D">
            <w:pPr>
              <w:spacing w:after="0" w:line="240" w:lineRule="auto"/>
              <w:ind w:left="-15" w:firstLine="15"/>
              <w:jc w:val="center"/>
              <w:rPr>
                <w:rFonts w:cstheme="minorHAnsi"/>
                <w:b/>
                <w:bCs/>
                <w:color w:val="000000"/>
              </w:rPr>
            </w:pPr>
            <w:r>
              <w:rPr>
                <w:rFonts w:cstheme="minorHAnsi"/>
                <w:b/>
                <w:bCs/>
                <w:color w:val="000000"/>
              </w:rPr>
              <w:t>PFBA</w:t>
            </w:r>
          </w:p>
        </w:tc>
        <w:tc>
          <w:tcPr>
            <w:tcW w:w="1581" w:type="dxa"/>
            <w:tcBorders>
              <w:top w:val="single" w:sz="4" w:space="0" w:color="auto"/>
              <w:bottom w:val="single" w:sz="4" w:space="0" w:color="auto"/>
            </w:tcBorders>
            <w:vAlign w:val="center"/>
          </w:tcPr>
          <w:p w14:paraId="543B00F8" w14:textId="2406D4CC" w:rsidR="003A38A6" w:rsidRPr="00874351" w:rsidRDefault="003A38A6" w:rsidP="00041E5D">
            <w:pPr>
              <w:spacing w:after="0" w:line="240" w:lineRule="auto"/>
              <w:ind w:left="-15" w:firstLine="15"/>
              <w:jc w:val="center"/>
              <w:rPr>
                <w:rFonts w:cstheme="minorHAnsi"/>
                <w:b/>
                <w:bCs/>
                <w:color w:val="000000"/>
              </w:rPr>
            </w:pPr>
            <w:r w:rsidRPr="00874351">
              <w:rPr>
                <w:rFonts w:cstheme="minorHAnsi"/>
                <w:b/>
                <w:bCs/>
                <w:color w:val="000000"/>
              </w:rPr>
              <w:t>PFBS</w:t>
            </w:r>
          </w:p>
        </w:tc>
        <w:tc>
          <w:tcPr>
            <w:tcW w:w="1726" w:type="dxa"/>
            <w:tcBorders>
              <w:top w:val="single" w:sz="4" w:space="0" w:color="auto"/>
              <w:bottom w:val="single" w:sz="4" w:space="0" w:color="auto"/>
            </w:tcBorders>
            <w:vAlign w:val="center"/>
          </w:tcPr>
          <w:p w14:paraId="76A109C6" w14:textId="51F3A524" w:rsidR="003A38A6" w:rsidRPr="00874351" w:rsidRDefault="003A38A6" w:rsidP="00041E5D">
            <w:pPr>
              <w:spacing w:after="0" w:line="240" w:lineRule="auto"/>
              <w:ind w:left="-15" w:firstLine="15"/>
              <w:jc w:val="center"/>
              <w:rPr>
                <w:rFonts w:cstheme="minorHAnsi"/>
                <w:b/>
                <w:bCs/>
                <w:color w:val="000000"/>
              </w:rPr>
            </w:pPr>
            <w:proofErr w:type="spellStart"/>
            <w:r w:rsidRPr="00874351">
              <w:rPr>
                <w:rFonts w:cstheme="minorHAnsi"/>
                <w:b/>
                <w:bCs/>
                <w:color w:val="000000"/>
              </w:rPr>
              <w:t>PFHxS</w:t>
            </w:r>
            <w:proofErr w:type="spellEnd"/>
          </w:p>
        </w:tc>
        <w:tc>
          <w:tcPr>
            <w:tcW w:w="1911" w:type="dxa"/>
            <w:tcBorders>
              <w:top w:val="single" w:sz="4" w:space="0" w:color="auto"/>
              <w:bottom w:val="single" w:sz="4" w:space="0" w:color="auto"/>
              <w:right w:val="single" w:sz="4" w:space="0" w:color="auto"/>
            </w:tcBorders>
            <w:vAlign w:val="center"/>
          </w:tcPr>
          <w:p w14:paraId="1B00EF69" w14:textId="56E5E6CA" w:rsidR="003A38A6" w:rsidRPr="00874351" w:rsidRDefault="003A38A6" w:rsidP="00041E5D">
            <w:pPr>
              <w:spacing w:after="0" w:line="240" w:lineRule="auto"/>
              <w:ind w:left="-15" w:firstLine="15"/>
              <w:jc w:val="center"/>
              <w:rPr>
                <w:rFonts w:cstheme="minorHAnsi"/>
                <w:b/>
                <w:bCs/>
                <w:color w:val="000000"/>
              </w:rPr>
            </w:pPr>
            <w:r w:rsidRPr="00874351">
              <w:rPr>
                <w:rFonts w:cstheme="minorHAnsi"/>
                <w:b/>
                <w:bCs/>
                <w:color w:val="000000"/>
              </w:rPr>
              <w:t>PFOA</w:t>
            </w:r>
            <w:r>
              <w:rPr>
                <w:rFonts w:cstheme="minorHAnsi"/>
                <w:b/>
                <w:bCs/>
                <w:color w:val="000000"/>
              </w:rPr>
              <w:t xml:space="preserve">, PFNA, </w:t>
            </w:r>
            <w:proofErr w:type="spellStart"/>
            <w:r>
              <w:rPr>
                <w:rFonts w:cstheme="minorHAnsi"/>
                <w:b/>
                <w:bCs/>
                <w:color w:val="000000"/>
              </w:rPr>
              <w:t>GenX</w:t>
            </w:r>
            <w:proofErr w:type="spellEnd"/>
          </w:p>
        </w:tc>
      </w:tr>
      <w:tr w:rsidR="003A38A6" w14:paraId="71D6567B" w14:textId="08D09664" w:rsidTr="00DB797B">
        <w:trPr>
          <w:trHeight w:val="55"/>
        </w:trPr>
        <w:tc>
          <w:tcPr>
            <w:tcW w:w="1330"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5254FEF6" w14:textId="1CDEC54D" w:rsidR="003A38A6" w:rsidRPr="00874351" w:rsidRDefault="003A38A6" w:rsidP="00ED6640">
            <w:pPr>
              <w:spacing w:after="0" w:line="240" w:lineRule="auto"/>
              <w:jc w:val="center"/>
              <w:rPr>
                <w:rFonts w:cstheme="minorHAnsi"/>
                <w:b/>
                <w:bCs/>
                <w:color w:val="000000"/>
              </w:rPr>
            </w:pPr>
            <w:r w:rsidRPr="00874351">
              <w:rPr>
                <w:rFonts w:cstheme="minorHAnsi"/>
                <w:b/>
                <w:bCs/>
                <w:color w:val="000000"/>
              </w:rPr>
              <w:t>Sensitive Population</w:t>
            </w:r>
          </w:p>
        </w:tc>
        <w:tc>
          <w:tcPr>
            <w:tcW w:w="1710" w:type="dxa"/>
            <w:tcBorders>
              <w:top w:val="single" w:sz="4" w:space="0" w:color="auto"/>
              <w:left w:val="nil"/>
              <w:bottom w:val="nil"/>
              <w:right w:val="nil"/>
            </w:tcBorders>
            <w:noWrap/>
            <w:tcMar>
              <w:top w:w="15" w:type="dxa"/>
              <w:left w:w="15" w:type="dxa"/>
              <w:bottom w:w="0" w:type="dxa"/>
              <w:right w:w="15" w:type="dxa"/>
            </w:tcMar>
            <w:vAlign w:val="bottom"/>
          </w:tcPr>
          <w:p w14:paraId="21C60959" w14:textId="2943D412" w:rsidR="003A38A6" w:rsidRPr="00874351" w:rsidRDefault="003A38A6" w:rsidP="00ED6640">
            <w:pPr>
              <w:spacing w:after="0" w:line="240" w:lineRule="auto"/>
              <w:jc w:val="center"/>
              <w:rPr>
                <w:rFonts w:cstheme="minorHAnsi"/>
                <w:color w:val="000000"/>
              </w:rPr>
            </w:pPr>
            <w:r w:rsidRPr="00874351">
              <w:rPr>
                <w:rFonts w:cstheme="minorHAnsi"/>
                <w:b/>
                <w:color w:val="000000"/>
              </w:rPr>
              <w:t>1 meal/day</w:t>
            </w:r>
          </w:p>
        </w:tc>
        <w:tc>
          <w:tcPr>
            <w:tcW w:w="990"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456156FA" w14:textId="2A2B79C0" w:rsidR="003A38A6" w:rsidRPr="00874351" w:rsidRDefault="003A38A6" w:rsidP="00ED6640">
            <w:pPr>
              <w:spacing w:after="0" w:line="240" w:lineRule="auto"/>
              <w:jc w:val="center"/>
              <w:rPr>
                <w:rFonts w:cstheme="minorHAnsi"/>
                <w:color w:val="000000"/>
              </w:rPr>
            </w:pPr>
            <w:r w:rsidRPr="00874351">
              <w:rPr>
                <w:rFonts w:cstheme="minorHAnsi"/>
                <w:b/>
                <w:color w:val="000000"/>
              </w:rPr>
              <w:t>113.4</w:t>
            </w:r>
          </w:p>
        </w:tc>
        <w:tc>
          <w:tcPr>
            <w:tcW w:w="1837"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42527EC6" w14:textId="3B20A48E" w:rsidR="003A38A6" w:rsidRPr="00874351" w:rsidRDefault="003A38A6" w:rsidP="00ED6640">
            <w:pPr>
              <w:spacing w:after="0" w:line="240" w:lineRule="auto"/>
              <w:jc w:val="center"/>
              <w:rPr>
                <w:rFonts w:cstheme="minorHAnsi"/>
                <w:color w:val="000000"/>
              </w:rPr>
            </w:pPr>
            <w:r w:rsidRPr="00874351">
              <w:rPr>
                <w:rFonts w:cstheme="minorHAnsi"/>
                <w:b/>
                <w:color w:val="000000"/>
                <w:u w:val="single"/>
              </w:rPr>
              <w:t>&lt;</w:t>
            </w:r>
            <w:r w:rsidRPr="00874351">
              <w:rPr>
                <w:rFonts w:cstheme="minorHAnsi"/>
                <w:b/>
                <w:color w:val="000000"/>
              </w:rPr>
              <w:t xml:space="preserve"> 0.22</w:t>
            </w:r>
            <w:r w:rsidRPr="00874351">
              <w:rPr>
                <w:rFonts w:cstheme="minorHAnsi"/>
                <w:b/>
                <w:i/>
                <w:iCs/>
                <w:color w:val="000000"/>
                <w:vertAlign w:val="superscript"/>
              </w:rPr>
              <w:t>a</w:t>
            </w:r>
          </w:p>
        </w:tc>
        <w:tc>
          <w:tcPr>
            <w:tcW w:w="1737" w:type="dxa"/>
            <w:tcBorders>
              <w:top w:val="single" w:sz="4" w:space="0" w:color="auto"/>
              <w:left w:val="nil"/>
              <w:bottom w:val="nil"/>
              <w:right w:val="single" w:sz="4" w:space="0" w:color="auto"/>
            </w:tcBorders>
          </w:tcPr>
          <w:p w14:paraId="68725ADD" w14:textId="62FB21B2" w:rsidR="003A38A6" w:rsidRPr="00F16FC4" w:rsidRDefault="003A38A6" w:rsidP="00ED6640">
            <w:pPr>
              <w:spacing w:after="0" w:line="240" w:lineRule="auto"/>
              <w:jc w:val="center"/>
              <w:rPr>
                <w:rFonts w:cstheme="minorHAnsi"/>
                <w:bCs/>
                <w:color w:val="000000"/>
                <w:u w:val="single"/>
              </w:rPr>
            </w:pPr>
            <w:r w:rsidRPr="00F16FC4">
              <w:rPr>
                <w:rFonts w:cstheme="minorHAnsi"/>
                <w:bCs/>
                <w:color w:val="000000"/>
                <w:u w:val="single"/>
              </w:rPr>
              <w:t>&lt;</w:t>
            </w:r>
            <w:r w:rsidRPr="00F16FC4">
              <w:rPr>
                <w:rFonts w:cstheme="minorHAnsi"/>
                <w:bCs/>
                <w:color w:val="000000"/>
              </w:rPr>
              <w:t xml:space="preserve"> </w:t>
            </w:r>
            <w:r>
              <w:rPr>
                <w:rFonts w:cstheme="minorHAnsi"/>
                <w:color w:val="000000"/>
              </w:rPr>
              <w:t>111</w:t>
            </w:r>
          </w:p>
        </w:tc>
        <w:tc>
          <w:tcPr>
            <w:tcW w:w="1581" w:type="dxa"/>
            <w:tcBorders>
              <w:top w:val="single" w:sz="4" w:space="0" w:color="auto"/>
              <w:left w:val="single" w:sz="4" w:space="0" w:color="auto"/>
              <w:bottom w:val="nil"/>
              <w:right w:val="single" w:sz="4" w:space="0" w:color="auto"/>
            </w:tcBorders>
            <w:shd w:val="clear" w:color="auto" w:fill="auto"/>
          </w:tcPr>
          <w:p w14:paraId="4E5CCDA9" w14:textId="05B3FEB1" w:rsidR="003A38A6" w:rsidRPr="00F16FC4" w:rsidRDefault="003A38A6" w:rsidP="00ED6640">
            <w:pPr>
              <w:spacing w:after="0" w:line="240" w:lineRule="auto"/>
              <w:jc w:val="center"/>
              <w:rPr>
                <w:rFonts w:cstheme="minorHAnsi"/>
                <w:bCs/>
                <w:color w:val="000000"/>
              </w:rPr>
            </w:pPr>
            <w:r w:rsidRPr="00F16FC4">
              <w:rPr>
                <w:rFonts w:cstheme="minorHAnsi"/>
                <w:bCs/>
                <w:color w:val="000000"/>
                <w:u w:val="single"/>
              </w:rPr>
              <w:t>&lt;</w:t>
            </w:r>
            <w:r w:rsidRPr="00F16FC4">
              <w:rPr>
                <w:rFonts w:cstheme="minorHAnsi"/>
                <w:bCs/>
                <w:color w:val="000000"/>
              </w:rPr>
              <w:t xml:space="preserve"> </w:t>
            </w:r>
            <w:r>
              <w:rPr>
                <w:rFonts w:cstheme="minorHAnsi"/>
                <w:bCs/>
                <w:color w:val="000000"/>
              </w:rPr>
              <w:t>33</w:t>
            </w:r>
          </w:p>
        </w:tc>
        <w:tc>
          <w:tcPr>
            <w:tcW w:w="1726" w:type="dxa"/>
            <w:tcBorders>
              <w:top w:val="single" w:sz="4" w:space="0" w:color="auto"/>
              <w:left w:val="single" w:sz="4" w:space="0" w:color="auto"/>
              <w:bottom w:val="nil"/>
              <w:right w:val="single" w:sz="4" w:space="0" w:color="auto"/>
            </w:tcBorders>
            <w:shd w:val="clear" w:color="auto" w:fill="auto"/>
          </w:tcPr>
          <w:p w14:paraId="1F5F2D4A" w14:textId="68C61920" w:rsidR="003A38A6" w:rsidRPr="00F16FC4" w:rsidRDefault="003A38A6" w:rsidP="00ED6640">
            <w:pPr>
              <w:spacing w:after="0" w:line="240" w:lineRule="auto"/>
              <w:jc w:val="center"/>
              <w:rPr>
                <w:rFonts w:cstheme="minorHAnsi"/>
                <w:bCs/>
                <w:color w:val="000000"/>
              </w:rPr>
            </w:pPr>
            <w:r w:rsidRPr="00F16FC4">
              <w:rPr>
                <w:rFonts w:cstheme="minorHAnsi"/>
                <w:bCs/>
                <w:color w:val="000000"/>
                <w:u w:val="single"/>
              </w:rPr>
              <w:t>&lt;</w:t>
            </w:r>
            <w:r w:rsidRPr="00F16FC4">
              <w:rPr>
                <w:rFonts w:cstheme="minorHAnsi"/>
                <w:bCs/>
                <w:color w:val="000000"/>
              </w:rPr>
              <w:t xml:space="preserve"> </w:t>
            </w:r>
            <w:r>
              <w:rPr>
                <w:rFonts w:cstheme="minorHAnsi"/>
                <w:bCs/>
                <w:color w:val="000000"/>
              </w:rPr>
              <w:t>2.22</w:t>
            </w:r>
          </w:p>
        </w:tc>
        <w:tc>
          <w:tcPr>
            <w:tcW w:w="1911" w:type="dxa"/>
            <w:tcBorders>
              <w:top w:val="single" w:sz="4" w:space="0" w:color="auto"/>
              <w:left w:val="nil"/>
              <w:bottom w:val="nil"/>
              <w:right w:val="single" w:sz="4" w:space="0" w:color="auto"/>
            </w:tcBorders>
            <w:shd w:val="clear" w:color="auto" w:fill="auto"/>
          </w:tcPr>
          <w:p w14:paraId="1CDBEDD9" w14:textId="01797F72" w:rsidR="003A38A6" w:rsidRPr="00F16FC4" w:rsidRDefault="003A38A6" w:rsidP="00ED6640">
            <w:pPr>
              <w:spacing w:after="0" w:line="240" w:lineRule="auto"/>
              <w:jc w:val="center"/>
              <w:rPr>
                <w:rFonts w:cstheme="minorHAnsi"/>
                <w:bCs/>
                <w:color w:val="000000"/>
              </w:rPr>
            </w:pPr>
            <w:r w:rsidRPr="00F16FC4">
              <w:rPr>
                <w:rFonts w:cstheme="minorHAnsi"/>
                <w:bCs/>
                <w:color w:val="000000"/>
                <w:u w:val="single"/>
              </w:rPr>
              <w:t>&lt;</w:t>
            </w:r>
            <w:r w:rsidRPr="00F16FC4">
              <w:rPr>
                <w:rFonts w:cstheme="minorHAnsi"/>
                <w:bCs/>
                <w:color w:val="000000"/>
              </w:rPr>
              <w:t xml:space="preserve"> </w:t>
            </w:r>
            <w:r>
              <w:rPr>
                <w:rFonts w:cstheme="minorHAnsi"/>
                <w:bCs/>
                <w:color w:val="000000"/>
              </w:rPr>
              <w:t>0.33</w:t>
            </w:r>
          </w:p>
        </w:tc>
      </w:tr>
      <w:tr w:rsidR="003A38A6" w14:paraId="6A80C190" w14:textId="6578A0D7" w:rsidTr="00DB797B">
        <w:trPr>
          <w:trHeight w:val="288"/>
        </w:trPr>
        <w:tc>
          <w:tcPr>
            <w:tcW w:w="1330" w:type="dxa"/>
            <w:vMerge/>
            <w:tcBorders>
              <w:left w:val="single" w:sz="4" w:space="0" w:color="auto"/>
              <w:right w:val="nil"/>
            </w:tcBorders>
            <w:noWrap/>
            <w:tcMar>
              <w:top w:w="15" w:type="dxa"/>
              <w:left w:w="15" w:type="dxa"/>
              <w:bottom w:w="0" w:type="dxa"/>
              <w:right w:w="15" w:type="dxa"/>
            </w:tcMar>
            <w:vAlign w:val="center"/>
          </w:tcPr>
          <w:p w14:paraId="15B0A4EE" w14:textId="77777777" w:rsidR="003A38A6" w:rsidRPr="00874351" w:rsidRDefault="003A38A6" w:rsidP="00ED6640">
            <w:pPr>
              <w:spacing w:after="0" w:line="240" w:lineRule="auto"/>
              <w:jc w:val="center"/>
              <w:rPr>
                <w:rFonts w:cstheme="minorHAnsi"/>
                <w:b/>
                <w:bCs/>
                <w:color w:val="000000"/>
              </w:rPr>
            </w:pPr>
          </w:p>
        </w:tc>
        <w:tc>
          <w:tcPr>
            <w:tcW w:w="1710" w:type="dxa"/>
            <w:tcBorders>
              <w:left w:val="nil"/>
              <w:bottom w:val="nil"/>
              <w:right w:val="nil"/>
            </w:tcBorders>
            <w:noWrap/>
            <w:tcMar>
              <w:top w:w="15" w:type="dxa"/>
              <w:left w:w="15" w:type="dxa"/>
              <w:bottom w:w="0" w:type="dxa"/>
              <w:right w:w="15" w:type="dxa"/>
            </w:tcMar>
            <w:vAlign w:val="bottom"/>
          </w:tcPr>
          <w:p w14:paraId="34B40246" w14:textId="21EE9B0E" w:rsidR="003A38A6" w:rsidRPr="00874351" w:rsidRDefault="003A38A6" w:rsidP="00ED6640">
            <w:pPr>
              <w:spacing w:after="0" w:line="240" w:lineRule="auto"/>
              <w:jc w:val="center"/>
              <w:rPr>
                <w:rFonts w:cstheme="minorHAnsi"/>
                <w:color w:val="000000"/>
              </w:rPr>
            </w:pPr>
            <w:r w:rsidRPr="00874351">
              <w:rPr>
                <w:rFonts w:cstheme="minorHAnsi"/>
                <w:color w:val="000000"/>
              </w:rPr>
              <w:t>2 meals/week</w:t>
            </w:r>
          </w:p>
        </w:tc>
        <w:tc>
          <w:tcPr>
            <w:tcW w:w="990" w:type="dxa"/>
            <w:tcBorders>
              <w:left w:val="nil"/>
              <w:bottom w:val="nil"/>
              <w:right w:val="single" w:sz="4" w:space="0" w:color="auto"/>
            </w:tcBorders>
            <w:noWrap/>
            <w:tcMar>
              <w:top w:w="15" w:type="dxa"/>
              <w:left w:w="15" w:type="dxa"/>
              <w:bottom w:w="0" w:type="dxa"/>
              <w:right w:w="15" w:type="dxa"/>
            </w:tcMar>
            <w:vAlign w:val="bottom"/>
          </w:tcPr>
          <w:p w14:paraId="78C7F9AA" w14:textId="59BF3842" w:rsidR="003A38A6" w:rsidRPr="00874351" w:rsidRDefault="003A38A6" w:rsidP="00ED6640">
            <w:pPr>
              <w:spacing w:after="0" w:line="240" w:lineRule="auto"/>
              <w:jc w:val="center"/>
              <w:rPr>
                <w:rFonts w:cstheme="minorHAnsi"/>
                <w:color w:val="000000"/>
              </w:rPr>
            </w:pPr>
            <w:r w:rsidRPr="00874351">
              <w:rPr>
                <w:rFonts w:cstheme="minorHAnsi"/>
                <w:color w:val="000000"/>
              </w:rPr>
              <w:t>32.3</w:t>
            </w:r>
          </w:p>
        </w:tc>
        <w:tc>
          <w:tcPr>
            <w:tcW w:w="1837" w:type="dxa"/>
            <w:tcBorders>
              <w:left w:val="single" w:sz="4" w:space="0" w:color="auto"/>
              <w:bottom w:val="nil"/>
              <w:right w:val="single" w:sz="4" w:space="0" w:color="auto"/>
            </w:tcBorders>
            <w:noWrap/>
            <w:tcMar>
              <w:top w:w="15" w:type="dxa"/>
              <w:left w:w="15" w:type="dxa"/>
              <w:bottom w:w="0" w:type="dxa"/>
              <w:right w:w="15" w:type="dxa"/>
            </w:tcMar>
            <w:vAlign w:val="center"/>
          </w:tcPr>
          <w:p w14:paraId="2AC1DE7A" w14:textId="79475090" w:rsidR="003A38A6" w:rsidRPr="00874351" w:rsidRDefault="003A38A6" w:rsidP="00ED6640">
            <w:pPr>
              <w:spacing w:after="0" w:line="240" w:lineRule="auto"/>
              <w:jc w:val="center"/>
              <w:rPr>
                <w:rFonts w:cstheme="minorHAnsi"/>
                <w:color w:val="000000"/>
              </w:rPr>
            </w:pPr>
            <w:r w:rsidRPr="000E378E">
              <w:rPr>
                <w:rFonts w:cstheme="minorHAnsi"/>
                <w:bCs/>
                <w:color w:val="000000"/>
              </w:rPr>
              <w:t>&gt;</w:t>
            </w:r>
            <w:r w:rsidRPr="00874351">
              <w:rPr>
                <w:rFonts w:cstheme="minorHAnsi"/>
                <w:color w:val="000000"/>
              </w:rPr>
              <w:t xml:space="preserve"> </w:t>
            </w:r>
            <w:r>
              <w:rPr>
                <w:rFonts w:cstheme="minorHAnsi"/>
                <w:color w:val="000000"/>
              </w:rPr>
              <w:t xml:space="preserve">0.22 - </w:t>
            </w:r>
            <w:r w:rsidRPr="00874351">
              <w:rPr>
                <w:rFonts w:cstheme="minorHAnsi"/>
                <w:color w:val="000000"/>
              </w:rPr>
              <w:t>0.78</w:t>
            </w:r>
          </w:p>
        </w:tc>
        <w:tc>
          <w:tcPr>
            <w:tcW w:w="1737" w:type="dxa"/>
            <w:tcBorders>
              <w:left w:val="nil"/>
              <w:bottom w:val="nil"/>
              <w:right w:val="single" w:sz="4" w:space="0" w:color="auto"/>
            </w:tcBorders>
          </w:tcPr>
          <w:p w14:paraId="63C388CB" w14:textId="36EB0C0E" w:rsidR="003A38A6" w:rsidRPr="000E378E" w:rsidRDefault="003A38A6" w:rsidP="00ED6640">
            <w:pPr>
              <w:spacing w:after="0" w:line="240" w:lineRule="auto"/>
              <w:jc w:val="center"/>
              <w:rPr>
                <w:rFonts w:cstheme="minorHAnsi"/>
                <w:bCs/>
                <w:color w:val="000000"/>
              </w:rPr>
            </w:pPr>
            <w:r w:rsidRPr="000F76E5">
              <w:rPr>
                <w:rFonts w:cstheme="minorHAnsi"/>
                <w:bCs/>
                <w:color w:val="000000"/>
              </w:rPr>
              <w:t>&gt;</w:t>
            </w:r>
            <w:r w:rsidRPr="00F16FC4">
              <w:rPr>
                <w:rFonts w:cstheme="minorHAnsi"/>
                <w:bCs/>
                <w:color w:val="000000"/>
              </w:rPr>
              <w:t xml:space="preserve"> </w:t>
            </w:r>
            <w:r>
              <w:rPr>
                <w:rFonts w:cstheme="minorHAnsi"/>
                <w:color w:val="000000"/>
              </w:rPr>
              <w:t>111</w:t>
            </w:r>
            <w:r>
              <w:rPr>
                <w:rFonts w:cstheme="minorHAnsi"/>
                <w:bCs/>
                <w:color w:val="000000"/>
              </w:rPr>
              <w:t xml:space="preserve"> - </w:t>
            </w:r>
            <w:r>
              <w:rPr>
                <w:rFonts w:cstheme="minorHAnsi"/>
                <w:color w:val="000000"/>
              </w:rPr>
              <w:t>390</w:t>
            </w:r>
          </w:p>
        </w:tc>
        <w:tc>
          <w:tcPr>
            <w:tcW w:w="1581" w:type="dxa"/>
            <w:tcBorders>
              <w:left w:val="single" w:sz="4" w:space="0" w:color="auto"/>
              <w:bottom w:val="nil"/>
              <w:right w:val="single" w:sz="4" w:space="0" w:color="auto"/>
            </w:tcBorders>
            <w:shd w:val="clear" w:color="auto" w:fill="auto"/>
          </w:tcPr>
          <w:p w14:paraId="1F3164F9" w14:textId="70353E53" w:rsidR="003A38A6" w:rsidRPr="00F16FC4" w:rsidRDefault="003A38A6" w:rsidP="00ED6640">
            <w:pPr>
              <w:spacing w:after="0" w:line="240" w:lineRule="auto"/>
              <w:jc w:val="center"/>
              <w:rPr>
                <w:rFonts w:cstheme="minorHAnsi"/>
                <w:color w:val="000000"/>
              </w:rPr>
            </w:pPr>
            <w:r w:rsidRPr="000E378E">
              <w:rPr>
                <w:rFonts w:cstheme="minorHAnsi"/>
                <w:bCs/>
                <w:color w:val="000000"/>
              </w:rPr>
              <w:t>&gt;</w:t>
            </w:r>
            <w:r w:rsidRPr="00F16FC4">
              <w:rPr>
                <w:rFonts w:cstheme="minorHAnsi"/>
                <w:bCs/>
                <w:color w:val="000000"/>
              </w:rPr>
              <w:t xml:space="preserve"> </w:t>
            </w:r>
            <w:r>
              <w:rPr>
                <w:rFonts w:cstheme="minorHAnsi"/>
                <w:bCs/>
                <w:color w:val="000000"/>
              </w:rPr>
              <w:t xml:space="preserve">33 - </w:t>
            </w:r>
            <w:r>
              <w:rPr>
                <w:rFonts w:cstheme="minorHAnsi"/>
                <w:color w:val="000000"/>
              </w:rPr>
              <w:t>117</w:t>
            </w:r>
          </w:p>
        </w:tc>
        <w:tc>
          <w:tcPr>
            <w:tcW w:w="1726" w:type="dxa"/>
            <w:tcBorders>
              <w:left w:val="single" w:sz="4" w:space="0" w:color="auto"/>
              <w:bottom w:val="nil"/>
              <w:right w:val="single" w:sz="4" w:space="0" w:color="auto"/>
            </w:tcBorders>
            <w:shd w:val="clear" w:color="auto" w:fill="auto"/>
          </w:tcPr>
          <w:p w14:paraId="75605E90" w14:textId="27AA021A" w:rsidR="003A38A6" w:rsidRPr="00F16FC4" w:rsidRDefault="003A38A6" w:rsidP="00ED6640">
            <w:pPr>
              <w:spacing w:after="0" w:line="240" w:lineRule="auto"/>
              <w:jc w:val="center"/>
              <w:rPr>
                <w:rFonts w:cstheme="minorHAnsi"/>
                <w:color w:val="000000"/>
              </w:rPr>
            </w:pPr>
            <w:r w:rsidRPr="000E378E">
              <w:rPr>
                <w:rFonts w:cstheme="minorHAnsi"/>
                <w:bCs/>
                <w:color w:val="000000"/>
              </w:rPr>
              <w:t>&gt;</w:t>
            </w:r>
            <w:r w:rsidRPr="00F16FC4">
              <w:rPr>
                <w:rFonts w:cstheme="minorHAnsi"/>
                <w:bCs/>
                <w:color w:val="000000"/>
              </w:rPr>
              <w:t xml:space="preserve"> </w:t>
            </w:r>
            <w:r>
              <w:rPr>
                <w:rFonts w:cstheme="minorHAnsi"/>
                <w:bCs/>
                <w:color w:val="000000"/>
              </w:rPr>
              <w:t>2.22 -</w:t>
            </w:r>
            <w:r>
              <w:rPr>
                <w:rFonts w:cstheme="minorHAnsi"/>
                <w:color w:val="000000"/>
              </w:rPr>
              <w:t>7.80</w:t>
            </w:r>
          </w:p>
        </w:tc>
        <w:tc>
          <w:tcPr>
            <w:tcW w:w="1911" w:type="dxa"/>
            <w:tcBorders>
              <w:left w:val="nil"/>
              <w:bottom w:val="nil"/>
              <w:right w:val="single" w:sz="4" w:space="0" w:color="auto"/>
            </w:tcBorders>
            <w:shd w:val="clear" w:color="auto" w:fill="auto"/>
          </w:tcPr>
          <w:p w14:paraId="0ACC91C1" w14:textId="3E90872C" w:rsidR="003A38A6" w:rsidRPr="00F16FC4" w:rsidRDefault="003A38A6" w:rsidP="00ED6640">
            <w:pPr>
              <w:spacing w:after="0" w:line="240" w:lineRule="auto"/>
              <w:jc w:val="center"/>
              <w:rPr>
                <w:rFonts w:cstheme="minorHAnsi"/>
                <w:color w:val="000000"/>
              </w:rPr>
            </w:pPr>
            <w:r w:rsidRPr="00F42E3D">
              <w:rPr>
                <w:rFonts w:cstheme="minorHAnsi"/>
                <w:bCs/>
                <w:color w:val="000000"/>
              </w:rPr>
              <w:t>&gt;</w:t>
            </w:r>
            <w:r w:rsidRPr="00F16FC4">
              <w:rPr>
                <w:rFonts w:cstheme="minorHAnsi"/>
                <w:bCs/>
                <w:color w:val="000000"/>
              </w:rPr>
              <w:t xml:space="preserve"> </w:t>
            </w:r>
            <w:r>
              <w:rPr>
                <w:rFonts w:cstheme="minorHAnsi"/>
                <w:bCs/>
                <w:color w:val="000000"/>
              </w:rPr>
              <w:t xml:space="preserve">0.33 - </w:t>
            </w:r>
            <w:r>
              <w:rPr>
                <w:rFonts w:cstheme="minorHAnsi"/>
                <w:color w:val="000000"/>
              </w:rPr>
              <w:t>1.17</w:t>
            </w:r>
          </w:p>
        </w:tc>
      </w:tr>
      <w:tr w:rsidR="003A38A6" w14:paraId="2BCD1EDC" w14:textId="49780E35" w:rsidTr="00DB797B">
        <w:trPr>
          <w:trHeight w:val="288"/>
        </w:trPr>
        <w:tc>
          <w:tcPr>
            <w:tcW w:w="1330" w:type="dxa"/>
            <w:vMerge/>
            <w:tcBorders>
              <w:left w:val="single" w:sz="4" w:space="0" w:color="auto"/>
              <w:right w:val="nil"/>
            </w:tcBorders>
            <w:noWrap/>
            <w:tcMar>
              <w:top w:w="15" w:type="dxa"/>
              <w:left w:w="15" w:type="dxa"/>
              <w:bottom w:w="0" w:type="dxa"/>
              <w:right w:w="15" w:type="dxa"/>
            </w:tcMar>
            <w:vAlign w:val="center"/>
          </w:tcPr>
          <w:p w14:paraId="1B4A5F33" w14:textId="77777777" w:rsidR="003A38A6" w:rsidRPr="00874351" w:rsidRDefault="003A38A6" w:rsidP="00ED6640">
            <w:pPr>
              <w:spacing w:after="0" w:line="240" w:lineRule="auto"/>
              <w:jc w:val="center"/>
              <w:rPr>
                <w:rFonts w:cstheme="minorHAnsi"/>
                <w:b/>
                <w:bCs/>
                <w:color w:val="000000"/>
              </w:rPr>
            </w:pPr>
          </w:p>
        </w:tc>
        <w:tc>
          <w:tcPr>
            <w:tcW w:w="1710" w:type="dxa"/>
            <w:tcBorders>
              <w:left w:val="nil"/>
              <w:bottom w:val="nil"/>
              <w:right w:val="nil"/>
            </w:tcBorders>
            <w:noWrap/>
            <w:tcMar>
              <w:top w:w="15" w:type="dxa"/>
              <w:left w:w="15" w:type="dxa"/>
              <w:bottom w:w="0" w:type="dxa"/>
              <w:right w:w="15" w:type="dxa"/>
            </w:tcMar>
            <w:vAlign w:val="bottom"/>
          </w:tcPr>
          <w:p w14:paraId="0F32D6A9" w14:textId="4002ED10" w:rsidR="003A38A6" w:rsidRPr="00874351" w:rsidRDefault="003A38A6" w:rsidP="00ED6640">
            <w:pPr>
              <w:spacing w:after="0" w:line="240" w:lineRule="auto"/>
              <w:jc w:val="center"/>
              <w:rPr>
                <w:rFonts w:cstheme="minorHAnsi"/>
                <w:color w:val="000000"/>
              </w:rPr>
            </w:pPr>
            <w:r w:rsidRPr="00874351">
              <w:rPr>
                <w:rFonts w:cstheme="minorHAnsi"/>
                <w:color w:val="000000"/>
              </w:rPr>
              <w:t>1 meal/week</w:t>
            </w:r>
          </w:p>
        </w:tc>
        <w:tc>
          <w:tcPr>
            <w:tcW w:w="990" w:type="dxa"/>
            <w:tcBorders>
              <w:left w:val="nil"/>
              <w:bottom w:val="nil"/>
              <w:right w:val="single" w:sz="4" w:space="0" w:color="auto"/>
            </w:tcBorders>
            <w:noWrap/>
            <w:tcMar>
              <w:top w:w="15" w:type="dxa"/>
              <w:left w:w="15" w:type="dxa"/>
              <w:bottom w:w="0" w:type="dxa"/>
              <w:right w:w="15" w:type="dxa"/>
            </w:tcMar>
            <w:vAlign w:val="bottom"/>
          </w:tcPr>
          <w:p w14:paraId="2C61CE8A" w14:textId="4B4D4312" w:rsidR="003A38A6" w:rsidRPr="00874351" w:rsidRDefault="003A38A6" w:rsidP="00ED6640">
            <w:pPr>
              <w:spacing w:after="0" w:line="240" w:lineRule="auto"/>
              <w:jc w:val="center"/>
              <w:rPr>
                <w:rFonts w:cstheme="minorHAnsi"/>
                <w:color w:val="000000"/>
              </w:rPr>
            </w:pPr>
            <w:r w:rsidRPr="00874351">
              <w:rPr>
                <w:rFonts w:cstheme="minorHAnsi"/>
                <w:color w:val="000000"/>
              </w:rPr>
              <w:t>16.2</w:t>
            </w:r>
          </w:p>
        </w:tc>
        <w:tc>
          <w:tcPr>
            <w:tcW w:w="1837" w:type="dxa"/>
            <w:tcBorders>
              <w:left w:val="single" w:sz="4" w:space="0" w:color="auto"/>
              <w:bottom w:val="nil"/>
              <w:right w:val="single" w:sz="4" w:space="0" w:color="auto"/>
            </w:tcBorders>
            <w:noWrap/>
            <w:tcMar>
              <w:top w:w="15" w:type="dxa"/>
              <w:left w:w="15" w:type="dxa"/>
              <w:bottom w:w="0" w:type="dxa"/>
              <w:right w:w="15" w:type="dxa"/>
            </w:tcMar>
            <w:vAlign w:val="center"/>
          </w:tcPr>
          <w:p w14:paraId="3F3D4000" w14:textId="66324798" w:rsidR="003A38A6" w:rsidRPr="00874351" w:rsidRDefault="003A38A6" w:rsidP="00ED6640">
            <w:pPr>
              <w:spacing w:after="0" w:line="240" w:lineRule="auto"/>
              <w:jc w:val="center"/>
              <w:rPr>
                <w:rFonts w:cstheme="minorHAnsi"/>
                <w:color w:val="000000"/>
              </w:rPr>
            </w:pPr>
            <w:r w:rsidRPr="000E378E">
              <w:rPr>
                <w:rFonts w:cstheme="minorHAnsi"/>
                <w:bCs/>
                <w:color w:val="000000"/>
              </w:rPr>
              <w:t>&gt;</w:t>
            </w:r>
            <w:r w:rsidRPr="00874351">
              <w:rPr>
                <w:rFonts w:cstheme="minorHAnsi"/>
                <w:color w:val="000000"/>
              </w:rPr>
              <w:t xml:space="preserve"> </w:t>
            </w:r>
            <w:r>
              <w:rPr>
                <w:rFonts w:cstheme="minorHAnsi"/>
                <w:color w:val="000000"/>
              </w:rPr>
              <w:t xml:space="preserve">0.78 - </w:t>
            </w:r>
            <w:r w:rsidRPr="00874351">
              <w:rPr>
                <w:rFonts w:cstheme="minorHAnsi"/>
                <w:color w:val="000000"/>
              </w:rPr>
              <w:t>1.56</w:t>
            </w:r>
          </w:p>
        </w:tc>
        <w:tc>
          <w:tcPr>
            <w:tcW w:w="1737" w:type="dxa"/>
            <w:tcBorders>
              <w:left w:val="nil"/>
              <w:bottom w:val="nil"/>
              <w:right w:val="single" w:sz="4" w:space="0" w:color="auto"/>
            </w:tcBorders>
          </w:tcPr>
          <w:p w14:paraId="0FBC1183" w14:textId="127C8F35" w:rsidR="003A38A6" w:rsidRPr="000E378E" w:rsidRDefault="003A38A6" w:rsidP="00ED6640">
            <w:pPr>
              <w:spacing w:after="0" w:line="240" w:lineRule="auto"/>
              <w:jc w:val="center"/>
              <w:rPr>
                <w:rFonts w:cstheme="minorHAnsi"/>
                <w:bCs/>
                <w:color w:val="000000"/>
              </w:rPr>
            </w:pPr>
            <w:r w:rsidRPr="000F76E5">
              <w:rPr>
                <w:rFonts w:cstheme="minorHAnsi"/>
                <w:bCs/>
                <w:color w:val="000000"/>
              </w:rPr>
              <w:t>&gt;</w:t>
            </w:r>
            <w:r w:rsidRPr="00F16FC4">
              <w:rPr>
                <w:rFonts w:cstheme="minorHAnsi"/>
                <w:bCs/>
                <w:color w:val="000000"/>
              </w:rPr>
              <w:t xml:space="preserve"> </w:t>
            </w:r>
            <w:r>
              <w:rPr>
                <w:rFonts w:cstheme="minorHAnsi"/>
                <w:color w:val="000000"/>
              </w:rPr>
              <w:t>390</w:t>
            </w:r>
            <w:r>
              <w:rPr>
                <w:rFonts w:cstheme="minorHAnsi"/>
                <w:bCs/>
                <w:color w:val="000000"/>
              </w:rPr>
              <w:t xml:space="preserve"> - 7</w:t>
            </w:r>
            <w:r>
              <w:rPr>
                <w:rFonts w:cstheme="minorHAnsi"/>
                <w:color w:val="000000"/>
              </w:rPr>
              <w:t>80</w:t>
            </w:r>
          </w:p>
        </w:tc>
        <w:tc>
          <w:tcPr>
            <w:tcW w:w="1581" w:type="dxa"/>
            <w:tcBorders>
              <w:left w:val="single" w:sz="4" w:space="0" w:color="auto"/>
              <w:bottom w:val="nil"/>
              <w:right w:val="single" w:sz="4" w:space="0" w:color="auto"/>
            </w:tcBorders>
            <w:shd w:val="clear" w:color="auto" w:fill="auto"/>
          </w:tcPr>
          <w:p w14:paraId="7AAB2F02" w14:textId="7AB98978" w:rsidR="003A38A6" w:rsidRPr="00F16FC4" w:rsidRDefault="003A38A6" w:rsidP="00ED6640">
            <w:pPr>
              <w:spacing w:after="0" w:line="240" w:lineRule="auto"/>
              <w:jc w:val="center"/>
              <w:rPr>
                <w:rFonts w:cstheme="minorHAnsi"/>
                <w:color w:val="000000"/>
              </w:rPr>
            </w:pPr>
            <w:r w:rsidRPr="000E378E">
              <w:rPr>
                <w:rFonts w:cstheme="minorHAnsi"/>
                <w:bCs/>
                <w:color w:val="000000"/>
              </w:rPr>
              <w:t>&gt;</w:t>
            </w:r>
            <w:r w:rsidRPr="00F16FC4">
              <w:rPr>
                <w:rFonts w:cstheme="minorHAnsi"/>
                <w:bCs/>
                <w:color w:val="000000"/>
              </w:rPr>
              <w:t xml:space="preserve"> </w:t>
            </w:r>
            <w:r>
              <w:rPr>
                <w:rFonts w:cstheme="minorHAnsi"/>
                <w:bCs/>
                <w:color w:val="000000"/>
              </w:rPr>
              <w:t xml:space="preserve">117 - </w:t>
            </w:r>
            <w:r>
              <w:rPr>
                <w:rFonts w:cstheme="minorHAnsi"/>
                <w:color w:val="000000"/>
              </w:rPr>
              <w:t>234</w:t>
            </w:r>
          </w:p>
        </w:tc>
        <w:tc>
          <w:tcPr>
            <w:tcW w:w="1726" w:type="dxa"/>
            <w:tcBorders>
              <w:left w:val="single" w:sz="4" w:space="0" w:color="auto"/>
              <w:bottom w:val="nil"/>
              <w:right w:val="single" w:sz="4" w:space="0" w:color="auto"/>
            </w:tcBorders>
            <w:shd w:val="clear" w:color="auto" w:fill="auto"/>
          </w:tcPr>
          <w:p w14:paraId="07621B05" w14:textId="065CB22D" w:rsidR="003A38A6" w:rsidRPr="00F16FC4" w:rsidRDefault="003A38A6" w:rsidP="00ED6640">
            <w:pPr>
              <w:spacing w:after="0" w:line="240" w:lineRule="auto"/>
              <w:jc w:val="center"/>
              <w:rPr>
                <w:rFonts w:cstheme="minorHAnsi"/>
                <w:color w:val="000000"/>
              </w:rPr>
            </w:pPr>
            <w:r w:rsidRPr="00303174">
              <w:rPr>
                <w:rFonts w:cstheme="minorHAnsi"/>
                <w:bCs/>
                <w:color w:val="000000"/>
              </w:rPr>
              <w:t>&gt;</w:t>
            </w:r>
            <w:r w:rsidRPr="00F16FC4">
              <w:rPr>
                <w:rFonts w:cstheme="minorHAnsi"/>
                <w:bCs/>
                <w:color w:val="000000"/>
              </w:rPr>
              <w:t xml:space="preserve"> </w:t>
            </w:r>
            <w:r>
              <w:rPr>
                <w:rFonts w:cstheme="minorHAnsi"/>
                <w:bCs/>
                <w:color w:val="000000"/>
              </w:rPr>
              <w:t xml:space="preserve">7.80 - </w:t>
            </w:r>
            <w:r>
              <w:rPr>
                <w:rFonts w:cstheme="minorHAnsi"/>
                <w:color w:val="000000"/>
              </w:rPr>
              <w:t>15.6</w:t>
            </w:r>
          </w:p>
        </w:tc>
        <w:tc>
          <w:tcPr>
            <w:tcW w:w="1911" w:type="dxa"/>
            <w:tcBorders>
              <w:left w:val="nil"/>
              <w:bottom w:val="nil"/>
              <w:right w:val="single" w:sz="4" w:space="0" w:color="auto"/>
            </w:tcBorders>
            <w:shd w:val="clear" w:color="auto" w:fill="auto"/>
          </w:tcPr>
          <w:p w14:paraId="576A4FD2" w14:textId="5D3D0654" w:rsidR="003A38A6" w:rsidRPr="00F16FC4" w:rsidRDefault="003A38A6" w:rsidP="00ED6640">
            <w:pPr>
              <w:spacing w:after="0" w:line="240" w:lineRule="auto"/>
              <w:jc w:val="center"/>
              <w:rPr>
                <w:rFonts w:cstheme="minorHAnsi"/>
                <w:color w:val="000000"/>
              </w:rPr>
            </w:pPr>
            <w:r>
              <w:rPr>
                <w:rFonts w:cstheme="minorHAnsi"/>
                <w:bCs/>
                <w:color w:val="000000"/>
              </w:rPr>
              <w:t>&gt;</w:t>
            </w:r>
            <w:r w:rsidRPr="00F16FC4">
              <w:rPr>
                <w:rFonts w:cstheme="minorHAnsi"/>
                <w:bCs/>
                <w:color w:val="000000"/>
              </w:rPr>
              <w:t xml:space="preserve"> </w:t>
            </w:r>
            <w:r>
              <w:rPr>
                <w:rFonts w:cstheme="minorHAnsi"/>
                <w:bCs/>
                <w:color w:val="000000"/>
              </w:rPr>
              <w:t xml:space="preserve">1.17 - </w:t>
            </w:r>
            <w:r>
              <w:rPr>
                <w:rFonts w:cstheme="minorHAnsi"/>
                <w:color w:val="000000"/>
              </w:rPr>
              <w:t>2.34</w:t>
            </w:r>
          </w:p>
        </w:tc>
      </w:tr>
      <w:tr w:rsidR="003A38A6" w14:paraId="66A3C18F" w14:textId="4E1F2772" w:rsidTr="00DB797B">
        <w:trPr>
          <w:trHeight w:val="288"/>
        </w:trPr>
        <w:tc>
          <w:tcPr>
            <w:tcW w:w="1330" w:type="dxa"/>
            <w:vMerge/>
            <w:tcBorders>
              <w:left w:val="single" w:sz="4" w:space="0" w:color="auto"/>
              <w:right w:val="nil"/>
            </w:tcBorders>
            <w:noWrap/>
            <w:tcMar>
              <w:top w:w="15" w:type="dxa"/>
              <w:left w:w="15" w:type="dxa"/>
              <w:bottom w:w="0" w:type="dxa"/>
              <w:right w:w="15" w:type="dxa"/>
            </w:tcMar>
            <w:vAlign w:val="center"/>
          </w:tcPr>
          <w:p w14:paraId="231F27A7" w14:textId="77777777" w:rsidR="003A38A6" w:rsidRPr="00874351" w:rsidRDefault="003A38A6" w:rsidP="00ED6640">
            <w:pPr>
              <w:spacing w:after="0" w:line="240" w:lineRule="auto"/>
              <w:jc w:val="center"/>
              <w:rPr>
                <w:rFonts w:cstheme="minorHAnsi"/>
                <w:b/>
                <w:bCs/>
                <w:color w:val="000000"/>
              </w:rPr>
            </w:pPr>
          </w:p>
        </w:tc>
        <w:tc>
          <w:tcPr>
            <w:tcW w:w="1710" w:type="dxa"/>
            <w:tcBorders>
              <w:left w:val="nil"/>
              <w:bottom w:val="nil"/>
              <w:right w:val="nil"/>
            </w:tcBorders>
            <w:noWrap/>
            <w:tcMar>
              <w:top w:w="15" w:type="dxa"/>
              <w:left w:w="15" w:type="dxa"/>
              <w:bottom w:w="0" w:type="dxa"/>
              <w:right w:w="15" w:type="dxa"/>
            </w:tcMar>
            <w:vAlign w:val="bottom"/>
          </w:tcPr>
          <w:p w14:paraId="7D40F2A1" w14:textId="6864527B" w:rsidR="003A38A6" w:rsidRPr="00874351" w:rsidRDefault="003A38A6" w:rsidP="00ED6640">
            <w:pPr>
              <w:spacing w:after="0" w:line="240" w:lineRule="auto"/>
              <w:jc w:val="center"/>
              <w:rPr>
                <w:rFonts w:cstheme="minorHAnsi"/>
                <w:color w:val="000000"/>
              </w:rPr>
            </w:pPr>
            <w:r w:rsidRPr="00874351">
              <w:rPr>
                <w:rFonts w:cstheme="minorHAnsi"/>
                <w:color w:val="000000"/>
              </w:rPr>
              <w:t>2 meals/month</w:t>
            </w:r>
          </w:p>
        </w:tc>
        <w:tc>
          <w:tcPr>
            <w:tcW w:w="990" w:type="dxa"/>
            <w:tcBorders>
              <w:left w:val="nil"/>
              <w:bottom w:val="nil"/>
              <w:right w:val="single" w:sz="4" w:space="0" w:color="auto"/>
            </w:tcBorders>
            <w:noWrap/>
            <w:tcMar>
              <w:top w:w="15" w:type="dxa"/>
              <w:left w:w="15" w:type="dxa"/>
              <w:bottom w:w="0" w:type="dxa"/>
              <w:right w:w="15" w:type="dxa"/>
            </w:tcMar>
            <w:vAlign w:val="bottom"/>
          </w:tcPr>
          <w:p w14:paraId="3FA8F6D6" w14:textId="6BBD348A" w:rsidR="003A38A6" w:rsidRPr="00874351" w:rsidRDefault="003A38A6" w:rsidP="00ED6640">
            <w:pPr>
              <w:spacing w:after="0" w:line="240" w:lineRule="auto"/>
              <w:jc w:val="center"/>
              <w:rPr>
                <w:rFonts w:cstheme="minorHAnsi"/>
                <w:color w:val="000000"/>
              </w:rPr>
            </w:pPr>
            <w:r w:rsidRPr="00874351">
              <w:rPr>
                <w:rFonts w:cstheme="minorHAnsi"/>
                <w:color w:val="000000"/>
              </w:rPr>
              <w:t>7.5</w:t>
            </w:r>
          </w:p>
        </w:tc>
        <w:tc>
          <w:tcPr>
            <w:tcW w:w="1837" w:type="dxa"/>
            <w:tcBorders>
              <w:left w:val="single" w:sz="4" w:space="0" w:color="auto"/>
              <w:bottom w:val="nil"/>
              <w:right w:val="single" w:sz="4" w:space="0" w:color="auto"/>
            </w:tcBorders>
            <w:noWrap/>
            <w:tcMar>
              <w:top w:w="15" w:type="dxa"/>
              <w:left w:w="15" w:type="dxa"/>
              <w:bottom w:w="0" w:type="dxa"/>
              <w:right w:w="15" w:type="dxa"/>
            </w:tcMar>
            <w:vAlign w:val="center"/>
          </w:tcPr>
          <w:p w14:paraId="50123C65" w14:textId="56C7D59E" w:rsidR="003A38A6" w:rsidRPr="00874351" w:rsidRDefault="003A38A6" w:rsidP="00ED6640">
            <w:pPr>
              <w:spacing w:after="0" w:line="240" w:lineRule="auto"/>
              <w:jc w:val="center"/>
              <w:rPr>
                <w:rFonts w:cstheme="minorHAnsi"/>
                <w:color w:val="000000"/>
              </w:rPr>
            </w:pPr>
            <w:r w:rsidRPr="000E378E">
              <w:rPr>
                <w:rFonts w:cstheme="minorHAnsi"/>
                <w:bCs/>
                <w:color w:val="000000"/>
              </w:rPr>
              <w:t>&gt;</w:t>
            </w:r>
            <w:r w:rsidRPr="00874351">
              <w:rPr>
                <w:rFonts w:cstheme="minorHAnsi"/>
                <w:color w:val="000000"/>
              </w:rPr>
              <w:t xml:space="preserve"> </w:t>
            </w:r>
            <w:r>
              <w:rPr>
                <w:rFonts w:cstheme="minorHAnsi"/>
                <w:color w:val="000000"/>
              </w:rPr>
              <w:t xml:space="preserve">1.56 - </w:t>
            </w:r>
            <w:r w:rsidRPr="00874351">
              <w:rPr>
                <w:rFonts w:cstheme="minorHAnsi"/>
                <w:color w:val="000000"/>
              </w:rPr>
              <w:t>3.38</w:t>
            </w:r>
          </w:p>
        </w:tc>
        <w:tc>
          <w:tcPr>
            <w:tcW w:w="1737" w:type="dxa"/>
            <w:tcBorders>
              <w:left w:val="nil"/>
              <w:bottom w:val="nil"/>
              <w:right w:val="single" w:sz="4" w:space="0" w:color="auto"/>
            </w:tcBorders>
          </w:tcPr>
          <w:p w14:paraId="22AE6E5A" w14:textId="3C83406F" w:rsidR="003A38A6" w:rsidRPr="000E378E" w:rsidRDefault="003A38A6" w:rsidP="00ED6640">
            <w:pPr>
              <w:spacing w:after="0" w:line="240" w:lineRule="auto"/>
              <w:jc w:val="center"/>
              <w:rPr>
                <w:rFonts w:cstheme="minorHAnsi"/>
                <w:bCs/>
                <w:color w:val="000000"/>
              </w:rPr>
            </w:pPr>
            <w:r w:rsidRPr="000F76E5">
              <w:rPr>
                <w:rFonts w:cstheme="minorHAnsi"/>
                <w:bCs/>
                <w:color w:val="000000"/>
              </w:rPr>
              <w:t>&gt;</w:t>
            </w:r>
            <w:r w:rsidRPr="00F16FC4">
              <w:rPr>
                <w:rFonts w:cstheme="minorHAnsi"/>
                <w:bCs/>
                <w:color w:val="000000"/>
              </w:rPr>
              <w:t xml:space="preserve"> </w:t>
            </w:r>
            <w:r>
              <w:rPr>
                <w:rFonts w:cstheme="minorHAnsi"/>
                <w:bCs/>
                <w:color w:val="000000"/>
              </w:rPr>
              <w:t xml:space="preserve">780 - </w:t>
            </w:r>
            <w:r>
              <w:rPr>
                <w:rFonts w:cstheme="minorHAnsi"/>
                <w:color w:val="000000"/>
              </w:rPr>
              <w:t>1,680</w:t>
            </w:r>
          </w:p>
        </w:tc>
        <w:tc>
          <w:tcPr>
            <w:tcW w:w="1581" w:type="dxa"/>
            <w:tcBorders>
              <w:left w:val="single" w:sz="4" w:space="0" w:color="auto"/>
              <w:bottom w:val="nil"/>
              <w:right w:val="single" w:sz="4" w:space="0" w:color="auto"/>
            </w:tcBorders>
            <w:shd w:val="clear" w:color="auto" w:fill="auto"/>
          </w:tcPr>
          <w:p w14:paraId="2B28C20E" w14:textId="38F6215F" w:rsidR="003A38A6" w:rsidRPr="00F16FC4" w:rsidRDefault="003A38A6" w:rsidP="00ED6640">
            <w:pPr>
              <w:spacing w:after="0" w:line="240" w:lineRule="auto"/>
              <w:jc w:val="center"/>
              <w:rPr>
                <w:rFonts w:cstheme="minorHAnsi"/>
                <w:color w:val="000000"/>
              </w:rPr>
            </w:pPr>
            <w:r w:rsidRPr="000E378E">
              <w:rPr>
                <w:rFonts w:cstheme="minorHAnsi"/>
                <w:bCs/>
                <w:color w:val="000000"/>
              </w:rPr>
              <w:t>&gt;</w:t>
            </w:r>
            <w:r w:rsidRPr="00F16FC4">
              <w:rPr>
                <w:rFonts w:cstheme="minorHAnsi"/>
                <w:bCs/>
                <w:color w:val="000000"/>
              </w:rPr>
              <w:t xml:space="preserve"> </w:t>
            </w:r>
            <w:r>
              <w:rPr>
                <w:rFonts w:cstheme="minorHAnsi"/>
                <w:bCs/>
                <w:color w:val="000000"/>
              </w:rPr>
              <w:t xml:space="preserve">234 - </w:t>
            </w:r>
            <w:r>
              <w:rPr>
                <w:rFonts w:cstheme="minorHAnsi"/>
                <w:color w:val="000000"/>
              </w:rPr>
              <w:t>506</w:t>
            </w:r>
          </w:p>
        </w:tc>
        <w:tc>
          <w:tcPr>
            <w:tcW w:w="1726" w:type="dxa"/>
            <w:tcBorders>
              <w:left w:val="single" w:sz="4" w:space="0" w:color="auto"/>
              <w:bottom w:val="nil"/>
              <w:right w:val="single" w:sz="4" w:space="0" w:color="auto"/>
            </w:tcBorders>
            <w:shd w:val="clear" w:color="auto" w:fill="auto"/>
          </w:tcPr>
          <w:p w14:paraId="4BB2B80C" w14:textId="75FF3D8A" w:rsidR="003A38A6" w:rsidRPr="00F16FC4" w:rsidRDefault="003A38A6" w:rsidP="00ED6640">
            <w:pPr>
              <w:spacing w:after="0" w:line="240" w:lineRule="auto"/>
              <w:jc w:val="center"/>
              <w:rPr>
                <w:rFonts w:cstheme="minorHAnsi"/>
                <w:color w:val="000000"/>
              </w:rPr>
            </w:pPr>
            <w:r w:rsidRPr="00303174">
              <w:rPr>
                <w:rFonts w:cstheme="minorHAnsi"/>
                <w:bCs/>
                <w:color w:val="000000"/>
              </w:rPr>
              <w:t>&gt;</w:t>
            </w:r>
            <w:r w:rsidRPr="00F16FC4">
              <w:rPr>
                <w:rFonts w:cstheme="minorHAnsi"/>
                <w:bCs/>
                <w:color w:val="000000"/>
              </w:rPr>
              <w:t xml:space="preserve"> </w:t>
            </w:r>
            <w:r>
              <w:rPr>
                <w:rFonts w:cstheme="minorHAnsi"/>
                <w:bCs/>
                <w:color w:val="000000"/>
              </w:rPr>
              <w:t xml:space="preserve">15.6 - </w:t>
            </w:r>
            <w:r>
              <w:rPr>
                <w:rFonts w:cstheme="minorHAnsi"/>
                <w:color w:val="000000"/>
              </w:rPr>
              <w:t>33.8</w:t>
            </w:r>
          </w:p>
        </w:tc>
        <w:tc>
          <w:tcPr>
            <w:tcW w:w="1911" w:type="dxa"/>
            <w:tcBorders>
              <w:left w:val="nil"/>
              <w:bottom w:val="nil"/>
              <w:right w:val="single" w:sz="4" w:space="0" w:color="auto"/>
            </w:tcBorders>
            <w:shd w:val="clear" w:color="auto" w:fill="auto"/>
          </w:tcPr>
          <w:p w14:paraId="1E7E9086" w14:textId="430EB067" w:rsidR="003A38A6" w:rsidRPr="00F16FC4" w:rsidRDefault="003A38A6" w:rsidP="00ED6640">
            <w:pPr>
              <w:spacing w:after="0" w:line="240" w:lineRule="auto"/>
              <w:jc w:val="center"/>
              <w:rPr>
                <w:rFonts w:cstheme="minorHAnsi"/>
                <w:color w:val="000000"/>
              </w:rPr>
            </w:pPr>
            <w:r>
              <w:rPr>
                <w:rFonts w:cstheme="minorHAnsi"/>
                <w:bCs/>
                <w:color w:val="000000"/>
              </w:rPr>
              <w:t>&gt;</w:t>
            </w:r>
            <w:r w:rsidRPr="00F16FC4">
              <w:rPr>
                <w:rFonts w:cstheme="minorHAnsi"/>
                <w:bCs/>
                <w:color w:val="000000"/>
              </w:rPr>
              <w:t xml:space="preserve"> </w:t>
            </w:r>
            <w:r>
              <w:rPr>
                <w:rFonts w:cstheme="minorHAnsi"/>
                <w:bCs/>
                <w:color w:val="000000"/>
              </w:rPr>
              <w:t>2.34 -</w:t>
            </w:r>
            <w:r>
              <w:rPr>
                <w:rFonts w:cstheme="minorHAnsi"/>
                <w:color w:val="000000"/>
              </w:rPr>
              <w:t>5.07</w:t>
            </w:r>
          </w:p>
        </w:tc>
      </w:tr>
      <w:tr w:rsidR="003A38A6" w14:paraId="53730712" w14:textId="584EC327" w:rsidTr="00DB797B">
        <w:trPr>
          <w:trHeight w:val="288"/>
        </w:trPr>
        <w:tc>
          <w:tcPr>
            <w:tcW w:w="1330" w:type="dxa"/>
            <w:vMerge/>
            <w:tcBorders>
              <w:left w:val="single" w:sz="4" w:space="0" w:color="auto"/>
              <w:right w:val="nil"/>
            </w:tcBorders>
            <w:noWrap/>
            <w:tcMar>
              <w:top w:w="15" w:type="dxa"/>
              <w:left w:w="15" w:type="dxa"/>
              <w:bottom w:w="0" w:type="dxa"/>
              <w:right w:w="15" w:type="dxa"/>
            </w:tcMar>
            <w:vAlign w:val="center"/>
          </w:tcPr>
          <w:p w14:paraId="318A2C9D" w14:textId="77777777" w:rsidR="003A38A6" w:rsidRPr="00874351" w:rsidRDefault="003A38A6" w:rsidP="00ED6640">
            <w:pPr>
              <w:spacing w:after="0" w:line="240" w:lineRule="auto"/>
              <w:jc w:val="center"/>
              <w:rPr>
                <w:rFonts w:cstheme="minorHAnsi"/>
                <w:b/>
                <w:bCs/>
                <w:color w:val="000000"/>
              </w:rPr>
            </w:pPr>
          </w:p>
        </w:tc>
        <w:tc>
          <w:tcPr>
            <w:tcW w:w="1710" w:type="dxa"/>
            <w:tcBorders>
              <w:left w:val="nil"/>
              <w:bottom w:val="nil"/>
              <w:right w:val="nil"/>
            </w:tcBorders>
            <w:noWrap/>
            <w:tcMar>
              <w:top w:w="15" w:type="dxa"/>
              <w:left w:w="15" w:type="dxa"/>
              <w:bottom w:w="0" w:type="dxa"/>
              <w:right w:w="15" w:type="dxa"/>
            </w:tcMar>
            <w:vAlign w:val="bottom"/>
          </w:tcPr>
          <w:p w14:paraId="1CDE4F3D" w14:textId="04CED073" w:rsidR="003A38A6" w:rsidRPr="00874351" w:rsidRDefault="003A38A6" w:rsidP="00ED6640">
            <w:pPr>
              <w:spacing w:after="0" w:line="240" w:lineRule="auto"/>
              <w:jc w:val="center"/>
              <w:rPr>
                <w:rFonts w:cstheme="minorHAnsi"/>
                <w:color w:val="000000"/>
              </w:rPr>
            </w:pPr>
            <w:r w:rsidRPr="00874351">
              <w:rPr>
                <w:rFonts w:cstheme="minorHAnsi"/>
                <w:color w:val="000000"/>
              </w:rPr>
              <w:t>1 meal/month</w:t>
            </w:r>
          </w:p>
        </w:tc>
        <w:tc>
          <w:tcPr>
            <w:tcW w:w="990" w:type="dxa"/>
            <w:tcBorders>
              <w:left w:val="nil"/>
              <w:bottom w:val="nil"/>
              <w:right w:val="single" w:sz="4" w:space="0" w:color="auto"/>
            </w:tcBorders>
            <w:noWrap/>
            <w:tcMar>
              <w:top w:w="15" w:type="dxa"/>
              <w:left w:w="15" w:type="dxa"/>
              <w:bottom w:w="0" w:type="dxa"/>
              <w:right w:w="15" w:type="dxa"/>
            </w:tcMar>
            <w:vAlign w:val="bottom"/>
          </w:tcPr>
          <w:p w14:paraId="1792A696" w14:textId="0D1F8447" w:rsidR="003A38A6" w:rsidRPr="00874351" w:rsidRDefault="003A38A6" w:rsidP="00ED6640">
            <w:pPr>
              <w:spacing w:after="0" w:line="240" w:lineRule="auto"/>
              <w:jc w:val="center"/>
              <w:rPr>
                <w:rFonts w:cstheme="minorHAnsi"/>
                <w:color w:val="000000"/>
              </w:rPr>
            </w:pPr>
            <w:r w:rsidRPr="00874351">
              <w:rPr>
                <w:rFonts w:cstheme="minorHAnsi"/>
                <w:color w:val="000000"/>
              </w:rPr>
              <w:t>3.7</w:t>
            </w:r>
          </w:p>
        </w:tc>
        <w:tc>
          <w:tcPr>
            <w:tcW w:w="1837" w:type="dxa"/>
            <w:tcBorders>
              <w:left w:val="single" w:sz="4" w:space="0" w:color="auto"/>
              <w:bottom w:val="nil"/>
              <w:right w:val="single" w:sz="4" w:space="0" w:color="auto"/>
            </w:tcBorders>
            <w:noWrap/>
            <w:tcMar>
              <w:top w:w="15" w:type="dxa"/>
              <w:left w:w="15" w:type="dxa"/>
              <w:bottom w:w="0" w:type="dxa"/>
              <w:right w:w="15" w:type="dxa"/>
            </w:tcMar>
            <w:vAlign w:val="center"/>
          </w:tcPr>
          <w:p w14:paraId="700D90A5" w14:textId="35AC9A32" w:rsidR="003A38A6" w:rsidRPr="00874351" w:rsidRDefault="003A38A6" w:rsidP="00ED6640">
            <w:pPr>
              <w:spacing w:after="0" w:line="240" w:lineRule="auto"/>
              <w:jc w:val="center"/>
              <w:rPr>
                <w:rFonts w:cstheme="minorHAnsi"/>
                <w:color w:val="000000"/>
              </w:rPr>
            </w:pPr>
            <w:r w:rsidRPr="000E378E">
              <w:rPr>
                <w:rFonts w:cstheme="minorHAnsi"/>
                <w:bCs/>
                <w:color w:val="000000"/>
              </w:rPr>
              <w:t>&gt;</w:t>
            </w:r>
            <w:r w:rsidRPr="00874351">
              <w:rPr>
                <w:rFonts w:cstheme="minorHAnsi"/>
                <w:color w:val="000000"/>
              </w:rPr>
              <w:t xml:space="preserve"> </w:t>
            </w:r>
            <w:r>
              <w:rPr>
                <w:rFonts w:cstheme="minorHAnsi"/>
                <w:color w:val="000000"/>
              </w:rPr>
              <w:t xml:space="preserve">3.38 - </w:t>
            </w:r>
            <w:r w:rsidRPr="00874351">
              <w:rPr>
                <w:rFonts w:cstheme="minorHAnsi"/>
                <w:color w:val="000000"/>
              </w:rPr>
              <w:t>6.76</w:t>
            </w:r>
          </w:p>
        </w:tc>
        <w:tc>
          <w:tcPr>
            <w:tcW w:w="1737" w:type="dxa"/>
            <w:tcBorders>
              <w:left w:val="nil"/>
              <w:bottom w:val="nil"/>
              <w:right w:val="single" w:sz="4" w:space="0" w:color="auto"/>
            </w:tcBorders>
          </w:tcPr>
          <w:p w14:paraId="6EC98AA6" w14:textId="06C19CA9" w:rsidR="003A38A6" w:rsidRPr="000E378E" w:rsidRDefault="003A38A6" w:rsidP="00ED6640">
            <w:pPr>
              <w:spacing w:after="0" w:line="240" w:lineRule="auto"/>
              <w:jc w:val="center"/>
              <w:rPr>
                <w:rFonts w:cstheme="minorHAnsi"/>
                <w:bCs/>
                <w:color w:val="000000"/>
              </w:rPr>
            </w:pPr>
            <w:r w:rsidRPr="000F76E5">
              <w:rPr>
                <w:rFonts w:cstheme="minorHAnsi"/>
                <w:bCs/>
                <w:color w:val="000000"/>
              </w:rPr>
              <w:t>&gt;</w:t>
            </w:r>
            <w:r w:rsidRPr="00F16FC4">
              <w:rPr>
                <w:rFonts w:cstheme="minorHAnsi"/>
                <w:bCs/>
                <w:color w:val="000000"/>
              </w:rPr>
              <w:t xml:space="preserve"> </w:t>
            </w:r>
            <w:r>
              <w:rPr>
                <w:rFonts w:cstheme="minorHAnsi"/>
                <w:color w:val="000000"/>
              </w:rPr>
              <w:t>1,680 – 3,370</w:t>
            </w:r>
          </w:p>
        </w:tc>
        <w:tc>
          <w:tcPr>
            <w:tcW w:w="1581" w:type="dxa"/>
            <w:tcBorders>
              <w:left w:val="single" w:sz="4" w:space="0" w:color="auto"/>
              <w:bottom w:val="nil"/>
              <w:right w:val="single" w:sz="4" w:space="0" w:color="auto"/>
            </w:tcBorders>
            <w:shd w:val="clear" w:color="auto" w:fill="auto"/>
          </w:tcPr>
          <w:p w14:paraId="5D1590AD" w14:textId="6F7CDAC4" w:rsidR="003A38A6" w:rsidRPr="00F16FC4" w:rsidRDefault="003A38A6" w:rsidP="00ED6640">
            <w:pPr>
              <w:spacing w:after="0" w:line="240" w:lineRule="auto"/>
              <w:jc w:val="center"/>
              <w:rPr>
                <w:rFonts w:cstheme="minorHAnsi"/>
                <w:color w:val="000000"/>
              </w:rPr>
            </w:pPr>
            <w:r w:rsidRPr="000E378E">
              <w:rPr>
                <w:rFonts w:cstheme="minorHAnsi"/>
                <w:bCs/>
                <w:color w:val="000000"/>
              </w:rPr>
              <w:t>&gt;</w:t>
            </w:r>
            <w:r w:rsidRPr="00F16FC4">
              <w:rPr>
                <w:rFonts w:cstheme="minorHAnsi"/>
                <w:bCs/>
                <w:color w:val="000000"/>
              </w:rPr>
              <w:t xml:space="preserve"> </w:t>
            </w:r>
            <w:r>
              <w:rPr>
                <w:rFonts w:cstheme="minorHAnsi"/>
                <w:bCs/>
                <w:color w:val="000000"/>
              </w:rPr>
              <w:t xml:space="preserve">506 – </w:t>
            </w:r>
            <w:r>
              <w:rPr>
                <w:rFonts w:cstheme="minorHAnsi"/>
                <w:color w:val="000000"/>
              </w:rPr>
              <w:t>1,010</w:t>
            </w:r>
          </w:p>
        </w:tc>
        <w:tc>
          <w:tcPr>
            <w:tcW w:w="1726" w:type="dxa"/>
            <w:tcBorders>
              <w:left w:val="single" w:sz="4" w:space="0" w:color="auto"/>
              <w:bottom w:val="nil"/>
              <w:right w:val="single" w:sz="4" w:space="0" w:color="auto"/>
            </w:tcBorders>
            <w:shd w:val="clear" w:color="auto" w:fill="auto"/>
          </w:tcPr>
          <w:p w14:paraId="48687757" w14:textId="5F39A8EA" w:rsidR="003A38A6" w:rsidRPr="00F16FC4" w:rsidRDefault="003A38A6" w:rsidP="00ED6640">
            <w:pPr>
              <w:spacing w:after="0" w:line="240" w:lineRule="auto"/>
              <w:jc w:val="center"/>
              <w:rPr>
                <w:rFonts w:cstheme="minorHAnsi"/>
                <w:color w:val="000000"/>
              </w:rPr>
            </w:pPr>
            <w:r w:rsidRPr="00303174">
              <w:rPr>
                <w:rFonts w:cstheme="minorHAnsi"/>
                <w:bCs/>
                <w:color w:val="000000"/>
              </w:rPr>
              <w:t>&gt;</w:t>
            </w:r>
            <w:r w:rsidRPr="00F16FC4">
              <w:rPr>
                <w:rFonts w:cstheme="minorHAnsi"/>
                <w:bCs/>
                <w:color w:val="000000"/>
              </w:rPr>
              <w:t xml:space="preserve"> </w:t>
            </w:r>
            <w:r>
              <w:rPr>
                <w:rFonts w:cstheme="minorHAnsi"/>
                <w:bCs/>
                <w:color w:val="000000"/>
              </w:rPr>
              <w:t xml:space="preserve">33.8 - </w:t>
            </w:r>
            <w:r>
              <w:rPr>
                <w:rFonts w:cstheme="minorHAnsi"/>
                <w:color w:val="000000"/>
              </w:rPr>
              <w:t>67.6</w:t>
            </w:r>
          </w:p>
        </w:tc>
        <w:tc>
          <w:tcPr>
            <w:tcW w:w="1911" w:type="dxa"/>
            <w:tcBorders>
              <w:left w:val="nil"/>
              <w:bottom w:val="nil"/>
              <w:right w:val="single" w:sz="4" w:space="0" w:color="auto"/>
            </w:tcBorders>
            <w:shd w:val="clear" w:color="auto" w:fill="auto"/>
          </w:tcPr>
          <w:p w14:paraId="288523BC" w14:textId="2A114DAD" w:rsidR="003A38A6" w:rsidRPr="00F16FC4" w:rsidRDefault="003A38A6" w:rsidP="00ED6640">
            <w:pPr>
              <w:spacing w:after="0" w:line="240" w:lineRule="auto"/>
              <w:jc w:val="center"/>
              <w:rPr>
                <w:rFonts w:cstheme="minorHAnsi"/>
                <w:color w:val="000000"/>
              </w:rPr>
            </w:pPr>
            <w:r>
              <w:rPr>
                <w:rFonts w:cstheme="minorHAnsi"/>
                <w:bCs/>
                <w:color w:val="000000"/>
              </w:rPr>
              <w:t>&gt;</w:t>
            </w:r>
            <w:r w:rsidRPr="00F16FC4">
              <w:rPr>
                <w:rFonts w:cstheme="minorHAnsi"/>
                <w:bCs/>
                <w:color w:val="000000"/>
              </w:rPr>
              <w:t xml:space="preserve"> </w:t>
            </w:r>
            <w:r>
              <w:rPr>
                <w:rFonts w:cstheme="minorHAnsi"/>
                <w:bCs/>
                <w:color w:val="000000"/>
              </w:rPr>
              <w:t>5.07 -</w:t>
            </w:r>
            <w:r>
              <w:rPr>
                <w:rFonts w:cstheme="minorHAnsi"/>
                <w:color w:val="000000"/>
              </w:rPr>
              <w:t>10.1</w:t>
            </w:r>
          </w:p>
        </w:tc>
      </w:tr>
      <w:tr w:rsidR="003A38A6" w14:paraId="34BD1010" w14:textId="2FD5861E" w:rsidTr="00DB797B">
        <w:trPr>
          <w:trHeight w:val="288"/>
        </w:trPr>
        <w:tc>
          <w:tcPr>
            <w:tcW w:w="1330" w:type="dxa"/>
            <w:vMerge/>
            <w:tcBorders>
              <w:left w:val="single" w:sz="4" w:space="0" w:color="auto"/>
              <w:right w:val="nil"/>
            </w:tcBorders>
            <w:noWrap/>
            <w:tcMar>
              <w:top w:w="15" w:type="dxa"/>
              <w:left w:w="15" w:type="dxa"/>
              <w:bottom w:w="0" w:type="dxa"/>
              <w:right w:w="15" w:type="dxa"/>
            </w:tcMar>
            <w:vAlign w:val="center"/>
          </w:tcPr>
          <w:p w14:paraId="35E6307C" w14:textId="77777777" w:rsidR="003A38A6" w:rsidRPr="00874351" w:rsidRDefault="003A38A6" w:rsidP="00ED6640">
            <w:pPr>
              <w:spacing w:after="0" w:line="240" w:lineRule="auto"/>
              <w:jc w:val="center"/>
              <w:rPr>
                <w:rFonts w:cstheme="minorHAnsi"/>
                <w:b/>
                <w:bCs/>
                <w:color w:val="000000"/>
              </w:rPr>
            </w:pPr>
          </w:p>
        </w:tc>
        <w:tc>
          <w:tcPr>
            <w:tcW w:w="1710" w:type="dxa"/>
            <w:tcBorders>
              <w:left w:val="nil"/>
              <w:bottom w:val="nil"/>
              <w:right w:val="nil"/>
            </w:tcBorders>
            <w:noWrap/>
            <w:tcMar>
              <w:top w:w="15" w:type="dxa"/>
              <w:left w:w="15" w:type="dxa"/>
              <w:bottom w:w="0" w:type="dxa"/>
              <w:right w:w="15" w:type="dxa"/>
            </w:tcMar>
            <w:vAlign w:val="bottom"/>
          </w:tcPr>
          <w:p w14:paraId="5ADEDFA2" w14:textId="776F2A95" w:rsidR="003A38A6" w:rsidRPr="00874351" w:rsidRDefault="003A38A6" w:rsidP="00ED6640">
            <w:pPr>
              <w:spacing w:after="0" w:line="240" w:lineRule="auto"/>
              <w:jc w:val="center"/>
              <w:rPr>
                <w:rFonts w:cstheme="minorHAnsi"/>
                <w:color w:val="000000"/>
              </w:rPr>
            </w:pPr>
            <w:r w:rsidRPr="00874351">
              <w:rPr>
                <w:rFonts w:cstheme="minorHAnsi"/>
                <w:color w:val="000000"/>
              </w:rPr>
              <w:t>1 meal/2 months</w:t>
            </w:r>
          </w:p>
        </w:tc>
        <w:tc>
          <w:tcPr>
            <w:tcW w:w="990" w:type="dxa"/>
            <w:tcBorders>
              <w:left w:val="nil"/>
              <w:bottom w:val="nil"/>
              <w:right w:val="single" w:sz="4" w:space="0" w:color="auto"/>
            </w:tcBorders>
            <w:noWrap/>
            <w:tcMar>
              <w:top w:w="15" w:type="dxa"/>
              <w:left w:w="15" w:type="dxa"/>
              <w:bottom w:w="0" w:type="dxa"/>
              <w:right w:w="15" w:type="dxa"/>
            </w:tcMar>
            <w:vAlign w:val="bottom"/>
          </w:tcPr>
          <w:p w14:paraId="33363AD8" w14:textId="7EC17D74" w:rsidR="003A38A6" w:rsidRPr="00874351" w:rsidRDefault="003A38A6" w:rsidP="00ED6640">
            <w:pPr>
              <w:spacing w:after="0" w:line="240" w:lineRule="auto"/>
              <w:jc w:val="center"/>
              <w:rPr>
                <w:rFonts w:cstheme="minorHAnsi"/>
                <w:color w:val="000000"/>
              </w:rPr>
            </w:pPr>
            <w:r w:rsidRPr="00874351">
              <w:rPr>
                <w:rFonts w:cstheme="minorHAnsi"/>
                <w:color w:val="000000"/>
              </w:rPr>
              <w:t>1.9</w:t>
            </w:r>
          </w:p>
        </w:tc>
        <w:tc>
          <w:tcPr>
            <w:tcW w:w="1837" w:type="dxa"/>
            <w:tcBorders>
              <w:left w:val="single" w:sz="4" w:space="0" w:color="auto"/>
              <w:bottom w:val="nil"/>
              <w:right w:val="single" w:sz="4" w:space="0" w:color="auto"/>
            </w:tcBorders>
            <w:noWrap/>
            <w:tcMar>
              <w:top w:w="15" w:type="dxa"/>
              <w:left w:w="15" w:type="dxa"/>
              <w:bottom w:w="0" w:type="dxa"/>
              <w:right w:w="15" w:type="dxa"/>
            </w:tcMar>
            <w:vAlign w:val="center"/>
          </w:tcPr>
          <w:p w14:paraId="427C4703" w14:textId="309CD3A3" w:rsidR="003A38A6" w:rsidRPr="00874351" w:rsidRDefault="003A38A6" w:rsidP="00ED6640">
            <w:pPr>
              <w:spacing w:after="0" w:line="240" w:lineRule="auto"/>
              <w:jc w:val="center"/>
              <w:rPr>
                <w:rFonts w:cstheme="minorHAnsi"/>
                <w:color w:val="000000"/>
              </w:rPr>
            </w:pPr>
            <w:r w:rsidRPr="000E378E">
              <w:rPr>
                <w:rFonts w:cstheme="minorHAnsi"/>
                <w:bCs/>
                <w:color w:val="000000"/>
              </w:rPr>
              <w:t>&gt;</w:t>
            </w:r>
            <w:r w:rsidRPr="00874351">
              <w:rPr>
                <w:rFonts w:cstheme="minorHAnsi"/>
                <w:color w:val="000000"/>
              </w:rPr>
              <w:t xml:space="preserve"> </w:t>
            </w:r>
            <w:r>
              <w:rPr>
                <w:rFonts w:cstheme="minorHAnsi"/>
                <w:color w:val="000000"/>
              </w:rPr>
              <w:t xml:space="preserve">6.76 - </w:t>
            </w:r>
            <w:r w:rsidRPr="00874351">
              <w:rPr>
                <w:rFonts w:cstheme="minorHAnsi"/>
                <w:color w:val="000000"/>
              </w:rPr>
              <w:t>13.5</w:t>
            </w:r>
          </w:p>
        </w:tc>
        <w:tc>
          <w:tcPr>
            <w:tcW w:w="1737" w:type="dxa"/>
            <w:tcBorders>
              <w:left w:val="nil"/>
              <w:bottom w:val="nil"/>
              <w:right w:val="single" w:sz="4" w:space="0" w:color="auto"/>
            </w:tcBorders>
          </w:tcPr>
          <w:p w14:paraId="51FD6119" w14:textId="39A0FE5C" w:rsidR="003A38A6" w:rsidRPr="000E378E" w:rsidRDefault="003A38A6" w:rsidP="00ED6640">
            <w:pPr>
              <w:spacing w:after="0" w:line="240" w:lineRule="auto"/>
              <w:jc w:val="center"/>
              <w:rPr>
                <w:rFonts w:cstheme="minorHAnsi"/>
                <w:bCs/>
                <w:color w:val="000000"/>
              </w:rPr>
            </w:pPr>
            <w:r w:rsidRPr="000F76E5">
              <w:rPr>
                <w:rFonts w:cstheme="minorHAnsi"/>
                <w:bCs/>
                <w:color w:val="000000"/>
              </w:rPr>
              <w:t>&gt;</w:t>
            </w:r>
            <w:r w:rsidRPr="00F16FC4">
              <w:rPr>
                <w:rFonts w:cstheme="minorHAnsi"/>
                <w:bCs/>
                <w:color w:val="000000"/>
              </w:rPr>
              <w:t xml:space="preserve"> </w:t>
            </w:r>
            <w:r>
              <w:rPr>
                <w:rFonts w:cstheme="minorHAnsi"/>
                <w:color w:val="000000"/>
              </w:rPr>
              <w:t>3,370 - 6,750</w:t>
            </w:r>
          </w:p>
        </w:tc>
        <w:tc>
          <w:tcPr>
            <w:tcW w:w="1581" w:type="dxa"/>
            <w:tcBorders>
              <w:left w:val="single" w:sz="4" w:space="0" w:color="auto"/>
              <w:bottom w:val="nil"/>
              <w:right w:val="single" w:sz="4" w:space="0" w:color="auto"/>
            </w:tcBorders>
            <w:shd w:val="clear" w:color="auto" w:fill="auto"/>
          </w:tcPr>
          <w:p w14:paraId="2EADA3C5" w14:textId="72203F72" w:rsidR="003A38A6" w:rsidRPr="00F16FC4" w:rsidRDefault="003A38A6" w:rsidP="00ED6640">
            <w:pPr>
              <w:spacing w:after="0" w:line="240" w:lineRule="auto"/>
              <w:jc w:val="center"/>
              <w:rPr>
                <w:rFonts w:cstheme="minorHAnsi"/>
                <w:color w:val="000000"/>
              </w:rPr>
            </w:pPr>
            <w:r w:rsidRPr="000E378E">
              <w:rPr>
                <w:rFonts w:cstheme="minorHAnsi"/>
                <w:bCs/>
                <w:color w:val="000000"/>
              </w:rPr>
              <w:t>&gt;</w:t>
            </w:r>
            <w:r w:rsidRPr="00F16FC4">
              <w:rPr>
                <w:rFonts w:cstheme="minorHAnsi"/>
                <w:bCs/>
                <w:color w:val="000000"/>
              </w:rPr>
              <w:t xml:space="preserve"> </w:t>
            </w:r>
            <w:r>
              <w:rPr>
                <w:rFonts w:cstheme="minorHAnsi"/>
                <w:bCs/>
                <w:color w:val="000000"/>
              </w:rPr>
              <w:t xml:space="preserve">1,010 – </w:t>
            </w:r>
            <w:r>
              <w:rPr>
                <w:rFonts w:cstheme="minorHAnsi"/>
                <w:color w:val="000000"/>
              </w:rPr>
              <w:t>2,020</w:t>
            </w:r>
          </w:p>
        </w:tc>
        <w:tc>
          <w:tcPr>
            <w:tcW w:w="1726" w:type="dxa"/>
            <w:tcBorders>
              <w:left w:val="single" w:sz="4" w:space="0" w:color="auto"/>
              <w:bottom w:val="nil"/>
              <w:right w:val="single" w:sz="4" w:space="0" w:color="auto"/>
            </w:tcBorders>
            <w:shd w:val="clear" w:color="auto" w:fill="auto"/>
          </w:tcPr>
          <w:p w14:paraId="103CD463" w14:textId="14875A3B" w:rsidR="003A38A6" w:rsidRPr="00F16FC4" w:rsidRDefault="003A38A6" w:rsidP="00ED6640">
            <w:pPr>
              <w:spacing w:after="0" w:line="240" w:lineRule="auto"/>
              <w:jc w:val="center"/>
              <w:rPr>
                <w:rFonts w:cstheme="minorHAnsi"/>
                <w:color w:val="000000"/>
              </w:rPr>
            </w:pPr>
            <w:r w:rsidRPr="00303174">
              <w:rPr>
                <w:rFonts w:cstheme="minorHAnsi"/>
                <w:bCs/>
                <w:color w:val="000000"/>
              </w:rPr>
              <w:t>&gt;</w:t>
            </w:r>
            <w:r w:rsidRPr="00F16FC4">
              <w:rPr>
                <w:rFonts w:cstheme="minorHAnsi"/>
                <w:bCs/>
                <w:color w:val="000000"/>
              </w:rPr>
              <w:t xml:space="preserve"> </w:t>
            </w:r>
            <w:r>
              <w:rPr>
                <w:rFonts w:cstheme="minorHAnsi"/>
                <w:bCs/>
                <w:color w:val="000000"/>
              </w:rPr>
              <w:t xml:space="preserve">67.6 - </w:t>
            </w:r>
            <w:r>
              <w:rPr>
                <w:rFonts w:cstheme="minorHAnsi"/>
                <w:color w:val="000000"/>
              </w:rPr>
              <w:t>135</w:t>
            </w:r>
          </w:p>
        </w:tc>
        <w:tc>
          <w:tcPr>
            <w:tcW w:w="1911" w:type="dxa"/>
            <w:tcBorders>
              <w:left w:val="nil"/>
              <w:bottom w:val="nil"/>
              <w:right w:val="single" w:sz="4" w:space="0" w:color="auto"/>
            </w:tcBorders>
            <w:shd w:val="clear" w:color="auto" w:fill="auto"/>
          </w:tcPr>
          <w:p w14:paraId="467C4D90" w14:textId="2919E529" w:rsidR="003A38A6" w:rsidRPr="00F16FC4" w:rsidRDefault="003A38A6" w:rsidP="00ED6640">
            <w:pPr>
              <w:spacing w:after="0" w:line="240" w:lineRule="auto"/>
              <w:jc w:val="center"/>
              <w:rPr>
                <w:rFonts w:cstheme="minorHAnsi"/>
                <w:color w:val="000000"/>
              </w:rPr>
            </w:pPr>
            <w:r>
              <w:rPr>
                <w:rFonts w:cstheme="minorHAnsi"/>
                <w:bCs/>
                <w:color w:val="000000"/>
              </w:rPr>
              <w:t>&gt;</w:t>
            </w:r>
            <w:r w:rsidRPr="00F16FC4">
              <w:rPr>
                <w:rFonts w:cstheme="minorHAnsi"/>
                <w:bCs/>
                <w:color w:val="000000"/>
              </w:rPr>
              <w:t xml:space="preserve"> </w:t>
            </w:r>
            <w:r>
              <w:rPr>
                <w:rFonts w:cstheme="minorHAnsi"/>
                <w:bCs/>
                <w:color w:val="000000"/>
              </w:rPr>
              <w:t>10.1 -</w:t>
            </w:r>
            <w:r>
              <w:rPr>
                <w:rFonts w:cstheme="minorHAnsi"/>
                <w:color w:val="000000"/>
              </w:rPr>
              <w:t>20.3</w:t>
            </w:r>
          </w:p>
        </w:tc>
      </w:tr>
      <w:tr w:rsidR="003A38A6" w14:paraId="773B75F7" w14:textId="2BC1E462" w:rsidTr="00DB797B">
        <w:trPr>
          <w:trHeight w:val="288"/>
        </w:trPr>
        <w:tc>
          <w:tcPr>
            <w:tcW w:w="1330" w:type="dxa"/>
            <w:vMerge/>
            <w:tcBorders>
              <w:left w:val="single" w:sz="4" w:space="0" w:color="auto"/>
              <w:right w:val="nil"/>
            </w:tcBorders>
            <w:noWrap/>
            <w:tcMar>
              <w:top w:w="15" w:type="dxa"/>
              <w:left w:w="15" w:type="dxa"/>
              <w:bottom w:w="0" w:type="dxa"/>
              <w:right w:w="15" w:type="dxa"/>
            </w:tcMar>
            <w:vAlign w:val="center"/>
          </w:tcPr>
          <w:p w14:paraId="0DD0732B" w14:textId="77777777" w:rsidR="003A38A6" w:rsidRPr="00874351" w:rsidRDefault="003A38A6" w:rsidP="00ED6640">
            <w:pPr>
              <w:spacing w:after="0" w:line="240" w:lineRule="auto"/>
              <w:jc w:val="center"/>
              <w:rPr>
                <w:rFonts w:cstheme="minorHAnsi"/>
                <w:b/>
                <w:bCs/>
                <w:color w:val="000000"/>
              </w:rPr>
            </w:pPr>
          </w:p>
        </w:tc>
        <w:tc>
          <w:tcPr>
            <w:tcW w:w="1710" w:type="dxa"/>
            <w:tcBorders>
              <w:left w:val="nil"/>
              <w:bottom w:val="nil"/>
              <w:right w:val="nil"/>
            </w:tcBorders>
            <w:noWrap/>
            <w:tcMar>
              <w:top w:w="15" w:type="dxa"/>
              <w:left w:w="15" w:type="dxa"/>
              <w:bottom w:w="0" w:type="dxa"/>
              <w:right w:w="15" w:type="dxa"/>
            </w:tcMar>
            <w:vAlign w:val="bottom"/>
          </w:tcPr>
          <w:p w14:paraId="10DEEE46" w14:textId="16ECE2DC" w:rsidR="003A38A6" w:rsidRPr="00874351" w:rsidRDefault="003A38A6" w:rsidP="00ED6640">
            <w:pPr>
              <w:spacing w:after="0" w:line="240" w:lineRule="auto"/>
              <w:jc w:val="center"/>
              <w:rPr>
                <w:rFonts w:cstheme="minorHAnsi"/>
                <w:color w:val="000000"/>
              </w:rPr>
            </w:pPr>
            <w:r w:rsidRPr="00874351">
              <w:rPr>
                <w:rFonts w:cstheme="minorHAnsi"/>
                <w:color w:val="000000"/>
              </w:rPr>
              <w:t>1 meal/6 months</w:t>
            </w:r>
          </w:p>
        </w:tc>
        <w:tc>
          <w:tcPr>
            <w:tcW w:w="990" w:type="dxa"/>
            <w:tcBorders>
              <w:left w:val="nil"/>
              <w:bottom w:val="nil"/>
              <w:right w:val="single" w:sz="4" w:space="0" w:color="auto"/>
            </w:tcBorders>
            <w:noWrap/>
            <w:tcMar>
              <w:top w:w="15" w:type="dxa"/>
              <w:left w:w="15" w:type="dxa"/>
              <w:bottom w:w="0" w:type="dxa"/>
              <w:right w:w="15" w:type="dxa"/>
            </w:tcMar>
            <w:vAlign w:val="bottom"/>
          </w:tcPr>
          <w:p w14:paraId="5367A901" w14:textId="18C7D9B5" w:rsidR="003A38A6" w:rsidRPr="00874351" w:rsidRDefault="003A38A6" w:rsidP="00ED6640">
            <w:pPr>
              <w:spacing w:after="0" w:line="240" w:lineRule="auto"/>
              <w:jc w:val="center"/>
              <w:rPr>
                <w:rFonts w:cstheme="minorHAnsi"/>
                <w:color w:val="000000"/>
              </w:rPr>
            </w:pPr>
            <w:r w:rsidRPr="00874351">
              <w:rPr>
                <w:rFonts w:cstheme="minorHAnsi"/>
                <w:color w:val="000000"/>
              </w:rPr>
              <w:t>0.62</w:t>
            </w:r>
          </w:p>
        </w:tc>
        <w:tc>
          <w:tcPr>
            <w:tcW w:w="1837" w:type="dxa"/>
            <w:tcBorders>
              <w:left w:val="single" w:sz="4" w:space="0" w:color="auto"/>
              <w:bottom w:val="nil"/>
              <w:right w:val="single" w:sz="4" w:space="0" w:color="auto"/>
            </w:tcBorders>
            <w:noWrap/>
            <w:tcMar>
              <w:top w:w="15" w:type="dxa"/>
              <w:left w:w="15" w:type="dxa"/>
              <w:bottom w:w="0" w:type="dxa"/>
              <w:right w:w="15" w:type="dxa"/>
            </w:tcMar>
            <w:vAlign w:val="center"/>
          </w:tcPr>
          <w:p w14:paraId="4ACB6055" w14:textId="248C6460" w:rsidR="003A38A6" w:rsidRPr="00874351" w:rsidRDefault="003A38A6" w:rsidP="00ED6640">
            <w:pPr>
              <w:spacing w:after="0" w:line="240" w:lineRule="auto"/>
              <w:jc w:val="center"/>
              <w:rPr>
                <w:rFonts w:cstheme="minorHAnsi"/>
                <w:color w:val="000000"/>
              </w:rPr>
            </w:pPr>
            <w:r w:rsidRPr="000E378E">
              <w:rPr>
                <w:rFonts w:cstheme="minorHAnsi"/>
                <w:bCs/>
                <w:color w:val="000000"/>
              </w:rPr>
              <w:t>&gt;</w:t>
            </w:r>
            <w:r w:rsidRPr="00874351">
              <w:rPr>
                <w:rFonts w:cstheme="minorHAnsi"/>
                <w:color w:val="000000"/>
              </w:rPr>
              <w:t xml:space="preserve"> </w:t>
            </w:r>
            <w:r>
              <w:rPr>
                <w:rFonts w:cstheme="minorHAnsi"/>
                <w:color w:val="000000"/>
              </w:rPr>
              <w:t xml:space="preserve">13.5 - </w:t>
            </w:r>
            <w:r w:rsidRPr="00874351">
              <w:rPr>
                <w:rFonts w:cstheme="minorHAnsi"/>
                <w:color w:val="000000"/>
              </w:rPr>
              <w:t>40.6</w:t>
            </w:r>
          </w:p>
        </w:tc>
        <w:tc>
          <w:tcPr>
            <w:tcW w:w="1737" w:type="dxa"/>
            <w:tcBorders>
              <w:left w:val="nil"/>
              <w:bottom w:val="nil"/>
              <w:right w:val="single" w:sz="4" w:space="0" w:color="auto"/>
            </w:tcBorders>
          </w:tcPr>
          <w:p w14:paraId="3594F912" w14:textId="43AEB892" w:rsidR="003A38A6" w:rsidRPr="000E378E" w:rsidRDefault="003A38A6" w:rsidP="00ED6640">
            <w:pPr>
              <w:spacing w:after="0" w:line="240" w:lineRule="auto"/>
              <w:jc w:val="center"/>
              <w:rPr>
                <w:rFonts w:cstheme="minorHAnsi"/>
                <w:bCs/>
                <w:color w:val="000000"/>
              </w:rPr>
            </w:pPr>
            <w:r w:rsidRPr="000F76E5">
              <w:rPr>
                <w:rFonts w:cstheme="minorHAnsi"/>
                <w:bCs/>
                <w:color w:val="000000"/>
              </w:rPr>
              <w:t>&gt;</w:t>
            </w:r>
            <w:r w:rsidRPr="00F16FC4">
              <w:rPr>
                <w:rFonts w:cstheme="minorHAnsi"/>
                <w:bCs/>
                <w:color w:val="000000"/>
              </w:rPr>
              <w:t xml:space="preserve"> </w:t>
            </w:r>
            <w:r>
              <w:rPr>
                <w:rFonts w:cstheme="minorHAnsi"/>
                <w:color w:val="000000"/>
              </w:rPr>
              <w:t>6,750 - 20,500</w:t>
            </w:r>
          </w:p>
        </w:tc>
        <w:tc>
          <w:tcPr>
            <w:tcW w:w="1581" w:type="dxa"/>
            <w:tcBorders>
              <w:left w:val="single" w:sz="4" w:space="0" w:color="auto"/>
              <w:bottom w:val="nil"/>
              <w:right w:val="single" w:sz="4" w:space="0" w:color="auto"/>
            </w:tcBorders>
            <w:shd w:val="clear" w:color="auto" w:fill="auto"/>
          </w:tcPr>
          <w:p w14:paraId="35D161C7" w14:textId="7EC068C9" w:rsidR="003A38A6" w:rsidRPr="00F16FC4" w:rsidRDefault="003A38A6" w:rsidP="00ED6640">
            <w:pPr>
              <w:spacing w:after="0" w:line="240" w:lineRule="auto"/>
              <w:jc w:val="center"/>
              <w:rPr>
                <w:rFonts w:cstheme="minorHAnsi"/>
                <w:color w:val="000000"/>
              </w:rPr>
            </w:pPr>
            <w:r w:rsidRPr="000E378E">
              <w:rPr>
                <w:rFonts w:cstheme="minorHAnsi"/>
                <w:bCs/>
                <w:color w:val="000000"/>
              </w:rPr>
              <w:t>&gt;</w:t>
            </w:r>
            <w:r w:rsidRPr="00F16FC4">
              <w:rPr>
                <w:rFonts w:cstheme="minorHAnsi"/>
                <w:bCs/>
                <w:color w:val="000000"/>
              </w:rPr>
              <w:t xml:space="preserve"> </w:t>
            </w:r>
            <w:r>
              <w:rPr>
                <w:rFonts w:cstheme="minorHAnsi"/>
                <w:bCs/>
                <w:color w:val="000000"/>
              </w:rPr>
              <w:t xml:space="preserve">2,020 – </w:t>
            </w:r>
            <w:r>
              <w:rPr>
                <w:rFonts w:cstheme="minorHAnsi"/>
                <w:color w:val="000000"/>
              </w:rPr>
              <w:t>6,080</w:t>
            </w:r>
          </w:p>
        </w:tc>
        <w:tc>
          <w:tcPr>
            <w:tcW w:w="1726" w:type="dxa"/>
            <w:tcBorders>
              <w:left w:val="single" w:sz="4" w:space="0" w:color="auto"/>
              <w:bottom w:val="nil"/>
              <w:right w:val="single" w:sz="4" w:space="0" w:color="auto"/>
            </w:tcBorders>
            <w:shd w:val="clear" w:color="auto" w:fill="auto"/>
          </w:tcPr>
          <w:p w14:paraId="616FBA8E" w14:textId="29B635C2" w:rsidR="003A38A6" w:rsidRPr="00F16FC4" w:rsidRDefault="003A38A6" w:rsidP="00ED6640">
            <w:pPr>
              <w:spacing w:after="0" w:line="240" w:lineRule="auto"/>
              <w:jc w:val="center"/>
              <w:rPr>
                <w:rFonts w:cstheme="minorHAnsi"/>
                <w:color w:val="000000"/>
              </w:rPr>
            </w:pPr>
            <w:r w:rsidRPr="00303174">
              <w:rPr>
                <w:rFonts w:cstheme="minorHAnsi"/>
                <w:bCs/>
                <w:color w:val="000000"/>
              </w:rPr>
              <w:t>&gt;</w:t>
            </w:r>
            <w:r w:rsidRPr="00F16FC4">
              <w:rPr>
                <w:rFonts w:cstheme="minorHAnsi"/>
                <w:bCs/>
                <w:color w:val="000000"/>
              </w:rPr>
              <w:t xml:space="preserve"> </w:t>
            </w:r>
            <w:r>
              <w:rPr>
                <w:rFonts w:cstheme="minorHAnsi"/>
                <w:bCs/>
                <w:color w:val="000000"/>
              </w:rPr>
              <w:t xml:space="preserve">135 - </w:t>
            </w:r>
            <w:r>
              <w:rPr>
                <w:rFonts w:cstheme="minorHAnsi"/>
                <w:color w:val="000000"/>
              </w:rPr>
              <w:t>406</w:t>
            </w:r>
          </w:p>
        </w:tc>
        <w:tc>
          <w:tcPr>
            <w:tcW w:w="1911" w:type="dxa"/>
            <w:tcBorders>
              <w:left w:val="nil"/>
              <w:bottom w:val="nil"/>
              <w:right w:val="single" w:sz="4" w:space="0" w:color="auto"/>
            </w:tcBorders>
            <w:shd w:val="clear" w:color="auto" w:fill="auto"/>
          </w:tcPr>
          <w:p w14:paraId="20E465A8" w14:textId="35D0FC18" w:rsidR="003A38A6" w:rsidRPr="00F16FC4" w:rsidRDefault="003A38A6" w:rsidP="00ED6640">
            <w:pPr>
              <w:spacing w:after="0" w:line="240" w:lineRule="auto"/>
              <w:jc w:val="center"/>
              <w:rPr>
                <w:rFonts w:cstheme="minorHAnsi"/>
                <w:color w:val="000000"/>
              </w:rPr>
            </w:pPr>
            <w:r>
              <w:rPr>
                <w:rFonts w:cstheme="minorHAnsi"/>
                <w:bCs/>
                <w:color w:val="000000"/>
              </w:rPr>
              <w:t>&gt;</w:t>
            </w:r>
            <w:r w:rsidRPr="00F16FC4">
              <w:rPr>
                <w:rFonts w:cstheme="minorHAnsi"/>
                <w:bCs/>
                <w:color w:val="000000"/>
              </w:rPr>
              <w:t xml:space="preserve"> </w:t>
            </w:r>
            <w:r>
              <w:rPr>
                <w:rFonts w:cstheme="minorHAnsi"/>
                <w:bCs/>
                <w:color w:val="000000"/>
              </w:rPr>
              <w:t>20.3 -</w:t>
            </w:r>
            <w:r>
              <w:rPr>
                <w:rFonts w:cstheme="minorHAnsi"/>
                <w:color w:val="000000"/>
              </w:rPr>
              <w:t>60.8</w:t>
            </w:r>
          </w:p>
        </w:tc>
      </w:tr>
      <w:tr w:rsidR="003A38A6" w14:paraId="70976722" w14:textId="247DC6D3" w:rsidTr="00DB797B">
        <w:trPr>
          <w:trHeight w:val="288"/>
        </w:trPr>
        <w:tc>
          <w:tcPr>
            <w:tcW w:w="1330" w:type="dxa"/>
            <w:vMerge/>
            <w:tcBorders>
              <w:left w:val="single" w:sz="4" w:space="0" w:color="auto"/>
              <w:right w:val="nil"/>
            </w:tcBorders>
            <w:noWrap/>
            <w:tcMar>
              <w:top w:w="15" w:type="dxa"/>
              <w:left w:w="15" w:type="dxa"/>
              <w:bottom w:w="0" w:type="dxa"/>
              <w:right w:w="15" w:type="dxa"/>
            </w:tcMar>
            <w:vAlign w:val="center"/>
          </w:tcPr>
          <w:p w14:paraId="7FA9605B" w14:textId="77777777" w:rsidR="003A38A6" w:rsidRPr="00874351" w:rsidRDefault="003A38A6" w:rsidP="00ED6640">
            <w:pPr>
              <w:spacing w:after="0" w:line="240" w:lineRule="auto"/>
              <w:jc w:val="center"/>
              <w:rPr>
                <w:rFonts w:cstheme="minorHAnsi"/>
                <w:b/>
                <w:bCs/>
                <w:color w:val="000000"/>
              </w:rPr>
            </w:pPr>
          </w:p>
        </w:tc>
        <w:tc>
          <w:tcPr>
            <w:tcW w:w="1710" w:type="dxa"/>
            <w:tcBorders>
              <w:left w:val="nil"/>
              <w:bottom w:val="nil"/>
              <w:right w:val="nil"/>
            </w:tcBorders>
            <w:noWrap/>
            <w:tcMar>
              <w:top w:w="15" w:type="dxa"/>
              <w:left w:w="15" w:type="dxa"/>
              <w:bottom w:w="0" w:type="dxa"/>
              <w:right w:w="15" w:type="dxa"/>
            </w:tcMar>
            <w:vAlign w:val="bottom"/>
          </w:tcPr>
          <w:p w14:paraId="1FE27E8B" w14:textId="490EF054" w:rsidR="003A38A6" w:rsidRPr="00874351" w:rsidRDefault="003A38A6" w:rsidP="00ED6640">
            <w:pPr>
              <w:spacing w:after="0" w:line="240" w:lineRule="auto"/>
              <w:jc w:val="center"/>
              <w:rPr>
                <w:rFonts w:cstheme="minorHAnsi"/>
                <w:color w:val="000000"/>
              </w:rPr>
            </w:pPr>
            <w:r w:rsidRPr="00874351">
              <w:rPr>
                <w:rFonts w:cstheme="minorHAnsi"/>
                <w:color w:val="000000"/>
              </w:rPr>
              <w:t>1 meal/year</w:t>
            </w:r>
          </w:p>
        </w:tc>
        <w:tc>
          <w:tcPr>
            <w:tcW w:w="990" w:type="dxa"/>
            <w:tcBorders>
              <w:left w:val="nil"/>
              <w:bottom w:val="nil"/>
              <w:right w:val="single" w:sz="4" w:space="0" w:color="auto"/>
            </w:tcBorders>
            <w:noWrap/>
            <w:tcMar>
              <w:top w:w="15" w:type="dxa"/>
              <w:left w:w="15" w:type="dxa"/>
              <w:bottom w:w="0" w:type="dxa"/>
              <w:right w:w="15" w:type="dxa"/>
            </w:tcMar>
            <w:vAlign w:val="bottom"/>
          </w:tcPr>
          <w:p w14:paraId="4F1D5B29" w14:textId="5D26AD8A" w:rsidR="003A38A6" w:rsidRPr="00874351" w:rsidRDefault="003A38A6" w:rsidP="00ED6640">
            <w:pPr>
              <w:spacing w:after="0" w:line="240" w:lineRule="auto"/>
              <w:jc w:val="center"/>
              <w:rPr>
                <w:rFonts w:cstheme="minorHAnsi"/>
                <w:color w:val="000000"/>
              </w:rPr>
            </w:pPr>
            <w:r w:rsidRPr="00874351">
              <w:rPr>
                <w:rFonts w:cstheme="minorHAnsi"/>
                <w:color w:val="000000"/>
              </w:rPr>
              <w:t>0.31</w:t>
            </w:r>
          </w:p>
        </w:tc>
        <w:tc>
          <w:tcPr>
            <w:tcW w:w="1837" w:type="dxa"/>
            <w:tcBorders>
              <w:left w:val="single" w:sz="4" w:space="0" w:color="auto"/>
              <w:bottom w:val="nil"/>
              <w:right w:val="single" w:sz="4" w:space="0" w:color="auto"/>
            </w:tcBorders>
            <w:noWrap/>
            <w:tcMar>
              <w:top w:w="15" w:type="dxa"/>
              <w:left w:w="15" w:type="dxa"/>
              <w:bottom w:w="0" w:type="dxa"/>
              <w:right w:w="15" w:type="dxa"/>
            </w:tcMar>
            <w:vAlign w:val="center"/>
          </w:tcPr>
          <w:p w14:paraId="343F045E" w14:textId="17CC03C8" w:rsidR="003A38A6" w:rsidRPr="00874351" w:rsidRDefault="003A38A6" w:rsidP="00ED6640">
            <w:pPr>
              <w:spacing w:after="0" w:line="240" w:lineRule="auto"/>
              <w:jc w:val="center"/>
              <w:rPr>
                <w:rFonts w:cstheme="minorHAnsi"/>
                <w:color w:val="000000"/>
              </w:rPr>
            </w:pPr>
            <w:r w:rsidRPr="000E378E">
              <w:rPr>
                <w:rFonts w:cstheme="minorHAnsi"/>
                <w:bCs/>
                <w:color w:val="000000"/>
              </w:rPr>
              <w:t>&gt;</w:t>
            </w:r>
            <w:r w:rsidRPr="00874351">
              <w:rPr>
                <w:rFonts w:cstheme="minorHAnsi"/>
                <w:color w:val="000000"/>
              </w:rPr>
              <w:t xml:space="preserve"> </w:t>
            </w:r>
            <w:r>
              <w:rPr>
                <w:rFonts w:cstheme="minorHAnsi"/>
                <w:color w:val="000000"/>
              </w:rPr>
              <w:t xml:space="preserve">40.6 - </w:t>
            </w:r>
            <w:r w:rsidRPr="00874351">
              <w:rPr>
                <w:rFonts w:cstheme="minorHAnsi"/>
                <w:color w:val="000000"/>
              </w:rPr>
              <w:t>81.1</w:t>
            </w:r>
          </w:p>
        </w:tc>
        <w:tc>
          <w:tcPr>
            <w:tcW w:w="1737" w:type="dxa"/>
            <w:tcBorders>
              <w:left w:val="nil"/>
              <w:bottom w:val="nil"/>
              <w:right w:val="single" w:sz="4" w:space="0" w:color="auto"/>
            </w:tcBorders>
          </w:tcPr>
          <w:p w14:paraId="1466D717" w14:textId="57438965" w:rsidR="003A38A6" w:rsidRPr="000E378E" w:rsidRDefault="003A38A6" w:rsidP="00ED6640">
            <w:pPr>
              <w:spacing w:after="0" w:line="240" w:lineRule="auto"/>
              <w:jc w:val="center"/>
              <w:rPr>
                <w:rFonts w:cstheme="minorHAnsi"/>
                <w:bCs/>
                <w:color w:val="000000"/>
              </w:rPr>
            </w:pPr>
            <w:r w:rsidRPr="000F76E5">
              <w:rPr>
                <w:rFonts w:cstheme="minorHAnsi"/>
                <w:bCs/>
                <w:color w:val="000000"/>
              </w:rPr>
              <w:t>&gt;</w:t>
            </w:r>
            <w:r w:rsidRPr="00F16FC4">
              <w:rPr>
                <w:rFonts w:cstheme="minorHAnsi"/>
                <w:bCs/>
                <w:color w:val="000000"/>
              </w:rPr>
              <w:t xml:space="preserve"> </w:t>
            </w:r>
            <w:r>
              <w:rPr>
                <w:rFonts w:cstheme="minorHAnsi"/>
                <w:color w:val="000000"/>
              </w:rPr>
              <w:t>20,500 - 40,500</w:t>
            </w:r>
          </w:p>
        </w:tc>
        <w:tc>
          <w:tcPr>
            <w:tcW w:w="1581" w:type="dxa"/>
            <w:tcBorders>
              <w:left w:val="single" w:sz="4" w:space="0" w:color="auto"/>
              <w:bottom w:val="nil"/>
              <w:right w:val="single" w:sz="4" w:space="0" w:color="auto"/>
            </w:tcBorders>
            <w:shd w:val="clear" w:color="auto" w:fill="auto"/>
          </w:tcPr>
          <w:p w14:paraId="0150CF3B" w14:textId="6B20162D" w:rsidR="003A38A6" w:rsidRPr="00F16FC4" w:rsidRDefault="003A38A6" w:rsidP="00ED6640">
            <w:pPr>
              <w:spacing w:after="0" w:line="240" w:lineRule="auto"/>
              <w:jc w:val="center"/>
              <w:rPr>
                <w:rFonts w:cstheme="minorHAnsi"/>
                <w:color w:val="000000"/>
              </w:rPr>
            </w:pPr>
            <w:r w:rsidRPr="000E378E">
              <w:rPr>
                <w:rFonts w:cstheme="minorHAnsi"/>
                <w:bCs/>
                <w:color w:val="000000"/>
              </w:rPr>
              <w:t>&gt;</w:t>
            </w:r>
            <w:r w:rsidRPr="00F16FC4">
              <w:rPr>
                <w:rFonts w:cstheme="minorHAnsi"/>
                <w:bCs/>
                <w:color w:val="000000"/>
              </w:rPr>
              <w:t xml:space="preserve"> </w:t>
            </w:r>
            <w:r>
              <w:rPr>
                <w:rFonts w:cstheme="minorHAnsi"/>
                <w:bCs/>
                <w:color w:val="000000"/>
              </w:rPr>
              <w:t xml:space="preserve">6,080 - </w:t>
            </w:r>
            <w:r>
              <w:rPr>
                <w:rFonts w:cstheme="minorHAnsi"/>
                <w:color w:val="000000"/>
              </w:rPr>
              <w:t>12,100</w:t>
            </w:r>
          </w:p>
        </w:tc>
        <w:tc>
          <w:tcPr>
            <w:tcW w:w="1726" w:type="dxa"/>
            <w:tcBorders>
              <w:left w:val="single" w:sz="4" w:space="0" w:color="auto"/>
              <w:bottom w:val="nil"/>
              <w:right w:val="single" w:sz="4" w:space="0" w:color="auto"/>
            </w:tcBorders>
            <w:shd w:val="clear" w:color="auto" w:fill="auto"/>
          </w:tcPr>
          <w:p w14:paraId="4B06C7AC" w14:textId="17156E42" w:rsidR="003A38A6" w:rsidRPr="00F16FC4" w:rsidRDefault="003A38A6" w:rsidP="00ED6640">
            <w:pPr>
              <w:spacing w:after="0" w:line="240" w:lineRule="auto"/>
              <w:jc w:val="center"/>
              <w:rPr>
                <w:rFonts w:cstheme="minorHAnsi"/>
                <w:color w:val="000000"/>
              </w:rPr>
            </w:pPr>
            <w:r w:rsidRPr="00303174">
              <w:rPr>
                <w:rFonts w:cstheme="minorHAnsi"/>
                <w:bCs/>
                <w:color w:val="000000"/>
              </w:rPr>
              <w:t>&gt;</w:t>
            </w:r>
            <w:r w:rsidRPr="00F16FC4">
              <w:rPr>
                <w:rFonts w:cstheme="minorHAnsi"/>
                <w:bCs/>
                <w:color w:val="000000"/>
              </w:rPr>
              <w:t xml:space="preserve"> </w:t>
            </w:r>
            <w:r>
              <w:rPr>
                <w:rFonts w:cstheme="minorHAnsi"/>
                <w:bCs/>
                <w:color w:val="000000"/>
              </w:rPr>
              <w:t xml:space="preserve">406 - </w:t>
            </w:r>
            <w:r>
              <w:rPr>
                <w:rFonts w:cstheme="minorHAnsi"/>
                <w:color w:val="000000"/>
              </w:rPr>
              <w:t>811</w:t>
            </w:r>
          </w:p>
        </w:tc>
        <w:tc>
          <w:tcPr>
            <w:tcW w:w="1911" w:type="dxa"/>
            <w:tcBorders>
              <w:left w:val="nil"/>
              <w:bottom w:val="nil"/>
              <w:right w:val="single" w:sz="4" w:space="0" w:color="auto"/>
            </w:tcBorders>
            <w:shd w:val="clear" w:color="auto" w:fill="auto"/>
          </w:tcPr>
          <w:p w14:paraId="63C1FD00" w14:textId="2DB26D9D" w:rsidR="003A38A6" w:rsidRPr="00F16FC4" w:rsidRDefault="003A38A6" w:rsidP="00ED6640">
            <w:pPr>
              <w:spacing w:after="0" w:line="240" w:lineRule="auto"/>
              <w:jc w:val="center"/>
              <w:rPr>
                <w:rFonts w:cstheme="minorHAnsi"/>
                <w:color w:val="000000"/>
              </w:rPr>
            </w:pPr>
            <w:r>
              <w:rPr>
                <w:rFonts w:cstheme="minorHAnsi"/>
                <w:bCs/>
                <w:color w:val="000000"/>
              </w:rPr>
              <w:t>&gt;</w:t>
            </w:r>
            <w:r w:rsidRPr="00F42E3D">
              <w:rPr>
                <w:rFonts w:cstheme="minorHAnsi"/>
                <w:bCs/>
                <w:color w:val="000000"/>
              </w:rPr>
              <w:t xml:space="preserve"> </w:t>
            </w:r>
            <w:r>
              <w:rPr>
                <w:rFonts w:cstheme="minorHAnsi"/>
                <w:bCs/>
                <w:color w:val="000000"/>
              </w:rPr>
              <w:t>60.8 -</w:t>
            </w:r>
            <w:r>
              <w:rPr>
                <w:rFonts w:cstheme="minorHAnsi"/>
                <w:color w:val="000000"/>
              </w:rPr>
              <w:t>122</w:t>
            </w:r>
          </w:p>
        </w:tc>
      </w:tr>
      <w:tr w:rsidR="003A38A6" w14:paraId="072E8B35" w14:textId="4B2ED92F" w:rsidTr="00DB797B">
        <w:trPr>
          <w:trHeight w:val="288"/>
        </w:trPr>
        <w:tc>
          <w:tcPr>
            <w:tcW w:w="1330" w:type="dxa"/>
            <w:vMerge/>
            <w:tcBorders>
              <w:left w:val="single" w:sz="4" w:space="0" w:color="auto"/>
              <w:bottom w:val="single" w:sz="4" w:space="0" w:color="auto"/>
              <w:right w:val="nil"/>
            </w:tcBorders>
            <w:noWrap/>
            <w:tcMar>
              <w:top w:w="15" w:type="dxa"/>
              <w:left w:w="15" w:type="dxa"/>
              <w:bottom w:w="0" w:type="dxa"/>
              <w:right w:w="15" w:type="dxa"/>
            </w:tcMar>
            <w:vAlign w:val="center"/>
          </w:tcPr>
          <w:p w14:paraId="48F4B630" w14:textId="77777777" w:rsidR="003A38A6" w:rsidRPr="00874351" w:rsidRDefault="003A38A6" w:rsidP="00ED6640">
            <w:pPr>
              <w:spacing w:after="0" w:line="240" w:lineRule="auto"/>
              <w:jc w:val="center"/>
              <w:rPr>
                <w:rFonts w:cstheme="minorHAnsi"/>
                <w:b/>
                <w:bCs/>
                <w:color w:val="000000"/>
              </w:rPr>
            </w:pPr>
          </w:p>
        </w:tc>
        <w:tc>
          <w:tcPr>
            <w:tcW w:w="1710" w:type="dxa"/>
            <w:tcBorders>
              <w:left w:val="nil"/>
              <w:bottom w:val="single" w:sz="4" w:space="0" w:color="auto"/>
              <w:right w:val="nil"/>
            </w:tcBorders>
            <w:noWrap/>
            <w:tcMar>
              <w:top w:w="15" w:type="dxa"/>
              <w:left w:w="15" w:type="dxa"/>
              <w:bottom w:w="0" w:type="dxa"/>
              <w:right w:w="15" w:type="dxa"/>
            </w:tcMar>
            <w:vAlign w:val="bottom"/>
          </w:tcPr>
          <w:p w14:paraId="6EFE32A4" w14:textId="38D97015" w:rsidR="003A38A6" w:rsidRPr="00874351" w:rsidRDefault="003A38A6" w:rsidP="00ED6640">
            <w:pPr>
              <w:spacing w:after="0" w:line="240" w:lineRule="auto"/>
              <w:jc w:val="center"/>
              <w:rPr>
                <w:rFonts w:cstheme="minorHAnsi"/>
                <w:color w:val="000000"/>
              </w:rPr>
            </w:pPr>
            <w:r w:rsidRPr="00874351">
              <w:rPr>
                <w:rFonts w:cstheme="minorHAnsi"/>
                <w:color w:val="000000"/>
              </w:rPr>
              <w:t>Do Not Consume</w:t>
            </w:r>
          </w:p>
        </w:tc>
        <w:tc>
          <w:tcPr>
            <w:tcW w:w="990" w:type="dxa"/>
            <w:tcBorders>
              <w:left w:val="nil"/>
              <w:bottom w:val="single" w:sz="4" w:space="0" w:color="auto"/>
              <w:right w:val="single" w:sz="4" w:space="0" w:color="auto"/>
            </w:tcBorders>
            <w:noWrap/>
            <w:tcMar>
              <w:top w:w="15" w:type="dxa"/>
              <w:left w:w="15" w:type="dxa"/>
              <w:bottom w:w="0" w:type="dxa"/>
              <w:right w:w="15" w:type="dxa"/>
            </w:tcMar>
            <w:vAlign w:val="bottom"/>
          </w:tcPr>
          <w:p w14:paraId="28E9AA4D" w14:textId="08AD9911" w:rsidR="003A38A6" w:rsidRPr="00874351" w:rsidRDefault="003A38A6" w:rsidP="00ED6640">
            <w:pPr>
              <w:spacing w:after="0" w:line="240" w:lineRule="auto"/>
              <w:jc w:val="center"/>
              <w:rPr>
                <w:rFonts w:cstheme="minorHAnsi"/>
                <w:color w:val="000000"/>
              </w:rPr>
            </w:pPr>
            <w:r w:rsidRPr="00874351">
              <w:rPr>
                <w:rFonts w:cstheme="minorHAnsi"/>
                <w:color w:val="000000"/>
              </w:rPr>
              <w:t>--</w:t>
            </w:r>
          </w:p>
        </w:tc>
        <w:tc>
          <w:tcPr>
            <w:tcW w:w="1837" w:type="dxa"/>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371508" w14:textId="44ACFBF3" w:rsidR="003A38A6" w:rsidRPr="00874351" w:rsidRDefault="003A38A6" w:rsidP="00ED6640">
            <w:pPr>
              <w:spacing w:after="0" w:line="240" w:lineRule="auto"/>
              <w:jc w:val="center"/>
              <w:rPr>
                <w:rFonts w:cstheme="minorHAnsi"/>
                <w:color w:val="000000"/>
              </w:rPr>
            </w:pPr>
            <w:r w:rsidRPr="00874351">
              <w:rPr>
                <w:rFonts w:cstheme="minorHAnsi"/>
                <w:color w:val="000000"/>
              </w:rPr>
              <w:t>&gt;</w:t>
            </w:r>
            <w:r>
              <w:rPr>
                <w:rFonts w:cstheme="minorHAnsi"/>
                <w:color w:val="000000"/>
              </w:rPr>
              <w:t xml:space="preserve"> </w:t>
            </w:r>
            <w:r w:rsidRPr="00874351">
              <w:rPr>
                <w:rFonts w:cstheme="minorHAnsi"/>
                <w:color w:val="000000"/>
              </w:rPr>
              <w:t>81.1</w:t>
            </w:r>
          </w:p>
        </w:tc>
        <w:tc>
          <w:tcPr>
            <w:tcW w:w="1737" w:type="dxa"/>
            <w:tcBorders>
              <w:left w:val="nil"/>
              <w:bottom w:val="single" w:sz="4" w:space="0" w:color="auto"/>
              <w:right w:val="single" w:sz="4" w:space="0" w:color="auto"/>
            </w:tcBorders>
          </w:tcPr>
          <w:p w14:paraId="334F1708" w14:textId="3442F290" w:rsidR="003A38A6" w:rsidRDefault="003A38A6" w:rsidP="00ED6640">
            <w:pPr>
              <w:spacing w:after="0" w:line="240" w:lineRule="auto"/>
              <w:jc w:val="center"/>
              <w:rPr>
                <w:rFonts w:cstheme="minorHAnsi"/>
                <w:color w:val="000000"/>
              </w:rPr>
            </w:pPr>
            <w:r>
              <w:rPr>
                <w:rFonts w:cstheme="minorHAnsi"/>
                <w:color w:val="000000"/>
              </w:rPr>
              <w:t>&gt; 40,500</w:t>
            </w:r>
          </w:p>
        </w:tc>
        <w:tc>
          <w:tcPr>
            <w:tcW w:w="1581" w:type="dxa"/>
            <w:tcBorders>
              <w:left w:val="single" w:sz="4" w:space="0" w:color="auto"/>
              <w:bottom w:val="single" w:sz="4" w:space="0" w:color="auto"/>
              <w:right w:val="single" w:sz="4" w:space="0" w:color="auto"/>
            </w:tcBorders>
            <w:shd w:val="clear" w:color="auto" w:fill="auto"/>
          </w:tcPr>
          <w:p w14:paraId="454056C7" w14:textId="0225A28C" w:rsidR="003A38A6" w:rsidRPr="00F16FC4" w:rsidRDefault="003A38A6" w:rsidP="00ED6640">
            <w:pPr>
              <w:spacing w:after="0" w:line="240" w:lineRule="auto"/>
              <w:jc w:val="center"/>
              <w:rPr>
                <w:rFonts w:cstheme="minorHAnsi"/>
                <w:color w:val="000000"/>
              </w:rPr>
            </w:pPr>
            <w:r>
              <w:rPr>
                <w:rFonts w:cstheme="minorHAnsi"/>
                <w:color w:val="000000"/>
              </w:rPr>
              <w:t>&gt; 12,100</w:t>
            </w:r>
          </w:p>
        </w:tc>
        <w:tc>
          <w:tcPr>
            <w:tcW w:w="1726" w:type="dxa"/>
            <w:tcBorders>
              <w:left w:val="single" w:sz="4" w:space="0" w:color="auto"/>
              <w:bottom w:val="single" w:sz="4" w:space="0" w:color="auto"/>
              <w:right w:val="single" w:sz="4" w:space="0" w:color="auto"/>
            </w:tcBorders>
            <w:shd w:val="clear" w:color="auto" w:fill="auto"/>
          </w:tcPr>
          <w:p w14:paraId="190CDF13" w14:textId="512A92CB" w:rsidR="003A38A6" w:rsidRPr="00F16FC4" w:rsidRDefault="003A38A6" w:rsidP="00ED6640">
            <w:pPr>
              <w:spacing w:after="0" w:line="240" w:lineRule="auto"/>
              <w:jc w:val="center"/>
              <w:rPr>
                <w:rFonts w:cstheme="minorHAnsi"/>
                <w:color w:val="000000"/>
              </w:rPr>
            </w:pPr>
            <w:r>
              <w:rPr>
                <w:rFonts w:cstheme="minorHAnsi"/>
                <w:color w:val="000000"/>
              </w:rPr>
              <w:t>&gt; 811</w:t>
            </w:r>
          </w:p>
        </w:tc>
        <w:tc>
          <w:tcPr>
            <w:tcW w:w="1911" w:type="dxa"/>
            <w:tcBorders>
              <w:left w:val="nil"/>
              <w:bottom w:val="single" w:sz="4" w:space="0" w:color="auto"/>
              <w:right w:val="single" w:sz="4" w:space="0" w:color="auto"/>
            </w:tcBorders>
            <w:shd w:val="clear" w:color="auto" w:fill="auto"/>
          </w:tcPr>
          <w:p w14:paraId="286DDE04" w14:textId="2B453558" w:rsidR="003A38A6" w:rsidRPr="00F16FC4" w:rsidRDefault="003A38A6" w:rsidP="00ED6640">
            <w:pPr>
              <w:spacing w:after="0" w:line="240" w:lineRule="auto"/>
              <w:jc w:val="center"/>
              <w:rPr>
                <w:rFonts w:cstheme="minorHAnsi"/>
                <w:color w:val="000000"/>
              </w:rPr>
            </w:pPr>
            <w:r>
              <w:rPr>
                <w:rFonts w:cstheme="minorHAnsi"/>
                <w:color w:val="000000"/>
              </w:rPr>
              <w:t>&gt; 122</w:t>
            </w:r>
          </w:p>
        </w:tc>
      </w:tr>
      <w:tr w:rsidR="003A38A6" w14:paraId="76F1D787" w14:textId="6BE5A4AB" w:rsidTr="00DB797B">
        <w:trPr>
          <w:trHeight w:val="288"/>
        </w:trPr>
        <w:tc>
          <w:tcPr>
            <w:tcW w:w="1330" w:type="dxa"/>
            <w:vMerge w:val="restart"/>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14:paraId="1121CB56" w14:textId="5146804D" w:rsidR="003A38A6" w:rsidRPr="00874351" w:rsidRDefault="003A38A6" w:rsidP="00B73483">
            <w:pPr>
              <w:jc w:val="center"/>
              <w:rPr>
                <w:rFonts w:cstheme="minorHAnsi"/>
                <w:b/>
                <w:bCs/>
                <w:color w:val="000000"/>
              </w:rPr>
            </w:pPr>
            <w:r w:rsidRPr="00874351">
              <w:rPr>
                <w:rFonts w:cstheme="minorHAnsi"/>
                <w:b/>
                <w:bCs/>
                <w:color w:val="000000"/>
              </w:rPr>
              <w:t xml:space="preserve">General </w:t>
            </w:r>
            <w:proofErr w:type="spellStart"/>
            <w:r w:rsidRPr="00874351">
              <w:rPr>
                <w:rFonts w:cstheme="minorHAnsi"/>
                <w:b/>
                <w:bCs/>
                <w:color w:val="000000"/>
              </w:rPr>
              <w:t>Population</w:t>
            </w:r>
            <w:r w:rsidRPr="00874351">
              <w:rPr>
                <w:rFonts w:cstheme="minorHAnsi"/>
                <w:b/>
                <w:bCs/>
                <w:i/>
                <w:iCs/>
                <w:color w:val="000000"/>
                <w:vertAlign w:val="superscript"/>
              </w:rPr>
              <w:t>b</w:t>
            </w:r>
            <w:proofErr w:type="spellEnd"/>
          </w:p>
        </w:tc>
        <w:tc>
          <w:tcPr>
            <w:tcW w:w="1710" w:type="dxa"/>
            <w:tcBorders>
              <w:top w:val="single" w:sz="4" w:space="0" w:color="auto"/>
              <w:left w:val="nil"/>
              <w:bottom w:val="nil"/>
              <w:right w:val="nil"/>
            </w:tcBorders>
            <w:noWrap/>
            <w:tcMar>
              <w:top w:w="15" w:type="dxa"/>
              <w:left w:w="15" w:type="dxa"/>
              <w:bottom w:w="0" w:type="dxa"/>
              <w:right w:w="15" w:type="dxa"/>
            </w:tcMar>
            <w:vAlign w:val="bottom"/>
            <w:hideMark/>
          </w:tcPr>
          <w:p w14:paraId="58824C80"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1 meal/day</w:t>
            </w:r>
          </w:p>
        </w:tc>
        <w:tc>
          <w:tcPr>
            <w:tcW w:w="990" w:type="dxa"/>
            <w:tcBorders>
              <w:top w:val="single" w:sz="4" w:space="0" w:color="auto"/>
              <w:left w:val="nil"/>
              <w:bottom w:val="nil"/>
              <w:right w:val="single" w:sz="4" w:space="0" w:color="auto"/>
            </w:tcBorders>
            <w:noWrap/>
            <w:tcMar>
              <w:top w:w="15" w:type="dxa"/>
              <w:left w:w="15" w:type="dxa"/>
              <w:bottom w:w="0" w:type="dxa"/>
              <w:right w:w="15" w:type="dxa"/>
            </w:tcMar>
            <w:vAlign w:val="bottom"/>
            <w:hideMark/>
          </w:tcPr>
          <w:p w14:paraId="1DE5D1CB"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226.8</w:t>
            </w:r>
          </w:p>
        </w:tc>
        <w:tc>
          <w:tcPr>
            <w:tcW w:w="1837"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14AE1F42" w14:textId="13E10C63" w:rsidR="003A38A6" w:rsidRPr="00874351" w:rsidRDefault="003A38A6" w:rsidP="00B73483">
            <w:pPr>
              <w:spacing w:after="0" w:line="240" w:lineRule="auto"/>
              <w:jc w:val="center"/>
              <w:rPr>
                <w:rFonts w:cstheme="minorHAnsi"/>
                <w:color w:val="000000"/>
              </w:rPr>
            </w:pPr>
            <w:r w:rsidRPr="00874351">
              <w:rPr>
                <w:rFonts w:cstheme="minorHAnsi"/>
                <w:color w:val="000000"/>
              </w:rPr>
              <w:t xml:space="preserve"> </w:t>
            </w:r>
            <w:r w:rsidRPr="00874351">
              <w:rPr>
                <w:rFonts w:cstheme="minorHAnsi"/>
                <w:color w:val="000000"/>
                <w:u w:val="single"/>
              </w:rPr>
              <w:t>&lt;</w:t>
            </w:r>
            <w:r w:rsidRPr="00874351">
              <w:rPr>
                <w:rFonts w:cstheme="minorHAnsi"/>
                <w:color w:val="000000"/>
              </w:rPr>
              <w:t xml:space="preserve"> 0.50</w:t>
            </w:r>
          </w:p>
        </w:tc>
        <w:tc>
          <w:tcPr>
            <w:tcW w:w="1737" w:type="dxa"/>
            <w:tcBorders>
              <w:top w:val="single" w:sz="4" w:space="0" w:color="auto"/>
              <w:left w:val="nil"/>
              <w:bottom w:val="nil"/>
              <w:right w:val="single" w:sz="4" w:space="0" w:color="auto"/>
            </w:tcBorders>
          </w:tcPr>
          <w:p w14:paraId="57B6035F" w14:textId="50966057" w:rsidR="003A38A6" w:rsidRPr="00F16FC4" w:rsidRDefault="003A38A6" w:rsidP="00B73483">
            <w:pPr>
              <w:spacing w:after="0" w:line="240" w:lineRule="auto"/>
              <w:jc w:val="center"/>
              <w:rPr>
                <w:rFonts w:cstheme="minorHAnsi"/>
                <w:bCs/>
                <w:color w:val="000000"/>
                <w:u w:val="single"/>
              </w:rPr>
            </w:pPr>
            <w:r w:rsidRPr="00F16FC4">
              <w:rPr>
                <w:rFonts w:cstheme="minorHAnsi"/>
                <w:bCs/>
                <w:color w:val="000000"/>
                <w:u w:val="single"/>
              </w:rPr>
              <w:t>&lt;</w:t>
            </w:r>
            <w:r w:rsidRPr="00F16FC4">
              <w:rPr>
                <w:rFonts w:cstheme="minorHAnsi"/>
                <w:bCs/>
                <w:color w:val="000000"/>
              </w:rPr>
              <w:t xml:space="preserve"> </w:t>
            </w:r>
            <w:r>
              <w:rPr>
                <w:rFonts w:cstheme="minorHAnsi"/>
                <w:bCs/>
                <w:color w:val="000000"/>
              </w:rPr>
              <w:t>25</w:t>
            </w:r>
            <w:r w:rsidRPr="00F16FC4">
              <w:rPr>
                <w:rFonts w:cstheme="minorHAnsi"/>
                <w:bCs/>
                <w:color w:val="000000"/>
              </w:rPr>
              <w:t>0</w:t>
            </w:r>
          </w:p>
        </w:tc>
        <w:tc>
          <w:tcPr>
            <w:tcW w:w="1581" w:type="dxa"/>
            <w:tcBorders>
              <w:top w:val="single" w:sz="4" w:space="0" w:color="auto"/>
              <w:left w:val="single" w:sz="4" w:space="0" w:color="auto"/>
              <w:bottom w:val="nil"/>
              <w:right w:val="single" w:sz="4" w:space="0" w:color="auto"/>
            </w:tcBorders>
            <w:shd w:val="clear" w:color="auto" w:fill="auto"/>
          </w:tcPr>
          <w:p w14:paraId="56E6E9E3" w14:textId="2448D1E6" w:rsidR="003A38A6" w:rsidRPr="00874351" w:rsidRDefault="003A38A6" w:rsidP="00B73483">
            <w:pPr>
              <w:spacing w:after="0" w:line="240" w:lineRule="auto"/>
              <w:jc w:val="center"/>
              <w:rPr>
                <w:rFonts w:cstheme="minorHAnsi"/>
                <w:color w:val="000000"/>
              </w:rPr>
            </w:pPr>
            <w:r w:rsidRPr="00F16FC4">
              <w:rPr>
                <w:rFonts w:cstheme="minorHAnsi"/>
                <w:bCs/>
                <w:color w:val="000000"/>
                <w:u w:val="single"/>
              </w:rPr>
              <w:t>&lt;</w:t>
            </w:r>
            <w:r w:rsidRPr="00F16FC4">
              <w:rPr>
                <w:rFonts w:cstheme="minorHAnsi"/>
                <w:bCs/>
                <w:color w:val="000000"/>
              </w:rPr>
              <w:t xml:space="preserve"> </w:t>
            </w:r>
            <w:r>
              <w:rPr>
                <w:rFonts w:cstheme="minorHAnsi"/>
                <w:color w:val="000000"/>
              </w:rPr>
              <w:t>75</w:t>
            </w:r>
          </w:p>
        </w:tc>
        <w:tc>
          <w:tcPr>
            <w:tcW w:w="1726" w:type="dxa"/>
            <w:tcBorders>
              <w:top w:val="single" w:sz="4" w:space="0" w:color="auto"/>
              <w:left w:val="single" w:sz="4" w:space="0" w:color="auto"/>
              <w:bottom w:val="nil"/>
              <w:right w:val="single" w:sz="4" w:space="0" w:color="auto"/>
            </w:tcBorders>
            <w:shd w:val="clear" w:color="auto" w:fill="auto"/>
          </w:tcPr>
          <w:p w14:paraId="4AFF7125" w14:textId="6A54DD29" w:rsidR="003A38A6" w:rsidRPr="00874351" w:rsidRDefault="003A38A6" w:rsidP="00B73483">
            <w:pPr>
              <w:spacing w:after="0" w:line="240" w:lineRule="auto"/>
              <w:jc w:val="center"/>
              <w:rPr>
                <w:rFonts w:cstheme="minorHAnsi"/>
                <w:color w:val="000000"/>
              </w:rPr>
            </w:pPr>
            <w:r w:rsidRPr="00F16FC4">
              <w:rPr>
                <w:rFonts w:cstheme="minorHAnsi"/>
                <w:bCs/>
                <w:color w:val="000000"/>
                <w:u w:val="single"/>
              </w:rPr>
              <w:t>&lt;</w:t>
            </w:r>
            <w:r w:rsidRPr="00F16FC4">
              <w:rPr>
                <w:rFonts w:cstheme="minorHAnsi"/>
                <w:bCs/>
                <w:color w:val="000000"/>
              </w:rPr>
              <w:t xml:space="preserve"> </w:t>
            </w:r>
            <w:r>
              <w:rPr>
                <w:rFonts w:cstheme="minorHAnsi"/>
                <w:color w:val="000000"/>
              </w:rPr>
              <w:t>5.01</w:t>
            </w:r>
          </w:p>
        </w:tc>
        <w:tc>
          <w:tcPr>
            <w:tcW w:w="1911" w:type="dxa"/>
            <w:tcBorders>
              <w:top w:val="single" w:sz="4" w:space="0" w:color="auto"/>
              <w:left w:val="nil"/>
              <w:bottom w:val="nil"/>
              <w:right w:val="single" w:sz="4" w:space="0" w:color="auto"/>
            </w:tcBorders>
            <w:shd w:val="clear" w:color="auto" w:fill="auto"/>
          </w:tcPr>
          <w:p w14:paraId="69087D01" w14:textId="60A6E628" w:rsidR="003A38A6" w:rsidRPr="00874351" w:rsidRDefault="003A38A6" w:rsidP="00B73483">
            <w:pPr>
              <w:spacing w:after="0" w:line="240" w:lineRule="auto"/>
              <w:jc w:val="center"/>
              <w:rPr>
                <w:rFonts w:cstheme="minorHAnsi"/>
                <w:color w:val="000000"/>
              </w:rPr>
            </w:pPr>
            <w:r w:rsidRPr="00F16FC4">
              <w:rPr>
                <w:rFonts w:cstheme="minorHAnsi"/>
                <w:bCs/>
                <w:color w:val="000000"/>
                <w:u w:val="single"/>
              </w:rPr>
              <w:t>&lt;</w:t>
            </w:r>
            <w:r w:rsidRPr="00F16FC4">
              <w:rPr>
                <w:rFonts w:cstheme="minorHAnsi"/>
                <w:bCs/>
                <w:color w:val="000000"/>
              </w:rPr>
              <w:t xml:space="preserve"> </w:t>
            </w:r>
            <w:r>
              <w:rPr>
                <w:rFonts w:cstheme="minorHAnsi"/>
                <w:color w:val="000000"/>
              </w:rPr>
              <w:t>0.75</w:t>
            </w:r>
          </w:p>
        </w:tc>
      </w:tr>
      <w:tr w:rsidR="003A38A6" w14:paraId="7FAB2EEA" w14:textId="4CA5BAFA" w:rsidTr="00DB797B">
        <w:trPr>
          <w:trHeight w:val="288"/>
        </w:trPr>
        <w:tc>
          <w:tcPr>
            <w:tcW w:w="1330" w:type="dxa"/>
            <w:vMerge/>
            <w:tcBorders>
              <w:top w:val="single" w:sz="4" w:space="0" w:color="auto"/>
              <w:left w:val="single" w:sz="4" w:space="0" w:color="auto"/>
              <w:bottom w:val="single" w:sz="4" w:space="0" w:color="auto"/>
              <w:right w:val="nil"/>
            </w:tcBorders>
            <w:vAlign w:val="center"/>
            <w:hideMark/>
          </w:tcPr>
          <w:p w14:paraId="36E64ADB" w14:textId="77777777" w:rsidR="003A38A6" w:rsidRPr="00874351" w:rsidRDefault="003A38A6" w:rsidP="00B73483">
            <w:pPr>
              <w:rPr>
                <w:rFonts w:cstheme="minorHAnsi"/>
                <w:b/>
                <w:bCs/>
                <w:color w:val="000000"/>
              </w:rPr>
            </w:pPr>
          </w:p>
        </w:tc>
        <w:tc>
          <w:tcPr>
            <w:tcW w:w="1710" w:type="dxa"/>
            <w:noWrap/>
            <w:tcMar>
              <w:top w:w="15" w:type="dxa"/>
              <w:left w:w="15" w:type="dxa"/>
              <w:bottom w:w="0" w:type="dxa"/>
              <w:right w:w="15" w:type="dxa"/>
            </w:tcMar>
            <w:vAlign w:val="bottom"/>
            <w:hideMark/>
          </w:tcPr>
          <w:p w14:paraId="3BD2944B"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2 meals/week</w:t>
            </w:r>
          </w:p>
        </w:tc>
        <w:tc>
          <w:tcPr>
            <w:tcW w:w="990" w:type="dxa"/>
            <w:tcBorders>
              <w:right w:val="single" w:sz="4" w:space="0" w:color="auto"/>
            </w:tcBorders>
            <w:noWrap/>
            <w:tcMar>
              <w:top w:w="15" w:type="dxa"/>
              <w:left w:w="15" w:type="dxa"/>
              <w:bottom w:w="0" w:type="dxa"/>
              <w:right w:w="15" w:type="dxa"/>
            </w:tcMar>
            <w:vAlign w:val="bottom"/>
            <w:hideMark/>
          </w:tcPr>
          <w:p w14:paraId="5EF1EDE6"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64.6</w:t>
            </w:r>
          </w:p>
        </w:tc>
        <w:tc>
          <w:tcPr>
            <w:tcW w:w="1837" w:type="dxa"/>
            <w:tcBorders>
              <w:top w:val="nil"/>
              <w:left w:val="single" w:sz="4" w:space="0" w:color="auto"/>
              <w:bottom w:val="nil"/>
              <w:right w:val="single" w:sz="4" w:space="0" w:color="auto"/>
            </w:tcBorders>
            <w:noWrap/>
            <w:tcMar>
              <w:top w:w="15" w:type="dxa"/>
              <w:left w:w="15" w:type="dxa"/>
              <w:bottom w:w="0" w:type="dxa"/>
              <w:right w:w="15" w:type="dxa"/>
            </w:tcMar>
            <w:vAlign w:val="center"/>
            <w:hideMark/>
          </w:tcPr>
          <w:p w14:paraId="02408140" w14:textId="23302DEB" w:rsidR="003A38A6" w:rsidRPr="00874351" w:rsidRDefault="003A38A6" w:rsidP="00B73483">
            <w:pPr>
              <w:spacing w:after="0" w:line="240" w:lineRule="auto"/>
              <w:jc w:val="center"/>
              <w:rPr>
                <w:rFonts w:cstheme="minorHAnsi"/>
                <w:color w:val="000000"/>
              </w:rPr>
            </w:pPr>
            <w:r w:rsidRPr="000F76E5">
              <w:rPr>
                <w:rFonts w:cstheme="minorHAnsi"/>
                <w:bCs/>
                <w:color w:val="000000"/>
              </w:rPr>
              <w:t>&gt;</w:t>
            </w:r>
            <w:r w:rsidRPr="00E1140A">
              <w:rPr>
                <w:rFonts w:cstheme="minorHAnsi"/>
                <w:color w:val="000000"/>
              </w:rPr>
              <w:t xml:space="preserve"> </w:t>
            </w:r>
            <w:r w:rsidRPr="00874351">
              <w:rPr>
                <w:rFonts w:cstheme="minorHAnsi"/>
                <w:color w:val="000000"/>
              </w:rPr>
              <w:t>0.50</w:t>
            </w:r>
            <w:r>
              <w:rPr>
                <w:rFonts w:cstheme="minorHAnsi"/>
                <w:color w:val="000000"/>
              </w:rPr>
              <w:t xml:space="preserve"> - 1.76</w:t>
            </w:r>
          </w:p>
        </w:tc>
        <w:tc>
          <w:tcPr>
            <w:tcW w:w="1737" w:type="dxa"/>
            <w:tcBorders>
              <w:top w:val="nil"/>
              <w:left w:val="nil"/>
              <w:bottom w:val="nil"/>
              <w:right w:val="single" w:sz="4" w:space="0" w:color="auto"/>
            </w:tcBorders>
          </w:tcPr>
          <w:p w14:paraId="780EFC6E" w14:textId="51B4699C" w:rsidR="003A38A6" w:rsidRPr="000F76E5" w:rsidRDefault="003A38A6" w:rsidP="00B73483">
            <w:pPr>
              <w:spacing w:after="0" w:line="240" w:lineRule="auto"/>
              <w:jc w:val="center"/>
              <w:rPr>
                <w:rFonts w:cstheme="minorHAnsi"/>
                <w:bCs/>
                <w:color w:val="000000"/>
              </w:rPr>
            </w:pPr>
            <w:r w:rsidRPr="000E378E">
              <w:rPr>
                <w:rFonts w:cstheme="minorHAnsi"/>
                <w:bCs/>
                <w:color w:val="000000"/>
              </w:rPr>
              <w:t>&gt;</w:t>
            </w:r>
            <w:r w:rsidRPr="00F16FC4">
              <w:rPr>
                <w:rFonts w:cstheme="minorHAnsi"/>
                <w:bCs/>
                <w:color w:val="000000"/>
              </w:rPr>
              <w:t xml:space="preserve"> </w:t>
            </w:r>
            <w:r>
              <w:rPr>
                <w:rFonts w:cstheme="minorHAnsi"/>
                <w:bCs/>
                <w:color w:val="000000"/>
              </w:rPr>
              <w:t xml:space="preserve">250 - </w:t>
            </w:r>
            <w:r>
              <w:rPr>
                <w:rFonts w:cstheme="minorHAnsi"/>
                <w:color w:val="000000"/>
              </w:rPr>
              <w:t>879</w:t>
            </w:r>
          </w:p>
        </w:tc>
        <w:tc>
          <w:tcPr>
            <w:tcW w:w="1581" w:type="dxa"/>
            <w:tcBorders>
              <w:top w:val="nil"/>
              <w:left w:val="single" w:sz="4" w:space="0" w:color="auto"/>
              <w:bottom w:val="nil"/>
              <w:right w:val="single" w:sz="4" w:space="0" w:color="auto"/>
            </w:tcBorders>
            <w:shd w:val="clear" w:color="auto" w:fill="auto"/>
          </w:tcPr>
          <w:p w14:paraId="7EF47B85" w14:textId="233A3332" w:rsidR="003A38A6" w:rsidRPr="00F16FC4" w:rsidRDefault="003A38A6" w:rsidP="00B73483">
            <w:pPr>
              <w:spacing w:after="0" w:line="240" w:lineRule="auto"/>
              <w:jc w:val="center"/>
              <w:rPr>
                <w:rFonts w:cstheme="minorHAnsi"/>
                <w:color w:val="000000"/>
              </w:rPr>
            </w:pPr>
            <w:r w:rsidRPr="000F76E5">
              <w:rPr>
                <w:rFonts w:cstheme="minorHAnsi"/>
                <w:bCs/>
                <w:color w:val="000000"/>
              </w:rPr>
              <w:t>&gt;</w:t>
            </w:r>
            <w:r w:rsidRPr="00F16FC4">
              <w:rPr>
                <w:rFonts w:cstheme="minorHAnsi"/>
                <w:bCs/>
                <w:color w:val="000000"/>
              </w:rPr>
              <w:t xml:space="preserve"> </w:t>
            </w:r>
            <w:r>
              <w:rPr>
                <w:rFonts w:cstheme="minorHAnsi"/>
                <w:bCs/>
                <w:color w:val="000000"/>
              </w:rPr>
              <w:t xml:space="preserve">75 - </w:t>
            </w:r>
            <w:r>
              <w:rPr>
                <w:rFonts w:cstheme="minorHAnsi"/>
                <w:color w:val="000000"/>
              </w:rPr>
              <w:t>264</w:t>
            </w:r>
          </w:p>
        </w:tc>
        <w:tc>
          <w:tcPr>
            <w:tcW w:w="1726" w:type="dxa"/>
            <w:tcBorders>
              <w:top w:val="nil"/>
              <w:left w:val="single" w:sz="4" w:space="0" w:color="auto"/>
              <w:bottom w:val="nil"/>
              <w:right w:val="single" w:sz="4" w:space="0" w:color="auto"/>
            </w:tcBorders>
            <w:shd w:val="clear" w:color="auto" w:fill="auto"/>
          </w:tcPr>
          <w:p w14:paraId="71E0FB6C" w14:textId="162FCA67" w:rsidR="003A38A6" w:rsidRPr="00491395" w:rsidRDefault="003A38A6" w:rsidP="00B73483">
            <w:pPr>
              <w:spacing w:after="0" w:line="240" w:lineRule="auto"/>
              <w:jc w:val="center"/>
              <w:rPr>
                <w:rFonts w:cstheme="minorHAnsi"/>
                <w:color w:val="000000"/>
              </w:rPr>
            </w:pPr>
            <w:r w:rsidRPr="000F76E5">
              <w:rPr>
                <w:rFonts w:cstheme="minorHAnsi"/>
                <w:bCs/>
                <w:color w:val="000000"/>
              </w:rPr>
              <w:t>&gt;</w:t>
            </w:r>
            <w:r w:rsidRPr="00491395">
              <w:rPr>
                <w:rFonts w:cstheme="minorHAnsi"/>
                <w:bCs/>
                <w:color w:val="000000"/>
              </w:rPr>
              <w:t xml:space="preserve"> </w:t>
            </w:r>
            <w:r>
              <w:rPr>
                <w:rFonts w:cstheme="minorHAnsi"/>
                <w:bCs/>
                <w:color w:val="000000"/>
              </w:rPr>
              <w:t xml:space="preserve">5.01 - </w:t>
            </w:r>
            <w:r w:rsidRPr="00491395">
              <w:rPr>
                <w:rFonts w:cstheme="minorHAnsi"/>
                <w:color w:val="000000"/>
              </w:rPr>
              <w:t>17.6</w:t>
            </w:r>
          </w:p>
        </w:tc>
        <w:tc>
          <w:tcPr>
            <w:tcW w:w="1911" w:type="dxa"/>
            <w:tcBorders>
              <w:top w:val="nil"/>
              <w:left w:val="nil"/>
              <w:bottom w:val="nil"/>
              <w:right w:val="single" w:sz="4" w:space="0" w:color="auto"/>
            </w:tcBorders>
            <w:shd w:val="clear" w:color="auto" w:fill="auto"/>
          </w:tcPr>
          <w:p w14:paraId="60838ABA" w14:textId="14D31339" w:rsidR="003A38A6" w:rsidRPr="00491395" w:rsidRDefault="003A38A6" w:rsidP="00B73483">
            <w:pPr>
              <w:spacing w:after="0" w:line="240" w:lineRule="auto"/>
              <w:jc w:val="center"/>
              <w:rPr>
                <w:rFonts w:cstheme="minorHAnsi"/>
                <w:color w:val="000000"/>
              </w:rPr>
            </w:pPr>
            <w:r w:rsidRPr="000F76E5">
              <w:rPr>
                <w:rFonts w:cstheme="minorHAnsi"/>
                <w:bCs/>
                <w:color w:val="000000"/>
              </w:rPr>
              <w:t xml:space="preserve">&gt; </w:t>
            </w:r>
            <w:r>
              <w:rPr>
                <w:rFonts w:cstheme="minorHAnsi"/>
                <w:bCs/>
                <w:color w:val="000000"/>
              </w:rPr>
              <w:t xml:space="preserve">0.75 - </w:t>
            </w:r>
            <w:r w:rsidRPr="00491395">
              <w:rPr>
                <w:rFonts w:cstheme="minorHAnsi"/>
                <w:color w:val="000000"/>
              </w:rPr>
              <w:t>2.64</w:t>
            </w:r>
          </w:p>
        </w:tc>
      </w:tr>
      <w:tr w:rsidR="003A38A6" w14:paraId="30BE35E4" w14:textId="438A55E2" w:rsidTr="00DB797B">
        <w:trPr>
          <w:trHeight w:val="288"/>
        </w:trPr>
        <w:tc>
          <w:tcPr>
            <w:tcW w:w="1330" w:type="dxa"/>
            <w:vMerge/>
            <w:tcBorders>
              <w:top w:val="single" w:sz="4" w:space="0" w:color="auto"/>
              <w:left w:val="single" w:sz="4" w:space="0" w:color="auto"/>
              <w:bottom w:val="single" w:sz="4" w:space="0" w:color="auto"/>
              <w:right w:val="nil"/>
            </w:tcBorders>
            <w:vAlign w:val="center"/>
            <w:hideMark/>
          </w:tcPr>
          <w:p w14:paraId="6533CFD4" w14:textId="77777777" w:rsidR="003A38A6" w:rsidRPr="00874351" w:rsidRDefault="003A38A6" w:rsidP="00B73483">
            <w:pPr>
              <w:rPr>
                <w:rFonts w:cstheme="minorHAnsi"/>
                <w:b/>
                <w:bCs/>
                <w:color w:val="000000"/>
              </w:rPr>
            </w:pPr>
          </w:p>
        </w:tc>
        <w:tc>
          <w:tcPr>
            <w:tcW w:w="1710" w:type="dxa"/>
            <w:noWrap/>
            <w:tcMar>
              <w:top w:w="15" w:type="dxa"/>
              <w:left w:w="15" w:type="dxa"/>
              <w:bottom w:w="0" w:type="dxa"/>
              <w:right w:w="15" w:type="dxa"/>
            </w:tcMar>
            <w:vAlign w:val="bottom"/>
            <w:hideMark/>
          </w:tcPr>
          <w:p w14:paraId="0FB8DC7F"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1 meal/week</w:t>
            </w:r>
          </w:p>
        </w:tc>
        <w:tc>
          <w:tcPr>
            <w:tcW w:w="990" w:type="dxa"/>
            <w:tcBorders>
              <w:right w:val="single" w:sz="4" w:space="0" w:color="auto"/>
            </w:tcBorders>
            <w:noWrap/>
            <w:tcMar>
              <w:top w:w="15" w:type="dxa"/>
              <w:left w:w="15" w:type="dxa"/>
              <w:bottom w:w="0" w:type="dxa"/>
              <w:right w:w="15" w:type="dxa"/>
            </w:tcMar>
            <w:vAlign w:val="bottom"/>
            <w:hideMark/>
          </w:tcPr>
          <w:p w14:paraId="2553BD4D"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32.3</w:t>
            </w:r>
          </w:p>
        </w:tc>
        <w:tc>
          <w:tcPr>
            <w:tcW w:w="1837" w:type="dxa"/>
            <w:tcBorders>
              <w:top w:val="nil"/>
              <w:left w:val="single" w:sz="4" w:space="0" w:color="auto"/>
              <w:bottom w:val="nil"/>
              <w:right w:val="single" w:sz="4" w:space="0" w:color="auto"/>
            </w:tcBorders>
            <w:noWrap/>
            <w:tcMar>
              <w:top w:w="15" w:type="dxa"/>
              <w:left w:w="15" w:type="dxa"/>
              <w:bottom w:w="0" w:type="dxa"/>
              <w:right w:w="15" w:type="dxa"/>
            </w:tcMar>
            <w:vAlign w:val="center"/>
            <w:hideMark/>
          </w:tcPr>
          <w:p w14:paraId="1891E9AC" w14:textId="7B523937" w:rsidR="003A38A6" w:rsidRPr="00874351" w:rsidRDefault="003A38A6" w:rsidP="00B73483">
            <w:pPr>
              <w:spacing w:after="0" w:line="240" w:lineRule="auto"/>
              <w:jc w:val="center"/>
              <w:rPr>
                <w:rFonts w:cstheme="minorHAnsi"/>
                <w:color w:val="000000"/>
              </w:rPr>
            </w:pPr>
            <w:r w:rsidRPr="000F76E5">
              <w:rPr>
                <w:rFonts w:cstheme="minorHAnsi"/>
                <w:bCs/>
                <w:color w:val="000000"/>
              </w:rPr>
              <w:t>&gt;</w:t>
            </w:r>
            <w:r w:rsidRPr="00E1140A">
              <w:rPr>
                <w:rFonts w:cstheme="minorHAnsi"/>
                <w:color w:val="000000"/>
              </w:rPr>
              <w:t xml:space="preserve"> </w:t>
            </w:r>
            <w:r>
              <w:rPr>
                <w:rFonts w:cstheme="minorHAnsi"/>
                <w:color w:val="000000"/>
              </w:rPr>
              <w:t>1.76 - 3.52</w:t>
            </w:r>
          </w:p>
        </w:tc>
        <w:tc>
          <w:tcPr>
            <w:tcW w:w="1737" w:type="dxa"/>
            <w:tcBorders>
              <w:top w:val="nil"/>
              <w:left w:val="nil"/>
              <w:bottom w:val="nil"/>
              <w:right w:val="single" w:sz="4" w:space="0" w:color="auto"/>
            </w:tcBorders>
          </w:tcPr>
          <w:p w14:paraId="2924317F" w14:textId="737A5ABE" w:rsidR="003A38A6" w:rsidRPr="000F76E5" w:rsidRDefault="003A38A6" w:rsidP="00B73483">
            <w:pPr>
              <w:spacing w:after="0" w:line="240" w:lineRule="auto"/>
              <w:jc w:val="center"/>
              <w:rPr>
                <w:rFonts w:cstheme="minorHAnsi"/>
                <w:bCs/>
                <w:color w:val="000000"/>
              </w:rPr>
            </w:pPr>
            <w:r w:rsidRPr="000E378E">
              <w:rPr>
                <w:rFonts w:cstheme="minorHAnsi"/>
                <w:bCs/>
                <w:color w:val="000000"/>
              </w:rPr>
              <w:t>&gt;</w:t>
            </w:r>
            <w:r w:rsidRPr="00F16FC4">
              <w:rPr>
                <w:rFonts w:cstheme="minorHAnsi"/>
                <w:bCs/>
                <w:color w:val="000000"/>
              </w:rPr>
              <w:t xml:space="preserve"> </w:t>
            </w:r>
            <w:r>
              <w:rPr>
                <w:rFonts w:cstheme="minorHAnsi"/>
                <w:color w:val="000000"/>
              </w:rPr>
              <w:t>879</w:t>
            </w:r>
            <w:r>
              <w:rPr>
                <w:rFonts w:cstheme="minorHAnsi"/>
                <w:bCs/>
                <w:color w:val="000000"/>
              </w:rPr>
              <w:t xml:space="preserve"> – </w:t>
            </w:r>
            <w:r>
              <w:rPr>
                <w:rFonts w:cstheme="minorHAnsi"/>
                <w:color w:val="000000"/>
              </w:rPr>
              <w:t>1,750</w:t>
            </w:r>
          </w:p>
        </w:tc>
        <w:tc>
          <w:tcPr>
            <w:tcW w:w="1581" w:type="dxa"/>
            <w:tcBorders>
              <w:top w:val="nil"/>
              <w:left w:val="single" w:sz="4" w:space="0" w:color="auto"/>
              <w:bottom w:val="nil"/>
              <w:right w:val="single" w:sz="4" w:space="0" w:color="auto"/>
            </w:tcBorders>
            <w:shd w:val="clear" w:color="auto" w:fill="auto"/>
          </w:tcPr>
          <w:p w14:paraId="484EEA2C" w14:textId="051ED4D1" w:rsidR="003A38A6" w:rsidRPr="00F16FC4" w:rsidRDefault="003A38A6" w:rsidP="00B73483">
            <w:pPr>
              <w:spacing w:after="0" w:line="240" w:lineRule="auto"/>
              <w:jc w:val="center"/>
              <w:rPr>
                <w:rFonts w:cstheme="minorHAnsi"/>
                <w:color w:val="000000"/>
              </w:rPr>
            </w:pPr>
            <w:r w:rsidRPr="000F76E5">
              <w:rPr>
                <w:rFonts w:cstheme="minorHAnsi"/>
                <w:bCs/>
                <w:color w:val="000000"/>
              </w:rPr>
              <w:t>&gt;</w:t>
            </w:r>
            <w:r w:rsidRPr="00F16FC4">
              <w:rPr>
                <w:rFonts w:cstheme="minorHAnsi"/>
                <w:bCs/>
                <w:color w:val="000000"/>
              </w:rPr>
              <w:t xml:space="preserve"> </w:t>
            </w:r>
            <w:r>
              <w:rPr>
                <w:rFonts w:cstheme="minorHAnsi"/>
                <w:bCs/>
                <w:color w:val="000000"/>
              </w:rPr>
              <w:t xml:space="preserve">264 - </w:t>
            </w:r>
            <w:r>
              <w:rPr>
                <w:rFonts w:cstheme="minorHAnsi"/>
                <w:color w:val="000000"/>
              </w:rPr>
              <w:t>527</w:t>
            </w:r>
          </w:p>
        </w:tc>
        <w:tc>
          <w:tcPr>
            <w:tcW w:w="1726" w:type="dxa"/>
            <w:tcBorders>
              <w:top w:val="nil"/>
              <w:left w:val="single" w:sz="4" w:space="0" w:color="auto"/>
              <w:bottom w:val="nil"/>
              <w:right w:val="single" w:sz="4" w:space="0" w:color="auto"/>
            </w:tcBorders>
            <w:shd w:val="clear" w:color="auto" w:fill="auto"/>
          </w:tcPr>
          <w:p w14:paraId="113B654C" w14:textId="1C3B75AE" w:rsidR="003A38A6" w:rsidRPr="00491395" w:rsidRDefault="003A38A6" w:rsidP="00B73483">
            <w:pPr>
              <w:spacing w:after="0" w:line="240" w:lineRule="auto"/>
              <w:jc w:val="center"/>
              <w:rPr>
                <w:rFonts w:cstheme="minorHAnsi"/>
                <w:color w:val="000000"/>
              </w:rPr>
            </w:pPr>
            <w:r w:rsidRPr="000F76E5">
              <w:rPr>
                <w:rFonts w:cstheme="minorHAnsi"/>
                <w:bCs/>
                <w:color w:val="000000"/>
              </w:rPr>
              <w:t>&gt;</w:t>
            </w:r>
            <w:r w:rsidRPr="00491395">
              <w:rPr>
                <w:rFonts w:cstheme="minorHAnsi"/>
                <w:bCs/>
                <w:color w:val="000000"/>
              </w:rPr>
              <w:t xml:space="preserve"> </w:t>
            </w:r>
            <w:r>
              <w:rPr>
                <w:rFonts w:cstheme="minorHAnsi"/>
                <w:bCs/>
                <w:color w:val="000000"/>
              </w:rPr>
              <w:t xml:space="preserve">17.6 - </w:t>
            </w:r>
            <w:r w:rsidRPr="00491395">
              <w:rPr>
                <w:rFonts w:cstheme="minorHAnsi"/>
                <w:color w:val="000000"/>
              </w:rPr>
              <w:t>35.2</w:t>
            </w:r>
          </w:p>
        </w:tc>
        <w:tc>
          <w:tcPr>
            <w:tcW w:w="1911" w:type="dxa"/>
            <w:tcBorders>
              <w:top w:val="nil"/>
              <w:left w:val="nil"/>
              <w:bottom w:val="nil"/>
              <w:right w:val="single" w:sz="4" w:space="0" w:color="auto"/>
            </w:tcBorders>
            <w:shd w:val="clear" w:color="auto" w:fill="auto"/>
          </w:tcPr>
          <w:p w14:paraId="6110BF96" w14:textId="6FC7B94C" w:rsidR="003A38A6" w:rsidRPr="00491395" w:rsidRDefault="003A38A6" w:rsidP="00B73483">
            <w:pPr>
              <w:spacing w:after="0" w:line="240" w:lineRule="auto"/>
              <w:jc w:val="center"/>
              <w:rPr>
                <w:rFonts w:cstheme="minorHAnsi"/>
                <w:color w:val="000000"/>
              </w:rPr>
            </w:pPr>
            <w:r w:rsidRPr="00800A93">
              <w:rPr>
                <w:rFonts w:cstheme="minorHAnsi"/>
                <w:bCs/>
                <w:color w:val="000000"/>
              </w:rPr>
              <w:t>&gt;</w:t>
            </w:r>
            <w:r w:rsidRPr="00491395">
              <w:rPr>
                <w:rFonts w:cstheme="minorHAnsi"/>
                <w:bCs/>
                <w:color w:val="000000"/>
              </w:rPr>
              <w:t xml:space="preserve"> </w:t>
            </w:r>
            <w:r>
              <w:rPr>
                <w:rFonts w:cstheme="minorHAnsi"/>
                <w:bCs/>
                <w:color w:val="000000"/>
              </w:rPr>
              <w:t xml:space="preserve">2.64 - </w:t>
            </w:r>
            <w:r w:rsidRPr="00491395">
              <w:rPr>
                <w:rFonts w:cstheme="minorHAnsi"/>
                <w:color w:val="000000"/>
              </w:rPr>
              <w:t>5.27</w:t>
            </w:r>
          </w:p>
        </w:tc>
      </w:tr>
      <w:tr w:rsidR="003A38A6" w14:paraId="24279D89" w14:textId="7FC4EF4B" w:rsidTr="00DB797B">
        <w:trPr>
          <w:trHeight w:val="288"/>
        </w:trPr>
        <w:tc>
          <w:tcPr>
            <w:tcW w:w="1330" w:type="dxa"/>
            <w:vMerge/>
            <w:tcBorders>
              <w:top w:val="single" w:sz="4" w:space="0" w:color="auto"/>
              <w:left w:val="single" w:sz="4" w:space="0" w:color="auto"/>
              <w:bottom w:val="single" w:sz="4" w:space="0" w:color="auto"/>
              <w:right w:val="nil"/>
            </w:tcBorders>
            <w:vAlign w:val="center"/>
            <w:hideMark/>
          </w:tcPr>
          <w:p w14:paraId="0C262D78" w14:textId="77777777" w:rsidR="003A38A6" w:rsidRPr="00874351" w:rsidRDefault="003A38A6" w:rsidP="00B73483">
            <w:pPr>
              <w:rPr>
                <w:rFonts w:cstheme="minorHAnsi"/>
                <w:b/>
                <w:bCs/>
                <w:color w:val="000000"/>
              </w:rPr>
            </w:pPr>
          </w:p>
        </w:tc>
        <w:tc>
          <w:tcPr>
            <w:tcW w:w="1710" w:type="dxa"/>
            <w:noWrap/>
            <w:tcMar>
              <w:top w:w="15" w:type="dxa"/>
              <w:left w:w="15" w:type="dxa"/>
              <w:bottom w:w="0" w:type="dxa"/>
              <w:right w:w="15" w:type="dxa"/>
            </w:tcMar>
            <w:vAlign w:val="bottom"/>
            <w:hideMark/>
          </w:tcPr>
          <w:p w14:paraId="2FAB0C91"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2 meals/month</w:t>
            </w:r>
          </w:p>
        </w:tc>
        <w:tc>
          <w:tcPr>
            <w:tcW w:w="990" w:type="dxa"/>
            <w:tcBorders>
              <w:right w:val="single" w:sz="4" w:space="0" w:color="auto"/>
            </w:tcBorders>
            <w:noWrap/>
            <w:tcMar>
              <w:top w:w="15" w:type="dxa"/>
              <w:left w:w="15" w:type="dxa"/>
              <w:bottom w:w="0" w:type="dxa"/>
              <w:right w:w="15" w:type="dxa"/>
            </w:tcMar>
            <w:vAlign w:val="bottom"/>
            <w:hideMark/>
          </w:tcPr>
          <w:p w14:paraId="4001FE72"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14.9</w:t>
            </w:r>
          </w:p>
        </w:tc>
        <w:tc>
          <w:tcPr>
            <w:tcW w:w="1837" w:type="dxa"/>
            <w:tcBorders>
              <w:top w:val="nil"/>
              <w:left w:val="single" w:sz="4" w:space="0" w:color="auto"/>
              <w:bottom w:val="nil"/>
              <w:right w:val="single" w:sz="4" w:space="0" w:color="auto"/>
            </w:tcBorders>
            <w:noWrap/>
            <w:tcMar>
              <w:top w:w="15" w:type="dxa"/>
              <w:left w:w="15" w:type="dxa"/>
              <w:bottom w:w="0" w:type="dxa"/>
              <w:right w:w="15" w:type="dxa"/>
            </w:tcMar>
            <w:vAlign w:val="center"/>
            <w:hideMark/>
          </w:tcPr>
          <w:p w14:paraId="278B401F" w14:textId="690ABB15" w:rsidR="003A38A6" w:rsidRPr="00874351" w:rsidRDefault="003A38A6" w:rsidP="00B73483">
            <w:pPr>
              <w:spacing w:after="0" w:line="240" w:lineRule="auto"/>
              <w:jc w:val="center"/>
              <w:rPr>
                <w:rFonts w:cstheme="minorHAnsi"/>
                <w:color w:val="000000"/>
              </w:rPr>
            </w:pPr>
            <w:r w:rsidRPr="000F76E5">
              <w:rPr>
                <w:rFonts w:cstheme="minorHAnsi"/>
                <w:bCs/>
                <w:color w:val="000000"/>
              </w:rPr>
              <w:t>&gt;</w:t>
            </w:r>
            <w:r w:rsidRPr="00E1140A">
              <w:rPr>
                <w:rFonts w:cstheme="minorHAnsi"/>
                <w:color w:val="000000"/>
              </w:rPr>
              <w:t xml:space="preserve"> </w:t>
            </w:r>
            <w:r>
              <w:rPr>
                <w:rFonts w:cstheme="minorHAnsi"/>
                <w:color w:val="000000"/>
              </w:rPr>
              <w:t>3.52 - 7.62</w:t>
            </w:r>
          </w:p>
        </w:tc>
        <w:tc>
          <w:tcPr>
            <w:tcW w:w="1737" w:type="dxa"/>
            <w:tcBorders>
              <w:top w:val="nil"/>
              <w:left w:val="nil"/>
              <w:bottom w:val="nil"/>
              <w:right w:val="single" w:sz="4" w:space="0" w:color="auto"/>
            </w:tcBorders>
          </w:tcPr>
          <w:p w14:paraId="40BCB86E" w14:textId="0FEB4353" w:rsidR="003A38A6" w:rsidRPr="000F76E5" w:rsidRDefault="003A38A6" w:rsidP="00B73483">
            <w:pPr>
              <w:spacing w:after="0" w:line="240" w:lineRule="auto"/>
              <w:jc w:val="center"/>
              <w:rPr>
                <w:rFonts w:cstheme="minorHAnsi"/>
                <w:bCs/>
                <w:color w:val="000000"/>
              </w:rPr>
            </w:pPr>
            <w:r w:rsidRPr="000E378E">
              <w:rPr>
                <w:rFonts w:cstheme="minorHAnsi"/>
                <w:bCs/>
                <w:color w:val="000000"/>
              </w:rPr>
              <w:t>&gt;</w:t>
            </w:r>
            <w:r w:rsidRPr="00F16FC4">
              <w:rPr>
                <w:rFonts w:cstheme="minorHAnsi"/>
                <w:bCs/>
                <w:color w:val="000000"/>
              </w:rPr>
              <w:t xml:space="preserve"> </w:t>
            </w:r>
            <w:r>
              <w:rPr>
                <w:rFonts w:cstheme="minorHAnsi"/>
                <w:color w:val="000000"/>
              </w:rPr>
              <w:t>1,750</w:t>
            </w:r>
            <w:r>
              <w:rPr>
                <w:rFonts w:cstheme="minorHAnsi"/>
                <w:bCs/>
                <w:color w:val="000000"/>
              </w:rPr>
              <w:t xml:space="preserve"> - </w:t>
            </w:r>
            <w:r>
              <w:rPr>
                <w:rFonts w:cstheme="minorHAnsi"/>
                <w:color w:val="000000"/>
              </w:rPr>
              <w:t>3,800</w:t>
            </w:r>
          </w:p>
        </w:tc>
        <w:tc>
          <w:tcPr>
            <w:tcW w:w="1581" w:type="dxa"/>
            <w:tcBorders>
              <w:top w:val="nil"/>
              <w:left w:val="single" w:sz="4" w:space="0" w:color="auto"/>
              <w:bottom w:val="nil"/>
              <w:right w:val="single" w:sz="4" w:space="0" w:color="auto"/>
            </w:tcBorders>
            <w:shd w:val="clear" w:color="auto" w:fill="auto"/>
          </w:tcPr>
          <w:p w14:paraId="70D46D2D" w14:textId="68CE6CF1" w:rsidR="003A38A6" w:rsidRPr="00F16FC4" w:rsidRDefault="003A38A6" w:rsidP="00B73483">
            <w:pPr>
              <w:spacing w:after="0" w:line="240" w:lineRule="auto"/>
              <w:jc w:val="center"/>
              <w:rPr>
                <w:rFonts w:cstheme="minorHAnsi"/>
                <w:color w:val="000000"/>
              </w:rPr>
            </w:pPr>
            <w:r w:rsidRPr="000F76E5">
              <w:rPr>
                <w:rFonts w:cstheme="minorHAnsi"/>
                <w:bCs/>
                <w:color w:val="000000"/>
              </w:rPr>
              <w:t>&gt;</w:t>
            </w:r>
            <w:r w:rsidRPr="00F16FC4">
              <w:rPr>
                <w:rFonts w:cstheme="minorHAnsi"/>
                <w:bCs/>
                <w:color w:val="000000"/>
              </w:rPr>
              <w:t xml:space="preserve"> </w:t>
            </w:r>
            <w:r>
              <w:rPr>
                <w:rFonts w:cstheme="minorHAnsi"/>
                <w:bCs/>
                <w:color w:val="000000"/>
              </w:rPr>
              <w:t xml:space="preserve">527 – </w:t>
            </w:r>
            <w:r>
              <w:rPr>
                <w:rFonts w:cstheme="minorHAnsi"/>
                <w:color w:val="000000"/>
              </w:rPr>
              <w:t>1,140</w:t>
            </w:r>
          </w:p>
        </w:tc>
        <w:tc>
          <w:tcPr>
            <w:tcW w:w="1726" w:type="dxa"/>
            <w:tcBorders>
              <w:top w:val="nil"/>
              <w:left w:val="single" w:sz="4" w:space="0" w:color="auto"/>
              <w:bottom w:val="nil"/>
              <w:right w:val="single" w:sz="4" w:space="0" w:color="auto"/>
            </w:tcBorders>
            <w:shd w:val="clear" w:color="auto" w:fill="auto"/>
          </w:tcPr>
          <w:p w14:paraId="444DD011" w14:textId="513BF247" w:rsidR="003A38A6" w:rsidRPr="00491395" w:rsidRDefault="003A38A6" w:rsidP="00B73483">
            <w:pPr>
              <w:spacing w:after="0" w:line="240" w:lineRule="auto"/>
              <w:jc w:val="center"/>
              <w:rPr>
                <w:rFonts w:cstheme="minorHAnsi"/>
                <w:color w:val="000000"/>
              </w:rPr>
            </w:pPr>
            <w:r w:rsidRPr="000F76E5">
              <w:rPr>
                <w:rFonts w:cstheme="minorHAnsi"/>
                <w:bCs/>
                <w:color w:val="000000"/>
              </w:rPr>
              <w:t>&gt;</w:t>
            </w:r>
            <w:r w:rsidRPr="00491395">
              <w:rPr>
                <w:rFonts w:cstheme="minorHAnsi"/>
                <w:bCs/>
                <w:color w:val="000000"/>
              </w:rPr>
              <w:t xml:space="preserve"> </w:t>
            </w:r>
            <w:r>
              <w:rPr>
                <w:rFonts w:cstheme="minorHAnsi"/>
                <w:bCs/>
                <w:color w:val="000000"/>
              </w:rPr>
              <w:t xml:space="preserve">35.2 - </w:t>
            </w:r>
            <w:r w:rsidRPr="00491395">
              <w:rPr>
                <w:rFonts w:cstheme="minorHAnsi"/>
                <w:color w:val="000000"/>
              </w:rPr>
              <w:t>76.2</w:t>
            </w:r>
          </w:p>
        </w:tc>
        <w:tc>
          <w:tcPr>
            <w:tcW w:w="1911" w:type="dxa"/>
            <w:tcBorders>
              <w:top w:val="nil"/>
              <w:left w:val="nil"/>
              <w:bottom w:val="nil"/>
              <w:right w:val="single" w:sz="4" w:space="0" w:color="auto"/>
            </w:tcBorders>
            <w:shd w:val="clear" w:color="auto" w:fill="auto"/>
          </w:tcPr>
          <w:p w14:paraId="4DA65A7A" w14:textId="6DB53AAF" w:rsidR="003A38A6" w:rsidRPr="00491395" w:rsidRDefault="003A38A6" w:rsidP="00B73483">
            <w:pPr>
              <w:spacing w:after="0" w:line="240" w:lineRule="auto"/>
              <w:jc w:val="center"/>
              <w:rPr>
                <w:rFonts w:cstheme="minorHAnsi"/>
                <w:color w:val="000000"/>
              </w:rPr>
            </w:pPr>
            <w:r w:rsidRPr="00800A93">
              <w:rPr>
                <w:rFonts w:cstheme="minorHAnsi"/>
                <w:bCs/>
                <w:color w:val="000000"/>
              </w:rPr>
              <w:t>&gt;</w:t>
            </w:r>
            <w:r w:rsidRPr="00491395">
              <w:rPr>
                <w:rFonts w:cstheme="minorHAnsi"/>
                <w:bCs/>
                <w:color w:val="000000"/>
              </w:rPr>
              <w:t xml:space="preserve"> </w:t>
            </w:r>
            <w:r>
              <w:rPr>
                <w:rFonts w:cstheme="minorHAnsi"/>
                <w:bCs/>
                <w:color w:val="000000"/>
              </w:rPr>
              <w:t xml:space="preserve">5.27 - </w:t>
            </w:r>
            <w:r w:rsidRPr="00491395">
              <w:rPr>
                <w:rFonts w:cstheme="minorHAnsi"/>
                <w:color w:val="000000"/>
              </w:rPr>
              <w:t>11.4</w:t>
            </w:r>
          </w:p>
        </w:tc>
      </w:tr>
      <w:tr w:rsidR="003A38A6" w14:paraId="1B2B8C97" w14:textId="13B675F9" w:rsidTr="00DB797B">
        <w:trPr>
          <w:trHeight w:val="288"/>
        </w:trPr>
        <w:tc>
          <w:tcPr>
            <w:tcW w:w="1330" w:type="dxa"/>
            <w:vMerge/>
            <w:tcBorders>
              <w:top w:val="single" w:sz="4" w:space="0" w:color="auto"/>
              <w:left w:val="single" w:sz="4" w:space="0" w:color="auto"/>
              <w:bottom w:val="single" w:sz="4" w:space="0" w:color="auto"/>
              <w:right w:val="nil"/>
            </w:tcBorders>
            <w:vAlign w:val="center"/>
            <w:hideMark/>
          </w:tcPr>
          <w:p w14:paraId="1ED3540F" w14:textId="77777777" w:rsidR="003A38A6" w:rsidRPr="00874351" w:rsidRDefault="003A38A6" w:rsidP="00B73483">
            <w:pPr>
              <w:rPr>
                <w:rFonts w:cstheme="minorHAnsi"/>
                <w:b/>
                <w:bCs/>
                <w:color w:val="000000"/>
              </w:rPr>
            </w:pPr>
          </w:p>
        </w:tc>
        <w:tc>
          <w:tcPr>
            <w:tcW w:w="1710" w:type="dxa"/>
            <w:noWrap/>
            <w:tcMar>
              <w:top w:w="15" w:type="dxa"/>
              <w:left w:w="15" w:type="dxa"/>
              <w:bottom w:w="0" w:type="dxa"/>
              <w:right w:w="15" w:type="dxa"/>
            </w:tcMar>
            <w:vAlign w:val="bottom"/>
            <w:hideMark/>
          </w:tcPr>
          <w:p w14:paraId="2C4C7B46"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1 meal/month</w:t>
            </w:r>
          </w:p>
        </w:tc>
        <w:tc>
          <w:tcPr>
            <w:tcW w:w="990" w:type="dxa"/>
            <w:tcBorders>
              <w:right w:val="single" w:sz="4" w:space="0" w:color="auto"/>
            </w:tcBorders>
            <w:noWrap/>
            <w:tcMar>
              <w:top w:w="15" w:type="dxa"/>
              <w:left w:w="15" w:type="dxa"/>
              <w:bottom w:w="0" w:type="dxa"/>
              <w:right w:w="15" w:type="dxa"/>
            </w:tcMar>
            <w:vAlign w:val="bottom"/>
            <w:hideMark/>
          </w:tcPr>
          <w:p w14:paraId="6971E39D"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7.5</w:t>
            </w:r>
          </w:p>
        </w:tc>
        <w:tc>
          <w:tcPr>
            <w:tcW w:w="1837" w:type="dxa"/>
            <w:tcBorders>
              <w:top w:val="nil"/>
              <w:left w:val="single" w:sz="4" w:space="0" w:color="auto"/>
              <w:bottom w:val="nil"/>
              <w:right w:val="single" w:sz="4" w:space="0" w:color="auto"/>
            </w:tcBorders>
            <w:noWrap/>
            <w:tcMar>
              <w:top w:w="15" w:type="dxa"/>
              <w:left w:w="15" w:type="dxa"/>
              <w:bottom w:w="0" w:type="dxa"/>
              <w:right w:w="15" w:type="dxa"/>
            </w:tcMar>
            <w:vAlign w:val="center"/>
            <w:hideMark/>
          </w:tcPr>
          <w:p w14:paraId="5135E1FD" w14:textId="3D4B5436" w:rsidR="003A38A6" w:rsidRPr="00874351" w:rsidRDefault="003A38A6" w:rsidP="00B73483">
            <w:pPr>
              <w:spacing w:after="0" w:line="240" w:lineRule="auto"/>
              <w:jc w:val="center"/>
              <w:rPr>
                <w:rFonts w:cstheme="minorHAnsi"/>
                <w:color w:val="000000"/>
              </w:rPr>
            </w:pPr>
            <w:r w:rsidRPr="000F76E5">
              <w:rPr>
                <w:rFonts w:cstheme="minorHAnsi"/>
                <w:bCs/>
                <w:color w:val="000000"/>
              </w:rPr>
              <w:t>&gt;</w:t>
            </w:r>
            <w:r w:rsidRPr="00E1140A">
              <w:rPr>
                <w:rFonts w:cstheme="minorHAnsi"/>
                <w:color w:val="000000"/>
              </w:rPr>
              <w:t xml:space="preserve"> </w:t>
            </w:r>
            <w:r>
              <w:rPr>
                <w:rFonts w:cstheme="minorHAnsi"/>
                <w:color w:val="000000"/>
              </w:rPr>
              <w:t>7.62 - 15.2</w:t>
            </w:r>
          </w:p>
        </w:tc>
        <w:tc>
          <w:tcPr>
            <w:tcW w:w="1737" w:type="dxa"/>
            <w:tcBorders>
              <w:top w:val="nil"/>
              <w:left w:val="nil"/>
              <w:bottom w:val="nil"/>
              <w:right w:val="single" w:sz="4" w:space="0" w:color="auto"/>
            </w:tcBorders>
          </w:tcPr>
          <w:p w14:paraId="40225B63" w14:textId="26497196" w:rsidR="003A38A6" w:rsidRPr="000F76E5" w:rsidRDefault="003A38A6" w:rsidP="00B73483">
            <w:pPr>
              <w:spacing w:after="0" w:line="240" w:lineRule="auto"/>
              <w:jc w:val="center"/>
              <w:rPr>
                <w:rFonts w:cstheme="minorHAnsi"/>
                <w:bCs/>
                <w:color w:val="000000"/>
              </w:rPr>
            </w:pPr>
            <w:r w:rsidRPr="000E378E">
              <w:rPr>
                <w:rFonts w:cstheme="minorHAnsi"/>
                <w:bCs/>
                <w:color w:val="000000"/>
              </w:rPr>
              <w:t>&gt;</w:t>
            </w:r>
            <w:r w:rsidRPr="00F16FC4">
              <w:rPr>
                <w:rFonts w:cstheme="minorHAnsi"/>
                <w:bCs/>
                <w:color w:val="000000"/>
              </w:rPr>
              <w:t xml:space="preserve"> </w:t>
            </w:r>
            <w:r>
              <w:rPr>
                <w:rFonts w:cstheme="minorHAnsi"/>
                <w:color w:val="000000"/>
              </w:rPr>
              <w:t>3,800</w:t>
            </w:r>
            <w:r>
              <w:rPr>
                <w:rFonts w:cstheme="minorHAnsi"/>
                <w:bCs/>
                <w:color w:val="000000"/>
              </w:rPr>
              <w:t xml:space="preserve">- </w:t>
            </w:r>
            <w:r>
              <w:rPr>
                <w:rFonts w:cstheme="minorHAnsi"/>
                <w:color w:val="000000"/>
              </w:rPr>
              <w:t>7,610</w:t>
            </w:r>
          </w:p>
        </w:tc>
        <w:tc>
          <w:tcPr>
            <w:tcW w:w="1581" w:type="dxa"/>
            <w:tcBorders>
              <w:top w:val="nil"/>
              <w:left w:val="single" w:sz="4" w:space="0" w:color="auto"/>
              <w:bottom w:val="nil"/>
              <w:right w:val="single" w:sz="4" w:space="0" w:color="auto"/>
            </w:tcBorders>
            <w:shd w:val="clear" w:color="auto" w:fill="auto"/>
          </w:tcPr>
          <w:p w14:paraId="1E966475" w14:textId="7B80D336" w:rsidR="003A38A6" w:rsidRPr="00F16FC4" w:rsidRDefault="003A38A6" w:rsidP="00B73483">
            <w:pPr>
              <w:spacing w:after="0" w:line="240" w:lineRule="auto"/>
              <w:jc w:val="center"/>
              <w:rPr>
                <w:rFonts w:cstheme="minorHAnsi"/>
                <w:color w:val="000000"/>
              </w:rPr>
            </w:pPr>
            <w:r w:rsidRPr="000F76E5">
              <w:rPr>
                <w:rFonts w:cstheme="minorHAnsi"/>
                <w:bCs/>
                <w:color w:val="000000"/>
              </w:rPr>
              <w:t>&gt;</w:t>
            </w:r>
            <w:r w:rsidRPr="00F16FC4">
              <w:rPr>
                <w:rFonts w:cstheme="minorHAnsi"/>
                <w:bCs/>
                <w:color w:val="000000"/>
              </w:rPr>
              <w:t xml:space="preserve"> </w:t>
            </w:r>
            <w:r>
              <w:rPr>
                <w:rFonts w:cstheme="minorHAnsi"/>
                <w:color w:val="000000"/>
              </w:rPr>
              <w:t>1,140 – 2,280</w:t>
            </w:r>
          </w:p>
        </w:tc>
        <w:tc>
          <w:tcPr>
            <w:tcW w:w="1726" w:type="dxa"/>
            <w:tcBorders>
              <w:top w:val="nil"/>
              <w:left w:val="single" w:sz="4" w:space="0" w:color="auto"/>
              <w:bottom w:val="nil"/>
              <w:right w:val="single" w:sz="4" w:space="0" w:color="auto"/>
            </w:tcBorders>
            <w:shd w:val="clear" w:color="auto" w:fill="auto"/>
          </w:tcPr>
          <w:p w14:paraId="7CB9A5E3" w14:textId="4B47C59E" w:rsidR="003A38A6" w:rsidRPr="00491395" w:rsidRDefault="003A38A6" w:rsidP="00B73483">
            <w:pPr>
              <w:spacing w:after="0" w:line="240" w:lineRule="auto"/>
              <w:jc w:val="center"/>
              <w:rPr>
                <w:rFonts w:cstheme="minorHAnsi"/>
                <w:color w:val="000000"/>
              </w:rPr>
            </w:pPr>
            <w:r w:rsidRPr="000F76E5">
              <w:rPr>
                <w:rFonts w:cstheme="minorHAnsi"/>
                <w:bCs/>
                <w:color w:val="000000"/>
              </w:rPr>
              <w:t>&gt;</w:t>
            </w:r>
            <w:r w:rsidRPr="00491395">
              <w:rPr>
                <w:rFonts w:cstheme="minorHAnsi"/>
                <w:bCs/>
                <w:color w:val="000000"/>
              </w:rPr>
              <w:t xml:space="preserve"> </w:t>
            </w:r>
            <w:r>
              <w:rPr>
                <w:rFonts w:cstheme="minorHAnsi"/>
                <w:bCs/>
                <w:color w:val="000000"/>
              </w:rPr>
              <w:t xml:space="preserve">76.2 - </w:t>
            </w:r>
            <w:r w:rsidRPr="00491395">
              <w:rPr>
                <w:rFonts w:cstheme="minorHAnsi"/>
                <w:color w:val="000000"/>
              </w:rPr>
              <w:t>152</w:t>
            </w:r>
          </w:p>
        </w:tc>
        <w:tc>
          <w:tcPr>
            <w:tcW w:w="1911" w:type="dxa"/>
            <w:tcBorders>
              <w:top w:val="nil"/>
              <w:left w:val="nil"/>
              <w:bottom w:val="nil"/>
              <w:right w:val="single" w:sz="4" w:space="0" w:color="auto"/>
            </w:tcBorders>
            <w:shd w:val="clear" w:color="auto" w:fill="auto"/>
          </w:tcPr>
          <w:p w14:paraId="01D64212" w14:textId="7A9199D7" w:rsidR="003A38A6" w:rsidRPr="00491395" w:rsidRDefault="003A38A6" w:rsidP="00B73483">
            <w:pPr>
              <w:spacing w:after="0" w:line="240" w:lineRule="auto"/>
              <w:jc w:val="center"/>
              <w:rPr>
                <w:rFonts w:cstheme="minorHAnsi"/>
                <w:color w:val="000000"/>
              </w:rPr>
            </w:pPr>
            <w:r w:rsidRPr="00800A93">
              <w:rPr>
                <w:rFonts w:cstheme="minorHAnsi"/>
                <w:bCs/>
                <w:color w:val="000000"/>
              </w:rPr>
              <w:t>&gt;</w:t>
            </w:r>
            <w:r w:rsidRPr="00491395">
              <w:rPr>
                <w:rFonts w:cstheme="minorHAnsi"/>
                <w:bCs/>
                <w:color w:val="000000"/>
              </w:rPr>
              <w:t xml:space="preserve"> </w:t>
            </w:r>
            <w:r>
              <w:rPr>
                <w:rFonts w:cstheme="minorHAnsi"/>
                <w:bCs/>
                <w:color w:val="000000"/>
              </w:rPr>
              <w:t xml:space="preserve">11.4 - </w:t>
            </w:r>
            <w:r w:rsidRPr="00491395">
              <w:rPr>
                <w:rFonts w:cstheme="minorHAnsi"/>
                <w:color w:val="000000"/>
              </w:rPr>
              <w:t>22.</w:t>
            </w:r>
            <w:r>
              <w:rPr>
                <w:rFonts w:cstheme="minorHAnsi"/>
                <w:color w:val="000000"/>
              </w:rPr>
              <w:t>9</w:t>
            </w:r>
          </w:p>
        </w:tc>
      </w:tr>
      <w:tr w:rsidR="003A38A6" w14:paraId="09899A9C" w14:textId="6284B597" w:rsidTr="00DB797B">
        <w:trPr>
          <w:trHeight w:val="288"/>
        </w:trPr>
        <w:tc>
          <w:tcPr>
            <w:tcW w:w="1330" w:type="dxa"/>
            <w:vMerge/>
            <w:tcBorders>
              <w:top w:val="single" w:sz="4" w:space="0" w:color="auto"/>
              <w:left w:val="single" w:sz="4" w:space="0" w:color="auto"/>
              <w:bottom w:val="single" w:sz="4" w:space="0" w:color="auto"/>
              <w:right w:val="nil"/>
            </w:tcBorders>
            <w:vAlign w:val="center"/>
            <w:hideMark/>
          </w:tcPr>
          <w:p w14:paraId="70BD42FC" w14:textId="77777777" w:rsidR="003A38A6" w:rsidRPr="00874351" w:rsidRDefault="003A38A6" w:rsidP="00B73483">
            <w:pPr>
              <w:rPr>
                <w:rFonts w:cstheme="minorHAnsi"/>
                <w:b/>
                <w:bCs/>
                <w:color w:val="000000"/>
              </w:rPr>
            </w:pPr>
          </w:p>
        </w:tc>
        <w:tc>
          <w:tcPr>
            <w:tcW w:w="1710" w:type="dxa"/>
            <w:noWrap/>
            <w:tcMar>
              <w:top w:w="15" w:type="dxa"/>
              <w:left w:w="15" w:type="dxa"/>
              <w:bottom w:w="0" w:type="dxa"/>
              <w:right w:w="15" w:type="dxa"/>
            </w:tcMar>
            <w:vAlign w:val="bottom"/>
            <w:hideMark/>
          </w:tcPr>
          <w:p w14:paraId="27BFBE5A"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1 meal/2 months</w:t>
            </w:r>
          </w:p>
        </w:tc>
        <w:tc>
          <w:tcPr>
            <w:tcW w:w="990" w:type="dxa"/>
            <w:tcBorders>
              <w:right w:val="single" w:sz="4" w:space="0" w:color="auto"/>
            </w:tcBorders>
            <w:noWrap/>
            <w:tcMar>
              <w:top w:w="15" w:type="dxa"/>
              <w:left w:w="15" w:type="dxa"/>
              <w:bottom w:w="0" w:type="dxa"/>
              <w:right w:w="15" w:type="dxa"/>
            </w:tcMar>
            <w:vAlign w:val="bottom"/>
            <w:hideMark/>
          </w:tcPr>
          <w:p w14:paraId="5EED779E"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3.7</w:t>
            </w:r>
          </w:p>
        </w:tc>
        <w:tc>
          <w:tcPr>
            <w:tcW w:w="1837" w:type="dxa"/>
            <w:tcBorders>
              <w:top w:val="nil"/>
              <w:left w:val="single" w:sz="4" w:space="0" w:color="auto"/>
              <w:bottom w:val="nil"/>
              <w:right w:val="single" w:sz="4" w:space="0" w:color="auto"/>
            </w:tcBorders>
            <w:noWrap/>
            <w:tcMar>
              <w:top w:w="15" w:type="dxa"/>
              <w:left w:w="15" w:type="dxa"/>
              <w:bottom w:w="0" w:type="dxa"/>
              <w:right w:w="15" w:type="dxa"/>
            </w:tcMar>
            <w:vAlign w:val="center"/>
            <w:hideMark/>
          </w:tcPr>
          <w:p w14:paraId="5712DBDD" w14:textId="0AEF5920" w:rsidR="003A38A6" w:rsidRPr="00874351" w:rsidRDefault="003A38A6" w:rsidP="00B73483">
            <w:pPr>
              <w:spacing w:after="0" w:line="240" w:lineRule="auto"/>
              <w:jc w:val="center"/>
              <w:rPr>
                <w:rFonts w:cstheme="minorHAnsi"/>
                <w:color w:val="000000"/>
              </w:rPr>
            </w:pPr>
            <w:r w:rsidRPr="000F76E5">
              <w:rPr>
                <w:rFonts w:cstheme="minorHAnsi"/>
                <w:bCs/>
                <w:color w:val="000000"/>
              </w:rPr>
              <w:t>&gt;</w:t>
            </w:r>
            <w:r w:rsidRPr="00E1140A">
              <w:rPr>
                <w:rFonts w:cstheme="minorHAnsi"/>
                <w:color w:val="000000"/>
              </w:rPr>
              <w:t xml:space="preserve"> </w:t>
            </w:r>
            <w:r>
              <w:rPr>
                <w:rFonts w:cstheme="minorHAnsi"/>
                <w:color w:val="000000"/>
              </w:rPr>
              <w:t>15.2 - 30.5</w:t>
            </w:r>
          </w:p>
        </w:tc>
        <w:tc>
          <w:tcPr>
            <w:tcW w:w="1737" w:type="dxa"/>
            <w:tcBorders>
              <w:top w:val="nil"/>
              <w:left w:val="nil"/>
              <w:bottom w:val="nil"/>
              <w:right w:val="single" w:sz="4" w:space="0" w:color="auto"/>
            </w:tcBorders>
          </w:tcPr>
          <w:p w14:paraId="2ABC14C6" w14:textId="265B1110" w:rsidR="003A38A6" w:rsidRPr="000F76E5" w:rsidRDefault="003A38A6" w:rsidP="00B73483">
            <w:pPr>
              <w:spacing w:after="0" w:line="240" w:lineRule="auto"/>
              <w:jc w:val="center"/>
              <w:rPr>
                <w:rFonts w:cstheme="minorHAnsi"/>
                <w:bCs/>
                <w:color w:val="000000"/>
              </w:rPr>
            </w:pPr>
            <w:r w:rsidRPr="000E378E">
              <w:rPr>
                <w:rFonts w:cstheme="minorHAnsi"/>
                <w:bCs/>
                <w:color w:val="000000"/>
              </w:rPr>
              <w:t>&gt;</w:t>
            </w:r>
            <w:r w:rsidRPr="00F16FC4">
              <w:rPr>
                <w:rFonts w:cstheme="minorHAnsi"/>
                <w:bCs/>
                <w:color w:val="000000"/>
              </w:rPr>
              <w:t xml:space="preserve"> </w:t>
            </w:r>
            <w:r>
              <w:rPr>
                <w:rFonts w:cstheme="minorHAnsi"/>
                <w:color w:val="000000"/>
              </w:rPr>
              <w:t>7,610</w:t>
            </w:r>
            <w:r>
              <w:rPr>
                <w:rFonts w:cstheme="minorHAnsi"/>
                <w:bCs/>
                <w:color w:val="000000"/>
              </w:rPr>
              <w:t xml:space="preserve">- </w:t>
            </w:r>
            <w:r>
              <w:rPr>
                <w:rFonts w:cstheme="minorHAnsi"/>
                <w:color w:val="000000"/>
              </w:rPr>
              <w:t>15,200</w:t>
            </w:r>
          </w:p>
        </w:tc>
        <w:tc>
          <w:tcPr>
            <w:tcW w:w="1581" w:type="dxa"/>
            <w:tcBorders>
              <w:top w:val="nil"/>
              <w:left w:val="single" w:sz="4" w:space="0" w:color="auto"/>
              <w:bottom w:val="nil"/>
              <w:right w:val="single" w:sz="4" w:space="0" w:color="auto"/>
            </w:tcBorders>
            <w:shd w:val="clear" w:color="auto" w:fill="auto"/>
          </w:tcPr>
          <w:p w14:paraId="1AAFF829" w14:textId="3A048B4B" w:rsidR="003A38A6" w:rsidRPr="00F16FC4" w:rsidRDefault="003A38A6" w:rsidP="00B73483">
            <w:pPr>
              <w:spacing w:after="0" w:line="240" w:lineRule="auto"/>
              <w:jc w:val="center"/>
              <w:rPr>
                <w:rFonts w:cstheme="minorHAnsi"/>
                <w:color w:val="000000"/>
              </w:rPr>
            </w:pPr>
            <w:r w:rsidRPr="000F76E5">
              <w:rPr>
                <w:rFonts w:cstheme="minorHAnsi"/>
                <w:bCs/>
                <w:color w:val="000000"/>
              </w:rPr>
              <w:t>&gt;</w:t>
            </w:r>
            <w:r w:rsidRPr="00F16FC4">
              <w:rPr>
                <w:rFonts w:cstheme="minorHAnsi"/>
                <w:bCs/>
                <w:color w:val="000000"/>
              </w:rPr>
              <w:t xml:space="preserve"> </w:t>
            </w:r>
            <w:r>
              <w:rPr>
                <w:rFonts w:cstheme="minorHAnsi"/>
                <w:color w:val="000000"/>
              </w:rPr>
              <w:t>2,280 - 4,570</w:t>
            </w:r>
          </w:p>
        </w:tc>
        <w:tc>
          <w:tcPr>
            <w:tcW w:w="1726" w:type="dxa"/>
            <w:tcBorders>
              <w:top w:val="nil"/>
              <w:left w:val="single" w:sz="4" w:space="0" w:color="auto"/>
              <w:bottom w:val="nil"/>
              <w:right w:val="single" w:sz="4" w:space="0" w:color="auto"/>
            </w:tcBorders>
            <w:shd w:val="clear" w:color="auto" w:fill="auto"/>
          </w:tcPr>
          <w:p w14:paraId="0F26DEB2" w14:textId="74AF813B" w:rsidR="003A38A6" w:rsidRPr="00491395" w:rsidRDefault="003A38A6" w:rsidP="00B73483">
            <w:pPr>
              <w:spacing w:after="0" w:line="240" w:lineRule="auto"/>
              <w:jc w:val="center"/>
              <w:rPr>
                <w:rFonts w:cstheme="minorHAnsi"/>
                <w:color w:val="000000"/>
              </w:rPr>
            </w:pPr>
            <w:r w:rsidRPr="000F76E5">
              <w:rPr>
                <w:rFonts w:cstheme="minorHAnsi"/>
                <w:bCs/>
                <w:color w:val="000000"/>
              </w:rPr>
              <w:t>&gt;</w:t>
            </w:r>
            <w:r w:rsidRPr="00491395">
              <w:rPr>
                <w:rFonts w:cstheme="minorHAnsi"/>
                <w:bCs/>
                <w:color w:val="000000"/>
              </w:rPr>
              <w:t xml:space="preserve"> </w:t>
            </w:r>
            <w:r>
              <w:rPr>
                <w:rFonts w:cstheme="minorHAnsi"/>
                <w:bCs/>
                <w:color w:val="000000"/>
              </w:rPr>
              <w:t xml:space="preserve">152 - </w:t>
            </w:r>
            <w:r w:rsidRPr="00491395">
              <w:rPr>
                <w:rFonts w:cstheme="minorHAnsi"/>
                <w:color w:val="000000"/>
              </w:rPr>
              <w:t>305</w:t>
            </w:r>
          </w:p>
        </w:tc>
        <w:tc>
          <w:tcPr>
            <w:tcW w:w="1911" w:type="dxa"/>
            <w:tcBorders>
              <w:top w:val="nil"/>
              <w:left w:val="nil"/>
              <w:bottom w:val="nil"/>
              <w:right w:val="single" w:sz="4" w:space="0" w:color="auto"/>
            </w:tcBorders>
            <w:shd w:val="clear" w:color="auto" w:fill="auto"/>
          </w:tcPr>
          <w:p w14:paraId="17FF53A4" w14:textId="2FF6201B" w:rsidR="003A38A6" w:rsidRPr="00491395" w:rsidRDefault="003A38A6" w:rsidP="00B73483">
            <w:pPr>
              <w:spacing w:after="0" w:line="240" w:lineRule="auto"/>
              <w:jc w:val="center"/>
              <w:rPr>
                <w:rFonts w:cstheme="minorHAnsi"/>
                <w:color w:val="000000"/>
              </w:rPr>
            </w:pPr>
            <w:r w:rsidRPr="00800A93">
              <w:rPr>
                <w:rFonts w:cstheme="minorHAnsi"/>
                <w:bCs/>
                <w:color w:val="000000"/>
              </w:rPr>
              <w:t>&gt;</w:t>
            </w:r>
            <w:r w:rsidRPr="00491395">
              <w:rPr>
                <w:rFonts w:cstheme="minorHAnsi"/>
                <w:bCs/>
                <w:color w:val="000000"/>
              </w:rPr>
              <w:t xml:space="preserve"> </w:t>
            </w:r>
            <w:r>
              <w:rPr>
                <w:rFonts w:cstheme="minorHAnsi"/>
                <w:bCs/>
                <w:color w:val="000000"/>
              </w:rPr>
              <w:t xml:space="preserve">22.9 - </w:t>
            </w:r>
            <w:r w:rsidRPr="00491395">
              <w:rPr>
                <w:rFonts w:cstheme="minorHAnsi"/>
                <w:color w:val="000000"/>
              </w:rPr>
              <w:t>45.7</w:t>
            </w:r>
          </w:p>
        </w:tc>
      </w:tr>
      <w:tr w:rsidR="003A38A6" w14:paraId="100AB2CF" w14:textId="1B55BDB1" w:rsidTr="00DB797B">
        <w:trPr>
          <w:trHeight w:val="288"/>
        </w:trPr>
        <w:tc>
          <w:tcPr>
            <w:tcW w:w="1330" w:type="dxa"/>
            <w:vMerge/>
            <w:tcBorders>
              <w:top w:val="single" w:sz="4" w:space="0" w:color="auto"/>
              <w:left w:val="single" w:sz="4" w:space="0" w:color="auto"/>
              <w:bottom w:val="single" w:sz="4" w:space="0" w:color="auto"/>
              <w:right w:val="nil"/>
            </w:tcBorders>
            <w:vAlign w:val="center"/>
            <w:hideMark/>
          </w:tcPr>
          <w:p w14:paraId="7EFD06AB" w14:textId="77777777" w:rsidR="003A38A6" w:rsidRPr="00874351" w:rsidRDefault="003A38A6" w:rsidP="00B73483">
            <w:pPr>
              <w:rPr>
                <w:rFonts w:cstheme="minorHAnsi"/>
                <w:b/>
                <w:bCs/>
                <w:color w:val="000000"/>
              </w:rPr>
            </w:pPr>
          </w:p>
        </w:tc>
        <w:tc>
          <w:tcPr>
            <w:tcW w:w="1710" w:type="dxa"/>
            <w:noWrap/>
            <w:tcMar>
              <w:top w:w="15" w:type="dxa"/>
              <w:left w:w="15" w:type="dxa"/>
              <w:bottom w:w="0" w:type="dxa"/>
              <w:right w:w="15" w:type="dxa"/>
            </w:tcMar>
            <w:vAlign w:val="bottom"/>
            <w:hideMark/>
          </w:tcPr>
          <w:p w14:paraId="4BF5D092"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1 meal/6 months</w:t>
            </w:r>
          </w:p>
        </w:tc>
        <w:tc>
          <w:tcPr>
            <w:tcW w:w="990" w:type="dxa"/>
            <w:tcBorders>
              <w:right w:val="single" w:sz="4" w:space="0" w:color="auto"/>
            </w:tcBorders>
            <w:noWrap/>
            <w:tcMar>
              <w:top w:w="15" w:type="dxa"/>
              <w:left w:w="15" w:type="dxa"/>
              <w:bottom w:w="0" w:type="dxa"/>
              <w:right w:w="15" w:type="dxa"/>
            </w:tcMar>
            <w:vAlign w:val="bottom"/>
            <w:hideMark/>
          </w:tcPr>
          <w:p w14:paraId="6E571BA1"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1.2</w:t>
            </w:r>
          </w:p>
        </w:tc>
        <w:tc>
          <w:tcPr>
            <w:tcW w:w="1837" w:type="dxa"/>
            <w:tcBorders>
              <w:top w:val="nil"/>
              <w:left w:val="single" w:sz="4" w:space="0" w:color="auto"/>
              <w:bottom w:val="nil"/>
              <w:right w:val="single" w:sz="4" w:space="0" w:color="auto"/>
            </w:tcBorders>
            <w:noWrap/>
            <w:tcMar>
              <w:top w:w="15" w:type="dxa"/>
              <w:left w:w="15" w:type="dxa"/>
              <w:bottom w:w="0" w:type="dxa"/>
              <w:right w:w="15" w:type="dxa"/>
            </w:tcMar>
            <w:vAlign w:val="center"/>
            <w:hideMark/>
          </w:tcPr>
          <w:p w14:paraId="1ECBEB32" w14:textId="09052F03" w:rsidR="003A38A6" w:rsidRPr="00874351" w:rsidRDefault="003A38A6" w:rsidP="00B73483">
            <w:pPr>
              <w:spacing w:after="0" w:line="240" w:lineRule="auto"/>
              <w:jc w:val="center"/>
              <w:rPr>
                <w:rFonts w:cstheme="minorHAnsi"/>
                <w:color w:val="000000"/>
              </w:rPr>
            </w:pPr>
            <w:r w:rsidRPr="000F76E5">
              <w:rPr>
                <w:rFonts w:cstheme="minorHAnsi"/>
                <w:bCs/>
                <w:color w:val="000000"/>
              </w:rPr>
              <w:t>&gt;</w:t>
            </w:r>
            <w:r w:rsidRPr="00E1140A">
              <w:rPr>
                <w:rFonts w:cstheme="minorHAnsi"/>
                <w:color w:val="000000"/>
              </w:rPr>
              <w:t xml:space="preserve"> </w:t>
            </w:r>
            <w:r>
              <w:rPr>
                <w:rFonts w:cstheme="minorHAnsi"/>
                <w:color w:val="000000"/>
              </w:rPr>
              <w:t>30.5 - 91.4</w:t>
            </w:r>
          </w:p>
        </w:tc>
        <w:tc>
          <w:tcPr>
            <w:tcW w:w="1737" w:type="dxa"/>
            <w:tcBorders>
              <w:top w:val="nil"/>
              <w:left w:val="nil"/>
              <w:bottom w:val="nil"/>
              <w:right w:val="single" w:sz="4" w:space="0" w:color="auto"/>
            </w:tcBorders>
          </w:tcPr>
          <w:p w14:paraId="18C2A1AE" w14:textId="583F504B" w:rsidR="003A38A6" w:rsidRPr="000F76E5" w:rsidRDefault="003A38A6" w:rsidP="00B73483">
            <w:pPr>
              <w:spacing w:after="0" w:line="240" w:lineRule="auto"/>
              <w:jc w:val="center"/>
              <w:rPr>
                <w:rFonts w:cstheme="minorHAnsi"/>
                <w:bCs/>
                <w:color w:val="000000"/>
              </w:rPr>
            </w:pPr>
            <w:r w:rsidRPr="000E378E">
              <w:rPr>
                <w:rFonts w:cstheme="minorHAnsi"/>
                <w:bCs/>
                <w:color w:val="000000"/>
              </w:rPr>
              <w:t>&gt;</w:t>
            </w:r>
            <w:r w:rsidRPr="00F16FC4">
              <w:rPr>
                <w:rFonts w:cstheme="minorHAnsi"/>
                <w:bCs/>
                <w:color w:val="000000"/>
              </w:rPr>
              <w:t xml:space="preserve"> </w:t>
            </w:r>
            <w:r>
              <w:rPr>
                <w:rFonts w:cstheme="minorHAnsi"/>
                <w:color w:val="000000"/>
              </w:rPr>
              <w:t xml:space="preserve">15,200 </w:t>
            </w:r>
            <w:r>
              <w:rPr>
                <w:rFonts w:cstheme="minorHAnsi"/>
                <w:bCs/>
                <w:color w:val="000000"/>
              </w:rPr>
              <w:t xml:space="preserve">- </w:t>
            </w:r>
            <w:r>
              <w:rPr>
                <w:rFonts w:cstheme="minorHAnsi"/>
                <w:color w:val="000000"/>
              </w:rPr>
              <w:t>45,700</w:t>
            </w:r>
          </w:p>
        </w:tc>
        <w:tc>
          <w:tcPr>
            <w:tcW w:w="1581" w:type="dxa"/>
            <w:tcBorders>
              <w:top w:val="nil"/>
              <w:left w:val="single" w:sz="4" w:space="0" w:color="auto"/>
              <w:bottom w:val="nil"/>
              <w:right w:val="single" w:sz="4" w:space="0" w:color="auto"/>
            </w:tcBorders>
            <w:shd w:val="clear" w:color="auto" w:fill="auto"/>
          </w:tcPr>
          <w:p w14:paraId="22E0A2B6" w14:textId="581065BB" w:rsidR="003A38A6" w:rsidRPr="00F16FC4" w:rsidRDefault="003A38A6" w:rsidP="00B73483">
            <w:pPr>
              <w:spacing w:after="0" w:line="240" w:lineRule="auto"/>
              <w:jc w:val="center"/>
              <w:rPr>
                <w:rFonts w:cstheme="minorHAnsi"/>
                <w:color w:val="000000"/>
              </w:rPr>
            </w:pPr>
            <w:r w:rsidRPr="000F76E5">
              <w:rPr>
                <w:rFonts w:cstheme="minorHAnsi"/>
                <w:bCs/>
                <w:color w:val="000000"/>
              </w:rPr>
              <w:t>&gt;</w:t>
            </w:r>
            <w:r w:rsidRPr="00F16FC4">
              <w:rPr>
                <w:rFonts w:cstheme="minorHAnsi"/>
                <w:bCs/>
                <w:color w:val="000000"/>
              </w:rPr>
              <w:t xml:space="preserve"> </w:t>
            </w:r>
            <w:r>
              <w:rPr>
                <w:rFonts w:cstheme="minorHAnsi"/>
                <w:color w:val="000000"/>
              </w:rPr>
              <w:t>4,570 - 13,700</w:t>
            </w:r>
          </w:p>
        </w:tc>
        <w:tc>
          <w:tcPr>
            <w:tcW w:w="1726" w:type="dxa"/>
            <w:tcBorders>
              <w:top w:val="nil"/>
              <w:left w:val="single" w:sz="4" w:space="0" w:color="auto"/>
              <w:bottom w:val="nil"/>
              <w:right w:val="single" w:sz="4" w:space="0" w:color="auto"/>
            </w:tcBorders>
            <w:shd w:val="clear" w:color="auto" w:fill="auto"/>
          </w:tcPr>
          <w:p w14:paraId="0C6BC956" w14:textId="46955093" w:rsidR="003A38A6" w:rsidRPr="00491395" w:rsidRDefault="003A38A6" w:rsidP="00B73483">
            <w:pPr>
              <w:spacing w:after="0" w:line="240" w:lineRule="auto"/>
              <w:jc w:val="center"/>
              <w:rPr>
                <w:rFonts w:cstheme="minorHAnsi"/>
                <w:color w:val="000000"/>
              </w:rPr>
            </w:pPr>
            <w:r w:rsidRPr="000F76E5">
              <w:rPr>
                <w:rFonts w:cstheme="minorHAnsi"/>
                <w:bCs/>
                <w:color w:val="000000"/>
              </w:rPr>
              <w:t>&gt;</w:t>
            </w:r>
            <w:r w:rsidRPr="00491395">
              <w:rPr>
                <w:rFonts w:cstheme="minorHAnsi"/>
                <w:bCs/>
                <w:color w:val="000000"/>
              </w:rPr>
              <w:t xml:space="preserve"> </w:t>
            </w:r>
            <w:r>
              <w:rPr>
                <w:rFonts w:cstheme="minorHAnsi"/>
                <w:bCs/>
                <w:color w:val="000000"/>
              </w:rPr>
              <w:t xml:space="preserve">305 - </w:t>
            </w:r>
            <w:r w:rsidRPr="00491395">
              <w:rPr>
                <w:rFonts w:cstheme="minorHAnsi"/>
                <w:color w:val="000000"/>
              </w:rPr>
              <w:t>914</w:t>
            </w:r>
          </w:p>
        </w:tc>
        <w:tc>
          <w:tcPr>
            <w:tcW w:w="1911" w:type="dxa"/>
            <w:tcBorders>
              <w:top w:val="nil"/>
              <w:left w:val="nil"/>
              <w:bottom w:val="nil"/>
              <w:right w:val="single" w:sz="4" w:space="0" w:color="auto"/>
            </w:tcBorders>
            <w:shd w:val="clear" w:color="auto" w:fill="auto"/>
          </w:tcPr>
          <w:p w14:paraId="47E31632" w14:textId="56D17979" w:rsidR="003A38A6" w:rsidRPr="00491395" w:rsidRDefault="003A38A6" w:rsidP="00B73483">
            <w:pPr>
              <w:spacing w:after="0" w:line="240" w:lineRule="auto"/>
              <w:jc w:val="center"/>
              <w:rPr>
                <w:rFonts w:cstheme="minorHAnsi"/>
                <w:color w:val="000000"/>
              </w:rPr>
            </w:pPr>
            <w:r w:rsidRPr="00800A93">
              <w:rPr>
                <w:rFonts w:cstheme="minorHAnsi"/>
                <w:bCs/>
                <w:color w:val="000000"/>
              </w:rPr>
              <w:t>&gt;</w:t>
            </w:r>
            <w:r w:rsidRPr="00491395">
              <w:rPr>
                <w:rFonts w:cstheme="minorHAnsi"/>
                <w:bCs/>
                <w:color w:val="000000"/>
              </w:rPr>
              <w:t xml:space="preserve"> </w:t>
            </w:r>
            <w:r>
              <w:rPr>
                <w:rFonts w:cstheme="minorHAnsi"/>
                <w:bCs/>
                <w:color w:val="000000"/>
              </w:rPr>
              <w:t xml:space="preserve">45.7 - </w:t>
            </w:r>
            <w:r w:rsidRPr="00491395">
              <w:rPr>
                <w:rFonts w:cstheme="minorHAnsi"/>
                <w:color w:val="000000"/>
              </w:rPr>
              <w:t>137</w:t>
            </w:r>
          </w:p>
        </w:tc>
      </w:tr>
      <w:tr w:rsidR="003A38A6" w14:paraId="648AAEB1" w14:textId="10AC5E9D" w:rsidTr="00DB797B">
        <w:trPr>
          <w:trHeight w:val="288"/>
        </w:trPr>
        <w:tc>
          <w:tcPr>
            <w:tcW w:w="1330" w:type="dxa"/>
            <w:vMerge/>
            <w:tcBorders>
              <w:top w:val="single" w:sz="4" w:space="0" w:color="auto"/>
              <w:left w:val="single" w:sz="4" w:space="0" w:color="auto"/>
              <w:bottom w:val="single" w:sz="4" w:space="0" w:color="auto"/>
              <w:right w:val="nil"/>
            </w:tcBorders>
            <w:vAlign w:val="center"/>
            <w:hideMark/>
          </w:tcPr>
          <w:p w14:paraId="057A7A48" w14:textId="77777777" w:rsidR="003A38A6" w:rsidRPr="00874351" w:rsidRDefault="003A38A6" w:rsidP="00B73483">
            <w:pPr>
              <w:rPr>
                <w:rFonts w:cstheme="minorHAnsi"/>
                <w:b/>
                <w:bCs/>
                <w:color w:val="000000"/>
              </w:rPr>
            </w:pPr>
          </w:p>
        </w:tc>
        <w:tc>
          <w:tcPr>
            <w:tcW w:w="1710" w:type="dxa"/>
            <w:noWrap/>
            <w:tcMar>
              <w:top w:w="15" w:type="dxa"/>
              <w:left w:w="15" w:type="dxa"/>
              <w:bottom w:w="0" w:type="dxa"/>
              <w:right w:w="15" w:type="dxa"/>
            </w:tcMar>
            <w:vAlign w:val="bottom"/>
            <w:hideMark/>
          </w:tcPr>
          <w:p w14:paraId="46B1CFC8"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1 meal/year</w:t>
            </w:r>
          </w:p>
        </w:tc>
        <w:tc>
          <w:tcPr>
            <w:tcW w:w="990" w:type="dxa"/>
            <w:tcBorders>
              <w:right w:val="single" w:sz="4" w:space="0" w:color="auto"/>
            </w:tcBorders>
            <w:noWrap/>
            <w:tcMar>
              <w:top w:w="15" w:type="dxa"/>
              <w:left w:w="15" w:type="dxa"/>
              <w:bottom w:w="0" w:type="dxa"/>
              <w:right w:w="15" w:type="dxa"/>
            </w:tcMar>
            <w:vAlign w:val="bottom"/>
            <w:hideMark/>
          </w:tcPr>
          <w:p w14:paraId="0E2600DB"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0.6</w:t>
            </w:r>
          </w:p>
        </w:tc>
        <w:tc>
          <w:tcPr>
            <w:tcW w:w="1837" w:type="dxa"/>
            <w:tcBorders>
              <w:top w:val="nil"/>
              <w:left w:val="single" w:sz="4" w:space="0" w:color="auto"/>
              <w:bottom w:val="nil"/>
              <w:right w:val="single" w:sz="4" w:space="0" w:color="auto"/>
            </w:tcBorders>
            <w:noWrap/>
            <w:tcMar>
              <w:top w:w="15" w:type="dxa"/>
              <w:left w:w="15" w:type="dxa"/>
              <w:bottom w:w="0" w:type="dxa"/>
              <w:right w:w="15" w:type="dxa"/>
            </w:tcMar>
            <w:vAlign w:val="center"/>
            <w:hideMark/>
          </w:tcPr>
          <w:p w14:paraId="62FB7A2B" w14:textId="703978CE" w:rsidR="003A38A6" w:rsidRPr="00874351" w:rsidRDefault="003A38A6" w:rsidP="00B73483">
            <w:pPr>
              <w:spacing w:after="0" w:line="240" w:lineRule="auto"/>
              <w:jc w:val="center"/>
              <w:rPr>
                <w:rFonts w:cstheme="minorHAnsi"/>
                <w:color w:val="000000"/>
              </w:rPr>
            </w:pPr>
            <w:r w:rsidRPr="000F76E5">
              <w:rPr>
                <w:rFonts w:cstheme="minorHAnsi"/>
                <w:bCs/>
                <w:color w:val="000000"/>
              </w:rPr>
              <w:t>&gt;</w:t>
            </w:r>
            <w:r w:rsidRPr="00E1140A">
              <w:rPr>
                <w:rFonts w:cstheme="minorHAnsi"/>
                <w:color w:val="000000"/>
              </w:rPr>
              <w:t xml:space="preserve"> </w:t>
            </w:r>
            <w:r>
              <w:rPr>
                <w:rFonts w:cstheme="minorHAnsi"/>
                <w:color w:val="000000"/>
              </w:rPr>
              <w:t>91.4 - 183</w:t>
            </w:r>
          </w:p>
        </w:tc>
        <w:tc>
          <w:tcPr>
            <w:tcW w:w="1737" w:type="dxa"/>
            <w:tcBorders>
              <w:top w:val="nil"/>
              <w:left w:val="nil"/>
              <w:bottom w:val="nil"/>
              <w:right w:val="single" w:sz="4" w:space="0" w:color="auto"/>
            </w:tcBorders>
          </w:tcPr>
          <w:p w14:paraId="7D2737D2" w14:textId="29426DCC" w:rsidR="003A38A6" w:rsidRPr="000F76E5" w:rsidRDefault="003A38A6" w:rsidP="00B73483">
            <w:pPr>
              <w:spacing w:after="0" w:line="240" w:lineRule="auto"/>
              <w:jc w:val="center"/>
              <w:rPr>
                <w:rFonts w:cstheme="minorHAnsi"/>
                <w:bCs/>
                <w:color w:val="000000"/>
              </w:rPr>
            </w:pPr>
            <w:r w:rsidRPr="000E378E">
              <w:rPr>
                <w:rFonts w:cstheme="minorHAnsi"/>
                <w:bCs/>
                <w:color w:val="000000"/>
              </w:rPr>
              <w:t>&gt;</w:t>
            </w:r>
            <w:r w:rsidRPr="00F16FC4">
              <w:rPr>
                <w:rFonts w:cstheme="minorHAnsi"/>
                <w:bCs/>
                <w:color w:val="000000"/>
              </w:rPr>
              <w:t xml:space="preserve"> </w:t>
            </w:r>
            <w:r>
              <w:rPr>
                <w:rFonts w:cstheme="minorHAnsi"/>
                <w:color w:val="000000"/>
              </w:rPr>
              <w:t>45,700</w:t>
            </w:r>
            <w:r>
              <w:rPr>
                <w:rFonts w:cstheme="minorHAnsi"/>
                <w:bCs/>
                <w:color w:val="000000"/>
              </w:rPr>
              <w:t xml:space="preserve">- </w:t>
            </w:r>
            <w:r>
              <w:rPr>
                <w:rFonts w:cstheme="minorHAnsi"/>
                <w:color w:val="000000"/>
              </w:rPr>
              <w:t>91,400</w:t>
            </w:r>
          </w:p>
        </w:tc>
        <w:tc>
          <w:tcPr>
            <w:tcW w:w="1581" w:type="dxa"/>
            <w:tcBorders>
              <w:top w:val="nil"/>
              <w:left w:val="single" w:sz="4" w:space="0" w:color="auto"/>
              <w:bottom w:val="nil"/>
              <w:right w:val="single" w:sz="4" w:space="0" w:color="auto"/>
            </w:tcBorders>
            <w:shd w:val="clear" w:color="auto" w:fill="auto"/>
          </w:tcPr>
          <w:p w14:paraId="03E80E3C" w14:textId="4F6A6744" w:rsidR="003A38A6" w:rsidRPr="00F16FC4" w:rsidRDefault="003A38A6" w:rsidP="00B73483">
            <w:pPr>
              <w:spacing w:after="0" w:line="240" w:lineRule="auto"/>
              <w:jc w:val="center"/>
              <w:rPr>
                <w:rFonts w:cstheme="minorHAnsi"/>
                <w:color w:val="000000"/>
              </w:rPr>
            </w:pPr>
            <w:r w:rsidRPr="000F76E5">
              <w:rPr>
                <w:rFonts w:cstheme="minorHAnsi"/>
                <w:bCs/>
                <w:color w:val="000000"/>
              </w:rPr>
              <w:t>&gt;</w:t>
            </w:r>
            <w:r w:rsidRPr="00F16FC4">
              <w:rPr>
                <w:rFonts w:cstheme="minorHAnsi"/>
                <w:bCs/>
                <w:color w:val="000000"/>
              </w:rPr>
              <w:t xml:space="preserve"> </w:t>
            </w:r>
            <w:r>
              <w:rPr>
                <w:rFonts w:cstheme="minorHAnsi"/>
                <w:color w:val="000000"/>
              </w:rPr>
              <w:t>13,700 - 27,400</w:t>
            </w:r>
          </w:p>
        </w:tc>
        <w:tc>
          <w:tcPr>
            <w:tcW w:w="1726" w:type="dxa"/>
            <w:tcBorders>
              <w:top w:val="nil"/>
              <w:left w:val="single" w:sz="4" w:space="0" w:color="auto"/>
              <w:bottom w:val="nil"/>
              <w:right w:val="single" w:sz="4" w:space="0" w:color="auto"/>
            </w:tcBorders>
            <w:shd w:val="clear" w:color="auto" w:fill="auto"/>
          </w:tcPr>
          <w:p w14:paraId="0BF9E54B" w14:textId="47EE308B" w:rsidR="003A38A6" w:rsidRPr="00491395" w:rsidRDefault="003A38A6" w:rsidP="00B73483">
            <w:pPr>
              <w:spacing w:after="0" w:line="240" w:lineRule="auto"/>
              <w:jc w:val="center"/>
              <w:rPr>
                <w:rFonts w:cstheme="minorHAnsi"/>
                <w:color w:val="000000"/>
              </w:rPr>
            </w:pPr>
            <w:r w:rsidRPr="000F76E5">
              <w:rPr>
                <w:rFonts w:cstheme="minorHAnsi"/>
                <w:bCs/>
                <w:color w:val="000000"/>
              </w:rPr>
              <w:t>&gt;</w:t>
            </w:r>
            <w:r w:rsidRPr="00491395">
              <w:rPr>
                <w:rFonts w:cstheme="minorHAnsi"/>
                <w:bCs/>
                <w:color w:val="000000"/>
              </w:rPr>
              <w:t xml:space="preserve"> </w:t>
            </w:r>
            <w:r>
              <w:rPr>
                <w:rFonts w:cstheme="minorHAnsi"/>
                <w:bCs/>
                <w:color w:val="000000"/>
              </w:rPr>
              <w:t xml:space="preserve">914 - </w:t>
            </w:r>
            <w:r w:rsidRPr="00491395">
              <w:rPr>
                <w:rFonts w:cstheme="minorHAnsi"/>
                <w:color w:val="000000"/>
              </w:rPr>
              <w:t>18</w:t>
            </w:r>
            <w:r>
              <w:rPr>
                <w:rFonts w:cstheme="minorHAnsi"/>
                <w:color w:val="000000"/>
              </w:rPr>
              <w:t>2</w:t>
            </w:r>
            <w:r w:rsidRPr="00491395">
              <w:rPr>
                <w:rFonts w:cstheme="minorHAnsi"/>
                <w:color w:val="000000"/>
              </w:rPr>
              <w:t>0</w:t>
            </w:r>
          </w:p>
        </w:tc>
        <w:tc>
          <w:tcPr>
            <w:tcW w:w="1911" w:type="dxa"/>
            <w:tcBorders>
              <w:top w:val="nil"/>
              <w:left w:val="nil"/>
              <w:bottom w:val="nil"/>
              <w:right w:val="single" w:sz="4" w:space="0" w:color="auto"/>
            </w:tcBorders>
            <w:shd w:val="clear" w:color="auto" w:fill="auto"/>
          </w:tcPr>
          <w:p w14:paraId="79365418" w14:textId="4FD6019B" w:rsidR="003A38A6" w:rsidRPr="00491395" w:rsidRDefault="003A38A6" w:rsidP="00B73483">
            <w:pPr>
              <w:spacing w:after="0" w:line="240" w:lineRule="auto"/>
              <w:jc w:val="center"/>
              <w:rPr>
                <w:rFonts w:cstheme="minorHAnsi"/>
                <w:color w:val="000000"/>
              </w:rPr>
            </w:pPr>
            <w:r w:rsidRPr="00800A93">
              <w:rPr>
                <w:rFonts w:cstheme="minorHAnsi"/>
                <w:bCs/>
                <w:color w:val="000000"/>
              </w:rPr>
              <w:t>&gt;</w:t>
            </w:r>
            <w:r w:rsidRPr="00491395">
              <w:rPr>
                <w:rFonts w:cstheme="minorHAnsi"/>
                <w:bCs/>
                <w:color w:val="000000"/>
              </w:rPr>
              <w:t xml:space="preserve"> </w:t>
            </w:r>
            <w:r>
              <w:rPr>
                <w:rFonts w:cstheme="minorHAnsi"/>
                <w:bCs/>
                <w:color w:val="000000"/>
              </w:rPr>
              <w:t xml:space="preserve">137 - </w:t>
            </w:r>
            <w:r w:rsidRPr="00491395">
              <w:rPr>
                <w:rFonts w:cstheme="minorHAnsi"/>
                <w:color w:val="000000"/>
              </w:rPr>
              <w:t>274</w:t>
            </w:r>
          </w:p>
        </w:tc>
      </w:tr>
      <w:tr w:rsidR="003A38A6" w14:paraId="64CBC013" w14:textId="55A69079" w:rsidTr="00DB797B">
        <w:trPr>
          <w:trHeight w:val="288"/>
        </w:trPr>
        <w:tc>
          <w:tcPr>
            <w:tcW w:w="1330" w:type="dxa"/>
            <w:vMerge/>
            <w:tcBorders>
              <w:top w:val="single" w:sz="4" w:space="0" w:color="auto"/>
              <w:left w:val="single" w:sz="4" w:space="0" w:color="auto"/>
              <w:bottom w:val="single" w:sz="4" w:space="0" w:color="auto"/>
              <w:right w:val="nil"/>
            </w:tcBorders>
            <w:vAlign w:val="center"/>
            <w:hideMark/>
          </w:tcPr>
          <w:p w14:paraId="375CABCC" w14:textId="77777777" w:rsidR="003A38A6" w:rsidRPr="00874351" w:rsidRDefault="003A38A6" w:rsidP="00B73483">
            <w:pPr>
              <w:rPr>
                <w:rFonts w:cstheme="minorHAnsi"/>
                <w:b/>
                <w:bCs/>
                <w:color w:val="000000"/>
              </w:rPr>
            </w:pPr>
          </w:p>
        </w:tc>
        <w:tc>
          <w:tcPr>
            <w:tcW w:w="1710" w:type="dxa"/>
            <w:tcBorders>
              <w:top w:val="nil"/>
              <w:left w:val="nil"/>
              <w:bottom w:val="single" w:sz="4" w:space="0" w:color="auto"/>
              <w:right w:val="nil"/>
            </w:tcBorders>
            <w:noWrap/>
            <w:tcMar>
              <w:top w:w="15" w:type="dxa"/>
              <w:left w:w="15" w:type="dxa"/>
              <w:bottom w:w="0" w:type="dxa"/>
              <w:right w:w="15" w:type="dxa"/>
            </w:tcMar>
            <w:vAlign w:val="bottom"/>
            <w:hideMark/>
          </w:tcPr>
          <w:p w14:paraId="79376F5F"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Do Not Consume</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91AD50D" w14:textId="77777777" w:rsidR="003A38A6" w:rsidRPr="00874351" w:rsidRDefault="003A38A6" w:rsidP="00B73483">
            <w:pPr>
              <w:spacing w:after="0" w:line="240" w:lineRule="auto"/>
              <w:jc w:val="center"/>
              <w:rPr>
                <w:rFonts w:cstheme="minorHAnsi"/>
                <w:color w:val="000000"/>
              </w:rPr>
            </w:pPr>
            <w:r w:rsidRPr="00874351">
              <w:rPr>
                <w:rFonts w:cstheme="minorHAnsi"/>
                <w:color w:val="000000"/>
              </w:rPr>
              <w:t>--</w:t>
            </w:r>
          </w:p>
        </w:tc>
        <w:tc>
          <w:tcPr>
            <w:tcW w:w="183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6C3F78" w14:textId="3B4A652E" w:rsidR="003A38A6" w:rsidRPr="00874351" w:rsidRDefault="003A38A6" w:rsidP="00B73483">
            <w:pPr>
              <w:spacing w:after="0" w:line="240" w:lineRule="auto"/>
              <w:jc w:val="center"/>
              <w:rPr>
                <w:rFonts w:cstheme="minorHAnsi"/>
                <w:color w:val="000000"/>
              </w:rPr>
            </w:pPr>
            <w:r w:rsidRPr="00874351">
              <w:rPr>
                <w:rFonts w:cstheme="minorHAnsi"/>
                <w:color w:val="000000"/>
              </w:rPr>
              <w:t>&gt;</w:t>
            </w:r>
            <w:r>
              <w:rPr>
                <w:rFonts w:cstheme="minorHAnsi"/>
                <w:color w:val="000000"/>
              </w:rPr>
              <w:t xml:space="preserve"> 183</w:t>
            </w:r>
          </w:p>
        </w:tc>
        <w:tc>
          <w:tcPr>
            <w:tcW w:w="1737" w:type="dxa"/>
            <w:tcBorders>
              <w:top w:val="nil"/>
              <w:left w:val="nil"/>
              <w:bottom w:val="single" w:sz="4" w:space="0" w:color="auto"/>
              <w:right w:val="single" w:sz="4" w:space="0" w:color="auto"/>
            </w:tcBorders>
          </w:tcPr>
          <w:p w14:paraId="55F7E973" w14:textId="1C6A1FC6" w:rsidR="003A38A6" w:rsidRDefault="003A38A6" w:rsidP="00B73483">
            <w:pPr>
              <w:spacing w:after="0" w:line="240" w:lineRule="auto"/>
              <w:jc w:val="center"/>
              <w:rPr>
                <w:rFonts w:cstheme="minorHAnsi"/>
                <w:color w:val="000000"/>
              </w:rPr>
            </w:pPr>
            <w:r>
              <w:rPr>
                <w:rFonts w:cstheme="minorHAnsi"/>
                <w:color w:val="000000"/>
              </w:rPr>
              <w:t>&gt; 91,400</w:t>
            </w:r>
          </w:p>
        </w:tc>
        <w:tc>
          <w:tcPr>
            <w:tcW w:w="1581" w:type="dxa"/>
            <w:tcBorders>
              <w:top w:val="nil"/>
              <w:left w:val="single" w:sz="4" w:space="0" w:color="auto"/>
              <w:bottom w:val="single" w:sz="4" w:space="0" w:color="auto"/>
              <w:right w:val="single" w:sz="4" w:space="0" w:color="auto"/>
            </w:tcBorders>
            <w:shd w:val="clear" w:color="auto" w:fill="auto"/>
          </w:tcPr>
          <w:p w14:paraId="7E466B6D" w14:textId="6991BF32" w:rsidR="003A38A6" w:rsidRPr="00F16FC4" w:rsidRDefault="003A38A6" w:rsidP="00B73483">
            <w:pPr>
              <w:spacing w:after="0" w:line="240" w:lineRule="auto"/>
              <w:jc w:val="center"/>
              <w:rPr>
                <w:rFonts w:cstheme="minorHAnsi"/>
                <w:color w:val="000000"/>
              </w:rPr>
            </w:pPr>
            <w:r>
              <w:rPr>
                <w:rFonts w:cstheme="minorHAnsi"/>
                <w:color w:val="000000"/>
              </w:rPr>
              <w:t>&gt; 27,400</w:t>
            </w:r>
          </w:p>
        </w:tc>
        <w:tc>
          <w:tcPr>
            <w:tcW w:w="1726" w:type="dxa"/>
            <w:tcBorders>
              <w:top w:val="nil"/>
              <w:left w:val="single" w:sz="4" w:space="0" w:color="auto"/>
              <w:bottom w:val="single" w:sz="4" w:space="0" w:color="auto"/>
              <w:right w:val="single" w:sz="4" w:space="0" w:color="auto"/>
            </w:tcBorders>
            <w:shd w:val="clear" w:color="auto" w:fill="auto"/>
          </w:tcPr>
          <w:p w14:paraId="41BD7C80" w14:textId="138A0DC5" w:rsidR="003A38A6" w:rsidRPr="00874351" w:rsidRDefault="003A38A6" w:rsidP="00B73483">
            <w:pPr>
              <w:spacing w:after="0" w:line="240" w:lineRule="auto"/>
              <w:jc w:val="center"/>
              <w:rPr>
                <w:rFonts w:cstheme="minorHAnsi"/>
                <w:color w:val="000000"/>
              </w:rPr>
            </w:pPr>
            <w:r>
              <w:rPr>
                <w:rFonts w:cstheme="minorHAnsi"/>
                <w:color w:val="000000"/>
              </w:rPr>
              <w:t>&gt; 1820</w:t>
            </w:r>
          </w:p>
        </w:tc>
        <w:tc>
          <w:tcPr>
            <w:tcW w:w="1911" w:type="dxa"/>
            <w:tcBorders>
              <w:top w:val="nil"/>
              <w:left w:val="nil"/>
              <w:bottom w:val="single" w:sz="4" w:space="0" w:color="auto"/>
              <w:right w:val="single" w:sz="4" w:space="0" w:color="auto"/>
            </w:tcBorders>
            <w:shd w:val="clear" w:color="auto" w:fill="auto"/>
          </w:tcPr>
          <w:p w14:paraId="56E1449B" w14:textId="191C42CB" w:rsidR="003A38A6" w:rsidRPr="00874351" w:rsidRDefault="003A38A6" w:rsidP="00B73483">
            <w:pPr>
              <w:spacing w:after="0" w:line="240" w:lineRule="auto"/>
              <w:jc w:val="center"/>
              <w:rPr>
                <w:rFonts w:cstheme="minorHAnsi"/>
                <w:color w:val="000000"/>
              </w:rPr>
            </w:pPr>
            <w:r>
              <w:rPr>
                <w:rFonts w:cstheme="minorHAnsi"/>
                <w:color w:val="000000"/>
              </w:rPr>
              <w:t>&gt; 274</w:t>
            </w:r>
          </w:p>
        </w:tc>
      </w:tr>
    </w:tbl>
    <w:p w14:paraId="5B80F888" w14:textId="77777777" w:rsidR="003469AF" w:rsidRDefault="00874351" w:rsidP="003469AF">
      <w:pPr>
        <w:spacing w:after="0"/>
        <w:rPr>
          <w:rFonts w:cstheme="minorHAnsi"/>
          <w:i/>
          <w:iCs/>
          <w:sz w:val="20"/>
          <w:szCs w:val="20"/>
        </w:rPr>
      </w:pPr>
      <w:r>
        <w:rPr>
          <w:rFonts w:cstheme="minorHAnsi"/>
          <w:i/>
          <w:iCs/>
          <w:sz w:val="20"/>
          <w:szCs w:val="20"/>
        </w:rPr>
        <w:t xml:space="preserve">[a] </w:t>
      </w:r>
      <w:r w:rsidR="007B5B66" w:rsidRPr="00874351">
        <w:rPr>
          <w:rFonts w:cstheme="minorHAnsi"/>
          <w:i/>
          <w:iCs/>
          <w:sz w:val="20"/>
          <w:szCs w:val="20"/>
        </w:rPr>
        <w:t>This value also serves as the DPH Fish Action level (FAL).  Exceeding this level would trigger a waterbody specific advisory and a FCA recommendation.</w:t>
      </w:r>
    </w:p>
    <w:p w14:paraId="00199D76" w14:textId="705F77D5" w:rsidR="003469AF" w:rsidRDefault="003469AF" w:rsidP="007B5B66">
      <w:pPr>
        <w:rPr>
          <w:rFonts w:cstheme="minorHAnsi"/>
          <w:i/>
          <w:iCs/>
          <w:sz w:val="20"/>
          <w:szCs w:val="20"/>
        </w:rPr>
      </w:pPr>
      <w:r>
        <w:rPr>
          <w:rFonts w:cstheme="minorHAnsi"/>
          <w:i/>
          <w:iCs/>
          <w:sz w:val="20"/>
          <w:szCs w:val="20"/>
        </w:rPr>
        <w:t>[b] Applies to individuals older than 12 years of age</w:t>
      </w:r>
      <w:r w:rsidR="001E54AD">
        <w:rPr>
          <w:rFonts w:cstheme="minorHAnsi"/>
          <w:i/>
          <w:iCs/>
          <w:sz w:val="20"/>
          <w:szCs w:val="20"/>
        </w:rPr>
        <w:t>.</w:t>
      </w:r>
    </w:p>
    <w:p w14:paraId="5784CF4D" w14:textId="77777777" w:rsidR="00F42E3D" w:rsidRDefault="00F42E3D" w:rsidP="007B5B66">
      <w:pPr>
        <w:rPr>
          <w:rFonts w:cstheme="minorHAnsi"/>
          <w:i/>
          <w:iCs/>
          <w:sz w:val="20"/>
          <w:szCs w:val="20"/>
        </w:rPr>
        <w:sectPr w:rsidR="00F42E3D" w:rsidSect="000750D0">
          <w:headerReference w:type="default" r:id="rId17"/>
          <w:headerReference w:type="first" r:id="rId18"/>
          <w:pgSz w:w="15840" w:h="12240" w:orient="landscape"/>
          <w:pgMar w:top="720" w:right="720" w:bottom="2070" w:left="720" w:header="720" w:footer="720" w:gutter="0"/>
          <w:cols w:space="720"/>
          <w:docGrid w:linePitch="360"/>
        </w:sectPr>
      </w:pPr>
    </w:p>
    <w:p w14:paraId="3DDB7901" w14:textId="73287938" w:rsidR="00A62CE6" w:rsidRDefault="00A62CE6" w:rsidP="00DB797B">
      <w:pPr>
        <w:pStyle w:val="Heading1"/>
      </w:pPr>
      <w:bookmarkStart w:id="21" w:name="_Toc162620795"/>
      <w:r>
        <w:lastRenderedPageBreak/>
        <w:t>REFERENCES</w:t>
      </w:r>
      <w:bookmarkEnd w:id="21"/>
    </w:p>
    <w:p w14:paraId="674150F7" w14:textId="6786C4C9" w:rsidR="00A964B3" w:rsidRPr="00A5595C" w:rsidRDefault="00A964B3" w:rsidP="00A5595C">
      <w:pPr>
        <w:spacing w:after="0" w:line="240" w:lineRule="auto"/>
        <w:rPr>
          <w:rFonts w:cs="Arial"/>
          <w:sz w:val="24"/>
          <w:szCs w:val="24"/>
        </w:rPr>
      </w:pPr>
      <w:r w:rsidRPr="00A5595C">
        <w:rPr>
          <w:rFonts w:cs="Arial"/>
          <w:sz w:val="24"/>
          <w:szCs w:val="24"/>
        </w:rPr>
        <w:t>Agency for Toxic Substances and Disease Registry (ATSDR). 2016.</w:t>
      </w:r>
      <w:r w:rsidR="00A43AF6" w:rsidRPr="00A5595C">
        <w:rPr>
          <w:rFonts w:cs="Arial"/>
          <w:sz w:val="24"/>
          <w:szCs w:val="24"/>
        </w:rPr>
        <w:t xml:space="preserve"> Exposure Dose Guidance for Body Weight. Atlanta, GA: U.S. Department of Health and Human Services, Public Health Service, October 26</w:t>
      </w:r>
      <w:r w:rsidR="001E54AD">
        <w:rPr>
          <w:rFonts w:cs="Arial"/>
          <w:sz w:val="24"/>
          <w:szCs w:val="24"/>
        </w:rPr>
        <w:t>.</w:t>
      </w:r>
    </w:p>
    <w:p w14:paraId="55B5FDB4" w14:textId="77777777" w:rsidR="00A5595C" w:rsidRDefault="00A5595C" w:rsidP="00A5595C">
      <w:pPr>
        <w:spacing w:after="0" w:line="240" w:lineRule="auto"/>
        <w:rPr>
          <w:rFonts w:cs="Arial"/>
          <w:sz w:val="24"/>
          <w:szCs w:val="24"/>
        </w:rPr>
      </w:pPr>
    </w:p>
    <w:p w14:paraId="39941BC9" w14:textId="3D8FEE4E" w:rsidR="00A964B3" w:rsidRPr="00A5595C" w:rsidRDefault="00A964B3" w:rsidP="00A5595C">
      <w:pPr>
        <w:spacing w:after="0" w:line="240" w:lineRule="auto"/>
        <w:rPr>
          <w:rFonts w:cstheme="minorHAnsi"/>
          <w:sz w:val="24"/>
          <w:szCs w:val="24"/>
        </w:rPr>
      </w:pPr>
      <w:r w:rsidRPr="00A5595C">
        <w:rPr>
          <w:rFonts w:cs="Arial"/>
          <w:sz w:val="24"/>
          <w:szCs w:val="24"/>
        </w:rPr>
        <w:t>Agency for Toxic Substances and Disease Registry (ATSDR). 2021. Toxicological Profile for Perfluoroalkyls. Atlanta, GA. Division of Toxicology and Environmental Medicine/Applied Toxicology Branch.</w:t>
      </w:r>
      <w:r w:rsidRPr="00A5595C">
        <w:rPr>
          <w:rFonts w:cstheme="minorHAnsi"/>
          <w:sz w:val="24"/>
          <w:szCs w:val="24"/>
        </w:rPr>
        <w:t xml:space="preserve"> May. </w:t>
      </w:r>
      <w:r w:rsidR="0013215E" w:rsidRPr="00A5595C">
        <w:rPr>
          <w:sz w:val="24"/>
          <w:szCs w:val="24"/>
        </w:rPr>
        <w:t xml:space="preserve">Available online at: </w:t>
      </w:r>
      <w:hyperlink r:id="rId19" w:history="1">
        <w:r w:rsidRPr="00A5595C">
          <w:rPr>
            <w:rStyle w:val="Hyperlink"/>
            <w:sz w:val="24"/>
            <w:szCs w:val="24"/>
          </w:rPr>
          <w:t>https://www.atsdr.cdc.gov/ToxProfiles/tp200.pdf</w:t>
        </w:r>
      </w:hyperlink>
    </w:p>
    <w:p w14:paraId="4B5B42D0" w14:textId="77777777" w:rsidR="00A5595C" w:rsidRDefault="00A5595C" w:rsidP="00A5595C">
      <w:pPr>
        <w:spacing w:after="0" w:line="240" w:lineRule="auto"/>
        <w:rPr>
          <w:sz w:val="24"/>
          <w:szCs w:val="24"/>
        </w:rPr>
      </w:pPr>
    </w:p>
    <w:p w14:paraId="79923B86" w14:textId="76C6E68E" w:rsidR="003A3710" w:rsidRPr="003A3710" w:rsidRDefault="00B11D25" w:rsidP="00A5595C">
      <w:pPr>
        <w:spacing w:after="0" w:line="240" w:lineRule="auto"/>
        <w:rPr>
          <w:sz w:val="24"/>
          <w:szCs w:val="24"/>
        </w:rPr>
      </w:pPr>
      <w:r>
        <w:rPr>
          <w:rStyle w:val="normaltextrun"/>
          <w:rFonts w:ascii="Calibri" w:hAnsi="Calibri" w:cs="Calibri"/>
          <w:color w:val="000000"/>
          <w:sz w:val="24"/>
          <w:szCs w:val="24"/>
          <w:shd w:val="clear" w:color="auto" w:fill="FFFFFF"/>
        </w:rPr>
        <w:t>U</w:t>
      </w:r>
      <w:r w:rsidR="009E1AE5">
        <w:rPr>
          <w:rStyle w:val="normaltextrun"/>
          <w:rFonts w:ascii="Calibri" w:hAnsi="Calibri" w:cs="Calibri"/>
          <w:color w:val="000000"/>
          <w:sz w:val="24"/>
          <w:szCs w:val="24"/>
          <w:shd w:val="clear" w:color="auto" w:fill="FFFFFF"/>
        </w:rPr>
        <w:t>.S.</w:t>
      </w:r>
      <w:r>
        <w:rPr>
          <w:rStyle w:val="normaltextrun"/>
          <w:rFonts w:ascii="Calibri" w:hAnsi="Calibri" w:cs="Calibri"/>
          <w:color w:val="000000"/>
          <w:sz w:val="24"/>
          <w:szCs w:val="24"/>
          <w:shd w:val="clear" w:color="auto" w:fill="FFFFFF"/>
        </w:rPr>
        <w:t xml:space="preserve"> Center</w:t>
      </w:r>
      <w:r w:rsidR="00C1660C">
        <w:rPr>
          <w:rStyle w:val="normaltextrun"/>
          <w:rFonts w:ascii="Calibri" w:hAnsi="Calibri" w:cs="Calibri"/>
          <w:color w:val="000000"/>
          <w:sz w:val="24"/>
          <w:szCs w:val="24"/>
          <w:shd w:val="clear" w:color="auto" w:fill="FFFFFF"/>
        </w:rPr>
        <w:t>s</w:t>
      </w:r>
      <w:r>
        <w:rPr>
          <w:rStyle w:val="normaltextrun"/>
          <w:rFonts w:ascii="Calibri" w:hAnsi="Calibri" w:cs="Calibri"/>
          <w:color w:val="000000"/>
          <w:sz w:val="24"/>
          <w:szCs w:val="24"/>
          <w:shd w:val="clear" w:color="auto" w:fill="FFFFFF"/>
        </w:rPr>
        <w:t xml:space="preserve"> for Disease Control and Prevention (</w:t>
      </w:r>
      <w:r w:rsidR="003A3710" w:rsidRPr="003A3710">
        <w:rPr>
          <w:rStyle w:val="normaltextrun"/>
          <w:rFonts w:ascii="Calibri" w:hAnsi="Calibri" w:cs="Calibri"/>
          <w:color w:val="000000"/>
          <w:sz w:val="24"/>
          <w:szCs w:val="24"/>
          <w:shd w:val="clear" w:color="auto" w:fill="FFFFFF"/>
        </w:rPr>
        <w:t>CDC</w:t>
      </w:r>
      <w:r>
        <w:rPr>
          <w:rStyle w:val="normaltextrun"/>
          <w:rFonts w:ascii="Calibri" w:hAnsi="Calibri" w:cs="Calibri"/>
          <w:color w:val="000000"/>
          <w:sz w:val="24"/>
          <w:szCs w:val="24"/>
          <w:shd w:val="clear" w:color="auto" w:fill="FFFFFF"/>
        </w:rPr>
        <w:t>).</w:t>
      </w:r>
      <w:r w:rsidR="003A3710" w:rsidRPr="003A3710">
        <w:rPr>
          <w:rStyle w:val="normaltextrun"/>
          <w:rFonts w:ascii="Calibri" w:hAnsi="Calibri" w:cs="Calibri"/>
          <w:color w:val="000000"/>
          <w:sz w:val="24"/>
          <w:szCs w:val="24"/>
          <w:shd w:val="clear" w:color="auto" w:fill="FFFFFF"/>
        </w:rPr>
        <w:t xml:space="preserve"> 2022</w:t>
      </w:r>
      <w:r w:rsidR="00500AB0">
        <w:rPr>
          <w:rStyle w:val="normaltextrun"/>
          <w:rFonts w:ascii="Calibri" w:hAnsi="Calibri" w:cs="Calibri"/>
          <w:color w:val="000000"/>
          <w:sz w:val="24"/>
          <w:szCs w:val="24"/>
          <w:shd w:val="clear" w:color="auto" w:fill="FFFFFF"/>
        </w:rPr>
        <w:t>a</w:t>
      </w:r>
      <w:r>
        <w:rPr>
          <w:rStyle w:val="normaltextrun"/>
          <w:rFonts w:ascii="Calibri" w:hAnsi="Calibri" w:cs="Calibri"/>
          <w:color w:val="000000"/>
          <w:sz w:val="24"/>
          <w:szCs w:val="24"/>
          <w:shd w:val="clear" w:color="auto" w:fill="FFFFFF"/>
        </w:rPr>
        <w:t>.</w:t>
      </w:r>
      <w:r w:rsidR="003A3710" w:rsidRPr="003A3710">
        <w:rPr>
          <w:rStyle w:val="normaltextrun"/>
          <w:rFonts w:ascii="Calibri" w:hAnsi="Calibri" w:cs="Calibri"/>
          <w:color w:val="000000"/>
          <w:sz w:val="24"/>
          <w:szCs w:val="24"/>
          <w:shd w:val="clear" w:color="auto" w:fill="FFFFFF"/>
        </w:rPr>
        <w:t xml:space="preserve"> Biomonitoring Tables </w:t>
      </w:r>
      <w:hyperlink r:id="rId20" w:tgtFrame="_blank" w:history="1">
        <w:r w:rsidR="003A3710" w:rsidRPr="003A3710">
          <w:rPr>
            <w:rStyle w:val="normaltextrun"/>
            <w:rFonts w:ascii="Calibri" w:hAnsi="Calibri" w:cs="Calibri"/>
            <w:color w:val="0000FF"/>
            <w:sz w:val="24"/>
            <w:szCs w:val="24"/>
            <w:u w:val="single"/>
            <w:shd w:val="clear" w:color="auto" w:fill="FFFFFF"/>
          </w:rPr>
          <w:t>https://www.cdc.gov/exposurereport/report/pdf/Perfluoroalkyl%20and%20Polyfluoroalkyl%20Substances%20--%20Surfactants%20NHANES-p.pdf</w:t>
        </w:r>
      </w:hyperlink>
      <w:r w:rsidR="003A3710" w:rsidRPr="003A3710">
        <w:rPr>
          <w:rStyle w:val="eop"/>
          <w:rFonts w:ascii="Calibri" w:hAnsi="Calibri" w:cs="Calibri"/>
          <w:color w:val="000000"/>
          <w:sz w:val="24"/>
          <w:szCs w:val="24"/>
          <w:shd w:val="clear" w:color="auto" w:fill="FFFFFF"/>
        </w:rPr>
        <w:t> </w:t>
      </w:r>
    </w:p>
    <w:p w14:paraId="20DB9309" w14:textId="77777777" w:rsidR="003A3710" w:rsidRDefault="003A3710" w:rsidP="00A5595C">
      <w:pPr>
        <w:spacing w:after="0" w:line="240" w:lineRule="auto"/>
        <w:rPr>
          <w:sz w:val="24"/>
          <w:szCs w:val="24"/>
        </w:rPr>
      </w:pPr>
    </w:p>
    <w:p w14:paraId="257B10CF" w14:textId="0276C120" w:rsidR="00450787" w:rsidRPr="00A5595C" w:rsidRDefault="00450787" w:rsidP="00A5595C">
      <w:pPr>
        <w:spacing w:after="0" w:line="240" w:lineRule="auto"/>
        <w:rPr>
          <w:sz w:val="24"/>
          <w:szCs w:val="24"/>
        </w:rPr>
      </w:pPr>
      <w:r w:rsidRPr="00A5595C">
        <w:rPr>
          <w:sz w:val="24"/>
          <w:szCs w:val="24"/>
        </w:rPr>
        <w:t xml:space="preserve">Connecticut Department of Public Health (CT DPH). 2018. Health Consultation, </w:t>
      </w:r>
      <w:r w:rsidR="003B551E" w:rsidRPr="00A5595C">
        <w:rPr>
          <w:sz w:val="24"/>
          <w:szCs w:val="24"/>
        </w:rPr>
        <w:t>Public Health Evaluation of Fish Tissue from O’Sullivan’s Island Site, Derby, CT.</w:t>
      </w:r>
      <w:r w:rsidRPr="00A5595C">
        <w:rPr>
          <w:sz w:val="24"/>
          <w:szCs w:val="24"/>
        </w:rPr>
        <w:t xml:space="preserve"> Prepared under Cooperative Agreement with Agency for Toxic Substances and Disease Registry. January 23.</w:t>
      </w:r>
      <w:r w:rsidR="0013215E" w:rsidRPr="00A5595C">
        <w:rPr>
          <w:sz w:val="24"/>
          <w:szCs w:val="24"/>
        </w:rPr>
        <w:t xml:space="preserve"> Available online at:</w:t>
      </w:r>
      <w:r w:rsidRPr="00A5595C">
        <w:rPr>
          <w:sz w:val="24"/>
          <w:szCs w:val="24"/>
        </w:rPr>
        <w:t xml:space="preserve"> </w:t>
      </w:r>
      <w:hyperlink r:id="rId21" w:history="1">
        <w:r w:rsidRPr="00A5595C">
          <w:rPr>
            <w:rStyle w:val="Hyperlink"/>
            <w:sz w:val="24"/>
            <w:szCs w:val="24"/>
          </w:rPr>
          <w:t>https://portal.ct.gov/-/media/Departments-and-Agencies/DPH/dph/environmental_health/eoha/ATSDR/OSullivans-Island-PCBs-and-PFAS-in-fish.pdf?la=en</w:t>
        </w:r>
      </w:hyperlink>
    </w:p>
    <w:p w14:paraId="15628AC1" w14:textId="77777777" w:rsidR="00A5595C" w:rsidRDefault="00A5595C" w:rsidP="00A5595C">
      <w:pPr>
        <w:spacing w:after="0" w:line="240" w:lineRule="auto"/>
        <w:rPr>
          <w:rFonts w:cs="Arial"/>
          <w:sz w:val="24"/>
          <w:szCs w:val="24"/>
        </w:rPr>
      </w:pPr>
    </w:p>
    <w:p w14:paraId="6AC5CD66" w14:textId="1A80DFF0" w:rsidR="00450787" w:rsidRDefault="00450787" w:rsidP="00A5595C">
      <w:pPr>
        <w:spacing w:after="0" w:line="240" w:lineRule="auto"/>
        <w:rPr>
          <w:rStyle w:val="Hyperlink"/>
          <w:sz w:val="24"/>
          <w:szCs w:val="24"/>
        </w:rPr>
      </w:pPr>
      <w:r w:rsidRPr="00A5595C">
        <w:rPr>
          <w:sz w:val="24"/>
          <w:szCs w:val="24"/>
        </w:rPr>
        <w:t xml:space="preserve">Great Lakes Consortium for Fish Consumption Advisories (Great Lakes Consortium). 2018. Best Practice for </w:t>
      </w:r>
      <w:proofErr w:type="spellStart"/>
      <w:r w:rsidRPr="00A5595C">
        <w:rPr>
          <w:sz w:val="24"/>
          <w:szCs w:val="24"/>
        </w:rPr>
        <w:t>Perfluorooctane</w:t>
      </w:r>
      <w:proofErr w:type="spellEnd"/>
      <w:r w:rsidRPr="00A5595C">
        <w:rPr>
          <w:sz w:val="24"/>
          <w:szCs w:val="24"/>
        </w:rPr>
        <w:t xml:space="preserve"> Sulfonate (PFOS) Guidelines</w:t>
      </w:r>
      <w:r w:rsidR="00EA0AD1" w:rsidRPr="00A5595C">
        <w:rPr>
          <w:sz w:val="24"/>
          <w:szCs w:val="24"/>
        </w:rPr>
        <w:t xml:space="preserve">. November. </w:t>
      </w:r>
      <w:r w:rsidR="0013215E" w:rsidRPr="00A5595C">
        <w:rPr>
          <w:sz w:val="24"/>
          <w:szCs w:val="24"/>
        </w:rPr>
        <w:t xml:space="preserve">Available online at: </w:t>
      </w:r>
      <w:hyperlink r:id="rId22" w:history="1">
        <w:r w:rsidR="00EA0AD1" w:rsidRPr="00A5595C">
          <w:rPr>
            <w:rStyle w:val="Hyperlink"/>
            <w:sz w:val="24"/>
            <w:szCs w:val="24"/>
          </w:rPr>
          <w:t>https://www.health.state.mn.us/communities/environment/fish/docs/consortium/bestpracticepfos.pdf</w:t>
        </w:r>
      </w:hyperlink>
    </w:p>
    <w:p w14:paraId="5D1BCB09" w14:textId="0E48F1BD" w:rsidR="008510CD" w:rsidRDefault="008510CD" w:rsidP="00A5595C">
      <w:pPr>
        <w:spacing w:after="0" w:line="240" w:lineRule="auto"/>
        <w:rPr>
          <w:rStyle w:val="Hyperlink"/>
          <w:sz w:val="24"/>
          <w:szCs w:val="24"/>
        </w:rPr>
      </w:pPr>
    </w:p>
    <w:p w14:paraId="21BC35E3" w14:textId="08D230F4" w:rsidR="008F7AD0" w:rsidRPr="008F7AD0" w:rsidRDefault="008510CD" w:rsidP="008F7AD0">
      <w:pPr>
        <w:spacing w:after="0" w:line="240" w:lineRule="auto"/>
      </w:pPr>
      <w:r w:rsidRPr="00A5595C">
        <w:rPr>
          <w:sz w:val="24"/>
          <w:szCs w:val="24"/>
        </w:rPr>
        <w:t xml:space="preserve">Massachusetts Department of Environmental Protection (MassDEP). </w:t>
      </w:r>
      <w:r>
        <w:rPr>
          <w:sz w:val="24"/>
          <w:szCs w:val="24"/>
        </w:rPr>
        <w:t>1995</w:t>
      </w:r>
      <w:r w:rsidRPr="00A5595C">
        <w:rPr>
          <w:sz w:val="24"/>
          <w:szCs w:val="24"/>
        </w:rPr>
        <w:t>.</w:t>
      </w:r>
      <w:r w:rsidR="008F7AD0">
        <w:rPr>
          <w:sz w:val="24"/>
          <w:szCs w:val="24"/>
        </w:rPr>
        <w:t xml:space="preserve"> Guidance for Disposal Site Risk Characterization. WSC/ORS 95-141. July 28. </w:t>
      </w:r>
      <w:r w:rsidR="008F7AD0" w:rsidRPr="008F7AD0">
        <w:rPr>
          <w:sz w:val="24"/>
          <w:szCs w:val="24"/>
        </w:rPr>
        <w:t xml:space="preserve">Available online at: </w:t>
      </w:r>
      <w:hyperlink r:id="rId23" w:history="1">
        <w:r w:rsidR="008F7AD0" w:rsidRPr="008F7AD0">
          <w:rPr>
            <w:rStyle w:val="Hyperlink"/>
            <w:sz w:val="24"/>
            <w:szCs w:val="24"/>
          </w:rPr>
          <w:t>https://www.mass.gov/doc/wscors-95-141-guidance-for-disposal-site-risk-characterization-chapter-7-0/download</w:t>
        </w:r>
      </w:hyperlink>
    </w:p>
    <w:p w14:paraId="38BD938A" w14:textId="77777777" w:rsidR="00A5595C" w:rsidRDefault="00A5595C" w:rsidP="00A5595C">
      <w:pPr>
        <w:spacing w:after="0" w:line="240" w:lineRule="auto"/>
        <w:rPr>
          <w:sz w:val="24"/>
          <w:szCs w:val="24"/>
        </w:rPr>
      </w:pPr>
    </w:p>
    <w:p w14:paraId="74A664B1" w14:textId="0046D748" w:rsidR="00BB73DF" w:rsidRPr="00A5595C" w:rsidRDefault="0013137D" w:rsidP="00A5595C">
      <w:pPr>
        <w:spacing w:after="0" w:line="240" w:lineRule="auto"/>
        <w:rPr>
          <w:sz w:val="24"/>
          <w:szCs w:val="24"/>
        </w:rPr>
      </w:pPr>
      <w:r w:rsidRPr="00A5595C">
        <w:rPr>
          <w:sz w:val="24"/>
          <w:szCs w:val="24"/>
        </w:rPr>
        <w:t>Massachusetts Department of Environmental Protection (MassDEP). 2008.</w:t>
      </w:r>
      <w:r w:rsidR="00BB73DF" w:rsidRPr="00A5595C">
        <w:rPr>
          <w:sz w:val="24"/>
          <w:szCs w:val="24"/>
        </w:rPr>
        <w:t xml:space="preserve"> Default Fish Ingestion Rates and Exposure Assumptions for Human Health Risk Assessments. </w:t>
      </w:r>
      <w:r w:rsidR="0013215E" w:rsidRPr="00A5595C">
        <w:rPr>
          <w:sz w:val="24"/>
          <w:szCs w:val="24"/>
        </w:rPr>
        <w:t xml:space="preserve">Available online at: </w:t>
      </w:r>
      <w:hyperlink r:id="rId24" w:history="1">
        <w:r w:rsidR="00BB73DF" w:rsidRPr="00A5595C">
          <w:rPr>
            <w:rStyle w:val="Hyperlink"/>
            <w:sz w:val="24"/>
            <w:szCs w:val="24"/>
          </w:rPr>
          <w:t>https://www.mass.gov/doc/technical-update-default-fish-ingestion-rates-and-exposure-assumptions-for-human-health-risk/download</w:t>
        </w:r>
      </w:hyperlink>
      <w:r w:rsidR="00BB73DF" w:rsidRPr="00A5595C">
        <w:rPr>
          <w:sz w:val="24"/>
          <w:szCs w:val="24"/>
        </w:rPr>
        <w:t xml:space="preserve"> </w:t>
      </w:r>
    </w:p>
    <w:p w14:paraId="1C8AEBE5" w14:textId="77777777" w:rsidR="00A5595C" w:rsidRDefault="00A5595C" w:rsidP="00A5595C">
      <w:pPr>
        <w:pStyle w:val="NormalWeb"/>
        <w:rPr>
          <w:rFonts w:ascii="Calibri" w:hAnsi="Calibri"/>
          <w:color w:val="000000"/>
        </w:rPr>
      </w:pPr>
    </w:p>
    <w:p w14:paraId="5EF1FED6" w14:textId="5BD1D951" w:rsidR="00CA60AC" w:rsidRPr="00A5595C" w:rsidRDefault="00CA60AC" w:rsidP="00A5595C">
      <w:pPr>
        <w:pStyle w:val="NormalWeb"/>
        <w:rPr>
          <w:rFonts w:ascii="Calibri" w:hAnsi="Calibri"/>
          <w:color w:val="000000"/>
        </w:rPr>
      </w:pPr>
      <w:r w:rsidRPr="00A5595C">
        <w:rPr>
          <w:rFonts w:ascii="Calibri" w:hAnsi="Calibri"/>
          <w:color w:val="000000"/>
        </w:rPr>
        <w:t>Massachusetts Department of Environmental Protection (MassDEP). 2019. Technical Support Document, Per- and Polyfluoroalkyl Substances (PFAS): An Updated Subgroup Approach to Groundwater and Drinking Water Values. Office of Research and Standards. December 26.</w:t>
      </w:r>
    </w:p>
    <w:p w14:paraId="42DD4EDF" w14:textId="77777777" w:rsidR="00A5595C" w:rsidRDefault="00A5595C" w:rsidP="00A5595C">
      <w:pPr>
        <w:spacing w:after="0" w:line="240" w:lineRule="auto"/>
        <w:rPr>
          <w:sz w:val="24"/>
          <w:szCs w:val="24"/>
        </w:rPr>
      </w:pPr>
    </w:p>
    <w:p w14:paraId="6C3369F1" w14:textId="18886026" w:rsidR="00BD33A9" w:rsidRPr="00A5595C" w:rsidRDefault="00BD33A9" w:rsidP="00A5595C">
      <w:pPr>
        <w:spacing w:after="0" w:line="240" w:lineRule="auto"/>
        <w:rPr>
          <w:sz w:val="24"/>
          <w:szCs w:val="24"/>
        </w:rPr>
      </w:pPr>
      <w:r w:rsidRPr="00A5595C">
        <w:rPr>
          <w:sz w:val="24"/>
          <w:szCs w:val="24"/>
        </w:rPr>
        <w:t xml:space="preserve">Massachusetts Department of Environmental Protection (MassDEP). 2021. PFAS in Massachusetts Rivers. </w:t>
      </w:r>
      <w:r w:rsidR="0013215E" w:rsidRPr="00A5595C">
        <w:rPr>
          <w:sz w:val="24"/>
          <w:szCs w:val="24"/>
        </w:rPr>
        <w:t xml:space="preserve">Available online at: </w:t>
      </w:r>
      <w:hyperlink r:id="rId25" w:anchor="pfas-in-massachusetts-rivers-" w:history="1">
        <w:r w:rsidRPr="00A5595C">
          <w:rPr>
            <w:rStyle w:val="Hyperlink"/>
            <w:sz w:val="24"/>
            <w:szCs w:val="24"/>
          </w:rPr>
          <w:t>https://www.mass.gov/info-details/per-and-polyfluoroalkyl-substances-pfas#pfas-in-massachusetts-rivers-</w:t>
        </w:r>
      </w:hyperlink>
    </w:p>
    <w:p w14:paraId="6DA30C68" w14:textId="7930DD65" w:rsidR="00A5595C" w:rsidRDefault="00A5595C" w:rsidP="00A5595C">
      <w:pPr>
        <w:spacing w:after="0" w:line="240" w:lineRule="auto"/>
        <w:rPr>
          <w:rFonts w:cs="Arial"/>
          <w:sz w:val="24"/>
          <w:szCs w:val="24"/>
        </w:rPr>
      </w:pPr>
    </w:p>
    <w:p w14:paraId="3D4DB548" w14:textId="78D4CE57" w:rsidR="008510CD" w:rsidRPr="00A5595C" w:rsidRDefault="008510CD" w:rsidP="008510CD">
      <w:pPr>
        <w:spacing w:after="0" w:line="240" w:lineRule="auto"/>
        <w:rPr>
          <w:sz w:val="24"/>
          <w:szCs w:val="24"/>
        </w:rPr>
      </w:pPr>
      <w:r w:rsidRPr="00A5595C">
        <w:rPr>
          <w:sz w:val="24"/>
          <w:szCs w:val="24"/>
        </w:rPr>
        <w:t xml:space="preserve">Massachusetts Department of Environmental Protection (MassDEP). 2021. </w:t>
      </w:r>
      <w:r>
        <w:rPr>
          <w:sz w:val="24"/>
          <w:szCs w:val="24"/>
        </w:rPr>
        <w:t xml:space="preserve">How to Interpret my PFAS Laboratory Report and Compare my Results to MassDEP’s Maximum Contaminant Level </w:t>
      </w:r>
      <w:r>
        <w:rPr>
          <w:sz w:val="24"/>
          <w:szCs w:val="24"/>
        </w:rPr>
        <w:lastRenderedPageBreak/>
        <w:t>(MCL) for PFAS6.</w:t>
      </w:r>
      <w:r w:rsidRPr="00A5595C">
        <w:rPr>
          <w:sz w:val="24"/>
          <w:szCs w:val="24"/>
        </w:rPr>
        <w:t xml:space="preserve"> Available online at: </w:t>
      </w:r>
      <w:hyperlink r:id="rId26" w:history="1">
        <w:r w:rsidRPr="00D27232">
          <w:rPr>
            <w:rStyle w:val="Hyperlink"/>
          </w:rPr>
          <w:t>https://www.mass.gov/doc/how-to-interpret-my-pfas-laboratory-report/download</w:t>
        </w:r>
      </w:hyperlink>
      <w:r>
        <w:t xml:space="preserve"> </w:t>
      </w:r>
    </w:p>
    <w:p w14:paraId="62AA60BA" w14:textId="77777777" w:rsidR="008510CD" w:rsidRDefault="008510CD" w:rsidP="00A5595C">
      <w:pPr>
        <w:spacing w:after="0" w:line="240" w:lineRule="auto"/>
        <w:rPr>
          <w:rFonts w:cs="Arial"/>
          <w:sz w:val="24"/>
          <w:szCs w:val="24"/>
        </w:rPr>
      </w:pPr>
    </w:p>
    <w:p w14:paraId="0C3A2969" w14:textId="3F279C46" w:rsidR="0045453F" w:rsidRPr="00A5595C" w:rsidRDefault="0045453F" w:rsidP="00A5595C">
      <w:pPr>
        <w:spacing w:after="0" w:line="240" w:lineRule="auto"/>
        <w:rPr>
          <w:rFonts w:cs="Arial"/>
          <w:sz w:val="24"/>
          <w:szCs w:val="24"/>
        </w:rPr>
      </w:pPr>
      <w:r w:rsidRPr="00A5595C">
        <w:rPr>
          <w:rFonts w:cs="Arial"/>
          <w:sz w:val="24"/>
          <w:szCs w:val="24"/>
        </w:rPr>
        <w:t xml:space="preserve">Michigan Department of Health and Human Services (MDHHS). 2016. Michigan Fish Consumption Advisory Program Guidance Document. September 14. </w:t>
      </w:r>
      <w:r w:rsidR="0013215E" w:rsidRPr="00A5595C">
        <w:rPr>
          <w:sz w:val="24"/>
          <w:szCs w:val="24"/>
        </w:rPr>
        <w:t xml:space="preserve">Available online at: </w:t>
      </w:r>
      <w:hyperlink r:id="rId27" w:history="1">
        <w:r w:rsidRPr="00A5595C">
          <w:rPr>
            <w:rStyle w:val="Hyperlink"/>
            <w:rFonts w:cs="Arial"/>
            <w:sz w:val="24"/>
            <w:szCs w:val="24"/>
          </w:rPr>
          <w:t>https://www.michigan.gov/documents/mdch/MFCAP_Guidance_Document_500546_7.pdf</w:t>
        </w:r>
      </w:hyperlink>
    </w:p>
    <w:p w14:paraId="1B4585B7" w14:textId="77777777" w:rsidR="00A5595C" w:rsidRDefault="00A5595C" w:rsidP="00A5595C">
      <w:pPr>
        <w:spacing w:after="0" w:line="240" w:lineRule="auto"/>
        <w:rPr>
          <w:rFonts w:cs="Arial"/>
          <w:sz w:val="24"/>
          <w:szCs w:val="24"/>
        </w:rPr>
      </w:pPr>
    </w:p>
    <w:p w14:paraId="0C425B2D" w14:textId="231FEFF6" w:rsidR="00CB2E3B" w:rsidRPr="00A5595C" w:rsidRDefault="00CB2E3B" w:rsidP="00A5595C">
      <w:pPr>
        <w:spacing w:after="0" w:line="240" w:lineRule="auto"/>
        <w:rPr>
          <w:rFonts w:ascii="Arial" w:hAnsi="Arial" w:cs="Arial"/>
          <w:sz w:val="24"/>
          <w:szCs w:val="24"/>
        </w:rPr>
      </w:pPr>
      <w:r w:rsidRPr="0E1D4E23">
        <w:rPr>
          <w:rFonts w:cs="Arial"/>
          <w:sz w:val="24"/>
          <w:szCs w:val="24"/>
        </w:rPr>
        <w:t xml:space="preserve">U.S. Environmental Protection Agency (US EPA). 1996. Descriptive Statistics Tables from a Detailed Analysis of the National Human Activity Pattern Survey (NHAPS) Data. Office of Research and Development, Washington, DC. EPA/600/R-96/148. July. </w:t>
      </w:r>
    </w:p>
    <w:p w14:paraId="45497BA3" w14:textId="5BDC9324" w:rsidR="0E1D4E23" w:rsidRPr="00F571F3" w:rsidRDefault="0E1D4E23" w:rsidP="0E1D4E23">
      <w:pPr>
        <w:spacing w:after="0" w:line="240" w:lineRule="auto"/>
        <w:rPr>
          <w:sz w:val="24"/>
          <w:szCs w:val="24"/>
        </w:rPr>
      </w:pPr>
    </w:p>
    <w:p w14:paraId="4445D89A" w14:textId="51E68CBB" w:rsidR="0060473F" w:rsidRPr="00F571F3" w:rsidRDefault="0060473F" w:rsidP="00A5595C">
      <w:pPr>
        <w:spacing w:after="0" w:line="240" w:lineRule="auto"/>
        <w:rPr>
          <w:sz w:val="24"/>
          <w:szCs w:val="24"/>
        </w:rPr>
      </w:pPr>
      <w:r w:rsidRPr="00DB797B">
        <w:rPr>
          <w:rStyle w:val="normaltextrun"/>
          <w:rFonts w:ascii="Calibri" w:hAnsi="Calibri" w:cs="Calibri"/>
          <w:color w:val="000000"/>
          <w:sz w:val="24"/>
          <w:szCs w:val="24"/>
          <w:shd w:val="clear" w:color="auto" w:fill="FFFFFF"/>
        </w:rPr>
        <w:t>U.S. EPA. 2000. Guidance for Assessing Chemical Contaminant Data for Use in Fish Advisories. Volume 2: Risk Assessment and Fish Consumption Limits, 3</w:t>
      </w:r>
      <w:r w:rsidRPr="00DB797B">
        <w:rPr>
          <w:rStyle w:val="normaltextrun"/>
          <w:rFonts w:ascii="Calibri" w:hAnsi="Calibri" w:cs="Calibri"/>
          <w:color w:val="000000"/>
          <w:sz w:val="24"/>
          <w:szCs w:val="24"/>
          <w:shd w:val="clear" w:color="auto" w:fill="FFFFFF"/>
          <w:vertAlign w:val="superscript"/>
        </w:rPr>
        <w:t>rd</w:t>
      </w:r>
      <w:r w:rsidRPr="00DB797B">
        <w:rPr>
          <w:rStyle w:val="normaltextrun"/>
          <w:rFonts w:ascii="Calibri" w:hAnsi="Calibri" w:cs="Calibri"/>
          <w:color w:val="000000"/>
          <w:sz w:val="24"/>
          <w:szCs w:val="24"/>
          <w:shd w:val="clear" w:color="auto" w:fill="FFFFFF"/>
        </w:rPr>
        <w:t xml:space="preserve"> Edition. Office of Water. EPA 823-B-00-008. November.   </w:t>
      </w:r>
      <w:hyperlink r:id="rId28" w:tgtFrame="_blank" w:history="1">
        <w:r w:rsidRPr="00DB797B">
          <w:rPr>
            <w:rStyle w:val="normaltextrun"/>
            <w:rFonts w:ascii="Calibri" w:hAnsi="Calibri" w:cs="Calibri"/>
            <w:color w:val="0000FF"/>
            <w:sz w:val="24"/>
            <w:szCs w:val="24"/>
            <w:u w:val="single"/>
            <w:shd w:val="clear" w:color="auto" w:fill="FFFFFF"/>
          </w:rPr>
          <w:t>https://www.epa.gov/sites/default/files/2015-06/documents/volume2.pdf</w:t>
        </w:r>
      </w:hyperlink>
      <w:r w:rsidRPr="00DB797B">
        <w:rPr>
          <w:rStyle w:val="normaltextrun"/>
          <w:rFonts w:ascii="Calibri" w:hAnsi="Calibri" w:cs="Calibri"/>
          <w:color w:val="000000"/>
          <w:sz w:val="24"/>
          <w:szCs w:val="24"/>
          <w:shd w:val="clear" w:color="auto" w:fill="FFFFFF"/>
        </w:rPr>
        <w:t> </w:t>
      </w:r>
      <w:r w:rsidRPr="00DB797B">
        <w:rPr>
          <w:rStyle w:val="eop"/>
          <w:rFonts w:ascii="Calibri" w:hAnsi="Calibri" w:cs="Calibri"/>
          <w:color w:val="000000"/>
          <w:sz w:val="24"/>
          <w:szCs w:val="24"/>
          <w:shd w:val="clear" w:color="auto" w:fill="FFFFFF"/>
        </w:rPr>
        <w:t> </w:t>
      </w:r>
    </w:p>
    <w:p w14:paraId="45589B21" w14:textId="77777777" w:rsidR="0060473F" w:rsidRDefault="0060473F" w:rsidP="00A5595C">
      <w:pPr>
        <w:spacing w:after="0" w:line="240" w:lineRule="auto"/>
        <w:rPr>
          <w:sz w:val="24"/>
          <w:szCs w:val="24"/>
        </w:rPr>
      </w:pPr>
    </w:p>
    <w:p w14:paraId="46A0083F" w14:textId="77777777" w:rsidR="001020BC" w:rsidRDefault="00CB2E3B" w:rsidP="00A5595C">
      <w:pPr>
        <w:spacing w:after="0" w:line="240" w:lineRule="auto"/>
        <w:rPr>
          <w:rStyle w:val="Hyperlink"/>
          <w:rFonts w:cs="Arial"/>
          <w:sz w:val="24"/>
          <w:szCs w:val="24"/>
        </w:rPr>
      </w:pPr>
      <w:r w:rsidRPr="00A5595C">
        <w:rPr>
          <w:sz w:val="24"/>
          <w:szCs w:val="24"/>
        </w:rPr>
        <w:t>U.S. Environmental Protection Agency (US EPA). 2011. Exposure Factors Handbook: 2011 Final. Washington DC. National Center for Environmental Assessment, Washington, DC. EPA/600/R-090/052A. Available online at</w:t>
      </w:r>
      <w:r w:rsidR="0013215E" w:rsidRPr="00A5595C">
        <w:rPr>
          <w:sz w:val="24"/>
          <w:szCs w:val="24"/>
        </w:rPr>
        <w:t>:</w:t>
      </w:r>
      <w:r w:rsidRPr="00A5595C">
        <w:rPr>
          <w:sz w:val="24"/>
          <w:szCs w:val="24"/>
        </w:rPr>
        <w:t xml:space="preserve"> </w:t>
      </w:r>
      <w:hyperlink r:id="rId29" w:history="1">
        <w:r w:rsidRPr="00A5595C">
          <w:rPr>
            <w:rStyle w:val="Hyperlink"/>
            <w:rFonts w:cs="Arial"/>
            <w:sz w:val="24"/>
            <w:szCs w:val="24"/>
          </w:rPr>
          <w:t>https://cfpub.epa.gov/ncea/risk/recordisplay.cfm?deid=236252</w:t>
        </w:r>
      </w:hyperlink>
    </w:p>
    <w:p w14:paraId="74014024" w14:textId="77777777" w:rsidR="001020BC" w:rsidRDefault="001020BC" w:rsidP="00A5595C">
      <w:pPr>
        <w:spacing w:after="0" w:line="240" w:lineRule="auto"/>
        <w:rPr>
          <w:rStyle w:val="Hyperlink"/>
          <w:rFonts w:cs="Arial"/>
          <w:sz w:val="24"/>
          <w:szCs w:val="24"/>
        </w:rPr>
      </w:pPr>
    </w:p>
    <w:p w14:paraId="2A22FCD4" w14:textId="5677E915" w:rsidR="00A5595C" w:rsidRDefault="0082627D" w:rsidP="00A5595C">
      <w:pPr>
        <w:spacing w:after="0" w:line="240" w:lineRule="auto"/>
        <w:rPr>
          <w:rFonts w:cstheme="minorHAnsi"/>
          <w:sz w:val="24"/>
          <w:szCs w:val="24"/>
        </w:rPr>
      </w:pPr>
      <w:r w:rsidRPr="00C66995">
        <w:rPr>
          <w:rFonts w:cstheme="minorHAnsi"/>
          <w:sz w:val="24"/>
          <w:szCs w:val="24"/>
        </w:rPr>
        <w:t>U</w:t>
      </w:r>
      <w:r>
        <w:rPr>
          <w:rFonts w:cstheme="minorHAnsi"/>
          <w:sz w:val="24"/>
          <w:szCs w:val="24"/>
        </w:rPr>
        <w:t>.</w:t>
      </w:r>
      <w:r w:rsidRPr="00C66995">
        <w:rPr>
          <w:rFonts w:cstheme="minorHAnsi"/>
          <w:sz w:val="24"/>
          <w:szCs w:val="24"/>
        </w:rPr>
        <w:t>S</w:t>
      </w:r>
      <w:r>
        <w:rPr>
          <w:rFonts w:cstheme="minorHAnsi"/>
          <w:sz w:val="24"/>
          <w:szCs w:val="24"/>
        </w:rPr>
        <w:t>.</w:t>
      </w:r>
      <w:r w:rsidRPr="00C66995">
        <w:rPr>
          <w:rFonts w:cstheme="minorHAnsi"/>
          <w:sz w:val="24"/>
          <w:szCs w:val="24"/>
        </w:rPr>
        <w:t xml:space="preserve"> Environmental Protection Agency (US EPA). 2019. Update for Chapter 3 of the Exposure Factors Handbook – Ingestion of Water and Other Select Liquids. National Center for Environmental Assessment, Office of Research and Development, Washington, DC. EPA/600/R-18/259F. February</w:t>
      </w:r>
    </w:p>
    <w:p w14:paraId="4004068A" w14:textId="77777777" w:rsidR="00406CC4" w:rsidRDefault="00406CC4" w:rsidP="00A5595C">
      <w:pPr>
        <w:spacing w:after="0" w:line="240" w:lineRule="auto"/>
        <w:rPr>
          <w:sz w:val="24"/>
          <w:szCs w:val="24"/>
        </w:rPr>
      </w:pPr>
    </w:p>
    <w:p w14:paraId="392ECB32" w14:textId="77777777" w:rsidR="00852811" w:rsidRPr="009B4A41" w:rsidRDefault="00852811" w:rsidP="00852811">
      <w:pPr>
        <w:spacing w:after="0" w:line="240" w:lineRule="auto"/>
        <w:rPr>
          <w:sz w:val="24"/>
          <w:szCs w:val="24"/>
        </w:rPr>
      </w:pPr>
      <w:r w:rsidRPr="009B4A41">
        <w:rPr>
          <w:sz w:val="24"/>
          <w:szCs w:val="24"/>
        </w:rPr>
        <w:t xml:space="preserve">U.S. Environmental Protection Agency (US EPA). 2021a. Human Health Toxicity Values for Hexafluoropropylene Oxide (HFPO) Dimer Acid and Its Ammonium Salt (CASRN 13252-13-6 and CASRN 62037-80-3). Office of Water, </w:t>
      </w:r>
      <w:proofErr w:type="gramStart"/>
      <w:r w:rsidRPr="009B4A41">
        <w:rPr>
          <w:sz w:val="24"/>
          <w:szCs w:val="24"/>
        </w:rPr>
        <w:t>Health</w:t>
      </w:r>
      <w:proofErr w:type="gramEnd"/>
      <w:r w:rsidRPr="009B4A41">
        <w:rPr>
          <w:sz w:val="24"/>
          <w:szCs w:val="24"/>
        </w:rPr>
        <w:t xml:space="preserve"> and Ecological Criteria Division. Washington, DC. 822R-21-010. October.</w:t>
      </w:r>
    </w:p>
    <w:p w14:paraId="4FA8776B" w14:textId="77777777" w:rsidR="00852811" w:rsidRDefault="00852811" w:rsidP="00A5595C">
      <w:pPr>
        <w:spacing w:after="0" w:line="240" w:lineRule="auto"/>
        <w:rPr>
          <w:sz w:val="24"/>
          <w:szCs w:val="24"/>
        </w:rPr>
      </w:pPr>
    </w:p>
    <w:p w14:paraId="6120533D" w14:textId="32BA46AF" w:rsidR="007E1B82" w:rsidRPr="00A5595C" w:rsidRDefault="007E1B82" w:rsidP="00A5595C">
      <w:pPr>
        <w:spacing w:after="0" w:line="240" w:lineRule="auto"/>
        <w:rPr>
          <w:sz w:val="24"/>
          <w:szCs w:val="24"/>
        </w:rPr>
      </w:pPr>
      <w:r w:rsidRPr="00A5595C">
        <w:rPr>
          <w:sz w:val="24"/>
          <w:szCs w:val="24"/>
        </w:rPr>
        <w:t>U.S. Environmental Protection Agency (US EPA). 2021</w:t>
      </w:r>
      <w:r w:rsidR="00852811">
        <w:rPr>
          <w:sz w:val="24"/>
          <w:szCs w:val="24"/>
        </w:rPr>
        <w:t>b</w:t>
      </w:r>
      <w:r w:rsidRPr="00A5595C">
        <w:rPr>
          <w:sz w:val="24"/>
          <w:szCs w:val="24"/>
        </w:rPr>
        <w:t xml:space="preserve">. Human Health Toxicity Values for </w:t>
      </w:r>
      <w:proofErr w:type="spellStart"/>
      <w:r w:rsidRPr="00A5595C">
        <w:rPr>
          <w:sz w:val="24"/>
          <w:szCs w:val="24"/>
        </w:rPr>
        <w:t>Perfluorobutane</w:t>
      </w:r>
      <w:proofErr w:type="spellEnd"/>
      <w:r w:rsidRPr="00A5595C">
        <w:rPr>
          <w:sz w:val="24"/>
          <w:szCs w:val="24"/>
        </w:rPr>
        <w:t xml:space="preserve"> Sulfoni</w:t>
      </w:r>
      <w:r w:rsidR="004D790B">
        <w:rPr>
          <w:sz w:val="24"/>
          <w:szCs w:val="24"/>
        </w:rPr>
        <w:t>c</w:t>
      </w:r>
      <w:r w:rsidRPr="00A5595C">
        <w:rPr>
          <w:sz w:val="24"/>
          <w:szCs w:val="24"/>
        </w:rPr>
        <w:t xml:space="preserve"> Acid (CASRN 375-73-5) and Related Compound Potassium </w:t>
      </w:r>
      <w:proofErr w:type="spellStart"/>
      <w:r w:rsidRPr="00A5595C">
        <w:rPr>
          <w:sz w:val="24"/>
          <w:szCs w:val="24"/>
        </w:rPr>
        <w:t>Perfluorobutane</w:t>
      </w:r>
      <w:proofErr w:type="spellEnd"/>
      <w:r w:rsidRPr="00A5595C">
        <w:rPr>
          <w:sz w:val="24"/>
          <w:szCs w:val="24"/>
        </w:rPr>
        <w:t xml:space="preserve"> Sulfonate (CASRN 29420-49-3). Office of Research and Development, Center for Public </w:t>
      </w:r>
      <w:proofErr w:type="gramStart"/>
      <w:r w:rsidRPr="00A5595C">
        <w:rPr>
          <w:sz w:val="24"/>
          <w:szCs w:val="24"/>
        </w:rPr>
        <w:t>Health</w:t>
      </w:r>
      <w:proofErr w:type="gramEnd"/>
      <w:r w:rsidRPr="00A5595C">
        <w:rPr>
          <w:sz w:val="24"/>
          <w:szCs w:val="24"/>
        </w:rPr>
        <w:t xml:space="preserve"> and Environmental Assessment. Washington, DC. EPA/600/R-20/345F. April.</w:t>
      </w:r>
    </w:p>
    <w:p w14:paraId="084DFE35" w14:textId="45758468" w:rsidR="00CD79B6" w:rsidRDefault="00CD79B6" w:rsidP="004C4CB5">
      <w:pPr>
        <w:spacing w:after="0" w:line="240" w:lineRule="auto"/>
        <w:rPr>
          <w:sz w:val="24"/>
          <w:szCs w:val="24"/>
        </w:rPr>
      </w:pPr>
    </w:p>
    <w:p w14:paraId="3C80E7F3" w14:textId="2F24CCAB" w:rsidR="00CD79B6" w:rsidRDefault="00CD79B6" w:rsidP="00CD79B6">
      <w:pPr>
        <w:spacing w:after="0" w:line="240" w:lineRule="auto"/>
        <w:rPr>
          <w:sz w:val="24"/>
          <w:szCs w:val="24"/>
        </w:rPr>
      </w:pPr>
      <w:r w:rsidRPr="00A5595C">
        <w:rPr>
          <w:sz w:val="24"/>
          <w:szCs w:val="24"/>
        </w:rPr>
        <w:t>U.S. Environmental Protection Agency (US EPA). 202</w:t>
      </w:r>
      <w:r>
        <w:rPr>
          <w:sz w:val="24"/>
          <w:szCs w:val="24"/>
        </w:rPr>
        <w:t>2</w:t>
      </w:r>
      <w:r w:rsidRPr="00A5595C">
        <w:rPr>
          <w:sz w:val="24"/>
          <w:szCs w:val="24"/>
        </w:rPr>
        <w:t xml:space="preserve">. </w:t>
      </w:r>
      <w:r>
        <w:rPr>
          <w:sz w:val="24"/>
          <w:szCs w:val="24"/>
        </w:rPr>
        <w:t xml:space="preserve">IRIS Toxicological Review of </w:t>
      </w:r>
      <w:proofErr w:type="spellStart"/>
      <w:r>
        <w:rPr>
          <w:sz w:val="24"/>
          <w:szCs w:val="24"/>
        </w:rPr>
        <w:t>Perfluorobutanoic</w:t>
      </w:r>
      <w:proofErr w:type="spellEnd"/>
      <w:r>
        <w:rPr>
          <w:sz w:val="24"/>
          <w:szCs w:val="24"/>
        </w:rPr>
        <w:t xml:space="preserve"> acid</w:t>
      </w:r>
      <w:r>
        <w:t xml:space="preserve"> (PFBA, CASRN 375-22-4) and Related Salts. </w:t>
      </w:r>
      <w:r w:rsidRPr="00A5595C">
        <w:rPr>
          <w:sz w:val="24"/>
          <w:szCs w:val="24"/>
        </w:rPr>
        <w:t>Office of</w:t>
      </w:r>
      <w:r>
        <w:rPr>
          <w:sz w:val="24"/>
          <w:szCs w:val="24"/>
        </w:rPr>
        <w:t xml:space="preserve"> Research and Development, Center for Public </w:t>
      </w:r>
      <w:proofErr w:type="gramStart"/>
      <w:r>
        <w:rPr>
          <w:sz w:val="24"/>
          <w:szCs w:val="24"/>
        </w:rPr>
        <w:t>Health</w:t>
      </w:r>
      <w:proofErr w:type="gramEnd"/>
      <w:r>
        <w:rPr>
          <w:sz w:val="24"/>
          <w:szCs w:val="24"/>
        </w:rPr>
        <w:t xml:space="preserve"> and Environmental Assessment</w:t>
      </w:r>
      <w:r w:rsidRPr="00A5595C">
        <w:rPr>
          <w:sz w:val="24"/>
          <w:szCs w:val="24"/>
        </w:rPr>
        <w:t>. Washington, DC. EPA/6</w:t>
      </w:r>
      <w:r>
        <w:rPr>
          <w:sz w:val="24"/>
          <w:szCs w:val="24"/>
        </w:rPr>
        <w:t>35</w:t>
      </w:r>
      <w:r w:rsidRPr="00A5595C">
        <w:rPr>
          <w:sz w:val="24"/>
          <w:szCs w:val="24"/>
        </w:rPr>
        <w:t>/R-2</w:t>
      </w:r>
      <w:r>
        <w:rPr>
          <w:sz w:val="24"/>
          <w:szCs w:val="24"/>
        </w:rPr>
        <w:t>2</w:t>
      </w:r>
      <w:r w:rsidRPr="00A5595C">
        <w:rPr>
          <w:sz w:val="24"/>
          <w:szCs w:val="24"/>
        </w:rPr>
        <w:t>/</w:t>
      </w:r>
      <w:r>
        <w:rPr>
          <w:sz w:val="24"/>
          <w:szCs w:val="24"/>
        </w:rPr>
        <w:t>277</w:t>
      </w:r>
      <w:r w:rsidRPr="00A5595C">
        <w:rPr>
          <w:sz w:val="24"/>
          <w:szCs w:val="24"/>
        </w:rPr>
        <w:t>F</w:t>
      </w:r>
      <w:r>
        <w:rPr>
          <w:sz w:val="24"/>
          <w:szCs w:val="24"/>
        </w:rPr>
        <w:t>a</w:t>
      </w:r>
      <w:r w:rsidRPr="00A5595C">
        <w:rPr>
          <w:sz w:val="24"/>
          <w:szCs w:val="24"/>
        </w:rPr>
        <w:t xml:space="preserve">. </w:t>
      </w:r>
      <w:r>
        <w:rPr>
          <w:sz w:val="24"/>
          <w:szCs w:val="24"/>
        </w:rPr>
        <w:t>December</w:t>
      </w:r>
      <w:r w:rsidRPr="00A5595C">
        <w:rPr>
          <w:sz w:val="24"/>
          <w:szCs w:val="24"/>
        </w:rPr>
        <w:t>.</w:t>
      </w:r>
    </w:p>
    <w:p w14:paraId="0D7300BA" w14:textId="77777777" w:rsidR="004C4CB5" w:rsidRDefault="004C4CB5" w:rsidP="004C4CB5">
      <w:pPr>
        <w:spacing w:after="0" w:line="240" w:lineRule="auto"/>
        <w:rPr>
          <w:sz w:val="24"/>
          <w:szCs w:val="24"/>
        </w:rPr>
      </w:pPr>
    </w:p>
    <w:p w14:paraId="5591558E" w14:textId="5723D3CD" w:rsidR="00BD33A9" w:rsidRPr="00A5595C" w:rsidRDefault="007802EB" w:rsidP="00A5595C">
      <w:pPr>
        <w:spacing w:after="0" w:line="240" w:lineRule="auto"/>
        <w:rPr>
          <w:sz w:val="24"/>
          <w:szCs w:val="24"/>
        </w:rPr>
      </w:pPr>
      <w:r w:rsidRPr="00A5595C">
        <w:rPr>
          <w:sz w:val="24"/>
          <w:szCs w:val="24"/>
        </w:rPr>
        <w:t>U.S. Environmental Protection Agency Region 1 (US EPA Region 1). 2005. Human Health Risk Assessment, GE/Housatonic River Site Rest of River, Volume 1. Prepared for U.S. Army Corps of Engineers, New England District, and U.S. EPA, New England Region, by Weston Solutions, Inc.</w:t>
      </w:r>
    </w:p>
    <w:p w14:paraId="030A8BE4" w14:textId="77777777" w:rsidR="00A5595C" w:rsidRDefault="00A5595C" w:rsidP="00A5595C">
      <w:pPr>
        <w:keepNext/>
        <w:keepLines/>
        <w:spacing w:after="0" w:line="240" w:lineRule="auto"/>
        <w:rPr>
          <w:sz w:val="24"/>
          <w:szCs w:val="24"/>
        </w:rPr>
      </w:pPr>
    </w:p>
    <w:p w14:paraId="18771E05" w14:textId="59FC9F02" w:rsidR="005C1083" w:rsidRPr="00A5595C" w:rsidRDefault="00863101" w:rsidP="00A5595C">
      <w:pPr>
        <w:keepNext/>
        <w:keepLines/>
        <w:spacing w:after="0" w:line="240" w:lineRule="auto"/>
        <w:rPr>
          <w:color w:val="0000FF" w:themeColor="hyperlink"/>
          <w:sz w:val="24"/>
          <w:szCs w:val="24"/>
          <w:u w:val="single"/>
        </w:rPr>
      </w:pPr>
      <w:r w:rsidRPr="0E1D4E23">
        <w:rPr>
          <w:sz w:val="24"/>
          <w:szCs w:val="24"/>
        </w:rPr>
        <w:t xml:space="preserve">U.S. Food and Drug Administration (US FDA). 2019. </w:t>
      </w:r>
      <w:r w:rsidR="00001D69" w:rsidRPr="0E1D4E23">
        <w:rPr>
          <w:sz w:val="24"/>
          <w:szCs w:val="24"/>
        </w:rPr>
        <w:t xml:space="preserve">Advice about Eating Fish for Women Who Are or Might Become Pregnant, Breastfeeding Mothers, and Young Children. </w:t>
      </w:r>
      <w:r w:rsidR="0013215E" w:rsidRPr="0E1D4E23">
        <w:rPr>
          <w:sz w:val="24"/>
          <w:szCs w:val="24"/>
        </w:rPr>
        <w:t xml:space="preserve">Available online at: </w:t>
      </w:r>
      <w:hyperlink r:id="rId30" w:anchor="III">
        <w:r w:rsidR="00001D69" w:rsidRPr="0E1D4E23">
          <w:rPr>
            <w:rStyle w:val="Hyperlink"/>
            <w:sz w:val="24"/>
            <w:szCs w:val="24"/>
          </w:rPr>
          <w:t>https://www.fda.gov/food/consumers/questions-answers-fdaepa-advice-about-eating-fish-women-who-are-or-might-become-pregnant#III</w:t>
        </w:r>
      </w:hyperlink>
    </w:p>
    <w:p w14:paraId="0E6C8BA6" w14:textId="77777777" w:rsidR="00F75182" w:rsidRDefault="00F75182">
      <w:pPr>
        <w:rPr>
          <w:rFonts w:cstheme="minorHAnsi"/>
          <w:i/>
          <w:iCs/>
          <w:sz w:val="20"/>
          <w:szCs w:val="20"/>
        </w:rPr>
        <w:sectPr w:rsidR="00F75182" w:rsidSect="000750D0">
          <w:headerReference w:type="default" r:id="rId31"/>
          <w:headerReference w:type="first" r:id="rId32"/>
          <w:pgSz w:w="12240" w:h="15840"/>
          <w:pgMar w:top="720" w:right="2070" w:bottom="720" w:left="720" w:header="720" w:footer="720" w:gutter="0"/>
          <w:cols w:space="720"/>
          <w:docGrid w:linePitch="360"/>
        </w:sectPr>
      </w:pPr>
    </w:p>
    <w:p w14:paraId="041A71DC" w14:textId="60C7356B" w:rsidR="00D06970" w:rsidRDefault="00D06970" w:rsidP="002A3EB0">
      <w:pPr>
        <w:pStyle w:val="Heading1"/>
        <w:numPr>
          <w:ilvl w:val="0"/>
          <w:numId w:val="0"/>
        </w:numPr>
        <w:jc w:val="center"/>
      </w:pPr>
      <w:bookmarkStart w:id="22" w:name="_Toc162620796"/>
      <w:r>
        <w:lastRenderedPageBreak/>
        <w:t>APPENDICES</w:t>
      </w:r>
      <w:bookmarkEnd w:id="22"/>
    </w:p>
    <w:p w14:paraId="6EC91BA1" w14:textId="77777777" w:rsidR="00EA359A" w:rsidRDefault="00EA359A" w:rsidP="00EA359A"/>
    <w:p w14:paraId="65DDDF4E" w14:textId="77777777" w:rsidR="00733892" w:rsidRDefault="00733892" w:rsidP="00EA359A"/>
    <w:p w14:paraId="45C8D58C" w14:textId="77777777" w:rsidR="00733892" w:rsidRDefault="00733892" w:rsidP="00EA359A"/>
    <w:p w14:paraId="7832D62D" w14:textId="77777777" w:rsidR="00733892" w:rsidRDefault="00733892" w:rsidP="00EA359A"/>
    <w:p w14:paraId="71F9B880" w14:textId="77777777" w:rsidR="00733892" w:rsidRDefault="00733892" w:rsidP="00EA359A"/>
    <w:p w14:paraId="5D6DE662" w14:textId="77777777" w:rsidR="00733892" w:rsidRDefault="00733892" w:rsidP="00EA359A"/>
    <w:p w14:paraId="22D9B83C" w14:textId="77777777" w:rsidR="00733892" w:rsidRDefault="00733892" w:rsidP="00EA359A"/>
    <w:p w14:paraId="0C896E49" w14:textId="77777777" w:rsidR="00733892" w:rsidRDefault="00733892" w:rsidP="00EA359A"/>
    <w:p w14:paraId="55FBB317" w14:textId="77777777" w:rsidR="00733892" w:rsidRDefault="00733892" w:rsidP="00EA359A"/>
    <w:p w14:paraId="40F13599" w14:textId="77777777" w:rsidR="00733892" w:rsidRDefault="00733892" w:rsidP="00EA359A"/>
    <w:p w14:paraId="655A6FB0" w14:textId="77777777" w:rsidR="00733892" w:rsidRDefault="00733892" w:rsidP="00EA359A"/>
    <w:p w14:paraId="7410E8B6" w14:textId="77777777" w:rsidR="00733892" w:rsidRDefault="00733892" w:rsidP="00EA359A"/>
    <w:p w14:paraId="24EF5118" w14:textId="77777777" w:rsidR="00733892" w:rsidRDefault="00733892" w:rsidP="00EA359A"/>
    <w:p w14:paraId="7B2C0B9D" w14:textId="77777777" w:rsidR="00733892" w:rsidRDefault="00733892" w:rsidP="00EA359A"/>
    <w:p w14:paraId="5255011E" w14:textId="77777777" w:rsidR="00733892" w:rsidRDefault="00733892" w:rsidP="00EA359A"/>
    <w:p w14:paraId="2777170D" w14:textId="77777777" w:rsidR="00733892" w:rsidRDefault="00733892" w:rsidP="00EA359A"/>
    <w:p w14:paraId="31948484" w14:textId="77777777" w:rsidR="00733892" w:rsidRDefault="00733892" w:rsidP="00EA359A"/>
    <w:p w14:paraId="586F32CB" w14:textId="77777777" w:rsidR="00733892" w:rsidRDefault="00733892" w:rsidP="00EA359A"/>
    <w:p w14:paraId="3E28DE72" w14:textId="77777777" w:rsidR="00733892" w:rsidRDefault="00733892" w:rsidP="00EA359A"/>
    <w:p w14:paraId="0155DCD5" w14:textId="77777777" w:rsidR="00733892" w:rsidRDefault="00733892" w:rsidP="00EA359A"/>
    <w:p w14:paraId="30058A34" w14:textId="77777777" w:rsidR="00733892" w:rsidRDefault="00733892" w:rsidP="00EA359A"/>
    <w:p w14:paraId="424A5078" w14:textId="77777777" w:rsidR="00733892" w:rsidRDefault="00733892" w:rsidP="00EA359A"/>
    <w:p w14:paraId="2268E439" w14:textId="77777777" w:rsidR="00733892" w:rsidRDefault="00733892" w:rsidP="00EA359A"/>
    <w:p w14:paraId="2BA84FFC" w14:textId="77777777" w:rsidR="00733892" w:rsidRDefault="00733892" w:rsidP="00EA359A"/>
    <w:p w14:paraId="7ABE7234" w14:textId="77777777" w:rsidR="00733892" w:rsidRDefault="00733892" w:rsidP="00EA359A"/>
    <w:p w14:paraId="0C6F4E21" w14:textId="77777777" w:rsidR="00733892" w:rsidRDefault="00733892" w:rsidP="00EA359A"/>
    <w:p w14:paraId="30C6587D" w14:textId="77777777" w:rsidR="00733892" w:rsidRDefault="00733892" w:rsidP="00733892">
      <w:pPr>
        <w:jc w:val="right"/>
      </w:pPr>
    </w:p>
    <w:p w14:paraId="5642CC80" w14:textId="3C143E52" w:rsidR="000D046E" w:rsidRPr="002C2961" w:rsidRDefault="00776FA8" w:rsidP="00E10CDD">
      <w:pPr>
        <w:pStyle w:val="Heading2"/>
      </w:pPr>
      <w:bookmarkStart w:id="23" w:name="_Toc162620797"/>
      <w:r>
        <w:t xml:space="preserve">Appendix </w:t>
      </w:r>
      <w:r w:rsidR="002C2961">
        <w:t>A</w:t>
      </w:r>
      <w:r w:rsidR="00D06970">
        <w:t xml:space="preserve"> </w:t>
      </w:r>
      <w:r>
        <w:t>–</w:t>
      </w:r>
      <w:r w:rsidR="00D06970">
        <w:t xml:space="preserve"> </w:t>
      </w:r>
      <w:r>
        <w:t>Calculation of Surface Water Action Levels</w:t>
      </w:r>
      <w:bookmarkEnd w:id="23"/>
      <w:r w:rsidR="000B71DA">
        <w:t xml:space="preserve"> </w:t>
      </w:r>
    </w:p>
    <w:p w14:paraId="557068DE" w14:textId="40A8398E" w:rsidR="00DD359D" w:rsidRDefault="00F53EB7" w:rsidP="006E4074">
      <w:pPr>
        <w:spacing w:line="240" w:lineRule="auto"/>
        <w:rPr>
          <w:rFonts w:cs="Arial"/>
          <w:sz w:val="24"/>
          <w:szCs w:val="24"/>
        </w:rPr>
      </w:pPr>
      <w:r w:rsidRPr="00B120CB">
        <w:rPr>
          <w:rFonts w:cs="Arial"/>
          <w:sz w:val="24"/>
          <w:szCs w:val="24"/>
        </w:rPr>
        <w:t>The</w:t>
      </w:r>
      <w:r>
        <w:rPr>
          <w:rFonts w:cs="Arial"/>
          <w:sz w:val="24"/>
          <w:szCs w:val="24"/>
        </w:rPr>
        <w:t xml:space="preserve"> </w:t>
      </w:r>
      <w:r w:rsidR="007F1DF7" w:rsidRPr="6BE7E070">
        <w:rPr>
          <w:rFonts w:cs="Arial"/>
          <w:sz w:val="24"/>
          <w:szCs w:val="24"/>
        </w:rPr>
        <w:t>Surface Water Action Level</w:t>
      </w:r>
      <w:r w:rsidR="0094497B" w:rsidRPr="6BE7E070">
        <w:rPr>
          <w:rFonts w:cs="Arial"/>
          <w:sz w:val="24"/>
          <w:szCs w:val="24"/>
        </w:rPr>
        <w:t xml:space="preserve"> (</w:t>
      </w:r>
      <w:r w:rsidR="007F1DF7" w:rsidRPr="6BE7E070">
        <w:rPr>
          <w:rFonts w:cs="Arial"/>
          <w:sz w:val="24"/>
          <w:szCs w:val="24"/>
        </w:rPr>
        <w:t>SWAL</w:t>
      </w:r>
      <w:r w:rsidR="0094497B" w:rsidRPr="6BE7E070">
        <w:rPr>
          <w:rFonts w:cs="Arial"/>
          <w:sz w:val="24"/>
          <w:szCs w:val="24"/>
        </w:rPr>
        <w:t>)</w:t>
      </w:r>
      <w:r w:rsidR="001F764C" w:rsidRPr="6BE7E070">
        <w:rPr>
          <w:rFonts w:cs="Arial"/>
          <w:sz w:val="24"/>
          <w:szCs w:val="24"/>
        </w:rPr>
        <w:t xml:space="preserve"> </w:t>
      </w:r>
      <w:r w:rsidR="004D790B" w:rsidRPr="6BE7E070">
        <w:rPr>
          <w:rFonts w:cs="Arial"/>
          <w:sz w:val="24"/>
          <w:szCs w:val="24"/>
        </w:rPr>
        <w:t xml:space="preserve">and Public Beach Action Level (PBAL) </w:t>
      </w:r>
      <w:r w:rsidR="001F764C" w:rsidRPr="6BE7E070">
        <w:rPr>
          <w:rFonts w:cs="Arial"/>
          <w:sz w:val="24"/>
          <w:szCs w:val="24"/>
        </w:rPr>
        <w:t xml:space="preserve">are developed for incidental ingestion </w:t>
      </w:r>
      <w:r w:rsidR="0044579F" w:rsidRPr="6BE7E070">
        <w:rPr>
          <w:rFonts w:cs="Arial"/>
          <w:sz w:val="24"/>
          <w:szCs w:val="24"/>
        </w:rPr>
        <w:t>while swimming</w:t>
      </w:r>
      <w:r w:rsidR="00136C66" w:rsidRPr="6BE7E070">
        <w:rPr>
          <w:rFonts w:cs="Arial"/>
          <w:sz w:val="24"/>
          <w:szCs w:val="24"/>
        </w:rPr>
        <w:t>,</w:t>
      </w:r>
      <w:r w:rsidR="0044579F" w:rsidRPr="6BE7E070">
        <w:rPr>
          <w:rFonts w:cs="Arial"/>
          <w:sz w:val="24"/>
          <w:szCs w:val="24"/>
        </w:rPr>
        <w:t xml:space="preserve"> for intermediate exposure</w:t>
      </w:r>
      <w:r w:rsidR="00136C66" w:rsidRPr="6BE7E070">
        <w:rPr>
          <w:rFonts w:cs="Arial"/>
          <w:sz w:val="24"/>
          <w:szCs w:val="24"/>
        </w:rPr>
        <w:t>,</w:t>
      </w:r>
      <w:r w:rsidR="0044579F" w:rsidRPr="6BE7E070">
        <w:rPr>
          <w:rFonts w:cs="Arial"/>
          <w:sz w:val="24"/>
          <w:szCs w:val="24"/>
        </w:rPr>
        <w:t xml:space="preserve"> </w:t>
      </w:r>
      <w:r w:rsidR="00BF20CD" w:rsidRPr="6BE7E070">
        <w:rPr>
          <w:rFonts w:cs="Arial"/>
          <w:sz w:val="24"/>
          <w:szCs w:val="24"/>
        </w:rPr>
        <w:t xml:space="preserve">and for </w:t>
      </w:r>
      <w:r w:rsidR="0044579F" w:rsidRPr="6BE7E070">
        <w:rPr>
          <w:rFonts w:cs="Arial"/>
          <w:sz w:val="24"/>
          <w:szCs w:val="24"/>
        </w:rPr>
        <w:t>non</w:t>
      </w:r>
      <w:r w:rsidR="0094497B" w:rsidRPr="6BE7E070">
        <w:rPr>
          <w:rFonts w:cs="Arial"/>
          <w:sz w:val="24"/>
          <w:szCs w:val="24"/>
        </w:rPr>
        <w:t>-</w:t>
      </w:r>
      <w:r w:rsidR="0044579F" w:rsidRPr="6BE7E070">
        <w:rPr>
          <w:rFonts w:cs="Arial"/>
          <w:sz w:val="24"/>
          <w:szCs w:val="24"/>
        </w:rPr>
        <w:t xml:space="preserve">cancer </w:t>
      </w:r>
      <w:r w:rsidR="0094497B" w:rsidRPr="6BE7E070">
        <w:rPr>
          <w:rFonts w:cs="Arial"/>
          <w:sz w:val="24"/>
          <w:szCs w:val="24"/>
        </w:rPr>
        <w:t>e</w:t>
      </w:r>
      <w:r w:rsidR="001024CF" w:rsidRPr="6BE7E070">
        <w:rPr>
          <w:rFonts w:cs="Arial"/>
          <w:sz w:val="24"/>
          <w:szCs w:val="24"/>
        </w:rPr>
        <w:t>ndpoints</w:t>
      </w:r>
      <w:r w:rsidR="0044579F" w:rsidRPr="6BE7E070">
        <w:rPr>
          <w:rFonts w:cs="Arial"/>
          <w:sz w:val="24"/>
          <w:szCs w:val="24"/>
        </w:rPr>
        <w:t>.</w:t>
      </w:r>
      <w:r w:rsidR="0094497B" w:rsidRPr="6BE7E070">
        <w:rPr>
          <w:rFonts w:cs="Arial"/>
          <w:sz w:val="24"/>
          <w:szCs w:val="24"/>
        </w:rPr>
        <w:t xml:space="preserve"> </w:t>
      </w:r>
      <w:r w:rsidR="0044579F" w:rsidRPr="6BE7E070">
        <w:rPr>
          <w:rFonts w:cs="Arial"/>
          <w:sz w:val="24"/>
          <w:szCs w:val="24"/>
        </w:rPr>
        <w:t>Equations and exposure assumptions are</w:t>
      </w:r>
      <w:r w:rsidR="00BF20CD" w:rsidRPr="6BE7E070">
        <w:rPr>
          <w:rFonts w:cs="Arial"/>
          <w:sz w:val="24"/>
          <w:szCs w:val="24"/>
        </w:rPr>
        <w:t xml:space="preserve"> </w:t>
      </w:r>
      <w:r w:rsidR="001F764C" w:rsidRPr="6BE7E070">
        <w:rPr>
          <w:rFonts w:cs="Arial"/>
          <w:sz w:val="24"/>
          <w:szCs w:val="24"/>
        </w:rPr>
        <w:t>based on guidance from the Agency for Toxic Substances and Disease Registry (ATSDR) and the U.S. Environmental Protection Agency (US EPA) (</w:t>
      </w:r>
      <w:r w:rsidR="0044579F" w:rsidRPr="6BE7E070">
        <w:rPr>
          <w:rFonts w:cs="Arial"/>
          <w:sz w:val="24"/>
          <w:szCs w:val="24"/>
        </w:rPr>
        <w:t xml:space="preserve">e.g., </w:t>
      </w:r>
      <w:r w:rsidR="001F764C" w:rsidRPr="6BE7E070">
        <w:rPr>
          <w:rFonts w:cs="Arial"/>
          <w:sz w:val="24"/>
          <w:szCs w:val="24"/>
        </w:rPr>
        <w:t>ATSDR, 2016</w:t>
      </w:r>
      <w:r w:rsidR="007F1B9D" w:rsidRPr="6BE7E070">
        <w:rPr>
          <w:rFonts w:cs="Arial"/>
          <w:sz w:val="24"/>
          <w:szCs w:val="24"/>
        </w:rPr>
        <w:t>a</w:t>
      </w:r>
      <w:r w:rsidR="00B61A91" w:rsidRPr="6BE7E070">
        <w:rPr>
          <w:rFonts w:cs="Arial"/>
          <w:sz w:val="24"/>
          <w:szCs w:val="24"/>
        </w:rPr>
        <w:t>, b</w:t>
      </w:r>
      <w:r w:rsidR="001F764C" w:rsidRPr="6BE7E070">
        <w:rPr>
          <w:rFonts w:cs="Arial"/>
          <w:sz w:val="24"/>
          <w:szCs w:val="24"/>
        </w:rPr>
        <w:t xml:space="preserve">; US EPA, </w:t>
      </w:r>
      <w:r w:rsidR="0044579F" w:rsidRPr="6BE7E070">
        <w:rPr>
          <w:rFonts w:cs="Arial"/>
          <w:sz w:val="24"/>
          <w:szCs w:val="24"/>
        </w:rPr>
        <w:t>1989</w:t>
      </w:r>
      <w:r w:rsidR="001F764C" w:rsidRPr="6BE7E070">
        <w:rPr>
          <w:rFonts w:cs="Arial"/>
          <w:sz w:val="24"/>
          <w:szCs w:val="24"/>
        </w:rPr>
        <w:t>)</w:t>
      </w:r>
      <w:r w:rsidR="00DD359D" w:rsidRPr="6BE7E070">
        <w:rPr>
          <w:rFonts w:cs="Arial"/>
          <w:sz w:val="24"/>
          <w:szCs w:val="24"/>
        </w:rPr>
        <w:t>, as well as professional judgement</w:t>
      </w:r>
      <w:r w:rsidR="001F764C" w:rsidRPr="6BE7E070">
        <w:rPr>
          <w:rFonts w:cs="Arial"/>
          <w:sz w:val="24"/>
          <w:szCs w:val="24"/>
        </w:rPr>
        <w:t xml:space="preserve">. </w:t>
      </w:r>
      <w:r w:rsidRPr="00B120CB">
        <w:rPr>
          <w:rFonts w:cs="Arial"/>
          <w:sz w:val="24"/>
          <w:szCs w:val="24"/>
        </w:rPr>
        <w:t>Candidate</w:t>
      </w:r>
      <w:r>
        <w:rPr>
          <w:rFonts w:cs="Arial"/>
          <w:sz w:val="24"/>
          <w:szCs w:val="24"/>
        </w:rPr>
        <w:t xml:space="preserve"> </w:t>
      </w:r>
      <w:r w:rsidR="00801103" w:rsidRPr="6BE7E070">
        <w:rPr>
          <w:rFonts w:cs="Arial"/>
          <w:sz w:val="24"/>
          <w:szCs w:val="24"/>
        </w:rPr>
        <w:t xml:space="preserve">SWALs </w:t>
      </w:r>
      <w:r w:rsidR="00EE66C9" w:rsidRPr="00B120CB">
        <w:rPr>
          <w:rFonts w:cs="Arial"/>
          <w:sz w:val="24"/>
          <w:szCs w:val="24"/>
        </w:rPr>
        <w:t>(</w:t>
      </w:r>
      <w:proofErr w:type="spellStart"/>
      <w:r w:rsidR="00EE66C9" w:rsidRPr="00B120CB">
        <w:rPr>
          <w:rFonts w:cs="Arial"/>
          <w:sz w:val="24"/>
          <w:szCs w:val="24"/>
        </w:rPr>
        <w:t>cSWAL</w:t>
      </w:r>
      <w:proofErr w:type="spellEnd"/>
      <w:r w:rsidR="00EE66C9" w:rsidRPr="00B120CB">
        <w:rPr>
          <w:rFonts w:cs="Arial"/>
          <w:sz w:val="24"/>
          <w:szCs w:val="24"/>
        </w:rPr>
        <w:t>)</w:t>
      </w:r>
      <w:r w:rsidR="00EE66C9">
        <w:rPr>
          <w:rFonts w:cs="Arial"/>
          <w:sz w:val="24"/>
          <w:szCs w:val="24"/>
        </w:rPr>
        <w:t xml:space="preserve"> </w:t>
      </w:r>
      <w:r w:rsidR="004D790B" w:rsidRPr="6BE7E070">
        <w:rPr>
          <w:rFonts w:cs="Arial"/>
          <w:sz w:val="24"/>
          <w:szCs w:val="24"/>
        </w:rPr>
        <w:t xml:space="preserve">and PBALs </w:t>
      </w:r>
      <w:r w:rsidR="00EE66C9" w:rsidRPr="00B120CB">
        <w:rPr>
          <w:rFonts w:cs="Arial"/>
          <w:sz w:val="24"/>
          <w:szCs w:val="24"/>
        </w:rPr>
        <w:t>(</w:t>
      </w:r>
      <w:proofErr w:type="spellStart"/>
      <w:r w:rsidR="00EE66C9" w:rsidRPr="00B120CB">
        <w:rPr>
          <w:rFonts w:cs="Arial"/>
          <w:sz w:val="24"/>
          <w:szCs w:val="24"/>
        </w:rPr>
        <w:t>cPBAL</w:t>
      </w:r>
      <w:proofErr w:type="spellEnd"/>
      <w:r w:rsidR="00EE66C9" w:rsidRPr="00B120CB">
        <w:rPr>
          <w:rFonts w:cs="Arial"/>
          <w:sz w:val="24"/>
          <w:szCs w:val="24"/>
        </w:rPr>
        <w:t>)</w:t>
      </w:r>
      <w:r w:rsidR="00EE66C9">
        <w:rPr>
          <w:rFonts w:cs="Arial"/>
          <w:sz w:val="24"/>
          <w:szCs w:val="24"/>
        </w:rPr>
        <w:t xml:space="preserve"> </w:t>
      </w:r>
      <w:r w:rsidR="00801103" w:rsidRPr="6BE7E070">
        <w:rPr>
          <w:rFonts w:cs="Arial"/>
          <w:sz w:val="24"/>
          <w:szCs w:val="24"/>
        </w:rPr>
        <w:t xml:space="preserve">are calculated for </w:t>
      </w:r>
      <w:proofErr w:type="spellStart"/>
      <w:r w:rsidR="00801103" w:rsidRPr="6BE7E070">
        <w:rPr>
          <w:rFonts w:cs="Arial"/>
          <w:sz w:val="24"/>
          <w:szCs w:val="24"/>
        </w:rPr>
        <w:t>perfluorooctane</w:t>
      </w:r>
      <w:proofErr w:type="spellEnd"/>
      <w:r w:rsidR="00801103" w:rsidRPr="6BE7E070">
        <w:rPr>
          <w:rFonts w:cs="Arial"/>
          <w:sz w:val="24"/>
          <w:szCs w:val="24"/>
        </w:rPr>
        <w:t xml:space="preserve"> sulfonic acid (PFOS), as the most potent of the PFAS for which there are toxicity criteria, for age groups ranging from birth to adult. The SWAL </w:t>
      </w:r>
      <w:r w:rsidR="004D790B" w:rsidRPr="6BE7E070">
        <w:rPr>
          <w:rFonts w:cs="Arial"/>
          <w:sz w:val="24"/>
          <w:szCs w:val="24"/>
        </w:rPr>
        <w:t>and PBAL are</w:t>
      </w:r>
      <w:r w:rsidR="00801103" w:rsidRPr="6BE7E070">
        <w:rPr>
          <w:rFonts w:cs="Arial"/>
          <w:sz w:val="24"/>
          <w:szCs w:val="24"/>
        </w:rPr>
        <w:t xml:space="preserve"> selected as the minimum </w:t>
      </w:r>
      <w:proofErr w:type="spellStart"/>
      <w:r w:rsidR="00EE66C9" w:rsidRPr="007523EB">
        <w:rPr>
          <w:rFonts w:cs="Arial"/>
          <w:sz w:val="24"/>
          <w:szCs w:val="24"/>
        </w:rPr>
        <w:t>cSWAL</w:t>
      </w:r>
      <w:proofErr w:type="spellEnd"/>
      <w:r w:rsidR="00EE66C9" w:rsidRPr="007523EB">
        <w:rPr>
          <w:rFonts w:cs="Arial"/>
          <w:sz w:val="24"/>
          <w:szCs w:val="24"/>
        </w:rPr>
        <w:t xml:space="preserve"> and </w:t>
      </w:r>
      <w:proofErr w:type="spellStart"/>
      <w:r w:rsidR="00EE66C9" w:rsidRPr="007523EB">
        <w:rPr>
          <w:rFonts w:cs="Arial"/>
          <w:sz w:val="24"/>
          <w:szCs w:val="24"/>
        </w:rPr>
        <w:t>cPBAL</w:t>
      </w:r>
      <w:proofErr w:type="spellEnd"/>
      <w:r w:rsidR="00EE66C9" w:rsidRPr="007523EB">
        <w:rPr>
          <w:rFonts w:cs="Arial"/>
          <w:sz w:val="24"/>
          <w:szCs w:val="24"/>
        </w:rPr>
        <w:t xml:space="preserve"> across</w:t>
      </w:r>
      <w:r w:rsidR="00801103" w:rsidRPr="6BE7E070">
        <w:rPr>
          <w:rFonts w:cs="Arial"/>
          <w:sz w:val="24"/>
          <w:szCs w:val="24"/>
        </w:rPr>
        <w:t xml:space="preserve"> age groups.</w:t>
      </w:r>
    </w:p>
    <w:p w14:paraId="67436D7A" w14:textId="039310C9" w:rsidR="00307CAF" w:rsidRPr="00646233" w:rsidRDefault="00801103" w:rsidP="006E4074">
      <w:pPr>
        <w:spacing w:after="0" w:line="240" w:lineRule="auto"/>
        <w:rPr>
          <w:rFonts w:cs="Arial"/>
          <w:sz w:val="24"/>
        </w:rPr>
      </w:pPr>
      <w:r>
        <w:rPr>
          <w:rFonts w:cs="Arial"/>
          <w:sz w:val="24"/>
        </w:rPr>
        <w:t>For each age group, t</w:t>
      </w:r>
      <w:r w:rsidR="00307CAF" w:rsidRPr="00646233">
        <w:rPr>
          <w:rFonts w:cs="Arial"/>
          <w:sz w:val="24"/>
        </w:rPr>
        <w:t xml:space="preserve">he </w:t>
      </w:r>
      <w:proofErr w:type="spellStart"/>
      <w:r w:rsidR="00F71229" w:rsidRPr="007523EB">
        <w:rPr>
          <w:rFonts w:cs="Arial"/>
          <w:sz w:val="24"/>
        </w:rPr>
        <w:t>c</w:t>
      </w:r>
      <w:r w:rsidR="00DD359D" w:rsidRPr="007523EB">
        <w:rPr>
          <w:rFonts w:cs="Arial"/>
          <w:sz w:val="24"/>
        </w:rPr>
        <w:t>SWAL</w:t>
      </w:r>
      <w:r w:rsidR="00F71229" w:rsidRPr="007523EB">
        <w:rPr>
          <w:rFonts w:cs="Arial"/>
          <w:sz w:val="24"/>
        </w:rPr>
        <w:t>s</w:t>
      </w:r>
      <w:proofErr w:type="spellEnd"/>
      <w:r w:rsidR="00F71229" w:rsidRPr="007523EB">
        <w:rPr>
          <w:rFonts w:cs="Arial"/>
          <w:sz w:val="24"/>
        </w:rPr>
        <w:t xml:space="preserve"> and </w:t>
      </w:r>
      <w:proofErr w:type="spellStart"/>
      <w:r w:rsidR="00F71229" w:rsidRPr="007523EB">
        <w:rPr>
          <w:rFonts w:cs="Arial"/>
          <w:sz w:val="24"/>
        </w:rPr>
        <w:t>cPBALs</w:t>
      </w:r>
      <w:proofErr w:type="spellEnd"/>
      <w:r w:rsidR="00F71229" w:rsidRPr="007523EB">
        <w:rPr>
          <w:rFonts w:cs="Arial"/>
          <w:sz w:val="24"/>
        </w:rPr>
        <w:t xml:space="preserve"> are</w:t>
      </w:r>
      <w:r w:rsidR="00DD359D">
        <w:rPr>
          <w:rFonts w:cs="Arial"/>
          <w:sz w:val="24"/>
        </w:rPr>
        <w:t xml:space="preserve"> calculated according to the following equation:</w:t>
      </w:r>
    </w:p>
    <w:p w14:paraId="20CBCB45" w14:textId="77777777" w:rsidR="00307CAF" w:rsidRPr="00646233" w:rsidRDefault="00307CAF" w:rsidP="006E4074">
      <w:pPr>
        <w:spacing w:after="0" w:line="240" w:lineRule="auto"/>
        <w:rPr>
          <w:rFonts w:cs="Arial"/>
          <w:sz w:val="24"/>
        </w:rPr>
      </w:pPr>
    </w:p>
    <w:p w14:paraId="1520EFA5" w14:textId="4C17DDDF" w:rsidR="00F71229" w:rsidRPr="00646233" w:rsidRDefault="00CD4887" w:rsidP="006E4074">
      <w:pPr>
        <w:spacing w:after="0" w:line="240" w:lineRule="auto"/>
        <w:rPr>
          <w:rFonts w:ascii="Cambria Math" w:hAnsi="Cambria Math" w:cs="Arial"/>
          <w:sz w:val="24"/>
        </w:rPr>
      </w:pPr>
      <m:oMathPara>
        <m:oMath>
          <m:r>
            <w:rPr>
              <w:rFonts w:ascii="Cambria Math" w:hAnsi="Cambria Math" w:cs="Arial"/>
              <w:sz w:val="24"/>
            </w:rPr>
            <m:t>cSWAL/cPBAL=THI ×</m:t>
          </m:r>
          <m:d>
            <m:dPr>
              <m:ctrlPr>
                <w:rPr>
                  <w:rFonts w:ascii="Cambria Math" w:hAnsi="Cambria Math" w:cs="Arial"/>
                  <w:i/>
                  <w:sz w:val="24"/>
                </w:rPr>
              </m:ctrlPr>
            </m:dPr>
            <m:e>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MRL</m:t>
                      </m:r>
                    </m:e>
                    <m:sub>
                      <m:r>
                        <w:rPr>
                          <w:rFonts w:ascii="Cambria Math" w:hAnsi="Cambria Math" w:cs="Arial"/>
                          <w:sz w:val="24"/>
                        </w:rPr>
                        <m:t>PFOS</m:t>
                      </m:r>
                    </m:sub>
                  </m:sSub>
                </m:num>
                <m:den>
                  <m:r>
                    <w:rPr>
                      <w:rFonts w:ascii="Cambria Math" w:hAnsi="Cambria Math" w:cs="Arial"/>
                      <w:sz w:val="24"/>
                    </w:rPr>
                    <m:t>IF</m:t>
                  </m:r>
                </m:den>
              </m:f>
            </m:e>
          </m:d>
          <m:r>
            <w:rPr>
              <w:rFonts w:ascii="Cambria Math" w:hAnsi="Cambria Math" w:cs="Arial"/>
            </w:rPr>
            <m:t>×</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MRL</m:t>
                      </m:r>
                    </m:e>
                    <m:sub>
                      <m:r>
                        <w:rPr>
                          <w:rFonts w:ascii="Cambria Math" w:hAnsi="Cambria Math" w:cs="Arial"/>
                        </w:rPr>
                        <m:t>PFOS</m:t>
                      </m:r>
                    </m:sub>
                  </m:sSub>
                </m:num>
                <m:den>
                  <m:sSub>
                    <m:sSubPr>
                      <m:ctrlPr>
                        <w:rPr>
                          <w:rFonts w:ascii="Cambria Math" w:hAnsi="Cambria Math" w:cs="Arial"/>
                          <w:i/>
                        </w:rPr>
                      </m:ctrlPr>
                    </m:sSubPr>
                    <m:e>
                      <m:r>
                        <w:rPr>
                          <w:rFonts w:ascii="Cambria Math" w:hAnsi="Cambria Math" w:cs="Arial"/>
                        </w:rPr>
                        <m:t>MRL</m:t>
                      </m:r>
                    </m:e>
                    <m:sub>
                      <m:r>
                        <w:rPr>
                          <w:rFonts w:ascii="Cambria Math" w:hAnsi="Cambria Math" w:cs="Arial"/>
                        </w:rPr>
                        <m:t>PFOS</m:t>
                      </m:r>
                    </m:sub>
                  </m:sSub>
                  <m:r>
                    <w:rPr>
                      <w:rFonts w:ascii="Cambria Math" w:hAnsi="Cambria Math" w:cs="Arial"/>
                    </w:rPr>
                    <m:t>+</m:t>
                  </m:r>
                  <m:sSub>
                    <m:sSubPr>
                      <m:ctrlPr>
                        <w:rPr>
                          <w:rFonts w:ascii="Cambria Math" w:hAnsi="Cambria Math" w:cs="Arial"/>
                          <w:i/>
                        </w:rPr>
                      </m:ctrlPr>
                    </m:sSubPr>
                    <m:e>
                      <m:r>
                        <w:rPr>
                          <w:rFonts w:ascii="Cambria Math" w:hAnsi="Cambria Math" w:cs="Arial"/>
                        </w:rPr>
                        <m:t>MRL</m:t>
                      </m:r>
                    </m:e>
                    <m:sub>
                      <m:r>
                        <w:rPr>
                          <w:rFonts w:ascii="Cambria Math" w:hAnsi="Cambria Math" w:cs="Arial"/>
                        </w:rPr>
                        <m:t>PFNA</m:t>
                      </m:r>
                    </m:sub>
                  </m:sSub>
                </m:den>
              </m:f>
            </m:e>
          </m:d>
          <m:r>
            <w:rPr>
              <w:rFonts w:ascii="Cambria Math" w:hAnsi="Cambria Math" w:cs="Arial"/>
              <w:sz w:val="24"/>
            </w:rPr>
            <m:t>×RSC</m:t>
          </m:r>
        </m:oMath>
      </m:oMathPara>
    </w:p>
    <w:p w14:paraId="56D6EC94" w14:textId="77777777" w:rsidR="008B78EF" w:rsidRPr="00646233" w:rsidRDefault="008B78EF" w:rsidP="006E4074">
      <w:pPr>
        <w:spacing w:after="0" w:line="240" w:lineRule="auto"/>
        <w:rPr>
          <w:rFonts w:cs="Arial"/>
          <w:sz w:val="24"/>
        </w:rPr>
      </w:pPr>
    </w:p>
    <w:p w14:paraId="0E3EC269" w14:textId="77777777" w:rsidR="008B78EF" w:rsidRPr="00646233" w:rsidRDefault="008B78EF" w:rsidP="006E4074">
      <w:pPr>
        <w:spacing w:after="0" w:line="240" w:lineRule="auto"/>
        <w:rPr>
          <w:rFonts w:cs="Arial"/>
          <w:sz w:val="24"/>
        </w:rPr>
      </w:pPr>
      <w:r w:rsidRPr="00646233">
        <w:rPr>
          <w:rFonts w:cs="Arial"/>
          <w:sz w:val="24"/>
        </w:rPr>
        <w:t>Where:</w:t>
      </w:r>
    </w:p>
    <w:p w14:paraId="18B4E50D" w14:textId="3E80866A" w:rsidR="008B78EF" w:rsidRPr="00646233" w:rsidRDefault="008B78EF" w:rsidP="006E4074">
      <w:pPr>
        <w:tabs>
          <w:tab w:val="left" w:pos="1620"/>
          <w:tab w:val="left" w:pos="1980"/>
        </w:tabs>
        <w:spacing w:after="0" w:line="240" w:lineRule="auto"/>
        <w:ind w:left="720"/>
        <w:rPr>
          <w:rFonts w:cs="Arial"/>
          <w:sz w:val="24"/>
        </w:rPr>
      </w:pPr>
      <w:r w:rsidRPr="00646233">
        <w:rPr>
          <w:rFonts w:cs="Arial"/>
          <w:sz w:val="24"/>
        </w:rPr>
        <w:t>THI</w:t>
      </w:r>
      <w:r w:rsidRPr="00646233">
        <w:rPr>
          <w:rFonts w:cs="Arial"/>
          <w:sz w:val="24"/>
        </w:rPr>
        <w:tab/>
        <w:t>=</w:t>
      </w:r>
      <w:r w:rsidRPr="00646233">
        <w:rPr>
          <w:rFonts w:cs="Arial"/>
          <w:sz w:val="24"/>
        </w:rPr>
        <w:tab/>
        <w:t>Target Hazard Index (unitless</w:t>
      </w:r>
      <w:proofErr w:type="gramStart"/>
      <w:r w:rsidRPr="00646233">
        <w:rPr>
          <w:rFonts w:cs="Arial"/>
          <w:sz w:val="24"/>
        </w:rPr>
        <w:t>)</w:t>
      </w:r>
      <w:r>
        <w:rPr>
          <w:rFonts w:cs="Arial"/>
          <w:sz w:val="24"/>
        </w:rPr>
        <w:t>;</w:t>
      </w:r>
      <w:proofErr w:type="gramEnd"/>
      <w:r w:rsidRPr="00646233">
        <w:rPr>
          <w:rFonts w:cs="Arial"/>
          <w:sz w:val="24"/>
        </w:rPr>
        <w:t xml:space="preserve"> </w:t>
      </w:r>
    </w:p>
    <w:p w14:paraId="1AB82175" w14:textId="3D6404F4" w:rsidR="00AD07A1" w:rsidRDefault="008B78EF" w:rsidP="006E4074">
      <w:pPr>
        <w:tabs>
          <w:tab w:val="left" w:pos="1620"/>
          <w:tab w:val="left" w:pos="1980"/>
        </w:tabs>
        <w:spacing w:after="0" w:line="240" w:lineRule="auto"/>
        <w:ind w:left="720"/>
        <w:rPr>
          <w:rFonts w:cs="Arial"/>
          <w:sz w:val="24"/>
        </w:rPr>
      </w:pPr>
      <w:r w:rsidRPr="00646233">
        <w:rPr>
          <w:rFonts w:cs="Arial"/>
          <w:sz w:val="24"/>
        </w:rPr>
        <w:t>MRL</w:t>
      </w:r>
      <w:r w:rsidR="00755603" w:rsidRPr="00755603">
        <w:rPr>
          <w:rFonts w:cs="Arial"/>
          <w:sz w:val="24"/>
          <w:vertAlign w:val="subscript"/>
        </w:rPr>
        <w:t>PFOS</w:t>
      </w:r>
      <w:r w:rsidRPr="00646233">
        <w:rPr>
          <w:rFonts w:cs="Arial"/>
          <w:sz w:val="24"/>
        </w:rPr>
        <w:tab/>
        <w:t>=</w:t>
      </w:r>
      <w:r w:rsidRPr="00646233">
        <w:rPr>
          <w:rFonts w:cs="Arial"/>
          <w:sz w:val="24"/>
        </w:rPr>
        <w:tab/>
      </w:r>
      <w:r>
        <w:rPr>
          <w:rFonts w:cs="Arial"/>
          <w:sz w:val="24"/>
        </w:rPr>
        <w:t xml:space="preserve">PFOS </w:t>
      </w:r>
      <w:r w:rsidRPr="00646233">
        <w:rPr>
          <w:rFonts w:cs="Arial"/>
          <w:sz w:val="24"/>
        </w:rPr>
        <w:t>Minimal Risk Level (mg/kg-day</w:t>
      </w:r>
      <w:proofErr w:type="gramStart"/>
      <w:r w:rsidRPr="00646233">
        <w:rPr>
          <w:rFonts w:cs="Arial"/>
          <w:sz w:val="24"/>
        </w:rPr>
        <w:t>)</w:t>
      </w:r>
      <w:r>
        <w:rPr>
          <w:rFonts w:cs="Arial"/>
          <w:sz w:val="24"/>
        </w:rPr>
        <w:t>;</w:t>
      </w:r>
      <w:proofErr w:type="gramEnd"/>
    </w:p>
    <w:p w14:paraId="097BD54F" w14:textId="51564B66" w:rsidR="00CD4887" w:rsidRPr="00646233" w:rsidRDefault="00CD4887" w:rsidP="006E4074">
      <w:pPr>
        <w:tabs>
          <w:tab w:val="left" w:pos="1620"/>
          <w:tab w:val="left" w:pos="1980"/>
        </w:tabs>
        <w:spacing w:after="0" w:line="240" w:lineRule="auto"/>
        <w:ind w:left="720"/>
        <w:rPr>
          <w:rFonts w:cs="Arial"/>
          <w:sz w:val="24"/>
        </w:rPr>
      </w:pPr>
      <w:r w:rsidRPr="00646233">
        <w:rPr>
          <w:rFonts w:cs="Arial"/>
          <w:sz w:val="24"/>
        </w:rPr>
        <w:t>MRL</w:t>
      </w:r>
      <w:r w:rsidRPr="00755603">
        <w:rPr>
          <w:rFonts w:cs="Arial"/>
          <w:sz w:val="24"/>
          <w:vertAlign w:val="subscript"/>
        </w:rPr>
        <w:t>PF</w:t>
      </w:r>
      <w:r>
        <w:rPr>
          <w:rFonts w:cs="Arial"/>
          <w:sz w:val="24"/>
          <w:vertAlign w:val="subscript"/>
        </w:rPr>
        <w:t>NA</w:t>
      </w:r>
      <w:r w:rsidRPr="00646233">
        <w:rPr>
          <w:rFonts w:cs="Arial"/>
          <w:sz w:val="24"/>
        </w:rPr>
        <w:tab/>
        <w:t>=</w:t>
      </w:r>
      <w:r w:rsidRPr="00646233">
        <w:rPr>
          <w:rFonts w:cs="Arial"/>
          <w:sz w:val="24"/>
        </w:rPr>
        <w:tab/>
      </w:r>
      <w:r>
        <w:rPr>
          <w:rFonts w:cs="Arial"/>
          <w:sz w:val="24"/>
        </w:rPr>
        <w:t xml:space="preserve">PFNA </w:t>
      </w:r>
      <w:r w:rsidRPr="00646233">
        <w:rPr>
          <w:rFonts w:cs="Arial"/>
          <w:sz w:val="24"/>
        </w:rPr>
        <w:t>Minimal Risk Level (mg/kg-day</w:t>
      </w:r>
      <w:proofErr w:type="gramStart"/>
      <w:r w:rsidRPr="00646233">
        <w:rPr>
          <w:rFonts w:cs="Arial"/>
          <w:sz w:val="24"/>
        </w:rPr>
        <w:t>)</w:t>
      </w:r>
      <w:r>
        <w:rPr>
          <w:rFonts w:cs="Arial"/>
          <w:sz w:val="24"/>
        </w:rPr>
        <w:t>;</w:t>
      </w:r>
      <w:proofErr w:type="gramEnd"/>
    </w:p>
    <w:p w14:paraId="6117E756" w14:textId="45C64548" w:rsidR="008B78EF" w:rsidRPr="00646233" w:rsidRDefault="008B78EF" w:rsidP="006E4074">
      <w:pPr>
        <w:tabs>
          <w:tab w:val="left" w:pos="1620"/>
          <w:tab w:val="left" w:pos="1980"/>
        </w:tabs>
        <w:spacing w:after="0" w:line="240" w:lineRule="auto"/>
        <w:ind w:left="720"/>
        <w:rPr>
          <w:rFonts w:cs="Arial"/>
          <w:sz w:val="24"/>
        </w:rPr>
      </w:pPr>
      <w:r w:rsidRPr="00646233">
        <w:rPr>
          <w:rFonts w:cs="Arial"/>
          <w:sz w:val="24"/>
        </w:rPr>
        <w:t>IF</w:t>
      </w:r>
      <w:r w:rsidRPr="00646233">
        <w:rPr>
          <w:rFonts w:cs="Arial"/>
          <w:sz w:val="24"/>
        </w:rPr>
        <w:tab/>
        <w:t>=</w:t>
      </w:r>
      <w:r w:rsidRPr="00646233">
        <w:rPr>
          <w:rFonts w:cs="Arial"/>
          <w:sz w:val="24"/>
        </w:rPr>
        <w:tab/>
        <w:t>Intake Factor (L/kg-day)</w:t>
      </w:r>
      <w:r>
        <w:rPr>
          <w:rFonts w:cs="Arial"/>
          <w:sz w:val="24"/>
        </w:rPr>
        <w:t>; and</w:t>
      </w:r>
    </w:p>
    <w:p w14:paraId="6D12B112" w14:textId="77777777" w:rsidR="008B78EF" w:rsidRPr="00646233" w:rsidRDefault="008B78EF" w:rsidP="006E4074">
      <w:pPr>
        <w:tabs>
          <w:tab w:val="left" w:pos="1620"/>
          <w:tab w:val="left" w:pos="1980"/>
        </w:tabs>
        <w:spacing w:after="0" w:line="240" w:lineRule="auto"/>
        <w:ind w:left="720"/>
        <w:rPr>
          <w:rFonts w:cs="Arial"/>
          <w:sz w:val="24"/>
        </w:rPr>
      </w:pPr>
      <w:r>
        <w:rPr>
          <w:rFonts w:cs="Arial"/>
          <w:sz w:val="24"/>
        </w:rPr>
        <w:t>RSC</w:t>
      </w:r>
      <w:r>
        <w:rPr>
          <w:rFonts w:cs="Arial"/>
          <w:sz w:val="24"/>
        </w:rPr>
        <w:tab/>
        <w:t>=</w:t>
      </w:r>
      <w:r>
        <w:rPr>
          <w:rFonts w:cs="Arial"/>
          <w:sz w:val="24"/>
        </w:rPr>
        <w:tab/>
        <w:t>Relative Source Contribution (unitless)</w:t>
      </w:r>
    </w:p>
    <w:p w14:paraId="65CDD4AF" w14:textId="72ED34A3" w:rsidR="00307CAF" w:rsidRDefault="00307CAF" w:rsidP="006E4074">
      <w:pPr>
        <w:spacing w:after="0" w:line="240" w:lineRule="auto"/>
        <w:rPr>
          <w:rFonts w:cs="Arial"/>
        </w:rPr>
      </w:pPr>
    </w:p>
    <w:p w14:paraId="58F80311" w14:textId="6F6A8E43" w:rsidR="008C7D9E" w:rsidRDefault="008A18D3" w:rsidP="006E4074">
      <w:pPr>
        <w:spacing w:line="240" w:lineRule="auto"/>
        <w:rPr>
          <w:rFonts w:cs="Arial"/>
          <w:sz w:val="24"/>
        </w:rPr>
      </w:pPr>
      <w:r>
        <w:rPr>
          <w:rFonts w:cs="Arial"/>
          <w:sz w:val="24"/>
        </w:rPr>
        <w:t>As noted by ATSDR (2021)</w:t>
      </w:r>
      <w:r w:rsidR="00801103">
        <w:rPr>
          <w:rFonts w:cs="Arial"/>
          <w:sz w:val="24"/>
        </w:rPr>
        <w:t>,</w:t>
      </w:r>
      <w:r>
        <w:rPr>
          <w:rFonts w:cs="Arial"/>
          <w:sz w:val="24"/>
        </w:rPr>
        <w:t xml:space="preserve"> exposure to PFOS via dermal absorption is expected to be of minimal concern. Moreover, information required to evaluate dermal exposure to PFOS, such as dermal permeability or octanol-water partition coefficient, </w:t>
      </w:r>
      <w:r w:rsidR="00004A6B">
        <w:rPr>
          <w:rFonts w:cs="Arial"/>
          <w:sz w:val="24"/>
        </w:rPr>
        <w:t>is</w:t>
      </w:r>
      <w:r>
        <w:rPr>
          <w:rFonts w:cs="Arial"/>
          <w:sz w:val="24"/>
        </w:rPr>
        <w:t xml:space="preserve"> not available for PFOS. As such, dermal exposure to PFOS is not evaluated.</w:t>
      </w:r>
    </w:p>
    <w:p w14:paraId="000B2206" w14:textId="73D5392D" w:rsidR="00AD07A1" w:rsidRDefault="00AD07A1" w:rsidP="006E4074">
      <w:pPr>
        <w:spacing w:line="240" w:lineRule="auto"/>
        <w:rPr>
          <w:rFonts w:cs="Arial"/>
          <w:color w:val="000000" w:themeColor="text1"/>
          <w:sz w:val="24"/>
          <w:szCs w:val="24"/>
        </w:rPr>
      </w:pPr>
      <w:r w:rsidRPr="6BE7E070">
        <w:rPr>
          <w:rFonts w:cs="Arial"/>
          <w:sz w:val="24"/>
          <w:szCs w:val="24"/>
        </w:rPr>
        <w:t>For comparison purposes and to provide perspective on the SWAL</w:t>
      </w:r>
      <w:r w:rsidR="00840F1D" w:rsidRPr="6BE7E070">
        <w:rPr>
          <w:rFonts w:cs="Arial"/>
          <w:sz w:val="24"/>
          <w:szCs w:val="24"/>
        </w:rPr>
        <w:t xml:space="preserve"> and PBAL</w:t>
      </w:r>
      <w:r w:rsidRPr="6BE7E070">
        <w:rPr>
          <w:rFonts w:cs="Arial"/>
          <w:sz w:val="24"/>
          <w:szCs w:val="24"/>
        </w:rPr>
        <w:t>,</w:t>
      </w:r>
      <w:r w:rsidR="00840F1D" w:rsidRPr="6BE7E070">
        <w:rPr>
          <w:rFonts w:cs="Arial"/>
          <w:sz w:val="24"/>
          <w:szCs w:val="24"/>
        </w:rPr>
        <w:t xml:space="preserve"> action levels</w:t>
      </w:r>
      <w:r w:rsidRPr="6BE7E070">
        <w:rPr>
          <w:rFonts w:cs="Arial"/>
          <w:sz w:val="24"/>
          <w:szCs w:val="24"/>
        </w:rPr>
        <w:t xml:space="preserve"> </w:t>
      </w:r>
      <w:r w:rsidR="00DC01A4" w:rsidRPr="6BE7E070">
        <w:rPr>
          <w:rFonts w:cs="Arial"/>
          <w:sz w:val="24"/>
          <w:szCs w:val="24"/>
        </w:rPr>
        <w:t>based on Massachusetts Contingency Plan (MCP) guidance</w:t>
      </w:r>
      <w:r w:rsidR="00C01566" w:rsidRPr="6BE7E070">
        <w:rPr>
          <w:rFonts w:cs="Arial"/>
          <w:sz w:val="24"/>
          <w:szCs w:val="24"/>
        </w:rPr>
        <w:t xml:space="preserve"> </w:t>
      </w:r>
      <w:r w:rsidR="00755603" w:rsidRPr="6BE7E070">
        <w:rPr>
          <w:rFonts w:cs="Arial"/>
          <w:sz w:val="24"/>
          <w:szCs w:val="24"/>
        </w:rPr>
        <w:t xml:space="preserve">are </w:t>
      </w:r>
      <w:r w:rsidR="00C01566" w:rsidRPr="6BE7E070">
        <w:rPr>
          <w:rFonts w:cs="Arial"/>
          <w:sz w:val="24"/>
          <w:szCs w:val="24"/>
        </w:rPr>
        <w:t>also presented</w:t>
      </w:r>
      <w:r w:rsidR="00DC01A4" w:rsidRPr="6BE7E070">
        <w:rPr>
          <w:rFonts w:cs="Arial"/>
          <w:sz w:val="24"/>
          <w:szCs w:val="24"/>
        </w:rPr>
        <w:t xml:space="preserve">. The MCP-based </w:t>
      </w:r>
      <w:r w:rsidR="00840F1D" w:rsidRPr="6BE7E070">
        <w:rPr>
          <w:rFonts w:cs="Arial"/>
          <w:sz w:val="24"/>
          <w:szCs w:val="24"/>
        </w:rPr>
        <w:t>action levels are</w:t>
      </w:r>
      <w:r w:rsidR="00DC01A4" w:rsidRPr="6BE7E070">
        <w:rPr>
          <w:rFonts w:cs="Arial"/>
          <w:sz w:val="24"/>
          <w:szCs w:val="24"/>
        </w:rPr>
        <w:t xml:space="preserve"> calculated using the Massachusetts Department of Environmental Protection (</w:t>
      </w:r>
      <w:r w:rsidRPr="6BE7E070">
        <w:rPr>
          <w:rFonts w:cs="Arial"/>
          <w:sz w:val="24"/>
          <w:szCs w:val="24"/>
        </w:rPr>
        <w:t>MassDEP</w:t>
      </w:r>
      <w:r w:rsidR="00DC01A4" w:rsidRPr="6BE7E070">
        <w:rPr>
          <w:rFonts w:cs="Arial"/>
          <w:sz w:val="24"/>
          <w:szCs w:val="24"/>
        </w:rPr>
        <w:t>) Reference Dose</w:t>
      </w:r>
      <w:r w:rsidRPr="6BE7E070">
        <w:rPr>
          <w:rFonts w:cs="Arial"/>
          <w:sz w:val="24"/>
          <w:szCs w:val="24"/>
        </w:rPr>
        <w:t xml:space="preserve"> </w:t>
      </w:r>
      <w:r w:rsidR="00DC01A4" w:rsidRPr="6BE7E070">
        <w:rPr>
          <w:rFonts w:cs="Arial"/>
          <w:sz w:val="24"/>
          <w:szCs w:val="24"/>
        </w:rPr>
        <w:t>(</w:t>
      </w:r>
      <w:proofErr w:type="spellStart"/>
      <w:r w:rsidRPr="6BE7E070">
        <w:rPr>
          <w:rFonts w:cs="Arial"/>
          <w:sz w:val="24"/>
          <w:szCs w:val="24"/>
        </w:rPr>
        <w:t>RfD</w:t>
      </w:r>
      <w:proofErr w:type="spellEnd"/>
      <w:r w:rsidR="00DC01A4" w:rsidRPr="6BE7E070">
        <w:rPr>
          <w:rFonts w:cs="Arial"/>
          <w:sz w:val="24"/>
          <w:szCs w:val="24"/>
        </w:rPr>
        <w:t>)</w:t>
      </w:r>
      <w:r w:rsidRPr="6BE7E070">
        <w:rPr>
          <w:rFonts w:cs="Arial"/>
          <w:sz w:val="24"/>
          <w:szCs w:val="24"/>
        </w:rPr>
        <w:t xml:space="preserve"> for the six PFAS regulated by MassDEP (Sum</w:t>
      </w:r>
      <w:r w:rsidR="00860FA7" w:rsidRPr="6BE7E070">
        <w:rPr>
          <w:rFonts w:cs="Arial"/>
          <w:sz w:val="24"/>
          <w:szCs w:val="24"/>
        </w:rPr>
        <w:t xml:space="preserve"> </w:t>
      </w:r>
      <w:r w:rsidRPr="6BE7E070">
        <w:rPr>
          <w:rFonts w:cs="Arial"/>
          <w:sz w:val="24"/>
          <w:szCs w:val="24"/>
        </w:rPr>
        <w:t>6</w:t>
      </w:r>
      <w:r w:rsidR="008A18D3" w:rsidRPr="6BE7E070">
        <w:rPr>
          <w:rFonts w:cs="Arial"/>
          <w:sz w:val="24"/>
          <w:szCs w:val="24"/>
        </w:rPr>
        <w:t xml:space="preserve"> PFAS</w:t>
      </w:r>
      <w:r w:rsidRPr="6BE7E070">
        <w:rPr>
          <w:rFonts w:cs="Arial"/>
          <w:sz w:val="24"/>
          <w:szCs w:val="24"/>
        </w:rPr>
        <w:t xml:space="preserve">), which include </w:t>
      </w:r>
      <w:proofErr w:type="spellStart"/>
      <w:r w:rsidR="008A18D3" w:rsidRPr="6BE7E070">
        <w:rPr>
          <w:rFonts w:cs="Arial"/>
          <w:sz w:val="24"/>
          <w:szCs w:val="24"/>
        </w:rPr>
        <w:t>perfluorohexane</w:t>
      </w:r>
      <w:proofErr w:type="spellEnd"/>
      <w:r w:rsidR="008A18D3" w:rsidRPr="6BE7E070">
        <w:rPr>
          <w:rFonts w:cs="Arial"/>
          <w:sz w:val="24"/>
          <w:szCs w:val="24"/>
        </w:rPr>
        <w:t xml:space="preserve"> sulfon</w:t>
      </w:r>
      <w:r w:rsidR="00535CEF" w:rsidRPr="6BE7E070">
        <w:rPr>
          <w:rFonts w:cs="Arial"/>
          <w:sz w:val="24"/>
          <w:szCs w:val="24"/>
        </w:rPr>
        <w:t>ic acid</w:t>
      </w:r>
      <w:r w:rsidR="008A18D3" w:rsidRPr="6BE7E070">
        <w:rPr>
          <w:rFonts w:cs="Arial"/>
          <w:sz w:val="24"/>
          <w:szCs w:val="24"/>
        </w:rPr>
        <w:t xml:space="preserve"> (</w:t>
      </w:r>
      <w:proofErr w:type="spellStart"/>
      <w:r w:rsidR="008A18D3" w:rsidRPr="6BE7E070">
        <w:rPr>
          <w:rFonts w:cs="Arial"/>
          <w:sz w:val="24"/>
          <w:szCs w:val="24"/>
        </w:rPr>
        <w:t>PF</w:t>
      </w:r>
      <w:r w:rsidR="005B03D3" w:rsidRPr="6BE7E070">
        <w:rPr>
          <w:rFonts w:cs="Arial"/>
          <w:sz w:val="24"/>
          <w:szCs w:val="24"/>
        </w:rPr>
        <w:t>HxS</w:t>
      </w:r>
      <w:proofErr w:type="spellEnd"/>
      <w:r w:rsidR="005B03D3" w:rsidRPr="6BE7E070">
        <w:rPr>
          <w:rFonts w:cs="Arial"/>
          <w:sz w:val="24"/>
          <w:szCs w:val="24"/>
        </w:rPr>
        <w:t xml:space="preserve">), </w:t>
      </w:r>
      <w:proofErr w:type="spellStart"/>
      <w:r w:rsidR="005B03D3" w:rsidRPr="6BE7E070">
        <w:rPr>
          <w:color w:val="000000" w:themeColor="text1"/>
          <w:sz w:val="24"/>
          <w:szCs w:val="24"/>
        </w:rPr>
        <w:t>perfluoroheptanoic</w:t>
      </w:r>
      <w:proofErr w:type="spellEnd"/>
      <w:r w:rsidR="005B03D3" w:rsidRPr="6BE7E070">
        <w:rPr>
          <w:color w:val="000000" w:themeColor="text1"/>
          <w:sz w:val="24"/>
          <w:szCs w:val="24"/>
        </w:rPr>
        <w:t xml:space="preserve"> acid</w:t>
      </w:r>
      <w:r w:rsidR="005B03D3" w:rsidRPr="6BE7E070">
        <w:rPr>
          <w:rFonts w:cs="Arial"/>
          <w:color w:val="000000" w:themeColor="text1"/>
          <w:sz w:val="24"/>
          <w:szCs w:val="24"/>
        </w:rPr>
        <w:t xml:space="preserve"> (</w:t>
      </w:r>
      <w:proofErr w:type="spellStart"/>
      <w:r w:rsidR="005B03D3" w:rsidRPr="6BE7E070">
        <w:rPr>
          <w:rFonts w:cs="Arial"/>
          <w:color w:val="000000" w:themeColor="text1"/>
          <w:sz w:val="24"/>
          <w:szCs w:val="24"/>
        </w:rPr>
        <w:t>PFHpA</w:t>
      </w:r>
      <w:proofErr w:type="spellEnd"/>
      <w:r w:rsidR="005B03D3" w:rsidRPr="6BE7E070">
        <w:rPr>
          <w:rFonts w:cs="Arial"/>
          <w:color w:val="000000" w:themeColor="text1"/>
          <w:sz w:val="24"/>
          <w:szCs w:val="24"/>
        </w:rPr>
        <w:t xml:space="preserve">), perfluorooctanoic acid (PFOA), </w:t>
      </w:r>
      <w:r w:rsidR="00535CEF" w:rsidRPr="6BE7E070">
        <w:rPr>
          <w:rFonts w:cs="Arial"/>
          <w:color w:val="000000" w:themeColor="text1"/>
          <w:sz w:val="24"/>
          <w:szCs w:val="24"/>
        </w:rPr>
        <w:t xml:space="preserve">PFOS, </w:t>
      </w:r>
      <w:proofErr w:type="spellStart"/>
      <w:r w:rsidR="00535CEF" w:rsidRPr="6BE7E070">
        <w:rPr>
          <w:color w:val="000000" w:themeColor="text1"/>
          <w:sz w:val="24"/>
          <w:szCs w:val="24"/>
        </w:rPr>
        <w:t>perfluorononanoic</w:t>
      </w:r>
      <w:proofErr w:type="spellEnd"/>
      <w:r w:rsidR="00535CEF" w:rsidRPr="6BE7E070">
        <w:rPr>
          <w:color w:val="000000" w:themeColor="text1"/>
          <w:sz w:val="24"/>
          <w:szCs w:val="24"/>
        </w:rPr>
        <w:t xml:space="preserve"> acid</w:t>
      </w:r>
      <w:r w:rsidR="00535CEF" w:rsidRPr="6BE7E070">
        <w:rPr>
          <w:rFonts w:cs="Arial"/>
          <w:color w:val="000000" w:themeColor="text1"/>
          <w:sz w:val="24"/>
          <w:szCs w:val="24"/>
        </w:rPr>
        <w:t xml:space="preserve"> (PFNA) and </w:t>
      </w:r>
      <w:proofErr w:type="spellStart"/>
      <w:r w:rsidR="00535CEF" w:rsidRPr="6BE7E070">
        <w:rPr>
          <w:color w:val="000000" w:themeColor="text1"/>
          <w:sz w:val="24"/>
          <w:szCs w:val="24"/>
        </w:rPr>
        <w:t>perfluorodecanoic</w:t>
      </w:r>
      <w:proofErr w:type="spellEnd"/>
      <w:r w:rsidR="00535CEF" w:rsidRPr="6BE7E070">
        <w:rPr>
          <w:color w:val="000000" w:themeColor="text1"/>
          <w:sz w:val="24"/>
          <w:szCs w:val="24"/>
        </w:rPr>
        <w:t xml:space="preserve"> acid</w:t>
      </w:r>
      <w:r w:rsidR="00535CEF" w:rsidRPr="6BE7E070">
        <w:rPr>
          <w:rFonts w:cs="Arial"/>
          <w:color w:val="000000" w:themeColor="text1"/>
          <w:sz w:val="24"/>
          <w:szCs w:val="24"/>
        </w:rPr>
        <w:t xml:space="preserve"> (PFDA); along with MCP exposure assumptions, where available.</w:t>
      </w:r>
    </w:p>
    <w:p w14:paraId="4345B970" w14:textId="64E7E0D1" w:rsidR="00733892" w:rsidRPr="00733892" w:rsidRDefault="00733892" w:rsidP="00733892">
      <w:pPr>
        <w:rPr>
          <w:rFonts w:cs="Arial"/>
          <w:sz w:val="24"/>
        </w:rPr>
      </w:pPr>
    </w:p>
    <w:p w14:paraId="2EA897AE" w14:textId="14CFBB51" w:rsidR="00733892" w:rsidRPr="00733892" w:rsidRDefault="00733892" w:rsidP="00733892">
      <w:pPr>
        <w:rPr>
          <w:rFonts w:cs="Arial"/>
          <w:sz w:val="24"/>
        </w:rPr>
      </w:pPr>
    </w:p>
    <w:p w14:paraId="365C697A" w14:textId="68EA6117" w:rsidR="008C7D9E" w:rsidRPr="00776FA8" w:rsidRDefault="008C7D9E" w:rsidP="00776FA8">
      <w:pPr>
        <w:keepNext/>
        <w:rPr>
          <w:b/>
          <w:bCs/>
          <w:sz w:val="28"/>
          <w:szCs w:val="28"/>
        </w:rPr>
      </w:pPr>
      <w:r w:rsidRPr="00776FA8">
        <w:rPr>
          <w:b/>
          <w:bCs/>
          <w:sz w:val="28"/>
          <w:szCs w:val="28"/>
        </w:rPr>
        <w:lastRenderedPageBreak/>
        <w:t xml:space="preserve">A.1 </w:t>
      </w:r>
      <w:r w:rsidR="00FD553E">
        <w:rPr>
          <w:b/>
          <w:bCs/>
          <w:sz w:val="28"/>
          <w:szCs w:val="28"/>
        </w:rPr>
        <w:tab/>
      </w:r>
      <w:r w:rsidRPr="00776FA8">
        <w:rPr>
          <w:b/>
          <w:bCs/>
          <w:sz w:val="28"/>
          <w:szCs w:val="28"/>
        </w:rPr>
        <w:t>Toxicity</w:t>
      </w:r>
    </w:p>
    <w:p w14:paraId="12472F43" w14:textId="026DBE79" w:rsidR="008C7D9E" w:rsidRPr="001C0B76" w:rsidRDefault="008C7D9E" w:rsidP="001C0B76">
      <w:pPr>
        <w:keepNext/>
        <w:rPr>
          <w:b/>
          <w:bCs/>
          <w:i/>
          <w:iCs/>
        </w:rPr>
      </w:pPr>
      <w:r w:rsidRPr="001C0B76">
        <w:rPr>
          <w:b/>
          <w:bCs/>
          <w:i/>
          <w:iCs/>
        </w:rPr>
        <w:t>Toxicity Criteri</w:t>
      </w:r>
      <w:r w:rsidR="00C01566" w:rsidRPr="001C0B76">
        <w:rPr>
          <w:b/>
          <w:bCs/>
          <w:i/>
          <w:iCs/>
        </w:rPr>
        <w:t>a</w:t>
      </w:r>
    </w:p>
    <w:p w14:paraId="4A2DBDF2" w14:textId="2F65AD7E" w:rsidR="008C7D9E" w:rsidRPr="00F025F3" w:rsidRDefault="00535CEF" w:rsidP="00BD4CEE">
      <w:pPr>
        <w:keepNext/>
        <w:keepLines/>
        <w:spacing w:after="0" w:line="240" w:lineRule="auto"/>
        <w:rPr>
          <w:rFonts w:cs="Arial"/>
          <w:color w:val="000000" w:themeColor="text1"/>
          <w:sz w:val="24"/>
          <w:szCs w:val="24"/>
        </w:rPr>
      </w:pPr>
      <w:r w:rsidRPr="00F025F3">
        <w:rPr>
          <w:rFonts w:cs="Arial"/>
          <w:color w:val="000000" w:themeColor="text1"/>
          <w:sz w:val="24"/>
          <w:szCs w:val="24"/>
        </w:rPr>
        <w:t>Toxicity is evaluated using the following toxicity criteria:</w:t>
      </w:r>
    </w:p>
    <w:p w14:paraId="07C5D0BB" w14:textId="41F3AFA5" w:rsidR="00CF3A08" w:rsidRPr="00D60671" w:rsidRDefault="00CF3A08" w:rsidP="00F025F3">
      <w:pPr>
        <w:keepNext/>
        <w:keepLines/>
        <w:spacing w:before="120" w:after="0"/>
        <w:rPr>
          <w:b/>
          <w:bCs/>
          <w:sz w:val="24"/>
          <w:szCs w:val="24"/>
        </w:rPr>
      </w:pPr>
      <w:r w:rsidRPr="00D60671">
        <w:rPr>
          <w:b/>
          <w:bCs/>
          <w:sz w:val="24"/>
          <w:szCs w:val="24"/>
        </w:rPr>
        <w:t xml:space="preserve">Table </w:t>
      </w:r>
      <w:r w:rsidR="00F025F3">
        <w:rPr>
          <w:b/>
          <w:bCs/>
          <w:sz w:val="24"/>
          <w:szCs w:val="24"/>
        </w:rPr>
        <w:t>A.1</w:t>
      </w:r>
      <w:r w:rsidRPr="00D60671">
        <w:rPr>
          <w:b/>
          <w:bCs/>
          <w:sz w:val="24"/>
          <w:szCs w:val="24"/>
        </w:rPr>
        <w:t xml:space="preserve">. </w:t>
      </w:r>
      <w:r w:rsidR="0076216B">
        <w:rPr>
          <w:b/>
          <w:bCs/>
          <w:sz w:val="24"/>
          <w:szCs w:val="24"/>
        </w:rPr>
        <w:t xml:space="preserve"> </w:t>
      </w:r>
      <w:r w:rsidRPr="00D60671">
        <w:rPr>
          <w:b/>
          <w:bCs/>
          <w:sz w:val="24"/>
          <w:szCs w:val="24"/>
        </w:rPr>
        <w:t>Toxicity Criteria</w:t>
      </w:r>
      <w:r w:rsidR="00F025F3">
        <w:rPr>
          <w:b/>
          <w:bCs/>
          <w:sz w:val="24"/>
          <w:szCs w:val="24"/>
        </w:rPr>
        <w:t xml:space="preserve"> for calculating </w:t>
      </w:r>
      <w:proofErr w:type="spellStart"/>
      <w:r w:rsidR="004C5FBA">
        <w:rPr>
          <w:b/>
          <w:bCs/>
          <w:sz w:val="24"/>
          <w:szCs w:val="24"/>
        </w:rPr>
        <w:t>c</w:t>
      </w:r>
      <w:r w:rsidR="00F025F3">
        <w:rPr>
          <w:b/>
          <w:bCs/>
          <w:sz w:val="24"/>
          <w:szCs w:val="24"/>
        </w:rPr>
        <w:t>SWALs</w:t>
      </w:r>
      <w:proofErr w:type="spellEnd"/>
      <w:r w:rsidR="00840F1D">
        <w:rPr>
          <w:b/>
          <w:bCs/>
          <w:sz w:val="24"/>
          <w:szCs w:val="24"/>
        </w:rPr>
        <w:t xml:space="preserve"> and </w:t>
      </w:r>
      <w:proofErr w:type="spellStart"/>
      <w:proofErr w:type="gramStart"/>
      <w:r w:rsidR="004C5FBA">
        <w:rPr>
          <w:b/>
          <w:bCs/>
          <w:sz w:val="24"/>
          <w:szCs w:val="24"/>
        </w:rPr>
        <w:t>c</w:t>
      </w:r>
      <w:r w:rsidR="00840F1D">
        <w:rPr>
          <w:b/>
          <w:bCs/>
          <w:sz w:val="24"/>
          <w:szCs w:val="24"/>
        </w:rPr>
        <w:t>PBALs</w:t>
      </w:r>
      <w:proofErr w:type="spellEnd"/>
      <w:proofErr w:type="gramEnd"/>
    </w:p>
    <w:tbl>
      <w:tblPr>
        <w:tblStyle w:val="TableGrid"/>
        <w:tblW w:w="0" w:type="auto"/>
        <w:tblLook w:val="04A0" w:firstRow="1" w:lastRow="0" w:firstColumn="1" w:lastColumn="0" w:noHBand="0" w:noVBand="1"/>
      </w:tblPr>
      <w:tblGrid>
        <w:gridCol w:w="1615"/>
        <w:gridCol w:w="1350"/>
        <w:gridCol w:w="2970"/>
        <w:gridCol w:w="1890"/>
        <w:gridCol w:w="1260"/>
      </w:tblGrid>
      <w:tr w:rsidR="00CF3A08" w14:paraId="10D4BE43" w14:textId="77777777" w:rsidTr="009500B2">
        <w:tc>
          <w:tcPr>
            <w:tcW w:w="1615" w:type="dxa"/>
            <w:tcBorders>
              <w:bottom w:val="double" w:sz="4" w:space="0" w:color="auto"/>
            </w:tcBorders>
            <w:shd w:val="clear" w:color="auto" w:fill="A6A6A6" w:themeFill="background1" w:themeFillShade="A6"/>
            <w:vAlign w:val="bottom"/>
          </w:tcPr>
          <w:p w14:paraId="4AE53D45" w14:textId="77777777" w:rsidR="00CF3A08" w:rsidRPr="00AB2B4F" w:rsidRDefault="00CF3A08" w:rsidP="009500B2">
            <w:pPr>
              <w:keepNext/>
              <w:keepLines/>
              <w:rPr>
                <w:b/>
                <w:bCs/>
              </w:rPr>
            </w:pPr>
            <w:r w:rsidRPr="00AB2B4F">
              <w:rPr>
                <w:b/>
                <w:bCs/>
              </w:rPr>
              <w:t>Contaminant</w:t>
            </w:r>
          </w:p>
        </w:tc>
        <w:tc>
          <w:tcPr>
            <w:tcW w:w="1350" w:type="dxa"/>
            <w:tcBorders>
              <w:bottom w:val="double" w:sz="4" w:space="0" w:color="auto"/>
            </w:tcBorders>
            <w:shd w:val="clear" w:color="auto" w:fill="A6A6A6" w:themeFill="background1" w:themeFillShade="A6"/>
          </w:tcPr>
          <w:p w14:paraId="576C67C4" w14:textId="77777777" w:rsidR="00CF3A08" w:rsidRPr="00AB2B4F" w:rsidRDefault="00CF3A08" w:rsidP="009500B2">
            <w:pPr>
              <w:keepNext/>
              <w:keepLines/>
              <w:jc w:val="center"/>
              <w:rPr>
                <w:b/>
                <w:bCs/>
              </w:rPr>
            </w:pPr>
            <w:r w:rsidRPr="00AB2B4F">
              <w:rPr>
                <w:b/>
                <w:bCs/>
              </w:rPr>
              <w:t>Value</w:t>
            </w:r>
          </w:p>
          <w:p w14:paraId="74D5B306" w14:textId="77777777" w:rsidR="00CF3A08" w:rsidRPr="00AB2B4F" w:rsidRDefault="00CF3A08" w:rsidP="009500B2">
            <w:pPr>
              <w:keepNext/>
              <w:keepLines/>
              <w:jc w:val="center"/>
              <w:rPr>
                <w:b/>
                <w:bCs/>
              </w:rPr>
            </w:pPr>
            <w:r w:rsidRPr="00AB2B4F">
              <w:rPr>
                <w:b/>
                <w:bCs/>
              </w:rPr>
              <w:t>(mg/kg-day)</w:t>
            </w:r>
          </w:p>
        </w:tc>
        <w:tc>
          <w:tcPr>
            <w:tcW w:w="2970" w:type="dxa"/>
            <w:tcBorders>
              <w:bottom w:val="double" w:sz="4" w:space="0" w:color="auto"/>
            </w:tcBorders>
            <w:shd w:val="clear" w:color="auto" w:fill="A6A6A6" w:themeFill="background1" w:themeFillShade="A6"/>
            <w:vAlign w:val="bottom"/>
          </w:tcPr>
          <w:p w14:paraId="4541F1CE" w14:textId="77777777" w:rsidR="00CF3A08" w:rsidRPr="00AB2B4F" w:rsidRDefault="00CF3A08" w:rsidP="009500B2">
            <w:pPr>
              <w:keepNext/>
              <w:keepLines/>
              <w:rPr>
                <w:b/>
                <w:bCs/>
              </w:rPr>
            </w:pPr>
            <w:r w:rsidRPr="00AB2B4F">
              <w:rPr>
                <w:b/>
                <w:bCs/>
              </w:rPr>
              <w:t>Critical Effect</w:t>
            </w:r>
          </w:p>
        </w:tc>
        <w:tc>
          <w:tcPr>
            <w:tcW w:w="1890" w:type="dxa"/>
            <w:tcBorders>
              <w:bottom w:val="double" w:sz="4" w:space="0" w:color="auto"/>
            </w:tcBorders>
            <w:shd w:val="clear" w:color="auto" w:fill="A6A6A6" w:themeFill="background1" w:themeFillShade="A6"/>
            <w:vAlign w:val="bottom"/>
          </w:tcPr>
          <w:p w14:paraId="0DE632CC" w14:textId="77777777" w:rsidR="00CF3A08" w:rsidRPr="00AB2B4F" w:rsidRDefault="00CF3A08" w:rsidP="009500B2">
            <w:pPr>
              <w:keepNext/>
              <w:keepLines/>
              <w:jc w:val="center"/>
              <w:rPr>
                <w:b/>
                <w:bCs/>
              </w:rPr>
            </w:pPr>
            <w:r w:rsidRPr="00AB2B4F">
              <w:rPr>
                <w:b/>
                <w:bCs/>
              </w:rPr>
              <w:t>Type</w:t>
            </w:r>
          </w:p>
        </w:tc>
        <w:tc>
          <w:tcPr>
            <w:tcW w:w="1260" w:type="dxa"/>
            <w:tcBorders>
              <w:bottom w:val="double" w:sz="4" w:space="0" w:color="auto"/>
            </w:tcBorders>
            <w:shd w:val="clear" w:color="auto" w:fill="A6A6A6" w:themeFill="background1" w:themeFillShade="A6"/>
            <w:vAlign w:val="bottom"/>
          </w:tcPr>
          <w:p w14:paraId="5337701C" w14:textId="77777777" w:rsidR="00CF3A08" w:rsidRPr="00AB2B4F" w:rsidRDefault="00CF3A08" w:rsidP="009500B2">
            <w:pPr>
              <w:keepNext/>
              <w:keepLines/>
              <w:jc w:val="center"/>
              <w:rPr>
                <w:b/>
                <w:bCs/>
              </w:rPr>
            </w:pPr>
            <w:r w:rsidRPr="00AB2B4F">
              <w:rPr>
                <w:b/>
                <w:bCs/>
              </w:rPr>
              <w:t>Source</w:t>
            </w:r>
          </w:p>
        </w:tc>
      </w:tr>
      <w:tr w:rsidR="00D00B7E" w14:paraId="3767C393" w14:textId="77777777" w:rsidTr="00F025F3">
        <w:tc>
          <w:tcPr>
            <w:tcW w:w="1615" w:type="dxa"/>
            <w:vAlign w:val="center"/>
          </w:tcPr>
          <w:p w14:paraId="72537945" w14:textId="77777777" w:rsidR="00D00B7E" w:rsidRPr="00AB2B4F" w:rsidRDefault="00D00B7E" w:rsidP="00F025F3">
            <w:pPr>
              <w:keepNext/>
              <w:keepLines/>
            </w:pPr>
            <w:r w:rsidRPr="00AB2B4F">
              <w:t>PFOS</w:t>
            </w:r>
          </w:p>
        </w:tc>
        <w:tc>
          <w:tcPr>
            <w:tcW w:w="1350" w:type="dxa"/>
            <w:vAlign w:val="center"/>
          </w:tcPr>
          <w:p w14:paraId="07603665" w14:textId="77777777" w:rsidR="00D00B7E" w:rsidRPr="00AB2B4F" w:rsidRDefault="00D00B7E" w:rsidP="00F025F3">
            <w:pPr>
              <w:keepNext/>
              <w:keepLines/>
              <w:jc w:val="center"/>
            </w:pPr>
            <w:r>
              <w:t>2 x 10</w:t>
            </w:r>
            <w:r w:rsidRPr="00AB2B4F">
              <w:rPr>
                <w:vertAlign w:val="superscript"/>
              </w:rPr>
              <w:t>-</w:t>
            </w:r>
            <w:r>
              <w:rPr>
                <w:vertAlign w:val="superscript"/>
              </w:rPr>
              <w:t>6</w:t>
            </w:r>
          </w:p>
        </w:tc>
        <w:tc>
          <w:tcPr>
            <w:tcW w:w="2970" w:type="dxa"/>
            <w:vAlign w:val="center"/>
          </w:tcPr>
          <w:p w14:paraId="11136A94" w14:textId="77777777" w:rsidR="00D00B7E" w:rsidRPr="00D82EF2" w:rsidRDefault="00D00B7E" w:rsidP="00F025F3">
            <w:pPr>
              <w:keepNext/>
              <w:keepLines/>
              <w:jc w:val="center"/>
            </w:pPr>
            <w:r w:rsidRPr="00D82EF2">
              <w:t xml:space="preserve">↓Pup </w:t>
            </w:r>
            <w:r>
              <w:t>body weight</w:t>
            </w:r>
          </w:p>
          <w:p w14:paraId="30EC77D9" w14:textId="77777777" w:rsidR="00D00B7E" w:rsidRPr="00D82EF2" w:rsidRDefault="00D00B7E" w:rsidP="00F025F3">
            <w:pPr>
              <w:keepNext/>
              <w:keepLines/>
              <w:jc w:val="center"/>
            </w:pPr>
            <w:r w:rsidRPr="00D82EF2">
              <w:t>Delayed eye opening</w:t>
            </w:r>
          </w:p>
        </w:tc>
        <w:tc>
          <w:tcPr>
            <w:tcW w:w="1890" w:type="dxa"/>
            <w:vMerge w:val="restart"/>
            <w:vAlign w:val="center"/>
          </w:tcPr>
          <w:p w14:paraId="7ABE8FA1" w14:textId="0F94FBCE" w:rsidR="00D00B7E" w:rsidRPr="00AB2B4F" w:rsidRDefault="00D00B7E" w:rsidP="00F025F3">
            <w:pPr>
              <w:keepNext/>
              <w:keepLines/>
              <w:jc w:val="center"/>
            </w:pPr>
            <w:r>
              <w:t>Intermediate MRL</w:t>
            </w:r>
          </w:p>
        </w:tc>
        <w:tc>
          <w:tcPr>
            <w:tcW w:w="1260" w:type="dxa"/>
            <w:vMerge w:val="restart"/>
            <w:vAlign w:val="center"/>
          </w:tcPr>
          <w:p w14:paraId="7B98FE7C" w14:textId="45570ABA" w:rsidR="00D00B7E" w:rsidRPr="00AB2B4F" w:rsidRDefault="00D00B7E" w:rsidP="00F025F3">
            <w:pPr>
              <w:keepNext/>
              <w:keepLines/>
              <w:jc w:val="center"/>
            </w:pPr>
            <w:r>
              <w:t>ATSDR, 2021</w:t>
            </w:r>
          </w:p>
        </w:tc>
      </w:tr>
      <w:tr w:rsidR="00D00B7E" w14:paraId="22BED6D6" w14:textId="77777777" w:rsidTr="009500B2">
        <w:tc>
          <w:tcPr>
            <w:tcW w:w="1615" w:type="dxa"/>
            <w:vAlign w:val="center"/>
          </w:tcPr>
          <w:p w14:paraId="68983BEF" w14:textId="353F0026" w:rsidR="00D00B7E" w:rsidRDefault="00D00B7E" w:rsidP="009500B2">
            <w:pPr>
              <w:keepNext/>
              <w:keepLines/>
            </w:pPr>
            <w:r>
              <w:t>PFNA</w:t>
            </w:r>
          </w:p>
        </w:tc>
        <w:tc>
          <w:tcPr>
            <w:tcW w:w="1350" w:type="dxa"/>
            <w:vAlign w:val="center"/>
          </w:tcPr>
          <w:p w14:paraId="33403936" w14:textId="3372BDF2" w:rsidR="00D00B7E" w:rsidRDefault="00D00B7E" w:rsidP="009500B2">
            <w:pPr>
              <w:keepNext/>
              <w:keepLines/>
              <w:jc w:val="center"/>
            </w:pPr>
            <w:r>
              <w:t>3 x 10</w:t>
            </w:r>
            <w:r w:rsidRPr="00AB2B4F">
              <w:rPr>
                <w:vertAlign w:val="superscript"/>
              </w:rPr>
              <w:t>-</w:t>
            </w:r>
            <w:r>
              <w:rPr>
                <w:vertAlign w:val="superscript"/>
              </w:rPr>
              <w:t>6</w:t>
            </w:r>
          </w:p>
        </w:tc>
        <w:tc>
          <w:tcPr>
            <w:tcW w:w="2970" w:type="dxa"/>
            <w:vAlign w:val="bottom"/>
          </w:tcPr>
          <w:p w14:paraId="32C8D42B" w14:textId="77777777" w:rsidR="00D00B7E" w:rsidRPr="00D82EF2" w:rsidRDefault="00D00B7E" w:rsidP="00D00B7E">
            <w:pPr>
              <w:keepNext/>
              <w:keepLines/>
              <w:jc w:val="center"/>
            </w:pPr>
            <w:r w:rsidRPr="00D82EF2">
              <w:t>↓Pup</w:t>
            </w:r>
            <w:r>
              <w:t xml:space="preserve"> body weight</w:t>
            </w:r>
          </w:p>
          <w:p w14:paraId="41DF89FC" w14:textId="5D803B61" w:rsidR="00D00B7E" w:rsidRDefault="00D00B7E" w:rsidP="00D00B7E">
            <w:pPr>
              <w:keepNext/>
              <w:keepLines/>
              <w:jc w:val="center"/>
            </w:pPr>
            <w:r w:rsidRPr="00D82EF2">
              <w:t>Developmental delays</w:t>
            </w:r>
          </w:p>
        </w:tc>
        <w:tc>
          <w:tcPr>
            <w:tcW w:w="1890" w:type="dxa"/>
            <w:vMerge/>
            <w:vAlign w:val="center"/>
          </w:tcPr>
          <w:p w14:paraId="37BD5952" w14:textId="77777777" w:rsidR="00D00B7E" w:rsidRDefault="00D00B7E" w:rsidP="009500B2">
            <w:pPr>
              <w:keepNext/>
              <w:keepLines/>
              <w:jc w:val="center"/>
            </w:pPr>
          </w:p>
        </w:tc>
        <w:tc>
          <w:tcPr>
            <w:tcW w:w="1260" w:type="dxa"/>
            <w:vMerge/>
          </w:tcPr>
          <w:p w14:paraId="76187148" w14:textId="77777777" w:rsidR="00D00B7E" w:rsidRPr="00AB2B4F" w:rsidRDefault="00D00B7E" w:rsidP="009500B2">
            <w:pPr>
              <w:keepNext/>
              <w:keepLines/>
              <w:jc w:val="center"/>
            </w:pPr>
          </w:p>
        </w:tc>
      </w:tr>
      <w:tr w:rsidR="00CF3A08" w14:paraId="09279D1E" w14:textId="77777777" w:rsidTr="009500B2">
        <w:tc>
          <w:tcPr>
            <w:tcW w:w="1615" w:type="dxa"/>
            <w:vAlign w:val="center"/>
          </w:tcPr>
          <w:p w14:paraId="1C7024C8" w14:textId="77777777" w:rsidR="00CF3A08" w:rsidRPr="00AB2B4F" w:rsidRDefault="00CF3A08" w:rsidP="009500B2">
            <w:pPr>
              <w:keepNext/>
              <w:keepLines/>
            </w:pPr>
            <w:r>
              <w:t>Sum 6</w:t>
            </w:r>
            <w:r w:rsidRPr="00AB2B4F">
              <w:t xml:space="preserve"> PFAS</w:t>
            </w:r>
          </w:p>
        </w:tc>
        <w:tc>
          <w:tcPr>
            <w:tcW w:w="1350" w:type="dxa"/>
            <w:vAlign w:val="center"/>
          </w:tcPr>
          <w:p w14:paraId="153FDEEE" w14:textId="77777777" w:rsidR="00CF3A08" w:rsidRPr="00AB2B4F" w:rsidRDefault="00CF3A08" w:rsidP="009500B2">
            <w:pPr>
              <w:keepNext/>
              <w:keepLines/>
              <w:jc w:val="center"/>
            </w:pPr>
            <w:r>
              <w:t>5 x 10</w:t>
            </w:r>
            <w:r w:rsidRPr="00AB2B4F">
              <w:rPr>
                <w:vertAlign w:val="superscript"/>
              </w:rPr>
              <w:t>-</w:t>
            </w:r>
            <w:r>
              <w:rPr>
                <w:vertAlign w:val="superscript"/>
              </w:rPr>
              <w:t>6</w:t>
            </w:r>
          </w:p>
        </w:tc>
        <w:tc>
          <w:tcPr>
            <w:tcW w:w="2970" w:type="dxa"/>
            <w:vAlign w:val="bottom"/>
          </w:tcPr>
          <w:p w14:paraId="2F178FAA" w14:textId="77777777" w:rsidR="00C01566" w:rsidRDefault="00CF3A08" w:rsidP="009500B2">
            <w:pPr>
              <w:keepNext/>
              <w:keepLines/>
              <w:jc w:val="center"/>
            </w:pPr>
            <w:r>
              <w:t>Developmental</w:t>
            </w:r>
            <w:r w:rsidR="00C01566">
              <w:t xml:space="preserve"> toxicity</w:t>
            </w:r>
          </w:p>
          <w:p w14:paraId="3BC9C178" w14:textId="77777777" w:rsidR="00C01566" w:rsidRDefault="00CF3A08" w:rsidP="009500B2">
            <w:pPr>
              <w:keepNext/>
              <w:keepLines/>
              <w:jc w:val="center"/>
            </w:pPr>
            <w:r>
              <w:t>Liver toxicity</w:t>
            </w:r>
          </w:p>
          <w:p w14:paraId="4E5814DF" w14:textId="047FF43F" w:rsidR="00CF3A08" w:rsidRPr="00AB2B4F" w:rsidRDefault="00CF3A08" w:rsidP="009500B2">
            <w:pPr>
              <w:keepNext/>
              <w:keepLines/>
              <w:jc w:val="center"/>
            </w:pPr>
            <w:r>
              <w:t>Immunotoxicity</w:t>
            </w:r>
          </w:p>
        </w:tc>
        <w:tc>
          <w:tcPr>
            <w:tcW w:w="1890" w:type="dxa"/>
            <w:vAlign w:val="center"/>
          </w:tcPr>
          <w:p w14:paraId="242582A2" w14:textId="77777777" w:rsidR="00CF3A08" w:rsidRPr="00AB2B4F" w:rsidRDefault="00CF3A08" w:rsidP="009500B2">
            <w:pPr>
              <w:keepNext/>
              <w:keepLines/>
              <w:jc w:val="center"/>
            </w:pPr>
            <w:proofErr w:type="spellStart"/>
            <w:r>
              <w:t>RfD</w:t>
            </w:r>
            <w:proofErr w:type="spellEnd"/>
          </w:p>
        </w:tc>
        <w:tc>
          <w:tcPr>
            <w:tcW w:w="1260" w:type="dxa"/>
          </w:tcPr>
          <w:p w14:paraId="4E114F9A" w14:textId="77777777" w:rsidR="00CF3A08" w:rsidRPr="00AB2B4F" w:rsidRDefault="00CF3A08" w:rsidP="009500B2">
            <w:pPr>
              <w:keepNext/>
              <w:keepLines/>
              <w:jc w:val="center"/>
            </w:pPr>
            <w:r w:rsidRPr="00AB2B4F">
              <w:t>MassDEP</w:t>
            </w:r>
            <w:r>
              <w:t xml:space="preserve">, </w:t>
            </w:r>
            <w:r w:rsidRPr="00AB2B4F">
              <w:t>2019</w:t>
            </w:r>
          </w:p>
        </w:tc>
      </w:tr>
    </w:tbl>
    <w:p w14:paraId="4FC33707" w14:textId="5615DD9C" w:rsidR="00CF3A08" w:rsidRDefault="00CF3A08" w:rsidP="00CF3A08">
      <w:r>
        <w:rPr>
          <w:i/>
          <w:iCs/>
          <w:sz w:val="20"/>
          <w:szCs w:val="20"/>
        </w:rPr>
        <w:t xml:space="preserve">MRL – Minimal Risk Level; </w:t>
      </w:r>
      <w:r w:rsidR="00FA6D0E">
        <w:rPr>
          <w:i/>
          <w:iCs/>
          <w:sz w:val="20"/>
          <w:szCs w:val="20"/>
        </w:rPr>
        <w:t xml:space="preserve">PFAS – per- and polyfluoroalkyl substances; </w:t>
      </w:r>
      <w:r w:rsidR="00F025F3">
        <w:rPr>
          <w:i/>
          <w:iCs/>
          <w:sz w:val="20"/>
          <w:szCs w:val="20"/>
        </w:rPr>
        <w:t xml:space="preserve">PFOS - </w:t>
      </w:r>
      <w:proofErr w:type="spellStart"/>
      <w:r w:rsidRPr="000175F7">
        <w:rPr>
          <w:i/>
          <w:iCs/>
          <w:sz w:val="20"/>
          <w:szCs w:val="20"/>
        </w:rPr>
        <w:t>perfluorooctane</w:t>
      </w:r>
      <w:proofErr w:type="spellEnd"/>
      <w:r w:rsidRPr="000175F7">
        <w:rPr>
          <w:i/>
          <w:iCs/>
          <w:sz w:val="20"/>
          <w:szCs w:val="20"/>
        </w:rPr>
        <w:t xml:space="preserve"> sulfonic acid; </w:t>
      </w:r>
      <w:proofErr w:type="spellStart"/>
      <w:r>
        <w:rPr>
          <w:i/>
          <w:iCs/>
          <w:sz w:val="20"/>
          <w:szCs w:val="20"/>
        </w:rPr>
        <w:t>RfD</w:t>
      </w:r>
      <w:proofErr w:type="spellEnd"/>
      <w:r>
        <w:rPr>
          <w:i/>
          <w:iCs/>
          <w:sz w:val="20"/>
          <w:szCs w:val="20"/>
        </w:rPr>
        <w:t xml:space="preserve"> – Reference Dose</w:t>
      </w:r>
    </w:p>
    <w:p w14:paraId="2DA7DAD4" w14:textId="71CB1063" w:rsidR="008C7D9E" w:rsidRPr="001C0B76" w:rsidRDefault="008C7D9E" w:rsidP="001C0B76">
      <w:pPr>
        <w:rPr>
          <w:b/>
          <w:bCs/>
          <w:i/>
          <w:iCs/>
        </w:rPr>
      </w:pPr>
      <w:r w:rsidRPr="001C0B76">
        <w:rPr>
          <w:b/>
          <w:bCs/>
          <w:i/>
          <w:iCs/>
        </w:rPr>
        <w:t>Target Hazard Index</w:t>
      </w:r>
    </w:p>
    <w:p w14:paraId="1B82D55A" w14:textId="304CD533" w:rsidR="008C7D9E" w:rsidRDefault="00AC56D2" w:rsidP="006E4074">
      <w:pPr>
        <w:spacing w:after="0" w:line="240" w:lineRule="auto"/>
        <w:rPr>
          <w:sz w:val="24"/>
        </w:rPr>
      </w:pPr>
      <w:r>
        <w:rPr>
          <w:sz w:val="24"/>
        </w:rPr>
        <w:t xml:space="preserve">The </w:t>
      </w:r>
      <w:proofErr w:type="spellStart"/>
      <w:r>
        <w:rPr>
          <w:sz w:val="24"/>
        </w:rPr>
        <w:t>c</w:t>
      </w:r>
      <w:r w:rsidR="008C7D9E">
        <w:rPr>
          <w:sz w:val="24"/>
        </w:rPr>
        <w:t>SWALs</w:t>
      </w:r>
      <w:proofErr w:type="spellEnd"/>
      <w:r w:rsidR="008C7D9E" w:rsidRPr="00646233">
        <w:rPr>
          <w:sz w:val="24"/>
        </w:rPr>
        <w:t xml:space="preserve"> </w:t>
      </w:r>
      <w:r w:rsidR="00840F1D">
        <w:rPr>
          <w:sz w:val="24"/>
        </w:rPr>
        <w:t xml:space="preserve">and </w:t>
      </w:r>
      <w:proofErr w:type="spellStart"/>
      <w:r>
        <w:rPr>
          <w:sz w:val="24"/>
        </w:rPr>
        <w:t>c</w:t>
      </w:r>
      <w:r w:rsidR="00840F1D">
        <w:rPr>
          <w:sz w:val="24"/>
        </w:rPr>
        <w:t>PBALs</w:t>
      </w:r>
      <w:proofErr w:type="spellEnd"/>
      <w:r w:rsidR="00840F1D">
        <w:rPr>
          <w:sz w:val="24"/>
        </w:rPr>
        <w:t xml:space="preserve"> </w:t>
      </w:r>
      <w:r w:rsidR="008C7D9E" w:rsidRPr="00646233">
        <w:rPr>
          <w:sz w:val="24"/>
        </w:rPr>
        <w:t>are calculated for a target hazard index of 1.</w:t>
      </w:r>
    </w:p>
    <w:p w14:paraId="2BE65D10" w14:textId="77777777" w:rsidR="00776FA8" w:rsidRPr="00646233" w:rsidRDefault="00776FA8" w:rsidP="006E4074">
      <w:pPr>
        <w:spacing w:after="0" w:line="240" w:lineRule="auto"/>
        <w:rPr>
          <w:sz w:val="24"/>
        </w:rPr>
      </w:pPr>
    </w:p>
    <w:p w14:paraId="3EC34CF8" w14:textId="5D729D0B" w:rsidR="00307CAF" w:rsidRPr="00776FA8" w:rsidRDefault="002A3455" w:rsidP="006E4074">
      <w:pPr>
        <w:rPr>
          <w:b/>
          <w:bCs/>
          <w:sz w:val="28"/>
          <w:szCs w:val="28"/>
        </w:rPr>
      </w:pPr>
      <w:r w:rsidRPr="00776FA8">
        <w:rPr>
          <w:b/>
          <w:bCs/>
          <w:sz w:val="28"/>
          <w:szCs w:val="28"/>
        </w:rPr>
        <w:t>A</w:t>
      </w:r>
      <w:r w:rsidR="00AD610F" w:rsidRPr="00776FA8">
        <w:rPr>
          <w:b/>
          <w:bCs/>
          <w:sz w:val="28"/>
          <w:szCs w:val="28"/>
        </w:rPr>
        <w:t>.</w:t>
      </w:r>
      <w:r w:rsidR="008C7D9E" w:rsidRPr="00776FA8">
        <w:rPr>
          <w:b/>
          <w:bCs/>
          <w:sz w:val="28"/>
          <w:szCs w:val="28"/>
        </w:rPr>
        <w:t>2</w:t>
      </w:r>
      <w:r w:rsidR="00AD610F" w:rsidRPr="00776FA8">
        <w:rPr>
          <w:b/>
          <w:bCs/>
          <w:sz w:val="28"/>
          <w:szCs w:val="28"/>
        </w:rPr>
        <w:tab/>
      </w:r>
      <w:r w:rsidR="008B78EF" w:rsidRPr="00776FA8">
        <w:rPr>
          <w:b/>
          <w:bCs/>
          <w:sz w:val="28"/>
          <w:szCs w:val="28"/>
        </w:rPr>
        <w:t>Exposure</w:t>
      </w:r>
      <w:r w:rsidR="008C7D9E" w:rsidRPr="00776FA8">
        <w:rPr>
          <w:b/>
          <w:bCs/>
          <w:sz w:val="28"/>
          <w:szCs w:val="28"/>
        </w:rPr>
        <w:t xml:space="preserve"> Calculation</w:t>
      </w:r>
    </w:p>
    <w:p w14:paraId="7607130B" w14:textId="16A88B9A" w:rsidR="008B78EF" w:rsidRPr="00BD4CEE" w:rsidRDefault="008B78EF" w:rsidP="006E4074">
      <w:pPr>
        <w:spacing w:line="240" w:lineRule="auto"/>
        <w:rPr>
          <w:sz w:val="24"/>
          <w:szCs w:val="24"/>
        </w:rPr>
      </w:pPr>
      <w:r w:rsidRPr="00BD4CEE">
        <w:rPr>
          <w:sz w:val="24"/>
          <w:szCs w:val="24"/>
        </w:rPr>
        <w:t xml:space="preserve">Exposure to surface water is characterized by an Intake Factor (IF), which quantifies the volume of surface water an individual is exposed </w:t>
      </w:r>
      <w:r w:rsidR="00007E06" w:rsidRPr="00BD4CEE">
        <w:rPr>
          <w:sz w:val="24"/>
          <w:szCs w:val="24"/>
        </w:rPr>
        <w:t xml:space="preserve">to </w:t>
      </w:r>
      <w:r w:rsidRPr="00BD4CEE">
        <w:rPr>
          <w:sz w:val="24"/>
          <w:szCs w:val="24"/>
        </w:rPr>
        <w:t>normalized to body weight, in units of liters per kg per day (L/kg-day). The IF is calculated as follows:</w:t>
      </w:r>
    </w:p>
    <w:p w14:paraId="134EC4DA" w14:textId="0DDF0B61" w:rsidR="002A3EB8" w:rsidRPr="00646233" w:rsidRDefault="008B78EF" w:rsidP="006E4074">
      <w:pPr>
        <w:spacing w:after="0" w:line="240" w:lineRule="auto"/>
        <w:rPr>
          <w:rFonts w:ascii="Cambria Math" w:hAnsi="Cambria Math" w:cs="Arial"/>
          <w:sz w:val="24"/>
        </w:rPr>
      </w:pPr>
      <m:oMathPara>
        <m:oMath>
          <m:r>
            <w:rPr>
              <w:rFonts w:ascii="Cambria Math" w:hAnsi="Cambria Math" w:cs="Arial"/>
              <w:sz w:val="24"/>
            </w:rPr>
            <m:t xml:space="preserve">IF= </m:t>
          </m:r>
          <m:f>
            <m:fPr>
              <m:ctrlPr>
                <w:rPr>
                  <w:rFonts w:ascii="Cambria Math" w:hAnsi="Cambria Math" w:cs="Arial"/>
                  <w:i/>
                  <w:sz w:val="24"/>
                </w:rPr>
              </m:ctrlPr>
            </m:fPr>
            <m:num>
              <m:d>
                <m:dPr>
                  <m:ctrlPr>
                    <w:rPr>
                      <w:rFonts w:ascii="Cambria Math" w:hAnsi="Cambria Math" w:cs="Arial"/>
                      <w:i/>
                      <w:sz w:val="24"/>
                    </w:rPr>
                  </m:ctrlPr>
                </m:dPr>
                <m:e>
                  <m:r>
                    <w:rPr>
                      <w:rFonts w:ascii="Cambria Math" w:hAnsi="Cambria Math" w:cs="Arial"/>
                      <w:sz w:val="24"/>
                    </w:rPr>
                    <m:t>IR×</m:t>
                  </m:r>
                  <m:sSub>
                    <m:sSubPr>
                      <m:ctrlPr>
                        <w:rPr>
                          <w:rFonts w:ascii="Cambria Math" w:hAnsi="Cambria Math" w:cs="Arial"/>
                          <w:i/>
                          <w:sz w:val="24"/>
                        </w:rPr>
                      </m:ctrlPr>
                    </m:sSubPr>
                    <m:e>
                      <m:r>
                        <w:rPr>
                          <w:rFonts w:ascii="Cambria Math" w:hAnsi="Cambria Math" w:cs="Arial"/>
                          <w:sz w:val="24"/>
                        </w:rPr>
                        <m:t>t</m:t>
                      </m:r>
                    </m:e>
                    <m:sub>
                      <m:r>
                        <w:rPr>
                          <w:rFonts w:ascii="Cambria Math" w:hAnsi="Cambria Math" w:cs="Arial"/>
                          <w:sz w:val="24"/>
                        </w:rPr>
                        <m:t>event</m:t>
                      </m:r>
                    </m:sub>
                  </m:sSub>
                  <m:r>
                    <w:rPr>
                      <w:rFonts w:ascii="Cambria Math" w:hAnsi="Cambria Math" w:cs="Arial"/>
                      <w:sz w:val="24"/>
                    </w:rPr>
                    <m:t>×EV×EF×ED</m:t>
                  </m:r>
                </m:e>
              </m:d>
            </m:num>
            <m:den>
              <m:d>
                <m:dPr>
                  <m:ctrlPr>
                    <w:rPr>
                      <w:rFonts w:ascii="Cambria Math" w:hAnsi="Cambria Math" w:cs="Arial"/>
                      <w:i/>
                      <w:sz w:val="24"/>
                    </w:rPr>
                  </m:ctrlPr>
                </m:dPr>
                <m:e>
                  <m:r>
                    <w:rPr>
                      <w:rFonts w:ascii="Cambria Math" w:hAnsi="Cambria Math" w:cs="Arial"/>
                      <w:sz w:val="24"/>
                    </w:rPr>
                    <m:t>BW×AT</m:t>
                  </m:r>
                </m:e>
              </m:d>
            </m:den>
          </m:f>
        </m:oMath>
      </m:oMathPara>
    </w:p>
    <w:p w14:paraId="4FE2A3FB" w14:textId="77777777" w:rsidR="002A3EB8" w:rsidRPr="00646233" w:rsidRDefault="002A3EB8" w:rsidP="006E4074">
      <w:pPr>
        <w:spacing w:after="0" w:line="240" w:lineRule="auto"/>
        <w:rPr>
          <w:rFonts w:cs="Arial"/>
          <w:sz w:val="24"/>
        </w:rPr>
      </w:pPr>
    </w:p>
    <w:p w14:paraId="44B9A448" w14:textId="77777777" w:rsidR="002A3EB8" w:rsidRPr="00646233" w:rsidRDefault="002A3EB8" w:rsidP="006E4074">
      <w:pPr>
        <w:spacing w:after="0" w:line="240" w:lineRule="auto"/>
        <w:rPr>
          <w:rFonts w:cs="Arial"/>
          <w:sz w:val="24"/>
          <w:szCs w:val="24"/>
        </w:rPr>
      </w:pPr>
      <w:r w:rsidRPr="00646233">
        <w:rPr>
          <w:rFonts w:cs="Arial"/>
          <w:sz w:val="24"/>
          <w:szCs w:val="24"/>
        </w:rPr>
        <w:t>Where:</w:t>
      </w:r>
    </w:p>
    <w:p w14:paraId="20E03EAB" w14:textId="77777777" w:rsidR="002A3EB8" w:rsidRPr="00646233" w:rsidRDefault="002A3EB8" w:rsidP="006E4074">
      <w:pPr>
        <w:tabs>
          <w:tab w:val="left" w:pos="1620"/>
          <w:tab w:val="left" w:pos="1980"/>
        </w:tabs>
        <w:spacing w:after="0" w:line="240" w:lineRule="auto"/>
        <w:ind w:left="720"/>
        <w:rPr>
          <w:rFonts w:cs="Arial"/>
          <w:sz w:val="24"/>
          <w:szCs w:val="24"/>
        </w:rPr>
      </w:pPr>
      <w:r w:rsidRPr="00646233">
        <w:rPr>
          <w:rFonts w:cs="Arial"/>
          <w:sz w:val="24"/>
          <w:szCs w:val="24"/>
        </w:rPr>
        <w:t>IR</w:t>
      </w:r>
      <w:r w:rsidRPr="00646233">
        <w:rPr>
          <w:rFonts w:cs="Arial"/>
          <w:sz w:val="24"/>
          <w:szCs w:val="24"/>
        </w:rPr>
        <w:tab/>
        <w:t>=</w:t>
      </w:r>
      <w:r w:rsidRPr="00646233">
        <w:rPr>
          <w:rFonts w:cs="Arial"/>
          <w:sz w:val="24"/>
          <w:szCs w:val="24"/>
        </w:rPr>
        <w:tab/>
        <w:t>Surface water incidental ingestion rate (L/</w:t>
      </w:r>
      <w:proofErr w:type="spellStart"/>
      <w:r w:rsidRPr="00646233">
        <w:rPr>
          <w:rFonts w:cs="Arial"/>
          <w:sz w:val="24"/>
          <w:szCs w:val="24"/>
        </w:rPr>
        <w:t>hr</w:t>
      </w:r>
      <w:proofErr w:type="spellEnd"/>
      <w:r w:rsidRPr="00646233">
        <w:rPr>
          <w:rFonts w:cs="Arial"/>
          <w:sz w:val="24"/>
          <w:szCs w:val="24"/>
        </w:rPr>
        <w:t xml:space="preserve">) </w:t>
      </w:r>
    </w:p>
    <w:p w14:paraId="55D0D7CC" w14:textId="77777777" w:rsidR="002A3EB8" w:rsidRPr="00646233" w:rsidRDefault="002A3EB8" w:rsidP="006E4074">
      <w:pPr>
        <w:tabs>
          <w:tab w:val="left" w:pos="1620"/>
          <w:tab w:val="left" w:pos="1980"/>
        </w:tabs>
        <w:spacing w:after="0" w:line="240" w:lineRule="auto"/>
        <w:ind w:left="720"/>
        <w:rPr>
          <w:rFonts w:cs="Arial"/>
          <w:sz w:val="24"/>
          <w:szCs w:val="24"/>
        </w:rPr>
      </w:pPr>
      <w:proofErr w:type="spellStart"/>
      <w:r w:rsidRPr="00646233">
        <w:rPr>
          <w:rFonts w:cs="Arial"/>
          <w:sz w:val="24"/>
          <w:szCs w:val="24"/>
        </w:rPr>
        <w:t>t</w:t>
      </w:r>
      <w:r w:rsidRPr="00646233">
        <w:rPr>
          <w:rFonts w:cs="Arial"/>
          <w:sz w:val="24"/>
          <w:szCs w:val="24"/>
          <w:vertAlign w:val="subscript"/>
        </w:rPr>
        <w:t>event</w:t>
      </w:r>
      <w:proofErr w:type="spellEnd"/>
      <w:r w:rsidRPr="00646233">
        <w:rPr>
          <w:rFonts w:cs="Arial"/>
          <w:sz w:val="24"/>
          <w:szCs w:val="24"/>
        </w:rPr>
        <w:tab/>
        <w:t>=</w:t>
      </w:r>
      <w:r w:rsidRPr="00646233">
        <w:rPr>
          <w:rFonts w:cs="Arial"/>
          <w:sz w:val="24"/>
          <w:szCs w:val="24"/>
        </w:rPr>
        <w:tab/>
        <w:t>Duration of recreational event (</w:t>
      </w:r>
      <w:proofErr w:type="spellStart"/>
      <w:r w:rsidRPr="00646233">
        <w:rPr>
          <w:rFonts w:cs="Arial"/>
          <w:sz w:val="24"/>
          <w:szCs w:val="24"/>
        </w:rPr>
        <w:t>hr</w:t>
      </w:r>
      <w:proofErr w:type="spellEnd"/>
      <w:r w:rsidRPr="00646233">
        <w:rPr>
          <w:rFonts w:cs="Arial"/>
          <w:sz w:val="24"/>
          <w:szCs w:val="24"/>
        </w:rPr>
        <w:t>/event)</w:t>
      </w:r>
    </w:p>
    <w:p w14:paraId="47F3975C" w14:textId="77777777" w:rsidR="002A3EB8" w:rsidRPr="00646233" w:rsidRDefault="002A3EB8" w:rsidP="006E4074">
      <w:pPr>
        <w:tabs>
          <w:tab w:val="left" w:pos="1620"/>
          <w:tab w:val="left" w:pos="1980"/>
        </w:tabs>
        <w:spacing w:after="0" w:line="240" w:lineRule="auto"/>
        <w:ind w:left="720"/>
        <w:rPr>
          <w:rFonts w:cs="Arial"/>
          <w:sz w:val="24"/>
          <w:szCs w:val="24"/>
        </w:rPr>
      </w:pPr>
      <w:r w:rsidRPr="00646233">
        <w:rPr>
          <w:rFonts w:cs="Arial"/>
          <w:sz w:val="24"/>
          <w:szCs w:val="24"/>
        </w:rPr>
        <w:t>EV</w:t>
      </w:r>
      <w:r w:rsidRPr="00646233">
        <w:rPr>
          <w:rFonts w:cs="Arial"/>
          <w:sz w:val="24"/>
          <w:szCs w:val="24"/>
        </w:rPr>
        <w:tab/>
        <w:t>=</w:t>
      </w:r>
      <w:r w:rsidRPr="00646233">
        <w:rPr>
          <w:rFonts w:cs="Arial"/>
          <w:sz w:val="24"/>
          <w:szCs w:val="24"/>
        </w:rPr>
        <w:tab/>
        <w:t>Events per day (day)</w:t>
      </w:r>
      <w:r w:rsidRPr="00646233">
        <w:rPr>
          <w:rFonts w:cs="Arial"/>
          <w:sz w:val="24"/>
          <w:szCs w:val="24"/>
          <w:vertAlign w:val="superscript"/>
        </w:rPr>
        <w:t>-1</w:t>
      </w:r>
    </w:p>
    <w:p w14:paraId="67026DA0" w14:textId="5F65BDB1" w:rsidR="002A3EB8" w:rsidRPr="00646233" w:rsidRDefault="002A3EB8" w:rsidP="006E4074">
      <w:pPr>
        <w:tabs>
          <w:tab w:val="left" w:pos="1620"/>
          <w:tab w:val="left" w:pos="1980"/>
        </w:tabs>
        <w:spacing w:after="0" w:line="240" w:lineRule="auto"/>
        <w:ind w:left="720"/>
        <w:rPr>
          <w:rFonts w:cs="Arial"/>
          <w:sz w:val="24"/>
          <w:szCs w:val="24"/>
        </w:rPr>
      </w:pPr>
      <w:r w:rsidRPr="00646233">
        <w:rPr>
          <w:rFonts w:cs="Arial"/>
          <w:sz w:val="24"/>
          <w:szCs w:val="24"/>
        </w:rPr>
        <w:t>EF</w:t>
      </w:r>
      <w:r w:rsidRPr="00646233">
        <w:rPr>
          <w:rFonts w:cs="Arial"/>
          <w:sz w:val="24"/>
          <w:szCs w:val="24"/>
        </w:rPr>
        <w:tab/>
        <w:t>=</w:t>
      </w:r>
      <w:r w:rsidRPr="00646233">
        <w:rPr>
          <w:rFonts w:cs="Arial"/>
          <w:sz w:val="24"/>
          <w:szCs w:val="24"/>
        </w:rPr>
        <w:tab/>
        <w:t>Exposure frequency (days/</w:t>
      </w:r>
      <w:r w:rsidR="008A2103">
        <w:rPr>
          <w:rFonts w:cs="Arial"/>
          <w:sz w:val="24"/>
          <w:szCs w:val="24"/>
        </w:rPr>
        <w:t>month</w:t>
      </w:r>
      <w:r w:rsidRPr="00646233">
        <w:rPr>
          <w:rFonts w:cs="Arial"/>
          <w:sz w:val="24"/>
          <w:szCs w:val="24"/>
        </w:rPr>
        <w:t>)</w:t>
      </w:r>
    </w:p>
    <w:p w14:paraId="63347EB8" w14:textId="31BA070C" w:rsidR="002A3EB8" w:rsidRPr="00646233" w:rsidRDefault="002A3EB8" w:rsidP="006E4074">
      <w:pPr>
        <w:tabs>
          <w:tab w:val="left" w:pos="1620"/>
          <w:tab w:val="left" w:pos="1980"/>
        </w:tabs>
        <w:spacing w:after="0" w:line="240" w:lineRule="auto"/>
        <w:ind w:left="720"/>
        <w:rPr>
          <w:rFonts w:cs="Arial"/>
          <w:sz w:val="24"/>
          <w:szCs w:val="24"/>
        </w:rPr>
      </w:pPr>
      <w:r w:rsidRPr="00646233">
        <w:rPr>
          <w:rFonts w:cs="Arial"/>
          <w:sz w:val="24"/>
          <w:szCs w:val="24"/>
        </w:rPr>
        <w:t>ED</w:t>
      </w:r>
      <w:r w:rsidRPr="00646233">
        <w:rPr>
          <w:rFonts w:cs="Arial"/>
          <w:sz w:val="24"/>
          <w:szCs w:val="24"/>
        </w:rPr>
        <w:tab/>
        <w:t>=</w:t>
      </w:r>
      <w:r w:rsidRPr="00646233">
        <w:rPr>
          <w:rFonts w:cs="Arial"/>
          <w:sz w:val="24"/>
          <w:szCs w:val="24"/>
        </w:rPr>
        <w:tab/>
        <w:t>Exposure duration (</w:t>
      </w:r>
      <w:r w:rsidR="008A2103">
        <w:rPr>
          <w:rFonts w:cs="Arial"/>
          <w:sz w:val="24"/>
          <w:szCs w:val="24"/>
        </w:rPr>
        <w:t>month</w:t>
      </w:r>
      <w:r w:rsidRPr="00646233">
        <w:rPr>
          <w:rFonts w:cs="Arial"/>
          <w:sz w:val="24"/>
          <w:szCs w:val="24"/>
        </w:rPr>
        <w:t>s)</w:t>
      </w:r>
    </w:p>
    <w:p w14:paraId="6FEE52C0" w14:textId="77777777" w:rsidR="002A3EB8" w:rsidRPr="00646233" w:rsidRDefault="002A3EB8" w:rsidP="006E4074">
      <w:pPr>
        <w:tabs>
          <w:tab w:val="left" w:pos="1620"/>
          <w:tab w:val="left" w:pos="1980"/>
        </w:tabs>
        <w:spacing w:after="0" w:line="240" w:lineRule="auto"/>
        <w:ind w:left="720"/>
        <w:rPr>
          <w:rFonts w:cs="Arial"/>
          <w:sz w:val="24"/>
          <w:szCs w:val="24"/>
        </w:rPr>
      </w:pPr>
      <w:r w:rsidRPr="00646233">
        <w:rPr>
          <w:rFonts w:cs="Arial"/>
          <w:sz w:val="24"/>
          <w:szCs w:val="24"/>
        </w:rPr>
        <w:t>BW</w:t>
      </w:r>
      <w:r w:rsidRPr="00646233">
        <w:rPr>
          <w:rFonts w:cs="Arial"/>
          <w:sz w:val="24"/>
          <w:szCs w:val="24"/>
        </w:rPr>
        <w:tab/>
        <w:t>=</w:t>
      </w:r>
      <w:r w:rsidRPr="00646233">
        <w:rPr>
          <w:rFonts w:cs="Arial"/>
          <w:sz w:val="24"/>
          <w:szCs w:val="24"/>
        </w:rPr>
        <w:tab/>
        <w:t>Body weight (kg)</w:t>
      </w:r>
    </w:p>
    <w:p w14:paraId="24E97DE6" w14:textId="0EBD3454" w:rsidR="002A3EB8" w:rsidRPr="00646233" w:rsidRDefault="002A3EB8" w:rsidP="006E4074">
      <w:pPr>
        <w:tabs>
          <w:tab w:val="left" w:pos="1620"/>
          <w:tab w:val="left" w:pos="1980"/>
        </w:tabs>
        <w:spacing w:after="0" w:line="240" w:lineRule="auto"/>
        <w:ind w:left="720"/>
        <w:rPr>
          <w:rFonts w:cs="Arial"/>
          <w:sz w:val="24"/>
          <w:szCs w:val="24"/>
        </w:rPr>
      </w:pPr>
      <w:r w:rsidRPr="00646233">
        <w:rPr>
          <w:rFonts w:cs="Arial"/>
          <w:sz w:val="24"/>
          <w:szCs w:val="24"/>
        </w:rPr>
        <w:t>AT</w:t>
      </w:r>
      <w:r w:rsidRPr="00646233">
        <w:rPr>
          <w:rFonts w:cs="Arial"/>
          <w:sz w:val="24"/>
          <w:szCs w:val="24"/>
        </w:rPr>
        <w:tab/>
        <w:t>=</w:t>
      </w:r>
      <w:r w:rsidRPr="00646233">
        <w:rPr>
          <w:rFonts w:cs="Arial"/>
          <w:sz w:val="24"/>
          <w:szCs w:val="24"/>
        </w:rPr>
        <w:tab/>
        <w:t>Averaging time (days)</w:t>
      </w:r>
    </w:p>
    <w:p w14:paraId="1CEB8A60" w14:textId="77777777" w:rsidR="00776FA8" w:rsidRDefault="00776FA8" w:rsidP="006E4074"/>
    <w:p w14:paraId="20BF218E" w14:textId="15D008B2" w:rsidR="00E643FC" w:rsidRPr="00776FA8" w:rsidRDefault="00D81B39" w:rsidP="006E4074">
      <w:pPr>
        <w:rPr>
          <w:b/>
          <w:bCs/>
          <w:sz w:val="28"/>
          <w:szCs w:val="28"/>
        </w:rPr>
      </w:pPr>
      <w:r w:rsidRPr="00776FA8">
        <w:rPr>
          <w:b/>
          <w:bCs/>
          <w:sz w:val="28"/>
          <w:szCs w:val="28"/>
        </w:rPr>
        <w:t>A</w:t>
      </w:r>
      <w:r w:rsidR="005A3A0D" w:rsidRPr="00776FA8">
        <w:rPr>
          <w:b/>
          <w:bCs/>
          <w:sz w:val="28"/>
          <w:szCs w:val="28"/>
        </w:rPr>
        <w:t xml:space="preserve">.3 </w:t>
      </w:r>
      <w:r w:rsidR="00FD553E">
        <w:rPr>
          <w:b/>
          <w:bCs/>
          <w:sz w:val="28"/>
          <w:szCs w:val="28"/>
        </w:rPr>
        <w:tab/>
      </w:r>
      <w:r w:rsidR="00E643FC" w:rsidRPr="00776FA8">
        <w:rPr>
          <w:b/>
          <w:bCs/>
          <w:sz w:val="28"/>
          <w:szCs w:val="28"/>
        </w:rPr>
        <w:t>E</w:t>
      </w:r>
      <w:r w:rsidR="005A3A0D" w:rsidRPr="00776FA8">
        <w:rPr>
          <w:b/>
          <w:bCs/>
          <w:sz w:val="28"/>
          <w:szCs w:val="28"/>
        </w:rPr>
        <w:t>xposure</w:t>
      </w:r>
      <w:r w:rsidR="00E643FC" w:rsidRPr="00776FA8">
        <w:rPr>
          <w:b/>
          <w:bCs/>
          <w:sz w:val="28"/>
          <w:szCs w:val="28"/>
        </w:rPr>
        <w:t xml:space="preserve"> A</w:t>
      </w:r>
      <w:r w:rsidR="005A3A0D" w:rsidRPr="00776FA8">
        <w:rPr>
          <w:b/>
          <w:bCs/>
          <w:sz w:val="28"/>
          <w:szCs w:val="28"/>
        </w:rPr>
        <w:t>ssumptions</w:t>
      </w:r>
    </w:p>
    <w:p w14:paraId="5F770373" w14:textId="6AD2C9F3" w:rsidR="004F28F5" w:rsidRDefault="00144B26" w:rsidP="006E4074">
      <w:pPr>
        <w:spacing w:after="0" w:line="240" w:lineRule="auto"/>
        <w:rPr>
          <w:sz w:val="24"/>
          <w:szCs w:val="24"/>
        </w:rPr>
      </w:pPr>
      <w:r>
        <w:rPr>
          <w:sz w:val="24"/>
          <w:szCs w:val="24"/>
        </w:rPr>
        <w:t xml:space="preserve">Candidate </w:t>
      </w:r>
      <w:r w:rsidR="008C7D9E" w:rsidRPr="1CA4B720">
        <w:rPr>
          <w:sz w:val="24"/>
          <w:szCs w:val="24"/>
        </w:rPr>
        <w:t>Surface Water Action Levels</w:t>
      </w:r>
      <w:r w:rsidR="00D706A6" w:rsidRPr="1CA4B720">
        <w:rPr>
          <w:sz w:val="24"/>
          <w:szCs w:val="24"/>
        </w:rPr>
        <w:t xml:space="preserve"> </w:t>
      </w:r>
      <w:r>
        <w:rPr>
          <w:sz w:val="24"/>
          <w:szCs w:val="24"/>
        </w:rPr>
        <w:t>(</w:t>
      </w:r>
      <w:proofErr w:type="spellStart"/>
      <w:r>
        <w:rPr>
          <w:sz w:val="24"/>
          <w:szCs w:val="24"/>
        </w:rPr>
        <w:t>cSWALs</w:t>
      </w:r>
      <w:proofErr w:type="spellEnd"/>
      <w:r>
        <w:rPr>
          <w:sz w:val="24"/>
          <w:szCs w:val="24"/>
        </w:rPr>
        <w:t>) and Public Beach Action Levels (</w:t>
      </w:r>
      <w:proofErr w:type="spellStart"/>
      <w:r>
        <w:rPr>
          <w:sz w:val="24"/>
          <w:szCs w:val="24"/>
        </w:rPr>
        <w:t>cPBALs</w:t>
      </w:r>
      <w:proofErr w:type="spellEnd"/>
      <w:r>
        <w:rPr>
          <w:sz w:val="24"/>
          <w:szCs w:val="24"/>
        </w:rPr>
        <w:t xml:space="preserve">) </w:t>
      </w:r>
      <w:r w:rsidR="0044579F" w:rsidRPr="1CA4B720">
        <w:rPr>
          <w:sz w:val="24"/>
          <w:szCs w:val="24"/>
        </w:rPr>
        <w:t>a</w:t>
      </w:r>
      <w:r w:rsidR="00D706A6" w:rsidRPr="1CA4B720">
        <w:rPr>
          <w:sz w:val="24"/>
          <w:szCs w:val="24"/>
        </w:rPr>
        <w:t xml:space="preserve">re calculated for different age </w:t>
      </w:r>
      <w:r w:rsidR="00007E06" w:rsidRPr="1CA4B720">
        <w:rPr>
          <w:sz w:val="24"/>
          <w:szCs w:val="24"/>
        </w:rPr>
        <w:t>groups</w:t>
      </w:r>
      <w:r w:rsidR="00D706A6" w:rsidRPr="1CA4B720">
        <w:rPr>
          <w:sz w:val="24"/>
          <w:szCs w:val="24"/>
        </w:rPr>
        <w:t>, based on expected differences in the magnitude and/or frequency of e</w:t>
      </w:r>
      <w:r w:rsidR="00CB6BF8" w:rsidRPr="1CA4B720">
        <w:rPr>
          <w:sz w:val="24"/>
          <w:szCs w:val="24"/>
        </w:rPr>
        <w:t xml:space="preserve">xposure. </w:t>
      </w:r>
      <w:r w:rsidR="00F900F0" w:rsidRPr="1CA4B720">
        <w:rPr>
          <w:sz w:val="24"/>
          <w:szCs w:val="24"/>
        </w:rPr>
        <w:t xml:space="preserve">Age ranges for children (up to 20 years of age) are based on ATSDR’s Exposure Dose Guidance (ATSDR, </w:t>
      </w:r>
      <w:r w:rsidR="00D4356D" w:rsidRPr="1CA4B720">
        <w:rPr>
          <w:sz w:val="24"/>
          <w:szCs w:val="24"/>
        </w:rPr>
        <w:t>2016b</w:t>
      </w:r>
      <w:r w:rsidR="00F900F0" w:rsidRPr="1CA4B720">
        <w:rPr>
          <w:sz w:val="24"/>
          <w:szCs w:val="24"/>
        </w:rPr>
        <w:t>). Adult exposure</w:t>
      </w:r>
      <w:r w:rsidR="00D4356D" w:rsidRPr="1CA4B720">
        <w:rPr>
          <w:sz w:val="24"/>
          <w:szCs w:val="24"/>
        </w:rPr>
        <w:t>s are</w:t>
      </w:r>
      <w:r w:rsidR="00F64321" w:rsidRPr="1CA4B720">
        <w:rPr>
          <w:sz w:val="24"/>
          <w:szCs w:val="24"/>
        </w:rPr>
        <w:t xml:space="preserve"> </w:t>
      </w:r>
      <w:r w:rsidR="00D4356D" w:rsidRPr="1CA4B720">
        <w:rPr>
          <w:sz w:val="24"/>
          <w:szCs w:val="24"/>
        </w:rPr>
        <w:t xml:space="preserve">calculated for </w:t>
      </w:r>
      <w:r w:rsidR="000A6E6D" w:rsidRPr="1CA4B720">
        <w:rPr>
          <w:sz w:val="24"/>
          <w:szCs w:val="24"/>
        </w:rPr>
        <w:t xml:space="preserve">people who are </w:t>
      </w:r>
      <w:r w:rsidR="000A6E6D" w:rsidRPr="1CA4B720">
        <w:rPr>
          <w:sz w:val="24"/>
          <w:szCs w:val="24"/>
        </w:rPr>
        <w:lastRenderedPageBreak/>
        <w:t>nursing, pregnant, or may become pregnant</w:t>
      </w:r>
      <w:r w:rsidR="00D4356D" w:rsidRPr="1CA4B720">
        <w:rPr>
          <w:sz w:val="24"/>
          <w:szCs w:val="24"/>
        </w:rPr>
        <w:t>, which</w:t>
      </w:r>
      <w:r w:rsidR="00BD6660" w:rsidRPr="1CA4B720">
        <w:rPr>
          <w:sz w:val="24"/>
          <w:szCs w:val="24"/>
        </w:rPr>
        <w:t xml:space="preserve"> </w:t>
      </w:r>
      <w:r w:rsidR="007F1B9D" w:rsidRPr="1CA4B720">
        <w:rPr>
          <w:sz w:val="24"/>
          <w:szCs w:val="24"/>
        </w:rPr>
        <w:t>ATSDR defines as 15 – 45 years</w:t>
      </w:r>
      <w:r w:rsidR="00D4356D" w:rsidRPr="1CA4B720">
        <w:rPr>
          <w:sz w:val="24"/>
          <w:szCs w:val="24"/>
        </w:rPr>
        <w:t xml:space="preserve"> of age</w:t>
      </w:r>
      <w:r w:rsidR="007F1B9D" w:rsidRPr="1CA4B720">
        <w:rPr>
          <w:sz w:val="24"/>
          <w:szCs w:val="24"/>
        </w:rPr>
        <w:t xml:space="preserve"> (ATSDR, 2016b). </w:t>
      </w:r>
      <w:r w:rsidR="00EF38AC" w:rsidRPr="1CA4B720">
        <w:rPr>
          <w:sz w:val="24"/>
          <w:szCs w:val="24"/>
        </w:rPr>
        <w:t>Consistent with US EPA guidance (US EPA, 1989)</w:t>
      </w:r>
      <w:r w:rsidR="0059270F">
        <w:rPr>
          <w:sz w:val="24"/>
          <w:szCs w:val="24"/>
        </w:rPr>
        <w:t>,</w:t>
      </w:r>
      <w:r w:rsidR="00EF38AC" w:rsidRPr="1CA4B720">
        <w:rPr>
          <w:sz w:val="24"/>
          <w:szCs w:val="24"/>
        </w:rPr>
        <w:t xml:space="preserve"> </w:t>
      </w:r>
      <w:proofErr w:type="spellStart"/>
      <w:r w:rsidR="00734EB0">
        <w:rPr>
          <w:sz w:val="24"/>
          <w:szCs w:val="24"/>
        </w:rPr>
        <w:t>c</w:t>
      </w:r>
      <w:r w:rsidR="002C2961" w:rsidRPr="1CA4B720">
        <w:rPr>
          <w:sz w:val="24"/>
          <w:szCs w:val="24"/>
        </w:rPr>
        <w:t>SWAL</w:t>
      </w:r>
      <w:r w:rsidR="00EF38AC" w:rsidRPr="1CA4B720">
        <w:rPr>
          <w:sz w:val="24"/>
          <w:szCs w:val="24"/>
        </w:rPr>
        <w:t>s</w:t>
      </w:r>
      <w:proofErr w:type="spellEnd"/>
      <w:r w:rsidR="00EF38AC" w:rsidRPr="1CA4B720">
        <w:rPr>
          <w:sz w:val="24"/>
          <w:szCs w:val="24"/>
        </w:rPr>
        <w:t xml:space="preserve"> are calculated </w:t>
      </w:r>
      <w:r w:rsidR="000B5D45" w:rsidRPr="007523EB">
        <w:rPr>
          <w:sz w:val="24"/>
          <w:szCs w:val="24"/>
        </w:rPr>
        <w:t>using</w:t>
      </w:r>
      <w:r w:rsidR="000B5D45">
        <w:rPr>
          <w:sz w:val="24"/>
          <w:szCs w:val="24"/>
        </w:rPr>
        <w:t xml:space="preserve"> </w:t>
      </w:r>
      <w:r w:rsidR="00EF38AC" w:rsidRPr="1CA4B720">
        <w:rPr>
          <w:sz w:val="24"/>
          <w:szCs w:val="24"/>
        </w:rPr>
        <w:t xml:space="preserve">reasonable maximum exposure </w:t>
      </w:r>
      <w:r w:rsidR="005A159E" w:rsidRPr="007523EB">
        <w:rPr>
          <w:sz w:val="24"/>
          <w:szCs w:val="24"/>
        </w:rPr>
        <w:t>(RME)</w:t>
      </w:r>
      <w:r w:rsidR="005A159E">
        <w:rPr>
          <w:sz w:val="24"/>
          <w:szCs w:val="24"/>
        </w:rPr>
        <w:t xml:space="preserve"> </w:t>
      </w:r>
      <w:r w:rsidR="00EF38AC" w:rsidRPr="007523EB">
        <w:rPr>
          <w:sz w:val="24"/>
          <w:szCs w:val="24"/>
        </w:rPr>
        <w:t xml:space="preserve">assumptions </w:t>
      </w:r>
      <w:r w:rsidR="00A9508C" w:rsidRPr="007523EB">
        <w:rPr>
          <w:sz w:val="24"/>
          <w:szCs w:val="24"/>
        </w:rPr>
        <w:t>(</w:t>
      </w:r>
      <w:r w:rsidR="009B63F1" w:rsidRPr="007523EB">
        <w:rPr>
          <w:sz w:val="24"/>
          <w:szCs w:val="24"/>
        </w:rPr>
        <w:t>i.e.,</w:t>
      </w:r>
      <w:r w:rsidR="00A9508C" w:rsidRPr="007523EB">
        <w:rPr>
          <w:sz w:val="24"/>
          <w:szCs w:val="24"/>
        </w:rPr>
        <w:t xml:space="preserve"> </w:t>
      </w:r>
      <w:r w:rsidR="00EE6C42" w:rsidRPr="00CC5278">
        <w:rPr>
          <w:sz w:val="24"/>
          <w:szCs w:val="24"/>
          <w:u w:val="single"/>
        </w:rPr>
        <w:t>&gt;</w:t>
      </w:r>
      <w:r w:rsidR="00A9508C" w:rsidRPr="007523EB">
        <w:rPr>
          <w:sz w:val="24"/>
          <w:szCs w:val="24"/>
        </w:rPr>
        <w:t xml:space="preserve"> 90</w:t>
      </w:r>
      <w:r w:rsidR="00A9508C" w:rsidRPr="007523EB">
        <w:rPr>
          <w:sz w:val="24"/>
          <w:szCs w:val="24"/>
          <w:vertAlign w:val="superscript"/>
        </w:rPr>
        <w:t>th</w:t>
      </w:r>
      <w:r w:rsidR="00A9508C" w:rsidRPr="007523EB">
        <w:rPr>
          <w:sz w:val="24"/>
          <w:szCs w:val="24"/>
        </w:rPr>
        <w:t xml:space="preserve"> percentile) </w:t>
      </w:r>
      <w:r w:rsidR="00EF38AC" w:rsidRPr="007523EB">
        <w:rPr>
          <w:sz w:val="24"/>
          <w:szCs w:val="24"/>
        </w:rPr>
        <w:t>for parameters related to magnitude of exposure (e.g., ingestion rate, exposure frequency, exposure duration)</w:t>
      </w:r>
      <w:r w:rsidR="00C92926" w:rsidRPr="007523EB">
        <w:rPr>
          <w:sz w:val="24"/>
          <w:szCs w:val="24"/>
        </w:rPr>
        <w:t>.</w:t>
      </w:r>
      <w:r w:rsidR="00EF38AC" w:rsidRPr="007523EB">
        <w:rPr>
          <w:sz w:val="24"/>
          <w:szCs w:val="24"/>
        </w:rPr>
        <w:t xml:space="preserve"> </w:t>
      </w:r>
      <w:proofErr w:type="spellStart"/>
      <w:r w:rsidR="000B5D45" w:rsidRPr="007523EB">
        <w:rPr>
          <w:sz w:val="24"/>
          <w:szCs w:val="24"/>
        </w:rPr>
        <w:t>cPBALs</w:t>
      </w:r>
      <w:proofErr w:type="spellEnd"/>
      <w:r w:rsidR="000B5D45" w:rsidRPr="007523EB">
        <w:rPr>
          <w:sz w:val="24"/>
          <w:szCs w:val="24"/>
        </w:rPr>
        <w:t xml:space="preserve"> are calculated using </w:t>
      </w:r>
      <w:r w:rsidR="00EE6C42" w:rsidRPr="007523EB">
        <w:rPr>
          <w:sz w:val="24"/>
          <w:szCs w:val="24"/>
        </w:rPr>
        <w:t xml:space="preserve">a combination of </w:t>
      </w:r>
      <w:r w:rsidR="009B63F1" w:rsidRPr="007523EB">
        <w:rPr>
          <w:sz w:val="24"/>
          <w:szCs w:val="24"/>
        </w:rPr>
        <w:t xml:space="preserve">RME and </w:t>
      </w:r>
      <w:r w:rsidR="006F63B6" w:rsidRPr="007523EB">
        <w:rPr>
          <w:sz w:val="24"/>
          <w:szCs w:val="24"/>
        </w:rPr>
        <w:t>upper end</w:t>
      </w:r>
      <w:r w:rsidR="009B63F1" w:rsidRPr="007523EB">
        <w:rPr>
          <w:sz w:val="24"/>
          <w:szCs w:val="24"/>
        </w:rPr>
        <w:t xml:space="preserve"> </w:t>
      </w:r>
      <w:r w:rsidR="002710C6">
        <w:rPr>
          <w:sz w:val="24"/>
          <w:szCs w:val="24"/>
        </w:rPr>
        <w:t xml:space="preserve">values </w:t>
      </w:r>
      <w:r w:rsidR="009B63F1" w:rsidRPr="007523EB">
        <w:rPr>
          <w:sz w:val="24"/>
          <w:szCs w:val="24"/>
        </w:rPr>
        <w:t>(i.e.,</w:t>
      </w:r>
      <w:r w:rsidR="005A159E" w:rsidRPr="007523EB">
        <w:rPr>
          <w:sz w:val="24"/>
          <w:szCs w:val="24"/>
        </w:rPr>
        <w:t xml:space="preserve"> </w:t>
      </w:r>
      <w:r w:rsidR="009B63F1" w:rsidRPr="007523EB">
        <w:rPr>
          <w:sz w:val="24"/>
          <w:szCs w:val="24"/>
        </w:rPr>
        <w:t>75</w:t>
      </w:r>
      <w:r w:rsidR="009B63F1" w:rsidRPr="007523EB">
        <w:rPr>
          <w:sz w:val="24"/>
          <w:szCs w:val="24"/>
          <w:vertAlign w:val="superscript"/>
        </w:rPr>
        <w:t>th</w:t>
      </w:r>
      <w:r w:rsidR="009B63F1" w:rsidRPr="007523EB">
        <w:rPr>
          <w:sz w:val="24"/>
          <w:szCs w:val="24"/>
        </w:rPr>
        <w:t xml:space="preserve"> percentile)</w:t>
      </w:r>
      <w:r w:rsidR="00F24BC3" w:rsidRPr="007523EB">
        <w:rPr>
          <w:sz w:val="24"/>
          <w:szCs w:val="24"/>
        </w:rPr>
        <w:t xml:space="preserve"> for parameters related to exposure magnitude.</w:t>
      </w:r>
      <w:r w:rsidR="00C61FB4" w:rsidRPr="007523EB">
        <w:rPr>
          <w:sz w:val="24"/>
          <w:szCs w:val="24"/>
        </w:rPr>
        <w:t xml:space="preserve"> </w:t>
      </w:r>
      <w:r w:rsidR="00C92926" w:rsidRPr="007523EB">
        <w:rPr>
          <w:sz w:val="24"/>
          <w:szCs w:val="24"/>
        </w:rPr>
        <w:t>C</w:t>
      </w:r>
      <w:r w:rsidR="00EF38AC" w:rsidRPr="007523EB">
        <w:rPr>
          <w:sz w:val="24"/>
          <w:szCs w:val="24"/>
        </w:rPr>
        <w:t xml:space="preserve">entral tendency assumptions </w:t>
      </w:r>
      <w:r w:rsidR="00C92926" w:rsidRPr="007523EB">
        <w:rPr>
          <w:sz w:val="24"/>
          <w:szCs w:val="24"/>
        </w:rPr>
        <w:t xml:space="preserve">are used </w:t>
      </w:r>
      <w:r w:rsidR="00EF38AC" w:rsidRPr="007523EB">
        <w:rPr>
          <w:sz w:val="24"/>
          <w:szCs w:val="24"/>
        </w:rPr>
        <w:t>for parameters related to body si</w:t>
      </w:r>
      <w:r w:rsidR="00103D43" w:rsidRPr="007523EB">
        <w:rPr>
          <w:sz w:val="24"/>
          <w:szCs w:val="24"/>
        </w:rPr>
        <w:t>ze (e.g., weight, surface area</w:t>
      </w:r>
      <w:r w:rsidR="00EF38AC" w:rsidRPr="007523EB">
        <w:rPr>
          <w:sz w:val="24"/>
          <w:szCs w:val="24"/>
        </w:rPr>
        <w:t>)</w:t>
      </w:r>
      <w:r w:rsidR="00391742" w:rsidRPr="007523EB">
        <w:rPr>
          <w:sz w:val="24"/>
          <w:szCs w:val="24"/>
        </w:rPr>
        <w:t xml:space="preserve"> for both </w:t>
      </w:r>
      <w:proofErr w:type="spellStart"/>
      <w:r w:rsidR="00391742" w:rsidRPr="007523EB">
        <w:rPr>
          <w:sz w:val="24"/>
          <w:szCs w:val="24"/>
        </w:rPr>
        <w:t>cSWALs</w:t>
      </w:r>
      <w:proofErr w:type="spellEnd"/>
      <w:r w:rsidR="00391742" w:rsidRPr="007523EB">
        <w:rPr>
          <w:sz w:val="24"/>
          <w:szCs w:val="24"/>
        </w:rPr>
        <w:t xml:space="preserve"> and </w:t>
      </w:r>
      <w:proofErr w:type="spellStart"/>
      <w:r w:rsidR="00391742" w:rsidRPr="007523EB">
        <w:rPr>
          <w:sz w:val="24"/>
          <w:szCs w:val="24"/>
        </w:rPr>
        <w:t>cP</w:t>
      </w:r>
      <w:r w:rsidR="00734EB0" w:rsidRPr="007523EB">
        <w:rPr>
          <w:sz w:val="24"/>
          <w:szCs w:val="24"/>
        </w:rPr>
        <w:t>BALs</w:t>
      </w:r>
      <w:proofErr w:type="spellEnd"/>
      <w:r w:rsidR="00A9508C" w:rsidRPr="007523EB">
        <w:rPr>
          <w:sz w:val="24"/>
          <w:szCs w:val="24"/>
        </w:rPr>
        <w:t>.</w:t>
      </w:r>
      <w:r w:rsidR="00A9508C" w:rsidRPr="1CA4B720">
        <w:rPr>
          <w:sz w:val="24"/>
          <w:szCs w:val="24"/>
        </w:rPr>
        <w:t xml:space="preserve"> </w:t>
      </w:r>
      <w:r>
        <w:rPr>
          <w:sz w:val="24"/>
          <w:szCs w:val="24"/>
        </w:rPr>
        <w:t xml:space="preserve">The SWAL and PBAL discussed above (in Section 2.2) are selected as the lowest, or most protective </w:t>
      </w:r>
      <w:proofErr w:type="spellStart"/>
      <w:r>
        <w:rPr>
          <w:sz w:val="24"/>
          <w:szCs w:val="24"/>
        </w:rPr>
        <w:t>cSWAL</w:t>
      </w:r>
      <w:proofErr w:type="spellEnd"/>
      <w:r>
        <w:rPr>
          <w:sz w:val="24"/>
          <w:szCs w:val="24"/>
        </w:rPr>
        <w:t xml:space="preserve"> and </w:t>
      </w:r>
      <w:proofErr w:type="spellStart"/>
      <w:r>
        <w:rPr>
          <w:sz w:val="24"/>
          <w:szCs w:val="24"/>
        </w:rPr>
        <w:t>cPBAL</w:t>
      </w:r>
      <w:proofErr w:type="spellEnd"/>
      <w:r>
        <w:rPr>
          <w:sz w:val="24"/>
          <w:szCs w:val="24"/>
        </w:rPr>
        <w:t>.</w:t>
      </w:r>
    </w:p>
    <w:p w14:paraId="73CC3BD3" w14:textId="77777777" w:rsidR="000C4014" w:rsidRPr="00646233" w:rsidRDefault="000C4014" w:rsidP="00E05B96">
      <w:pPr>
        <w:spacing w:after="0" w:line="240" w:lineRule="auto"/>
        <w:rPr>
          <w:sz w:val="24"/>
        </w:rPr>
      </w:pPr>
    </w:p>
    <w:p w14:paraId="67C603CB" w14:textId="46B307AF" w:rsidR="00EC4821" w:rsidRDefault="00EC4821" w:rsidP="006E4074">
      <w:pPr>
        <w:spacing w:after="0" w:line="240" w:lineRule="auto"/>
        <w:rPr>
          <w:sz w:val="24"/>
        </w:rPr>
      </w:pPr>
      <w:r w:rsidRPr="00646233">
        <w:rPr>
          <w:sz w:val="24"/>
        </w:rPr>
        <w:t>Table</w:t>
      </w:r>
      <w:r w:rsidR="00FB4304">
        <w:rPr>
          <w:sz w:val="24"/>
        </w:rPr>
        <w:t>s</w:t>
      </w:r>
      <w:r w:rsidRPr="00646233">
        <w:rPr>
          <w:sz w:val="24"/>
        </w:rPr>
        <w:t xml:space="preserve"> </w:t>
      </w:r>
      <w:r w:rsidR="008C7D9E">
        <w:rPr>
          <w:sz w:val="24"/>
        </w:rPr>
        <w:t>A.</w:t>
      </w:r>
      <w:r w:rsidR="00846B34">
        <w:rPr>
          <w:sz w:val="24"/>
        </w:rPr>
        <w:t>2</w:t>
      </w:r>
      <w:r w:rsidR="00FB4304">
        <w:rPr>
          <w:sz w:val="24"/>
        </w:rPr>
        <w:t>.</w:t>
      </w:r>
      <w:proofErr w:type="gramStart"/>
      <w:r w:rsidR="00FB4304">
        <w:rPr>
          <w:sz w:val="24"/>
        </w:rPr>
        <w:t>a and</w:t>
      </w:r>
      <w:proofErr w:type="gramEnd"/>
      <w:r w:rsidR="00FB4304">
        <w:rPr>
          <w:sz w:val="24"/>
        </w:rPr>
        <w:t xml:space="preserve"> A.2.b</w:t>
      </w:r>
      <w:r w:rsidR="00C92926">
        <w:rPr>
          <w:sz w:val="24"/>
        </w:rPr>
        <w:t xml:space="preserve"> </w:t>
      </w:r>
      <w:r w:rsidRPr="00646233">
        <w:rPr>
          <w:sz w:val="24"/>
        </w:rPr>
        <w:t>list exposure assumptions</w:t>
      </w:r>
      <w:r w:rsidR="00DC01A4">
        <w:rPr>
          <w:sz w:val="24"/>
        </w:rPr>
        <w:t xml:space="preserve"> for the </w:t>
      </w:r>
      <w:r w:rsidR="0076216B">
        <w:rPr>
          <w:sz w:val="24"/>
        </w:rPr>
        <w:t xml:space="preserve">DPH </w:t>
      </w:r>
      <w:proofErr w:type="spellStart"/>
      <w:r w:rsidR="00734EB0">
        <w:rPr>
          <w:sz w:val="24"/>
        </w:rPr>
        <w:t>c</w:t>
      </w:r>
      <w:r w:rsidR="00DC01A4">
        <w:rPr>
          <w:sz w:val="24"/>
        </w:rPr>
        <w:t>SWAL</w:t>
      </w:r>
      <w:r w:rsidR="0076216B">
        <w:rPr>
          <w:sz w:val="24"/>
        </w:rPr>
        <w:t>s</w:t>
      </w:r>
      <w:proofErr w:type="spellEnd"/>
      <w:r w:rsidR="006219EE">
        <w:rPr>
          <w:sz w:val="24"/>
        </w:rPr>
        <w:t xml:space="preserve"> and </w:t>
      </w:r>
      <w:proofErr w:type="spellStart"/>
      <w:r w:rsidR="00734EB0">
        <w:rPr>
          <w:sz w:val="24"/>
        </w:rPr>
        <w:t>c</w:t>
      </w:r>
      <w:r w:rsidR="006219EE">
        <w:rPr>
          <w:sz w:val="24"/>
        </w:rPr>
        <w:t>PBALs</w:t>
      </w:r>
      <w:proofErr w:type="spellEnd"/>
      <w:r w:rsidR="00DC01A4">
        <w:rPr>
          <w:sz w:val="24"/>
        </w:rPr>
        <w:t>; Table</w:t>
      </w:r>
      <w:r w:rsidR="00FB4304">
        <w:rPr>
          <w:sz w:val="24"/>
        </w:rPr>
        <w:t>s</w:t>
      </w:r>
      <w:r w:rsidR="00DC01A4">
        <w:rPr>
          <w:sz w:val="24"/>
        </w:rPr>
        <w:t xml:space="preserve"> A.</w:t>
      </w:r>
      <w:r w:rsidR="00846B34">
        <w:rPr>
          <w:sz w:val="24"/>
        </w:rPr>
        <w:t>3</w:t>
      </w:r>
      <w:r w:rsidR="00FB4304">
        <w:rPr>
          <w:sz w:val="24"/>
        </w:rPr>
        <w:t>.a and A.3.b</w:t>
      </w:r>
      <w:r w:rsidR="00DC01A4">
        <w:rPr>
          <w:sz w:val="24"/>
        </w:rPr>
        <w:t xml:space="preserve"> list exposure assumptions for the MassDEP </w:t>
      </w:r>
      <w:r w:rsidR="006219EE">
        <w:rPr>
          <w:sz w:val="24"/>
        </w:rPr>
        <w:t>action levels</w:t>
      </w:r>
      <w:r w:rsidR="00DC01A4">
        <w:rPr>
          <w:sz w:val="24"/>
        </w:rPr>
        <w:t>.</w:t>
      </w:r>
      <w:r w:rsidR="00AD07A1">
        <w:rPr>
          <w:sz w:val="24"/>
        </w:rPr>
        <w:t xml:space="preserve"> </w:t>
      </w:r>
      <w:r w:rsidR="00007E06">
        <w:rPr>
          <w:sz w:val="24"/>
        </w:rPr>
        <w:t>Discussion of t</w:t>
      </w:r>
      <w:r w:rsidRPr="00646233">
        <w:rPr>
          <w:sz w:val="24"/>
        </w:rPr>
        <w:t>he basis for the exposure assumptions follow</w:t>
      </w:r>
      <w:r w:rsidR="00DC01A4">
        <w:rPr>
          <w:sz w:val="24"/>
        </w:rPr>
        <w:t>s the tables</w:t>
      </w:r>
      <w:r w:rsidRPr="00646233">
        <w:rPr>
          <w:sz w:val="24"/>
        </w:rPr>
        <w:t>.</w:t>
      </w:r>
    </w:p>
    <w:p w14:paraId="3974A72A" w14:textId="77777777" w:rsidR="00BF20CD" w:rsidRDefault="00BF20CD" w:rsidP="00E05B96">
      <w:pPr>
        <w:spacing w:after="0" w:line="240" w:lineRule="auto"/>
      </w:pPr>
    </w:p>
    <w:p w14:paraId="4B3DBA11" w14:textId="77777777" w:rsidR="00CE1E3F" w:rsidRDefault="00CE1E3F" w:rsidP="00E05B96">
      <w:pPr>
        <w:spacing w:after="0" w:line="240" w:lineRule="auto"/>
        <w:sectPr w:rsidR="00CE1E3F" w:rsidSect="000750D0">
          <w:headerReference w:type="default" r:id="rId33"/>
          <w:headerReference w:type="first" r:id="rId34"/>
          <w:footerReference w:type="first" r:id="rId35"/>
          <w:pgSz w:w="12240" w:h="15840"/>
          <w:pgMar w:top="720" w:right="2070" w:bottom="720" w:left="720" w:header="720" w:footer="720" w:gutter="0"/>
          <w:cols w:space="720"/>
          <w:titlePg/>
          <w:docGrid w:linePitch="360"/>
        </w:sectPr>
      </w:pPr>
    </w:p>
    <w:p w14:paraId="26C8C9A6" w14:textId="40E67223" w:rsidR="00B04C2F" w:rsidRPr="00834878" w:rsidRDefault="00B04C2F" w:rsidP="008B2200">
      <w:pPr>
        <w:keepNext/>
        <w:keepLines/>
        <w:spacing w:after="0" w:line="240" w:lineRule="auto"/>
        <w:ind w:left="90"/>
        <w:rPr>
          <w:b/>
          <w:sz w:val="24"/>
          <w:szCs w:val="24"/>
        </w:rPr>
      </w:pPr>
      <w:r w:rsidRPr="00834878">
        <w:rPr>
          <w:b/>
          <w:sz w:val="24"/>
          <w:szCs w:val="24"/>
        </w:rPr>
        <w:lastRenderedPageBreak/>
        <w:t xml:space="preserve">Table </w:t>
      </w:r>
      <w:proofErr w:type="gramStart"/>
      <w:r w:rsidR="00AD07A1">
        <w:rPr>
          <w:b/>
          <w:sz w:val="24"/>
          <w:szCs w:val="24"/>
        </w:rPr>
        <w:t>A.</w:t>
      </w:r>
      <w:r w:rsidR="00846B34">
        <w:rPr>
          <w:b/>
          <w:sz w:val="24"/>
          <w:szCs w:val="24"/>
        </w:rPr>
        <w:t>2</w:t>
      </w:r>
      <w:r w:rsidR="0076216B">
        <w:rPr>
          <w:b/>
          <w:sz w:val="24"/>
          <w:szCs w:val="24"/>
        </w:rPr>
        <w:t>.</w:t>
      </w:r>
      <w:r w:rsidR="00FB4304">
        <w:rPr>
          <w:b/>
          <w:sz w:val="24"/>
          <w:szCs w:val="24"/>
        </w:rPr>
        <w:t>a</w:t>
      </w:r>
      <w:r w:rsidRPr="00834878">
        <w:rPr>
          <w:b/>
          <w:sz w:val="24"/>
          <w:szCs w:val="24"/>
        </w:rPr>
        <w:t xml:space="preserve"> </w:t>
      </w:r>
      <w:r w:rsidR="00007E06">
        <w:rPr>
          <w:b/>
          <w:sz w:val="24"/>
          <w:szCs w:val="24"/>
        </w:rPr>
        <w:t xml:space="preserve"> </w:t>
      </w:r>
      <w:r w:rsidRPr="00834878">
        <w:rPr>
          <w:b/>
          <w:sz w:val="24"/>
          <w:szCs w:val="24"/>
        </w:rPr>
        <w:t>Exposure</w:t>
      </w:r>
      <w:proofErr w:type="gramEnd"/>
      <w:r w:rsidRPr="00834878">
        <w:rPr>
          <w:b/>
          <w:sz w:val="24"/>
          <w:szCs w:val="24"/>
        </w:rPr>
        <w:t xml:space="preserve"> Assumptions for Recreational Exposure to Surface Water</w:t>
      </w:r>
      <w:r w:rsidR="00674E8D">
        <w:rPr>
          <w:b/>
          <w:sz w:val="24"/>
          <w:szCs w:val="24"/>
        </w:rPr>
        <w:t xml:space="preserve"> </w:t>
      </w:r>
      <w:r w:rsidR="00C92926">
        <w:rPr>
          <w:b/>
          <w:sz w:val="24"/>
          <w:szCs w:val="24"/>
        </w:rPr>
        <w:t>–</w:t>
      </w:r>
      <w:r w:rsidR="00674E8D">
        <w:rPr>
          <w:b/>
          <w:sz w:val="24"/>
          <w:szCs w:val="24"/>
        </w:rPr>
        <w:t xml:space="preserve"> </w:t>
      </w:r>
      <w:r w:rsidR="00DC01A4">
        <w:rPr>
          <w:b/>
          <w:sz w:val="24"/>
          <w:szCs w:val="24"/>
        </w:rPr>
        <w:t xml:space="preserve">DPH </w:t>
      </w:r>
      <w:proofErr w:type="spellStart"/>
      <w:r w:rsidR="002A6CC4">
        <w:rPr>
          <w:b/>
          <w:sz w:val="24"/>
          <w:szCs w:val="24"/>
        </w:rPr>
        <w:t>c</w:t>
      </w:r>
      <w:r w:rsidR="00DC01A4">
        <w:rPr>
          <w:b/>
          <w:sz w:val="24"/>
          <w:szCs w:val="24"/>
        </w:rPr>
        <w:t>SWAL</w:t>
      </w:r>
      <w:r w:rsidR="002A6CC4">
        <w:rPr>
          <w:b/>
          <w:sz w:val="24"/>
          <w:szCs w:val="24"/>
        </w:rPr>
        <w:t>s</w:t>
      </w:r>
      <w:proofErr w:type="spellEnd"/>
    </w:p>
    <w:tbl>
      <w:tblPr>
        <w:tblW w:w="13945" w:type="dxa"/>
        <w:tblLook w:val="04A0" w:firstRow="1" w:lastRow="0" w:firstColumn="1" w:lastColumn="0" w:noHBand="0" w:noVBand="1"/>
      </w:tblPr>
      <w:tblGrid>
        <w:gridCol w:w="3055"/>
        <w:gridCol w:w="271"/>
        <w:gridCol w:w="719"/>
        <w:gridCol w:w="720"/>
        <w:gridCol w:w="720"/>
        <w:gridCol w:w="900"/>
        <w:gridCol w:w="900"/>
        <w:gridCol w:w="810"/>
        <w:gridCol w:w="1012"/>
        <w:gridCol w:w="4838"/>
      </w:tblGrid>
      <w:tr w:rsidR="00F427E7" w14:paraId="6EEA40E3" w14:textId="77777777" w:rsidTr="00F427E7">
        <w:trPr>
          <w:trHeight w:val="290"/>
        </w:trPr>
        <w:tc>
          <w:tcPr>
            <w:tcW w:w="3326" w:type="dxa"/>
            <w:gridSpan w:val="2"/>
            <w:vMerge w:val="restart"/>
            <w:tcBorders>
              <w:top w:val="single" w:sz="4" w:space="0" w:color="auto"/>
              <w:left w:val="single" w:sz="4" w:space="0" w:color="auto"/>
              <w:bottom w:val="single" w:sz="4" w:space="0" w:color="auto"/>
              <w:right w:val="nil"/>
            </w:tcBorders>
            <w:shd w:val="clear" w:color="auto" w:fill="A6A6A6" w:themeFill="background1" w:themeFillShade="A6"/>
            <w:noWrap/>
            <w:vAlign w:val="bottom"/>
            <w:hideMark/>
          </w:tcPr>
          <w:p w14:paraId="3B2D9DE8" w14:textId="77777777" w:rsidR="00F427E7" w:rsidRDefault="00F427E7">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EXPOSURE PARAMETERS</w:t>
            </w:r>
          </w:p>
        </w:tc>
        <w:tc>
          <w:tcPr>
            <w:tcW w:w="5781" w:type="dxa"/>
            <w:gridSpan w:val="7"/>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bottom"/>
            <w:hideMark/>
          </w:tcPr>
          <w:p w14:paraId="600F900A" w14:textId="77777777" w:rsidR="00F427E7" w:rsidRDefault="00F427E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AGE (YEARS)</w:t>
            </w:r>
          </w:p>
        </w:tc>
        <w:tc>
          <w:tcPr>
            <w:tcW w:w="4838" w:type="dxa"/>
            <w:vMerge w:val="restart"/>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bottom"/>
            <w:hideMark/>
          </w:tcPr>
          <w:p w14:paraId="5015C9C4" w14:textId="77777777" w:rsidR="00F427E7" w:rsidRDefault="00F427E7">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BASIS</w:t>
            </w:r>
          </w:p>
        </w:tc>
      </w:tr>
      <w:tr w:rsidR="00F427E7" w14:paraId="50A59B9C" w14:textId="77777777" w:rsidTr="00F427E7">
        <w:trPr>
          <w:trHeight w:val="300"/>
        </w:trPr>
        <w:tc>
          <w:tcPr>
            <w:tcW w:w="0" w:type="auto"/>
            <w:gridSpan w:val="2"/>
            <w:vMerge/>
            <w:tcBorders>
              <w:top w:val="single" w:sz="4" w:space="0" w:color="auto"/>
              <w:left w:val="single" w:sz="4" w:space="0" w:color="auto"/>
              <w:bottom w:val="single" w:sz="4" w:space="0" w:color="auto"/>
              <w:right w:val="nil"/>
            </w:tcBorders>
            <w:vAlign w:val="center"/>
            <w:hideMark/>
          </w:tcPr>
          <w:p w14:paraId="2BC838C1" w14:textId="77777777" w:rsidR="00F427E7" w:rsidRDefault="00F427E7">
            <w:pPr>
              <w:spacing w:after="0"/>
              <w:rPr>
                <w:rFonts w:ascii="Calibri" w:eastAsia="Times New Roman" w:hAnsi="Calibri" w:cs="Calibri"/>
                <w:b/>
                <w:bCs/>
                <w:color w:val="000000"/>
                <w:sz w:val="24"/>
                <w:szCs w:val="24"/>
              </w:rPr>
            </w:pPr>
          </w:p>
        </w:tc>
        <w:tc>
          <w:tcPr>
            <w:tcW w:w="719" w:type="dxa"/>
            <w:tcBorders>
              <w:top w:val="nil"/>
              <w:left w:val="single" w:sz="4" w:space="0" w:color="auto"/>
              <w:bottom w:val="single" w:sz="4" w:space="0" w:color="auto"/>
              <w:right w:val="nil"/>
            </w:tcBorders>
            <w:shd w:val="clear" w:color="auto" w:fill="A6A6A6" w:themeFill="background1" w:themeFillShade="A6"/>
            <w:noWrap/>
            <w:vAlign w:val="bottom"/>
            <w:hideMark/>
          </w:tcPr>
          <w:p w14:paraId="3B361A5B" w14:textId="77777777" w:rsidR="00F427E7" w:rsidRDefault="00F427E7">
            <w:pPr>
              <w:spacing w:after="0" w:line="240" w:lineRule="auto"/>
              <w:rPr>
                <w:rFonts w:ascii="Calibri" w:eastAsia="Times New Roman" w:hAnsi="Calibri" w:cs="Calibri"/>
                <w:b/>
                <w:bCs/>
                <w:color w:val="000000"/>
              </w:rPr>
            </w:pPr>
            <w:r>
              <w:rPr>
                <w:rFonts w:ascii="Calibri" w:eastAsia="Times New Roman" w:hAnsi="Calibri" w:cs="Calibri"/>
                <w:b/>
                <w:bCs/>
                <w:color w:val="000000"/>
              </w:rPr>
              <w:t>birth to&lt;1</w:t>
            </w:r>
          </w:p>
        </w:tc>
        <w:tc>
          <w:tcPr>
            <w:tcW w:w="720" w:type="dxa"/>
            <w:tcBorders>
              <w:top w:val="nil"/>
              <w:left w:val="nil"/>
              <w:bottom w:val="single" w:sz="4" w:space="0" w:color="auto"/>
              <w:right w:val="nil"/>
            </w:tcBorders>
            <w:shd w:val="clear" w:color="auto" w:fill="A6A6A6" w:themeFill="background1" w:themeFillShade="A6"/>
            <w:noWrap/>
            <w:vAlign w:val="bottom"/>
            <w:hideMark/>
          </w:tcPr>
          <w:p w14:paraId="259DF186" w14:textId="77777777" w:rsidR="00F427E7" w:rsidRDefault="00F427E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1 </w:t>
            </w:r>
          </w:p>
          <w:p w14:paraId="37475AB3" w14:textId="77777777" w:rsidR="00F427E7" w:rsidRDefault="00F427E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&lt;2</w:t>
            </w:r>
          </w:p>
        </w:tc>
        <w:tc>
          <w:tcPr>
            <w:tcW w:w="720" w:type="dxa"/>
            <w:tcBorders>
              <w:top w:val="nil"/>
              <w:left w:val="nil"/>
              <w:bottom w:val="single" w:sz="4" w:space="0" w:color="auto"/>
              <w:right w:val="nil"/>
            </w:tcBorders>
            <w:shd w:val="clear" w:color="auto" w:fill="A6A6A6" w:themeFill="background1" w:themeFillShade="A6"/>
            <w:noWrap/>
            <w:vAlign w:val="bottom"/>
            <w:hideMark/>
          </w:tcPr>
          <w:p w14:paraId="476F67A2" w14:textId="77777777" w:rsidR="00F427E7" w:rsidRDefault="00F427E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2 </w:t>
            </w:r>
          </w:p>
          <w:p w14:paraId="17E78D31" w14:textId="77777777" w:rsidR="00F427E7" w:rsidRDefault="00F427E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&lt;6</w:t>
            </w:r>
          </w:p>
        </w:tc>
        <w:tc>
          <w:tcPr>
            <w:tcW w:w="900" w:type="dxa"/>
            <w:tcBorders>
              <w:top w:val="nil"/>
              <w:left w:val="nil"/>
              <w:bottom w:val="single" w:sz="4" w:space="0" w:color="auto"/>
              <w:right w:val="nil"/>
            </w:tcBorders>
            <w:shd w:val="clear" w:color="auto" w:fill="A6A6A6" w:themeFill="background1" w:themeFillShade="A6"/>
            <w:noWrap/>
            <w:vAlign w:val="bottom"/>
            <w:hideMark/>
          </w:tcPr>
          <w:p w14:paraId="29205463" w14:textId="77777777" w:rsidR="00F427E7" w:rsidRDefault="00F427E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6 </w:t>
            </w:r>
          </w:p>
          <w:p w14:paraId="58522DA9" w14:textId="4B331BC0" w:rsidR="00F427E7" w:rsidRDefault="00F427E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&lt;11</w:t>
            </w:r>
          </w:p>
        </w:tc>
        <w:tc>
          <w:tcPr>
            <w:tcW w:w="900" w:type="dxa"/>
            <w:tcBorders>
              <w:top w:val="nil"/>
              <w:left w:val="nil"/>
              <w:bottom w:val="single" w:sz="4" w:space="0" w:color="auto"/>
              <w:right w:val="nil"/>
            </w:tcBorders>
            <w:shd w:val="clear" w:color="auto" w:fill="A6A6A6" w:themeFill="background1" w:themeFillShade="A6"/>
            <w:noWrap/>
            <w:vAlign w:val="bottom"/>
            <w:hideMark/>
          </w:tcPr>
          <w:p w14:paraId="63AE821C" w14:textId="77777777" w:rsidR="00F427E7" w:rsidRDefault="00F427E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11 </w:t>
            </w:r>
          </w:p>
          <w:p w14:paraId="38C26495" w14:textId="77777777" w:rsidR="00F427E7" w:rsidRDefault="00F427E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&lt;16</w:t>
            </w:r>
          </w:p>
        </w:tc>
        <w:tc>
          <w:tcPr>
            <w:tcW w:w="810" w:type="dxa"/>
            <w:tcBorders>
              <w:top w:val="nil"/>
              <w:left w:val="nil"/>
              <w:bottom w:val="single" w:sz="4" w:space="0" w:color="auto"/>
              <w:right w:val="nil"/>
            </w:tcBorders>
            <w:shd w:val="clear" w:color="auto" w:fill="A6A6A6" w:themeFill="background1" w:themeFillShade="A6"/>
            <w:noWrap/>
            <w:vAlign w:val="bottom"/>
            <w:hideMark/>
          </w:tcPr>
          <w:p w14:paraId="14997E00" w14:textId="77777777" w:rsidR="00F427E7" w:rsidRDefault="00F427E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16 </w:t>
            </w:r>
          </w:p>
          <w:p w14:paraId="5F837F9E" w14:textId="77777777" w:rsidR="00F427E7" w:rsidRDefault="00F427E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&lt;21</w:t>
            </w:r>
          </w:p>
        </w:tc>
        <w:tc>
          <w:tcPr>
            <w:tcW w:w="1012" w:type="dxa"/>
            <w:tcBorders>
              <w:top w:val="nil"/>
              <w:left w:val="nil"/>
              <w:bottom w:val="single" w:sz="4" w:space="0" w:color="auto"/>
              <w:right w:val="single" w:sz="4" w:space="0" w:color="auto"/>
            </w:tcBorders>
            <w:shd w:val="clear" w:color="auto" w:fill="A6A6A6" w:themeFill="background1" w:themeFillShade="A6"/>
            <w:vAlign w:val="bottom"/>
            <w:hideMark/>
          </w:tcPr>
          <w:p w14:paraId="52C3C463" w14:textId="10215B00" w:rsidR="00F427E7" w:rsidRDefault="00077BB5">
            <w:pPr>
              <w:spacing w:after="0" w:line="240" w:lineRule="auto"/>
              <w:jc w:val="center"/>
              <w:rPr>
                <w:rFonts w:ascii="Calibri" w:eastAsia="Times New Roman" w:hAnsi="Calibri" w:cs="Calibri"/>
                <w:b/>
                <w:bCs/>
                <w:color w:val="000000"/>
              </w:rPr>
            </w:pPr>
            <w:proofErr w:type="spellStart"/>
            <w:r>
              <w:rPr>
                <w:rFonts w:ascii="Calibri" w:eastAsia="Times New Roman" w:hAnsi="Calibri" w:cs="Calibri"/>
                <w:b/>
                <w:bCs/>
                <w:color w:val="000000"/>
              </w:rPr>
              <w:t>P</w:t>
            </w:r>
            <w:r w:rsidR="00F427E7">
              <w:rPr>
                <w:rFonts w:ascii="Calibri" w:eastAsia="Times New Roman" w:hAnsi="Calibri" w:cs="Calibri"/>
                <w:b/>
                <w:bCs/>
                <w:color w:val="000000"/>
              </w:rPr>
              <w:t>CBA</w:t>
            </w:r>
            <w:r w:rsidR="00F427E7">
              <w:rPr>
                <w:rFonts w:ascii="Calibri" w:eastAsia="Times New Roman" w:hAnsi="Calibri" w:cs="Calibri"/>
                <w:b/>
                <w:bCs/>
                <w:i/>
                <w:iCs/>
                <w:color w:val="000000"/>
                <w:vertAlign w:val="superscript"/>
              </w:rPr>
              <w:t>a</w:t>
            </w:r>
            <w:proofErr w:type="spellEnd"/>
          </w:p>
        </w:tc>
        <w:tc>
          <w:tcPr>
            <w:tcW w:w="0" w:type="auto"/>
            <w:vMerge/>
            <w:tcBorders>
              <w:top w:val="single" w:sz="4" w:space="0" w:color="auto"/>
              <w:left w:val="single" w:sz="4" w:space="0" w:color="auto"/>
              <w:bottom w:val="single" w:sz="4" w:space="0" w:color="auto"/>
              <w:right w:val="single" w:sz="4" w:space="0" w:color="000000"/>
            </w:tcBorders>
            <w:vAlign w:val="center"/>
            <w:hideMark/>
          </w:tcPr>
          <w:p w14:paraId="3B51EAB3" w14:textId="77777777" w:rsidR="00F427E7" w:rsidRDefault="00F427E7">
            <w:pPr>
              <w:spacing w:after="0"/>
              <w:rPr>
                <w:rFonts w:ascii="Calibri" w:eastAsia="Times New Roman" w:hAnsi="Calibri" w:cs="Calibri"/>
                <w:b/>
                <w:bCs/>
                <w:color w:val="000000"/>
                <w:sz w:val="24"/>
                <w:szCs w:val="24"/>
              </w:rPr>
            </w:pPr>
          </w:p>
        </w:tc>
      </w:tr>
      <w:tr w:rsidR="00497206" w14:paraId="60D86350" w14:textId="77777777" w:rsidTr="009500B2">
        <w:trPr>
          <w:trHeight w:val="490"/>
        </w:trPr>
        <w:tc>
          <w:tcPr>
            <w:tcW w:w="3326" w:type="dxa"/>
            <w:gridSpan w:val="2"/>
            <w:tcBorders>
              <w:top w:val="single" w:sz="4" w:space="0" w:color="auto"/>
              <w:left w:val="single" w:sz="4" w:space="0" w:color="auto"/>
              <w:bottom w:val="nil"/>
              <w:right w:val="single" w:sz="4" w:space="0" w:color="000000"/>
            </w:tcBorders>
            <w:noWrap/>
            <w:vAlign w:val="center"/>
            <w:hideMark/>
          </w:tcPr>
          <w:p w14:paraId="7C4F8D8E" w14:textId="77777777" w:rsidR="00497206" w:rsidRDefault="00497206">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Event Duration, </w:t>
            </w:r>
            <w:proofErr w:type="spellStart"/>
            <w:r>
              <w:rPr>
                <w:rFonts w:ascii="Calibri" w:eastAsia="Times New Roman" w:hAnsi="Calibri" w:cs="Calibri"/>
                <w:b/>
                <w:bCs/>
                <w:color w:val="000000"/>
              </w:rPr>
              <w:t>t</w:t>
            </w:r>
            <w:r>
              <w:rPr>
                <w:rFonts w:ascii="Calibri" w:eastAsia="Times New Roman" w:hAnsi="Calibri" w:cs="Calibri"/>
                <w:b/>
                <w:bCs/>
                <w:color w:val="000000"/>
                <w:vertAlign w:val="subscript"/>
              </w:rPr>
              <w:t>event</w:t>
            </w:r>
            <w:proofErr w:type="spellEnd"/>
            <w:r>
              <w:rPr>
                <w:rFonts w:ascii="Calibri" w:eastAsia="Times New Roman" w:hAnsi="Calibri" w:cs="Calibri"/>
                <w:b/>
                <w:bCs/>
                <w:color w:val="000000"/>
              </w:rPr>
              <w:t xml:space="preserve"> (</w:t>
            </w:r>
            <w:proofErr w:type="spellStart"/>
            <w:r>
              <w:rPr>
                <w:rFonts w:ascii="Calibri" w:eastAsia="Times New Roman" w:hAnsi="Calibri" w:cs="Calibri"/>
                <w:b/>
                <w:bCs/>
                <w:color w:val="000000"/>
              </w:rPr>
              <w:t>hrs</w:t>
            </w:r>
            <w:proofErr w:type="spellEnd"/>
            <w:r>
              <w:rPr>
                <w:rFonts w:ascii="Calibri" w:eastAsia="Times New Roman" w:hAnsi="Calibri" w:cs="Calibri"/>
                <w:b/>
                <w:bCs/>
                <w:color w:val="000000"/>
              </w:rPr>
              <w:t>/event)</w:t>
            </w:r>
          </w:p>
        </w:tc>
        <w:tc>
          <w:tcPr>
            <w:tcW w:w="719" w:type="dxa"/>
            <w:noWrap/>
            <w:vAlign w:val="center"/>
            <w:hideMark/>
          </w:tcPr>
          <w:p w14:paraId="12F67148" w14:textId="77777777" w:rsidR="00497206" w:rsidRDefault="00497206">
            <w:pPr>
              <w:spacing w:after="0" w:line="240" w:lineRule="auto"/>
              <w:jc w:val="center"/>
              <w:rPr>
                <w:rFonts w:eastAsia="Times New Roman" w:cstheme="minorHAnsi"/>
                <w:color w:val="000000"/>
              </w:rPr>
            </w:pPr>
            <w:r>
              <w:rPr>
                <w:rFonts w:eastAsia="Times New Roman" w:cstheme="minorHAnsi"/>
                <w:color w:val="000000"/>
              </w:rPr>
              <w:t>1</w:t>
            </w:r>
          </w:p>
        </w:tc>
        <w:tc>
          <w:tcPr>
            <w:tcW w:w="720" w:type="dxa"/>
            <w:noWrap/>
            <w:vAlign w:val="center"/>
            <w:hideMark/>
          </w:tcPr>
          <w:p w14:paraId="136491D4" w14:textId="77777777" w:rsidR="00497206" w:rsidRDefault="00497206">
            <w:pPr>
              <w:spacing w:after="0" w:line="240" w:lineRule="auto"/>
              <w:jc w:val="center"/>
              <w:rPr>
                <w:rFonts w:eastAsia="Times New Roman" w:cstheme="minorHAnsi"/>
                <w:color w:val="000000"/>
              </w:rPr>
            </w:pPr>
            <w:r>
              <w:rPr>
                <w:rFonts w:eastAsia="Times New Roman" w:cstheme="minorHAnsi"/>
                <w:color w:val="000000"/>
              </w:rPr>
              <w:t>1</w:t>
            </w:r>
          </w:p>
        </w:tc>
        <w:tc>
          <w:tcPr>
            <w:tcW w:w="720" w:type="dxa"/>
            <w:noWrap/>
            <w:vAlign w:val="center"/>
            <w:hideMark/>
          </w:tcPr>
          <w:p w14:paraId="143B2E1C" w14:textId="77777777" w:rsidR="00497206" w:rsidRDefault="00497206">
            <w:pPr>
              <w:spacing w:after="0" w:line="240" w:lineRule="auto"/>
              <w:jc w:val="center"/>
              <w:rPr>
                <w:rFonts w:eastAsia="Times New Roman" w:cstheme="minorHAnsi"/>
                <w:color w:val="000000"/>
              </w:rPr>
            </w:pPr>
            <w:r>
              <w:rPr>
                <w:rFonts w:eastAsia="Times New Roman" w:cstheme="minorHAnsi"/>
                <w:color w:val="000000"/>
              </w:rPr>
              <w:t>1</w:t>
            </w:r>
          </w:p>
        </w:tc>
        <w:tc>
          <w:tcPr>
            <w:tcW w:w="900" w:type="dxa"/>
            <w:noWrap/>
            <w:vAlign w:val="center"/>
            <w:hideMark/>
          </w:tcPr>
          <w:p w14:paraId="3D64B593" w14:textId="77777777" w:rsidR="00497206" w:rsidRDefault="00497206">
            <w:pPr>
              <w:spacing w:after="0" w:line="240" w:lineRule="auto"/>
              <w:jc w:val="center"/>
              <w:rPr>
                <w:rFonts w:eastAsia="Times New Roman" w:cstheme="minorHAnsi"/>
                <w:color w:val="000000"/>
              </w:rPr>
            </w:pPr>
            <w:r>
              <w:rPr>
                <w:rFonts w:eastAsia="Times New Roman" w:cstheme="minorHAnsi"/>
                <w:color w:val="000000"/>
              </w:rPr>
              <w:t>1</w:t>
            </w:r>
          </w:p>
        </w:tc>
        <w:tc>
          <w:tcPr>
            <w:tcW w:w="900" w:type="dxa"/>
            <w:noWrap/>
            <w:vAlign w:val="center"/>
            <w:hideMark/>
          </w:tcPr>
          <w:p w14:paraId="5B96943A" w14:textId="77777777" w:rsidR="00497206" w:rsidRDefault="00497206">
            <w:pPr>
              <w:spacing w:after="0" w:line="240" w:lineRule="auto"/>
              <w:jc w:val="center"/>
              <w:rPr>
                <w:rFonts w:eastAsia="Times New Roman" w:cstheme="minorHAnsi"/>
                <w:color w:val="000000"/>
              </w:rPr>
            </w:pPr>
            <w:r>
              <w:rPr>
                <w:rFonts w:eastAsia="Times New Roman" w:cstheme="minorHAnsi"/>
                <w:color w:val="000000"/>
              </w:rPr>
              <w:t>1</w:t>
            </w:r>
          </w:p>
        </w:tc>
        <w:tc>
          <w:tcPr>
            <w:tcW w:w="810" w:type="dxa"/>
            <w:noWrap/>
            <w:vAlign w:val="center"/>
            <w:hideMark/>
          </w:tcPr>
          <w:p w14:paraId="3AC16E61" w14:textId="77777777" w:rsidR="00497206" w:rsidRDefault="00497206">
            <w:pPr>
              <w:spacing w:after="0" w:line="240" w:lineRule="auto"/>
              <w:jc w:val="center"/>
              <w:rPr>
                <w:rFonts w:eastAsia="Times New Roman" w:cstheme="minorHAnsi"/>
                <w:color w:val="000000"/>
              </w:rPr>
            </w:pPr>
            <w:r>
              <w:rPr>
                <w:rFonts w:eastAsia="Times New Roman" w:cstheme="minorHAnsi"/>
                <w:color w:val="000000"/>
              </w:rPr>
              <w:t>1</w:t>
            </w:r>
          </w:p>
        </w:tc>
        <w:tc>
          <w:tcPr>
            <w:tcW w:w="1012" w:type="dxa"/>
            <w:noWrap/>
            <w:vAlign w:val="center"/>
            <w:hideMark/>
          </w:tcPr>
          <w:p w14:paraId="29B45C00" w14:textId="77777777" w:rsidR="00497206" w:rsidRDefault="00497206">
            <w:pPr>
              <w:spacing w:after="0" w:line="240" w:lineRule="auto"/>
              <w:jc w:val="center"/>
              <w:rPr>
                <w:rFonts w:eastAsia="Times New Roman" w:cstheme="minorHAnsi"/>
                <w:color w:val="000000"/>
              </w:rPr>
            </w:pPr>
            <w:r>
              <w:rPr>
                <w:rFonts w:eastAsia="Times New Roman" w:cstheme="minorHAnsi"/>
                <w:color w:val="000000"/>
              </w:rPr>
              <w:t>1</w:t>
            </w:r>
          </w:p>
        </w:tc>
        <w:tc>
          <w:tcPr>
            <w:tcW w:w="4838" w:type="dxa"/>
            <w:tcBorders>
              <w:top w:val="single" w:sz="4" w:space="0" w:color="auto"/>
              <w:left w:val="single" w:sz="4" w:space="0" w:color="auto"/>
              <w:right w:val="single" w:sz="4" w:space="0" w:color="auto"/>
            </w:tcBorders>
            <w:vAlign w:val="center"/>
            <w:hideMark/>
          </w:tcPr>
          <w:p w14:paraId="073A40E6" w14:textId="052A2A43" w:rsidR="00497206" w:rsidRDefault="00497206">
            <w:pPr>
              <w:spacing w:after="0" w:line="240" w:lineRule="auto"/>
              <w:rPr>
                <w:rFonts w:ascii="Calibri" w:eastAsia="Times New Roman" w:hAnsi="Calibri" w:cs="Calibri"/>
                <w:color w:val="000000"/>
              </w:rPr>
            </w:pPr>
            <w:r>
              <w:rPr>
                <w:rFonts w:ascii="Calibri" w:eastAsia="Times New Roman" w:hAnsi="Calibri" w:cs="Calibri"/>
                <w:color w:val="000000"/>
              </w:rPr>
              <w:t>Professional judgement</w:t>
            </w:r>
          </w:p>
        </w:tc>
      </w:tr>
      <w:tr w:rsidR="00497206" w14:paraId="705D6360" w14:textId="77777777" w:rsidTr="001247C7">
        <w:trPr>
          <w:trHeight w:val="490"/>
        </w:trPr>
        <w:tc>
          <w:tcPr>
            <w:tcW w:w="3326" w:type="dxa"/>
            <w:gridSpan w:val="2"/>
            <w:tcBorders>
              <w:top w:val="nil"/>
              <w:left w:val="single" w:sz="4" w:space="0" w:color="auto"/>
              <w:bottom w:val="nil"/>
              <w:right w:val="single" w:sz="4" w:space="0" w:color="000000"/>
            </w:tcBorders>
            <w:shd w:val="clear" w:color="auto" w:fill="D9D9D9" w:themeFill="background1" w:themeFillShade="D9"/>
            <w:noWrap/>
            <w:vAlign w:val="center"/>
            <w:hideMark/>
          </w:tcPr>
          <w:p w14:paraId="6866D0E6" w14:textId="77777777" w:rsidR="00497206" w:rsidRDefault="00497206">
            <w:pPr>
              <w:spacing w:after="0" w:line="240" w:lineRule="auto"/>
              <w:rPr>
                <w:rFonts w:ascii="Calibri" w:eastAsia="Times New Roman" w:hAnsi="Calibri" w:cs="Calibri"/>
                <w:b/>
                <w:bCs/>
              </w:rPr>
            </w:pPr>
            <w:r>
              <w:rPr>
                <w:rFonts w:ascii="Calibri" w:eastAsia="Times New Roman" w:hAnsi="Calibri" w:cs="Calibri"/>
                <w:b/>
                <w:bCs/>
              </w:rPr>
              <w:t>Event Frequency, EV (events/day)</w:t>
            </w:r>
          </w:p>
        </w:tc>
        <w:tc>
          <w:tcPr>
            <w:tcW w:w="719" w:type="dxa"/>
            <w:shd w:val="clear" w:color="auto" w:fill="D9D9D9" w:themeFill="background1" w:themeFillShade="D9"/>
            <w:noWrap/>
            <w:vAlign w:val="center"/>
            <w:hideMark/>
          </w:tcPr>
          <w:p w14:paraId="4B68E36B" w14:textId="77777777" w:rsidR="00497206" w:rsidRDefault="00497206">
            <w:pPr>
              <w:spacing w:after="0" w:line="240" w:lineRule="auto"/>
              <w:jc w:val="center"/>
              <w:rPr>
                <w:rFonts w:eastAsia="Times New Roman" w:cstheme="minorHAnsi"/>
              </w:rPr>
            </w:pPr>
            <w:r>
              <w:rPr>
                <w:rFonts w:eastAsia="Times New Roman" w:cstheme="minorHAnsi"/>
              </w:rPr>
              <w:t>1</w:t>
            </w:r>
          </w:p>
        </w:tc>
        <w:tc>
          <w:tcPr>
            <w:tcW w:w="720" w:type="dxa"/>
            <w:shd w:val="clear" w:color="auto" w:fill="D9D9D9" w:themeFill="background1" w:themeFillShade="D9"/>
            <w:noWrap/>
            <w:vAlign w:val="center"/>
            <w:hideMark/>
          </w:tcPr>
          <w:p w14:paraId="11E94DE0" w14:textId="07167AFB" w:rsidR="00497206" w:rsidRDefault="00497206">
            <w:pPr>
              <w:spacing w:after="0" w:line="240" w:lineRule="auto"/>
              <w:jc w:val="center"/>
              <w:rPr>
                <w:rFonts w:eastAsia="Times New Roman" w:cstheme="minorHAnsi"/>
              </w:rPr>
            </w:pPr>
            <w:r>
              <w:rPr>
                <w:rFonts w:eastAsia="Times New Roman" w:cstheme="minorHAnsi"/>
              </w:rPr>
              <w:t>1</w:t>
            </w:r>
          </w:p>
        </w:tc>
        <w:tc>
          <w:tcPr>
            <w:tcW w:w="720" w:type="dxa"/>
            <w:shd w:val="clear" w:color="auto" w:fill="D9D9D9" w:themeFill="background1" w:themeFillShade="D9"/>
            <w:noWrap/>
            <w:vAlign w:val="center"/>
            <w:hideMark/>
          </w:tcPr>
          <w:p w14:paraId="3E5D4139" w14:textId="25CAFF20" w:rsidR="00497206" w:rsidRDefault="00497206">
            <w:pPr>
              <w:spacing w:after="0" w:line="240" w:lineRule="auto"/>
              <w:jc w:val="center"/>
              <w:rPr>
                <w:rFonts w:eastAsia="Times New Roman" w:cstheme="minorHAnsi"/>
              </w:rPr>
            </w:pPr>
            <w:r>
              <w:rPr>
                <w:rFonts w:eastAsia="Times New Roman" w:cstheme="minorHAnsi"/>
              </w:rPr>
              <w:t>3</w:t>
            </w:r>
          </w:p>
        </w:tc>
        <w:tc>
          <w:tcPr>
            <w:tcW w:w="900" w:type="dxa"/>
            <w:shd w:val="clear" w:color="auto" w:fill="D9D9D9" w:themeFill="background1" w:themeFillShade="D9"/>
            <w:noWrap/>
            <w:vAlign w:val="center"/>
            <w:hideMark/>
          </w:tcPr>
          <w:p w14:paraId="1A9C000D" w14:textId="72439441" w:rsidR="00497206" w:rsidRDefault="00497206">
            <w:pPr>
              <w:spacing w:after="0" w:line="240" w:lineRule="auto"/>
              <w:jc w:val="center"/>
              <w:rPr>
                <w:rFonts w:eastAsia="Times New Roman" w:cstheme="minorHAnsi"/>
              </w:rPr>
            </w:pPr>
            <w:r>
              <w:rPr>
                <w:rFonts w:eastAsia="Times New Roman" w:cstheme="minorHAnsi"/>
              </w:rPr>
              <w:t>3</w:t>
            </w:r>
          </w:p>
        </w:tc>
        <w:tc>
          <w:tcPr>
            <w:tcW w:w="900" w:type="dxa"/>
            <w:shd w:val="clear" w:color="auto" w:fill="D9D9D9" w:themeFill="background1" w:themeFillShade="D9"/>
            <w:noWrap/>
            <w:vAlign w:val="center"/>
            <w:hideMark/>
          </w:tcPr>
          <w:p w14:paraId="6DBAAC1E" w14:textId="579C9A05" w:rsidR="00497206" w:rsidRDefault="00497206">
            <w:pPr>
              <w:spacing w:after="0" w:line="240" w:lineRule="auto"/>
              <w:jc w:val="center"/>
              <w:rPr>
                <w:rFonts w:eastAsia="Times New Roman" w:cstheme="minorHAnsi"/>
              </w:rPr>
            </w:pPr>
            <w:r>
              <w:rPr>
                <w:rFonts w:eastAsia="Times New Roman" w:cstheme="minorHAnsi"/>
              </w:rPr>
              <w:t>3</w:t>
            </w:r>
          </w:p>
        </w:tc>
        <w:tc>
          <w:tcPr>
            <w:tcW w:w="810" w:type="dxa"/>
            <w:shd w:val="clear" w:color="auto" w:fill="D9D9D9" w:themeFill="background1" w:themeFillShade="D9"/>
            <w:noWrap/>
            <w:vAlign w:val="center"/>
            <w:hideMark/>
          </w:tcPr>
          <w:p w14:paraId="2D69D9FC" w14:textId="42BE0ED5" w:rsidR="00497206" w:rsidRDefault="00497206">
            <w:pPr>
              <w:spacing w:after="0" w:line="240" w:lineRule="auto"/>
              <w:jc w:val="center"/>
              <w:rPr>
                <w:rFonts w:eastAsia="Times New Roman" w:cstheme="minorHAnsi"/>
              </w:rPr>
            </w:pPr>
            <w:r>
              <w:rPr>
                <w:rFonts w:eastAsia="Times New Roman" w:cstheme="minorHAnsi"/>
              </w:rPr>
              <w:t>3</w:t>
            </w:r>
          </w:p>
        </w:tc>
        <w:tc>
          <w:tcPr>
            <w:tcW w:w="1012" w:type="dxa"/>
            <w:tcBorders>
              <w:top w:val="nil"/>
              <w:left w:val="nil"/>
              <w:bottom w:val="nil"/>
              <w:right w:val="single" w:sz="4" w:space="0" w:color="auto"/>
            </w:tcBorders>
            <w:shd w:val="clear" w:color="auto" w:fill="D9D9D9" w:themeFill="background1" w:themeFillShade="D9"/>
            <w:noWrap/>
            <w:vAlign w:val="center"/>
            <w:hideMark/>
          </w:tcPr>
          <w:p w14:paraId="50DC5F5A" w14:textId="5788D2FC" w:rsidR="00497206" w:rsidRDefault="00497206">
            <w:pPr>
              <w:spacing w:after="0" w:line="240" w:lineRule="auto"/>
              <w:jc w:val="center"/>
              <w:rPr>
                <w:rFonts w:eastAsia="Times New Roman" w:cstheme="minorHAnsi"/>
              </w:rPr>
            </w:pPr>
            <w:r>
              <w:rPr>
                <w:rFonts w:eastAsia="Times New Roman" w:cstheme="minorHAnsi"/>
              </w:rPr>
              <w:t>3</w:t>
            </w:r>
          </w:p>
        </w:tc>
        <w:tc>
          <w:tcPr>
            <w:tcW w:w="0" w:type="auto"/>
            <w:tcBorders>
              <w:left w:val="single" w:sz="4" w:space="0" w:color="auto"/>
              <w:bottom w:val="nil"/>
              <w:right w:val="single" w:sz="4" w:space="0" w:color="auto"/>
            </w:tcBorders>
            <w:shd w:val="clear" w:color="auto" w:fill="D9D9D9" w:themeFill="background1" w:themeFillShade="D9"/>
            <w:vAlign w:val="center"/>
            <w:hideMark/>
          </w:tcPr>
          <w:p w14:paraId="344FB77F" w14:textId="77777777" w:rsidR="001247C7" w:rsidRDefault="001247C7" w:rsidP="001247C7">
            <w:pPr>
              <w:spacing w:after="0" w:line="240" w:lineRule="auto"/>
              <w:rPr>
                <w:rFonts w:ascii="Calibri" w:eastAsia="Times New Roman" w:hAnsi="Calibri" w:cs="Calibri"/>
                <w:color w:val="000000"/>
              </w:rPr>
            </w:pPr>
            <w:r>
              <w:rPr>
                <w:rFonts w:ascii="Calibri" w:eastAsia="Times New Roman" w:hAnsi="Calibri" w:cs="Calibri"/>
                <w:i/>
                <w:iCs/>
                <w:color w:val="000000"/>
              </w:rPr>
              <w:t>Birth - &lt;2:</w:t>
            </w:r>
            <w:r>
              <w:rPr>
                <w:rFonts w:ascii="Calibri" w:eastAsia="Times New Roman" w:hAnsi="Calibri" w:cs="Calibri"/>
                <w:color w:val="000000"/>
              </w:rPr>
              <w:t xml:space="preserve"> Professional judgement</w:t>
            </w:r>
          </w:p>
          <w:p w14:paraId="3142F27D" w14:textId="6AACD2BC" w:rsidR="00497206" w:rsidRDefault="001247C7">
            <w:pPr>
              <w:spacing w:after="0"/>
              <w:rPr>
                <w:rFonts w:ascii="Calibri" w:eastAsia="Times New Roman" w:hAnsi="Calibri" w:cs="Calibri"/>
                <w:color w:val="000000"/>
              </w:rPr>
            </w:pPr>
            <w:r>
              <w:rPr>
                <w:rFonts w:ascii="Calibri" w:eastAsia="Times New Roman" w:hAnsi="Calibri" w:cs="Calibri"/>
                <w:i/>
                <w:iCs/>
                <w:color w:val="000000"/>
              </w:rPr>
              <w:t xml:space="preserve">2 - </w:t>
            </w:r>
            <w:r w:rsidR="00F92B24">
              <w:rPr>
                <w:rFonts w:ascii="Calibri" w:eastAsia="Times New Roman" w:hAnsi="Calibri" w:cs="Calibri"/>
                <w:i/>
                <w:iCs/>
                <w:color w:val="000000"/>
              </w:rPr>
              <w:t>PCBA</w:t>
            </w:r>
            <w:r>
              <w:rPr>
                <w:rFonts w:ascii="Calibri" w:eastAsia="Times New Roman" w:hAnsi="Calibri" w:cs="Calibri"/>
                <w:i/>
                <w:iCs/>
                <w:color w:val="000000"/>
              </w:rPr>
              <w:t>:</w:t>
            </w:r>
            <w:r>
              <w:rPr>
                <w:rFonts w:ascii="Calibri" w:eastAsia="Times New Roman" w:hAnsi="Calibri" w:cs="Calibri"/>
                <w:color w:val="000000"/>
              </w:rPr>
              <w:t xml:space="preserve"> US EPA (1996) Table QBNp-17h;</w:t>
            </w:r>
          </w:p>
        </w:tc>
      </w:tr>
      <w:tr w:rsidR="00F427E7" w14:paraId="176F852E" w14:textId="77777777" w:rsidTr="002F68EA">
        <w:trPr>
          <w:trHeight w:val="558"/>
        </w:trPr>
        <w:tc>
          <w:tcPr>
            <w:tcW w:w="3326" w:type="dxa"/>
            <w:gridSpan w:val="2"/>
            <w:tcBorders>
              <w:top w:val="nil"/>
              <w:left w:val="single" w:sz="4" w:space="0" w:color="auto"/>
              <w:bottom w:val="nil"/>
              <w:right w:val="single" w:sz="4" w:space="0" w:color="000000"/>
            </w:tcBorders>
            <w:shd w:val="clear" w:color="auto" w:fill="auto"/>
            <w:noWrap/>
            <w:vAlign w:val="center"/>
            <w:hideMark/>
          </w:tcPr>
          <w:p w14:paraId="49BA3C08" w14:textId="77777777" w:rsidR="00F427E7" w:rsidRDefault="00F427E7">
            <w:pPr>
              <w:spacing w:after="0" w:line="240" w:lineRule="auto"/>
              <w:rPr>
                <w:rFonts w:ascii="Calibri" w:eastAsia="Times New Roman" w:hAnsi="Calibri" w:cs="Calibri"/>
                <w:b/>
                <w:bCs/>
                <w:color w:val="000000"/>
              </w:rPr>
            </w:pPr>
            <w:r>
              <w:rPr>
                <w:rFonts w:ascii="Calibri" w:eastAsia="Times New Roman" w:hAnsi="Calibri" w:cs="Calibri"/>
                <w:b/>
                <w:bCs/>
                <w:color w:val="000000"/>
              </w:rPr>
              <w:t>Exposure Frequency, EF (days/month)</w:t>
            </w:r>
          </w:p>
        </w:tc>
        <w:tc>
          <w:tcPr>
            <w:tcW w:w="719" w:type="dxa"/>
            <w:shd w:val="clear" w:color="auto" w:fill="auto"/>
            <w:noWrap/>
            <w:vAlign w:val="center"/>
            <w:hideMark/>
          </w:tcPr>
          <w:p w14:paraId="089DD6F3" w14:textId="74F7C713" w:rsidR="00F427E7" w:rsidRDefault="003C40EE">
            <w:pPr>
              <w:spacing w:after="0" w:line="240" w:lineRule="auto"/>
              <w:jc w:val="center"/>
              <w:rPr>
                <w:rFonts w:eastAsia="Times New Roman" w:cstheme="minorHAnsi"/>
                <w:color w:val="000000"/>
              </w:rPr>
            </w:pPr>
            <w:r>
              <w:rPr>
                <w:rFonts w:eastAsia="Times New Roman" w:cstheme="minorHAnsi"/>
                <w:color w:val="000000"/>
              </w:rPr>
              <w:t>20</w:t>
            </w:r>
          </w:p>
        </w:tc>
        <w:tc>
          <w:tcPr>
            <w:tcW w:w="720" w:type="dxa"/>
            <w:shd w:val="clear" w:color="auto" w:fill="auto"/>
            <w:noWrap/>
            <w:vAlign w:val="center"/>
            <w:hideMark/>
          </w:tcPr>
          <w:p w14:paraId="2A4BEC2A" w14:textId="2E471076" w:rsidR="00F427E7" w:rsidRDefault="003C40EE">
            <w:pPr>
              <w:spacing w:after="0" w:line="240" w:lineRule="auto"/>
              <w:jc w:val="center"/>
              <w:rPr>
                <w:rFonts w:eastAsia="Times New Roman" w:cstheme="minorHAnsi"/>
                <w:color w:val="000000"/>
              </w:rPr>
            </w:pPr>
            <w:r>
              <w:rPr>
                <w:rFonts w:eastAsia="Times New Roman" w:cstheme="minorHAnsi"/>
                <w:color w:val="000000"/>
              </w:rPr>
              <w:t>20</w:t>
            </w:r>
          </w:p>
        </w:tc>
        <w:tc>
          <w:tcPr>
            <w:tcW w:w="720" w:type="dxa"/>
            <w:shd w:val="clear" w:color="auto" w:fill="auto"/>
            <w:noWrap/>
            <w:vAlign w:val="center"/>
            <w:hideMark/>
          </w:tcPr>
          <w:p w14:paraId="3DAFD077" w14:textId="5BC48AB1" w:rsidR="00F427E7" w:rsidRDefault="00A22A98">
            <w:pPr>
              <w:spacing w:after="0" w:line="240" w:lineRule="auto"/>
              <w:jc w:val="center"/>
              <w:rPr>
                <w:rFonts w:eastAsia="Times New Roman" w:cstheme="minorHAnsi"/>
                <w:color w:val="000000"/>
              </w:rPr>
            </w:pPr>
            <w:r>
              <w:rPr>
                <w:rFonts w:eastAsia="Times New Roman" w:cstheme="minorHAnsi"/>
                <w:color w:val="000000"/>
              </w:rPr>
              <w:t>30</w:t>
            </w:r>
          </w:p>
        </w:tc>
        <w:tc>
          <w:tcPr>
            <w:tcW w:w="900" w:type="dxa"/>
            <w:shd w:val="clear" w:color="auto" w:fill="auto"/>
            <w:noWrap/>
            <w:vAlign w:val="center"/>
            <w:hideMark/>
          </w:tcPr>
          <w:p w14:paraId="1CDD2A77" w14:textId="351FE212" w:rsidR="00F427E7" w:rsidRDefault="003C40EE">
            <w:pPr>
              <w:spacing w:after="0" w:line="240" w:lineRule="auto"/>
              <w:jc w:val="center"/>
              <w:rPr>
                <w:rFonts w:eastAsia="Times New Roman" w:cstheme="minorHAnsi"/>
                <w:color w:val="000000"/>
              </w:rPr>
            </w:pPr>
            <w:r>
              <w:rPr>
                <w:rFonts w:eastAsia="Times New Roman" w:cstheme="minorHAnsi"/>
                <w:color w:val="000000"/>
              </w:rPr>
              <w:t>3</w:t>
            </w:r>
            <w:r w:rsidR="00F427E7">
              <w:rPr>
                <w:rFonts w:eastAsia="Times New Roman" w:cstheme="minorHAnsi"/>
                <w:color w:val="000000"/>
              </w:rPr>
              <w:t>0</w:t>
            </w:r>
          </w:p>
        </w:tc>
        <w:tc>
          <w:tcPr>
            <w:tcW w:w="900" w:type="dxa"/>
            <w:shd w:val="clear" w:color="auto" w:fill="auto"/>
            <w:noWrap/>
            <w:vAlign w:val="center"/>
            <w:hideMark/>
          </w:tcPr>
          <w:p w14:paraId="6BB2EAC6" w14:textId="1CA52653" w:rsidR="00F427E7" w:rsidRDefault="003C40EE">
            <w:pPr>
              <w:spacing w:after="0" w:line="240" w:lineRule="auto"/>
              <w:jc w:val="center"/>
              <w:rPr>
                <w:rFonts w:eastAsia="Times New Roman" w:cstheme="minorHAnsi"/>
                <w:color w:val="000000"/>
              </w:rPr>
            </w:pPr>
            <w:r>
              <w:rPr>
                <w:rFonts w:eastAsia="Times New Roman" w:cstheme="minorHAnsi"/>
                <w:color w:val="000000"/>
              </w:rPr>
              <w:t>3</w:t>
            </w:r>
            <w:r w:rsidR="00F427E7">
              <w:rPr>
                <w:rFonts w:eastAsia="Times New Roman" w:cstheme="minorHAnsi"/>
                <w:color w:val="000000"/>
              </w:rPr>
              <w:t>0</w:t>
            </w:r>
          </w:p>
        </w:tc>
        <w:tc>
          <w:tcPr>
            <w:tcW w:w="810" w:type="dxa"/>
            <w:shd w:val="clear" w:color="auto" w:fill="auto"/>
            <w:noWrap/>
            <w:vAlign w:val="center"/>
            <w:hideMark/>
          </w:tcPr>
          <w:p w14:paraId="49E59C13" w14:textId="7805878C" w:rsidR="00F427E7" w:rsidRDefault="003C40EE">
            <w:pPr>
              <w:spacing w:after="0" w:line="240" w:lineRule="auto"/>
              <w:jc w:val="center"/>
              <w:rPr>
                <w:rFonts w:eastAsia="Times New Roman" w:cstheme="minorHAnsi"/>
                <w:color w:val="000000"/>
              </w:rPr>
            </w:pPr>
            <w:r>
              <w:rPr>
                <w:rFonts w:eastAsia="Times New Roman" w:cstheme="minorHAnsi"/>
                <w:color w:val="000000"/>
              </w:rPr>
              <w:t>3</w:t>
            </w:r>
            <w:r w:rsidR="00F427E7">
              <w:rPr>
                <w:rFonts w:eastAsia="Times New Roman" w:cstheme="minorHAnsi"/>
                <w:color w:val="000000"/>
              </w:rPr>
              <w:t>0</w:t>
            </w:r>
          </w:p>
        </w:tc>
        <w:tc>
          <w:tcPr>
            <w:tcW w:w="1012" w:type="dxa"/>
            <w:shd w:val="clear" w:color="auto" w:fill="auto"/>
            <w:noWrap/>
            <w:vAlign w:val="center"/>
            <w:hideMark/>
          </w:tcPr>
          <w:p w14:paraId="08A15F58"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20</w:t>
            </w:r>
          </w:p>
        </w:tc>
        <w:tc>
          <w:tcPr>
            <w:tcW w:w="4838" w:type="dxa"/>
            <w:tcBorders>
              <w:top w:val="nil"/>
              <w:left w:val="single" w:sz="4" w:space="0" w:color="auto"/>
              <w:bottom w:val="nil"/>
              <w:right w:val="single" w:sz="4" w:space="0" w:color="000000"/>
            </w:tcBorders>
            <w:shd w:val="clear" w:color="auto" w:fill="auto"/>
            <w:vAlign w:val="center"/>
            <w:hideMark/>
          </w:tcPr>
          <w:p w14:paraId="31D36FA9" w14:textId="33650853" w:rsidR="00F427E7" w:rsidRPr="00497206" w:rsidRDefault="003C40EE" w:rsidP="00497206">
            <w:pPr>
              <w:spacing w:after="0" w:line="240" w:lineRule="auto"/>
              <w:rPr>
                <w:rFonts w:ascii="Calibri" w:eastAsia="Times New Roman" w:hAnsi="Calibri" w:cs="Calibri"/>
                <w:color w:val="000000"/>
              </w:rPr>
            </w:pPr>
            <w:r w:rsidRPr="00497206">
              <w:rPr>
                <w:rFonts w:ascii="Calibri" w:eastAsia="Times New Roman" w:hAnsi="Calibri" w:cs="Calibri"/>
                <w:color w:val="000000"/>
              </w:rPr>
              <w:t>US EPA</w:t>
            </w:r>
            <w:r w:rsidR="00497206" w:rsidRPr="00497206">
              <w:rPr>
                <w:rFonts w:ascii="Calibri" w:eastAsia="Times New Roman" w:hAnsi="Calibri" w:cs="Calibri"/>
                <w:color w:val="000000"/>
              </w:rPr>
              <w:t xml:space="preserve"> (1996) </w:t>
            </w:r>
            <w:r w:rsidRPr="00497206">
              <w:rPr>
                <w:rFonts w:ascii="Calibri" w:eastAsia="Times New Roman" w:hAnsi="Calibri" w:cs="Calibri"/>
                <w:color w:val="000000"/>
              </w:rPr>
              <w:t>Table QBS-17g</w:t>
            </w:r>
            <w:r w:rsidR="00497206" w:rsidRPr="00497206">
              <w:rPr>
                <w:rFonts w:ascii="Calibri" w:eastAsia="Times New Roman" w:hAnsi="Calibri" w:cs="Calibri"/>
                <w:color w:val="000000"/>
              </w:rPr>
              <w:t xml:space="preserve"> </w:t>
            </w:r>
          </w:p>
        </w:tc>
      </w:tr>
      <w:tr w:rsidR="00F427E7" w14:paraId="5B0A131F" w14:textId="77777777" w:rsidTr="001247C7">
        <w:trPr>
          <w:trHeight w:val="330"/>
        </w:trPr>
        <w:tc>
          <w:tcPr>
            <w:tcW w:w="3326" w:type="dxa"/>
            <w:gridSpan w:val="2"/>
            <w:tcBorders>
              <w:top w:val="nil"/>
              <w:left w:val="single" w:sz="4" w:space="0" w:color="auto"/>
              <w:bottom w:val="nil"/>
              <w:right w:val="single" w:sz="4" w:space="0" w:color="000000"/>
            </w:tcBorders>
            <w:shd w:val="clear" w:color="auto" w:fill="D9D9D9" w:themeFill="background1" w:themeFillShade="D9"/>
            <w:noWrap/>
            <w:vAlign w:val="center"/>
            <w:hideMark/>
          </w:tcPr>
          <w:p w14:paraId="2C5506EF" w14:textId="26A2F73C" w:rsidR="00F427E7" w:rsidRDefault="00F427E7">
            <w:pPr>
              <w:spacing w:after="0" w:line="240" w:lineRule="auto"/>
              <w:rPr>
                <w:rFonts w:ascii="Calibri" w:eastAsia="Times New Roman" w:hAnsi="Calibri" w:cs="Calibri"/>
                <w:b/>
                <w:bCs/>
                <w:color w:val="000000"/>
              </w:rPr>
            </w:pPr>
            <w:r>
              <w:rPr>
                <w:rFonts w:ascii="Calibri" w:eastAsia="Times New Roman" w:hAnsi="Calibri" w:cs="Calibri"/>
                <w:b/>
                <w:bCs/>
                <w:color w:val="000000"/>
              </w:rPr>
              <w:t>Exposure Duration, ED (months)</w:t>
            </w:r>
          </w:p>
        </w:tc>
        <w:tc>
          <w:tcPr>
            <w:tcW w:w="719" w:type="dxa"/>
            <w:shd w:val="clear" w:color="auto" w:fill="D9D9D9" w:themeFill="background1" w:themeFillShade="D9"/>
            <w:noWrap/>
            <w:vAlign w:val="center"/>
            <w:hideMark/>
          </w:tcPr>
          <w:p w14:paraId="54F7D4C4"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3.3</w:t>
            </w:r>
          </w:p>
        </w:tc>
        <w:tc>
          <w:tcPr>
            <w:tcW w:w="720" w:type="dxa"/>
            <w:shd w:val="clear" w:color="auto" w:fill="D9D9D9" w:themeFill="background1" w:themeFillShade="D9"/>
            <w:noWrap/>
            <w:vAlign w:val="center"/>
            <w:hideMark/>
          </w:tcPr>
          <w:p w14:paraId="42AA4A28"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3.3</w:t>
            </w:r>
          </w:p>
        </w:tc>
        <w:tc>
          <w:tcPr>
            <w:tcW w:w="720" w:type="dxa"/>
            <w:shd w:val="clear" w:color="auto" w:fill="D9D9D9" w:themeFill="background1" w:themeFillShade="D9"/>
            <w:noWrap/>
            <w:vAlign w:val="center"/>
            <w:hideMark/>
          </w:tcPr>
          <w:p w14:paraId="19EBAA0A"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3.3</w:t>
            </w:r>
          </w:p>
        </w:tc>
        <w:tc>
          <w:tcPr>
            <w:tcW w:w="900" w:type="dxa"/>
            <w:shd w:val="clear" w:color="auto" w:fill="D9D9D9" w:themeFill="background1" w:themeFillShade="D9"/>
            <w:noWrap/>
            <w:vAlign w:val="center"/>
            <w:hideMark/>
          </w:tcPr>
          <w:p w14:paraId="00E6FC61"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3.3</w:t>
            </w:r>
          </w:p>
        </w:tc>
        <w:tc>
          <w:tcPr>
            <w:tcW w:w="900" w:type="dxa"/>
            <w:shd w:val="clear" w:color="auto" w:fill="D9D9D9" w:themeFill="background1" w:themeFillShade="D9"/>
            <w:noWrap/>
            <w:vAlign w:val="center"/>
            <w:hideMark/>
          </w:tcPr>
          <w:p w14:paraId="386CD84D"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3.3</w:t>
            </w:r>
          </w:p>
        </w:tc>
        <w:tc>
          <w:tcPr>
            <w:tcW w:w="810" w:type="dxa"/>
            <w:shd w:val="clear" w:color="auto" w:fill="D9D9D9" w:themeFill="background1" w:themeFillShade="D9"/>
            <w:noWrap/>
            <w:vAlign w:val="center"/>
            <w:hideMark/>
          </w:tcPr>
          <w:p w14:paraId="42B2CB41"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3.3</w:t>
            </w:r>
          </w:p>
        </w:tc>
        <w:tc>
          <w:tcPr>
            <w:tcW w:w="1012" w:type="dxa"/>
            <w:shd w:val="clear" w:color="auto" w:fill="D9D9D9" w:themeFill="background1" w:themeFillShade="D9"/>
            <w:noWrap/>
            <w:vAlign w:val="center"/>
            <w:hideMark/>
          </w:tcPr>
          <w:p w14:paraId="602C5447"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3.3</w:t>
            </w:r>
          </w:p>
        </w:tc>
        <w:tc>
          <w:tcPr>
            <w:tcW w:w="4838" w:type="dxa"/>
            <w:tcBorders>
              <w:top w:val="nil"/>
              <w:left w:val="single" w:sz="4" w:space="0" w:color="auto"/>
              <w:bottom w:val="nil"/>
              <w:right w:val="single" w:sz="4" w:space="0" w:color="000000"/>
            </w:tcBorders>
            <w:shd w:val="clear" w:color="auto" w:fill="D9D9D9" w:themeFill="background1" w:themeFillShade="D9"/>
            <w:noWrap/>
            <w:vAlign w:val="center"/>
            <w:hideMark/>
          </w:tcPr>
          <w:p w14:paraId="1FAA1591" w14:textId="77777777" w:rsidR="00F427E7" w:rsidRDefault="00F427E7">
            <w:pPr>
              <w:spacing w:after="0" w:line="240" w:lineRule="auto"/>
              <w:rPr>
                <w:rFonts w:ascii="Calibri" w:eastAsia="Times New Roman" w:hAnsi="Calibri" w:cs="Calibri"/>
                <w:color w:val="000000"/>
              </w:rPr>
            </w:pPr>
            <w:r>
              <w:rPr>
                <w:rFonts w:ascii="Calibri" w:eastAsia="Times New Roman" w:hAnsi="Calibri" w:cs="Calibri"/>
                <w:color w:val="000000"/>
              </w:rPr>
              <w:t>Professional judgement that swimming occurs between Memorial Day and Labor Day</w:t>
            </w:r>
          </w:p>
        </w:tc>
      </w:tr>
      <w:tr w:rsidR="00F427E7" w14:paraId="5B7FD1B5" w14:textId="77777777" w:rsidTr="001247C7">
        <w:trPr>
          <w:trHeight w:val="330"/>
        </w:trPr>
        <w:tc>
          <w:tcPr>
            <w:tcW w:w="3055" w:type="dxa"/>
            <w:tcBorders>
              <w:top w:val="nil"/>
              <w:left w:val="single" w:sz="4" w:space="0" w:color="auto"/>
              <w:bottom w:val="nil"/>
              <w:right w:val="nil"/>
            </w:tcBorders>
            <w:shd w:val="clear" w:color="auto" w:fill="auto"/>
            <w:noWrap/>
            <w:vAlign w:val="center"/>
            <w:hideMark/>
          </w:tcPr>
          <w:p w14:paraId="2C8C75FD" w14:textId="77777777" w:rsidR="00F427E7" w:rsidRDefault="00F427E7">
            <w:pPr>
              <w:spacing w:after="0" w:line="240" w:lineRule="auto"/>
              <w:rPr>
                <w:rFonts w:ascii="Calibri" w:eastAsia="Times New Roman" w:hAnsi="Calibri" w:cs="Calibri"/>
                <w:b/>
                <w:bCs/>
                <w:color w:val="000000"/>
              </w:rPr>
            </w:pPr>
            <w:r>
              <w:rPr>
                <w:rFonts w:ascii="Calibri" w:eastAsia="Times New Roman" w:hAnsi="Calibri" w:cs="Calibri"/>
                <w:b/>
                <w:bCs/>
                <w:color w:val="000000"/>
              </w:rPr>
              <w:t>Averaging Time, AT (days)</w:t>
            </w:r>
          </w:p>
        </w:tc>
        <w:tc>
          <w:tcPr>
            <w:tcW w:w="271" w:type="dxa"/>
            <w:tcBorders>
              <w:top w:val="nil"/>
              <w:left w:val="nil"/>
              <w:bottom w:val="nil"/>
              <w:right w:val="single" w:sz="4" w:space="0" w:color="auto"/>
            </w:tcBorders>
            <w:shd w:val="clear" w:color="auto" w:fill="auto"/>
            <w:noWrap/>
            <w:vAlign w:val="bottom"/>
            <w:hideMark/>
          </w:tcPr>
          <w:p w14:paraId="239729B4" w14:textId="77777777" w:rsidR="00F427E7" w:rsidRDefault="00F427E7">
            <w:pPr>
              <w:spacing w:after="0" w:line="240" w:lineRule="auto"/>
              <w:rPr>
                <w:rFonts w:ascii="Calibri" w:eastAsia="Times New Roman" w:hAnsi="Calibri" w:cs="Calibri"/>
                <w:b/>
                <w:bCs/>
                <w:color w:val="000000"/>
              </w:rPr>
            </w:pPr>
            <w:r>
              <w:rPr>
                <w:rFonts w:ascii="Calibri" w:eastAsia="Times New Roman" w:hAnsi="Calibri" w:cs="Calibri"/>
                <w:b/>
                <w:bCs/>
                <w:color w:val="000000"/>
              </w:rPr>
              <w:t> </w:t>
            </w:r>
          </w:p>
        </w:tc>
        <w:tc>
          <w:tcPr>
            <w:tcW w:w="719" w:type="dxa"/>
            <w:shd w:val="clear" w:color="auto" w:fill="auto"/>
            <w:noWrap/>
            <w:vAlign w:val="center"/>
            <w:hideMark/>
          </w:tcPr>
          <w:p w14:paraId="79279A1B"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102</w:t>
            </w:r>
          </w:p>
        </w:tc>
        <w:tc>
          <w:tcPr>
            <w:tcW w:w="720" w:type="dxa"/>
            <w:shd w:val="clear" w:color="auto" w:fill="auto"/>
            <w:noWrap/>
            <w:vAlign w:val="center"/>
            <w:hideMark/>
          </w:tcPr>
          <w:p w14:paraId="7F4FF517"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102</w:t>
            </w:r>
          </w:p>
        </w:tc>
        <w:tc>
          <w:tcPr>
            <w:tcW w:w="720" w:type="dxa"/>
            <w:shd w:val="clear" w:color="auto" w:fill="auto"/>
            <w:noWrap/>
            <w:vAlign w:val="center"/>
            <w:hideMark/>
          </w:tcPr>
          <w:p w14:paraId="397A7A27"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102</w:t>
            </w:r>
          </w:p>
        </w:tc>
        <w:tc>
          <w:tcPr>
            <w:tcW w:w="900" w:type="dxa"/>
            <w:shd w:val="clear" w:color="auto" w:fill="auto"/>
            <w:noWrap/>
            <w:vAlign w:val="center"/>
            <w:hideMark/>
          </w:tcPr>
          <w:p w14:paraId="2AACFB51"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102</w:t>
            </w:r>
          </w:p>
        </w:tc>
        <w:tc>
          <w:tcPr>
            <w:tcW w:w="900" w:type="dxa"/>
            <w:shd w:val="clear" w:color="auto" w:fill="auto"/>
            <w:noWrap/>
            <w:vAlign w:val="center"/>
            <w:hideMark/>
          </w:tcPr>
          <w:p w14:paraId="49322166"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102</w:t>
            </w:r>
          </w:p>
        </w:tc>
        <w:tc>
          <w:tcPr>
            <w:tcW w:w="810" w:type="dxa"/>
            <w:shd w:val="clear" w:color="auto" w:fill="auto"/>
            <w:noWrap/>
            <w:vAlign w:val="center"/>
            <w:hideMark/>
          </w:tcPr>
          <w:p w14:paraId="23383121"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102</w:t>
            </w:r>
          </w:p>
        </w:tc>
        <w:tc>
          <w:tcPr>
            <w:tcW w:w="1012" w:type="dxa"/>
            <w:shd w:val="clear" w:color="auto" w:fill="auto"/>
            <w:noWrap/>
            <w:vAlign w:val="center"/>
            <w:hideMark/>
          </w:tcPr>
          <w:p w14:paraId="3DC1881E"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102</w:t>
            </w:r>
          </w:p>
        </w:tc>
        <w:tc>
          <w:tcPr>
            <w:tcW w:w="4838" w:type="dxa"/>
            <w:tcBorders>
              <w:top w:val="nil"/>
              <w:left w:val="single" w:sz="4" w:space="0" w:color="auto"/>
              <w:bottom w:val="nil"/>
              <w:right w:val="single" w:sz="4" w:space="0" w:color="000000"/>
            </w:tcBorders>
            <w:shd w:val="clear" w:color="auto" w:fill="auto"/>
            <w:noWrap/>
            <w:vAlign w:val="center"/>
            <w:hideMark/>
          </w:tcPr>
          <w:p w14:paraId="448FCB87" w14:textId="77777777" w:rsidR="00F427E7" w:rsidRDefault="00F427E7">
            <w:pPr>
              <w:spacing w:after="0" w:line="240" w:lineRule="auto"/>
              <w:rPr>
                <w:rFonts w:ascii="Calibri" w:eastAsia="Times New Roman" w:hAnsi="Calibri" w:cs="Calibri"/>
                <w:color w:val="000000"/>
              </w:rPr>
            </w:pPr>
            <w:r>
              <w:rPr>
                <w:rFonts w:ascii="Calibri" w:eastAsia="Times New Roman" w:hAnsi="Calibri" w:cs="Calibri"/>
                <w:color w:val="000000"/>
              </w:rPr>
              <w:t>Dictated by exposure duration</w:t>
            </w:r>
          </w:p>
        </w:tc>
      </w:tr>
      <w:tr w:rsidR="00F427E7" w14:paraId="0C5D8E1F" w14:textId="77777777" w:rsidTr="00585550">
        <w:trPr>
          <w:trHeight w:val="290"/>
        </w:trPr>
        <w:tc>
          <w:tcPr>
            <w:tcW w:w="3055" w:type="dxa"/>
            <w:tcBorders>
              <w:top w:val="nil"/>
              <w:left w:val="single" w:sz="4" w:space="0" w:color="auto"/>
              <w:right w:val="nil"/>
            </w:tcBorders>
            <w:shd w:val="clear" w:color="auto" w:fill="D9D9D9" w:themeFill="background1" w:themeFillShade="D9"/>
            <w:noWrap/>
            <w:vAlign w:val="center"/>
            <w:hideMark/>
          </w:tcPr>
          <w:p w14:paraId="519CFA86" w14:textId="77777777" w:rsidR="00F427E7" w:rsidRDefault="00F427E7">
            <w:pPr>
              <w:spacing w:after="0" w:line="240" w:lineRule="auto"/>
              <w:rPr>
                <w:rFonts w:ascii="Calibri" w:eastAsia="Times New Roman" w:hAnsi="Calibri" w:cs="Calibri"/>
                <w:b/>
                <w:bCs/>
                <w:color w:val="000000"/>
              </w:rPr>
            </w:pPr>
            <w:r>
              <w:rPr>
                <w:rFonts w:ascii="Calibri" w:eastAsia="Times New Roman" w:hAnsi="Calibri" w:cs="Calibri"/>
                <w:b/>
                <w:bCs/>
                <w:color w:val="000000"/>
              </w:rPr>
              <w:t>Body Weight, BW (kg)</w:t>
            </w:r>
          </w:p>
        </w:tc>
        <w:tc>
          <w:tcPr>
            <w:tcW w:w="271" w:type="dxa"/>
            <w:tcBorders>
              <w:top w:val="nil"/>
              <w:left w:val="nil"/>
              <w:right w:val="single" w:sz="4" w:space="0" w:color="auto"/>
            </w:tcBorders>
            <w:shd w:val="clear" w:color="auto" w:fill="D9D9D9" w:themeFill="background1" w:themeFillShade="D9"/>
            <w:noWrap/>
            <w:vAlign w:val="bottom"/>
            <w:hideMark/>
          </w:tcPr>
          <w:p w14:paraId="0E43C47E" w14:textId="77777777" w:rsidR="00F427E7" w:rsidRDefault="00F427E7">
            <w:pPr>
              <w:rPr>
                <w:rFonts w:ascii="Calibri" w:eastAsia="Times New Roman" w:hAnsi="Calibri" w:cs="Calibri"/>
                <w:b/>
                <w:bCs/>
                <w:color w:val="000000"/>
              </w:rPr>
            </w:pPr>
          </w:p>
        </w:tc>
        <w:tc>
          <w:tcPr>
            <w:tcW w:w="719" w:type="dxa"/>
            <w:shd w:val="clear" w:color="auto" w:fill="D9D9D9" w:themeFill="background1" w:themeFillShade="D9"/>
            <w:noWrap/>
            <w:vAlign w:val="center"/>
            <w:hideMark/>
          </w:tcPr>
          <w:p w14:paraId="58D5D922"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7.8</w:t>
            </w:r>
          </w:p>
        </w:tc>
        <w:tc>
          <w:tcPr>
            <w:tcW w:w="720" w:type="dxa"/>
            <w:shd w:val="clear" w:color="auto" w:fill="D9D9D9" w:themeFill="background1" w:themeFillShade="D9"/>
            <w:noWrap/>
            <w:vAlign w:val="center"/>
            <w:hideMark/>
          </w:tcPr>
          <w:p w14:paraId="1EF7D282"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11.4</w:t>
            </w:r>
          </w:p>
        </w:tc>
        <w:tc>
          <w:tcPr>
            <w:tcW w:w="720" w:type="dxa"/>
            <w:shd w:val="clear" w:color="auto" w:fill="D9D9D9" w:themeFill="background1" w:themeFillShade="D9"/>
            <w:noWrap/>
            <w:vAlign w:val="center"/>
            <w:hideMark/>
          </w:tcPr>
          <w:p w14:paraId="245380F2"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17.4</w:t>
            </w:r>
          </w:p>
        </w:tc>
        <w:tc>
          <w:tcPr>
            <w:tcW w:w="900" w:type="dxa"/>
            <w:shd w:val="clear" w:color="auto" w:fill="D9D9D9" w:themeFill="background1" w:themeFillShade="D9"/>
            <w:noWrap/>
            <w:vAlign w:val="center"/>
            <w:hideMark/>
          </w:tcPr>
          <w:p w14:paraId="328694D6"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31.8</w:t>
            </w:r>
          </w:p>
        </w:tc>
        <w:tc>
          <w:tcPr>
            <w:tcW w:w="900" w:type="dxa"/>
            <w:shd w:val="clear" w:color="auto" w:fill="D9D9D9" w:themeFill="background1" w:themeFillShade="D9"/>
            <w:noWrap/>
            <w:vAlign w:val="center"/>
            <w:hideMark/>
          </w:tcPr>
          <w:p w14:paraId="7008B62C"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56.8</w:t>
            </w:r>
          </w:p>
        </w:tc>
        <w:tc>
          <w:tcPr>
            <w:tcW w:w="810" w:type="dxa"/>
            <w:shd w:val="clear" w:color="auto" w:fill="D9D9D9" w:themeFill="background1" w:themeFillShade="D9"/>
            <w:noWrap/>
            <w:vAlign w:val="center"/>
            <w:hideMark/>
          </w:tcPr>
          <w:p w14:paraId="1941AD6C"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71.6</w:t>
            </w:r>
          </w:p>
        </w:tc>
        <w:tc>
          <w:tcPr>
            <w:tcW w:w="1012" w:type="dxa"/>
            <w:tcBorders>
              <w:top w:val="nil"/>
              <w:left w:val="nil"/>
              <w:right w:val="single" w:sz="4" w:space="0" w:color="auto"/>
            </w:tcBorders>
            <w:shd w:val="clear" w:color="auto" w:fill="D9D9D9" w:themeFill="background1" w:themeFillShade="D9"/>
            <w:noWrap/>
            <w:vAlign w:val="center"/>
            <w:hideMark/>
          </w:tcPr>
          <w:p w14:paraId="07A6D065" w14:textId="77777777" w:rsidR="00F427E7" w:rsidRDefault="00F427E7">
            <w:pPr>
              <w:spacing w:after="0" w:line="240" w:lineRule="auto"/>
              <w:jc w:val="center"/>
              <w:rPr>
                <w:rFonts w:eastAsia="Times New Roman" w:cstheme="minorHAnsi"/>
                <w:color w:val="000000"/>
              </w:rPr>
            </w:pPr>
            <w:r>
              <w:rPr>
                <w:rFonts w:eastAsia="Times New Roman" w:cstheme="minorHAnsi"/>
                <w:color w:val="000000"/>
              </w:rPr>
              <w:t>68</w:t>
            </w:r>
          </w:p>
        </w:tc>
        <w:tc>
          <w:tcPr>
            <w:tcW w:w="4838" w:type="dxa"/>
            <w:tcBorders>
              <w:top w:val="nil"/>
              <w:left w:val="nil"/>
              <w:right w:val="single" w:sz="4" w:space="0" w:color="000000"/>
            </w:tcBorders>
            <w:shd w:val="clear" w:color="auto" w:fill="D9D9D9" w:themeFill="background1" w:themeFillShade="D9"/>
            <w:noWrap/>
            <w:vAlign w:val="bottom"/>
            <w:hideMark/>
          </w:tcPr>
          <w:p w14:paraId="25956319" w14:textId="77777777" w:rsidR="00F427E7" w:rsidRDefault="00F427E7">
            <w:pPr>
              <w:spacing w:after="0" w:line="240" w:lineRule="auto"/>
              <w:rPr>
                <w:rFonts w:ascii="Calibri" w:eastAsia="Times New Roman" w:hAnsi="Calibri" w:cs="Calibri"/>
                <w:color w:val="000000"/>
              </w:rPr>
            </w:pPr>
            <w:r>
              <w:rPr>
                <w:rFonts w:ascii="Calibri" w:eastAsia="Times New Roman" w:hAnsi="Calibri" w:cs="Calibri"/>
                <w:i/>
                <w:iCs/>
                <w:color w:val="000000"/>
              </w:rPr>
              <w:t>Birth - &lt; 21:</w:t>
            </w:r>
            <w:r>
              <w:rPr>
                <w:rFonts w:ascii="Calibri" w:eastAsia="Times New Roman" w:hAnsi="Calibri" w:cs="Calibri"/>
                <w:color w:val="000000"/>
              </w:rPr>
              <w:t xml:space="preserve"> Mean for 1999-2006 NHANES (US EPA, 2011)</w:t>
            </w:r>
          </w:p>
          <w:p w14:paraId="6F077698" w14:textId="031D57EF" w:rsidR="00F427E7" w:rsidRDefault="00F92B24">
            <w:pPr>
              <w:spacing w:after="0" w:line="240" w:lineRule="auto"/>
              <w:rPr>
                <w:rFonts w:ascii="Calibri" w:eastAsia="Times New Roman" w:hAnsi="Calibri" w:cs="Calibri"/>
                <w:color w:val="000000"/>
              </w:rPr>
            </w:pPr>
            <w:r>
              <w:rPr>
                <w:rFonts w:ascii="Calibri" w:eastAsia="Times New Roman" w:hAnsi="Calibri" w:cs="Calibri"/>
                <w:i/>
                <w:iCs/>
                <w:color w:val="000000"/>
              </w:rPr>
              <w:t>PCBA</w:t>
            </w:r>
            <w:r w:rsidR="00F427E7">
              <w:rPr>
                <w:rFonts w:ascii="Calibri" w:eastAsia="Times New Roman" w:hAnsi="Calibri" w:cs="Calibri"/>
                <w:i/>
                <w:iCs/>
                <w:color w:val="000000"/>
              </w:rPr>
              <w:t>:</w:t>
            </w:r>
            <w:r w:rsidR="00F427E7">
              <w:rPr>
                <w:rFonts w:ascii="Calibri" w:eastAsia="Times New Roman" w:hAnsi="Calibri" w:cs="Calibri"/>
                <w:color w:val="000000"/>
              </w:rPr>
              <w:t xml:space="preserve"> Exposure Dose Guidance (ATSDR, 2016)</w:t>
            </w:r>
          </w:p>
        </w:tc>
      </w:tr>
      <w:tr w:rsidR="00F427E7" w14:paraId="51E6922A" w14:textId="77777777" w:rsidTr="00585550">
        <w:trPr>
          <w:trHeight w:val="350"/>
        </w:trPr>
        <w:tc>
          <w:tcPr>
            <w:tcW w:w="3055" w:type="dxa"/>
            <w:tcBorders>
              <w:top w:val="nil"/>
              <w:left w:val="single" w:sz="4" w:space="0" w:color="auto"/>
              <w:bottom w:val="single" w:sz="4" w:space="0" w:color="auto"/>
              <w:right w:val="nil"/>
            </w:tcBorders>
            <w:shd w:val="clear" w:color="auto" w:fill="auto"/>
            <w:noWrap/>
            <w:vAlign w:val="center"/>
            <w:hideMark/>
          </w:tcPr>
          <w:p w14:paraId="7C21FA20" w14:textId="77777777" w:rsidR="00F427E7" w:rsidRDefault="00F427E7">
            <w:pPr>
              <w:spacing w:after="0" w:line="240" w:lineRule="auto"/>
              <w:rPr>
                <w:rFonts w:ascii="Calibri" w:eastAsia="Times New Roman" w:hAnsi="Calibri" w:cs="Calibri"/>
                <w:b/>
                <w:bCs/>
                <w:color w:val="000000"/>
              </w:rPr>
            </w:pPr>
            <w:r>
              <w:rPr>
                <w:rFonts w:ascii="Calibri" w:eastAsia="Times New Roman" w:hAnsi="Calibri" w:cs="Calibri"/>
                <w:b/>
                <w:bCs/>
                <w:color w:val="000000"/>
              </w:rPr>
              <w:t>SW Ingestion Rate, IR (L/</w:t>
            </w:r>
            <w:proofErr w:type="spellStart"/>
            <w:r>
              <w:rPr>
                <w:rFonts w:ascii="Calibri" w:eastAsia="Times New Roman" w:hAnsi="Calibri" w:cs="Calibri"/>
                <w:b/>
                <w:bCs/>
                <w:color w:val="000000"/>
              </w:rPr>
              <w:t>hr</w:t>
            </w:r>
            <w:proofErr w:type="spellEnd"/>
            <w:r>
              <w:rPr>
                <w:rFonts w:ascii="Calibri" w:eastAsia="Times New Roman" w:hAnsi="Calibri" w:cs="Calibri"/>
                <w:b/>
                <w:bCs/>
                <w:color w:val="000000"/>
              </w:rPr>
              <w:t xml:space="preserve">) </w:t>
            </w:r>
          </w:p>
        </w:tc>
        <w:tc>
          <w:tcPr>
            <w:tcW w:w="271" w:type="dxa"/>
            <w:tcBorders>
              <w:bottom w:val="single" w:sz="4" w:space="0" w:color="auto"/>
            </w:tcBorders>
            <w:shd w:val="clear" w:color="auto" w:fill="auto"/>
            <w:noWrap/>
            <w:vAlign w:val="center"/>
            <w:hideMark/>
          </w:tcPr>
          <w:p w14:paraId="3E8586AD" w14:textId="77777777" w:rsidR="00F427E7" w:rsidRDefault="00F427E7">
            <w:pPr>
              <w:spacing w:after="0" w:line="240" w:lineRule="auto"/>
              <w:rPr>
                <w:rFonts w:ascii="Calibri" w:eastAsia="Times New Roman" w:hAnsi="Calibri" w:cs="Calibri"/>
                <w:b/>
                <w:bCs/>
                <w:color w:val="000000"/>
              </w:rPr>
            </w:pPr>
            <w:r>
              <w:rPr>
                <w:rFonts w:ascii="Calibri" w:eastAsia="Times New Roman" w:hAnsi="Calibri" w:cs="Calibri"/>
                <w:b/>
                <w:bCs/>
                <w:color w:val="000000"/>
              </w:rPr>
              <w:t> </w:t>
            </w:r>
          </w:p>
        </w:tc>
        <w:tc>
          <w:tcPr>
            <w:tcW w:w="719" w:type="dxa"/>
            <w:tcBorders>
              <w:top w:val="nil"/>
              <w:left w:val="single" w:sz="4" w:space="0" w:color="auto"/>
              <w:bottom w:val="single" w:sz="4" w:space="0" w:color="auto"/>
              <w:right w:val="nil"/>
            </w:tcBorders>
            <w:shd w:val="clear" w:color="auto" w:fill="auto"/>
            <w:noWrap/>
            <w:vAlign w:val="center"/>
            <w:hideMark/>
          </w:tcPr>
          <w:p w14:paraId="238C67CD" w14:textId="2DF3C16B" w:rsidR="00F427E7" w:rsidRDefault="00F427E7">
            <w:pPr>
              <w:spacing w:after="0" w:line="240" w:lineRule="auto"/>
              <w:jc w:val="center"/>
              <w:rPr>
                <w:rFonts w:eastAsia="Times New Roman" w:cstheme="minorHAnsi"/>
                <w:color w:val="000000"/>
              </w:rPr>
            </w:pPr>
            <w:r>
              <w:rPr>
                <w:rFonts w:eastAsia="Times New Roman" w:cstheme="minorHAnsi"/>
                <w:color w:val="000000"/>
              </w:rPr>
              <w:t>0.</w:t>
            </w:r>
            <w:r w:rsidR="003C40EE">
              <w:rPr>
                <w:rFonts w:eastAsia="Times New Roman" w:cstheme="minorHAnsi"/>
                <w:color w:val="000000"/>
              </w:rPr>
              <w:t>152</w:t>
            </w:r>
          </w:p>
        </w:tc>
        <w:tc>
          <w:tcPr>
            <w:tcW w:w="720" w:type="dxa"/>
            <w:tcBorders>
              <w:bottom w:val="single" w:sz="4" w:space="0" w:color="auto"/>
            </w:tcBorders>
            <w:shd w:val="clear" w:color="auto" w:fill="auto"/>
            <w:noWrap/>
            <w:vAlign w:val="center"/>
            <w:hideMark/>
          </w:tcPr>
          <w:p w14:paraId="5C76EBDA" w14:textId="1EBAF3DA" w:rsidR="00F427E7" w:rsidRDefault="00F427E7">
            <w:pPr>
              <w:spacing w:after="0" w:line="240" w:lineRule="auto"/>
              <w:jc w:val="center"/>
              <w:rPr>
                <w:rFonts w:eastAsia="Times New Roman" w:cstheme="minorHAnsi"/>
                <w:color w:val="000000"/>
              </w:rPr>
            </w:pPr>
            <w:r>
              <w:rPr>
                <w:rFonts w:eastAsia="Times New Roman" w:cstheme="minorHAnsi"/>
                <w:color w:val="000000"/>
              </w:rPr>
              <w:t>0.</w:t>
            </w:r>
            <w:r w:rsidR="003C40EE">
              <w:rPr>
                <w:rFonts w:eastAsia="Times New Roman" w:cstheme="minorHAnsi"/>
                <w:color w:val="000000"/>
              </w:rPr>
              <w:t>152</w:t>
            </w:r>
          </w:p>
        </w:tc>
        <w:tc>
          <w:tcPr>
            <w:tcW w:w="720" w:type="dxa"/>
            <w:tcBorders>
              <w:bottom w:val="single" w:sz="4" w:space="0" w:color="auto"/>
            </w:tcBorders>
            <w:shd w:val="clear" w:color="auto" w:fill="auto"/>
            <w:noWrap/>
            <w:vAlign w:val="center"/>
            <w:hideMark/>
          </w:tcPr>
          <w:p w14:paraId="5942F5DE" w14:textId="67AD03CB" w:rsidR="00F427E7" w:rsidRDefault="00F427E7">
            <w:pPr>
              <w:spacing w:after="0" w:line="240" w:lineRule="auto"/>
              <w:jc w:val="center"/>
              <w:rPr>
                <w:rFonts w:eastAsia="Times New Roman" w:cstheme="minorHAnsi"/>
                <w:color w:val="000000"/>
              </w:rPr>
            </w:pPr>
            <w:r>
              <w:rPr>
                <w:rFonts w:eastAsia="Times New Roman" w:cstheme="minorHAnsi"/>
                <w:color w:val="000000"/>
              </w:rPr>
              <w:t>0.</w:t>
            </w:r>
            <w:r w:rsidR="003C40EE">
              <w:rPr>
                <w:rFonts w:eastAsia="Times New Roman" w:cstheme="minorHAnsi"/>
                <w:color w:val="000000"/>
              </w:rPr>
              <w:t>152</w:t>
            </w:r>
          </w:p>
        </w:tc>
        <w:tc>
          <w:tcPr>
            <w:tcW w:w="900" w:type="dxa"/>
            <w:tcBorders>
              <w:bottom w:val="single" w:sz="4" w:space="0" w:color="auto"/>
            </w:tcBorders>
            <w:shd w:val="clear" w:color="auto" w:fill="auto"/>
            <w:noWrap/>
            <w:vAlign w:val="center"/>
            <w:hideMark/>
          </w:tcPr>
          <w:p w14:paraId="78DF2029" w14:textId="6D14988E" w:rsidR="00F427E7" w:rsidRDefault="00F427E7">
            <w:pPr>
              <w:spacing w:after="0" w:line="240" w:lineRule="auto"/>
              <w:jc w:val="center"/>
              <w:rPr>
                <w:rFonts w:eastAsia="Times New Roman" w:cstheme="minorHAnsi"/>
                <w:color w:val="000000"/>
              </w:rPr>
            </w:pPr>
            <w:r>
              <w:rPr>
                <w:rFonts w:eastAsia="Times New Roman" w:cstheme="minorHAnsi"/>
                <w:color w:val="000000"/>
              </w:rPr>
              <w:t>0.</w:t>
            </w:r>
            <w:r w:rsidR="003C40EE">
              <w:rPr>
                <w:rFonts w:eastAsia="Times New Roman" w:cstheme="minorHAnsi"/>
                <w:color w:val="000000"/>
              </w:rPr>
              <w:t>152</w:t>
            </w:r>
          </w:p>
        </w:tc>
        <w:tc>
          <w:tcPr>
            <w:tcW w:w="900" w:type="dxa"/>
            <w:tcBorders>
              <w:bottom w:val="single" w:sz="4" w:space="0" w:color="auto"/>
            </w:tcBorders>
            <w:shd w:val="clear" w:color="auto" w:fill="auto"/>
            <w:noWrap/>
            <w:vAlign w:val="center"/>
            <w:hideMark/>
          </w:tcPr>
          <w:p w14:paraId="22E1AEEC" w14:textId="3772E34F" w:rsidR="00F427E7" w:rsidRDefault="00F427E7">
            <w:pPr>
              <w:spacing w:after="0" w:line="240" w:lineRule="auto"/>
              <w:jc w:val="center"/>
              <w:rPr>
                <w:rFonts w:eastAsia="Times New Roman" w:cstheme="minorHAnsi"/>
                <w:color w:val="000000"/>
              </w:rPr>
            </w:pPr>
            <w:r>
              <w:rPr>
                <w:rFonts w:eastAsia="Times New Roman" w:cstheme="minorHAnsi"/>
                <w:color w:val="000000"/>
              </w:rPr>
              <w:t>0.</w:t>
            </w:r>
            <w:r w:rsidR="003C40EE">
              <w:rPr>
                <w:rFonts w:eastAsia="Times New Roman" w:cstheme="minorHAnsi"/>
                <w:color w:val="000000"/>
              </w:rPr>
              <w:t>152</w:t>
            </w:r>
          </w:p>
        </w:tc>
        <w:tc>
          <w:tcPr>
            <w:tcW w:w="810" w:type="dxa"/>
            <w:tcBorders>
              <w:bottom w:val="single" w:sz="4" w:space="0" w:color="auto"/>
            </w:tcBorders>
            <w:shd w:val="clear" w:color="auto" w:fill="auto"/>
            <w:noWrap/>
            <w:vAlign w:val="center"/>
            <w:hideMark/>
          </w:tcPr>
          <w:p w14:paraId="4700481C" w14:textId="2B6179C2" w:rsidR="00F427E7" w:rsidRDefault="00F427E7">
            <w:pPr>
              <w:spacing w:after="0" w:line="240" w:lineRule="auto"/>
              <w:jc w:val="center"/>
              <w:rPr>
                <w:rFonts w:eastAsia="Times New Roman" w:cstheme="minorHAnsi"/>
                <w:color w:val="000000"/>
              </w:rPr>
            </w:pPr>
            <w:r>
              <w:rPr>
                <w:rFonts w:eastAsia="Times New Roman" w:cstheme="minorHAnsi"/>
                <w:color w:val="000000"/>
              </w:rPr>
              <w:t>0.</w:t>
            </w:r>
            <w:r w:rsidR="003C40EE">
              <w:rPr>
                <w:rFonts w:eastAsia="Times New Roman" w:cstheme="minorHAnsi"/>
                <w:color w:val="000000"/>
              </w:rPr>
              <w:t>105</w:t>
            </w:r>
          </w:p>
        </w:tc>
        <w:tc>
          <w:tcPr>
            <w:tcW w:w="1012" w:type="dxa"/>
            <w:tcBorders>
              <w:top w:val="nil"/>
              <w:left w:val="nil"/>
              <w:bottom w:val="single" w:sz="4" w:space="0" w:color="auto"/>
              <w:right w:val="single" w:sz="4" w:space="0" w:color="auto"/>
            </w:tcBorders>
            <w:shd w:val="clear" w:color="auto" w:fill="auto"/>
            <w:noWrap/>
            <w:vAlign w:val="center"/>
            <w:hideMark/>
          </w:tcPr>
          <w:p w14:paraId="70DB32BC" w14:textId="2753B65A" w:rsidR="00F427E7" w:rsidRDefault="00F427E7">
            <w:pPr>
              <w:spacing w:after="0" w:line="240" w:lineRule="auto"/>
              <w:jc w:val="center"/>
              <w:rPr>
                <w:rFonts w:eastAsia="Times New Roman" w:cstheme="minorHAnsi"/>
                <w:color w:val="000000"/>
              </w:rPr>
            </w:pPr>
            <w:r>
              <w:rPr>
                <w:rFonts w:eastAsia="Times New Roman" w:cstheme="minorHAnsi"/>
                <w:color w:val="000000"/>
              </w:rPr>
              <w:t>0.</w:t>
            </w:r>
            <w:r w:rsidR="003C40EE">
              <w:rPr>
                <w:rFonts w:eastAsia="Times New Roman" w:cstheme="minorHAnsi"/>
                <w:color w:val="000000"/>
              </w:rPr>
              <w:t>152</w:t>
            </w:r>
          </w:p>
        </w:tc>
        <w:tc>
          <w:tcPr>
            <w:tcW w:w="4838" w:type="dxa"/>
            <w:tcBorders>
              <w:top w:val="nil"/>
              <w:left w:val="nil"/>
              <w:bottom w:val="single" w:sz="4" w:space="0" w:color="auto"/>
              <w:right w:val="single" w:sz="4" w:space="0" w:color="000000"/>
            </w:tcBorders>
            <w:shd w:val="clear" w:color="auto" w:fill="auto"/>
            <w:vAlign w:val="center"/>
            <w:hideMark/>
          </w:tcPr>
          <w:p w14:paraId="24364AF6" w14:textId="001E8E0B" w:rsidR="00F427E7" w:rsidRPr="00674CE5" w:rsidRDefault="00674CE5" w:rsidP="001247C7">
            <w:pPr>
              <w:spacing w:after="0"/>
              <w:rPr>
                <w:rFonts w:ascii="Calibri" w:hAnsi="Calibri" w:cs="Calibri"/>
                <w:color w:val="000000"/>
              </w:rPr>
            </w:pPr>
            <w:r w:rsidRPr="001247C7">
              <w:rPr>
                <w:rFonts w:ascii="Calibri" w:hAnsi="Calibri" w:cs="Calibri"/>
                <w:color w:val="000000"/>
              </w:rPr>
              <w:t xml:space="preserve">US EPA </w:t>
            </w:r>
            <w:r w:rsidR="001247C7" w:rsidRPr="001247C7">
              <w:rPr>
                <w:rFonts w:ascii="Calibri" w:hAnsi="Calibri" w:cs="Calibri"/>
                <w:color w:val="000000"/>
              </w:rPr>
              <w:t>(</w:t>
            </w:r>
            <w:r w:rsidRPr="001247C7">
              <w:rPr>
                <w:rFonts w:ascii="Calibri" w:hAnsi="Calibri" w:cs="Calibri"/>
                <w:color w:val="000000"/>
              </w:rPr>
              <w:t>2019) Table 3-93</w:t>
            </w:r>
          </w:p>
        </w:tc>
      </w:tr>
    </w:tbl>
    <w:p w14:paraId="4706CD0C" w14:textId="17C312F1" w:rsidR="00FB4304" w:rsidRDefault="00F427E7" w:rsidP="1CA4B720">
      <w:pPr>
        <w:spacing w:after="0"/>
        <w:rPr>
          <w:i/>
          <w:iCs/>
          <w:sz w:val="20"/>
          <w:szCs w:val="20"/>
        </w:rPr>
      </w:pPr>
      <w:r w:rsidRPr="1CA4B720">
        <w:rPr>
          <w:i/>
          <w:iCs/>
          <w:sz w:val="20"/>
          <w:szCs w:val="20"/>
        </w:rPr>
        <w:t xml:space="preserve">[a] </w:t>
      </w:r>
      <w:r w:rsidR="00175F05" w:rsidRPr="00077BB5">
        <w:rPr>
          <w:sz w:val="20"/>
          <w:szCs w:val="20"/>
        </w:rPr>
        <w:t>People of child-bearing age (e.g. who are nursing, pregnant, or may become pregnant</w:t>
      </w:r>
      <w:r w:rsidR="00F13D73" w:rsidRPr="00077BB5">
        <w:rPr>
          <w:sz w:val="20"/>
          <w:szCs w:val="20"/>
        </w:rPr>
        <w:t>)</w:t>
      </w:r>
      <w:r w:rsidRPr="00F13D73">
        <w:rPr>
          <w:i/>
          <w:iCs/>
          <w:sz w:val="20"/>
          <w:szCs w:val="20"/>
        </w:rPr>
        <w:t>;</w:t>
      </w:r>
      <w:r w:rsidRPr="1CA4B720">
        <w:rPr>
          <w:i/>
          <w:iCs/>
          <w:sz w:val="20"/>
          <w:szCs w:val="20"/>
        </w:rPr>
        <w:t xml:space="preserve"> 15-4</w:t>
      </w:r>
      <w:r w:rsidR="007D0F47" w:rsidRPr="1CA4B720">
        <w:rPr>
          <w:i/>
          <w:iCs/>
          <w:sz w:val="20"/>
          <w:szCs w:val="20"/>
        </w:rPr>
        <w:t>5</w:t>
      </w:r>
      <w:r w:rsidRPr="1CA4B720">
        <w:rPr>
          <w:i/>
          <w:iCs/>
          <w:sz w:val="20"/>
          <w:szCs w:val="20"/>
        </w:rPr>
        <w:t xml:space="preserve"> years is used for this calculation per ATSDR (2016</w:t>
      </w:r>
      <w:r w:rsidR="000D7FBF" w:rsidRPr="1CA4B720">
        <w:rPr>
          <w:i/>
          <w:iCs/>
          <w:sz w:val="20"/>
          <w:szCs w:val="20"/>
        </w:rPr>
        <w:t>b</w:t>
      </w:r>
      <w:r w:rsidRPr="1CA4B720">
        <w:rPr>
          <w:i/>
          <w:iCs/>
          <w:sz w:val="20"/>
          <w:szCs w:val="20"/>
        </w:rPr>
        <w:t>).</w:t>
      </w:r>
    </w:p>
    <w:p w14:paraId="757C6469" w14:textId="40250C73" w:rsidR="00FB4304" w:rsidRDefault="00FB4304" w:rsidP="00CC5278">
      <w:pPr>
        <w:rPr>
          <w:i/>
          <w:iCs/>
          <w:sz w:val="20"/>
          <w:szCs w:val="20"/>
        </w:rPr>
      </w:pPr>
      <w:r>
        <w:rPr>
          <w:i/>
          <w:iCs/>
          <w:sz w:val="20"/>
          <w:szCs w:val="20"/>
        </w:rPr>
        <w:br w:type="page"/>
      </w:r>
    </w:p>
    <w:p w14:paraId="0E7ED01A" w14:textId="4E178BFB" w:rsidR="00FB4304" w:rsidRPr="00834878" w:rsidRDefault="00FB4304" w:rsidP="00FB4304">
      <w:pPr>
        <w:keepNext/>
        <w:keepLines/>
        <w:spacing w:after="0" w:line="240" w:lineRule="auto"/>
        <w:ind w:left="90"/>
        <w:rPr>
          <w:b/>
          <w:sz w:val="24"/>
          <w:szCs w:val="24"/>
        </w:rPr>
      </w:pPr>
      <w:r w:rsidRPr="00834878">
        <w:rPr>
          <w:b/>
          <w:sz w:val="24"/>
          <w:szCs w:val="24"/>
        </w:rPr>
        <w:lastRenderedPageBreak/>
        <w:t xml:space="preserve">Table </w:t>
      </w:r>
      <w:r>
        <w:rPr>
          <w:b/>
          <w:sz w:val="24"/>
          <w:szCs w:val="24"/>
        </w:rPr>
        <w:t>A.2.b</w:t>
      </w:r>
      <w:r w:rsidRPr="00834878">
        <w:rPr>
          <w:b/>
          <w:sz w:val="24"/>
          <w:szCs w:val="24"/>
        </w:rPr>
        <w:t xml:space="preserve"> </w:t>
      </w:r>
      <w:r>
        <w:rPr>
          <w:b/>
          <w:sz w:val="24"/>
          <w:szCs w:val="24"/>
        </w:rPr>
        <w:t xml:space="preserve"> </w:t>
      </w:r>
      <w:r w:rsidRPr="00834878">
        <w:rPr>
          <w:b/>
          <w:sz w:val="24"/>
          <w:szCs w:val="24"/>
        </w:rPr>
        <w:t>Exposure Assumptions for Recreational Exposure to Surface Water</w:t>
      </w:r>
      <w:r>
        <w:rPr>
          <w:b/>
          <w:sz w:val="24"/>
          <w:szCs w:val="24"/>
        </w:rPr>
        <w:t xml:space="preserve"> – DPH </w:t>
      </w:r>
      <w:proofErr w:type="spellStart"/>
      <w:r w:rsidR="002A6CC4">
        <w:rPr>
          <w:b/>
          <w:sz w:val="24"/>
          <w:szCs w:val="24"/>
        </w:rPr>
        <w:t>c</w:t>
      </w:r>
      <w:r>
        <w:rPr>
          <w:b/>
          <w:sz w:val="24"/>
          <w:szCs w:val="24"/>
        </w:rPr>
        <w:t>PBAL</w:t>
      </w:r>
      <w:r w:rsidR="002A6CC4">
        <w:rPr>
          <w:b/>
          <w:sz w:val="24"/>
          <w:szCs w:val="24"/>
        </w:rPr>
        <w:t>s</w:t>
      </w:r>
      <w:proofErr w:type="spellEnd"/>
    </w:p>
    <w:tbl>
      <w:tblPr>
        <w:tblW w:w="14062" w:type="dxa"/>
        <w:tblLook w:val="04A0" w:firstRow="1" w:lastRow="0" w:firstColumn="1" w:lastColumn="0" w:noHBand="0" w:noVBand="1"/>
      </w:tblPr>
      <w:tblGrid>
        <w:gridCol w:w="3055"/>
        <w:gridCol w:w="271"/>
        <w:gridCol w:w="719"/>
        <w:gridCol w:w="720"/>
        <w:gridCol w:w="720"/>
        <w:gridCol w:w="900"/>
        <w:gridCol w:w="900"/>
        <w:gridCol w:w="810"/>
        <w:gridCol w:w="1129"/>
        <w:gridCol w:w="4838"/>
      </w:tblGrid>
      <w:tr w:rsidR="00FB4304" w14:paraId="66F7918E" w14:textId="77777777" w:rsidTr="00077BB5">
        <w:trPr>
          <w:trHeight w:val="290"/>
        </w:trPr>
        <w:tc>
          <w:tcPr>
            <w:tcW w:w="3326" w:type="dxa"/>
            <w:gridSpan w:val="2"/>
            <w:vMerge w:val="restart"/>
            <w:tcBorders>
              <w:top w:val="single" w:sz="4" w:space="0" w:color="auto"/>
              <w:left w:val="single" w:sz="4" w:space="0" w:color="auto"/>
              <w:bottom w:val="single" w:sz="4" w:space="0" w:color="auto"/>
              <w:right w:val="nil"/>
            </w:tcBorders>
            <w:shd w:val="clear" w:color="auto" w:fill="A6A6A6" w:themeFill="background1" w:themeFillShade="A6"/>
            <w:noWrap/>
            <w:vAlign w:val="bottom"/>
            <w:hideMark/>
          </w:tcPr>
          <w:p w14:paraId="3202324A" w14:textId="77777777" w:rsidR="00FB4304" w:rsidRDefault="00FB4304">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EXPOSURE PARAMETERS</w:t>
            </w:r>
          </w:p>
        </w:tc>
        <w:tc>
          <w:tcPr>
            <w:tcW w:w="5898" w:type="dxa"/>
            <w:gridSpan w:val="7"/>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bottom"/>
            <w:hideMark/>
          </w:tcPr>
          <w:p w14:paraId="1950073E" w14:textId="77777777" w:rsidR="00FB4304" w:rsidRDefault="00FB4304">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AGE (YEARS)</w:t>
            </w:r>
          </w:p>
        </w:tc>
        <w:tc>
          <w:tcPr>
            <w:tcW w:w="4838" w:type="dxa"/>
            <w:vMerge w:val="restart"/>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bottom"/>
            <w:hideMark/>
          </w:tcPr>
          <w:p w14:paraId="2E329E81" w14:textId="77777777" w:rsidR="00FB4304" w:rsidRDefault="00FB4304">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BASIS</w:t>
            </w:r>
          </w:p>
        </w:tc>
      </w:tr>
      <w:tr w:rsidR="00FB4304" w14:paraId="67D2CD46" w14:textId="77777777" w:rsidTr="00077BB5">
        <w:trPr>
          <w:trHeight w:val="300"/>
        </w:trPr>
        <w:tc>
          <w:tcPr>
            <w:tcW w:w="0" w:type="auto"/>
            <w:gridSpan w:val="2"/>
            <w:vMerge/>
            <w:tcBorders>
              <w:top w:val="single" w:sz="4" w:space="0" w:color="auto"/>
              <w:left w:val="single" w:sz="4" w:space="0" w:color="auto"/>
              <w:bottom w:val="single" w:sz="4" w:space="0" w:color="auto"/>
              <w:right w:val="nil"/>
            </w:tcBorders>
            <w:vAlign w:val="center"/>
            <w:hideMark/>
          </w:tcPr>
          <w:p w14:paraId="4297D47F" w14:textId="77777777" w:rsidR="00FB4304" w:rsidRDefault="00FB4304">
            <w:pPr>
              <w:spacing w:after="0"/>
              <w:rPr>
                <w:rFonts w:ascii="Calibri" w:eastAsia="Times New Roman" w:hAnsi="Calibri" w:cs="Calibri"/>
                <w:b/>
                <w:bCs/>
                <w:color w:val="000000"/>
                <w:sz w:val="24"/>
                <w:szCs w:val="24"/>
              </w:rPr>
            </w:pPr>
          </w:p>
        </w:tc>
        <w:tc>
          <w:tcPr>
            <w:tcW w:w="719" w:type="dxa"/>
            <w:tcBorders>
              <w:top w:val="nil"/>
              <w:left w:val="single" w:sz="4" w:space="0" w:color="auto"/>
              <w:bottom w:val="single" w:sz="4" w:space="0" w:color="auto"/>
              <w:right w:val="nil"/>
            </w:tcBorders>
            <w:shd w:val="clear" w:color="auto" w:fill="A6A6A6" w:themeFill="background1" w:themeFillShade="A6"/>
            <w:noWrap/>
            <w:vAlign w:val="bottom"/>
            <w:hideMark/>
          </w:tcPr>
          <w:p w14:paraId="55BFD2CB" w14:textId="77777777" w:rsidR="00FB4304" w:rsidRDefault="00FB4304">
            <w:pPr>
              <w:spacing w:after="0" w:line="240" w:lineRule="auto"/>
              <w:rPr>
                <w:rFonts w:ascii="Calibri" w:eastAsia="Times New Roman" w:hAnsi="Calibri" w:cs="Calibri"/>
                <w:b/>
                <w:bCs/>
                <w:color w:val="000000"/>
              </w:rPr>
            </w:pPr>
            <w:r>
              <w:rPr>
                <w:rFonts w:ascii="Calibri" w:eastAsia="Times New Roman" w:hAnsi="Calibri" w:cs="Calibri"/>
                <w:b/>
                <w:bCs/>
                <w:color w:val="000000"/>
              </w:rPr>
              <w:t>birth to&lt;1</w:t>
            </w:r>
          </w:p>
        </w:tc>
        <w:tc>
          <w:tcPr>
            <w:tcW w:w="720" w:type="dxa"/>
            <w:tcBorders>
              <w:top w:val="nil"/>
              <w:left w:val="nil"/>
              <w:bottom w:val="single" w:sz="4" w:space="0" w:color="auto"/>
              <w:right w:val="nil"/>
            </w:tcBorders>
            <w:shd w:val="clear" w:color="auto" w:fill="A6A6A6" w:themeFill="background1" w:themeFillShade="A6"/>
            <w:noWrap/>
            <w:vAlign w:val="bottom"/>
            <w:hideMark/>
          </w:tcPr>
          <w:p w14:paraId="3B069A9A" w14:textId="77777777" w:rsidR="00FB4304" w:rsidRDefault="00FB43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1 </w:t>
            </w:r>
          </w:p>
          <w:p w14:paraId="0765CC28" w14:textId="77777777" w:rsidR="00FB4304" w:rsidRDefault="00FB43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&lt;2</w:t>
            </w:r>
          </w:p>
        </w:tc>
        <w:tc>
          <w:tcPr>
            <w:tcW w:w="720" w:type="dxa"/>
            <w:tcBorders>
              <w:top w:val="nil"/>
              <w:left w:val="nil"/>
              <w:bottom w:val="single" w:sz="4" w:space="0" w:color="auto"/>
              <w:right w:val="nil"/>
            </w:tcBorders>
            <w:shd w:val="clear" w:color="auto" w:fill="A6A6A6" w:themeFill="background1" w:themeFillShade="A6"/>
            <w:noWrap/>
            <w:vAlign w:val="bottom"/>
            <w:hideMark/>
          </w:tcPr>
          <w:p w14:paraId="6755D593" w14:textId="77777777" w:rsidR="00FB4304" w:rsidRDefault="00FB43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2 </w:t>
            </w:r>
          </w:p>
          <w:p w14:paraId="62EF4756" w14:textId="77777777" w:rsidR="00FB4304" w:rsidRDefault="00FB43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&lt;6</w:t>
            </w:r>
          </w:p>
        </w:tc>
        <w:tc>
          <w:tcPr>
            <w:tcW w:w="900" w:type="dxa"/>
            <w:tcBorders>
              <w:top w:val="nil"/>
              <w:left w:val="nil"/>
              <w:bottom w:val="single" w:sz="4" w:space="0" w:color="auto"/>
              <w:right w:val="nil"/>
            </w:tcBorders>
            <w:shd w:val="clear" w:color="auto" w:fill="A6A6A6" w:themeFill="background1" w:themeFillShade="A6"/>
            <w:noWrap/>
            <w:vAlign w:val="bottom"/>
            <w:hideMark/>
          </w:tcPr>
          <w:p w14:paraId="10908D68" w14:textId="77777777" w:rsidR="00FB4304" w:rsidRDefault="00FB43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6 </w:t>
            </w:r>
          </w:p>
          <w:p w14:paraId="148D761F" w14:textId="77777777" w:rsidR="00FB4304" w:rsidRDefault="00FB43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&lt;11</w:t>
            </w:r>
          </w:p>
        </w:tc>
        <w:tc>
          <w:tcPr>
            <w:tcW w:w="900" w:type="dxa"/>
            <w:tcBorders>
              <w:top w:val="nil"/>
              <w:left w:val="nil"/>
              <w:bottom w:val="single" w:sz="4" w:space="0" w:color="auto"/>
              <w:right w:val="nil"/>
            </w:tcBorders>
            <w:shd w:val="clear" w:color="auto" w:fill="A6A6A6" w:themeFill="background1" w:themeFillShade="A6"/>
            <w:noWrap/>
            <w:vAlign w:val="bottom"/>
            <w:hideMark/>
          </w:tcPr>
          <w:p w14:paraId="11F9449A" w14:textId="77777777" w:rsidR="00FB4304" w:rsidRDefault="00FB43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11 </w:t>
            </w:r>
          </w:p>
          <w:p w14:paraId="22C98A69" w14:textId="77777777" w:rsidR="00FB4304" w:rsidRDefault="00FB43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&lt;16</w:t>
            </w:r>
          </w:p>
        </w:tc>
        <w:tc>
          <w:tcPr>
            <w:tcW w:w="810" w:type="dxa"/>
            <w:tcBorders>
              <w:top w:val="nil"/>
              <w:left w:val="nil"/>
              <w:bottom w:val="single" w:sz="4" w:space="0" w:color="auto"/>
              <w:right w:val="nil"/>
            </w:tcBorders>
            <w:shd w:val="clear" w:color="auto" w:fill="A6A6A6" w:themeFill="background1" w:themeFillShade="A6"/>
            <w:noWrap/>
            <w:vAlign w:val="bottom"/>
            <w:hideMark/>
          </w:tcPr>
          <w:p w14:paraId="28CF960B" w14:textId="77777777" w:rsidR="00FB4304" w:rsidRDefault="00FB43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16 </w:t>
            </w:r>
          </w:p>
          <w:p w14:paraId="3EBBEACE" w14:textId="77777777" w:rsidR="00FB4304" w:rsidRDefault="00FB430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&lt;21</w:t>
            </w:r>
          </w:p>
        </w:tc>
        <w:tc>
          <w:tcPr>
            <w:tcW w:w="1129" w:type="dxa"/>
            <w:tcBorders>
              <w:top w:val="nil"/>
              <w:left w:val="nil"/>
              <w:bottom w:val="single" w:sz="4" w:space="0" w:color="auto"/>
              <w:right w:val="single" w:sz="4" w:space="0" w:color="auto"/>
            </w:tcBorders>
            <w:shd w:val="clear" w:color="auto" w:fill="A6A6A6" w:themeFill="background1" w:themeFillShade="A6"/>
            <w:vAlign w:val="bottom"/>
            <w:hideMark/>
          </w:tcPr>
          <w:p w14:paraId="4A2BAD43" w14:textId="681EB04A" w:rsidR="00FB4304" w:rsidRDefault="00077BB5">
            <w:pPr>
              <w:spacing w:after="0" w:line="240" w:lineRule="auto"/>
              <w:jc w:val="center"/>
              <w:rPr>
                <w:rFonts w:ascii="Calibri" w:eastAsia="Times New Roman" w:hAnsi="Calibri" w:cs="Calibri"/>
                <w:b/>
                <w:bCs/>
                <w:color w:val="000000"/>
              </w:rPr>
            </w:pPr>
            <w:proofErr w:type="spellStart"/>
            <w:r>
              <w:rPr>
                <w:rFonts w:ascii="Calibri" w:eastAsia="Times New Roman" w:hAnsi="Calibri" w:cs="Calibri"/>
                <w:b/>
                <w:bCs/>
                <w:color w:val="000000"/>
              </w:rPr>
              <w:t>P</w:t>
            </w:r>
            <w:r w:rsidR="00FB4304">
              <w:rPr>
                <w:rFonts w:ascii="Calibri" w:eastAsia="Times New Roman" w:hAnsi="Calibri" w:cs="Calibri"/>
                <w:b/>
                <w:bCs/>
                <w:color w:val="000000"/>
              </w:rPr>
              <w:t>CBA</w:t>
            </w:r>
            <w:r w:rsidR="00FB4304">
              <w:rPr>
                <w:rFonts w:ascii="Calibri" w:eastAsia="Times New Roman" w:hAnsi="Calibri" w:cs="Calibri"/>
                <w:b/>
                <w:bCs/>
                <w:i/>
                <w:iCs/>
                <w:color w:val="000000"/>
                <w:vertAlign w:val="superscript"/>
              </w:rPr>
              <w:t>a</w:t>
            </w:r>
            <w:proofErr w:type="spellEnd"/>
          </w:p>
        </w:tc>
        <w:tc>
          <w:tcPr>
            <w:tcW w:w="0" w:type="auto"/>
            <w:vMerge/>
            <w:tcBorders>
              <w:top w:val="single" w:sz="4" w:space="0" w:color="auto"/>
              <w:left w:val="single" w:sz="4" w:space="0" w:color="auto"/>
              <w:bottom w:val="single" w:sz="4" w:space="0" w:color="auto"/>
              <w:right w:val="single" w:sz="4" w:space="0" w:color="000000"/>
            </w:tcBorders>
            <w:vAlign w:val="center"/>
            <w:hideMark/>
          </w:tcPr>
          <w:p w14:paraId="08A2C7AC" w14:textId="77777777" w:rsidR="00FB4304" w:rsidRDefault="00FB4304">
            <w:pPr>
              <w:spacing w:after="0"/>
              <w:rPr>
                <w:rFonts w:ascii="Calibri" w:eastAsia="Times New Roman" w:hAnsi="Calibri" w:cs="Calibri"/>
                <w:b/>
                <w:bCs/>
                <w:color w:val="000000"/>
                <w:sz w:val="24"/>
                <w:szCs w:val="24"/>
              </w:rPr>
            </w:pPr>
          </w:p>
        </w:tc>
      </w:tr>
      <w:tr w:rsidR="00FB4304" w14:paraId="4E5F2D6B" w14:textId="77777777" w:rsidTr="00077BB5">
        <w:trPr>
          <w:trHeight w:val="490"/>
        </w:trPr>
        <w:tc>
          <w:tcPr>
            <w:tcW w:w="3326" w:type="dxa"/>
            <w:gridSpan w:val="2"/>
            <w:tcBorders>
              <w:top w:val="single" w:sz="4" w:space="0" w:color="auto"/>
              <w:left w:val="single" w:sz="4" w:space="0" w:color="auto"/>
              <w:bottom w:val="nil"/>
              <w:right w:val="single" w:sz="4" w:space="0" w:color="000000"/>
            </w:tcBorders>
            <w:noWrap/>
            <w:vAlign w:val="center"/>
            <w:hideMark/>
          </w:tcPr>
          <w:p w14:paraId="1D19F4B0" w14:textId="77777777" w:rsidR="00FB4304" w:rsidRDefault="00FB4304">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Event Duration, </w:t>
            </w:r>
            <w:proofErr w:type="spellStart"/>
            <w:r>
              <w:rPr>
                <w:rFonts w:ascii="Calibri" w:eastAsia="Times New Roman" w:hAnsi="Calibri" w:cs="Calibri"/>
                <w:b/>
                <w:bCs/>
                <w:color w:val="000000"/>
              </w:rPr>
              <w:t>t</w:t>
            </w:r>
            <w:r>
              <w:rPr>
                <w:rFonts w:ascii="Calibri" w:eastAsia="Times New Roman" w:hAnsi="Calibri" w:cs="Calibri"/>
                <w:b/>
                <w:bCs/>
                <w:color w:val="000000"/>
                <w:vertAlign w:val="subscript"/>
              </w:rPr>
              <w:t>event</w:t>
            </w:r>
            <w:proofErr w:type="spellEnd"/>
            <w:r>
              <w:rPr>
                <w:rFonts w:ascii="Calibri" w:eastAsia="Times New Roman" w:hAnsi="Calibri" w:cs="Calibri"/>
                <w:b/>
                <w:bCs/>
                <w:color w:val="000000"/>
              </w:rPr>
              <w:t xml:space="preserve"> (</w:t>
            </w:r>
            <w:proofErr w:type="spellStart"/>
            <w:r>
              <w:rPr>
                <w:rFonts w:ascii="Calibri" w:eastAsia="Times New Roman" w:hAnsi="Calibri" w:cs="Calibri"/>
                <w:b/>
                <w:bCs/>
                <w:color w:val="000000"/>
              </w:rPr>
              <w:t>hrs</w:t>
            </w:r>
            <w:proofErr w:type="spellEnd"/>
            <w:r>
              <w:rPr>
                <w:rFonts w:ascii="Calibri" w:eastAsia="Times New Roman" w:hAnsi="Calibri" w:cs="Calibri"/>
                <w:b/>
                <w:bCs/>
                <w:color w:val="000000"/>
              </w:rPr>
              <w:t>/event)</w:t>
            </w:r>
          </w:p>
        </w:tc>
        <w:tc>
          <w:tcPr>
            <w:tcW w:w="719" w:type="dxa"/>
            <w:noWrap/>
            <w:vAlign w:val="center"/>
            <w:hideMark/>
          </w:tcPr>
          <w:p w14:paraId="07CCB9E4"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w:t>
            </w:r>
          </w:p>
        </w:tc>
        <w:tc>
          <w:tcPr>
            <w:tcW w:w="720" w:type="dxa"/>
            <w:noWrap/>
            <w:vAlign w:val="center"/>
            <w:hideMark/>
          </w:tcPr>
          <w:p w14:paraId="54040AE9"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w:t>
            </w:r>
          </w:p>
        </w:tc>
        <w:tc>
          <w:tcPr>
            <w:tcW w:w="720" w:type="dxa"/>
            <w:noWrap/>
            <w:vAlign w:val="center"/>
            <w:hideMark/>
          </w:tcPr>
          <w:p w14:paraId="3A23777E"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w:t>
            </w:r>
          </w:p>
        </w:tc>
        <w:tc>
          <w:tcPr>
            <w:tcW w:w="900" w:type="dxa"/>
            <w:noWrap/>
            <w:vAlign w:val="center"/>
            <w:hideMark/>
          </w:tcPr>
          <w:p w14:paraId="7DABF75C"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w:t>
            </w:r>
          </w:p>
        </w:tc>
        <w:tc>
          <w:tcPr>
            <w:tcW w:w="900" w:type="dxa"/>
            <w:noWrap/>
            <w:vAlign w:val="center"/>
            <w:hideMark/>
          </w:tcPr>
          <w:p w14:paraId="493D756A"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w:t>
            </w:r>
          </w:p>
        </w:tc>
        <w:tc>
          <w:tcPr>
            <w:tcW w:w="810" w:type="dxa"/>
            <w:noWrap/>
            <w:vAlign w:val="center"/>
            <w:hideMark/>
          </w:tcPr>
          <w:p w14:paraId="55CE3A0D"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w:t>
            </w:r>
          </w:p>
        </w:tc>
        <w:tc>
          <w:tcPr>
            <w:tcW w:w="1129" w:type="dxa"/>
            <w:noWrap/>
            <w:vAlign w:val="center"/>
            <w:hideMark/>
          </w:tcPr>
          <w:p w14:paraId="6395D6B1"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w:t>
            </w:r>
          </w:p>
        </w:tc>
        <w:tc>
          <w:tcPr>
            <w:tcW w:w="4838" w:type="dxa"/>
            <w:tcBorders>
              <w:top w:val="single" w:sz="4" w:space="0" w:color="auto"/>
              <w:left w:val="single" w:sz="4" w:space="0" w:color="auto"/>
              <w:right w:val="single" w:sz="4" w:space="0" w:color="auto"/>
            </w:tcBorders>
            <w:vAlign w:val="center"/>
            <w:hideMark/>
          </w:tcPr>
          <w:p w14:paraId="065A3991" w14:textId="77777777" w:rsidR="00FB4304" w:rsidRDefault="00FB4304">
            <w:pPr>
              <w:spacing w:after="0" w:line="240" w:lineRule="auto"/>
              <w:rPr>
                <w:rFonts w:ascii="Calibri" w:eastAsia="Times New Roman" w:hAnsi="Calibri" w:cs="Calibri"/>
                <w:color w:val="000000"/>
              </w:rPr>
            </w:pPr>
            <w:r>
              <w:rPr>
                <w:rFonts w:ascii="Calibri" w:eastAsia="Times New Roman" w:hAnsi="Calibri" w:cs="Calibri"/>
                <w:color w:val="000000"/>
              </w:rPr>
              <w:t>Professional judgement</w:t>
            </w:r>
          </w:p>
        </w:tc>
      </w:tr>
      <w:tr w:rsidR="00FB4304" w14:paraId="1E580154" w14:textId="77777777" w:rsidTr="00077BB5">
        <w:trPr>
          <w:trHeight w:val="490"/>
        </w:trPr>
        <w:tc>
          <w:tcPr>
            <w:tcW w:w="3326" w:type="dxa"/>
            <w:gridSpan w:val="2"/>
            <w:tcBorders>
              <w:top w:val="nil"/>
              <w:left w:val="single" w:sz="4" w:space="0" w:color="auto"/>
              <w:bottom w:val="nil"/>
              <w:right w:val="single" w:sz="4" w:space="0" w:color="000000"/>
            </w:tcBorders>
            <w:shd w:val="clear" w:color="auto" w:fill="D9D9D9" w:themeFill="background1" w:themeFillShade="D9"/>
            <w:noWrap/>
            <w:vAlign w:val="center"/>
            <w:hideMark/>
          </w:tcPr>
          <w:p w14:paraId="345E2F20" w14:textId="77777777" w:rsidR="00FB4304" w:rsidRDefault="00FB4304">
            <w:pPr>
              <w:spacing w:after="0" w:line="240" w:lineRule="auto"/>
              <w:rPr>
                <w:rFonts w:ascii="Calibri" w:eastAsia="Times New Roman" w:hAnsi="Calibri" w:cs="Calibri"/>
                <w:b/>
                <w:bCs/>
              </w:rPr>
            </w:pPr>
            <w:r>
              <w:rPr>
                <w:rFonts w:ascii="Calibri" w:eastAsia="Times New Roman" w:hAnsi="Calibri" w:cs="Calibri"/>
                <w:b/>
                <w:bCs/>
              </w:rPr>
              <w:t>Event Frequency, EV (events/day)</w:t>
            </w:r>
          </w:p>
        </w:tc>
        <w:tc>
          <w:tcPr>
            <w:tcW w:w="719" w:type="dxa"/>
            <w:shd w:val="clear" w:color="auto" w:fill="D9D9D9" w:themeFill="background1" w:themeFillShade="D9"/>
            <w:noWrap/>
            <w:vAlign w:val="center"/>
            <w:hideMark/>
          </w:tcPr>
          <w:p w14:paraId="1C429C85" w14:textId="77777777" w:rsidR="00FB4304" w:rsidRDefault="00FB4304">
            <w:pPr>
              <w:spacing w:after="0" w:line="240" w:lineRule="auto"/>
              <w:jc w:val="center"/>
              <w:rPr>
                <w:rFonts w:eastAsia="Times New Roman" w:cstheme="minorHAnsi"/>
              </w:rPr>
            </w:pPr>
            <w:r>
              <w:rPr>
                <w:rFonts w:eastAsia="Times New Roman" w:cstheme="minorHAnsi"/>
              </w:rPr>
              <w:t>1</w:t>
            </w:r>
          </w:p>
        </w:tc>
        <w:tc>
          <w:tcPr>
            <w:tcW w:w="720" w:type="dxa"/>
            <w:shd w:val="clear" w:color="auto" w:fill="D9D9D9" w:themeFill="background1" w:themeFillShade="D9"/>
            <w:noWrap/>
            <w:vAlign w:val="center"/>
            <w:hideMark/>
          </w:tcPr>
          <w:p w14:paraId="427B4F24" w14:textId="77777777" w:rsidR="00FB4304" w:rsidRDefault="00FB4304">
            <w:pPr>
              <w:spacing w:after="0" w:line="240" w:lineRule="auto"/>
              <w:jc w:val="center"/>
              <w:rPr>
                <w:rFonts w:eastAsia="Times New Roman" w:cstheme="minorHAnsi"/>
              </w:rPr>
            </w:pPr>
            <w:r>
              <w:rPr>
                <w:rFonts w:eastAsia="Times New Roman" w:cstheme="minorHAnsi"/>
              </w:rPr>
              <w:t>1</w:t>
            </w:r>
          </w:p>
        </w:tc>
        <w:tc>
          <w:tcPr>
            <w:tcW w:w="720" w:type="dxa"/>
            <w:shd w:val="clear" w:color="auto" w:fill="D9D9D9" w:themeFill="background1" w:themeFillShade="D9"/>
            <w:noWrap/>
            <w:vAlign w:val="center"/>
            <w:hideMark/>
          </w:tcPr>
          <w:p w14:paraId="0F97F418" w14:textId="7F06B3A1" w:rsidR="00FB4304" w:rsidRDefault="00FB4304">
            <w:pPr>
              <w:spacing w:after="0" w:line="240" w:lineRule="auto"/>
              <w:jc w:val="center"/>
              <w:rPr>
                <w:rFonts w:eastAsia="Times New Roman" w:cstheme="minorHAnsi"/>
              </w:rPr>
            </w:pPr>
            <w:r>
              <w:rPr>
                <w:rFonts w:eastAsia="Times New Roman" w:cstheme="minorHAnsi"/>
              </w:rPr>
              <w:t>2</w:t>
            </w:r>
          </w:p>
        </w:tc>
        <w:tc>
          <w:tcPr>
            <w:tcW w:w="900" w:type="dxa"/>
            <w:shd w:val="clear" w:color="auto" w:fill="D9D9D9" w:themeFill="background1" w:themeFillShade="D9"/>
            <w:noWrap/>
            <w:vAlign w:val="center"/>
            <w:hideMark/>
          </w:tcPr>
          <w:p w14:paraId="537BF24B" w14:textId="5F5CBE75" w:rsidR="00FB4304" w:rsidRDefault="00FB4304">
            <w:pPr>
              <w:spacing w:after="0" w:line="240" w:lineRule="auto"/>
              <w:jc w:val="center"/>
              <w:rPr>
                <w:rFonts w:eastAsia="Times New Roman" w:cstheme="minorHAnsi"/>
              </w:rPr>
            </w:pPr>
            <w:r>
              <w:rPr>
                <w:rFonts w:eastAsia="Times New Roman" w:cstheme="minorHAnsi"/>
              </w:rPr>
              <w:t>2</w:t>
            </w:r>
          </w:p>
        </w:tc>
        <w:tc>
          <w:tcPr>
            <w:tcW w:w="900" w:type="dxa"/>
            <w:shd w:val="clear" w:color="auto" w:fill="D9D9D9" w:themeFill="background1" w:themeFillShade="D9"/>
            <w:noWrap/>
            <w:vAlign w:val="center"/>
            <w:hideMark/>
          </w:tcPr>
          <w:p w14:paraId="550AFC37" w14:textId="1658B502" w:rsidR="00FB4304" w:rsidRDefault="00FB4304">
            <w:pPr>
              <w:spacing w:after="0" w:line="240" w:lineRule="auto"/>
              <w:jc w:val="center"/>
              <w:rPr>
                <w:rFonts w:eastAsia="Times New Roman" w:cstheme="minorHAnsi"/>
              </w:rPr>
            </w:pPr>
            <w:r>
              <w:rPr>
                <w:rFonts w:eastAsia="Times New Roman" w:cstheme="minorHAnsi"/>
              </w:rPr>
              <w:t>2</w:t>
            </w:r>
          </w:p>
        </w:tc>
        <w:tc>
          <w:tcPr>
            <w:tcW w:w="810" w:type="dxa"/>
            <w:shd w:val="clear" w:color="auto" w:fill="D9D9D9" w:themeFill="background1" w:themeFillShade="D9"/>
            <w:noWrap/>
            <w:vAlign w:val="center"/>
            <w:hideMark/>
          </w:tcPr>
          <w:p w14:paraId="217AA313" w14:textId="729E87D8" w:rsidR="00FB4304" w:rsidRDefault="00FB4304">
            <w:pPr>
              <w:spacing w:after="0" w:line="240" w:lineRule="auto"/>
              <w:jc w:val="center"/>
              <w:rPr>
                <w:rFonts w:eastAsia="Times New Roman" w:cstheme="minorHAnsi"/>
              </w:rPr>
            </w:pPr>
            <w:r>
              <w:rPr>
                <w:rFonts w:eastAsia="Times New Roman" w:cstheme="minorHAnsi"/>
              </w:rPr>
              <w:t>2</w:t>
            </w:r>
          </w:p>
        </w:tc>
        <w:tc>
          <w:tcPr>
            <w:tcW w:w="1129" w:type="dxa"/>
            <w:tcBorders>
              <w:top w:val="nil"/>
              <w:left w:val="nil"/>
              <w:bottom w:val="nil"/>
              <w:right w:val="single" w:sz="4" w:space="0" w:color="auto"/>
            </w:tcBorders>
            <w:shd w:val="clear" w:color="auto" w:fill="D9D9D9" w:themeFill="background1" w:themeFillShade="D9"/>
            <w:noWrap/>
            <w:vAlign w:val="center"/>
            <w:hideMark/>
          </w:tcPr>
          <w:p w14:paraId="78CEC240" w14:textId="7CFADDBC" w:rsidR="00FB4304" w:rsidRDefault="00312527">
            <w:pPr>
              <w:spacing w:after="0" w:line="240" w:lineRule="auto"/>
              <w:jc w:val="center"/>
              <w:rPr>
                <w:rFonts w:eastAsia="Times New Roman" w:cstheme="minorHAnsi"/>
              </w:rPr>
            </w:pPr>
            <w:r>
              <w:rPr>
                <w:rFonts w:eastAsia="Times New Roman" w:cstheme="minorHAnsi"/>
              </w:rPr>
              <w:t>2</w:t>
            </w:r>
          </w:p>
        </w:tc>
        <w:tc>
          <w:tcPr>
            <w:tcW w:w="0" w:type="auto"/>
            <w:tcBorders>
              <w:left w:val="single" w:sz="4" w:space="0" w:color="auto"/>
              <w:bottom w:val="nil"/>
              <w:right w:val="single" w:sz="4" w:space="0" w:color="auto"/>
            </w:tcBorders>
            <w:shd w:val="clear" w:color="auto" w:fill="D9D9D9" w:themeFill="background1" w:themeFillShade="D9"/>
            <w:vAlign w:val="center"/>
            <w:hideMark/>
          </w:tcPr>
          <w:p w14:paraId="2EFF13DA" w14:textId="77777777" w:rsidR="00FB4304" w:rsidRDefault="00FB4304">
            <w:pPr>
              <w:spacing w:after="0" w:line="240" w:lineRule="auto"/>
              <w:rPr>
                <w:rFonts w:ascii="Calibri" w:eastAsia="Times New Roman" w:hAnsi="Calibri" w:cs="Calibri"/>
                <w:color w:val="000000"/>
              </w:rPr>
            </w:pPr>
            <w:r>
              <w:rPr>
                <w:rFonts w:ascii="Calibri" w:eastAsia="Times New Roman" w:hAnsi="Calibri" w:cs="Calibri"/>
                <w:i/>
                <w:iCs/>
                <w:color w:val="000000"/>
              </w:rPr>
              <w:t>Birth - &lt;2:</w:t>
            </w:r>
            <w:r>
              <w:rPr>
                <w:rFonts w:ascii="Calibri" w:eastAsia="Times New Roman" w:hAnsi="Calibri" w:cs="Calibri"/>
                <w:color w:val="000000"/>
              </w:rPr>
              <w:t xml:space="preserve"> Professional judgement</w:t>
            </w:r>
          </w:p>
          <w:p w14:paraId="0AA95CC1" w14:textId="28984F8F" w:rsidR="00FB4304" w:rsidRDefault="00FB4304">
            <w:pPr>
              <w:spacing w:after="0"/>
              <w:rPr>
                <w:rFonts w:ascii="Calibri" w:eastAsia="Times New Roman" w:hAnsi="Calibri" w:cs="Calibri"/>
                <w:color w:val="000000"/>
              </w:rPr>
            </w:pPr>
            <w:r>
              <w:rPr>
                <w:rFonts w:ascii="Calibri" w:eastAsia="Times New Roman" w:hAnsi="Calibri" w:cs="Calibri"/>
                <w:i/>
                <w:iCs/>
                <w:color w:val="000000"/>
              </w:rPr>
              <w:t xml:space="preserve">2 - </w:t>
            </w:r>
            <w:r w:rsidR="002E62DE">
              <w:rPr>
                <w:rFonts w:ascii="Calibri" w:eastAsia="Times New Roman" w:hAnsi="Calibri" w:cs="Calibri"/>
                <w:i/>
                <w:iCs/>
                <w:color w:val="000000"/>
              </w:rPr>
              <w:t>P</w:t>
            </w:r>
            <w:r>
              <w:rPr>
                <w:rFonts w:ascii="Calibri" w:eastAsia="Times New Roman" w:hAnsi="Calibri" w:cs="Calibri"/>
                <w:i/>
                <w:iCs/>
                <w:color w:val="000000"/>
              </w:rPr>
              <w:t>CBA:</w:t>
            </w:r>
            <w:r>
              <w:rPr>
                <w:rFonts w:ascii="Calibri" w:eastAsia="Times New Roman" w:hAnsi="Calibri" w:cs="Calibri"/>
                <w:color w:val="000000"/>
              </w:rPr>
              <w:t xml:space="preserve"> US EPA (1996) Table QBNp-17h;</w:t>
            </w:r>
          </w:p>
        </w:tc>
      </w:tr>
      <w:tr w:rsidR="00FB4304" w14:paraId="39EDBEEE" w14:textId="77777777" w:rsidTr="00077BB5">
        <w:trPr>
          <w:trHeight w:val="558"/>
        </w:trPr>
        <w:tc>
          <w:tcPr>
            <w:tcW w:w="3326" w:type="dxa"/>
            <w:gridSpan w:val="2"/>
            <w:tcBorders>
              <w:top w:val="nil"/>
              <w:left w:val="single" w:sz="4" w:space="0" w:color="auto"/>
              <w:bottom w:val="nil"/>
              <w:right w:val="single" w:sz="4" w:space="0" w:color="000000"/>
            </w:tcBorders>
            <w:shd w:val="clear" w:color="auto" w:fill="auto"/>
            <w:noWrap/>
            <w:vAlign w:val="center"/>
            <w:hideMark/>
          </w:tcPr>
          <w:p w14:paraId="3137A33F" w14:textId="77777777" w:rsidR="00FB4304" w:rsidRDefault="00FB4304">
            <w:pPr>
              <w:spacing w:after="0" w:line="240" w:lineRule="auto"/>
              <w:rPr>
                <w:rFonts w:ascii="Calibri" w:eastAsia="Times New Roman" w:hAnsi="Calibri" w:cs="Calibri"/>
                <w:b/>
                <w:bCs/>
                <w:color w:val="000000"/>
              </w:rPr>
            </w:pPr>
            <w:r>
              <w:rPr>
                <w:rFonts w:ascii="Calibri" w:eastAsia="Times New Roman" w:hAnsi="Calibri" w:cs="Calibri"/>
                <w:b/>
                <w:bCs/>
                <w:color w:val="000000"/>
              </w:rPr>
              <w:t>Exposure Frequency, EF (days/month)</w:t>
            </w:r>
          </w:p>
        </w:tc>
        <w:tc>
          <w:tcPr>
            <w:tcW w:w="719" w:type="dxa"/>
            <w:shd w:val="clear" w:color="auto" w:fill="auto"/>
            <w:noWrap/>
            <w:vAlign w:val="center"/>
            <w:hideMark/>
          </w:tcPr>
          <w:p w14:paraId="3E7E7669"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20</w:t>
            </w:r>
          </w:p>
        </w:tc>
        <w:tc>
          <w:tcPr>
            <w:tcW w:w="720" w:type="dxa"/>
            <w:shd w:val="clear" w:color="auto" w:fill="auto"/>
            <w:noWrap/>
            <w:vAlign w:val="center"/>
            <w:hideMark/>
          </w:tcPr>
          <w:p w14:paraId="149181C6"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20</w:t>
            </w:r>
          </w:p>
        </w:tc>
        <w:tc>
          <w:tcPr>
            <w:tcW w:w="720" w:type="dxa"/>
            <w:shd w:val="clear" w:color="auto" w:fill="auto"/>
            <w:noWrap/>
            <w:vAlign w:val="center"/>
            <w:hideMark/>
          </w:tcPr>
          <w:p w14:paraId="2D2C446D" w14:textId="31E3A443" w:rsidR="00FB4304" w:rsidRDefault="00FB4304">
            <w:pPr>
              <w:spacing w:after="0" w:line="240" w:lineRule="auto"/>
              <w:jc w:val="center"/>
              <w:rPr>
                <w:rFonts w:eastAsia="Times New Roman" w:cstheme="minorHAnsi"/>
                <w:color w:val="000000"/>
              </w:rPr>
            </w:pPr>
            <w:r>
              <w:rPr>
                <w:rFonts w:eastAsia="Times New Roman" w:cstheme="minorHAnsi"/>
                <w:color w:val="000000"/>
              </w:rPr>
              <w:t>30</w:t>
            </w:r>
          </w:p>
        </w:tc>
        <w:tc>
          <w:tcPr>
            <w:tcW w:w="900" w:type="dxa"/>
            <w:shd w:val="clear" w:color="auto" w:fill="auto"/>
            <w:noWrap/>
            <w:vAlign w:val="center"/>
            <w:hideMark/>
          </w:tcPr>
          <w:p w14:paraId="1649C59E"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30</w:t>
            </w:r>
          </w:p>
        </w:tc>
        <w:tc>
          <w:tcPr>
            <w:tcW w:w="900" w:type="dxa"/>
            <w:shd w:val="clear" w:color="auto" w:fill="auto"/>
            <w:noWrap/>
            <w:vAlign w:val="center"/>
            <w:hideMark/>
          </w:tcPr>
          <w:p w14:paraId="272F04D5"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30</w:t>
            </w:r>
          </w:p>
        </w:tc>
        <w:tc>
          <w:tcPr>
            <w:tcW w:w="810" w:type="dxa"/>
            <w:shd w:val="clear" w:color="auto" w:fill="auto"/>
            <w:noWrap/>
            <w:vAlign w:val="center"/>
            <w:hideMark/>
          </w:tcPr>
          <w:p w14:paraId="51D92F54"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30</w:t>
            </w:r>
          </w:p>
        </w:tc>
        <w:tc>
          <w:tcPr>
            <w:tcW w:w="1129" w:type="dxa"/>
            <w:shd w:val="clear" w:color="auto" w:fill="auto"/>
            <w:noWrap/>
            <w:vAlign w:val="center"/>
            <w:hideMark/>
          </w:tcPr>
          <w:p w14:paraId="13F97C17"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20</w:t>
            </w:r>
          </w:p>
        </w:tc>
        <w:tc>
          <w:tcPr>
            <w:tcW w:w="4838" w:type="dxa"/>
            <w:tcBorders>
              <w:top w:val="nil"/>
              <w:left w:val="single" w:sz="4" w:space="0" w:color="auto"/>
              <w:bottom w:val="nil"/>
              <w:right w:val="single" w:sz="4" w:space="0" w:color="000000"/>
            </w:tcBorders>
            <w:shd w:val="clear" w:color="auto" w:fill="auto"/>
            <w:vAlign w:val="center"/>
            <w:hideMark/>
          </w:tcPr>
          <w:p w14:paraId="651A3846" w14:textId="77777777" w:rsidR="00FB4304" w:rsidRPr="00497206" w:rsidRDefault="00FB4304">
            <w:pPr>
              <w:spacing w:after="0" w:line="240" w:lineRule="auto"/>
              <w:rPr>
                <w:rFonts w:ascii="Calibri" w:eastAsia="Times New Roman" w:hAnsi="Calibri" w:cs="Calibri"/>
                <w:color w:val="000000"/>
              </w:rPr>
            </w:pPr>
            <w:r w:rsidRPr="00497206">
              <w:rPr>
                <w:rFonts w:ascii="Calibri" w:eastAsia="Times New Roman" w:hAnsi="Calibri" w:cs="Calibri"/>
                <w:color w:val="000000"/>
              </w:rPr>
              <w:t xml:space="preserve">US EPA (1996) Table QBS-17g </w:t>
            </w:r>
          </w:p>
        </w:tc>
      </w:tr>
      <w:tr w:rsidR="00FB4304" w14:paraId="1C67D3D0" w14:textId="77777777" w:rsidTr="00077BB5">
        <w:trPr>
          <w:trHeight w:val="330"/>
        </w:trPr>
        <w:tc>
          <w:tcPr>
            <w:tcW w:w="3326" w:type="dxa"/>
            <w:gridSpan w:val="2"/>
            <w:tcBorders>
              <w:top w:val="nil"/>
              <w:left w:val="single" w:sz="4" w:space="0" w:color="auto"/>
              <w:bottom w:val="nil"/>
              <w:right w:val="single" w:sz="4" w:space="0" w:color="000000"/>
            </w:tcBorders>
            <w:shd w:val="clear" w:color="auto" w:fill="D9D9D9" w:themeFill="background1" w:themeFillShade="D9"/>
            <w:noWrap/>
            <w:vAlign w:val="center"/>
            <w:hideMark/>
          </w:tcPr>
          <w:p w14:paraId="70C280B5" w14:textId="77777777" w:rsidR="00FB4304" w:rsidRDefault="00FB4304">
            <w:pPr>
              <w:spacing w:after="0" w:line="240" w:lineRule="auto"/>
              <w:rPr>
                <w:rFonts w:ascii="Calibri" w:eastAsia="Times New Roman" w:hAnsi="Calibri" w:cs="Calibri"/>
                <w:b/>
                <w:bCs/>
                <w:color w:val="000000"/>
              </w:rPr>
            </w:pPr>
            <w:r>
              <w:rPr>
                <w:rFonts w:ascii="Calibri" w:eastAsia="Times New Roman" w:hAnsi="Calibri" w:cs="Calibri"/>
                <w:b/>
                <w:bCs/>
                <w:color w:val="000000"/>
              </w:rPr>
              <w:t>Exposure Duration, ED (months)</w:t>
            </w:r>
          </w:p>
        </w:tc>
        <w:tc>
          <w:tcPr>
            <w:tcW w:w="719" w:type="dxa"/>
            <w:shd w:val="clear" w:color="auto" w:fill="D9D9D9" w:themeFill="background1" w:themeFillShade="D9"/>
            <w:noWrap/>
            <w:vAlign w:val="center"/>
            <w:hideMark/>
          </w:tcPr>
          <w:p w14:paraId="70D08E32"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3.3</w:t>
            </w:r>
          </w:p>
        </w:tc>
        <w:tc>
          <w:tcPr>
            <w:tcW w:w="720" w:type="dxa"/>
            <w:shd w:val="clear" w:color="auto" w:fill="D9D9D9" w:themeFill="background1" w:themeFillShade="D9"/>
            <w:noWrap/>
            <w:vAlign w:val="center"/>
            <w:hideMark/>
          </w:tcPr>
          <w:p w14:paraId="0BEC0A7B"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3.3</w:t>
            </w:r>
          </w:p>
        </w:tc>
        <w:tc>
          <w:tcPr>
            <w:tcW w:w="720" w:type="dxa"/>
            <w:shd w:val="clear" w:color="auto" w:fill="D9D9D9" w:themeFill="background1" w:themeFillShade="D9"/>
            <w:noWrap/>
            <w:vAlign w:val="center"/>
            <w:hideMark/>
          </w:tcPr>
          <w:p w14:paraId="795ABCF7"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3.3</w:t>
            </w:r>
          </w:p>
        </w:tc>
        <w:tc>
          <w:tcPr>
            <w:tcW w:w="900" w:type="dxa"/>
            <w:shd w:val="clear" w:color="auto" w:fill="D9D9D9" w:themeFill="background1" w:themeFillShade="D9"/>
            <w:noWrap/>
            <w:vAlign w:val="center"/>
            <w:hideMark/>
          </w:tcPr>
          <w:p w14:paraId="291036FC"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3.3</w:t>
            </w:r>
          </w:p>
        </w:tc>
        <w:tc>
          <w:tcPr>
            <w:tcW w:w="900" w:type="dxa"/>
            <w:shd w:val="clear" w:color="auto" w:fill="D9D9D9" w:themeFill="background1" w:themeFillShade="D9"/>
            <w:noWrap/>
            <w:vAlign w:val="center"/>
            <w:hideMark/>
          </w:tcPr>
          <w:p w14:paraId="6E1A20B5"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3.3</w:t>
            </w:r>
          </w:p>
        </w:tc>
        <w:tc>
          <w:tcPr>
            <w:tcW w:w="810" w:type="dxa"/>
            <w:shd w:val="clear" w:color="auto" w:fill="D9D9D9" w:themeFill="background1" w:themeFillShade="D9"/>
            <w:noWrap/>
            <w:vAlign w:val="center"/>
            <w:hideMark/>
          </w:tcPr>
          <w:p w14:paraId="7B65C4AC"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3.3</w:t>
            </w:r>
          </w:p>
        </w:tc>
        <w:tc>
          <w:tcPr>
            <w:tcW w:w="1129" w:type="dxa"/>
            <w:shd w:val="clear" w:color="auto" w:fill="D9D9D9" w:themeFill="background1" w:themeFillShade="D9"/>
            <w:noWrap/>
            <w:vAlign w:val="center"/>
            <w:hideMark/>
          </w:tcPr>
          <w:p w14:paraId="0A3703AF"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3.3</w:t>
            </w:r>
          </w:p>
        </w:tc>
        <w:tc>
          <w:tcPr>
            <w:tcW w:w="4838" w:type="dxa"/>
            <w:tcBorders>
              <w:top w:val="nil"/>
              <w:left w:val="single" w:sz="4" w:space="0" w:color="auto"/>
              <w:bottom w:val="nil"/>
              <w:right w:val="single" w:sz="4" w:space="0" w:color="000000"/>
            </w:tcBorders>
            <w:shd w:val="clear" w:color="auto" w:fill="D9D9D9" w:themeFill="background1" w:themeFillShade="D9"/>
            <w:noWrap/>
            <w:vAlign w:val="center"/>
            <w:hideMark/>
          </w:tcPr>
          <w:p w14:paraId="7B94F429" w14:textId="77777777" w:rsidR="00FB4304" w:rsidRDefault="00FB4304">
            <w:pPr>
              <w:spacing w:after="0" w:line="240" w:lineRule="auto"/>
              <w:rPr>
                <w:rFonts w:ascii="Calibri" w:eastAsia="Times New Roman" w:hAnsi="Calibri" w:cs="Calibri"/>
                <w:color w:val="000000"/>
              </w:rPr>
            </w:pPr>
            <w:r>
              <w:rPr>
                <w:rFonts w:ascii="Calibri" w:eastAsia="Times New Roman" w:hAnsi="Calibri" w:cs="Calibri"/>
                <w:color w:val="000000"/>
              </w:rPr>
              <w:t>Professional judgement that swimming occurs between Memorial Day and Labor Day</w:t>
            </w:r>
          </w:p>
        </w:tc>
      </w:tr>
      <w:tr w:rsidR="00FB4304" w14:paraId="4CAF5D9F" w14:textId="77777777" w:rsidTr="00077BB5">
        <w:trPr>
          <w:trHeight w:val="330"/>
        </w:trPr>
        <w:tc>
          <w:tcPr>
            <w:tcW w:w="3055" w:type="dxa"/>
            <w:tcBorders>
              <w:top w:val="nil"/>
              <w:left w:val="single" w:sz="4" w:space="0" w:color="auto"/>
              <w:bottom w:val="nil"/>
              <w:right w:val="nil"/>
            </w:tcBorders>
            <w:shd w:val="clear" w:color="auto" w:fill="auto"/>
            <w:noWrap/>
            <w:vAlign w:val="center"/>
            <w:hideMark/>
          </w:tcPr>
          <w:p w14:paraId="5635A369" w14:textId="77777777" w:rsidR="00FB4304" w:rsidRDefault="00FB4304">
            <w:pPr>
              <w:spacing w:after="0" w:line="240" w:lineRule="auto"/>
              <w:rPr>
                <w:rFonts w:ascii="Calibri" w:eastAsia="Times New Roman" w:hAnsi="Calibri" w:cs="Calibri"/>
                <w:b/>
                <w:bCs/>
                <w:color w:val="000000"/>
              </w:rPr>
            </w:pPr>
            <w:r>
              <w:rPr>
                <w:rFonts w:ascii="Calibri" w:eastAsia="Times New Roman" w:hAnsi="Calibri" w:cs="Calibri"/>
                <w:b/>
                <w:bCs/>
                <w:color w:val="000000"/>
              </w:rPr>
              <w:t>Averaging Time, AT (days)</w:t>
            </w:r>
          </w:p>
        </w:tc>
        <w:tc>
          <w:tcPr>
            <w:tcW w:w="271" w:type="dxa"/>
            <w:tcBorders>
              <w:top w:val="nil"/>
              <w:left w:val="nil"/>
              <w:bottom w:val="nil"/>
              <w:right w:val="single" w:sz="4" w:space="0" w:color="auto"/>
            </w:tcBorders>
            <w:shd w:val="clear" w:color="auto" w:fill="auto"/>
            <w:noWrap/>
            <w:vAlign w:val="bottom"/>
            <w:hideMark/>
          </w:tcPr>
          <w:p w14:paraId="62CACC9B" w14:textId="77777777" w:rsidR="00FB4304" w:rsidRDefault="00FB4304">
            <w:pPr>
              <w:spacing w:after="0" w:line="240" w:lineRule="auto"/>
              <w:rPr>
                <w:rFonts w:ascii="Calibri" w:eastAsia="Times New Roman" w:hAnsi="Calibri" w:cs="Calibri"/>
                <w:b/>
                <w:bCs/>
                <w:color w:val="000000"/>
              </w:rPr>
            </w:pPr>
            <w:r>
              <w:rPr>
                <w:rFonts w:ascii="Calibri" w:eastAsia="Times New Roman" w:hAnsi="Calibri" w:cs="Calibri"/>
                <w:b/>
                <w:bCs/>
                <w:color w:val="000000"/>
              </w:rPr>
              <w:t> </w:t>
            </w:r>
          </w:p>
        </w:tc>
        <w:tc>
          <w:tcPr>
            <w:tcW w:w="719" w:type="dxa"/>
            <w:shd w:val="clear" w:color="auto" w:fill="auto"/>
            <w:noWrap/>
            <w:vAlign w:val="center"/>
            <w:hideMark/>
          </w:tcPr>
          <w:p w14:paraId="191851DE"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102</w:t>
            </w:r>
          </w:p>
        </w:tc>
        <w:tc>
          <w:tcPr>
            <w:tcW w:w="720" w:type="dxa"/>
            <w:shd w:val="clear" w:color="auto" w:fill="auto"/>
            <w:noWrap/>
            <w:vAlign w:val="center"/>
            <w:hideMark/>
          </w:tcPr>
          <w:p w14:paraId="55097947"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102</w:t>
            </w:r>
          </w:p>
        </w:tc>
        <w:tc>
          <w:tcPr>
            <w:tcW w:w="720" w:type="dxa"/>
            <w:shd w:val="clear" w:color="auto" w:fill="auto"/>
            <w:noWrap/>
            <w:vAlign w:val="center"/>
            <w:hideMark/>
          </w:tcPr>
          <w:p w14:paraId="677E8B82"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102</w:t>
            </w:r>
          </w:p>
        </w:tc>
        <w:tc>
          <w:tcPr>
            <w:tcW w:w="900" w:type="dxa"/>
            <w:shd w:val="clear" w:color="auto" w:fill="auto"/>
            <w:noWrap/>
            <w:vAlign w:val="center"/>
            <w:hideMark/>
          </w:tcPr>
          <w:p w14:paraId="7CBAD795"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102</w:t>
            </w:r>
          </w:p>
        </w:tc>
        <w:tc>
          <w:tcPr>
            <w:tcW w:w="900" w:type="dxa"/>
            <w:shd w:val="clear" w:color="auto" w:fill="auto"/>
            <w:noWrap/>
            <w:vAlign w:val="center"/>
            <w:hideMark/>
          </w:tcPr>
          <w:p w14:paraId="26ED7BC5"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102</w:t>
            </w:r>
          </w:p>
        </w:tc>
        <w:tc>
          <w:tcPr>
            <w:tcW w:w="810" w:type="dxa"/>
            <w:shd w:val="clear" w:color="auto" w:fill="auto"/>
            <w:noWrap/>
            <w:vAlign w:val="center"/>
            <w:hideMark/>
          </w:tcPr>
          <w:p w14:paraId="7FB20C27"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102</w:t>
            </w:r>
          </w:p>
        </w:tc>
        <w:tc>
          <w:tcPr>
            <w:tcW w:w="1129" w:type="dxa"/>
            <w:shd w:val="clear" w:color="auto" w:fill="auto"/>
            <w:noWrap/>
            <w:vAlign w:val="center"/>
            <w:hideMark/>
          </w:tcPr>
          <w:p w14:paraId="6C894155"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102</w:t>
            </w:r>
          </w:p>
        </w:tc>
        <w:tc>
          <w:tcPr>
            <w:tcW w:w="4838" w:type="dxa"/>
            <w:tcBorders>
              <w:top w:val="nil"/>
              <w:left w:val="single" w:sz="4" w:space="0" w:color="auto"/>
              <w:bottom w:val="nil"/>
              <w:right w:val="single" w:sz="4" w:space="0" w:color="000000"/>
            </w:tcBorders>
            <w:shd w:val="clear" w:color="auto" w:fill="auto"/>
            <w:noWrap/>
            <w:vAlign w:val="center"/>
            <w:hideMark/>
          </w:tcPr>
          <w:p w14:paraId="689C3BCF" w14:textId="77777777" w:rsidR="00FB4304" w:rsidRDefault="00FB4304">
            <w:pPr>
              <w:spacing w:after="0" w:line="240" w:lineRule="auto"/>
              <w:rPr>
                <w:rFonts w:ascii="Calibri" w:eastAsia="Times New Roman" w:hAnsi="Calibri" w:cs="Calibri"/>
                <w:color w:val="000000"/>
              </w:rPr>
            </w:pPr>
            <w:r>
              <w:rPr>
                <w:rFonts w:ascii="Calibri" w:eastAsia="Times New Roman" w:hAnsi="Calibri" w:cs="Calibri"/>
                <w:color w:val="000000"/>
              </w:rPr>
              <w:t>Dictated by exposure duration</w:t>
            </w:r>
          </w:p>
        </w:tc>
      </w:tr>
      <w:tr w:rsidR="00FB4304" w14:paraId="2BA1EA1D" w14:textId="77777777" w:rsidTr="00077BB5">
        <w:trPr>
          <w:trHeight w:val="290"/>
        </w:trPr>
        <w:tc>
          <w:tcPr>
            <w:tcW w:w="3055" w:type="dxa"/>
            <w:tcBorders>
              <w:top w:val="nil"/>
              <w:left w:val="single" w:sz="4" w:space="0" w:color="auto"/>
              <w:right w:val="nil"/>
            </w:tcBorders>
            <w:shd w:val="clear" w:color="auto" w:fill="D9D9D9" w:themeFill="background1" w:themeFillShade="D9"/>
            <w:noWrap/>
            <w:vAlign w:val="center"/>
            <w:hideMark/>
          </w:tcPr>
          <w:p w14:paraId="7EA78C67" w14:textId="77777777" w:rsidR="00FB4304" w:rsidRDefault="00FB4304">
            <w:pPr>
              <w:spacing w:after="0" w:line="240" w:lineRule="auto"/>
              <w:rPr>
                <w:rFonts w:ascii="Calibri" w:eastAsia="Times New Roman" w:hAnsi="Calibri" w:cs="Calibri"/>
                <w:b/>
                <w:bCs/>
                <w:color w:val="000000"/>
              </w:rPr>
            </w:pPr>
            <w:r>
              <w:rPr>
                <w:rFonts w:ascii="Calibri" w:eastAsia="Times New Roman" w:hAnsi="Calibri" w:cs="Calibri"/>
                <w:b/>
                <w:bCs/>
                <w:color w:val="000000"/>
              </w:rPr>
              <w:t>Body Weight, BW (kg)</w:t>
            </w:r>
          </w:p>
        </w:tc>
        <w:tc>
          <w:tcPr>
            <w:tcW w:w="271" w:type="dxa"/>
            <w:tcBorders>
              <w:top w:val="nil"/>
              <w:left w:val="nil"/>
              <w:right w:val="single" w:sz="4" w:space="0" w:color="auto"/>
            </w:tcBorders>
            <w:shd w:val="clear" w:color="auto" w:fill="D9D9D9" w:themeFill="background1" w:themeFillShade="D9"/>
            <w:noWrap/>
            <w:vAlign w:val="bottom"/>
            <w:hideMark/>
          </w:tcPr>
          <w:p w14:paraId="7CC23DFB" w14:textId="77777777" w:rsidR="00FB4304" w:rsidRDefault="00FB4304">
            <w:pPr>
              <w:rPr>
                <w:rFonts w:ascii="Calibri" w:eastAsia="Times New Roman" w:hAnsi="Calibri" w:cs="Calibri"/>
                <w:b/>
                <w:bCs/>
                <w:color w:val="000000"/>
              </w:rPr>
            </w:pPr>
          </w:p>
        </w:tc>
        <w:tc>
          <w:tcPr>
            <w:tcW w:w="719" w:type="dxa"/>
            <w:shd w:val="clear" w:color="auto" w:fill="D9D9D9" w:themeFill="background1" w:themeFillShade="D9"/>
            <w:noWrap/>
            <w:vAlign w:val="center"/>
            <w:hideMark/>
          </w:tcPr>
          <w:p w14:paraId="42D0BC0C"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7.8</w:t>
            </w:r>
          </w:p>
        </w:tc>
        <w:tc>
          <w:tcPr>
            <w:tcW w:w="720" w:type="dxa"/>
            <w:shd w:val="clear" w:color="auto" w:fill="D9D9D9" w:themeFill="background1" w:themeFillShade="D9"/>
            <w:noWrap/>
            <w:vAlign w:val="center"/>
            <w:hideMark/>
          </w:tcPr>
          <w:p w14:paraId="5CCAE78F"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11.4</w:t>
            </w:r>
          </w:p>
        </w:tc>
        <w:tc>
          <w:tcPr>
            <w:tcW w:w="720" w:type="dxa"/>
            <w:shd w:val="clear" w:color="auto" w:fill="D9D9D9" w:themeFill="background1" w:themeFillShade="D9"/>
            <w:noWrap/>
            <w:vAlign w:val="center"/>
            <w:hideMark/>
          </w:tcPr>
          <w:p w14:paraId="6F223290"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17.4</w:t>
            </w:r>
          </w:p>
        </w:tc>
        <w:tc>
          <w:tcPr>
            <w:tcW w:w="900" w:type="dxa"/>
            <w:shd w:val="clear" w:color="auto" w:fill="D9D9D9" w:themeFill="background1" w:themeFillShade="D9"/>
            <w:noWrap/>
            <w:vAlign w:val="center"/>
            <w:hideMark/>
          </w:tcPr>
          <w:p w14:paraId="0DFAA172"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31.8</w:t>
            </w:r>
          </w:p>
        </w:tc>
        <w:tc>
          <w:tcPr>
            <w:tcW w:w="900" w:type="dxa"/>
            <w:shd w:val="clear" w:color="auto" w:fill="D9D9D9" w:themeFill="background1" w:themeFillShade="D9"/>
            <w:noWrap/>
            <w:vAlign w:val="center"/>
            <w:hideMark/>
          </w:tcPr>
          <w:p w14:paraId="631051E0"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56.8</w:t>
            </w:r>
          </w:p>
        </w:tc>
        <w:tc>
          <w:tcPr>
            <w:tcW w:w="810" w:type="dxa"/>
            <w:shd w:val="clear" w:color="auto" w:fill="D9D9D9" w:themeFill="background1" w:themeFillShade="D9"/>
            <w:noWrap/>
            <w:vAlign w:val="center"/>
            <w:hideMark/>
          </w:tcPr>
          <w:p w14:paraId="0421F8D0"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71.6</w:t>
            </w:r>
          </w:p>
        </w:tc>
        <w:tc>
          <w:tcPr>
            <w:tcW w:w="1129" w:type="dxa"/>
            <w:tcBorders>
              <w:top w:val="nil"/>
              <w:left w:val="nil"/>
              <w:right w:val="single" w:sz="4" w:space="0" w:color="auto"/>
            </w:tcBorders>
            <w:shd w:val="clear" w:color="auto" w:fill="D9D9D9" w:themeFill="background1" w:themeFillShade="D9"/>
            <w:noWrap/>
            <w:vAlign w:val="center"/>
            <w:hideMark/>
          </w:tcPr>
          <w:p w14:paraId="2652EF66" w14:textId="77777777" w:rsidR="00FB4304" w:rsidRDefault="00FB4304">
            <w:pPr>
              <w:spacing w:after="0" w:line="240" w:lineRule="auto"/>
              <w:jc w:val="center"/>
              <w:rPr>
                <w:rFonts w:eastAsia="Times New Roman" w:cstheme="minorHAnsi"/>
                <w:color w:val="000000"/>
              </w:rPr>
            </w:pPr>
            <w:r>
              <w:rPr>
                <w:rFonts w:eastAsia="Times New Roman" w:cstheme="minorHAnsi"/>
                <w:color w:val="000000"/>
              </w:rPr>
              <w:t>68</w:t>
            </w:r>
          </w:p>
        </w:tc>
        <w:tc>
          <w:tcPr>
            <w:tcW w:w="4838" w:type="dxa"/>
            <w:tcBorders>
              <w:top w:val="nil"/>
              <w:left w:val="nil"/>
              <w:right w:val="single" w:sz="4" w:space="0" w:color="000000"/>
            </w:tcBorders>
            <w:shd w:val="clear" w:color="auto" w:fill="D9D9D9" w:themeFill="background1" w:themeFillShade="D9"/>
            <w:noWrap/>
            <w:vAlign w:val="bottom"/>
            <w:hideMark/>
          </w:tcPr>
          <w:p w14:paraId="56B6D97F" w14:textId="77777777" w:rsidR="00FB4304" w:rsidRDefault="00FB4304">
            <w:pPr>
              <w:spacing w:after="0" w:line="240" w:lineRule="auto"/>
              <w:rPr>
                <w:rFonts w:ascii="Calibri" w:eastAsia="Times New Roman" w:hAnsi="Calibri" w:cs="Calibri"/>
                <w:color w:val="000000"/>
              </w:rPr>
            </w:pPr>
            <w:r>
              <w:rPr>
                <w:rFonts w:ascii="Calibri" w:eastAsia="Times New Roman" w:hAnsi="Calibri" w:cs="Calibri"/>
                <w:i/>
                <w:iCs/>
                <w:color w:val="000000"/>
              </w:rPr>
              <w:t>Birth - &lt; 21:</w:t>
            </w:r>
            <w:r>
              <w:rPr>
                <w:rFonts w:ascii="Calibri" w:eastAsia="Times New Roman" w:hAnsi="Calibri" w:cs="Calibri"/>
                <w:color w:val="000000"/>
              </w:rPr>
              <w:t xml:space="preserve"> Mean for 1999-2006 NHANES (US EPA, 2011)</w:t>
            </w:r>
          </w:p>
          <w:p w14:paraId="3FC2B4E1" w14:textId="78CC8B29" w:rsidR="00FB4304" w:rsidRDefault="002E62DE">
            <w:pPr>
              <w:spacing w:after="0" w:line="240" w:lineRule="auto"/>
              <w:rPr>
                <w:rFonts w:ascii="Calibri" w:eastAsia="Times New Roman" w:hAnsi="Calibri" w:cs="Calibri"/>
                <w:color w:val="000000"/>
              </w:rPr>
            </w:pPr>
            <w:r>
              <w:rPr>
                <w:rFonts w:ascii="Calibri" w:eastAsia="Times New Roman" w:hAnsi="Calibri" w:cs="Calibri"/>
                <w:i/>
                <w:iCs/>
                <w:color w:val="000000"/>
              </w:rPr>
              <w:t>P</w:t>
            </w:r>
            <w:r w:rsidR="00FB4304">
              <w:rPr>
                <w:rFonts w:ascii="Calibri" w:eastAsia="Times New Roman" w:hAnsi="Calibri" w:cs="Calibri"/>
                <w:i/>
                <w:iCs/>
                <w:color w:val="000000"/>
              </w:rPr>
              <w:t>CBA:</w:t>
            </w:r>
            <w:r w:rsidR="00FB4304">
              <w:rPr>
                <w:rFonts w:ascii="Calibri" w:eastAsia="Times New Roman" w:hAnsi="Calibri" w:cs="Calibri"/>
                <w:color w:val="000000"/>
              </w:rPr>
              <w:t xml:space="preserve"> Exposure Dose Guidance (ATSDR, 2016)</w:t>
            </w:r>
          </w:p>
        </w:tc>
      </w:tr>
      <w:tr w:rsidR="00FB4304" w14:paraId="6F8C8466" w14:textId="77777777" w:rsidTr="00077BB5">
        <w:trPr>
          <w:trHeight w:val="350"/>
        </w:trPr>
        <w:tc>
          <w:tcPr>
            <w:tcW w:w="3055" w:type="dxa"/>
            <w:tcBorders>
              <w:top w:val="nil"/>
              <w:left w:val="single" w:sz="4" w:space="0" w:color="auto"/>
              <w:bottom w:val="single" w:sz="4" w:space="0" w:color="auto"/>
              <w:right w:val="nil"/>
            </w:tcBorders>
            <w:shd w:val="clear" w:color="auto" w:fill="auto"/>
            <w:noWrap/>
            <w:vAlign w:val="center"/>
            <w:hideMark/>
          </w:tcPr>
          <w:p w14:paraId="7D9F3439" w14:textId="77777777" w:rsidR="00FB4304" w:rsidRDefault="00FB4304">
            <w:pPr>
              <w:spacing w:after="0" w:line="240" w:lineRule="auto"/>
              <w:rPr>
                <w:rFonts w:ascii="Calibri" w:eastAsia="Times New Roman" w:hAnsi="Calibri" w:cs="Calibri"/>
                <w:b/>
                <w:bCs/>
                <w:color w:val="000000"/>
              </w:rPr>
            </w:pPr>
            <w:r>
              <w:rPr>
                <w:rFonts w:ascii="Calibri" w:eastAsia="Times New Roman" w:hAnsi="Calibri" w:cs="Calibri"/>
                <w:b/>
                <w:bCs/>
                <w:color w:val="000000"/>
              </w:rPr>
              <w:t>SW Ingestion Rate, IR (L/</w:t>
            </w:r>
            <w:proofErr w:type="spellStart"/>
            <w:r>
              <w:rPr>
                <w:rFonts w:ascii="Calibri" w:eastAsia="Times New Roman" w:hAnsi="Calibri" w:cs="Calibri"/>
                <w:b/>
                <w:bCs/>
                <w:color w:val="000000"/>
              </w:rPr>
              <w:t>hr</w:t>
            </w:r>
            <w:proofErr w:type="spellEnd"/>
            <w:r>
              <w:rPr>
                <w:rFonts w:ascii="Calibri" w:eastAsia="Times New Roman" w:hAnsi="Calibri" w:cs="Calibri"/>
                <w:b/>
                <w:bCs/>
                <w:color w:val="000000"/>
              </w:rPr>
              <w:t xml:space="preserve">) </w:t>
            </w:r>
          </w:p>
        </w:tc>
        <w:tc>
          <w:tcPr>
            <w:tcW w:w="271" w:type="dxa"/>
            <w:tcBorders>
              <w:bottom w:val="single" w:sz="4" w:space="0" w:color="auto"/>
            </w:tcBorders>
            <w:shd w:val="clear" w:color="auto" w:fill="auto"/>
            <w:noWrap/>
            <w:vAlign w:val="center"/>
            <w:hideMark/>
          </w:tcPr>
          <w:p w14:paraId="5FA358CE" w14:textId="77777777" w:rsidR="00FB4304" w:rsidRDefault="00FB4304">
            <w:pPr>
              <w:spacing w:after="0" w:line="240" w:lineRule="auto"/>
              <w:rPr>
                <w:rFonts w:ascii="Calibri" w:eastAsia="Times New Roman" w:hAnsi="Calibri" w:cs="Calibri"/>
                <w:b/>
                <w:bCs/>
                <w:color w:val="000000"/>
              </w:rPr>
            </w:pPr>
            <w:r>
              <w:rPr>
                <w:rFonts w:ascii="Calibri" w:eastAsia="Times New Roman" w:hAnsi="Calibri" w:cs="Calibri"/>
                <w:b/>
                <w:bCs/>
                <w:color w:val="000000"/>
              </w:rPr>
              <w:t> </w:t>
            </w:r>
          </w:p>
        </w:tc>
        <w:tc>
          <w:tcPr>
            <w:tcW w:w="719" w:type="dxa"/>
            <w:tcBorders>
              <w:top w:val="nil"/>
              <w:left w:val="single" w:sz="4" w:space="0" w:color="auto"/>
              <w:bottom w:val="single" w:sz="4" w:space="0" w:color="auto"/>
              <w:right w:val="nil"/>
            </w:tcBorders>
            <w:shd w:val="clear" w:color="auto" w:fill="auto"/>
            <w:noWrap/>
            <w:vAlign w:val="center"/>
            <w:hideMark/>
          </w:tcPr>
          <w:p w14:paraId="1892B878" w14:textId="630F273E" w:rsidR="00FB4304" w:rsidRDefault="00FB4304">
            <w:pPr>
              <w:spacing w:after="0" w:line="240" w:lineRule="auto"/>
              <w:jc w:val="center"/>
              <w:rPr>
                <w:rFonts w:eastAsia="Times New Roman" w:cstheme="minorHAnsi"/>
                <w:color w:val="000000"/>
              </w:rPr>
            </w:pPr>
            <w:r>
              <w:rPr>
                <w:rFonts w:eastAsia="Times New Roman" w:cstheme="minorHAnsi"/>
                <w:color w:val="000000"/>
              </w:rPr>
              <w:t>0.053</w:t>
            </w:r>
          </w:p>
        </w:tc>
        <w:tc>
          <w:tcPr>
            <w:tcW w:w="720" w:type="dxa"/>
            <w:tcBorders>
              <w:bottom w:val="single" w:sz="4" w:space="0" w:color="auto"/>
            </w:tcBorders>
            <w:shd w:val="clear" w:color="auto" w:fill="auto"/>
            <w:noWrap/>
            <w:vAlign w:val="center"/>
            <w:hideMark/>
          </w:tcPr>
          <w:p w14:paraId="4FBBA112" w14:textId="7D3A2861" w:rsidR="00FB4304" w:rsidRDefault="00FB4304">
            <w:pPr>
              <w:spacing w:after="0" w:line="240" w:lineRule="auto"/>
              <w:jc w:val="center"/>
              <w:rPr>
                <w:rFonts w:eastAsia="Times New Roman" w:cstheme="minorHAnsi"/>
                <w:color w:val="000000"/>
              </w:rPr>
            </w:pPr>
            <w:r>
              <w:rPr>
                <w:rFonts w:eastAsia="Times New Roman" w:cstheme="minorHAnsi"/>
                <w:color w:val="000000"/>
              </w:rPr>
              <w:t>0.053</w:t>
            </w:r>
          </w:p>
        </w:tc>
        <w:tc>
          <w:tcPr>
            <w:tcW w:w="720" w:type="dxa"/>
            <w:tcBorders>
              <w:bottom w:val="single" w:sz="4" w:space="0" w:color="auto"/>
            </w:tcBorders>
            <w:shd w:val="clear" w:color="auto" w:fill="auto"/>
            <w:noWrap/>
            <w:vAlign w:val="center"/>
            <w:hideMark/>
          </w:tcPr>
          <w:p w14:paraId="6C1F0255" w14:textId="4FF755FD" w:rsidR="00FB4304" w:rsidRDefault="00FB4304">
            <w:pPr>
              <w:spacing w:after="0" w:line="240" w:lineRule="auto"/>
              <w:jc w:val="center"/>
              <w:rPr>
                <w:rFonts w:eastAsia="Times New Roman" w:cstheme="minorHAnsi"/>
                <w:color w:val="000000"/>
              </w:rPr>
            </w:pPr>
            <w:r>
              <w:rPr>
                <w:rFonts w:eastAsia="Times New Roman" w:cstheme="minorHAnsi"/>
                <w:color w:val="000000"/>
              </w:rPr>
              <w:t>0.053</w:t>
            </w:r>
          </w:p>
        </w:tc>
        <w:tc>
          <w:tcPr>
            <w:tcW w:w="900" w:type="dxa"/>
            <w:tcBorders>
              <w:bottom w:val="single" w:sz="4" w:space="0" w:color="auto"/>
            </w:tcBorders>
            <w:shd w:val="clear" w:color="auto" w:fill="auto"/>
            <w:noWrap/>
            <w:vAlign w:val="center"/>
            <w:hideMark/>
          </w:tcPr>
          <w:p w14:paraId="7CA96C10" w14:textId="521C1742" w:rsidR="00FB4304" w:rsidRDefault="00FB4304">
            <w:pPr>
              <w:spacing w:after="0" w:line="240" w:lineRule="auto"/>
              <w:jc w:val="center"/>
              <w:rPr>
                <w:rFonts w:eastAsia="Times New Roman" w:cstheme="minorHAnsi"/>
                <w:color w:val="000000"/>
              </w:rPr>
            </w:pPr>
            <w:r>
              <w:rPr>
                <w:rFonts w:eastAsia="Times New Roman" w:cstheme="minorHAnsi"/>
                <w:color w:val="000000"/>
              </w:rPr>
              <w:t>0.053</w:t>
            </w:r>
          </w:p>
        </w:tc>
        <w:tc>
          <w:tcPr>
            <w:tcW w:w="900" w:type="dxa"/>
            <w:tcBorders>
              <w:bottom w:val="single" w:sz="4" w:space="0" w:color="auto"/>
            </w:tcBorders>
            <w:shd w:val="clear" w:color="auto" w:fill="auto"/>
            <w:noWrap/>
            <w:vAlign w:val="center"/>
            <w:hideMark/>
          </w:tcPr>
          <w:p w14:paraId="0AA3A551" w14:textId="24881555" w:rsidR="00FB4304" w:rsidRDefault="00FB4304">
            <w:pPr>
              <w:spacing w:after="0" w:line="240" w:lineRule="auto"/>
              <w:jc w:val="center"/>
              <w:rPr>
                <w:rFonts w:eastAsia="Times New Roman" w:cstheme="minorHAnsi"/>
                <w:color w:val="000000"/>
              </w:rPr>
            </w:pPr>
            <w:r>
              <w:rPr>
                <w:rFonts w:eastAsia="Times New Roman" w:cstheme="minorHAnsi"/>
                <w:color w:val="000000"/>
              </w:rPr>
              <w:t>0.048</w:t>
            </w:r>
          </w:p>
        </w:tc>
        <w:tc>
          <w:tcPr>
            <w:tcW w:w="810" w:type="dxa"/>
            <w:tcBorders>
              <w:bottom w:val="single" w:sz="4" w:space="0" w:color="auto"/>
            </w:tcBorders>
            <w:shd w:val="clear" w:color="auto" w:fill="auto"/>
            <w:noWrap/>
            <w:vAlign w:val="center"/>
            <w:hideMark/>
          </w:tcPr>
          <w:p w14:paraId="4309BF82" w14:textId="2EAE60BA" w:rsidR="00FB4304" w:rsidRDefault="00FB4304">
            <w:pPr>
              <w:spacing w:after="0" w:line="240" w:lineRule="auto"/>
              <w:jc w:val="center"/>
              <w:rPr>
                <w:rFonts w:eastAsia="Times New Roman" w:cstheme="minorHAnsi"/>
                <w:color w:val="000000"/>
              </w:rPr>
            </w:pPr>
            <w:r>
              <w:rPr>
                <w:rFonts w:eastAsia="Times New Roman" w:cstheme="minorHAnsi"/>
                <w:color w:val="000000"/>
              </w:rPr>
              <w:t>0.041</w:t>
            </w:r>
          </w:p>
        </w:tc>
        <w:tc>
          <w:tcPr>
            <w:tcW w:w="1129" w:type="dxa"/>
            <w:tcBorders>
              <w:top w:val="nil"/>
              <w:left w:val="nil"/>
              <w:bottom w:val="single" w:sz="4" w:space="0" w:color="auto"/>
              <w:right w:val="single" w:sz="4" w:space="0" w:color="auto"/>
            </w:tcBorders>
            <w:shd w:val="clear" w:color="auto" w:fill="auto"/>
            <w:noWrap/>
            <w:vAlign w:val="center"/>
            <w:hideMark/>
          </w:tcPr>
          <w:p w14:paraId="6804C912" w14:textId="02203311" w:rsidR="00FB4304" w:rsidRDefault="00FB4304">
            <w:pPr>
              <w:spacing w:after="0" w:line="240" w:lineRule="auto"/>
              <w:jc w:val="center"/>
              <w:rPr>
                <w:rFonts w:eastAsia="Times New Roman" w:cstheme="minorHAnsi"/>
                <w:color w:val="000000"/>
              </w:rPr>
            </w:pPr>
            <w:r>
              <w:rPr>
                <w:rFonts w:eastAsia="Times New Roman" w:cstheme="minorHAnsi"/>
                <w:color w:val="000000"/>
              </w:rPr>
              <w:t>0.048</w:t>
            </w:r>
          </w:p>
        </w:tc>
        <w:tc>
          <w:tcPr>
            <w:tcW w:w="4838" w:type="dxa"/>
            <w:tcBorders>
              <w:top w:val="nil"/>
              <w:left w:val="nil"/>
              <w:bottom w:val="single" w:sz="4" w:space="0" w:color="auto"/>
              <w:right w:val="single" w:sz="4" w:space="0" w:color="000000"/>
            </w:tcBorders>
            <w:shd w:val="clear" w:color="auto" w:fill="auto"/>
            <w:vAlign w:val="center"/>
            <w:hideMark/>
          </w:tcPr>
          <w:p w14:paraId="1AA2B87E" w14:textId="77777777" w:rsidR="00FB4304" w:rsidRPr="00674CE5" w:rsidRDefault="00FB4304">
            <w:pPr>
              <w:spacing w:after="0"/>
              <w:rPr>
                <w:rFonts w:ascii="Calibri" w:hAnsi="Calibri" w:cs="Calibri"/>
                <w:color w:val="000000"/>
              </w:rPr>
            </w:pPr>
            <w:r w:rsidRPr="001247C7">
              <w:rPr>
                <w:rFonts w:ascii="Calibri" w:hAnsi="Calibri" w:cs="Calibri"/>
                <w:color w:val="000000"/>
              </w:rPr>
              <w:t>US EPA (2019) Table 3-93</w:t>
            </w:r>
          </w:p>
        </w:tc>
      </w:tr>
    </w:tbl>
    <w:p w14:paraId="0D7F2E52" w14:textId="77777777" w:rsidR="00077BB5" w:rsidRDefault="00077BB5" w:rsidP="00077BB5">
      <w:pPr>
        <w:spacing w:after="0"/>
        <w:rPr>
          <w:i/>
          <w:iCs/>
          <w:sz w:val="20"/>
          <w:szCs w:val="20"/>
        </w:rPr>
      </w:pPr>
      <w:r w:rsidRPr="1CA4B720">
        <w:rPr>
          <w:i/>
          <w:iCs/>
          <w:sz w:val="20"/>
          <w:szCs w:val="20"/>
        </w:rPr>
        <w:t xml:space="preserve">[a] </w:t>
      </w:r>
      <w:r w:rsidRPr="00077BB5">
        <w:rPr>
          <w:sz w:val="20"/>
          <w:szCs w:val="20"/>
        </w:rPr>
        <w:t>People of child-bearing age (e.g. who are nursing, pregnant, or may become pregnant)</w:t>
      </w:r>
      <w:r w:rsidRPr="00F13D73">
        <w:rPr>
          <w:i/>
          <w:iCs/>
          <w:sz w:val="20"/>
          <w:szCs w:val="20"/>
        </w:rPr>
        <w:t>;</w:t>
      </w:r>
      <w:r w:rsidRPr="1CA4B720">
        <w:rPr>
          <w:i/>
          <w:iCs/>
          <w:sz w:val="20"/>
          <w:szCs w:val="20"/>
        </w:rPr>
        <w:t xml:space="preserve"> 15-45 years is used for this calculation per ATSDR (2016b).</w:t>
      </w:r>
    </w:p>
    <w:p w14:paraId="08ED36B3" w14:textId="6AF51A53" w:rsidR="00C92926" w:rsidRDefault="00C92926" w:rsidP="00497206">
      <w:pPr>
        <w:spacing w:after="0"/>
        <w:rPr>
          <w:sz w:val="18"/>
          <w:szCs w:val="18"/>
        </w:rPr>
      </w:pPr>
      <w:r>
        <w:rPr>
          <w:sz w:val="18"/>
          <w:szCs w:val="18"/>
        </w:rPr>
        <w:br w:type="page"/>
      </w:r>
    </w:p>
    <w:p w14:paraId="5491C640" w14:textId="6D0FA6C4" w:rsidR="00C92926" w:rsidRPr="00834878" w:rsidRDefault="00C92926" w:rsidP="008B2200">
      <w:pPr>
        <w:keepNext/>
        <w:keepLines/>
        <w:spacing w:after="0" w:line="240" w:lineRule="auto"/>
        <w:ind w:left="90"/>
        <w:rPr>
          <w:b/>
          <w:sz w:val="24"/>
          <w:szCs w:val="24"/>
        </w:rPr>
      </w:pPr>
      <w:r w:rsidRPr="00834878">
        <w:rPr>
          <w:b/>
          <w:sz w:val="24"/>
          <w:szCs w:val="24"/>
        </w:rPr>
        <w:lastRenderedPageBreak/>
        <w:t xml:space="preserve">Table </w:t>
      </w:r>
      <w:proofErr w:type="gramStart"/>
      <w:r w:rsidR="00DC01A4">
        <w:rPr>
          <w:b/>
          <w:sz w:val="24"/>
          <w:szCs w:val="24"/>
        </w:rPr>
        <w:t>A</w:t>
      </w:r>
      <w:r w:rsidR="0001329E">
        <w:rPr>
          <w:b/>
          <w:sz w:val="24"/>
          <w:szCs w:val="24"/>
        </w:rPr>
        <w:t>.</w:t>
      </w:r>
      <w:r w:rsidR="00846B34">
        <w:rPr>
          <w:b/>
          <w:sz w:val="24"/>
          <w:szCs w:val="24"/>
        </w:rPr>
        <w:t>3</w:t>
      </w:r>
      <w:r w:rsidR="0076216B">
        <w:rPr>
          <w:b/>
          <w:sz w:val="24"/>
          <w:szCs w:val="24"/>
        </w:rPr>
        <w:t>.</w:t>
      </w:r>
      <w:r w:rsidR="00312527">
        <w:rPr>
          <w:b/>
          <w:sz w:val="24"/>
          <w:szCs w:val="24"/>
        </w:rPr>
        <w:t>a</w:t>
      </w:r>
      <w:r w:rsidR="0076216B">
        <w:rPr>
          <w:b/>
          <w:sz w:val="24"/>
          <w:szCs w:val="24"/>
        </w:rPr>
        <w:t xml:space="preserve"> </w:t>
      </w:r>
      <w:r w:rsidRPr="00834878">
        <w:rPr>
          <w:b/>
          <w:sz w:val="24"/>
          <w:szCs w:val="24"/>
        </w:rPr>
        <w:t xml:space="preserve"> Exposure</w:t>
      </w:r>
      <w:proofErr w:type="gramEnd"/>
      <w:r w:rsidRPr="00834878">
        <w:rPr>
          <w:b/>
          <w:sz w:val="24"/>
          <w:szCs w:val="24"/>
        </w:rPr>
        <w:t xml:space="preserve"> Assumptions for Recreational Exposure to Surface Water</w:t>
      </w:r>
      <w:r>
        <w:rPr>
          <w:b/>
          <w:sz w:val="24"/>
          <w:szCs w:val="24"/>
        </w:rPr>
        <w:t xml:space="preserve"> – </w:t>
      </w:r>
      <w:r w:rsidR="00DC01A4">
        <w:rPr>
          <w:b/>
          <w:sz w:val="24"/>
          <w:szCs w:val="24"/>
        </w:rPr>
        <w:t xml:space="preserve">MCP/MassDEP-Based </w:t>
      </w:r>
      <w:proofErr w:type="spellStart"/>
      <w:r w:rsidR="002A6CC4">
        <w:rPr>
          <w:b/>
          <w:sz w:val="24"/>
          <w:szCs w:val="24"/>
        </w:rPr>
        <w:t>c</w:t>
      </w:r>
      <w:r w:rsidR="00DC01A4">
        <w:rPr>
          <w:b/>
          <w:sz w:val="24"/>
          <w:szCs w:val="24"/>
        </w:rPr>
        <w:t>SWAL</w:t>
      </w:r>
      <w:r w:rsidR="002A6CC4">
        <w:rPr>
          <w:b/>
          <w:sz w:val="24"/>
          <w:szCs w:val="24"/>
        </w:rPr>
        <w:t>s</w:t>
      </w:r>
      <w:proofErr w:type="spellEnd"/>
      <w:r>
        <w:rPr>
          <w:b/>
          <w:sz w:val="24"/>
          <w:szCs w:val="24"/>
        </w:rPr>
        <w:t xml:space="preserve"> </w:t>
      </w:r>
    </w:p>
    <w:tbl>
      <w:tblPr>
        <w:tblW w:w="11595" w:type="dxa"/>
        <w:tblLook w:val="04A0" w:firstRow="1" w:lastRow="0" w:firstColumn="1" w:lastColumn="0" w:noHBand="0" w:noVBand="1"/>
      </w:tblPr>
      <w:tblGrid>
        <w:gridCol w:w="3055"/>
        <w:gridCol w:w="271"/>
        <w:gridCol w:w="1169"/>
        <w:gridCol w:w="900"/>
        <w:gridCol w:w="1350"/>
        <w:gridCol w:w="4850"/>
      </w:tblGrid>
      <w:tr w:rsidR="001247C7" w14:paraId="5F88FAB7" w14:textId="77777777" w:rsidTr="002F68EA">
        <w:trPr>
          <w:trHeight w:val="290"/>
        </w:trPr>
        <w:tc>
          <w:tcPr>
            <w:tcW w:w="3326" w:type="dxa"/>
            <w:gridSpan w:val="2"/>
            <w:vMerge w:val="restart"/>
            <w:tcBorders>
              <w:top w:val="single" w:sz="4" w:space="0" w:color="auto"/>
              <w:left w:val="single" w:sz="4" w:space="0" w:color="auto"/>
              <w:bottom w:val="single" w:sz="4" w:space="0" w:color="auto"/>
              <w:right w:val="nil"/>
            </w:tcBorders>
            <w:shd w:val="clear" w:color="auto" w:fill="A6A6A6" w:themeFill="background1" w:themeFillShade="A6"/>
            <w:noWrap/>
            <w:vAlign w:val="bottom"/>
            <w:hideMark/>
          </w:tcPr>
          <w:p w14:paraId="19E61CD6" w14:textId="77777777" w:rsidR="001247C7" w:rsidRDefault="001247C7" w:rsidP="009500B2">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EXPOSURE PARAMETERS</w:t>
            </w:r>
          </w:p>
        </w:tc>
        <w:tc>
          <w:tcPr>
            <w:tcW w:w="3419" w:type="dxa"/>
            <w:gridSpan w:val="3"/>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bottom"/>
          </w:tcPr>
          <w:p w14:paraId="50480B41" w14:textId="2D0A53B4" w:rsidR="001247C7" w:rsidRDefault="001247C7" w:rsidP="009500B2">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AGE (YEARS)</w:t>
            </w:r>
          </w:p>
        </w:tc>
        <w:tc>
          <w:tcPr>
            <w:tcW w:w="4850" w:type="dxa"/>
            <w:vMerge w:val="restart"/>
            <w:tcBorders>
              <w:top w:val="single" w:sz="4" w:space="0" w:color="auto"/>
              <w:left w:val="single" w:sz="4" w:space="0" w:color="auto"/>
              <w:right w:val="single" w:sz="4" w:space="0" w:color="000000"/>
            </w:tcBorders>
            <w:shd w:val="clear" w:color="auto" w:fill="A6A6A6" w:themeFill="background1" w:themeFillShade="A6"/>
            <w:noWrap/>
            <w:vAlign w:val="bottom"/>
            <w:hideMark/>
          </w:tcPr>
          <w:p w14:paraId="3BD7C40D" w14:textId="77777777" w:rsidR="001247C7" w:rsidRDefault="001247C7" w:rsidP="009500B2">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BASIS</w:t>
            </w:r>
          </w:p>
        </w:tc>
      </w:tr>
      <w:tr w:rsidR="001247C7" w14:paraId="30228556" w14:textId="77777777" w:rsidTr="002F68EA">
        <w:trPr>
          <w:trHeight w:val="300"/>
        </w:trPr>
        <w:tc>
          <w:tcPr>
            <w:tcW w:w="0" w:type="auto"/>
            <w:gridSpan w:val="2"/>
            <w:vMerge/>
            <w:tcBorders>
              <w:top w:val="single" w:sz="4" w:space="0" w:color="auto"/>
              <w:left w:val="single" w:sz="4" w:space="0" w:color="auto"/>
              <w:bottom w:val="single" w:sz="4" w:space="0" w:color="auto"/>
              <w:right w:val="single" w:sz="4" w:space="0" w:color="000000" w:themeColor="text1"/>
            </w:tcBorders>
            <w:vAlign w:val="center"/>
            <w:hideMark/>
          </w:tcPr>
          <w:p w14:paraId="25073013" w14:textId="77777777" w:rsidR="001247C7" w:rsidRDefault="001247C7" w:rsidP="009500B2">
            <w:pPr>
              <w:spacing w:after="0"/>
              <w:rPr>
                <w:rFonts w:ascii="Calibri" w:eastAsia="Times New Roman" w:hAnsi="Calibri" w:cs="Calibri"/>
                <w:b/>
                <w:bCs/>
                <w:color w:val="000000"/>
                <w:sz w:val="24"/>
                <w:szCs w:val="24"/>
              </w:rPr>
            </w:pPr>
          </w:p>
        </w:tc>
        <w:tc>
          <w:tcPr>
            <w:tcW w:w="1169" w:type="dxa"/>
            <w:tcBorders>
              <w:top w:val="single" w:sz="4" w:space="0" w:color="auto"/>
              <w:left w:val="single" w:sz="4" w:space="0" w:color="000000" w:themeColor="text1"/>
              <w:bottom w:val="single" w:sz="4" w:space="0" w:color="auto"/>
              <w:right w:val="nil"/>
            </w:tcBorders>
            <w:shd w:val="clear" w:color="auto" w:fill="A6A6A6" w:themeFill="background1" w:themeFillShade="A6"/>
            <w:noWrap/>
            <w:vAlign w:val="bottom"/>
            <w:hideMark/>
          </w:tcPr>
          <w:p w14:paraId="71BA4E98" w14:textId="77777777" w:rsidR="001247C7" w:rsidRDefault="001247C7" w:rsidP="002F68EA">
            <w:pPr>
              <w:pBdr>
                <w:bottom w:val="single" w:sz="4" w:space="1" w:color="000000" w:themeColor="text1"/>
              </w:pBd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1 </w:t>
            </w:r>
          </w:p>
          <w:p w14:paraId="1366157B" w14:textId="77777777" w:rsidR="001247C7" w:rsidRDefault="001247C7" w:rsidP="002F68EA">
            <w:pPr>
              <w:pBdr>
                <w:bottom w:val="single" w:sz="4" w:space="1" w:color="000000" w:themeColor="text1"/>
              </w:pBd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&lt;2</w:t>
            </w:r>
          </w:p>
        </w:tc>
        <w:tc>
          <w:tcPr>
            <w:tcW w:w="900" w:type="dxa"/>
            <w:tcBorders>
              <w:top w:val="single" w:sz="4" w:space="0" w:color="auto"/>
              <w:left w:val="nil"/>
              <w:bottom w:val="single" w:sz="4" w:space="0" w:color="auto"/>
              <w:right w:val="nil"/>
            </w:tcBorders>
            <w:shd w:val="clear" w:color="auto" w:fill="A6A6A6" w:themeFill="background1" w:themeFillShade="A6"/>
            <w:noWrap/>
            <w:vAlign w:val="bottom"/>
            <w:hideMark/>
          </w:tcPr>
          <w:p w14:paraId="4E52D7B0" w14:textId="77777777" w:rsidR="001247C7" w:rsidRDefault="001247C7" w:rsidP="009500B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2 </w:t>
            </w:r>
          </w:p>
          <w:p w14:paraId="5B296A21" w14:textId="77777777" w:rsidR="001247C7" w:rsidRDefault="001247C7" w:rsidP="009500B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&lt;6</w:t>
            </w:r>
          </w:p>
        </w:tc>
        <w:tc>
          <w:tcPr>
            <w:tcW w:w="1350" w:type="dxa"/>
            <w:tcBorders>
              <w:top w:val="single" w:sz="4" w:space="0" w:color="auto"/>
              <w:left w:val="nil"/>
              <w:bottom w:val="single" w:sz="4" w:space="0" w:color="auto"/>
              <w:right w:val="nil"/>
            </w:tcBorders>
            <w:shd w:val="clear" w:color="auto" w:fill="A6A6A6" w:themeFill="background1" w:themeFillShade="A6"/>
            <w:noWrap/>
            <w:vAlign w:val="bottom"/>
            <w:hideMark/>
          </w:tcPr>
          <w:p w14:paraId="5ED9631B" w14:textId="77777777" w:rsidR="001247C7" w:rsidRDefault="001247C7" w:rsidP="009500B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6 </w:t>
            </w:r>
          </w:p>
          <w:p w14:paraId="54BBEAF5" w14:textId="0039F9DC" w:rsidR="001247C7" w:rsidRDefault="001247C7" w:rsidP="009500B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&lt;11</w:t>
            </w:r>
          </w:p>
        </w:tc>
        <w:tc>
          <w:tcPr>
            <w:tcW w:w="4850" w:type="dxa"/>
            <w:vMerge/>
            <w:tcBorders>
              <w:left w:val="single" w:sz="4" w:space="0" w:color="auto"/>
              <w:bottom w:val="single" w:sz="4" w:space="0" w:color="auto"/>
              <w:right w:val="single" w:sz="4" w:space="0" w:color="000000"/>
            </w:tcBorders>
            <w:vAlign w:val="center"/>
            <w:hideMark/>
          </w:tcPr>
          <w:p w14:paraId="542BD1F5" w14:textId="77777777" w:rsidR="001247C7" w:rsidRDefault="001247C7" w:rsidP="009500B2">
            <w:pPr>
              <w:spacing w:after="0"/>
              <w:rPr>
                <w:rFonts w:ascii="Calibri" w:eastAsia="Times New Roman" w:hAnsi="Calibri" w:cs="Calibri"/>
                <w:b/>
                <w:bCs/>
                <w:color w:val="000000"/>
                <w:sz w:val="24"/>
                <w:szCs w:val="24"/>
              </w:rPr>
            </w:pPr>
          </w:p>
        </w:tc>
      </w:tr>
      <w:tr w:rsidR="001247C7" w14:paraId="488BB50B" w14:textId="77777777" w:rsidTr="002F68EA">
        <w:trPr>
          <w:trHeight w:val="440"/>
        </w:trPr>
        <w:tc>
          <w:tcPr>
            <w:tcW w:w="3326" w:type="dxa"/>
            <w:gridSpan w:val="2"/>
            <w:tcBorders>
              <w:top w:val="single" w:sz="4" w:space="0" w:color="auto"/>
              <w:left w:val="single" w:sz="4" w:space="0" w:color="auto"/>
              <w:bottom w:val="nil"/>
              <w:right w:val="single" w:sz="4" w:space="0" w:color="000000"/>
            </w:tcBorders>
            <w:noWrap/>
            <w:vAlign w:val="center"/>
            <w:hideMark/>
          </w:tcPr>
          <w:p w14:paraId="37620C35" w14:textId="77777777" w:rsidR="001247C7" w:rsidRDefault="001247C7" w:rsidP="009500B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Event Duration, </w:t>
            </w:r>
            <w:proofErr w:type="spellStart"/>
            <w:r>
              <w:rPr>
                <w:rFonts w:ascii="Calibri" w:eastAsia="Times New Roman" w:hAnsi="Calibri" w:cs="Calibri"/>
                <w:b/>
                <w:bCs/>
                <w:color w:val="000000"/>
              </w:rPr>
              <w:t>t</w:t>
            </w:r>
            <w:r>
              <w:rPr>
                <w:rFonts w:ascii="Calibri" w:eastAsia="Times New Roman" w:hAnsi="Calibri" w:cs="Calibri"/>
                <w:b/>
                <w:bCs/>
                <w:color w:val="000000"/>
                <w:vertAlign w:val="subscript"/>
              </w:rPr>
              <w:t>event</w:t>
            </w:r>
            <w:proofErr w:type="spellEnd"/>
            <w:r>
              <w:rPr>
                <w:rFonts w:ascii="Calibri" w:eastAsia="Times New Roman" w:hAnsi="Calibri" w:cs="Calibri"/>
                <w:b/>
                <w:bCs/>
                <w:color w:val="000000"/>
              </w:rPr>
              <w:t xml:space="preserve"> (</w:t>
            </w:r>
            <w:proofErr w:type="spellStart"/>
            <w:r>
              <w:rPr>
                <w:rFonts w:ascii="Calibri" w:eastAsia="Times New Roman" w:hAnsi="Calibri" w:cs="Calibri"/>
                <w:b/>
                <w:bCs/>
                <w:color w:val="000000"/>
              </w:rPr>
              <w:t>hrs</w:t>
            </w:r>
            <w:proofErr w:type="spellEnd"/>
            <w:r>
              <w:rPr>
                <w:rFonts w:ascii="Calibri" w:eastAsia="Times New Roman" w:hAnsi="Calibri" w:cs="Calibri"/>
                <w:b/>
                <w:bCs/>
                <w:color w:val="000000"/>
              </w:rPr>
              <w:t>/event)</w:t>
            </w:r>
          </w:p>
        </w:tc>
        <w:tc>
          <w:tcPr>
            <w:tcW w:w="1169" w:type="dxa"/>
            <w:tcBorders>
              <w:top w:val="single" w:sz="4" w:space="0" w:color="auto"/>
            </w:tcBorders>
            <w:noWrap/>
            <w:vAlign w:val="center"/>
            <w:hideMark/>
          </w:tcPr>
          <w:p w14:paraId="5C01C518" w14:textId="77777777" w:rsidR="001247C7" w:rsidRDefault="001247C7" w:rsidP="009500B2">
            <w:pPr>
              <w:spacing w:after="0" w:line="240" w:lineRule="auto"/>
              <w:jc w:val="center"/>
              <w:rPr>
                <w:rFonts w:eastAsia="Times New Roman" w:cstheme="minorHAnsi"/>
                <w:color w:val="000000"/>
              </w:rPr>
            </w:pPr>
            <w:r>
              <w:rPr>
                <w:rFonts w:eastAsia="Times New Roman" w:cstheme="minorHAnsi"/>
                <w:color w:val="000000"/>
              </w:rPr>
              <w:t>1</w:t>
            </w:r>
          </w:p>
        </w:tc>
        <w:tc>
          <w:tcPr>
            <w:tcW w:w="900" w:type="dxa"/>
            <w:tcBorders>
              <w:top w:val="single" w:sz="4" w:space="0" w:color="auto"/>
            </w:tcBorders>
            <w:noWrap/>
            <w:vAlign w:val="center"/>
            <w:hideMark/>
          </w:tcPr>
          <w:p w14:paraId="4AF314F1" w14:textId="77777777" w:rsidR="001247C7" w:rsidRDefault="001247C7" w:rsidP="009500B2">
            <w:pPr>
              <w:spacing w:after="0" w:line="240" w:lineRule="auto"/>
              <w:jc w:val="center"/>
              <w:rPr>
                <w:rFonts w:eastAsia="Times New Roman" w:cstheme="minorHAnsi"/>
                <w:color w:val="000000"/>
              </w:rPr>
            </w:pPr>
            <w:r>
              <w:rPr>
                <w:rFonts w:eastAsia="Times New Roman" w:cstheme="minorHAnsi"/>
                <w:color w:val="000000"/>
              </w:rPr>
              <w:t>1</w:t>
            </w:r>
          </w:p>
        </w:tc>
        <w:tc>
          <w:tcPr>
            <w:tcW w:w="1350" w:type="dxa"/>
            <w:tcBorders>
              <w:top w:val="single" w:sz="4" w:space="0" w:color="auto"/>
            </w:tcBorders>
            <w:noWrap/>
            <w:vAlign w:val="center"/>
            <w:hideMark/>
          </w:tcPr>
          <w:p w14:paraId="6A77389D" w14:textId="77777777" w:rsidR="001247C7" w:rsidRDefault="001247C7" w:rsidP="009500B2">
            <w:pPr>
              <w:spacing w:after="0" w:line="240" w:lineRule="auto"/>
              <w:jc w:val="center"/>
              <w:rPr>
                <w:rFonts w:eastAsia="Times New Roman" w:cstheme="minorHAnsi"/>
                <w:color w:val="000000"/>
              </w:rPr>
            </w:pPr>
            <w:r>
              <w:rPr>
                <w:rFonts w:eastAsia="Times New Roman" w:cstheme="minorHAnsi"/>
                <w:color w:val="000000"/>
              </w:rPr>
              <w:t>1</w:t>
            </w:r>
          </w:p>
        </w:tc>
        <w:tc>
          <w:tcPr>
            <w:tcW w:w="4850" w:type="dxa"/>
            <w:tcBorders>
              <w:top w:val="single" w:sz="4" w:space="0" w:color="auto"/>
              <w:left w:val="single" w:sz="4" w:space="0" w:color="auto"/>
              <w:right w:val="single" w:sz="4" w:space="0" w:color="auto"/>
            </w:tcBorders>
            <w:vAlign w:val="center"/>
            <w:hideMark/>
          </w:tcPr>
          <w:p w14:paraId="0DD1E6B0" w14:textId="77777777" w:rsidR="001247C7" w:rsidRDefault="001247C7" w:rsidP="009500B2">
            <w:pPr>
              <w:spacing w:after="0" w:line="240" w:lineRule="auto"/>
              <w:rPr>
                <w:rFonts w:ascii="Calibri" w:eastAsia="Times New Roman" w:hAnsi="Calibri" w:cs="Calibri"/>
                <w:color w:val="000000"/>
              </w:rPr>
            </w:pPr>
            <w:r>
              <w:rPr>
                <w:rFonts w:ascii="Calibri" w:eastAsia="Times New Roman" w:hAnsi="Calibri" w:cs="Calibri"/>
                <w:color w:val="000000"/>
              </w:rPr>
              <w:t>Professional judgement</w:t>
            </w:r>
          </w:p>
        </w:tc>
      </w:tr>
      <w:tr w:rsidR="001247C7" w14:paraId="279CBF34" w14:textId="77777777" w:rsidTr="002F68EA">
        <w:trPr>
          <w:trHeight w:val="405"/>
        </w:trPr>
        <w:tc>
          <w:tcPr>
            <w:tcW w:w="3326" w:type="dxa"/>
            <w:gridSpan w:val="2"/>
            <w:tcBorders>
              <w:top w:val="nil"/>
              <w:left w:val="single" w:sz="4" w:space="0" w:color="auto"/>
              <w:bottom w:val="nil"/>
              <w:right w:val="single" w:sz="4" w:space="0" w:color="000000"/>
            </w:tcBorders>
            <w:shd w:val="clear" w:color="auto" w:fill="D9D9D9" w:themeFill="background1" w:themeFillShade="D9"/>
            <w:noWrap/>
            <w:vAlign w:val="center"/>
            <w:hideMark/>
          </w:tcPr>
          <w:p w14:paraId="32AD4F4C" w14:textId="77777777" w:rsidR="001247C7" w:rsidRDefault="001247C7" w:rsidP="009500B2">
            <w:pPr>
              <w:spacing w:after="0" w:line="240" w:lineRule="auto"/>
              <w:rPr>
                <w:rFonts w:ascii="Calibri" w:eastAsia="Times New Roman" w:hAnsi="Calibri" w:cs="Calibri"/>
                <w:b/>
                <w:bCs/>
              </w:rPr>
            </w:pPr>
            <w:r>
              <w:rPr>
                <w:rFonts w:ascii="Calibri" w:eastAsia="Times New Roman" w:hAnsi="Calibri" w:cs="Calibri"/>
                <w:b/>
                <w:bCs/>
              </w:rPr>
              <w:t>Event Frequency, EV (events/day)</w:t>
            </w:r>
          </w:p>
        </w:tc>
        <w:tc>
          <w:tcPr>
            <w:tcW w:w="1169" w:type="dxa"/>
            <w:shd w:val="clear" w:color="auto" w:fill="D9D9D9" w:themeFill="background1" w:themeFillShade="D9"/>
            <w:noWrap/>
            <w:vAlign w:val="center"/>
            <w:hideMark/>
          </w:tcPr>
          <w:p w14:paraId="397A47CC" w14:textId="33688DFC" w:rsidR="001247C7" w:rsidRDefault="002F68EA" w:rsidP="009500B2">
            <w:pPr>
              <w:spacing w:after="0" w:line="240" w:lineRule="auto"/>
              <w:jc w:val="center"/>
              <w:rPr>
                <w:rFonts w:eastAsia="Times New Roman" w:cstheme="minorHAnsi"/>
              </w:rPr>
            </w:pPr>
            <w:r>
              <w:rPr>
                <w:rFonts w:eastAsia="Times New Roman" w:cstheme="minorHAnsi"/>
              </w:rPr>
              <w:t>3</w:t>
            </w:r>
          </w:p>
        </w:tc>
        <w:tc>
          <w:tcPr>
            <w:tcW w:w="900" w:type="dxa"/>
            <w:shd w:val="clear" w:color="auto" w:fill="D9D9D9" w:themeFill="background1" w:themeFillShade="D9"/>
            <w:noWrap/>
            <w:vAlign w:val="center"/>
            <w:hideMark/>
          </w:tcPr>
          <w:p w14:paraId="232126EA" w14:textId="77777777" w:rsidR="001247C7" w:rsidRDefault="001247C7" w:rsidP="009500B2">
            <w:pPr>
              <w:spacing w:after="0" w:line="240" w:lineRule="auto"/>
              <w:jc w:val="center"/>
              <w:rPr>
                <w:rFonts w:eastAsia="Times New Roman" w:cstheme="minorHAnsi"/>
              </w:rPr>
            </w:pPr>
            <w:r>
              <w:rPr>
                <w:rFonts w:eastAsia="Times New Roman" w:cstheme="minorHAnsi"/>
              </w:rPr>
              <w:t>3</w:t>
            </w:r>
          </w:p>
        </w:tc>
        <w:tc>
          <w:tcPr>
            <w:tcW w:w="1350" w:type="dxa"/>
            <w:shd w:val="clear" w:color="auto" w:fill="D9D9D9" w:themeFill="background1" w:themeFillShade="D9"/>
            <w:noWrap/>
            <w:vAlign w:val="center"/>
            <w:hideMark/>
          </w:tcPr>
          <w:p w14:paraId="49DEB5A0" w14:textId="77777777" w:rsidR="001247C7" w:rsidRDefault="001247C7" w:rsidP="009500B2">
            <w:pPr>
              <w:spacing w:after="0" w:line="240" w:lineRule="auto"/>
              <w:jc w:val="center"/>
              <w:rPr>
                <w:rFonts w:eastAsia="Times New Roman" w:cstheme="minorHAnsi"/>
              </w:rPr>
            </w:pPr>
            <w:r>
              <w:rPr>
                <w:rFonts w:eastAsia="Times New Roman" w:cstheme="minorHAnsi"/>
              </w:rPr>
              <w:t>3</w:t>
            </w:r>
          </w:p>
        </w:tc>
        <w:tc>
          <w:tcPr>
            <w:tcW w:w="4850" w:type="dxa"/>
            <w:tcBorders>
              <w:left w:val="single" w:sz="4" w:space="0" w:color="auto"/>
              <w:bottom w:val="nil"/>
              <w:right w:val="single" w:sz="4" w:space="0" w:color="auto"/>
            </w:tcBorders>
            <w:shd w:val="clear" w:color="auto" w:fill="D9D9D9" w:themeFill="background1" w:themeFillShade="D9"/>
            <w:vAlign w:val="center"/>
            <w:hideMark/>
          </w:tcPr>
          <w:p w14:paraId="402A08B4" w14:textId="6B5CC988" w:rsidR="001247C7" w:rsidRDefault="001247C7" w:rsidP="009500B2">
            <w:pPr>
              <w:spacing w:after="0"/>
              <w:rPr>
                <w:rFonts w:ascii="Calibri" w:eastAsia="Times New Roman" w:hAnsi="Calibri" w:cs="Calibri"/>
                <w:color w:val="000000"/>
              </w:rPr>
            </w:pPr>
            <w:r>
              <w:rPr>
                <w:rFonts w:ascii="Calibri" w:eastAsia="Times New Roman" w:hAnsi="Calibri" w:cs="Calibri"/>
                <w:color w:val="000000"/>
              </w:rPr>
              <w:t>US EPA (1996) Table QBNp-17h;</w:t>
            </w:r>
          </w:p>
        </w:tc>
      </w:tr>
      <w:tr w:rsidR="001247C7" w:rsidRPr="00497206" w14:paraId="5DEF5BBB" w14:textId="77777777" w:rsidTr="002F68EA">
        <w:trPr>
          <w:trHeight w:val="585"/>
        </w:trPr>
        <w:tc>
          <w:tcPr>
            <w:tcW w:w="3326" w:type="dxa"/>
            <w:gridSpan w:val="2"/>
            <w:tcBorders>
              <w:top w:val="nil"/>
              <w:left w:val="single" w:sz="4" w:space="0" w:color="auto"/>
              <w:bottom w:val="nil"/>
              <w:right w:val="single" w:sz="4" w:space="0" w:color="000000"/>
            </w:tcBorders>
            <w:shd w:val="clear" w:color="auto" w:fill="auto"/>
            <w:noWrap/>
            <w:vAlign w:val="center"/>
            <w:hideMark/>
          </w:tcPr>
          <w:p w14:paraId="435FF140" w14:textId="77777777" w:rsidR="001247C7" w:rsidRDefault="001247C7" w:rsidP="009500B2">
            <w:pPr>
              <w:spacing w:after="0" w:line="240" w:lineRule="auto"/>
              <w:rPr>
                <w:rFonts w:ascii="Calibri" w:eastAsia="Times New Roman" w:hAnsi="Calibri" w:cs="Calibri"/>
                <w:b/>
                <w:bCs/>
                <w:color w:val="000000"/>
              </w:rPr>
            </w:pPr>
            <w:r>
              <w:rPr>
                <w:rFonts w:ascii="Calibri" w:eastAsia="Times New Roman" w:hAnsi="Calibri" w:cs="Calibri"/>
                <w:b/>
                <w:bCs/>
                <w:color w:val="000000"/>
              </w:rPr>
              <w:t>Exposure Frequency, EF (days/month)</w:t>
            </w:r>
          </w:p>
        </w:tc>
        <w:tc>
          <w:tcPr>
            <w:tcW w:w="1169" w:type="dxa"/>
            <w:shd w:val="clear" w:color="auto" w:fill="auto"/>
            <w:noWrap/>
            <w:vAlign w:val="center"/>
            <w:hideMark/>
          </w:tcPr>
          <w:p w14:paraId="52F09680" w14:textId="23D2465A" w:rsidR="001247C7" w:rsidRDefault="002F68EA" w:rsidP="009500B2">
            <w:pPr>
              <w:spacing w:after="0" w:line="240" w:lineRule="auto"/>
              <w:jc w:val="center"/>
              <w:rPr>
                <w:rFonts w:eastAsia="Times New Roman" w:cstheme="minorHAnsi"/>
                <w:color w:val="000000"/>
              </w:rPr>
            </w:pPr>
            <w:r>
              <w:rPr>
                <w:rFonts w:eastAsia="Times New Roman" w:cstheme="minorHAnsi"/>
                <w:color w:val="000000"/>
              </w:rPr>
              <w:t>3</w:t>
            </w:r>
            <w:r w:rsidR="001247C7">
              <w:rPr>
                <w:rFonts w:eastAsia="Times New Roman" w:cstheme="minorHAnsi"/>
                <w:color w:val="000000"/>
              </w:rPr>
              <w:t>0</w:t>
            </w:r>
          </w:p>
        </w:tc>
        <w:tc>
          <w:tcPr>
            <w:tcW w:w="900" w:type="dxa"/>
            <w:shd w:val="clear" w:color="auto" w:fill="auto"/>
            <w:noWrap/>
            <w:vAlign w:val="center"/>
            <w:hideMark/>
          </w:tcPr>
          <w:p w14:paraId="72CA7D6B" w14:textId="6FA30276" w:rsidR="001247C7" w:rsidRDefault="002F68EA" w:rsidP="009500B2">
            <w:pPr>
              <w:spacing w:after="0" w:line="240" w:lineRule="auto"/>
              <w:jc w:val="center"/>
              <w:rPr>
                <w:rFonts w:eastAsia="Times New Roman" w:cstheme="minorHAnsi"/>
                <w:color w:val="000000"/>
              </w:rPr>
            </w:pPr>
            <w:r>
              <w:rPr>
                <w:rFonts w:eastAsia="Times New Roman" w:cstheme="minorHAnsi"/>
                <w:color w:val="000000"/>
              </w:rPr>
              <w:t>3</w:t>
            </w:r>
            <w:r w:rsidR="001247C7">
              <w:rPr>
                <w:rFonts w:eastAsia="Times New Roman" w:cstheme="minorHAnsi"/>
                <w:color w:val="000000"/>
              </w:rPr>
              <w:t>0</w:t>
            </w:r>
          </w:p>
        </w:tc>
        <w:tc>
          <w:tcPr>
            <w:tcW w:w="1350" w:type="dxa"/>
            <w:shd w:val="clear" w:color="auto" w:fill="auto"/>
            <w:noWrap/>
            <w:vAlign w:val="center"/>
            <w:hideMark/>
          </w:tcPr>
          <w:p w14:paraId="5D3A78AA" w14:textId="77777777" w:rsidR="001247C7" w:rsidRDefault="001247C7" w:rsidP="009500B2">
            <w:pPr>
              <w:spacing w:after="0" w:line="240" w:lineRule="auto"/>
              <w:jc w:val="center"/>
              <w:rPr>
                <w:rFonts w:eastAsia="Times New Roman" w:cstheme="minorHAnsi"/>
                <w:color w:val="000000"/>
              </w:rPr>
            </w:pPr>
            <w:r>
              <w:rPr>
                <w:rFonts w:eastAsia="Times New Roman" w:cstheme="minorHAnsi"/>
                <w:color w:val="000000"/>
              </w:rPr>
              <w:t>30</w:t>
            </w:r>
          </w:p>
        </w:tc>
        <w:tc>
          <w:tcPr>
            <w:tcW w:w="4850" w:type="dxa"/>
            <w:tcBorders>
              <w:top w:val="nil"/>
              <w:left w:val="single" w:sz="4" w:space="0" w:color="auto"/>
              <w:bottom w:val="nil"/>
              <w:right w:val="single" w:sz="4" w:space="0" w:color="000000"/>
            </w:tcBorders>
            <w:shd w:val="clear" w:color="auto" w:fill="auto"/>
            <w:vAlign w:val="center"/>
            <w:hideMark/>
          </w:tcPr>
          <w:p w14:paraId="1F676DE3" w14:textId="77777777" w:rsidR="001247C7" w:rsidRPr="00497206" w:rsidRDefault="001247C7" w:rsidP="009500B2">
            <w:pPr>
              <w:spacing w:after="0" w:line="240" w:lineRule="auto"/>
              <w:rPr>
                <w:rFonts w:ascii="Calibri" w:eastAsia="Times New Roman" w:hAnsi="Calibri" w:cs="Calibri"/>
                <w:color w:val="000000"/>
              </w:rPr>
            </w:pPr>
            <w:r w:rsidRPr="00497206">
              <w:rPr>
                <w:rFonts w:ascii="Calibri" w:eastAsia="Times New Roman" w:hAnsi="Calibri" w:cs="Calibri"/>
                <w:color w:val="000000"/>
              </w:rPr>
              <w:t xml:space="preserve">US EPA (1996) Table QBS-17g </w:t>
            </w:r>
          </w:p>
        </w:tc>
      </w:tr>
      <w:tr w:rsidR="001247C7" w14:paraId="7EF6CA4C" w14:textId="77777777" w:rsidTr="001247C7">
        <w:trPr>
          <w:trHeight w:val="330"/>
        </w:trPr>
        <w:tc>
          <w:tcPr>
            <w:tcW w:w="3326" w:type="dxa"/>
            <w:gridSpan w:val="2"/>
            <w:tcBorders>
              <w:top w:val="nil"/>
              <w:left w:val="single" w:sz="4" w:space="0" w:color="auto"/>
              <w:bottom w:val="nil"/>
              <w:right w:val="single" w:sz="4" w:space="0" w:color="000000"/>
            </w:tcBorders>
            <w:shd w:val="clear" w:color="auto" w:fill="D9D9D9" w:themeFill="background1" w:themeFillShade="D9"/>
            <w:noWrap/>
            <w:vAlign w:val="center"/>
            <w:hideMark/>
          </w:tcPr>
          <w:p w14:paraId="429EEC9A" w14:textId="5EBEBF8B" w:rsidR="001247C7" w:rsidRDefault="001247C7" w:rsidP="009500B2">
            <w:pPr>
              <w:spacing w:after="0" w:line="240" w:lineRule="auto"/>
              <w:rPr>
                <w:rFonts w:ascii="Calibri" w:eastAsia="Times New Roman" w:hAnsi="Calibri" w:cs="Calibri"/>
                <w:b/>
                <w:bCs/>
                <w:color w:val="000000"/>
              </w:rPr>
            </w:pPr>
            <w:r>
              <w:rPr>
                <w:rFonts w:ascii="Calibri" w:eastAsia="Times New Roman" w:hAnsi="Calibri" w:cs="Calibri"/>
                <w:b/>
                <w:bCs/>
                <w:color w:val="000000"/>
              </w:rPr>
              <w:t>Exposure Duration, ED (months)</w:t>
            </w:r>
          </w:p>
        </w:tc>
        <w:tc>
          <w:tcPr>
            <w:tcW w:w="1169" w:type="dxa"/>
            <w:shd w:val="clear" w:color="auto" w:fill="D9D9D9" w:themeFill="background1" w:themeFillShade="D9"/>
            <w:noWrap/>
            <w:vAlign w:val="center"/>
            <w:hideMark/>
          </w:tcPr>
          <w:p w14:paraId="00A63582" w14:textId="77777777" w:rsidR="001247C7" w:rsidRDefault="001247C7" w:rsidP="009500B2">
            <w:pPr>
              <w:spacing w:after="0" w:line="240" w:lineRule="auto"/>
              <w:jc w:val="center"/>
              <w:rPr>
                <w:rFonts w:eastAsia="Times New Roman" w:cstheme="minorHAnsi"/>
                <w:color w:val="000000"/>
              </w:rPr>
            </w:pPr>
            <w:r>
              <w:rPr>
                <w:rFonts w:eastAsia="Times New Roman" w:cstheme="minorHAnsi"/>
                <w:color w:val="000000"/>
              </w:rPr>
              <w:t>3.3</w:t>
            </w:r>
          </w:p>
        </w:tc>
        <w:tc>
          <w:tcPr>
            <w:tcW w:w="900" w:type="dxa"/>
            <w:shd w:val="clear" w:color="auto" w:fill="D9D9D9" w:themeFill="background1" w:themeFillShade="D9"/>
            <w:noWrap/>
            <w:vAlign w:val="center"/>
            <w:hideMark/>
          </w:tcPr>
          <w:p w14:paraId="035F7F97" w14:textId="77777777" w:rsidR="001247C7" w:rsidRDefault="001247C7" w:rsidP="009500B2">
            <w:pPr>
              <w:spacing w:after="0" w:line="240" w:lineRule="auto"/>
              <w:jc w:val="center"/>
              <w:rPr>
                <w:rFonts w:eastAsia="Times New Roman" w:cstheme="minorHAnsi"/>
                <w:color w:val="000000"/>
              </w:rPr>
            </w:pPr>
            <w:r>
              <w:rPr>
                <w:rFonts w:eastAsia="Times New Roman" w:cstheme="minorHAnsi"/>
                <w:color w:val="000000"/>
              </w:rPr>
              <w:t>3.3</w:t>
            </w:r>
          </w:p>
        </w:tc>
        <w:tc>
          <w:tcPr>
            <w:tcW w:w="1350" w:type="dxa"/>
            <w:shd w:val="clear" w:color="auto" w:fill="D9D9D9" w:themeFill="background1" w:themeFillShade="D9"/>
            <w:noWrap/>
            <w:vAlign w:val="center"/>
            <w:hideMark/>
          </w:tcPr>
          <w:p w14:paraId="01AE82A7" w14:textId="77777777" w:rsidR="001247C7" w:rsidRDefault="001247C7" w:rsidP="009500B2">
            <w:pPr>
              <w:spacing w:after="0" w:line="240" w:lineRule="auto"/>
              <w:jc w:val="center"/>
              <w:rPr>
                <w:rFonts w:eastAsia="Times New Roman" w:cstheme="minorHAnsi"/>
                <w:color w:val="000000"/>
              </w:rPr>
            </w:pPr>
            <w:r>
              <w:rPr>
                <w:rFonts w:eastAsia="Times New Roman" w:cstheme="minorHAnsi"/>
                <w:color w:val="000000"/>
              </w:rPr>
              <w:t>3.3</w:t>
            </w:r>
          </w:p>
        </w:tc>
        <w:tc>
          <w:tcPr>
            <w:tcW w:w="4850" w:type="dxa"/>
            <w:tcBorders>
              <w:top w:val="nil"/>
              <w:left w:val="single" w:sz="4" w:space="0" w:color="auto"/>
              <w:bottom w:val="nil"/>
              <w:right w:val="single" w:sz="4" w:space="0" w:color="000000"/>
            </w:tcBorders>
            <w:shd w:val="clear" w:color="auto" w:fill="D9D9D9" w:themeFill="background1" w:themeFillShade="D9"/>
            <w:noWrap/>
            <w:vAlign w:val="center"/>
            <w:hideMark/>
          </w:tcPr>
          <w:p w14:paraId="7D45EF35" w14:textId="77777777" w:rsidR="001247C7" w:rsidRDefault="001247C7" w:rsidP="009500B2">
            <w:pPr>
              <w:spacing w:after="0" w:line="240" w:lineRule="auto"/>
              <w:rPr>
                <w:rFonts w:ascii="Calibri" w:eastAsia="Times New Roman" w:hAnsi="Calibri" w:cs="Calibri"/>
                <w:color w:val="000000"/>
              </w:rPr>
            </w:pPr>
            <w:r>
              <w:rPr>
                <w:rFonts w:ascii="Calibri" w:eastAsia="Times New Roman" w:hAnsi="Calibri" w:cs="Calibri"/>
                <w:color w:val="000000"/>
              </w:rPr>
              <w:t>Professional judgement that swimming occurs between Memorial Day and Labor Day</w:t>
            </w:r>
          </w:p>
        </w:tc>
      </w:tr>
      <w:tr w:rsidR="001247C7" w14:paraId="70414629" w14:textId="77777777" w:rsidTr="002F68EA">
        <w:trPr>
          <w:trHeight w:val="330"/>
        </w:trPr>
        <w:tc>
          <w:tcPr>
            <w:tcW w:w="3055" w:type="dxa"/>
            <w:tcBorders>
              <w:top w:val="nil"/>
              <w:left w:val="single" w:sz="4" w:space="0" w:color="auto"/>
              <w:bottom w:val="nil"/>
              <w:right w:val="nil"/>
            </w:tcBorders>
            <w:shd w:val="clear" w:color="auto" w:fill="auto"/>
            <w:noWrap/>
            <w:vAlign w:val="center"/>
            <w:hideMark/>
          </w:tcPr>
          <w:p w14:paraId="5CBBC429" w14:textId="77777777" w:rsidR="001247C7" w:rsidRDefault="001247C7" w:rsidP="009500B2">
            <w:pPr>
              <w:spacing w:after="0" w:line="240" w:lineRule="auto"/>
              <w:rPr>
                <w:rFonts w:ascii="Calibri" w:eastAsia="Times New Roman" w:hAnsi="Calibri" w:cs="Calibri"/>
                <w:b/>
                <w:bCs/>
                <w:color w:val="000000"/>
              </w:rPr>
            </w:pPr>
            <w:r>
              <w:rPr>
                <w:rFonts w:ascii="Calibri" w:eastAsia="Times New Roman" w:hAnsi="Calibri" w:cs="Calibri"/>
                <w:b/>
                <w:bCs/>
                <w:color w:val="000000"/>
              </w:rPr>
              <w:t>Averaging Time, AT (days)</w:t>
            </w:r>
          </w:p>
        </w:tc>
        <w:tc>
          <w:tcPr>
            <w:tcW w:w="271" w:type="dxa"/>
            <w:tcBorders>
              <w:top w:val="nil"/>
              <w:left w:val="nil"/>
              <w:bottom w:val="nil"/>
              <w:right w:val="single" w:sz="4" w:space="0" w:color="auto"/>
            </w:tcBorders>
            <w:shd w:val="clear" w:color="auto" w:fill="auto"/>
            <w:noWrap/>
            <w:vAlign w:val="bottom"/>
            <w:hideMark/>
          </w:tcPr>
          <w:p w14:paraId="2A615128" w14:textId="77777777" w:rsidR="001247C7" w:rsidRDefault="001247C7" w:rsidP="009500B2">
            <w:pPr>
              <w:spacing w:after="0" w:line="240" w:lineRule="auto"/>
              <w:rPr>
                <w:rFonts w:ascii="Calibri" w:eastAsia="Times New Roman" w:hAnsi="Calibri" w:cs="Calibri"/>
                <w:b/>
                <w:bCs/>
                <w:color w:val="000000"/>
              </w:rPr>
            </w:pPr>
            <w:r>
              <w:rPr>
                <w:rFonts w:ascii="Calibri" w:eastAsia="Times New Roman" w:hAnsi="Calibri" w:cs="Calibri"/>
                <w:b/>
                <w:bCs/>
                <w:color w:val="000000"/>
              </w:rPr>
              <w:t> </w:t>
            </w:r>
          </w:p>
        </w:tc>
        <w:tc>
          <w:tcPr>
            <w:tcW w:w="1169" w:type="dxa"/>
            <w:shd w:val="clear" w:color="auto" w:fill="auto"/>
            <w:noWrap/>
            <w:vAlign w:val="center"/>
            <w:hideMark/>
          </w:tcPr>
          <w:p w14:paraId="488A1E18" w14:textId="77777777" w:rsidR="001247C7" w:rsidRDefault="001247C7" w:rsidP="009500B2">
            <w:pPr>
              <w:spacing w:after="0" w:line="240" w:lineRule="auto"/>
              <w:jc w:val="center"/>
              <w:rPr>
                <w:rFonts w:eastAsia="Times New Roman" w:cstheme="minorHAnsi"/>
                <w:color w:val="000000"/>
              </w:rPr>
            </w:pPr>
            <w:r>
              <w:rPr>
                <w:rFonts w:eastAsia="Times New Roman" w:cstheme="minorHAnsi"/>
                <w:color w:val="000000"/>
              </w:rPr>
              <w:t>102</w:t>
            </w:r>
          </w:p>
        </w:tc>
        <w:tc>
          <w:tcPr>
            <w:tcW w:w="900" w:type="dxa"/>
            <w:shd w:val="clear" w:color="auto" w:fill="auto"/>
            <w:noWrap/>
            <w:vAlign w:val="center"/>
            <w:hideMark/>
          </w:tcPr>
          <w:p w14:paraId="75B14BAB" w14:textId="77777777" w:rsidR="001247C7" w:rsidRDefault="001247C7" w:rsidP="009500B2">
            <w:pPr>
              <w:spacing w:after="0" w:line="240" w:lineRule="auto"/>
              <w:jc w:val="center"/>
              <w:rPr>
                <w:rFonts w:eastAsia="Times New Roman" w:cstheme="minorHAnsi"/>
                <w:color w:val="000000"/>
              </w:rPr>
            </w:pPr>
            <w:r>
              <w:rPr>
                <w:rFonts w:eastAsia="Times New Roman" w:cstheme="minorHAnsi"/>
                <w:color w:val="000000"/>
              </w:rPr>
              <w:t>102</w:t>
            </w:r>
          </w:p>
        </w:tc>
        <w:tc>
          <w:tcPr>
            <w:tcW w:w="1350" w:type="dxa"/>
            <w:shd w:val="clear" w:color="auto" w:fill="auto"/>
            <w:noWrap/>
            <w:vAlign w:val="center"/>
            <w:hideMark/>
          </w:tcPr>
          <w:p w14:paraId="2DB0CDDE" w14:textId="77777777" w:rsidR="001247C7" w:rsidRDefault="001247C7" w:rsidP="009500B2">
            <w:pPr>
              <w:spacing w:after="0" w:line="240" w:lineRule="auto"/>
              <w:jc w:val="center"/>
              <w:rPr>
                <w:rFonts w:eastAsia="Times New Roman" w:cstheme="minorHAnsi"/>
                <w:color w:val="000000"/>
              </w:rPr>
            </w:pPr>
            <w:r>
              <w:rPr>
                <w:rFonts w:eastAsia="Times New Roman" w:cstheme="minorHAnsi"/>
                <w:color w:val="000000"/>
              </w:rPr>
              <w:t>102</w:t>
            </w:r>
          </w:p>
        </w:tc>
        <w:tc>
          <w:tcPr>
            <w:tcW w:w="4850" w:type="dxa"/>
            <w:tcBorders>
              <w:top w:val="nil"/>
              <w:left w:val="single" w:sz="4" w:space="0" w:color="auto"/>
              <w:bottom w:val="nil"/>
              <w:right w:val="single" w:sz="4" w:space="0" w:color="000000"/>
            </w:tcBorders>
            <w:shd w:val="clear" w:color="auto" w:fill="auto"/>
            <w:noWrap/>
            <w:vAlign w:val="center"/>
            <w:hideMark/>
          </w:tcPr>
          <w:p w14:paraId="71AF61A1" w14:textId="77777777" w:rsidR="001247C7" w:rsidRDefault="001247C7" w:rsidP="009500B2">
            <w:pPr>
              <w:spacing w:after="0" w:line="240" w:lineRule="auto"/>
              <w:rPr>
                <w:rFonts w:ascii="Calibri" w:eastAsia="Times New Roman" w:hAnsi="Calibri" w:cs="Calibri"/>
                <w:color w:val="000000"/>
              </w:rPr>
            </w:pPr>
            <w:r>
              <w:rPr>
                <w:rFonts w:ascii="Calibri" w:eastAsia="Times New Roman" w:hAnsi="Calibri" w:cs="Calibri"/>
                <w:color w:val="000000"/>
              </w:rPr>
              <w:t>Dictated by exposure duration</w:t>
            </w:r>
          </w:p>
        </w:tc>
      </w:tr>
      <w:tr w:rsidR="001247C7" w14:paraId="29DCEDAE" w14:textId="77777777" w:rsidTr="00585550">
        <w:trPr>
          <w:trHeight w:val="405"/>
        </w:trPr>
        <w:tc>
          <w:tcPr>
            <w:tcW w:w="3055" w:type="dxa"/>
            <w:tcBorders>
              <w:top w:val="nil"/>
              <w:left w:val="single" w:sz="4" w:space="0" w:color="auto"/>
              <w:right w:val="nil"/>
            </w:tcBorders>
            <w:shd w:val="clear" w:color="auto" w:fill="D9D9D9" w:themeFill="background1" w:themeFillShade="D9"/>
            <w:noWrap/>
            <w:vAlign w:val="center"/>
            <w:hideMark/>
          </w:tcPr>
          <w:p w14:paraId="132D89A9" w14:textId="77777777" w:rsidR="001247C7" w:rsidRDefault="001247C7" w:rsidP="009500B2">
            <w:pPr>
              <w:spacing w:after="0" w:line="240" w:lineRule="auto"/>
              <w:rPr>
                <w:rFonts w:ascii="Calibri" w:eastAsia="Times New Roman" w:hAnsi="Calibri" w:cs="Calibri"/>
                <w:b/>
                <w:bCs/>
                <w:color w:val="000000"/>
              </w:rPr>
            </w:pPr>
            <w:r>
              <w:rPr>
                <w:rFonts w:ascii="Calibri" w:eastAsia="Times New Roman" w:hAnsi="Calibri" w:cs="Calibri"/>
                <w:b/>
                <w:bCs/>
                <w:color w:val="000000"/>
              </w:rPr>
              <w:t>Body Weight, BW (kg)</w:t>
            </w:r>
          </w:p>
        </w:tc>
        <w:tc>
          <w:tcPr>
            <w:tcW w:w="271" w:type="dxa"/>
            <w:tcBorders>
              <w:top w:val="nil"/>
              <w:left w:val="nil"/>
              <w:right w:val="single" w:sz="4" w:space="0" w:color="000000" w:themeColor="text1"/>
            </w:tcBorders>
            <w:shd w:val="clear" w:color="auto" w:fill="D9D9D9" w:themeFill="background1" w:themeFillShade="D9"/>
            <w:noWrap/>
            <w:vAlign w:val="bottom"/>
            <w:hideMark/>
          </w:tcPr>
          <w:p w14:paraId="5506C81F" w14:textId="77777777" w:rsidR="001247C7" w:rsidRDefault="001247C7" w:rsidP="009500B2">
            <w:pPr>
              <w:rPr>
                <w:rFonts w:ascii="Calibri" w:eastAsia="Times New Roman" w:hAnsi="Calibri" w:cs="Calibri"/>
                <w:b/>
                <w:bCs/>
                <w:color w:val="000000"/>
              </w:rPr>
            </w:pPr>
          </w:p>
        </w:tc>
        <w:tc>
          <w:tcPr>
            <w:tcW w:w="1169" w:type="dxa"/>
            <w:tcBorders>
              <w:left w:val="single" w:sz="4" w:space="0" w:color="000000" w:themeColor="text1"/>
            </w:tcBorders>
            <w:shd w:val="clear" w:color="auto" w:fill="D9D9D9" w:themeFill="background1" w:themeFillShade="D9"/>
            <w:noWrap/>
            <w:vAlign w:val="center"/>
            <w:hideMark/>
          </w:tcPr>
          <w:p w14:paraId="094E936F" w14:textId="54FF170D" w:rsidR="001247C7" w:rsidRDefault="002F68EA" w:rsidP="009500B2">
            <w:pPr>
              <w:spacing w:after="0" w:line="240" w:lineRule="auto"/>
              <w:jc w:val="center"/>
              <w:rPr>
                <w:rFonts w:eastAsia="Times New Roman" w:cstheme="minorHAnsi"/>
                <w:color w:val="000000"/>
              </w:rPr>
            </w:pPr>
            <w:r>
              <w:rPr>
                <w:rFonts w:eastAsia="Times New Roman" w:cstheme="minorHAnsi"/>
                <w:color w:val="000000"/>
              </w:rPr>
              <w:t>17</w:t>
            </w:r>
          </w:p>
        </w:tc>
        <w:tc>
          <w:tcPr>
            <w:tcW w:w="900" w:type="dxa"/>
            <w:shd w:val="clear" w:color="auto" w:fill="D9D9D9" w:themeFill="background1" w:themeFillShade="D9"/>
            <w:noWrap/>
            <w:vAlign w:val="center"/>
            <w:hideMark/>
          </w:tcPr>
          <w:p w14:paraId="267AC4D2" w14:textId="5D4E3816" w:rsidR="001247C7" w:rsidRDefault="002F68EA" w:rsidP="009500B2">
            <w:pPr>
              <w:spacing w:after="0" w:line="240" w:lineRule="auto"/>
              <w:jc w:val="center"/>
              <w:rPr>
                <w:rFonts w:eastAsia="Times New Roman" w:cstheme="minorHAnsi"/>
                <w:color w:val="000000"/>
              </w:rPr>
            </w:pPr>
            <w:r>
              <w:rPr>
                <w:rFonts w:eastAsia="Times New Roman" w:cstheme="minorHAnsi"/>
                <w:color w:val="000000"/>
              </w:rPr>
              <w:t>39.9</w:t>
            </w:r>
          </w:p>
        </w:tc>
        <w:tc>
          <w:tcPr>
            <w:tcW w:w="1350" w:type="dxa"/>
            <w:tcBorders>
              <w:right w:val="single" w:sz="4" w:space="0" w:color="000000" w:themeColor="text1"/>
            </w:tcBorders>
            <w:shd w:val="clear" w:color="auto" w:fill="D9D9D9" w:themeFill="background1" w:themeFillShade="D9"/>
            <w:noWrap/>
            <w:vAlign w:val="center"/>
            <w:hideMark/>
          </w:tcPr>
          <w:p w14:paraId="4EDD76AF" w14:textId="2BE73B77" w:rsidR="001247C7" w:rsidRPr="002F68EA" w:rsidRDefault="002F68EA" w:rsidP="009500B2">
            <w:pPr>
              <w:spacing w:after="0" w:line="240" w:lineRule="auto"/>
              <w:jc w:val="center"/>
              <w:rPr>
                <w:rFonts w:eastAsia="Times New Roman" w:cstheme="minorHAnsi"/>
                <w:color w:val="000000"/>
              </w:rPr>
            </w:pPr>
            <w:r>
              <w:rPr>
                <w:rFonts w:eastAsia="Times New Roman" w:cstheme="minorHAnsi"/>
                <w:color w:val="000000"/>
              </w:rPr>
              <w:t>58.7</w:t>
            </w:r>
          </w:p>
        </w:tc>
        <w:tc>
          <w:tcPr>
            <w:tcW w:w="4850" w:type="dxa"/>
            <w:tcBorders>
              <w:top w:val="nil"/>
              <w:left w:val="single" w:sz="4" w:space="0" w:color="000000" w:themeColor="text1"/>
              <w:right w:val="single" w:sz="4" w:space="0" w:color="000000"/>
            </w:tcBorders>
            <w:shd w:val="clear" w:color="auto" w:fill="D9D9D9" w:themeFill="background1" w:themeFillShade="D9"/>
            <w:noWrap/>
            <w:vAlign w:val="center"/>
            <w:hideMark/>
          </w:tcPr>
          <w:p w14:paraId="5183017D" w14:textId="67159605" w:rsidR="001247C7" w:rsidRPr="002F68EA" w:rsidRDefault="002F68EA" w:rsidP="002F68EA">
            <w:pPr>
              <w:spacing w:after="0" w:line="240" w:lineRule="auto"/>
              <w:rPr>
                <w:rFonts w:ascii="Calibri" w:eastAsia="Times New Roman" w:hAnsi="Calibri" w:cs="Calibri"/>
                <w:color w:val="000000"/>
              </w:rPr>
            </w:pPr>
            <w:r w:rsidRPr="002F68EA">
              <w:rPr>
                <w:rFonts w:ascii="Calibri" w:eastAsia="Times New Roman" w:hAnsi="Calibri" w:cs="Calibri"/>
                <w:color w:val="000000"/>
              </w:rPr>
              <w:t>MCP Guidance (MassDEP, 2015)</w:t>
            </w:r>
          </w:p>
        </w:tc>
      </w:tr>
      <w:tr w:rsidR="001247C7" w:rsidRPr="00674CE5" w14:paraId="4F81CA07" w14:textId="77777777" w:rsidTr="00585550">
        <w:trPr>
          <w:trHeight w:val="350"/>
        </w:trPr>
        <w:tc>
          <w:tcPr>
            <w:tcW w:w="3055" w:type="dxa"/>
            <w:tcBorders>
              <w:top w:val="nil"/>
              <w:left w:val="single" w:sz="4" w:space="0" w:color="auto"/>
              <w:bottom w:val="single" w:sz="4" w:space="0" w:color="auto"/>
              <w:right w:val="nil"/>
            </w:tcBorders>
            <w:shd w:val="clear" w:color="auto" w:fill="auto"/>
            <w:noWrap/>
            <w:vAlign w:val="center"/>
            <w:hideMark/>
          </w:tcPr>
          <w:p w14:paraId="1B96FAD0" w14:textId="77777777" w:rsidR="001247C7" w:rsidRDefault="001247C7" w:rsidP="009500B2">
            <w:pPr>
              <w:spacing w:after="0" w:line="240" w:lineRule="auto"/>
              <w:rPr>
                <w:rFonts w:ascii="Calibri" w:eastAsia="Times New Roman" w:hAnsi="Calibri" w:cs="Calibri"/>
                <w:b/>
                <w:bCs/>
                <w:color w:val="000000"/>
              </w:rPr>
            </w:pPr>
            <w:r>
              <w:rPr>
                <w:rFonts w:ascii="Calibri" w:eastAsia="Times New Roman" w:hAnsi="Calibri" w:cs="Calibri"/>
                <w:b/>
                <w:bCs/>
                <w:color w:val="000000"/>
              </w:rPr>
              <w:t>SW Ingestion Rate, IR (L/</w:t>
            </w:r>
            <w:proofErr w:type="spellStart"/>
            <w:r>
              <w:rPr>
                <w:rFonts w:ascii="Calibri" w:eastAsia="Times New Roman" w:hAnsi="Calibri" w:cs="Calibri"/>
                <w:b/>
                <w:bCs/>
                <w:color w:val="000000"/>
              </w:rPr>
              <w:t>hr</w:t>
            </w:r>
            <w:proofErr w:type="spellEnd"/>
            <w:r>
              <w:rPr>
                <w:rFonts w:ascii="Calibri" w:eastAsia="Times New Roman" w:hAnsi="Calibri" w:cs="Calibri"/>
                <w:b/>
                <w:bCs/>
                <w:color w:val="000000"/>
              </w:rPr>
              <w:t xml:space="preserve">) </w:t>
            </w:r>
          </w:p>
        </w:tc>
        <w:tc>
          <w:tcPr>
            <w:tcW w:w="271" w:type="dxa"/>
            <w:tcBorders>
              <w:bottom w:val="single" w:sz="4" w:space="0" w:color="auto"/>
              <w:right w:val="single" w:sz="4" w:space="0" w:color="000000" w:themeColor="text1"/>
            </w:tcBorders>
            <w:shd w:val="clear" w:color="auto" w:fill="auto"/>
            <w:noWrap/>
            <w:vAlign w:val="center"/>
            <w:hideMark/>
          </w:tcPr>
          <w:p w14:paraId="0A20C5CC" w14:textId="77777777" w:rsidR="001247C7" w:rsidRDefault="001247C7" w:rsidP="009500B2">
            <w:pPr>
              <w:spacing w:after="0" w:line="240" w:lineRule="auto"/>
              <w:rPr>
                <w:rFonts w:ascii="Calibri" w:eastAsia="Times New Roman" w:hAnsi="Calibri" w:cs="Calibri"/>
                <w:b/>
                <w:bCs/>
                <w:color w:val="000000"/>
              </w:rPr>
            </w:pPr>
            <w:r>
              <w:rPr>
                <w:rFonts w:ascii="Calibri" w:eastAsia="Times New Roman" w:hAnsi="Calibri" w:cs="Calibri"/>
                <w:b/>
                <w:bCs/>
                <w:color w:val="000000"/>
              </w:rPr>
              <w:t> </w:t>
            </w:r>
          </w:p>
        </w:tc>
        <w:tc>
          <w:tcPr>
            <w:tcW w:w="1169" w:type="dxa"/>
            <w:tcBorders>
              <w:left w:val="single" w:sz="4" w:space="0" w:color="000000" w:themeColor="text1"/>
              <w:bottom w:val="single" w:sz="4" w:space="0" w:color="auto"/>
            </w:tcBorders>
            <w:shd w:val="clear" w:color="auto" w:fill="auto"/>
            <w:noWrap/>
            <w:vAlign w:val="center"/>
            <w:hideMark/>
          </w:tcPr>
          <w:p w14:paraId="06DA8371" w14:textId="77777777" w:rsidR="001247C7" w:rsidRDefault="001247C7" w:rsidP="009500B2">
            <w:pPr>
              <w:spacing w:after="0" w:line="240" w:lineRule="auto"/>
              <w:jc w:val="center"/>
              <w:rPr>
                <w:rFonts w:eastAsia="Times New Roman" w:cstheme="minorHAnsi"/>
                <w:color w:val="000000"/>
              </w:rPr>
            </w:pPr>
            <w:r>
              <w:rPr>
                <w:rFonts w:eastAsia="Times New Roman" w:cstheme="minorHAnsi"/>
                <w:color w:val="000000"/>
              </w:rPr>
              <w:t>0.152</w:t>
            </w:r>
          </w:p>
        </w:tc>
        <w:tc>
          <w:tcPr>
            <w:tcW w:w="900" w:type="dxa"/>
            <w:tcBorders>
              <w:bottom w:val="single" w:sz="4" w:space="0" w:color="auto"/>
            </w:tcBorders>
            <w:shd w:val="clear" w:color="auto" w:fill="auto"/>
            <w:noWrap/>
            <w:vAlign w:val="center"/>
            <w:hideMark/>
          </w:tcPr>
          <w:p w14:paraId="07F148F7" w14:textId="77777777" w:rsidR="001247C7" w:rsidRDefault="001247C7" w:rsidP="009500B2">
            <w:pPr>
              <w:spacing w:after="0" w:line="240" w:lineRule="auto"/>
              <w:jc w:val="center"/>
              <w:rPr>
                <w:rFonts w:eastAsia="Times New Roman" w:cstheme="minorHAnsi"/>
                <w:color w:val="000000"/>
              </w:rPr>
            </w:pPr>
            <w:r>
              <w:rPr>
                <w:rFonts w:eastAsia="Times New Roman" w:cstheme="minorHAnsi"/>
                <w:color w:val="000000"/>
              </w:rPr>
              <w:t>0.152</w:t>
            </w:r>
          </w:p>
        </w:tc>
        <w:tc>
          <w:tcPr>
            <w:tcW w:w="1350" w:type="dxa"/>
            <w:tcBorders>
              <w:bottom w:val="single" w:sz="4" w:space="0" w:color="auto"/>
              <w:right w:val="single" w:sz="4" w:space="0" w:color="000000" w:themeColor="text1"/>
            </w:tcBorders>
            <w:shd w:val="clear" w:color="auto" w:fill="auto"/>
            <w:noWrap/>
            <w:vAlign w:val="center"/>
            <w:hideMark/>
          </w:tcPr>
          <w:p w14:paraId="4E88E713" w14:textId="77777777" w:rsidR="001247C7" w:rsidRDefault="001247C7" w:rsidP="009500B2">
            <w:pPr>
              <w:spacing w:after="0" w:line="240" w:lineRule="auto"/>
              <w:jc w:val="center"/>
              <w:rPr>
                <w:rFonts w:eastAsia="Times New Roman" w:cstheme="minorHAnsi"/>
                <w:color w:val="000000"/>
              </w:rPr>
            </w:pPr>
            <w:r>
              <w:rPr>
                <w:rFonts w:eastAsia="Times New Roman" w:cstheme="minorHAnsi"/>
                <w:color w:val="000000"/>
              </w:rPr>
              <w:t>0.152</w:t>
            </w:r>
          </w:p>
        </w:tc>
        <w:tc>
          <w:tcPr>
            <w:tcW w:w="4850" w:type="dxa"/>
            <w:tcBorders>
              <w:top w:val="nil"/>
              <w:left w:val="single" w:sz="4" w:space="0" w:color="000000" w:themeColor="text1"/>
              <w:bottom w:val="single" w:sz="4" w:space="0" w:color="auto"/>
              <w:right w:val="single" w:sz="4" w:space="0" w:color="000000"/>
            </w:tcBorders>
            <w:shd w:val="clear" w:color="auto" w:fill="auto"/>
            <w:vAlign w:val="center"/>
            <w:hideMark/>
          </w:tcPr>
          <w:p w14:paraId="00FEF175" w14:textId="77777777" w:rsidR="001247C7" w:rsidRPr="00674CE5" w:rsidRDefault="001247C7" w:rsidP="009500B2">
            <w:pPr>
              <w:spacing w:after="0"/>
              <w:rPr>
                <w:rFonts w:ascii="Calibri" w:hAnsi="Calibri" w:cs="Calibri"/>
                <w:color w:val="000000"/>
              </w:rPr>
            </w:pPr>
            <w:r w:rsidRPr="001247C7">
              <w:rPr>
                <w:rFonts w:ascii="Calibri" w:hAnsi="Calibri" w:cs="Calibri"/>
                <w:color w:val="000000"/>
              </w:rPr>
              <w:t>US EPA (2019) Table 3-93</w:t>
            </w:r>
          </w:p>
        </w:tc>
      </w:tr>
    </w:tbl>
    <w:p w14:paraId="3712BE5E" w14:textId="341C1E17" w:rsidR="00C92926" w:rsidRDefault="00C92926" w:rsidP="00FB4304">
      <w:pPr>
        <w:rPr>
          <w:sz w:val="18"/>
          <w:szCs w:val="18"/>
        </w:rPr>
      </w:pPr>
    </w:p>
    <w:p w14:paraId="66EC5794" w14:textId="0792567A" w:rsidR="00312527" w:rsidRPr="00834878" w:rsidRDefault="00312527" w:rsidP="00312527">
      <w:pPr>
        <w:keepNext/>
        <w:keepLines/>
        <w:spacing w:after="0" w:line="240" w:lineRule="auto"/>
        <w:ind w:left="90"/>
        <w:rPr>
          <w:b/>
          <w:sz w:val="24"/>
          <w:szCs w:val="24"/>
        </w:rPr>
      </w:pPr>
      <w:r w:rsidRPr="00834878">
        <w:rPr>
          <w:b/>
          <w:sz w:val="24"/>
          <w:szCs w:val="24"/>
        </w:rPr>
        <w:t xml:space="preserve">Table </w:t>
      </w:r>
      <w:r>
        <w:rPr>
          <w:b/>
          <w:sz w:val="24"/>
          <w:szCs w:val="24"/>
        </w:rPr>
        <w:t xml:space="preserve">A.3.b </w:t>
      </w:r>
      <w:r w:rsidRPr="00834878">
        <w:rPr>
          <w:b/>
          <w:sz w:val="24"/>
          <w:szCs w:val="24"/>
        </w:rPr>
        <w:t xml:space="preserve"> Exposure Assumptions for Recreational Exposure to Surface Water</w:t>
      </w:r>
      <w:r>
        <w:rPr>
          <w:b/>
          <w:sz w:val="24"/>
          <w:szCs w:val="24"/>
        </w:rPr>
        <w:t xml:space="preserve"> – MCP/MassDEP-Based </w:t>
      </w:r>
      <w:proofErr w:type="spellStart"/>
      <w:r w:rsidR="002A6CC4">
        <w:rPr>
          <w:b/>
          <w:sz w:val="24"/>
          <w:szCs w:val="24"/>
        </w:rPr>
        <w:t>c</w:t>
      </w:r>
      <w:r w:rsidR="004B5DC0">
        <w:rPr>
          <w:b/>
          <w:sz w:val="24"/>
          <w:szCs w:val="24"/>
        </w:rPr>
        <w:t>PBAL</w:t>
      </w:r>
      <w:r w:rsidR="002A6CC4">
        <w:rPr>
          <w:b/>
          <w:sz w:val="24"/>
          <w:szCs w:val="24"/>
        </w:rPr>
        <w:t>s</w:t>
      </w:r>
      <w:proofErr w:type="spellEnd"/>
      <w:r>
        <w:rPr>
          <w:b/>
          <w:sz w:val="24"/>
          <w:szCs w:val="24"/>
        </w:rPr>
        <w:t xml:space="preserve"> </w:t>
      </w:r>
    </w:p>
    <w:tbl>
      <w:tblPr>
        <w:tblW w:w="11595" w:type="dxa"/>
        <w:tblLook w:val="04A0" w:firstRow="1" w:lastRow="0" w:firstColumn="1" w:lastColumn="0" w:noHBand="0" w:noVBand="1"/>
      </w:tblPr>
      <w:tblGrid>
        <w:gridCol w:w="3055"/>
        <w:gridCol w:w="271"/>
        <w:gridCol w:w="1169"/>
        <w:gridCol w:w="900"/>
        <w:gridCol w:w="1350"/>
        <w:gridCol w:w="4850"/>
      </w:tblGrid>
      <w:tr w:rsidR="00312527" w14:paraId="58A208D0" w14:textId="77777777">
        <w:trPr>
          <w:trHeight w:val="290"/>
        </w:trPr>
        <w:tc>
          <w:tcPr>
            <w:tcW w:w="3326" w:type="dxa"/>
            <w:gridSpan w:val="2"/>
            <w:vMerge w:val="restart"/>
            <w:tcBorders>
              <w:top w:val="single" w:sz="4" w:space="0" w:color="auto"/>
              <w:left w:val="single" w:sz="4" w:space="0" w:color="auto"/>
              <w:bottom w:val="single" w:sz="4" w:space="0" w:color="auto"/>
              <w:right w:val="nil"/>
            </w:tcBorders>
            <w:shd w:val="clear" w:color="auto" w:fill="A6A6A6" w:themeFill="background1" w:themeFillShade="A6"/>
            <w:noWrap/>
            <w:vAlign w:val="bottom"/>
            <w:hideMark/>
          </w:tcPr>
          <w:p w14:paraId="13E8BD48" w14:textId="77777777" w:rsidR="00312527" w:rsidRDefault="00312527">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EXPOSURE PARAMETERS</w:t>
            </w:r>
          </w:p>
        </w:tc>
        <w:tc>
          <w:tcPr>
            <w:tcW w:w="3419" w:type="dxa"/>
            <w:gridSpan w:val="3"/>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bottom"/>
          </w:tcPr>
          <w:p w14:paraId="62B237F0" w14:textId="77777777" w:rsidR="00312527" w:rsidRDefault="0031252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AGE (YEARS)</w:t>
            </w:r>
          </w:p>
        </w:tc>
        <w:tc>
          <w:tcPr>
            <w:tcW w:w="4850" w:type="dxa"/>
            <w:vMerge w:val="restart"/>
            <w:tcBorders>
              <w:top w:val="single" w:sz="4" w:space="0" w:color="auto"/>
              <w:left w:val="single" w:sz="4" w:space="0" w:color="auto"/>
              <w:right w:val="single" w:sz="4" w:space="0" w:color="000000"/>
            </w:tcBorders>
            <w:shd w:val="clear" w:color="auto" w:fill="A6A6A6" w:themeFill="background1" w:themeFillShade="A6"/>
            <w:noWrap/>
            <w:vAlign w:val="bottom"/>
            <w:hideMark/>
          </w:tcPr>
          <w:p w14:paraId="6A18E8A6" w14:textId="77777777" w:rsidR="00312527" w:rsidRDefault="00312527">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BASIS</w:t>
            </w:r>
          </w:p>
        </w:tc>
      </w:tr>
      <w:tr w:rsidR="00312527" w14:paraId="0E406F0F" w14:textId="77777777">
        <w:trPr>
          <w:trHeight w:val="300"/>
        </w:trPr>
        <w:tc>
          <w:tcPr>
            <w:tcW w:w="0" w:type="auto"/>
            <w:gridSpan w:val="2"/>
            <w:vMerge/>
            <w:tcBorders>
              <w:top w:val="single" w:sz="4" w:space="0" w:color="auto"/>
              <w:left w:val="single" w:sz="4" w:space="0" w:color="auto"/>
              <w:bottom w:val="single" w:sz="4" w:space="0" w:color="auto"/>
              <w:right w:val="single" w:sz="4" w:space="0" w:color="000000" w:themeColor="text1"/>
            </w:tcBorders>
            <w:vAlign w:val="center"/>
            <w:hideMark/>
          </w:tcPr>
          <w:p w14:paraId="5B38EB9A" w14:textId="77777777" w:rsidR="00312527" w:rsidRDefault="00312527">
            <w:pPr>
              <w:spacing w:after="0"/>
              <w:rPr>
                <w:rFonts w:ascii="Calibri" w:eastAsia="Times New Roman" w:hAnsi="Calibri" w:cs="Calibri"/>
                <w:b/>
                <w:bCs/>
                <w:color w:val="000000"/>
                <w:sz w:val="24"/>
                <w:szCs w:val="24"/>
              </w:rPr>
            </w:pPr>
          </w:p>
        </w:tc>
        <w:tc>
          <w:tcPr>
            <w:tcW w:w="1169" w:type="dxa"/>
            <w:tcBorders>
              <w:top w:val="single" w:sz="4" w:space="0" w:color="auto"/>
              <w:left w:val="single" w:sz="4" w:space="0" w:color="000000" w:themeColor="text1"/>
              <w:bottom w:val="single" w:sz="4" w:space="0" w:color="auto"/>
              <w:right w:val="nil"/>
            </w:tcBorders>
            <w:shd w:val="clear" w:color="auto" w:fill="A6A6A6" w:themeFill="background1" w:themeFillShade="A6"/>
            <w:noWrap/>
            <w:vAlign w:val="bottom"/>
            <w:hideMark/>
          </w:tcPr>
          <w:p w14:paraId="31B35D32" w14:textId="77777777" w:rsidR="00312527" w:rsidRDefault="00312527">
            <w:pPr>
              <w:pBdr>
                <w:bottom w:val="single" w:sz="4" w:space="1" w:color="000000" w:themeColor="text1"/>
              </w:pBd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1 </w:t>
            </w:r>
          </w:p>
          <w:p w14:paraId="490B105E" w14:textId="77777777" w:rsidR="00312527" w:rsidRDefault="00312527">
            <w:pPr>
              <w:pBdr>
                <w:bottom w:val="single" w:sz="4" w:space="1" w:color="000000" w:themeColor="text1"/>
              </w:pBd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&lt;2</w:t>
            </w:r>
          </w:p>
        </w:tc>
        <w:tc>
          <w:tcPr>
            <w:tcW w:w="900" w:type="dxa"/>
            <w:tcBorders>
              <w:top w:val="single" w:sz="4" w:space="0" w:color="auto"/>
              <w:left w:val="nil"/>
              <w:bottom w:val="single" w:sz="4" w:space="0" w:color="auto"/>
              <w:right w:val="nil"/>
            </w:tcBorders>
            <w:shd w:val="clear" w:color="auto" w:fill="A6A6A6" w:themeFill="background1" w:themeFillShade="A6"/>
            <w:noWrap/>
            <w:vAlign w:val="bottom"/>
            <w:hideMark/>
          </w:tcPr>
          <w:p w14:paraId="487FD1BF" w14:textId="77777777" w:rsidR="00312527" w:rsidRDefault="0031252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2 </w:t>
            </w:r>
          </w:p>
          <w:p w14:paraId="6A9E5FEE" w14:textId="77777777" w:rsidR="00312527" w:rsidRDefault="0031252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&lt;6</w:t>
            </w:r>
          </w:p>
        </w:tc>
        <w:tc>
          <w:tcPr>
            <w:tcW w:w="1350" w:type="dxa"/>
            <w:tcBorders>
              <w:top w:val="single" w:sz="4" w:space="0" w:color="auto"/>
              <w:left w:val="nil"/>
              <w:bottom w:val="single" w:sz="4" w:space="0" w:color="auto"/>
              <w:right w:val="nil"/>
            </w:tcBorders>
            <w:shd w:val="clear" w:color="auto" w:fill="A6A6A6" w:themeFill="background1" w:themeFillShade="A6"/>
            <w:noWrap/>
            <w:vAlign w:val="bottom"/>
            <w:hideMark/>
          </w:tcPr>
          <w:p w14:paraId="58D31B9B" w14:textId="77777777" w:rsidR="00312527" w:rsidRDefault="0031252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6 </w:t>
            </w:r>
          </w:p>
          <w:p w14:paraId="35D6E399" w14:textId="77777777" w:rsidR="00312527" w:rsidRDefault="0031252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 &lt;11</w:t>
            </w:r>
          </w:p>
        </w:tc>
        <w:tc>
          <w:tcPr>
            <w:tcW w:w="4850" w:type="dxa"/>
            <w:vMerge/>
            <w:tcBorders>
              <w:left w:val="single" w:sz="4" w:space="0" w:color="auto"/>
              <w:bottom w:val="single" w:sz="4" w:space="0" w:color="auto"/>
              <w:right w:val="single" w:sz="4" w:space="0" w:color="000000"/>
            </w:tcBorders>
            <w:vAlign w:val="center"/>
            <w:hideMark/>
          </w:tcPr>
          <w:p w14:paraId="0FE639B4" w14:textId="77777777" w:rsidR="00312527" w:rsidRDefault="00312527">
            <w:pPr>
              <w:spacing w:after="0"/>
              <w:rPr>
                <w:rFonts w:ascii="Calibri" w:eastAsia="Times New Roman" w:hAnsi="Calibri" w:cs="Calibri"/>
                <w:b/>
                <w:bCs/>
                <w:color w:val="000000"/>
                <w:sz w:val="24"/>
                <w:szCs w:val="24"/>
              </w:rPr>
            </w:pPr>
          </w:p>
        </w:tc>
      </w:tr>
      <w:tr w:rsidR="00312527" w14:paraId="3E3B121C" w14:textId="77777777">
        <w:trPr>
          <w:trHeight w:val="440"/>
        </w:trPr>
        <w:tc>
          <w:tcPr>
            <w:tcW w:w="3326" w:type="dxa"/>
            <w:gridSpan w:val="2"/>
            <w:tcBorders>
              <w:top w:val="single" w:sz="4" w:space="0" w:color="auto"/>
              <w:left w:val="single" w:sz="4" w:space="0" w:color="auto"/>
              <w:bottom w:val="nil"/>
              <w:right w:val="single" w:sz="4" w:space="0" w:color="000000"/>
            </w:tcBorders>
            <w:noWrap/>
            <w:vAlign w:val="center"/>
            <w:hideMark/>
          </w:tcPr>
          <w:p w14:paraId="58F13C8F" w14:textId="77777777" w:rsidR="00312527" w:rsidRDefault="00312527">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Event Duration, </w:t>
            </w:r>
            <w:proofErr w:type="spellStart"/>
            <w:r>
              <w:rPr>
                <w:rFonts w:ascii="Calibri" w:eastAsia="Times New Roman" w:hAnsi="Calibri" w:cs="Calibri"/>
                <w:b/>
                <w:bCs/>
                <w:color w:val="000000"/>
              </w:rPr>
              <w:t>t</w:t>
            </w:r>
            <w:r>
              <w:rPr>
                <w:rFonts w:ascii="Calibri" w:eastAsia="Times New Roman" w:hAnsi="Calibri" w:cs="Calibri"/>
                <w:b/>
                <w:bCs/>
                <w:color w:val="000000"/>
                <w:vertAlign w:val="subscript"/>
              </w:rPr>
              <w:t>event</w:t>
            </w:r>
            <w:proofErr w:type="spellEnd"/>
            <w:r>
              <w:rPr>
                <w:rFonts w:ascii="Calibri" w:eastAsia="Times New Roman" w:hAnsi="Calibri" w:cs="Calibri"/>
                <w:b/>
                <w:bCs/>
                <w:color w:val="000000"/>
              </w:rPr>
              <w:t xml:space="preserve"> (</w:t>
            </w:r>
            <w:proofErr w:type="spellStart"/>
            <w:r>
              <w:rPr>
                <w:rFonts w:ascii="Calibri" w:eastAsia="Times New Roman" w:hAnsi="Calibri" w:cs="Calibri"/>
                <w:b/>
                <w:bCs/>
                <w:color w:val="000000"/>
              </w:rPr>
              <w:t>hrs</w:t>
            </w:r>
            <w:proofErr w:type="spellEnd"/>
            <w:r>
              <w:rPr>
                <w:rFonts w:ascii="Calibri" w:eastAsia="Times New Roman" w:hAnsi="Calibri" w:cs="Calibri"/>
                <w:b/>
                <w:bCs/>
                <w:color w:val="000000"/>
              </w:rPr>
              <w:t>/event)</w:t>
            </w:r>
          </w:p>
        </w:tc>
        <w:tc>
          <w:tcPr>
            <w:tcW w:w="1169" w:type="dxa"/>
            <w:tcBorders>
              <w:top w:val="single" w:sz="4" w:space="0" w:color="auto"/>
            </w:tcBorders>
            <w:noWrap/>
            <w:vAlign w:val="center"/>
            <w:hideMark/>
          </w:tcPr>
          <w:p w14:paraId="39AD16F0"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1</w:t>
            </w:r>
          </w:p>
        </w:tc>
        <w:tc>
          <w:tcPr>
            <w:tcW w:w="900" w:type="dxa"/>
            <w:tcBorders>
              <w:top w:val="single" w:sz="4" w:space="0" w:color="auto"/>
            </w:tcBorders>
            <w:noWrap/>
            <w:vAlign w:val="center"/>
            <w:hideMark/>
          </w:tcPr>
          <w:p w14:paraId="4055B8A0"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1</w:t>
            </w:r>
          </w:p>
        </w:tc>
        <w:tc>
          <w:tcPr>
            <w:tcW w:w="1350" w:type="dxa"/>
            <w:tcBorders>
              <w:top w:val="single" w:sz="4" w:space="0" w:color="auto"/>
            </w:tcBorders>
            <w:noWrap/>
            <w:vAlign w:val="center"/>
            <w:hideMark/>
          </w:tcPr>
          <w:p w14:paraId="339897E2"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1</w:t>
            </w:r>
          </w:p>
        </w:tc>
        <w:tc>
          <w:tcPr>
            <w:tcW w:w="4850" w:type="dxa"/>
            <w:tcBorders>
              <w:top w:val="single" w:sz="4" w:space="0" w:color="auto"/>
              <w:left w:val="single" w:sz="4" w:space="0" w:color="auto"/>
              <w:right w:val="single" w:sz="4" w:space="0" w:color="auto"/>
            </w:tcBorders>
            <w:vAlign w:val="center"/>
            <w:hideMark/>
          </w:tcPr>
          <w:p w14:paraId="00079711" w14:textId="77777777" w:rsidR="00312527" w:rsidRDefault="00312527">
            <w:pPr>
              <w:spacing w:after="0" w:line="240" w:lineRule="auto"/>
              <w:rPr>
                <w:rFonts w:ascii="Calibri" w:eastAsia="Times New Roman" w:hAnsi="Calibri" w:cs="Calibri"/>
                <w:color w:val="000000"/>
              </w:rPr>
            </w:pPr>
            <w:r>
              <w:rPr>
                <w:rFonts w:ascii="Calibri" w:eastAsia="Times New Roman" w:hAnsi="Calibri" w:cs="Calibri"/>
                <w:color w:val="000000"/>
              </w:rPr>
              <w:t>Professional judgement</w:t>
            </w:r>
          </w:p>
        </w:tc>
      </w:tr>
      <w:tr w:rsidR="00312527" w14:paraId="1C6B2E62" w14:textId="77777777">
        <w:trPr>
          <w:trHeight w:val="405"/>
        </w:trPr>
        <w:tc>
          <w:tcPr>
            <w:tcW w:w="3326" w:type="dxa"/>
            <w:gridSpan w:val="2"/>
            <w:tcBorders>
              <w:top w:val="nil"/>
              <w:left w:val="single" w:sz="4" w:space="0" w:color="auto"/>
              <w:bottom w:val="nil"/>
              <w:right w:val="single" w:sz="4" w:space="0" w:color="000000"/>
            </w:tcBorders>
            <w:shd w:val="clear" w:color="auto" w:fill="D9D9D9" w:themeFill="background1" w:themeFillShade="D9"/>
            <w:noWrap/>
            <w:vAlign w:val="center"/>
            <w:hideMark/>
          </w:tcPr>
          <w:p w14:paraId="7B329915" w14:textId="77777777" w:rsidR="00312527" w:rsidRDefault="00312527">
            <w:pPr>
              <w:spacing w:after="0" w:line="240" w:lineRule="auto"/>
              <w:rPr>
                <w:rFonts w:ascii="Calibri" w:eastAsia="Times New Roman" w:hAnsi="Calibri" w:cs="Calibri"/>
                <w:b/>
                <w:bCs/>
              </w:rPr>
            </w:pPr>
            <w:r>
              <w:rPr>
                <w:rFonts w:ascii="Calibri" w:eastAsia="Times New Roman" w:hAnsi="Calibri" w:cs="Calibri"/>
                <w:b/>
                <w:bCs/>
              </w:rPr>
              <w:t>Event Frequency, EV (events/day)</w:t>
            </w:r>
          </w:p>
        </w:tc>
        <w:tc>
          <w:tcPr>
            <w:tcW w:w="1169" w:type="dxa"/>
            <w:shd w:val="clear" w:color="auto" w:fill="D9D9D9" w:themeFill="background1" w:themeFillShade="D9"/>
            <w:noWrap/>
            <w:vAlign w:val="center"/>
            <w:hideMark/>
          </w:tcPr>
          <w:p w14:paraId="5F27AB18" w14:textId="223E9DEB" w:rsidR="00312527" w:rsidRDefault="00F006EC">
            <w:pPr>
              <w:spacing w:after="0" w:line="240" w:lineRule="auto"/>
              <w:jc w:val="center"/>
              <w:rPr>
                <w:rFonts w:eastAsia="Times New Roman" w:cstheme="minorHAnsi"/>
              </w:rPr>
            </w:pPr>
            <w:r>
              <w:rPr>
                <w:rFonts w:eastAsia="Times New Roman" w:cstheme="minorHAnsi"/>
              </w:rPr>
              <w:t>2</w:t>
            </w:r>
          </w:p>
        </w:tc>
        <w:tc>
          <w:tcPr>
            <w:tcW w:w="900" w:type="dxa"/>
            <w:shd w:val="clear" w:color="auto" w:fill="D9D9D9" w:themeFill="background1" w:themeFillShade="D9"/>
            <w:noWrap/>
            <w:vAlign w:val="center"/>
            <w:hideMark/>
          </w:tcPr>
          <w:p w14:paraId="0FDBAA4A" w14:textId="573CFEA3" w:rsidR="00312527" w:rsidRDefault="00F006EC">
            <w:pPr>
              <w:spacing w:after="0" w:line="240" w:lineRule="auto"/>
              <w:jc w:val="center"/>
              <w:rPr>
                <w:rFonts w:eastAsia="Times New Roman" w:cstheme="minorHAnsi"/>
              </w:rPr>
            </w:pPr>
            <w:r>
              <w:rPr>
                <w:rFonts w:eastAsia="Times New Roman" w:cstheme="minorHAnsi"/>
              </w:rPr>
              <w:t>2</w:t>
            </w:r>
          </w:p>
        </w:tc>
        <w:tc>
          <w:tcPr>
            <w:tcW w:w="1350" w:type="dxa"/>
            <w:shd w:val="clear" w:color="auto" w:fill="D9D9D9" w:themeFill="background1" w:themeFillShade="D9"/>
            <w:noWrap/>
            <w:vAlign w:val="center"/>
            <w:hideMark/>
          </w:tcPr>
          <w:p w14:paraId="792081F1" w14:textId="5A018AE1" w:rsidR="00312527" w:rsidRDefault="00F006EC">
            <w:pPr>
              <w:spacing w:after="0" w:line="240" w:lineRule="auto"/>
              <w:jc w:val="center"/>
              <w:rPr>
                <w:rFonts w:eastAsia="Times New Roman" w:cstheme="minorHAnsi"/>
              </w:rPr>
            </w:pPr>
            <w:r>
              <w:rPr>
                <w:rFonts w:eastAsia="Times New Roman" w:cstheme="minorHAnsi"/>
              </w:rPr>
              <w:t>2</w:t>
            </w:r>
          </w:p>
        </w:tc>
        <w:tc>
          <w:tcPr>
            <w:tcW w:w="4850" w:type="dxa"/>
            <w:tcBorders>
              <w:left w:val="single" w:sz="4" w:space="0" w:color="auto"/>
              <w:bottom w:val="nil"/>
              <w:right w:val="single" w:sz="4" w:space="0" w:color="auto"/>
            </w:tcBorders>
            <w:shd w:val="clear" w:color="auto" w:fill="D9D9D9" w:themeFill="background1" w:themeFillShade="D9"/>
            <w:vAlign w:val="center"/>
            <w:hideMark/>
          </w:tcPr>
          <w:p w14:paraId="6F25E911" w14:textId="77777777" w:rsidR="00312527" w:rsidRDefault="00312527">
            <w:pPr>
              <w:spacing w:after="0"/>
              <w:rPr>
                <w:rFonts w:ascii="Calibri" w:eastAsia="Times New Roman" w:hAnsi="Calibri" w:cs="Calibri"/>
                <w:color w:val="000000"/>
              </w:rPr>
            </w:pPr>
            <w:r>
              <w:rPr>
                <w:rFonts w:ascii="Calibri" w:eastAsia="Times New Roman" w:hAnsi="Calibri" w:cs="Calibri"/>
                <w:color w:val="000000"/>
              </w:rPr>
              <w:t>US EPA (1996) Table QBNp-17h;</w:t>
            </w:r>
          </w:p>
        </w:tc>
      </w:tr>
      <w:tr w:rsidR="00312527" w:rsidRPr="00497206" w14:paraId="0AF6E773" w14:textId="77777777">
        <w:trPr>
          <w:trHeight w:val="585"/>
        </w:trPr>
        <w:tc>
          <w:tcPr>
            <w:tcW w:w="3326" w:type="dxa"/>
            <w:gridSpan w:val="2"/>
            <w:tcBorders>
              <w:top w:val="nil"/>
              <w:left w:val="single" w:sz="4" w:space="0" w:color="auto"/>
              <w:bottom w:val="nil"/>
              <w:right w:val="single" w:sz="4" w:space="0" w:color="000000"/>
            </w:tcBorders>
            <w:shd w:val="clear" w:color="auto" w:fill="auto"/>
            <w:noWrap/>
            <w:vAlign w:val="center"/>
            <w:hideMark/>
          </w:tcPr>
          <w:p w14:paraId="56DF2D28" w14:textId="77777777" w:rsidR="00312527" w:rsidRDefault="00312527">
            <w:pPr>
              <w:spacing w:after="0" w:line="240" w:lineRule="auto"/>
              <w:rPr>
                <w:rFonts w:ascii="Calibri" w:eastAsia="Times New Roman" w:hAnsi="Calibri" w:cs="Calibri"/>
                <w:b/>
                <w:bCs/>
                <w:color w:val="000000"/>
              </w:rPr>
            </w:pPr>
            <w:r>
              <w:rPr>
                <w:rFonts w:ascii="Calibri" w:eastAsia="Times New Roman" w:hAnsi="Calibri" w:cs="Calibri"/>
                <w:b/>
                <w:bCs/>
                <w:color w:val="000000"/>
              </w:rPr>
              <w:t>Exposure Frequency, EF (days/month)</w:t>
            </w:r>
          </w:p>
        </w:tc>
        <w:tc>
          <w:tcPr>
            <w:tcW w:w="1169" w:type="dxa"/>
            <w:shd w:val="clear" w:color="auto" w:fill="auto"/>
            <w:noWrap/>
            <w:vAlign w:val="center"/>
            <w:hideMark/>
          </w:tcPr>
          <w:p w14:paraId="4AD44347"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30</w:t>
            </w:r>
          </w:p>
        </w:tc>
        <w:tc>
          <w:tcPr>
            <w:tcW w:w="900" w:type="dxa"/>
            <w:shd w:val="clear" w:color="auto" w:fill="auto"/>
            <w:noWrap/>
            <w:vAlign w:val="center"/>
            <w:hideMark/>
          </w:tcPr>
          <w:p w14:paraId="4C25DC46"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30</w:t>
            </w:r>
          </w:p>
        </w:tc>
        <w:tc>
          <w:tcPr>
            <w:tcW w:w="1350" w:type="dxa"/>
            <w:shd w:val="clear" w:color="auto" w:fill="auto"/>
            <w:noWrap/>
            <w:vAlign w:val="center"/>
            <w:hideMark/>
          </w:tcPr>
          <w:p w14:paraId="63804F55"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30</w:t>
            </w:r>
          </w:p>
        </w:tc>
        <w:tc>
          <w:tcPr>
            <w:tcW w:w="4850" w:type="dxa"/>
            <w:tcBorders>
              <w:top w:val="nil"/>
              <w:left w:val="single" w:sz="4" w:space="0" w:color="auto"/>
              <w:bottom w:val="nil"/>
              <w:right w:val="single" w:sz="4" w:space="0" w:color="000000"/>
            </w:tcBorders>
            <w:shd w:val="clear" w:color="auto" w:fill="auto"/>
            <w:vAlign w:val="center"/>
            <w:hideMark/>
          </w:tcPr>
          <w:p w14:paraId="4C704AEB" w14:textId="77777777" w:rsidR="00312527" w:rsidRPr="00497206" w:rsidRDefault="00312527">
            <w:pPr>
              <w:spacing w:after="0" w:line="240" w:lineRule="auto"/>
              <w:rPr>
                <w:rFonts w:ascii="Calibri" w:eastAsia="Times New Roman" w:hAnsi="Calibri" w:cs="Calibri"/>
                <w:color w:val="000000"/>
              </w:rPr>
            </w:pPr>
            <w:r w:rsidRPr="00497206">
              <w:rPr>
                <w:rFonts w:ascii="Calibri" w:eastAsia="Times New Roman" w:hAnsi="Calibri" w:cs="Calibri"/>
                <w:color w:val="000000"/>
              </w:rPr>
              <w:t xml:space="preserve">US EPA (1996) Table QBS-17g </w:t>
            </w:r>
          </w:p>
        </w:tc>
      </w:tr>
      <w:tr w:rsidR="00312527" w14:paraId="4AE69016" w14:textId="77777777">
        <w:trPr>
          <w:trHeight w:val="330"/>
        </w:trPr>
        <w:tc>
          <w:tcPr>
            <w:tcW w:w="3326" w:type="dxa"/>
            <w:gridSpan w:val="2"/>
            <w:tcBorders>
              <w:top w:val="nil"/>
              <w:left w:val="single" w:sz="4" w:space="0" w:color="auto"/>
              <w:bottom w:val="nil"/>
              <w:right w:val="single" w:sz="4" w:space="0" w:color="000000"/>
            </w:tcBorders>
            <w:shd w:val="clear" w:color="auto" w:fill="D9D9D9" w:themeFill="background1" w:themeFillShade="D9"/>
            <w:noWrap/>
            <w:vAlign w:val="center"/>
            <w:hideMark/>
          </w:tcPr>
          <w:p w14:paraId="3D19E498" w14:textId="77777777" w:rsidR="00312527" w:rsidRDefault="00312527">
            <w:pPr>
              <w:spacing w:after="0" w:line="240" w:lineRule="auto"/>
              <w:rPr>
                <w:rFonts w:ascii="Calibri" w:eastAsia="Times New Roman" w:hAnsi="Calibri" w:cs="Calibri"/>
                <w:b/>
                <w:bCs/>
                <w:color w:val="000000"/>
              </w:rPr>
            </w:pPr>
            <w:r>
              <w:rPr>
                <w:rFonts w:ascii="Calibri" w:eastAsia="Times New Roman" w:hAnsi="Calibri" w:cs="Calibri"/>
                <w:b/>
                <w:bCs/>
                <w:color w:val="000000"/>
              </w:rPr>
              <w:t>Exposure Duration, ED (months)</w:t>
            </w:r>
          </w:p>
        </w:tc>
        <w:tc>
          <w:tcPr>
            <w:tcW w:w="1169" w:type="dxa"/>
            <w:shd w:val="clear" w:color="auto" w:fill="D9D9D9" w:themeFill="background1" w:themeFillShade="D9"/>
            <w:noWrap/>
            <w:vAlign w:val="center"/>
            <w:hideMark/>
          </w:tcPr>
          <w:p w14:paraId="25636F71"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3.3</w:t>
            </w:r>
          </w:p>
        </w:tc>
        <w:tc>
          <w:tcPr>
            <w:tcW w:w="900" w:type="dxa"/>
            <w:shd w:val="clear" w:color="auto" w:fill="D9D9D9" w:themeFill="background1" w:themeFillShade="D9"/>
            <w:noWrap/>
            <w:vAlign w:val="center"/>
            <w:hideMark/>
          </w:tcPr>
          <w:p w14:paraId="72B6FBD1"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3.3</w:t>
            </w:r>
          </w:p>
        </w:tc>
        <w:tc>
          <w:tcPr>
            <w:tcW w:w="1350" w:type="dxa"/>
            <w:shd w:val="clear" w:color="auto" w:fill="D9D9D9" w:themeFill="background1" w:themeFillShade="D9"/>
            <w:noWrap/>
            <w:vAlign w:val="center"/>
            <w:hideMark/>
          </w:tcPr>
          <w:p w14:paraId="70E782D9"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3.3</w:t>
            </w:r>
          </w:p>
        </w:tc>
        <w:tc>
          <w:tcPr>
            <w:tcW w:w="4850" w:type="dxa"/>
            <w:tcBorders>
              <w:top w:val="nil"/>
              <w:left w:val="single" w:sz="4" w:space="0" w:color="auto"/>
              <w:bottom w:val="nil"/>
              <w:right w:val="single" w:sz="4" w:space="0" w:color="000000"/>
            </w:tcBorders>
            <w:shd w:val="clear" w:color="auto" w:fill="D9D9D9" w:themeFill="background1" w:themeFillShade="D9"/>
            <w:noWrap/>
            <w:vAlign w:val="center"/>
            <w:hideMark/>
          </w:tcPr>
          <w:p w14:paraId="7C93BDD5" w14:textId="77777777" w:rsidR="00312527" w:rsidRDefault="00312527">
            <w:pPr>
              <w:spacing w:after="0" w:line="240" w:lineRule="auto"/>
              <w:rPr>
                <w:rFonts w:ascii="Calibri" w:eastAsia="Times New Roman" w:hAnsi="Calibri" w:cs="Calibri"/>
                <w:color w:val="000000"/>
              </w:rPr>
            </w:pPr>
            <w:r>
              <w:rPr>
                <w:rFonts w:ascii="Calibri" w:eastAsia="Times New Roman" w:hAnsi="Calibri" w:cs="Calibri"/>
                <w:color w:val="000000"/>
              </w:rPr>
              <w:t>Professional judgement that swimming occurs between Memorial Day and Labor Day</w:t>
            </w:r>
          </w:p>
        </w:tc>
      </w:tr>
      <w:tr w:rsidR="00312527" w14:paraId="319C918C" w14:textId="77777777">
        <w:trPr>
          <w:trHeight w:val="330"/>
        </w:trPr>
        <w:tc>
          <w:tcPr>
            <w:tcW w:w="3055" w:type="dxa"/>
            <w:tcBorders>
              <w:top w:val="nil"/>
              <w:left w:val="single" w:sz="4" w:space="0" w:color="auto"/>
              <w:bottom w:val="nil"/>
              <w:right w:val="nil"/>
            </w:tcBorders>
            <w:shd w:val="clear" w:color="auto" w:fill="auto"/>
            <w:noWrap/>
            <w:vAlign w:val="center"/>
            <w:hideMark/>
          </w:tcPr>
          <w:p w14:paraId="0A3271A4" w14:textId="77777777" w:rsidR="00312527" w:rsidRDefault="00312527">
            <w:pPr>
              <w:spacing w:after="0" w:line="240" w:lineRule="auto"/>
              <w:rPr>
                <w:rFonts w:ascii="Calibri" w:eastAsia="Times New Roman" w:hAnsi="Calibri" w:cs="Calibri"/>
                <w:b/>
                <w:bCs/>
                <w:color w:val="000000"/>
              </w:rPr>
            </w:pPr>
            <w:r>
              <w:rPr>
                <w:rFonts w:ascii="Calibri" w:eastAsia="Times New Roman" w:hAnsi="Calibri" w:cs="Calibri"/>
                <w:b/>
                <w:bCs/>
                <w:color w:val="000000"/>
              </w:rPr>
              <w:t>Averaging Time, AT (days)</w:t>
            </w:r>
          </w:p>
        </w:tc>
        <w:tc>
          <w:tcPr>
            <w:tcW w:w="271" w:type="dxa"/>
            <w:tcBorders>
              <w:top w:val="nil"/>
              <w:left w:val="nil"/>
              <w:bottom w:val="nil"/>
              <w:right w:val="single" w:sz="4" w:space="0" w:color="auto"/>
            </w:tcBorders>
            <w:shd w:val="clear" w:color="auto" w:fill="auto"/>
            <w:noWrap/>
            <w:vAlign w:val="bottom"/>
            <w:hideMark/>
          </w:tcPr>
          <w:p w14:paraId="4C3E454B" w14:textId="77777777" w:rsidR="00312527" w:rsidRDefault="00312527">
            <w:pPr>
              <w:spacing w:after="0" w:line="240" w:lineRule="auto"/>
              <w:rPr>
                <w:rFonts w:ascii="Calibri" w:eastAsia="Times New Roman" w:hAnsi="Calibri" w:cs="Calibri"/>
                <w:b/>
                <w:bCs/>
                <w:color w:val="000000"/>
              </w:rPr>
            </w:pPr>
            <w:r>
              <w:rPr>
                <w:rFonts w:ascii="Calibri" w:eastAsia="Times New Roman" w:hAnsi="Calibri" w:cs="Calibri"/>
                <w:b/>
                <w:bCs/>
                <w:color w:val="000000"/>
              </w:rPr>
              <w:t> </w:t>
            </w:r>
          </w:p>
        </w:tc>
        <w:tc>
          <w:tcPr>
            <w:tcW w:w="1169" w:type="dxa"/>
            <w:shd w:val="clear" w:color="auto" w:fill="auto"/>
            <w:noWrap/>
            <w:vAlign w:val="center"/>
            <w:hideMark/>
          </w:tcPr>
          <w:p w14:paraId="0BF5283D"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102</w:t>
            </w:r>
          </w:p>
        </w:tc>
        <w:tc>
          <w:tcPr>
            <w:tcW w:w="900" w:type="dxa"/>
            <w:shd w:val="clear" w:color="auto" w:fill="auto"/>
            <w:noWrap/>
            <w:vAlign w:val="center"/>
            <w:hideMark/>
          </w:tcPr>
          <w:p w14:paraId="57156567"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102</w:t>
            </w:r>
          </w:p>
        </w:tc>
        <w:tc>
          <w:tcPr>
            <w:tcW w:w="1350" w:type="dxa"/>
            <w:shd w:val="clear" w:color="auto" w:fill="auto"/>
            <w:noWrap/>
            <w:vAlign w:val="center"/>
            <w:hideMark/>
          </w:tcPr>
          <w:p w14:paraId="6AE017ED"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102</w:t>
            </w:r>
          </w:p>
        </w:tc>
        <w:tc>
          <w:tcPr>
            <w:tcW w:w="4850" w:type="dxa"/>
            <w:tcBorders>
              <w:top w:val="nil"/>
              <w:left w:val="single" w:sz="4" w:space="0" w:color="auto"/>
              <w:bottom w:val="nil"/>
              <w:right w:val="single" w:sz="4" w:space="0" w:color="000000"/>
            </w:tcBorders>
            <w:shd w:val="clear" w:color="auto" w:fill="auto"/>
            <w:noWrap/>
            <w:vAlign w:val="center"/>
            <w:hideMark/>
          </w:tcPr>
          <w:p w14:paraId="3202D470" w14:textId="77777777" w:rsidR="00312527" w:rsidRDefault="00312527">
            <w:pPr>
              <w:spacing w:after="0" w:line="240" w:lineRule="auto"/>
              <w:rPr>
                <w:rFonts w:ascii="Calibri" w:eastAsia="Times New Roman" w:hAnsi="Calibri" w:cs="Calibri"/>
                <w:color w:val="000000"/>
              </w:rPr>
            </w:pPr>
            <w:r>
              <w:rPr>
                <w:rFonts w:ascii="Calibri" w:eastAsia="Times New Roman" w:hAnsi="Calibri" w:cs="Calibri"/>
                <w:color w:val="000000"/>
              </w:rPr>
              <w:t>Dictated by exposure duration</w:t>
            </w:r>
          </w:p>
        </w:tc>
      </w:tr>
      <w:tr w:rsidR="00312527" w14:paraId="0C885D04" w14:textId="77777777">
        <w:trPr>
          <w:trHeight w:val="405"/>
        </w:trPr>
        <w:tc>
          <w:tcPr>
            <w:tcW w:w="3055" w:type="dxa"/>
            <w:tcBorders>
              <w:top w:val="nil"/>
              <w:left w:val="single" w:sz="4" w:space="0" w:color="auto"/>
              <w:right w:val="nil"/>
            </w:tcBorders>
            <w:shd w:val="clear" w:color="auto" w:fill="D9D9D9" w:themeFill="background1" w:themeFillShade="D9"/>
            <w:noWrap/>
            <w:vAlign w:val="center"/>
            <w:hideMark/>
          </w:tcPr>
          <w:p w14:paraId="5E887EED" w14:textId="77777777" w:rsidR="00312527" w:rsidRDefault="00312527">
            <w:pPr>
              <w:spacing w:after="0" w:line="240" w:lineRule="auto"/>
              <w:rPr>
                <w:rFonts w:ascii="Calibri" w:eastAsia="Times New Roman" w:hAnsi="Calibri" w:cs="Calibri"/>
                <w:b/>
                <w:bCs/>
                <w:color w:val="000000"/>
              </w:rPr>
            </w:pPr>
            <w:r>
              <w:rPr>
                <w:rFonts w:ascii="Calibri" w:eastAsia="Times New Roman" w:hAnsi="Calibri" w:cs="Calibri"/>
                <w:b/>
                <w:bCs/>
                <w:color w:val="000000"/>
              </w:rPr>
              <w:t>Body Weight, BW (kg)</w:t>
            </w:r>
          </w:p>
        </w:tc>
        <w:tc>
          <w:tcPr>
            <w:tcW w:w="271" w:type="dxa"/>
            <w:tcBorders>
              <w:top w:val="nil"/>
              <w:left w:val="nil"/>
              <w:right w:val="single" w:sz="4" w:space="0" w:color="000000" w:themeColor="text1"/>
            </w:tcBorders>
            <w:shd w:val="clear" w:color="auto" w:fill="D9D9D9" w:themeFill="background1" w:themeFillShade="D9"/>
            <w:noWrap/>
            <w:vAlign w:val="bottom"/>
            <w:hideMark/>
          </w:tcPr>
          <w:p w14:paraId="357A267C" w14:textId="77777777" w:rsidR="00312527" w:rsidRDefault="00312527">
            <w:pPr>
              <w:rPr>
                <w:rFonts w:ascii="Calibri" w:eastAsia="Times New Roman" w:hAnsi="Calibri" w:cs="Calibri"/>
                <w:b/>
                <w:bCs/>
                <w:color w:val="000000"/>
              </w:rPr>
            </w:pPr>
          </w:p>
        </w:tc>
        <w:tc>
          <w:tcPr>
            <w:tcW w:w="1169" w:type="dxa"/>
            <w:tcBorders>
              <w:left w:val="single" w:sz="4" w:space="0" w:color="000000" w:themeColor="text1"/>
            </w:tcBorders>
            <w:shd w:val="clear" w:color="auto" w:fill="D9D9D9" w:themeFill="background1" w:themeFillShade="D9"/>
            <w:noWrap/>
            <w:vAlign w:val="center"/>
            <w:hideMark/>
          </w:tcPr>
          <w:p w14:paraId="2A233B77"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17</w:t>
            </w:r>
          </w:p>
        </w:tc>
        <w:tc>
          <w:tcPr>
            <w:tcW w:w="900" w:type="dxa"/>
            <w:shd w:val="clear" w:color="auto" w:fill="D9D9D9" w:themeFill="background1" w:themeFillShade="D9"/>
            <w:noWrap/>
            <w:vAlign w:val="center"/>
            <w:hideMark/>
          </w:tcPr>
          <w:p w14:paraId="24AD0499" w14:textId="77777777" w:rsidR="00312527" w:rsidRDefault="00312527">
            <w:pPr>
              <w:spacing w:after="0" w:line="240" w:lineRule="auto"/>
              <w:jc w:val="center"/>
              <w:rPr>
                <w:rFonts w:eastAsia="Times New Roman" w:cstheme="minorHAnsi"/>
                <w:color w:val="000000"/>
              </w:rPr>
            </w:pPr>
            <w:r>
              <w:rPr>
                <w:rFonts w:eastAsia="Times New Roman" w:cstheme="minorHAnsi"/>
                <w:color w:val="000000"/>
              </w:rPr>
              <w:t>39.9</w:t>
            </w:r>
          </w:p>
        </w:tc>
        <w:tc>
          <w:tcPr>
            <w:tcW w:w="1350" w:type="dxa"/>
            <w:tcBorders>
              <w:right w:val="single" w:sz="4" w:space="0" w:color="000000" w:themeColor="text1"/>
            </w:tcBorders>
            <w:shd w:val="clear" w:color="auto" w:fill="D9D9D9" w:themeFill="background1" w:themeFillShade="D9"/>
            <w:noWrap/>
            <w:vAlign w:val="center"/>
            <w:hideMark/>
          </w:tcPr>
          <w:p w14:paraId="1C96162F" w14:textId="77777777" w:rsidR="00312527" w:rsidRPr="002F68EA" w:rsidRDefault="00312527">
            <w:pPr>
              <w:spacing w:after="0" w:line="240" w:lineRule="auto"/>
              <w:jc w:val="center"/>
              <w:rPr>
                <w:rFonts w:eastAsia="Times New Roman" w:cstheme="minorHAnsi"/>
                <w:color w:val="000000"/>
              </w:rPr>
            </w:pPr>
            <w:r>
              <w:rPr>
                <w:rFonts w:eastAsia="Times New Roman" w:cstheme="minorHAnsi"/>
                <w:color w:val="000000"/>
              </w:rPr>
              <w:t>58.7</w:t>
            </w:r>
          </w:p>
        </w:tc>
        <w:tc>
          <w:tcPr>
            <w:tcW w:w="4850" w:type="dxa"/>
            <w:tcBorders>
              <w:top w:val="nil"/>
              <w:left w:val="single" w:sz="4" w:space="0" w:color="000000" w:themeColor="text1"/>
              <w:right w:val="single" w:sz="4" w:space="0" w:color="000000"/>
            </w:tcBorders>
            <w:shd w:val="clear" w:color="auto" w:fill="D9D9D9" w:themeFill="background1" w:themeFillShade="D9"/>
            <w:noWrap/>
            <w:vAlign w:val="center"/>
            <w:hideMark/>
          </w:tcPr>
          <w:p w14:paraId="44DDD02E" w14:textId="77777777" w:rsidR="00312527" w:rsidRPr="002F68EA" w:rsidRDefault="00312527">
            <w:pPr>
              <w:spacing w:after="0" w:line="240" w:lineRule="auto"/>
              <w:rPr>
                <w:rFonts w:ascii="Calibri" w:eastAsia="Times New Roman" w:hAnsi="Calibri" w:cs="Calibri"/>
                <w:color w:val="000000"/>
              </w:rPr>
            </w:pPr>
            <w:r w:rsidRPr="002F68EA">
              <w:rPr>
                <w:rFonts w:ascii="Calibri" w:eastAsia="Times New Roman" w:hAnsi="Calibri" w:cs="Calibri"/>
                <w:color w:val="000000"/>
              </w:rPr>
              <w:t>MCP Guidance (MassDEP, 2015)</w:t>
            </w:r>
          </w:p>
        </w:tc>
      </w:tr>
      <w:tr w:rsidR="00312527" w:rsidRPr="00674CE5" w14:paraId="63AD9722" w14:textId="77777777">
        <w:trPr>
          <w:trHeight w:val="350"/>
        </w:trPr>
        <w:tc>
          <w:tcPr>
            <w:tcW w:w="3055" w:type="dxa"/>
            <w:tcBorders>
              <w:top w:val="nil"/>
              <w:left w:val="single" w:sz="4" w:space="0" w:color="auto"/>
              <w:bottom w:val="single" w:sz="4" w:space="0" w:color="auto"/>
              <w:right w:val="nil"/>
            </w:tcBorders>
            <w:shd w:val="clear" w:color="auto" w:fill="auto"/>
            <w:noWrap/>
            <w:vAlign w:val="center"/>
            <w:hideMark/>
          </w:tcPr>
          <w:p w14:paraId="66650FEF" w14:textId="77777777" w:rsidR="00312527" w:rsidRDefault="00312527">
            <w:pPr>
              <w:spacing w:after="0" w:line="240" w:lineRule="auto"/>
              <w:rPr>
                <w:rFonts w:ascii="Calibri" w:eastAsia="Times New Roman" w:hAnsi="Calibri" w:cs="Calibri"/>
                <w:b/>
                <w:bCs/>
                <w:color w:val="000000"/>
              </w:rPr>
            </w:pPr>
            <w:r>
              <w:rPr>
                <w:rFonts w:ascii="Calibri" w:eastAsia="Times New Roman" w:hAnsi="Calibri" w:cs="Calibri"/>
                <w:b/>
                <w:bCs/>
                <w:color w:val="000000"/>
              </w:rPr>
              <w:t>SW Ingestion Rate, IR (L/</w:t>
            </w:r>
            <w:proofErr w:type="spellStart"/>
            <w:r>
              <w:rPr>
                <w:rFonts w:ascii="Calibri" w:eastAsia="Times New Roman" w:hAnsi="Calibri" w:cs="Calibri"/>
                <w:b/>
                <w:bCs/>
                <w:color w:val="000000"/>
              </w:rPr>
              <w:t>hr</w:t>
            </w:r>
            <w:proofErr w:type="spellEnd"/>
            <w:r>
              <w:rPr>
                <w:rFonts w:ascii="Calibri" w:eastAsia="Times New Roman" w:hAnsi="Calibri" w:cs="Calibri"/>
                <w:b/>
                <w:bCs/>
                <w:color w:val="000000"/>
              </w:rPr>
              <w:t xml:space="preserve">) </w:t>
            </w:r>
          </w:p>
        </w:tc>
        <w:tc>
          <w:tcPr>
            <w:tcW w:w="271" w:type="dxa"/>
            <w:tcBorders>
              <w:bottom w:val="single" w:sz="4" w:space="0" w:color="auto"/>
              <w:right w:val="single" w:sz="4" w:space="0" w:color="000000" w:themeColor="text1"/>
            </w:tcBorders>
            <w:shd w:val="clear" w:color="auto" w:fill="auto"/>
            <w:noWrap/>
            <w:vAlign w:val="center"/>
            <w:hideMark/>
          </w:tcPr>
          <w:p w14:paraId="4E21277A" w14:textId="77777777" w:rsidR="00312527" w:rsidRDefault="00312527">
            <w:pPr>
              <w:spacing w:after="0" w:line="240" w:lineRule="auto"/>
              <w:rPr>
                <w:rFonts w:ascii="Calibri" w:eastAsia="Times New Roman" w:hAnsi="Calibri" w:cs="Calibri"/>
                <w:b/>
                <w:bCs/>
                <w:color w:val="000000"/>
              </w:rPr>
            </w:pPr>
            <w:r>
              <w:rPr>
                <w:rFonts w:ascii="Calibri" w:eastAsia="Times New Roman" w:hAnsi="Calibri" w:cs="Calibri"/>
                <w:b/>
                <w:bCs/>
                <w:color w:val="000000"/>
              </w:rPr>
              <w:t> </w:t>
            </w:r>
          </w:p>
        </w:tc>
        <w:tc>
          <w:tcPr>
            <w:tcW w:w="1169" w:type="dxa"/>
            <w:tcBorders>
              <w:left w:val="single" w:sz="4" w:space="0" w:color="000000" w:themeColor="text1"/>
              <w:bottom w:val="single" w:sz="4" w:space="0" w:color="auto"/>
            </w:tcBorders>
            <w:shd w:val="clear" w:color="auto" w:fill="auto"/>
            <w:noWrap/>
            <w:vAlign w:val="center"/>
            <w:hideMark/>
          </w:tcPr>
          <w:p w14:paraId="68F4637C" w14:textId="3F8396B2" w:rsidR="00312527" w:rsidRDefault="00312527">
            <w:pPr>
              <w:spacing w:after="0" w:line="240" w:lineRule="auto"/>
              <w:jc w:val="center"/>
              <w:rPr>
                <w:rFonts w:eastAsia="Times New Roman" w:cstheme="minorHAnsi"/>
                <w:color w:val="000000"/>
              </w:rPr>
            </w:pPr>
            <w:r>
              <w:rPr>
                <w:rFonts w:eastAsia="Times New Roman" w:cstheme="minorHAnsi"/>
                <w:color w:val="000000"/>
              </w:rPr>
              <w:t>0.</w:t>
            </w:r>
            <w:r w:rsidR="00F006EC">
              <w:rPr>
                <w:rFonts w:eastAsia="Times New Roman" w:cstheme="minorHAnsi"/>
                <w:color w:val="000000"/>
              </w:rPr>
              <w:t>053</w:t>
            </w:r>
          </w:p>
        </w:tc>
        <w:tc>
          <w:tcPr>
            <w:tcW w:w="900" w:type="dxa"/>
            <w:tcBorders>
              <w:bottom w:val="single" w:sz="4" w:space="0" w:color="auto"/>
            </w:tcBorders>
            <w:shd w:val="clear" w:color="auto" w:fill="auto"/>
            <w:noWrap/>
            <w:vAlign w:val="center"/>
            <w:hideMark/>
          </w:tcPr>
          <w:p w14:paraId="02998908" w14:textId="36390EC5" w:rsidR="00312527" w:rsidRDefault="00312527">
            <w:pPr>
              <w:spacing w:after="0" w:line="240" w:lineRule="auto"/>
              <w:jc w:val="center"/>
              <w:rPr>
                <w:rFonts w:eastAsia="Times New Roman" w:cstheme="minorHAnsi"/>
                <w:color w:val="000000"/>
              </w:rPr>
            </w:pPr>
            <w:r>
              <w:rPr>
                <w:rFonts w:eastAsia="Times New Roman" w:cstheme="minorHAnsi"/>
                <w:color w:val="000000"/>
              </w:rPr>
              <w:t>0.</w:t>
            </w:r>
            <w:r w:rsidR="00F006EC">
              <w:rPr>
                <w:rFonts w:eastAsia="Times New Roman" w:cstheme="minorHAnsi"/>
                <w:color w:val="000000"/>
              </w:rPr>
              <w:t>053</w:t>
            </w:r>
          </w:p>
        </w:tc>
        <w:tc>
          <w:tcPr>
            <w:tcW w:w="1350" w:type="dxa"/>
            <w:tcBorders>
              <w:bottom w:val="single" w:sz="4" w:space="0" w:color="auto"/>
              <w:right w:val="single" w:sz="4" w:space="0" w:color="000000" w:themeColor="text1"/>
            </w:tcBorders>
            <w:shd w:val="clear" w:color="auto" w:fill="auto"/>
            <w:noWrap/>
            <w:vAlign w:val="center"/>
            <w:hideMark/>
          </w:tcPr>
          <w:p w14:paraId="572AAA7B" w14:textId="45F868D1" w:rsidR="00312527" w:rsidRDefault="00312527">
            <w:pPr>
              <w:spacing w:after="0" w:line="240" w:lineRule="auto"/>
              <w:jc w:val="center"/>
              <w:rPr>
                <w:rFonts w:eastAsia="Times New Roman" w:cstheme="minorHAnsi"/>
                <w:color w:val="000000"/>
              </w:rPr>
            </w:pPr>
            <w:r>
              <w:rPr>
                <w:rFonts w:eastAsia="Times New Roman" w:cstheme="minorHAnsi"/>
                <w:color w:val="000000"/>
              </w:rPr>
              <w:t>0.</w:t>
            </w:r>
            <w:r w:rsidR="00F006EC">
              <w:rPr>
                <w:rFonts w:eastAsia="Times New Roman" w:cstheme="minorHAnsi"/>
                <w:color w:val="000000"/>
              </w:rPr>
              <w:t>048</w:t>
            </w:r>
          </w:p>
        </w:tc>
        <w:tc>
          <w:tcPr>
            <w:tcW w:w="4850" w:type="dxa"/>
            <w:tcBorders>
              <w:top w:val="nil"/>
              <w:left w:val="single" w:sz="4" w:space="0" w:color="000000" w:themeColor="text1"/>
              <w:bottom w:val="single" w:sz="4" w:space="0" w:color="auto"/>
              <w:right w:val="single" w:sz="4" w:space="0" w:color="000000"/>
            </w:tcBorders>
            <w:shd w:val="clear" w:color="auto" w:fill="auto"/>
            <w:vAlign w:val="center"/>
            <w:hideMark/>
          </w:tcPr>
          <w:p w14:paraId="1ADB21D5" w14:textId="77777777" w:rsidR="00312527" w:rsidRPr="00674CE5" w:rsidRDefault="00312527">
            <w:pPr>
              <w:spacing w:after="0"/>
              <w:rPr>
                <w:rFonts w:ascii="Calibri" w:hAnsi="Calibri" w:cs="Calibri"/>
                <w:color w:val="000000"/>
              </w:rPr>
            </w:pPr>
            <w:r w:rsidRPr="001247C7">
              <w:rPr>
                <w:rFonts w:ascii="Calibri" w:hAnsi="Calibri" w:cs="Calibri"/>
                <w:color w:val="000000"/>
              </w:rPr>
              <w:t>US EPA (2019) Table 3-93</w:t>
            </w:r>
          </w:p>
        </w:tc>
      </w:tr>
    </w:tbl>
    <w:p w14:paraId="35BB20F6" w14:textId="77777777" w:rsidR="00312527" w:rsidRDefault="00312527" w:rsidP="00FB4304">
      <w:pPr>
        <w:rPr>
          <w:sz w:val="18"/>
          <w:szCs w:val="18"/>
        </w:rPr>
      </w:pPr>
    </w:p>
    <w:p w14:paraId="46F4B04C" w14:textId="77777777" w:rsidR="00312527" w:rsidRDefault="00312527" w:rsidP="00FB4304">
      <w:pPr>
        <w:rPr>
          <w:sz w:val="18"/>
          <w:szCs w:val="18"/>
        </w:rPr>
      </w:pPr>
    </w:p>
    <w:p w14:paraId="2928EFD9" w14:textId="651DE55B" w:rsidR="00312527" w:rsidRPr="00C92926" w:rsidRDefault="00312527" w:rsidP="00FB4304">
      <w:pPr>
        <w:rPr>
          <w:sz w:val="18"/>
          <w:szCs w:val="18"/>
        </w:rPr>
        <w:sectPr w:rsidR="00312527" w:rsidRPr="00C92926" w:rsidSect="000750D0">
          <w:headerReference w:type="default" r:id="rId36"/>
          <w:headerReference w:type="first" r:id="rId37"/>
          <w:pgSz w:w="15840" w:h="12240" w:orient="landscape"/>
          <w:pgMar w:top="720" w:right="720" w:bottom="720" w:left="720" w:header="720" w:footer="720" w:gutter="0"/>
          <w:cols w:space="720"/>
          <w:docGrid w:linePitch="360"/>
        </w:sectPr>
      </w:pPr>
    </w:p>
    <w:p w14:paraId="7890DEE0" w14:textId="465374F1" w:rsidR="002B077E" w:rsidRPr="00271B22" w:rsidRDefault="002B077E" w:rsidP="005211EB">
      <w:pPr>
        <w:rPr>
          <w:b/>
          <w:sz w:val="24"/>
          <w:szCs w:val="24"/>
        </w:rPr>
      </w:pPr>
      <w:r w:rsidRPr="00271B22">
        <w:rPr>
          <w:b/>
          <w:sz w:val="24"/>
          <w:szCs w:val="24"/>
        </w:rPr>
        <w:lastRenderedPageBreak/>
        <w:t>Notes on Table</w:t>
      </w:r>
      <w:r w:rsidR="002F68EA" w:rsidRPr="00271B22">
        <w:rPr>
          <w:b/>
          <w:sz w:val="24"/>
          <w:szCs w:val="24"/>
        </w:rPr>
        <w:t>s</w:t>
      </w:r>
      <w:r w:rsidRPr="00271B22">
        <w:rPr>
          <w:b/>
          <w:sz w:val="24"/>
          <w:szCs w:val="24"/>
        </w:rPr>
        <w:t xml:space="preserve"> </w:t>
      </w:r>
      <w:r w:rsidR="002F68EA" w:rsidRPr="00271B22">
        <w:rPr>
          <w:b/>
          <w:sz w:val="24"/>
          <w:szCs w:val="24"/>
        </w:rPr>
        <w:t>A.1 and A.2</w:t>
      </w:r>
      <w:r w:rsidRPr="00271B22">
        <w:rPr>
          <w:b/>
          <w:sz w:val="24"/>
          <w:szCs w:val="24"/>
        </w:rPr>
        <w:t>, Exposure Assumptions for Recreational Exposure to Surface Water:</w:t>
      </w:r>
    </w:p>
    <w:p w14:paraId="0C80960D" w14:textId="2018AD80" w:rsidR="00F271F3" w:rsidRPr="00271B22" w:rsidRDefault="0054791A" w:rsidP="00244B9E">
      <w:pPr>
        <w:spacing w:after="0" w:line="240" w:lineRule="auto"/>
        <w:rPr>
          <w:sz w:val="24"/>
          <w:szCs w:val="24"/>
        </w:rPr>
      </w:pPr>
      <w:r w:rsidRPr="00271B22">
        <w:rPr>
          <w:b/>
          <w:sz w:val="24"/>
          <w:szCs w:val="24"/>
        </w:rPr>
        <w:t>Event Duration</w:t>
      </w:r>
      <w:r w:rsidR="00BD6660" w:rsidRPr="00271B22">
        <w:rPr>
          <w:b/>
          <w:sz w:val="24"/>
          <w:szCs w:val="24"/>
        </w:rPr>
        <w:t xml:space="preserve">, </w:t>
      </w:r>
      <w:proofErr w:type="spellStart"/>
      <w:r w:rsidR="00BD6660" w:rsidRPr="00271B22">
        <w:rPr>
          <w:b/>
          <w:sz w:val="24"/>
          <w:szCs w:val="24"/>
        </w:rPr>
        <w:t>t</w:t>
      </w:r>
      <w:r w:rsidR="00BD6660" w:rsidRPr="00271B22">
        <w:rPr>
          <w:b/>
          <w:sz w:val="24"/>
          <w:szCs w:val="24"/>
          <w:vertAlign w:val="subscript"/>
        </w:rPr>
        <w:t>event</w:t>
      </w:r>
      <w:proofErr w:type="spellEnd"/>
      <w:r w:rsidR="00BD6660" w:rsidRPr="00271B22">
        <w:rPr>
          <w:b/>
          <w:sz w:val="24"/>
          <w:szCs w:val="24"/>
        </w:rPr>
        <w:t xml:space="preserve"> (hours/event)</w:t>
      </w:r>
    </w:p>
    <w:p w14:paraId="405E8DC0" w14:textId="1AD2838C" w:rsidR="00F130E6" w:rsidRPr="00A5595C" w:rsidRDefault="00497673" w:rsidP="006E4074">
      <w:pPr>
        <w:pStyle w:val="ListParagraph"/>
        <w:numPr>
          <w:ilvl w:val="0"/>
          <w:numId w:val="32"/>
        </w:numPr>
        <w:spacing w:line="240" w:lineRule="auto"/>
        <w:rPr>
          <w:sz w:val="24"/>
          <w:szCs w:val="24"/>
        </w:rPr>
      </w:pPr>
      <w:r w:rsidRPr="00A5595C">
        <w:rPr>
          <w:sz w:val="24"/>
          <w:szCs w:val="24"/>
        </w:rPr>
        <w:t>Based on professional judgement, t</w:t>
      </w:r>
      <w:r w:rsidR="00AC47CA" w:rsidRPr="00A5595C">
        <w:rPr>
          <w:sz w:val="24"/>
          <w:szCs w:val="24"/>
        </w:rPr>
        <w:t>he event duration</w:t>
      </w:r>
      <w:r w:rsidR="00CD3150" w:rsidRPr="00A5595C">
        <w:rPr>
          <w:sz w:val="24"/>
          <w:szCs w:val="24"/>
        </w:rPr>
        <w:t xml:space="preserve"> is </w:t>
      </w:r>
      <w:r w:rsidRPr="00A5595C">
        <w:rPr>
          <w:sz w:val="24"/>
          <w:szCs w:val="24"/>
        </w:rPr>
        <w:t>assumed to be one hour</w:t>
      </w:r>
      <w:r w:rsidR="00CD3150" w:rsidRPr="00A5595C">
        <w:rPr>
          <w:sz w:val="24"/>
          <w:szCs w:val="24"/>
        </w:rPr>
        <w:t xml:space="preserve"> for</w:t>
      </w:r>
      <w:r w:rsidR="007A45C5" w:rsidRPr="00A5595C">
        <w:rPr>
          <w:sz w:val="24"/>
          <w:szCs w:val="24"/>
        </w:rPr>
        <w:t xml:space="preserve"> all age </w:t>
      </w:r>
      <w:r w:rsidR="002E410E" w:rsidRPr="00A5595C">
        <w:rPr>
          <w:sz w:val="24"/>
          <w:szCs w:val="24"/>
        </w:rPr>
        <w:t>groups</w:t>
      </w:r>
      <w:r w:rsidRPr="00A5595C">
        <w:rPr>
          <w:sz w:val="24"/>
          <w:szCs w:val="24"/>
        </w:rPr>
        <w:t xml:space="preserve">, for </w:t>
      </w:r>
      <w:r w:rsidR="006219EE">
        <w:rPr>
          <w:sz w:val="24"/>
          <w:szCs w:val="24"/>
        </w:rPr>
        <w:t xml:space="preserve">the </w:t>
      </w:r>
      <w:proofErr w:type="spellStart"/>
      <w:r w:rsidR="002A6CC4">
        <w:rPr>
          <w:sz w:val="24"/>
          <w:szCs w:val="24"/>
        </w:rPr>
        <w:t>c</w:t>
      </w:r>
      <w:r w:rsidR="006219EE">
        <w:rPr>
          <w:sz w:val="24"/>
          <w:szCs w:val="24"/>
        </w:rPr>
        <w:t>SWAL</w:t>
      </w:r>
      <w:r w:rsidR="002A6CC4">
        <w:rPr>
          <w:sz w:val="24"/>
          <w:szCs w:val="24"/>
        </w:rPr>
        <w:t>s</w:t>
      </w:r>
      <w:proofErr w:type="spellEnd"/>
      <w:r w:rsidR="006219EE">
        <w:rPr>
          <w:sz w:val="24"/>
          <w:szCs w:val="24"/>
        </w:rPr>
        <w:t xml:space="preserve"> and </w:t>
      </w:r>
      <w:proofErr w:type="spellStart"/>
      <w:r w:rsidR="002A6CC4">
        <w:rPr>
          <w:sz w:val="24"/>
          <w:szCs w:val="24"/>
        </w:rPr>
        <w:t>c</w:t>
      </w:r>
      <w:r w:rsidR="006219EE">
        <w:rPr>
          <w:sz w:val="24"/>
          <w:szCs w:val="24"/>
        </w:rPr>
        <w:t>PBAL</w:t>
      </w:r>
      <w:r w:rsidR="002A6CC4">
        <w:rPr>
          <w:sz w:val="24"/>
          <w:szCs w:val="24"/>
        </w:rPr>
        <w:t>s</w:t>
      </w:r>
      <w:proofErr w:type="spellEnd"/>
      <w:r w:rsidR="006219EE">
        <w:rPr>
          <w:sz w:val="24"/>
          <w:szCs w:val="24"/>
        </w:rPr>
        <w:t xml:space="preserve">, for </w:t>
      </w:r>
      <w:r w:rsidRPr="00A5595C">
        <w:rPr>
          <w:sz w:val="24"/>
          <w:szCs w:val="24"/>
        </w:rPr>
        <w:t xml:space="preserve">both DPH and the MCP-based </w:t>
      </w:r>
      <w:r w:rsidR="006219EE">
        <w:rPr>
          <w:sz w:val="24"/>
          <w:szCs w:val="24"/>
        </w:rPr>
        <w:t>action levels</w:t>
      </w:r>
      <w:r w:rsidRPr="00A5595C">
        <w:rPr>
          <w:sz w:val="24"/>
          <w:szCs w:val="24"/>
        </w:rPr>
        <w:t>.</w:t>
      </w:r>
    </w:p>
    <w:p w14:paraId="2C1DF0B5" w14:textId="2FB035B5" w:rsidR="00497673" w:rsidRPr="00271B22" w:rsidRDefault="0054791A" w:rsidP="00EF69D9">
      <w:pPr>
        <w:spacing w:before="240" w:after="0" w:line="240" w:lineRule="auto"/>
        <w:rPr>
          <w:sz w:val="24"/>
          <w:szCs w:val="24"/>
        </w:rPr>
      </w:pPr>
      <w:r w:rsidRPr="00271B22">
        <w:rPr>
          <w:b/>
          <w:sz w:val="24"/>
          <w:szCs w:val="24"/>
        </w:rPr>
        <w:t>Event Frequency</w:t>
      </w:r>
      <w:r w:rsidR="00BD6660" w:rsidRPr="00271B22">
        <w:rPr>
          <w:b/>
          <w:sz w:val="24"/>
          <w:szCs w:val="24"/>
        </w:rPr>
        <w:t xml:space="preserve"> - EV</w:t>
      </w:r>
      <w:r w:rsidR="00100BF9" w:rsidRPr="00271B22">
        <w:rPr>
          <w:b/>
          <w:sz w:val="24"/>
          <w:szCs w:val="24"/>
        </w:rPr>
        <w:t xml:space="preserve"> (events/day)</w:t>
      </w:r>
    </w:p>
    <w:tbl>
      <w:tblPr>
        <w:tblStyle w:val="TableGrid"/>
        <w:tblW w:w="14305" w:type="dxa"/>
        <w:tblLook w:val="04A0" w:firstRow="1" w:lastRow="0" w:firstColumn="1" w:lastColumn="0" w:noHBand="0" w:noVBand="1"/>
      </w:tblPr>
      <w:tblGrid>
        <w:gridCol w:w="1705"/>
        <w:gridCol w:w="6390"/>
        <w:gridCol w:w="6210"/>
      </w:tblGrid>
      <w:tr w:rsidR="00B35512" w14:paraId="647134A8" w14:textId="77777777" w:rsidTr="00E85309">
        <w:tc>
          <w:tcPr>
            <w:tcW w:w="1705" w:type="dxa"/>
            <w:tcBorders>
              <w:bottom w:val="double" w:sz="4" w:space="0" w:color="auto"/>
            </w:tcBorders>
            <w:shd w:val="clear" w:color="auto" w:fill="DBE5F1" w:themeFill="accent1" w:themeFillTint="33"/>
          </w:tcPr>
          <w:p w14:paraId="424E76D4" w14:textId="755680CE" w:rsidR="00B35512" w:rsidRPr="00E85309" w:rsidRDefault="00B35512" w:rsidP="00EF69D9">
            <w:pPr>
              <w:rPr>
                <w:rFonts w:ascii="Calibri" w:eastAsia="Times New Roman" w:hAnsi="Calibri" w:cs="Calibri"/>
                <w:b/>
                <w:bCs/>
                <w:color w:val="000000"/>
                <w:sz w:val="24"/>
                <w:szCs w:val="24"/>
                <w:u w:val="single"/>
              </w:rPr>
            </w:pPr>
            <w:r w:rsidRPr="00E85309">
              <w:rPr>
                <w:rFonts w:ascii="Calibri" w:eastAsia="Times New Roman" w:hAnsi="Calibri" w:cs="Calibri"/>
                <w:b/>
                <w:bCs/>
                <w:color w:val="000000"/>
                <w:sz w:val="24"/>
                <w:szCs w:val="24"/>
                <w:u w:val="single"/>
              </w:rPr>
              <w:t>Method</w:t>
            </w:r>
          </w:p>
        </w:tc>
        <w:tc>
          <w:tcPr>
            <w:tcW w:w="6390" w:type="dxa"/>
            <w:tcBorders>
              <w:bottom w:val="double" w:sz="4" w:space="0" w:color="auto"/>
            </w:tcBorders>
            <w:shd w:val="clear" w:color="auto" w:fill="DBE5F1" w:themeFill="accent1" w:themeFillTint="33"/>
          </w:tcPr>
          <w:p w14:paraId="5731889E" w14:textId="66F55095" w:rsidR="00B35512" w:rsidRPr="00E85309" w:rsidRDefault="002A6CC4" w:rsidP="00EF69D9">
            <w:pPr>
              <w:rPr>
                <w:rFonts w:ascii="Calibri" w:eastAsia="Times New Roman" w:hAnsi="Calibri" w:cs="Calibri"/>
                <w:b/>
                <w:bCs/>
                <w:color w:val="000000"/>
                <w:sz w:val="24"/>
                <w:szCs w:val="24"/>
                <w:u w:val="single"/>
              </w:rPr>
            </w:pPr>
            <w:proofErr w:type="spellStart"/>
            <w:r>
              <w:rPr>
                <w:rFonts w:ascii="Calibri" w:eastAsia="Times New Roman" w:hAnsi="Calibri" w:cs="Calibri"/>
                <w:b/>
                <w:bCs/>
                <w:color w:val="000000"/>
                <w:sz w:val="24"/>
                <w:szCs w:val="24"/>
                <w:u w:val="single"/>
              </w:rPr>
              <w:t>c</w:t>
            </w:r>
            <w:r w:rsidR="00B35512" w:rsidRPr="00E85309">
              <w:rPr>
                <w:rFonts w:ascii="Calibri" w:eastAsia="Times New Roman" w:hAnsi="Calibri" w:cs="Calibri"/>
                <w:b/>
                <w:bCs/>
                <w:color w:val="000000"/>
                <w:sz w:val="24"/>
                <w:szCs w:val="24"/>
                <w:u w:val="single"/>
              </w:rPr>
              <w:t>SWAL</w:t>
            </w:r>
            <w:proofErr w:type="spellEnd"/>
          </w:p>
        </w:tc>
        <w:tc>
          <w:tcPr>
            <w:tcW w:w="6210" w:type="dxa"/>
            <w:tcBorders>
              <w:bottom w:val="double" w:sz="4" w:space="0" w:color="auto"/>
            </w:tcBorders>
            <w:shd w:val="clear" w:color="auto" w:fill="DBE5F1" w:themeFill="accent1" w:themeFillTint="33"/>
          </w:tcPr>
          <w:p w14:paraId="2252FAEE" w14:textId="01C2F732" w:rsidR="00B35512" w:rsidRPr="00E85309" w:rsidRDefault="002A6CC4" w:rsidP="00EF69D9">
            <w:pPr>
              <w:rPr>
                <w:rFonts w:ascii="Calibri" w:eastAsia="Times New Roman" w:hAnsi="Calibri" w:cs="Calibri"/>
                <w:b/>
                <w:bCs/>
                <w:color w:val="000000"/>
                <w:sz w:val="24"/>
                <w:szCs w:val="24"/>
                <w:u w:val="single"/>
              </w:rPr>
            </w:pPr>
            <w:proofErr w:type="spellStart"/>
            <w:r>
              <w:rPr>
                <w:rFonts w:ascii="Calibri" w:eastAsia="Times New Roman" w:hAnsi="Calibri" w:cs="Calibri"/>
                <w:b/>
                <w:bCs/>
                <w:color w:val="000000"/>
                <w:sz w:val="24"/>
                <w:szCs w:val="24"/>
                <w:u w:val="single"/>
              </w:rPr>
              <w:t>c</w:t>
            </w:r>
            <w:r w:rsidR="00B35512" w:rsidRPr="00E85309">
              <w:rPr>
                <w:rFonts w:ascii="Calibri" w:eastAsia="Times New Roman" w:hAnsi="Calibri" w:cs="Calibri"/>
                <w:b/>
                <w:bCs/>
                <w:color w:val="000000"/>
                <w:sz w:val="24"/>
                <w:szCs w:val="24"/>
                <w:u w:val="single"/>
              </w:rPr>
              <w:t>PBAL</w:t>
            </w:r>
            <w:proofErr w:type="spellEnd"/>
          </w:p>
        </w:tc>
      </w:tr>
      <w:tr w:rsidR="00B35512" w14:paraId="429B01E2" w14:textId="77777777" w:rsidTr="00E85309">
        <w:tc>
          <w:tcPr>
            <w:tcW w:w="1705" w:type="dxa"/>
            <w:tcBorders>
              <w:top w:val="double" w:sz="4" w:space="0" w:color="auto"/>
            </w:tcBorders>
          </w:tcPr>
          <w:p w14:paraId="65FDF3B6" w14:textId="26CD5407" w:rsidR="00B35512" w:rsidRPr="00A16382" w:rsidRDefault="00B35512" w:rsidP="00EF69D9">
            <w:pPr>
              <w:rPr>
                <w:rFonts w:ascii="Calibri" w:eastAsia="Times New Roman" w:hAnsi="Calibri" w:cs="Calibri"/>
                <w:b/>
                <w:bCs/>
                <w:color w:val="000000"/>
                <w:sz w:val="24"/>
                <w:szCs w:val="24"/>
              </w:rPr>
            </w:pPr>
            <w:r w:rsidRPr="00A16382">
              <w:rPr>
                <w:rFonts w:ascii="Calibri" w:eastAsia="Times New Roman" w:hAnsi="Calibri" w:cs="Calibri"/>
                <w:b/>
                <w:bCs/>
                <w:color w:val="000000"/>
                <w:sz w:val="24"/>
                <w:szCs w:val="24"/>
              </w:rPr>
              <w:t>DPH</w:t>
            </w:r>
          </w:p>
        </w:tc>
        <w:tc>
          <w:tcPr>
            <w:tcW w:w="6390" w:type="dxa"/>
            <w:tcBorders>
              <w:top w:val="double" w:sz="4" w:space="0" w:color="auto"/>
            </w:tcBorders>
          </w:tcPr>
          <w:p w14:paraId="736B3D39" w14:textId="77777777" w:rsidR="00B35512" w:rsidRPr="00B35512" w:rsidRDefault="00B35512" w:rsidP="006E104E">
            <w:pPr>
              <w:pStyle w:val="ListParagraph"/>
              <w:numPr>
                <w:ilvl w:val="0"/>
                <w:numId w:val="27"/>
              </w:numPr>
              <w:spacing w:after="120"/>
              <w:ind w:left="346"/>
              <w:contextualSpacing w:val="0"/>
              <w:rPr>
                <w:rFonts w:ascii="Calibri" w:eastAsia="Times New Roman" w:hAnsi="Calibri" w:cs="Calibri"/>
                <w:color w:val="000000"/>
              </w:rPr>
            </w:pPr>
            <w:r w:rsidRPr="00B35512">
              <w:rPr>
                <w:rFonts w:ascii="Calibri" w:eastAsia="Times New Roman" w:hAnsi="Calibri" w:cs="Calibri"/>
                <w:i/>
                <w:iCs/>
                <w:color w:val="000000"/>
              </w:rPr>
              <w:t>Birth - &lt;2 years:</w:t>
            </w:r>
            <w:r w:rsidRPr="00B35512">
              <w:rPr>
                <w:rFonts w:ascii="Calibri" w:eastAsia="Times New Roman" w:hAnsi="Calibri" w:cs="Calibri"/>
                <w:color w:val="000000"/>
              </w:rPr>
              <w:t xml:space="preserve"> The EV is assumed to be one, based on professional judgement that the number of times per day that an infant or toddler might swim would be limited by the need for close supervision.</w:t>
            </w:r>
          </w:p>
          <w:p w14:paraId="5A7B6F6C" w14:textId="140E238E" w:rsidR="00B35512" w:rsidRDefault="00B35512" w:rsidP="006E104E">
            <w:pPr>
              <w:pStyle w:val="ListParagraph"/>
              <w:numPr>
                <w:ilvl w:val="0"/>
                <w:numId w:val="27"/>
              </w:numPr>
              <w:spacing w:before="240" w:after="120"/>
              <w:ind w:left="346"/>
              <w:rPr>
                <w:rFonts w:ascii="Calibri" w:eastAsia="Times New Roman" w:hAnsi="Calibri" w:cs="Calibri"/>
                <w:color w:val="000000"/>
                <w:sz w:val="24"/>
                <w:szCs w:val="24"/>
                <w:u w:val="single"/>
              </w:rPr>
            </w:pPr>
            <w:r w:rsidRPr="00B35512">
              <w:rPr>
                <w:rFonts w:ascii="Calibri" w:eastAsia="Times New Roman" w:hAnsi="Calibri" w:cs="Calibri"/>
                <w:i/>
                <w:iCs/>
                <w:color w:val="000000"/>
              </w:rPr>
              <w:t xml:space="preserve">Age 2 years </w:t>
            </w:r>
            <w:r w:rsidR="00666BA0">
              <w:rPr>
                <w:rFonts w:ascii="Calibri" w:eastAsia="Times New Roman" w:hAnsi="Calibri" w:cs="Calibri"/>
                <w:i/>
                <w:iCs/>
                <w:color w:val="000000"/>
              </w:rPr>
              <w:t>–</w:t>
            </w:r>
            <w:r w:rsidRPr="00B35512">
              <w:rPr>
                <w:rFonts w:ascii="Calibri" w:eastAsia="Times New Roman" w:hAnsi="Calibri" w:cs="Calibri"/>
                <w:i/>
                <w:iCs/>
                <w:color w:val="000000"/>
              </w:rPr>
              <w:t xml:space="preserve"> </w:t>
            </w:r>
            <w:r w:rsidR="002E62DE">
              <w:rPr>
                <w:rFonts w:ascii="Calibri" w:eastAsia="Times New Roman" w:hAnsi="Calibri" w:cs="Calibri"/>
                <w:i/>
                <w:iCs/>
                <w:color w:val="000000"/>
              </w:rPr>
              <w:t>P</w:t>
            </w:r>
            <w:r w:rsidR="002E62DE" w:rsidRPr="00B35512">
              <w:rPr>
                <w:rFonts w:ascii="Calibri" w:eastAsia="Times New Roman" w:hAnsi="Calibri" w:cs="Calibri"/>
                <w:i/>
                <w:iCs/>
                <w:color w:val="000000"/>
              </w:rPr>
              <w:t>CBA</w:t>
            </w:r>
            <w:r w:rsidRPr="00B35512">
              <w:rPr>
                <w:rFonts w:ascii="Calibri" w:eastAsia="Times New Roman" w:hAnsi="Calibri" w:cs="Calibri"/>
                <w:i/>
                <w:iCs/>
                <w:color w:val="000000"/>
              </w:rPr>
              <w:t>:</w:t>
            </w:r>
            <w:r w:rsidRPr="00B35512">
              <w:rPr>
                <w:rFonts w:ascii="Calibri" w:eastAsia="Times New Roman" w:hAnsi="Calibri" w:cs="Calibri"/>
                <w:color w:val="000000"/>
              </w:rPr>
              <w:t xml:space="preserve"> </w:t>
            </w:r>
            <w:r w:rsidRPr="00B35512">
              <w:t xml:space="preserve">Assuming an event duration of one hour, the EV is the number of events resulting in a total swimming exposure time consistent with the </w:t>
            </w:r>
            <w:r w:rsidRPr="00B35512">
              <w:rPr>
                <w:rFonts w:ascii="Calibri" w:eastAsia="Times New Roman" w:hAnsi="Calibri" w:cs="Calibri"/>
                <w:color w:val="000000"/>
              </w:rPr>
              <w:t>90th percentile for time spent swimming/day, from the National Human Activity Pattern Survey (NHAPS) (US EPA, 1996, Table QBNp-17h). Total time swimming is three hours/day; the EV for individuals 2 years of age or older is thus 3.</w:t>
            </w:r>
          </w:p>
        </w:tc>
        <w:tc>
          <w:tcPr>
            <w:tcW w:w="6210" w:type="dxa"/>
            <w:tcBorders>
              <w:top w:val="double" w:sz="4" w:space="0" w:color="auto"/>
            </w:tcBorders>
          </w:tcPr>
          <w:p w14:paraId="299A507F" w14:textId="76634CA3" w:rsidR="006E104E" w:rsidRDefault="006E104E" w:rsidP="006E104E">
            <w:pPr>
              <w:pStyle w:val="ListParagraph"/>
              <w:numPr>
                <w:ilvl w:val="0"/>
                <w:numId w:val="27"/>
              </w:numPr>
              <w:spacing w:after="120"/>
              <w:ind w:left="346"/>
              <w:contextualSpacing w:val="0"/>
              <w:rPr>
                <w:rFonts w:ascii="Calibri" w:eastAsia="Times New Roman" w:hAnsi="Calibri" w:cs="Calibri"/>
                <w:color w:val="000000"/>
              </w:rPr>
            </w:pPr>
            <w:r w:rsidRPr="00B35512">
              <w:rPr>
                <w:rFonts w:ascii="Calibri" w:eastAsia="Times New Roman" w:hAnsi="Calibri" w:cs="Calibri"/>
                <w:i/>
                <w:iCs/>
                <w:color w:val="000000"/>
              </w:rPr>
              <w:t>Birth - &lt;2 years:</w:t>
            </w:r>
            <w:r w:rsidRPr="00B35512">
              <w:rPr>
                <w:rFonts w:ascii="Calibri" w:eastAsia="Times New Roman" w:hAnsi="Calibri" w:cs="Calibri"/>
                <w:color w:val="000000"/>
              </w:rPr>
              <w:t xml:space="preserve"> The EV is assumed to be one, based on professional judgement that the number of times per day that an infant or toddler might swim would be limited by the need for close supervision.</w:t>
            </w:r>
          </w:p>
          <w:p w14:paraId="4C6E6810" w14:textId="410D8288" w:rsidR="00B35512" w:rsidRDefault="006E104E" w:rsidP="006E104E">
            <w:pPr>
              <w:pStyle w:val="ListParagraph"/>
              <w:numPr>
                <w:ilvl w:val="0"/>
                <w:numId w:val="27"/>
              </w:numPr>
              <w:spacing w:after="120"/>
              <w:ind w:left="346"/>
              <w:contextualSpacing w:val="0"/>
              <w:rPr>
                <w:rFonts w:ascii="Calibri" w:eastAsia="Times New Roman" w:hAnsi="Calibri" w:cs="Calibri"/>
                <w:color w:val="000000"/>
                <w:sz w:val="24"/>
                <w:szCs w:val="24"/>
                <w:u w:val="single"/>
              </w:rPr>
            </w:pPr>
            <w:r w:rsidRPr="00B35512">
              <w:rPr>
                <w:rFonts w:ascii="Calibri" w:eastAsia="Times New Roman" w:hAnsi="Calibri" w:cs="Calibri"/>
                <w:i/>
                <w:iCs/>
                <w:color w:val="000000"/>
              </w:rPr>
              <w:t xml:space="preserve">Age 2 years - </w:t>
            </w:r>
            <w:r w:rsidR="00AE0C27">
              <w:rPr>
                <w:rFonts w:ascii="Calibri" w:eastAsia="Times New Roman" w:hAnsi="Calibri" w:cs="Calibri"/>
                <w:i/>
                <w:iCs/>
                <w:color w:val="000000"/>
              </w:rPr>
              <w:t>P</w:t>
            </w:r>
            <w:r w:rsidRPr="00B35512">
              <w:rPr>
                <w:rFonts w:ascii="Calibri" w:eastAsia="Times New Roman" w:hAnsi="Calibri" w:cs="Calibri"/>
                <w:i/>
                <w:iCs/>
                <w:color w:val="000000"/>
              </w:rPr>
              <w:t>CBA:</w:t>
            </w:r>
            <w:r w:rsidRPr="00B35512">
              <w:rPr>
                <w:rFonts w:ascii="Calibri" w:eastAsia="Times New Roman" w:hAnsi="Calibri" w:cs="Calibri"/>
                <w:color w:val="000000"/>
              </w:rPr>
              <w:t xml:space="preserve"> </w:t>
            </w:r>
            <w:r w:rsidRPr="00B35512">
              <w:t xml:space="preserve">Assuming an event duration of one hour, the EV is the number of events resulting in a total swimming exposure time consistent with the </w:t>
            </w:r>
            <w:r>
              <w:rPr>
                <w:rFonts w:ascii="Calibri" w:eastAsia="Times New Roman" w:hAnsi="Calibri" w:cs="Calibri"/>
                <w:color w:val="000000"/>
              </w:rPr>
              <w:t>75</w:t>
            </w:r>
            <w:r w:rsidRPr="00B35512">
              <w:rPr>
                <w:rFonts w:ascii="Calibri" w:eastAsia="Times New Roman" w:hAnsi="Calibri" w:cs="Calibri"/>
                <w:color w:val="000000"/>
              </w:rPr>
              <w:t xml:space="preserve">th percentile for time spent swimming/day, from the National Human Activity Pattern Survey (NHAPS) (US EPA, 1996, Table QBNp-17h). Total time swimming is </w:t>
            </w:r>
            <w:r>
              <w:rPr>
                <w:rFonts w:ascii="Calibri" w:eastAsia="Times New Roman" w:hAnsi="Calibri" w:cs="Calibri"/>
                <w:color w:val="000000"/>
              </w:rPr>
              <w:t>two</w:t>
            </w:r>
            <w:r w:rsidRPr="00B35512">
              <w:rPr>
                <w:rFonts w:ascii="Calibri" w:eastAsia="Times New Roman" w:hAnsi="Calibri" w:cs="Calibri"/>
                <w:color w:val="000000"/>
              </w:rPr>
              <w:t xml:space="preserve"> hours/day; the EV for individuals 2 years of age or older is thus </w:t>
            </w:r>
            <w:r>
              <w:rPr>
                <w:rFonts w:ascii="Calibri" w:eastAsia="Times New Roman" w:hAnsi="Calibri" w:cs="Calibri"/>
                <w:color w:val="000000"/>
              </w:rPr>
              <w:t>2</w:t>
            </w:r>
            <w:r w:rsidRPr="00B35512">
              <w:rPr>
                <w:rFonts w:ascii="Calibri" w:eastAsia="Times New Roman" w:hAnsi="Calibri" w:cs="Calibri"/>
                <w:color w:val="000000"/>
              </w:rPr>
              <w:t>.</w:t>
            </w:r>
          </w:p>
        </w:tc>
      </w:tr>
      <w:tr w:rsidR="00B35512" w14:paraId="52F8F7A0" w14:textId="77777777" w:rsidTr="006E104E">
        <w:trPr>
          <w:trHeight w:val="935"/>
        </w:trPr>
        <w:tc>
          <w:tcPr>
            <w:tcW w:w="1705" w:type="dxa"/>
          </w:tcPr>
          <w:p w14:paraId="4FA40D4C" w14:textId="563148AC" w:rsidR="00B35512" w:rsidRPr="00A16382" w:rsidRDefault="00B35512" w:rsidP="00EF69D9">
            <w:pPr>
              <w:rPr>
                <w:rFonts w:ascii="Calibri" w:eastAsia="Times New Roman" w:hAnsi="Calibri" w:cs="Calibri"/>
                <w:b/>
                <w:bCs/>
                <w:color w:val="000000"/>
                <w:sz w:val="24"/>
                <w:szCs w:val="24"/>
              </w:rPr>
            </w:pPr>
            <w:r w:rsidRPr="00A16382">
              <w:rPr>
                <w:rFonts w:ascii="Calibri" w:eastAsia="Times New Roman" w:hAnsi="Calibri" w:cs="Calibri"/>
                <w:b/>
                <w:bCs/>
                <w:color w:val="000000"/>
                <w:sz w:val="24"/>
                <w:szCs w:val="24"/>
              </w:rPr>
              <w:t>MCP-Based</w:t>
            </w:r>
          </w:p>
        </w:tc>
        <w:tc>
          <w:tcPr>
            <w:tcW w:w="6390" w:type="dxa"/>
          </w:tcPr>
          <w:p w14:paraId="639F0069" w14:textId="0CFAC575" w:rsidR="00B35512" w:rsidRDefault="006E104E" w:rsidP="006E104E">
            <w:pPr>
              <w:pStyle w:val="ListParagraph"/>
              <w:numPr>
                <w:ilvl w:val="0"/>
                <w:numId w:val="33"/>
              </w:numPr>
              <w:ind w:left="346"/>
              <w:jc w:val="both"/>
              <w:rPr>
                <w:rFonts w:ascii="Calibri" w:eastAsia="Times New Roman" w:hAnsi="Calibri" w:cs="Calibri"/>
                <w:color w:val="000000"/>
                <w:sz w:val="24"/>
                <w:szCs w:val="24"/>
                <w:u w:val="single"/>
              </w:rPr>
            </w:pPr>
            <w:r w:rsidRPr="006E104E">
              <w:t>In the absence of MCP guidance for time spent swimming, the NHAPS 90th percentile for time spent swimming of three hours/day (US EPA, 1996, Table QBS-17g) is used for all age groups, resulting in an EV of 3</w:t>
            </w:r>
            <w:r w:rsidRPr="00A5595C">
              <w:rPr>
                <w:sz w:val="24"/>
                <w:szCs w:val="24"/>
              </w:rPr>
              <w:t>.</w:t>
            </w:r>
          </w:p>
        </w:tc>
        <w:tc>
          <w:tcPr>
            <w:tcW w:w="6210" w:type="dxa"/>
          </w:tcPr>
          <w:p w14:paraId="65DFBA3F" w14:textId="79AF196A" w:rsidR="00B35512" w:rsidRPr="006E104E" w:rsidRDefault="006E104E" w:rsidP="006E104E">
            <w:pPr>
              <w:pStyle w:val="ListParagraph"/>
              <w:numPr>
                <w:ilvl w:val="0"/>
                <w:numId w:val="33"/>
              </w:numPr>
              <w:ind w:left="346"/>
              <w:rPr>
                <w:rFonts w:ascii="Calibri" w:eastAsia="Times New Roman" w:hAnsi="Calibri" w:cs="Calibri"/>
                <w:color w:val="000000"/>
                <w:sz w:val="24"/>
                <w:szCs w:val="24"/>
                <w:u w:val="single"/>
              </w:rPr>
            </w:pPr>
            <w:r w:rsidRPr="006E104E">
              <w:t>In the absence of MCP guidance for time spent swimming, the NHAPS 90th percentile for time spent swimming of t</w:t>
            </w:r>
            <w:r w:rsidR="009324A6">
              <w:t>wo</w:t>
            </w:r>
            <w:r w:rsidRPr="006E104E">
              <w:t xml:space="preserve"> hours/day (US EPA, 1996, Table QBS-17g) is used for all age groups, resulting in an EV of </w:t>
            </w:r>
            <w:r w:rsidR="009324A6">
              <w:t>2</w:t>
            </w:r>
            <w:r w:rsidRPr="006E104E">
              <w:rPr>
                <w:sz w:val="24"/>
                <w:szCs w:val="24"/>
              </w:rPr>
              <w:t>.</w:t>
            </w:r>
          </w:p>
        </w:tc>
      </w:tr>
    </w:tbl>
    <w:p w14:paraId="33BF2330" w14:textId="78856FFA" w:rsidR="00B35512" w:rsidRPr="00666BA0" w:rsidRDefault="001D2349" w:rsidP="1CA4B720">
      <w:pPr>
        <w:spacing w:after="0" w:line="240" w:lineRule="auto"/>
        <w:rPr>
          <w:rFonts w:ascii="Calibri" w:eastAsia="Times New Roman" w:hAnsi="Calibri" w:cs="Calibri"/>
          <w:i/>
          <w:iCs/>
          <w:color w:val="000000"/>
          <w:sz w:val="20"/>
          <w:szCs w:val="20"/>
          <w:u w:val="single"/>
        </w:rPr>
      </w:pPr>
      <w:r>
        <w:rPr>
          <w:rFonts w:ascii="Calibri" w:eastAsia="Times New Roman" w:hAnsi="Calibri" w:cs="Calibri"/>
          <w:i/>
          <w:iCs/>
          <w:color w:val="000000" w:themeColor="text1"/>
          <w:sz w:val="20"/>
          <w:szCs w:val="20"/>
          <w:u w:val="single"/>
        </w:rPr>
        <w:t>P</w:t>
      </w:r>
      <w:r w:rsidR="00666BA0" w:rsidRPr="1CA4B720">
        <w:rPr>
          <w:rFonts w:ascii="Calibri" w:eastAsia="Times New Roman" w:hAnsi="Calibri" w:cs="Calibri"/>
          <w:i/>
          <w:iCs/>
          <w:color w:val="000000" w:themeColor="text1"/>
          <w:sz w:val="20"/>
          <w:szCs w:val="20"/>
          <w:u w:val="single"/>
        </w:rPr>
        <w:t xml:space="preserve">CBA – </w:t>
      </w:r>
      <w:r>
        <w:rPr>
          <w:rFonts w:ascii="Calibri" w:eastAsia="Times New Roman" w:hAnsi="Calibri" w:cs="Calibri"/>
          <w:i/>
          <w:iCs/>
          <w:color w:val="000000" w:themeColor="text1"/>
          <w:sz w:val="20"/>
          <w:szCs w:val="20"/>
          <w:u w:val="single"/>
        </w:rPr>
        <w:t>People</w:t>
      </w:r>
      <w:r w:rsidR="00666BA0" w:rsidRPr="1CA4B720">
        <w:rPr>
          <w:rFonts w:ascii="Calibri" w:eastAsia="Times New Roman" w:hAnsi="Calibri" w:cs="Calibri"/>
          <w:i/>
          <w:iCs/>
          <w:color w:val="000000" w:themeColor="text1"/>
          <w:sz w:val="20"/>
          <w:szCs w:val="20"/>
          <w:u w:val="single"/>
        </w:rPr>
        <w:t xml:space="preserve"> of Child-Bearing Age</w:t>
      </w:r>
      <w:r w:rsidR="00190094" w:rsidRPr="1CA4B720">
        <w:rPr>
          <w:rFonts w:ascii="Calibri" w:eastAsia="Times New Roman" w:hAnsi="Calibri" w:cs="Calibri"/>
          <w:i/>
          <w:iCs/>
          <w:color w:val="000000" w:themeColor="text1"/>
          <w:sz w:val="20"/>
          <w:szCs w:val="20"/>
          <w:u w:val="single"/>
        </w:rPr>
        <w:t>; considered to be ages 15 – 45 years of age (ATSDR, 2016</w:t>
      </w:r>
      <w:r w:rsidR="00C158FA" w:rsidRPr="1CA4B720">
        <w:rPr>
          <w:rFonts w:ascii="Calibri" w:eastAsia="Times New Roman" w:hAnsi="Calibri" w:cs="Calibri"/>
          <w:i/>
          <w:iCs/>
          <w:color w:val="000000" w:themeColor="text1"/>
          <w:sz w:val="20"/>
          <w:szCs w:val="20"/>
          <w:u w:val="single"/>
        </w:rPr>
        <w:t>b</w:t>
      </w:r>
      <w:r w:rsidR="00190094" w:rsidRPr="1CA4B720">
        <w:rPr>
          <w:rFonts w:ascii="Calibri" w:eastAsia="Times New Roman" w:hAnsi="Calibri" w:cs="Calibri"/>
          <w:i/>
          <w:iCs/>
          <w:color w:val="000000" w:themeColor="text1"/>
          <w:sz w:val="20"/>
          <w:szCs w:val="20"/>
          <w:u w:val="single"/>
        </w:rPr>
        <w:t>)</w:t>
      </w:r>
    </w:p>
    <w:p w14:paraId="6F02EA7D" w14:textId="1FBBA95F" w:rsidR="009B0F75" w:rsidRPr="00271B22" w:rsidRDefault="0054791A" w:rsidP="00E85309">
      <w:pPr>
        <w:keepNext/>
        <w:spacing w:before="240" w:after="0" w:line="240" w:lineRule="auto"/>
        <w:rPr>
          <w:sz w:val="24"/>
          <w:szCs w:val="24"/>
        </w:rPr>
      </w:pPr>
      <w:r w:rsidRPr="00271B22">
        <w:rPr>
          <w:b/>
          <w:sz w:val="24"/>
          <w:szCs w:val="24"/>
        </w:rPr>
        <w:lastRenderedPageBreak/>
        <w:t>Exposure Frequency</w:t>
      </w:r>
      <w:r w:rsidR="00BD6660" w:rsidRPr="00271B22">
        <w:rPr>
          <w:b/>
          <w:sz w:val="24"/>
          <w:szCs w:val="24"/>
        </w:rPr>
        <w:t>, EF (days/</w:t>
      </w:r>
      <w:r w:rsidR="00F130E6" w:rsidRPr="00271B22">
        <w:rPr>
          <w:b/>
          <w:sz w:val="24"/>
          <w:szCs w:val="24"/>
        </w:rPr>
        <w:t>month</w:t>
      </w:r>
      <w:r w:rsidR="00BD6660" w:rsidRPr="00271B22">
        <w:rPr>
          <w:b/>
          <w:sz w:val="24"/>
          <w:szCs w:val="24"/>
        </w:rPr>
        <w:t>)</w:t>
      </w:r>
    </w:p>
    <w:tbl>
      <w:tblPr>
        <w:tblStyle w:val="TableGrid"/>
        <w:tblW w:w="14485" w:type="dxa"/>
        <w:tblLook w:val="04A0" w:firstRow="1" w:lastRow="0" w:firstColumn="1" w:lastColumn="0" w:noHBand="0" w:noVBand="1"/>
      </w:tblPr>
      <w:tblGrid>
        <w:gridCol w:w="1705"/>
        <w:gridCol w:w="6300"/>
        <w:gridCol w:w="6480"/>
      </w:tblGrid>
      <w:tr w:rsidR="00E85309" w:rsidRPr="00E85309" w14:paraId="73721EF6" w14:textId="77777777" w:rsidTr="0E1D4E23">
        <w:tc>
          <w:tcPr>
            <w:tcW w:w="1705" w:type="dxa"/>
            <w:tcBorders>
              <w:bottom w:val="double" w:sz="4" w:space="0" w:color="auto"/>
            </w:tcBorders>
            <w:shd w:val="clear" w:color="auto" w:fill="DBE5F1" w:themeFill="accent1" w:themeFillTint="33"/>
          </w:tcPr>
          <w:p w14:paraId="0D7E880A" w14:textId="741ACFE8" w:rsidR="00E85309" w:rsidRPr="00A16382" w:rsidRDefault="00AD65F8" w:rsidP="00E85309">
            <w:pPr>
              <w:keepNext/>
              <w:rPr>
                <w:rFonts w:ascii="Calibri" w:eastAsia="Times New Roman" w:hAnsi="Calibri" w:cs="Calibri"/>
                <w:b/>
                <w:bCs/>
                <w:color w:val="000000"/>
                <w:sz w:val="24"/>
                <w:szCs w:val="24"/>
              </w:rPr>
            </w:pPr>
            <w:r w:rsidRPr="00A16382">
              <w:rPr>
                <w:rFonts w:ascii="Calibri" w:eastAsia="Times New Roman" w:hAnsi="Calibri" w:cs="Calibri"/>
                <w:b/>
                <w:bCs/>
                <w:color w:val="000000"/>
                <w:sz w:val="24"/>
                <w:szCs w:val="24"/>
              </w:rPr>
              <w:t>Method</w:t>
            </w:r>
          </w:p>
        </w:tc>
        <w:tc>
          <w:tcPr>
            <w:tcW w:w="6300" w:type="dxa"/>
            <w:tcBorders>
              <w:bottom w:val="double" w:sz="4" w:space="0" w:color="auto"/>
            </w:tcBorders>
            <w:shd w:val="clear" w:color="auto" w:fill="DBE5F1" w:themeFill="accent1" w:themeFillTint="33"/>
          </w:tcPr>
          <w:p w14:paraId="4A35963D" w14:textId="5B1B83FF" w:rsidR="00E85309" w:rsidRPr="00A16382" w:rsidRDefault="00AD65F8" w:rsidP="00E85309">
            <w:pPr>
              <w:keepNext/>
              <w:rPr>
                <w:rFonts w:ascii="Calibri" w:eastAsia="Times New Roman" w:hAnsi="Calibri" w:cs="Calibri"/>
                <w:b/>
                <w:bCs/>
                <w:color w:val="000000"/>
                <w:sz w:val="24"/>
                <w:szCs w:val="24"/>
              </w:rPr>
            </w:pPr>
            <w:r w:rsidRPr="00A16382">
              <w:rPr>
                <w:rFonts w:ascii="Calibri" w:eastAsia="Times New Roman" w:hAnsi="Calibri" w:cs="Calibri"/>
                <w:b/>
                <w:bCs/>
                <w:color w:val="000000"/>
                <w:sz w:val="24"/>
                <w:szCs w:val="24"/>
              </w:rPr>
              <w:t>SWAL</w:t>
            </w:r>
            <w:r w:rsidR="00666BA0" w:rsidRPr="00A16382">
              <w:rPr>
                <w:rFonts w:ascii="Calibri" w:eastAsia="Times New Roman" w:hAnsi="Calibri" w:cs="Calibri"/>
                <w:b/>
                <w:bCs/>
                <w:color w:val="000000"/>
                <w:sz w:val="24"/>
                <w:szCs w:val="24"/>
                <w:vertAlign w:val="superscript"/>
              </w:rPr>
              <w:t>1</w:t>
            </w:r>
          </w:p>
        </w:tc>
        <w:tc>
          <w:tcPr>
            <w:tcW w:w="6480" w:type="dxa"/>
            <w:tcBorders>
              <w:bottom w:val="double" w:sz="4" w:space="0" w:color="auto"/>
            </w:tcBorders>
            <w:shd w:val="clear" w:color="auto" w:fill="DBE5F1" w:themeFill="accent1" w:themeFillTint="33"/>
          </w:tcPr>
          <w:p w14:paraId="04D17B41" w14:textId="49A3B244" w:rsidR="00E85309" w:rsidRPr="00A16382" w:rsidRDefault="00AD65F8" w:rsidP="00E85309">
            <w:pPr>
              <w:keepNext/>
              <w:rPr>
                <w:rFonts w:ascii="Calibri" w:eastAsia="Times New Roman" w:hAnsi="Calibri" w:cs="Calibri"/>
                <w:b/>
                <w:bCs/>
                <w:color w:val="000000"/>
                <w:sz w:val="24"/>
                <w:szCs w:val="24"/>
              </w:rPr>
            </w:pPr>
            <w:r w:rsidRPr="00A16382">
              <w:rPr>
                <w:rFonts w:ascii="Calibri" w:eastAsia="Times New Roman" w:hAnsi="Calibri" w:cs="Calibri"/>
                <w:b/>
                <w:bCs/>
                <w:color w:val="000000"/>
                <w:sz w:val="24"/>
                <w:szCs w:val="24"/>
              </w:rPr>
              <w:t>PBAL</w:t>
            </w:r>
            <w:r w:rsidR="00666BA0" w:rsidRPr="00A16382">
              <w:rPr>
                <w:rFonts w:ascii="Calibri" w:eastAsia="Times New Roman" w:hAnsi="Calibri" w:cs="Calibri"/>
                <w:b/>
                <w:bCs/>
                <w:color w:val="000000"/>
                <w:sz w:val="24"/>
                <w:szCs w:val="24"/>
                <w:vertAlign w:val="superscript"/>
              </w:rPr>
              <w:t>1</w:t>
            </w:r>
          </w:p>
        </w:tc>
      </w:tr>
      <w:tr w:rsidR="00E85309" w14:paraId="7FB3BFBE" w14:textId="77777777" w:rsidTr="0E1D4E23">
        <w:tc>
          <w:tcPr>
            <w:tcW w:w="1705" w:type="dxa"/>
            <w:tcBorders>
              <w:top w:val="double" w:sz="4" w:space="0" w:color="auto"/>
            </w:tcBorders>
          </w:tcPr>
          <w:p w14:paraId="7C1AC5F7" w14:textId="3E3D74C0" w:rsidR="00E85309" w:rsidRPr="00A16382" w:rsidRDefault="00AD65F8" w:rsidP="00E85309">
            <w:pPr>
              <w:keepNext/>
              <w:rPr>
                <w:rFonts w:ascii="Calibri" w:eastAsia="Times New Roman" w:hAnsi="Calibri" w:cs="Calibri"/>
                <w:b/>
                <w:bCs/>
                <w:color w:val="000000"/>
                <w:sz w:val="24"/>
                <w:szCs w:val="24"/>
              </w:rPr>
            </w:pPr>
            <w:r w:rsidRPr="00A16382">
              <w:rPr>
                <w:rFonts w:ascii="Calibri" w:eastAsia="Times New Roman" w:hAnsi="Calibri" w:cs="Calibri"/>
                <w:b/>
                <w:bCs/>
                <w:color w:val="000000"/>
                <w:sz w:val="24"/>
                <w:szCs w:val="24"/>
              </w:rPr>
              <w:t>DPH</w:t>
            </w:r>
          </w:p>
        </w:tc>
        <w:tc>
          <w:tcPr>
            <w:tcW w:w="6300" w:type="dxa"/>
            <w:tcBorders>
              <w:top w:val="double" w:sz="4" w:space="0" w:color="auto"/>
            </w:tcBorders>
          </w:tcPr>
          <w:p w14:paraId="16C4EFA7" w14:textId="4D50E8BB" w:rsidR="00666BA0" w:rsidRDefault="00BF4907" w:rsidP="00666BA0">
            <w:pPr>
              <w:pStyle w:val="ListParagraph"/>
              <w:numPr>
                <w:ilvl w:val="0"/>
                <w:numId w:val="27"/>
              </w:numPr>
              <w:ind w:left="346"/>
              <w:jc w:val="both"/>
              <w:rPr>
                <w:rFonts w:ascii="Calibri" w:eastAsia="Times New Roman" w:hAnsi="Calibri" w:cs="Calibri"/>
                <w:color w:val="000000"/>
              </w:rPr>
            </w:pPr>
            <w:r>
              <w:t>For children</w:t>
            </w:r>
            <w:r w:rsidR="00666BA0">
              <w:t xml:space="preserve"> (</w:t>
            </w:r>
            <w:r w:rsidR="00A22A98">
              <w:t xml:space="preserve">2 </w:t>
            </w:r>
            <w:r w:rsidR="00666BA0">
              <w:t xml:space="preserve">to &lt; 11 years), adolescents (11 to &lt; 16 years), and young adults (ages 16 to &lt; 21 years), the DPH </w:t>
            </w:r>
            <w:proofErr w:type="spellStart"/>
            <w:r w:rsidR="0049026A">
              <w:t>c</w:t>
            </w:r>
            <w:r w:rsidR="00666BA0">
              <w:t>SWALs</w:t>
            </w:r>
            <w:proofErr w:type="spellEnd"/>
            <w:r w:rsidR="00666BA0">
              <w:t xml:space="preserve"> assume individuals might swim every day, or 30 days/month. An EF of 30 days/month corresponds with the</w:t>
            </w:r>
            <w:r w:rsidR="00666BA0" w:rsidRPr="0E1D4E23">
              <w:rPr>
                <w:b/>
                <w:bCs/>
              </w:rPr>
              <w:t xml:space="preserve"> </w:t>
            </w:r>
            <w:r w:rsidR="00666BA0">
              <w:t xml:space="preserve">NHAPS </w:t>
            </w:r>
            <w:r w:rsidR="00A22A98">
              <w:t>98.4</w:t>
            </w:r>
            <w:r w:rsidR="00A22A98" w:rsidRPr="0E1D4E23">
              <w:rPr>
                <w:vertAlign w:val="superscript"/>
              </w:rPr>
              <w:t>th</w:t>
            </w:r>
            <w:r w:rsidR="00A22A98">
              <w:t xml:space="preserve"> percentile value for 1 – </w:t>
            </w:r>
            <w:proofErr w:type="gramStart"/>
            <w:r w:rsidR="00A22A98">
              <w:t>4 year olds</w:t>
            </w:r>
            <w:proofErr w:type="gramEnd"/>
            <w:r w:rsidR="00A22A98">
              <w:t xml:space="preserve">, the </w:t>
            </w:r>
            <w:r w:rsidR="00666BA0">
              <w:t>99</w:t>
            </w:r>
            <w:r w:rsidR="00666BA0" w:rsidRPr="0E1D4E23">
              <w:rPr>
                <w:vertAlign w:val="superscript"/>
              </w:rPr>
              <w:t>th</w:t>
            </w:r>
            <w:r w:rsidR="00666BA0">
              <w:t xml:space="preserve"> percentile for 5 – 11 year olds, and the 97.6</w:t>
            </w:r>
            <w:r w:rsidR="00666BA0" w:rsidRPr="0E1D4E23">
              <w:rPr>
                <w:vertAlign w:val="superscript"/>
              </w:rPr>
              <w:t>th</w:t>
            </w:r>
            <w:r w:rsidR="00666BA0">
              <w:t xml:space="preserve"> percentile for </w:t>
            </w:r>
            <w:r w:rsidR="00C158FA">
              <w:t xml:space="preserve">12 </w:t>
            </w:r>
            <w:r w:rsidR="00666BA0">
              <w:t xml:space="preserve">– </w:t>
            </w:r>
            <w:r w:rsidR="00C158FA">
              <w:t xml:space="preserve">17 </w:t>
            </w:r>
            <w:r w:rsidR="00666BA0">
              <w:t>year olds, for frequency of swimming at a public swimming pool</w:t>
            </w:r>
            <w:r w:rsidR="00144B26">
              <w:t xml:space="preserve">. Percentiles are provided in Table A.4c, based on empirical data from US EPA’s National Human Activity Pattern Survey </w:t>
            </w:r>
            <w:r w:rsidR="00666BA0">
              <w:t>(US EPA, 1996, Table QBS-17g)</w:t>
            </w:r>
            <w:r w:rsidR="00666BA0" w:rsidRPr="0E1D4E23">
              <w:rPr>
                <w:rStyle w:val="FootnoteReference"/>
                <w:vertAlign w:val="baseline"/>
              </w:rPr>
              <w:t xml:space="preserve">. </w:t>
            </w:r>
            <w:r w:rsidR="00666BA0">
              <w:t xml:space="preserve">Use of these high percentiles for the </w:t>
            </w:r>
            <w:proofErr w:type="spellStart"/>
            <w:r w:rsidR="002358EB">
              <w:t>c</w:t>
            </w:r>
            <w:r w:rsidR="00666BA0">
              <w:t>SWAL</w:t>
            </w:r>
            <w:r w:rsidR="002358EB">
              <w:t>s</w:t>
            </w:r>
            <w:proofErr w:type="spellEnd"/>
            <w:r w:rsidR="00666BA0">
              <w:t xml:space="preserve"> is based on professional judgement </w:t>
            </w:r>
            <w:r w:rsidR="00666BA0" w:rsidRPr="0E1D4E23">
              <w:rPr>
                <w:rFonts w:ascii="Calibri" w:eastAsia="Times New Roman" w:hAnsi="Calibri" w:cs="Calibri"/>
                <w:color w:val="000000" w:themeColor="text1"/>
              </w:rPr>
              <w:t>that individuals would be more likely to swim at a local beach within walking distance, than a public swimming pool that may not be within walking distance.</w:t>
            </w:r>
          </w:p>
          <w:p w14:paraId="15F900F5" w14:textId="12CF087F" w:rsidR="00E85309" w:rsidRDefault="00666BA0" w:rsidP="00666BA0">
            <w:pPr>
              <w:pStyle w:val="ListParagraph"/>
              <w:numPr>
                <w:ilvl w:val="0"/>
                <w:numId w:val="27"/>
              </w:numPr>
              <w:ind w:left="346"/>
              <w:jc w:val="both"/>
              <w:rPr>
                <w:rFonts w:ascii="Calibri" w:eastAsia="Times New Roman" w:hAnsi="Calibri" w:cs="Calibri"/>
                <w:color w:val="000000"/>
                <w:sz w:val="24"/>
                <w:szCs w:val="24"/>
                <w:u w:val="single"/>
              </w:rPr>
            </w:pPr>
            <w:r w:rsidRPr="0E1D4E23">
              <w:rPr>
                <w:rFonts w:ascii="Calibri" w:eastAsia="Times New Roman" w:hAnsi="Calibri" w:cs="Calibri"/>
                <w:color w:val="000000" w:themeColor="text1"/>
              </w:rPr>
              <w:t xml:space="preserve">For younger children (birth to &lt; 6 years) and </w:t>
            </w:r>
            <w:r w:rsidR="7B79A8AA" w:rsidRPr="0E1D4E23">
              <w:rPr>
                <w:rFonts w:ascii="Calibri" w:eastAsia="Times New Roman" w:hAnsi="Calibri" w:cs="Calibri"/>
                <w:color w:val="000000" w:themeColor="text1"/>
              </w:rPr>
              <w:t xml:space="preserve">people </w:t>
            </w:r>
            <w:r w:rsidRPr="0E1D4E23">
              <w:rPr>
                <w:rFonts w:ascii="Calibri" w:eastAsia="Times New Roman" w:hAnsi="Calibri" w:cs="Calibri"/>
                <w:color w:val="000000" w:themeColor="text1"/>
              </w:rPr>
              <w:t xml:space="preserve">of child-bearing age, the </w:t>
            </w:r>
            <w:proofErr w:type="spellStart"/>
            <w:r w:rsidR="00271BC9">
              <w:rPr>
                <w:rFonts w:ascii="Calibri" w:eastAsia="Times New Roman" w:hAnsi="Calibri" w:cs="Calibri"/>
                <w:color w:val="000000" w:themeColor="text1"/>
              </w:rPr>
              <w:t>c</w:t>
            </w:r>
            <w:r w:rsidRPr="0E1D4E23">
              <w:rPr>
                <w:rFonts w:ascii="Calibri" w:eastAsia="Times New Roman" w:hAnsi="Calibri" w:cs="Calibri"/>
                <w:color w:val="000000" w:themeColor="text1"/>
              </w:rPr>
              <w:t>SWAL</w:t>
            </w:r>
            <w:proofErr w:type="spellEnd"/>
            <w:r w:rsidRPr="0E1D4E23">
              <w:rPr>
                <w:rFonts w:ascii="Calibri" w:eastAsia="Times New Roman" w:hAnsi="Calibri" w:cs="Calibri"/>
                <w:color w:val="000000" w:themeColor="text1"/>
              </w:rPr>
              <w:t xml:space="preserve"> is calculated using an EF of 20 days/month, corresponding with the NHAPS </w:t>
            </w:r>
            <w:r w:rsidR="00C754E2" w:rsidRPr="0E1D4E23">
              <w:rPr>
                <w:rFonts w:ascii="Calibri" w:eastAsia="Times New Roman" w:hAnsi="Calibri" w:cs="Calibri"/>
                <w:color w:val="000000" w:themeColor="text1"/>
              </w:rPr>
              <w:t>9</w:t>
            </w:r>
            <w:r w:rsidR="00C754E2">
              <w:rPr>
                <w:rFonts w:ascii="Calibri" w:eastAsia="Times New Roman" w:hAnsi="Calibri" w:cs="Calibri"/>
                <w:color w:val="000000" w:themeColor="text1"/>
              </w:rPr>
              <w:t>3.7</w:t>
            </w:r>
            <w:r w:rsidR="00C754E2" w:rsidRPr="0E1D4E23">
              <w:rPr>
                <w:rFonts w:ascii="Calibri" w:eastAsia="Times New Roman" w:hAnsi="Calibri" w:cs="Calibri"/>
                <w:color w:val="000000" w:themeColor="text1"/>
                <w:vertAlign w:val="superscript"/>
              </w:rPr>
              <w:t>h</w:t>
            </w:r>
            <w:r w:rsidR="00C754E2" w:rsidRPr="0E1D4E23">
              <w:rPr>
                <w:rFonts w:ascii="Calibri" w:eastAsia="Times New Roman" w:hAnsi="Calibri" w:cs="Calibri"/>
                <w:color w:val="000000" w:themeColor="text1"/>
              </w:rPr>
              <w:t xml:space="preserve"> </w:t>
            </w:r>
            <w:r w:rsidRPr="0E1D4E23">
              <w:rPr>
                <w:rFonts w:ascii="Calibri" w:eastAsia="Times New Roman" w:hAnsi="Calibri" w:cs="Calibri"/>
                <w:color w:val="000000" w:themeColor="text1"/>
              </w:rPr>
              <w:t xml:space="preserve">percentile value. Use of a lower EF for younger children and </w:t>
            </w:r>
            <w:r w:rsidR="45B8F841" w:rsidRPr="0E1D4E23">
              <w:rPr>
                <w:rFonts w:ascii="Calibri" w:eastAsia="Times New Roman" w:hAnsi="Calibri" w:cs="Calibri"/>
                <w:color w:val="000000" w:themeColor="text1"/>
              </w:rPr>
              <w:t xml:space="preserve">people </w:t>
            </w:r>
            <w:r w:rsidRPr="0E1D4E23">
              <w:rPr>
                <w:rFonts w:ascii="Calibri" w:eastAsia="Times New Roman" w:hAnsi="Calibri" w:cs="Calibri"/>
                <w:color w:val="000000" w:themeColor="text1"/>
              </w:rPr>
              <w:t xml:space="preserve">of childbearing age </w:t>
            </w:r>
            <w:proofErr w:type="gramStart"/>
            <w:r w:rsidRPr="0E1D4E23">
              <w:rPr>
                <w:rFonts w:ascii="Calibri" w:eastAsia="Times New Roman" w:hAnsi="Calibri" w:cs="Calibri"/>
                <w:color w:val="000000" w:themeColor="text1"/>
              </w:rPr>
              <w:t>is based on the assumption</w:t>
            </w:r>
            <w:proofErr w:type="gramEnd"/>
            <w:r w:rsidRPr="0E1D4E23">
              <w:rPr>
                <w:rFonts w:ascii="Calibri" w:eastAsia="Times New Roman" w:hAnsi="Calibri" w:cs="Calibri"/>
                <w:color w:val="000000" w:themeColor="text1"/>
              </w:rPr>
              <w:t xml:space="preserve"> that younger children would not swim at a waterbody without being accompanied by an adult, who would be less likely to swim every day.</w:t>
            </w:r>
          </w:p>
        </w:tc>
        <w:tc>
          <w:tcPr>
            <w:tcW w:w="6480" w:type="dxa"/>
            <w:tcBorders>
              <w:top w:val="double" w:sz="4" w:space="0" w:color="auto"/>
            </w:tcBorders>
          </w:tcPr>
          <w:p w14:paraId="79036AD6" w14:textId="70A908EE" w:rsidR="00666BA0" w:rsidRDefault="00666BA0" w:rsidP="00666BA0">
            <w:pPr>
              <w:pStyle w:val="ListParagraph"/>
              <w:numPr>
                <w:ilvl w:val="0"/>
                <w:numId w:val="27"/>
              </w:numPr>
              <w:ind w:left="346"/>
              <w:jc w:val="both"/>
              <w:rPr>
                <w:rFonts w:ascii="Calibri" w:eastAsia="Times New Roman" w:hAnsi="Calibri" w:cs="Calibri"/>
                <w:color w:val="000000"/>
              </w:rPr>
            </w:pPr>
            <w:r w:rsidRPr="00F266A5">
              <w:t>For children (</w:t>
            </w:r>
            <w:r>
              <w:t>2</w:t>
            </w:r>
            <w:r w:rsidRPr="00F266A5">
              <w:t xml:space="preserve"> to &lt; 11 years), adolescents (11 to &lt; 16 years), young adults (ages 16 to &lt; 21 years), </w:t>
            </w:r>
            <w:r w:rsidR="00C158FA">
              <w:t xml:space="preserve">and </w:t>
            </w:r>
            <w:r w:rsidR="002E62DE">
              <w:t>P</w:t>
            </w:r>
            <w:r w:rsidR="00C158FA">
              <w:t xml:space="preserve">CBA, </w:t>
            </w:r>
            <w:r w:rsidRPr="00F266A5">
              <w:t xml:space="preserve">the DPH </w:t>
            </w:r>
            <w:proofErr w:type="spellStart"/>
            <w:r w:rsidR="0049026A">
              <w:t>c</w:t>
            </w:r>
            <w:r w:rsidR="00C158FA">
              <w:t>PB</w:t>
            </w:r>
            <w:r w:rsidRPr="00F266A5">
              <w:t>ALs</w:t>
            </w:r>
            <w:proofErr w:type="spellEnd"/>
            <w:r w:rsidRPr="00F266A5">
              <w:t xml:space="preserve"> assume individuals might swim every day, or 30 days/month. An EF of 30 days/month corresponds with the NHAPS </w:t>
            </w:r>
            <w:r w:rsidR="00C158FA">
              <w:t>98.4</w:t>
            </w:r>
            <w:r w:rsidR="00C158FA" w:rsidRPr="00440032">
              <w:rPr>
                <w:vertAlign w:val="superscript"/>
              </w:rPr>
              <w:t>th</w:t>
            </w:r>
            <w:r w:rsidR="00C158FA">
              <w:t xml:space="preserve"> percentile values for 1 – </w:t>
            </w:r>
            <w:proofErr w:type="gramStart"/>
            <w:r w:rsidR="00C158FA">
              <w:t>4 year olds</w:t>
            </w:r>
            <w:proofErr w:type="gramEnd"/>
            <w:r w:rsidR="00C158FA">
              <w:t xml:space="preserve">, </w:t>
            </w:r>
            <w:r w:rsidRPr="00F266A5">
              <w:t>99</w:t>
            </w:r>
            <w:r w:rsidRPr="00F266A5">
              <w:rPr>
                <w:vertAlign w:val="superscript"/>
              </w:rPr>
              <w:t>th</w:t>
            </w:r>
            <w:r w:rsidRPr="00F266A5">
              <w:t xml:space="preserve"> percentile value for 5 – 11 year olds, and the 97.6</w:t>
            </w:r>
            <w:r w:rsidRPr="00F266A5">
              <w:rPr>
                <w:vertAlign w:val="superscript"/>
              </w:rPr>
              <w:t>th</w:t>
            </w:r>
            <w:r w:rsidRPr="00F266A5">
              <w:t xml:space="preserve"> percentile for </w:t>
            </w:r>
            <w:r w:rsidR="00440032">
              <w:t>12</w:t>
            </w:r>
            <w:r w:rsidRPr="00F266A5">
              <w:t xml:space="preserve"> – 1</w:t>
            </w:r>
            <w:r w:rsidR="00440032">
              <w:t>7</w:t>
            </w:r>
            <w:r w:rsidRPr="00F266A5">
              <w:t xml:space="preserve"> year olds, for frequency of swimming at a public swimming pool</w:t>
            </w:r>
            <w:r w:rsidR="00144B26">
              <w:t>. Percentiles are provided in Table A.4c, based on empirical data from US EPA’s National Human Activity Pattern Survey</w:t>
            </w:r>
            <w:r w:rsidRPr="00F266A5">
              <w:t xml:space="preserve"> (US EPA, 1996, Table QBS-17g)</w:t>
            </w:r>
            <w:r w:rsidRPr="00F266A5">
              <w:rPr>
                <w:rStyle w:val="FootnoteReference"/>
                <w:vertAlign w:val="baseline"/>
              </w:rPr>
              <w:t xml:space="preserve">. </w:t>
            </w:r>
            <w:r w:rsidRPr="00F266A5">
              <w:t xml:space="preserve">Use of these high percentiles for the </w:t>
            </w:r>
            <w:proofErr w:type="spellStart"/>
            <w:r w:rsidR="00271BC9">
              <w:t>cPB</w:t>
            </w:r>
            <w:r w:rsidRPr="00F266A5">
              <w:t>AL</w:t>
            </w:r>
            <w:r w:rsidR="002358EB">
              <w:t>s</w:t>
            </w:r>
            <w:proofErr w:type="spellEnd"/>
            <w:r w:rsidRPr="00F266A5">
              <w:t xml:space="preserve"> is based on professional judgement </w:t>
            </w:r>
            <w:r w:rsidRPr="003F1A58">
              <w:rPr>
                <w:rFonts w:ascii="Calibri" w:eastAsia="Times New Roman" w:hAnsi="Calibri" w:cs="Calibri"/>
                <w:color w:val="000000"/>
              </w:rPr>
              <w:t>that individuals would be more likely to swim at a local beach within walking distance, than a public swimming pool that may not be within walking distance.</w:t>
            </w:r>
          </w:p>
          <w:p w14:paraId="67CB5CCB" w14:textId="19E34922" w:rsidR="00E85309" w:rsidRDefault="00666BA0" w:rsidP="00666BA0">
            <w:pPr>
              <w:pStyle w:val="ListParagraph"/>
              <w:keepNext/>
              <w:numPr>
                <w:ilvl w:val="0"/>
                <w:numId w:val="27"/>
              </w:numPr>
              <w:spacing w:after="120"/>
              <w:ind w:left="346"/>
              <w:contextualSpacing w:val="0"/>
              <w:rPr>
                <w:rFonts w:ascii="Calibri" w:eastAsia="Times New Roman" w:hAnsi="Calibri" w:cs="Calibri"/>
                <w:color w:val="000000"/>
                <w:sz w:val="24"/>
                <w:szCs w:val="24"/>
                <w:u w:val="single"/>
              </w:rPr>
            </w:pPr>
            <w:r w:rsidRPr="0E1D4E23">
              <w:rPr>
                <w:rFonts w:ascii="Calibri" w:eastAsia="Times New Roman" w:hAnsi="Calibri" w:cs="Calibri"/>
                <w:color w:val="000000" w:themeColor="text1"/>
              </w:rPr>
              <w:t xml:space="preserve">For younger children (birth to &lt; </w:t>
            </w:r>
            <w:r w:rsidR="1E81CABD" w:rsidRPr="0E1D4E23">
              <w:rPr>
                <w:rFonts w:ascii="Calibri" w:eastAsia="Times New Roman" w:hAnsi="Calibri" w:cs="Calibri"/>
                <w:color w:val="000000" w:themeColor="text1"/>
              </w:rPr>
              <w:t>2</w:t>
            </w:r>
            <w:r w:rsidRPr="0E1D4E23">
              <w:rPr>
                <w:rFonts w:ascii="Calibri" w:eastAsia="Times New Roman" w:hAnsi="Calibri" w:cs="Calibri"/>
                <w:color w:val="000000" w:themeColor="text1"/>
              </w:rPr>
              <w:t xml:space="preserve"> years), the </w:t>
            </w:r>
            <w:proofErr w:type="spellStart"/>
            <w:r w:rsidR="00271BC9">
              <w:rPr>
                <w:rFonts w:ascii="Calibri" w:eastAsia="Times New Roman" w:hAnsi="Calibri" w:cs="Calibri"/>
                <w:color w:val="000000" w:themeColor="text1"/>
              </w:rPr>
              <w:t>c</w:t>
            </w:r>
            <w:r w:rsidR="1E81CABD" w:rsidRPr="0E1D4E23">
              <w:rPr>
                <w:rFonts w:ascii="Calibri" w:eastAsia="Times New Roman" w:hAnsi="Calibri" w:cs="Calibri"/>
                <w:color w:val="000000" w:themeColor="text1"/>
              </w:rPr>
              <w:t>PB</w:t>
            </w:r>
            <w:r w:rsidRPr="0E1D4E23">
              <w:rPr>
                <w:rFonts w:ascii="Calibri" w:eastAsia="Times New Roman" w:hAnsi="Calibri" w:cs="Calibri"/>
                <w:color w:val="000000" w:themeColor="text1"/>
              </w:rPr>
              <w:t>AL</w:t>
            </w:r>
            <w:proofErr w:type="spellEnd"/>
            <w:r w:rsidRPr="0E1D4E23">
              <w:rPr>
                <w:rFonts w:ascii="Calibri" w:eastAsia="Times New Roman" w:hAnsi="Calibri" w:cs="Calibri"/>
                <w:color w:val="000000" w:themeColor="text1"/>
              </w:rPr>
              <w:t xml:space="preserve"> is calculated using an EF of 20 days/month, corresponding with the NHAPS 9</w:t>
            </w:r>
            <w:r w:rsidR="1E81CABD" w:rsidRPr="0E1D4E23">
              <w:rPr>
                <w:rFonts w:ascii="Calibri" w:eastAsia="Times New Roman" w:hAnsi="Calibri" w:cs="Calibri"/>
                <w:color w:val="000000" w:themeColor="text1"/>
              </w:rPr>
              <w:t>3.7</w:t>
            </w:r>
            <w:r w:rsidRPr="0E1D4E23">
              <w:rPr>
                <w:rFonts w:ascii="Calibri" w:eastAsia="Times New Roman" w:hAnsi="Calibri" w:cs="Calibri"/>
                <w:color w:val="000000" w:themeColor="text1"/>
                <w:vertAlign w:val="superscript"/>
              </w:rPr>
              <w:t>th</w:t>
            </w:r>
            <w:r w:rsidRPr="0E1D4E23">
              <w:rPr>
                <w:rFonts w:ascii="Calibri" w:eastAsia="Times New Roman" w:hAnsi="Calibri" w:cs="Calibri"/>
                <w:color w:val="000000" w:themeColor="text1"/>
              </w:rPr>
              <w:t xml:space="preserve"> percentile value. Use of a lower EF for younger children </w:t>
            </w:r>
            <w:proofErr w:type="gramStart"/>
            <w:r w:rsidRPr="0E1D4E23">
              <w:rPr>
                <w:rFonts w:ascii="Calibri" w:eastAsia="Times New Roman" w:hAnsi="Calibri" w:cs="Calibri"/>
                <w:color w:val="000000" w:themeColor="text1"/>
              </w:rPr>
              <w:t>is based on the assumption</w:t>
            </w:r>
            <w:proofErr w:type="gramEnd"/>
            <w:r w:rsidRPr="0E1D4E23">
              <w:rPr>
                <w:rFonts w:ascii="Calibri" w:eastAsia="Times New Roman" w:hAnsi="Calibri" w:cs="Calibri"/>
                <w:color w:val="000000" w:themeColor="text1"/>
              </w:rPr>
              <w:t xml:space="preserve"> that younger children would not swim at a waterbody without being accompanied by an adult</w:t>
            </w:r>
            <w:r w:rsidR="1E81CABD" w:rsidRPr="0E1D4E23">
              <w:rPr>
                <w:rFonts w:ascii="Calibri" w:eastAsia="Times New Roman" w:hAnsi="Calibri" w:cs="Calibri"/>
                <w:color w:val="000000" w:themeColor="text1"/>
              </w:rPr>
              <w:t>, who may not swim with an infant or toddler every day</w:t>
            </w:r>
            <w:r w:rsidRPr="0E1D4E23">
              <w:rPr>
                <w:rFonts w:ascii="Calibri" w:eastAsia="Times New Roman" w:hAnsi="Calibri" w:cs="Calibri"/>
                <w:color w:val="000000" w:themeColor="text1"/>
              </w:rPr>
              <w:t>.</w:t>
            </w:r>
          </w:p>
        </w:tc>
      </w:tr>
      <w:tr w:rsidR="00E85309" w:rsidRPr="006E104E" w14:paraId="0F410ECB" w14:textId="77777777" w:rsidTr="0E1D4E23">
        <w:trPr>
          <w:trHeight w:val="935"/>
        </w:trPr>
        <w:tc>
          <w:tcPr>
            <w:tcW w:w="1705" w:type="dxa"/>
          </w:tcPr>
          <w:p w14:paraId="2DCFE0B9" w14:textId="6FF2596B" w:rsidR="00E85309" w:rsidRPr="00A16382" w:rsidRDefault="00AD65F8">
            <w:pPr>
              <w:rPr>
                <w:rFonts w:ascii="Calibri" w:eastAsia="Times New Roman" w:hAnsi="Calibri" w:cs="Calibri"/>
                <w:b/>
                <w:bCs/>
                <w:color w:val="000000"/>
                <w:sz w:val="24"/>
                <w:szCs w:val="24"/>
              </w:rPr>
            </w:pPr>
            <w:r w:rsidRPr="00A16382">
              <w:rPr>
                <w:rFonts w:ascii="Calibri" w:eastAsia="Times New Roman" w:hAnsi="Calibri" w:cs="Calibri"/>
                <w:b/>
                <w:bCs/>
                <w:color w:val="000000"/>
                <w:sz w:val="24"/>
                <w:szCs w:val="24"/>
              </w:rPr>
              <w:t>MCP-Based</w:t>
            </w:r>
          </w:p>
        </w:tc>
        <w:tc>
          <w:tcPr>
            <w:tcW w:w="6300" w:type="dxa"/>
          </w:tcPr>
          <w:p w14:paraId="1AECE70F" w14:textId="0663DD81" w:rsidR="00E85309" w:rsidRPr="00F266A5" w:rsidRDefault="09D568F8" w:rsidP="00AD65F8">
            <w:pPr>
              <w:pStyle w:val="ListParagraph"/>
              <w:numPr>
                <w:ilvl w:val="0"/>
                <w:numId w:val="33"/>
              </w:numPr>
              <w:ind w:left="432"/>
              <w:jc w:val="both"/>
              <w:rPr>
                <w:rFonts w:ascii="Calibri" w:eastAsia="Times New Roman" w:hAnsi="Calibri" w:cs="Calibri"/>
                <w:color w:val="000000"/>
                <w:u w:val="single"/>
              </w:rPr>
            </w:pPr>
            <w:r>
              <w:t>In the absence of MCP guidance for swimming frequency, an EF of 30 days/month is used for all age groups.</w:t>
            </w:r>
          </w:p>
        </w:tc>
        <w:tc>
          <w:tcPr>
            <w:tcW w:w="6480" w:type="dxa"/>
          </w:tcPr>
          <w:p w14:paraId="0D68F9BA" w14:textId="1F520B29" w:rsidR="00E85309" w:rsidRPr="006E104E" w:rsidRDefault="1E81CABD">
            <w:pPr>
              <w:pStyle w:val="ListParagraph"/>
              <w:numPr>
                <w:ilvl w:val="0"/>
                <w:numId w:val="33"/>
              </w:numPr>
              <w:ind w:left="346"/>
              <w:rPr>
                <w:rFonts w:ascii="Calibri" w:eastAsia="Times New Roman" w:hAnsi="Calibri" w:cs="Calibri"/>
                <w:color w:val="000000"/>
                <w:sz w:val="24"/>
                <w:szCs w:val="24"/>
                <w:u w:val="single"/>
              </w:rPr>
            </w:pPr>
            <w:r>
              <w:t>In the absence of MCP guidance for swimming frequency, an EF of 30 days/month is used for all age groups.</w:t>
            </w:r>
          </w:p>
        </w:tc>
      </w:tr>
    </w:tbl>
    <w:p w14:paraId="5B345110" w14:textId="7F4B0E7A" w:rsidR="00E85309" w:rsidRPr="00666BA0" w:rsidRDefault="00666BA0" w:rsidP="007C1330">
      <w:pPr>
        <w:spacing w:after="0" w:line="240" w:lineRule="auto"/>
        <w:rPr>
          <w:rFonts w:ascii="Calibri" w:eastAsia="Times New Roman" w:hAnsi="Calibri" w:cs="Calibri"/>
          <w:i/>
          <w:iCs/>
          <w:color w:val="000000"/>
          <w:sz w:val="20"/>
          <w:szCs w:val="20"/>
          <w:u w:val="single"/>
        </w:rPr>
      </w:pPr>
      <w:r w:rsidRPr="00666BA0">
        <w:rPr>
          <w:rFonts w:ascii="Calibri" w:eastAsia="Times New Roman" w:hAnsi="Calibri" w:cs="Calibri"/>
          <w:i/>
          <w:iCs/>
          <w:color w:val="000000"/>
          <w:sz w:val="20"/>
          <w:szCs w:val="20"/>
          <w:u w:val="single"/>
        </w:rPr>
        <w:t>[1] Percentiles for the NHAPS data are calculated as shown in Table A.4</w:t>
      </w:r>
    </w:p>
    <w:p w14:paraId="605249FB" w14:textId="65109183" w:rsidR="00244B9E" w:rsidRPr="00271B22" w:rsidRDefault="0054791A" w:rsidP="00423052">
      <w:pPr>
        <w:spacing w:before="240" w:after="0" w:line="240" w:lineRule="auto"/>
        <w:rPr>
          <w:sz w:val="24"/>
          <w:szCs w:val="24"/>
        </w:rPr>
      </w:pPr>
      <w:r w:rsidRPr="00271B22">
        <w:rPr>
          <w:b/>
          <w:sz w:val="24"/>
          <w:szCs w:val="24"/>
        </w:rPr>
        <w:t>Exposure Duration</w:t>
      </w:r>
      <w:r w:rsidR="00BD6660" w:rsidRPr="00271B22">
        <w:rPr>
          <w:b/>
          <w:sz w:val="24"/>
          <w:szCs w:val="24"/>
        </w:rPr>
        <w:t>, ED (</w:t>
      </w:r>
      <w:r w:rsidR="00176C0F" w:rsidRPr="00271B22">
        <w:rPr>
          <w:b/>
          <w:sz w:val="24"/>
          <w:szCs w:val="24"/>
        </w:rPr>
        <w:t>months</w:t>
      </w:r>
      <w:r w:rsidR="00BD6660" w:rsidRPr="00271B22">
        <w:rPr>
          <w:b/>
          <w:sz w:val="24"/>
          <w:szCs w:val="24"/>
        </w:rPr>
        <w:t>)</w:t>
      </w:r>
    </w:p>
    <w:p w14:paraId="4D73DAE1" w14:textId="2ADAA7CF" w:rsidR="00423052" w:rsidRPr="000D3483" w:rsidRDefault="002071B9" w:rsidP="006E4074">
      <w:pPr>
        <w:pStyle w:val="ListParagraph"/>
        <w:numPr>
          <w:ilvl w:val="0"/>
          <w:numId w:val="34"/>
        </w:numPr>
        <w:spacing w:line="240" w:lineRule="auto"/>
        <w:rPr>
          <w:sz w:val="24"/>
          <w:szCs w:val="24"/>
        </w:rPr>
      </w:pPr>
      <w:r w:rsidRPr="000D3483">
        <w:rPr>
          <w:sz w:val="24"/>
          <w:szCs w:val="24"/>
        </w:rPr>
        <w:t>T</w:t>
      </w:r>
      <w:r w:rsidR="00BD6660" w:rsidRPr="000D3483">
        <w:rPr>
          <w:sz w:val="24"/>
          <w:szCs w:val="24"/>
        </w:rPr>
        <w:t xml:space="preserve">he </w:t>
      </w:r>
      <w:r w:rsidR="00211F02" w:rsidRPr="000D3483">
        <w:rPr>
          <w:sz w:val="24"/>
          <w:szCs w:val="24"/>
        </w:rPr>
        <w:t>ED</w:t>
      </w:r>
      <w:r w:rsidR="00BD6660" w:rsidRPr="000D3483">
        <w:rPr>
          <w:sz w:val="24"/>
          <w:szCs w:val="24"/>
        </w:rPr>
        <w:t xml:space="preserve"> represents the duration, in </w:t>
      </w:r>
      <w:r w:rsidR="00176C0F" w:rsidRPr="000D3483">
        <w:rPr>
          <w:sz w:val="24"/>
          <w:szCs w:val="24"/>
        </w:rPr>
        <w:t>months</w:t>
      </w:r>
      <w:r w:rsidR="00BD6660" w:rsidRPr="000D3483">
        <w:rPr>
          <w:sz w:val="24"/>
          <w:szCs w:val="24"/>
        </w:rPr>
        <w:t>, that individuals</w:t>
      </w:r>
      <w:r w:rsidR="008459CF" w:rsidRPr="000D3483">
        <w:rPr>
          <w:sz w:val="24"/>
          <w:szCs w:val="24"/>
        </w:rPr>
        <w:t xml:space="preserve"> could reasonably be exposed to surface water in a recreational scenario. The ED for recreational waterbodies is 3</w:t>
      </w:r>
      <w:r w:rsidRPr="000D3483">
        <w:rPr>
          <w:sz w:val="24"/>
          <w:szCs w:val="24"/>
        </w:rPr>
        <w:t>.3</w:t>
      </w:r>
      <w:r w:rsidR="008459CF" w:rsidRPr="000D3483">
        <w:rPr>
          <w:sz w:val="24"/>
          <w:szCs w:val="24"/>
        </w:rPr>
        <w:t xml:space="preserve"> </w:t>
      </w:r>
      <w:r w:rsidR="00176C0F" w:rsidRPr="000D3483">
        <w:rPr>
          <w:sz w:val="24"/>
          <w:szCs w:val="24"/>
        </w:rPr>
        <w:t>months</w:t>
      </w:r>
      <w:r w:rsidR="008459CF" w:rsidRPr="000D3483">
        <w:rPr>
          <w:sz w:val="24"/>
          <w:szCs w:val="24"/>
        </w:rPr>
        <w:t xml:space="preserve">, based on the assumption that individuals would engage in recreational water-related activities </w:t>
      </w:r>
      <w:r w:rsidR="006062A4" w:rsidRPr="000D3483">
        <w:rPr>
          <w:sz w:val="24"/>
          <w:szCs w:val="24"/>
        </w:rPr>
        <w:t xml:space="preserve">from </w:t>
      </w:r>
      <w:r w:rsidRPr="000D3483">
        <w:rPr>
          <w:sz w:val="24"/>
          <w:szCs w:val="24"/>
        </w:rPr>
        <w:t>Memorial Day</w:t>
      </w:r>
      <w:r w:rsidR="006062A4" w:rsidRPr="000D3483">
        <w:rPr>
          <w:sz w:val="24"/>
          <w:szCs w:val="24"/>
        </w:rPr>
        <w:t xml:space="preserve"> to </w:t>
      </w:r>
      <w:r w:rsidRPr="000D3483">
        <w:rPr>
          <w:sz w:val="24"/>
          <w:szCs w:val="24"/>
        </w:rPr>
        <w:t>Labor Day.</w:t>
      </w:r>
      <w:r w:rsidR="00555180" w:rsidRPr="000D3483">
        <w:rPr>
          <w:sz w:val="24"/>
          <w:szCs w:val="24"/>
        </w:rPr>
        <w:t xml:space="preserve"> </w:t>
      </w:r>
    </w:p>
    <w:p w14:paraId="058CA203" w14:textId="68E4D67B" w:rsidR="00423052" w:rsidRPr="00271B22" w:rsidRDefault="0054791A" w:rsidP="006E4074">
      <w:pPr>
        <w:keepNext/>
        <w:spacing w:before="240" w:after="0" w:line="240" w:lineRule="auto"/>
        <w:rPr>
          <w:sz w:val="24"/>
          <w:szCs w:val="24"/>
        </w:rPr>
      </w:pPr>
      <w:r w:rsidRPr="00271B22">
        <w:rPr>
          <w:b/>
          <w:sz w:val="24"/>
          <w:szCs w:val="24"/>
        </w:rPr>
        <w:t>Averaging Time</w:t>
      </w:r>
      <w:r w:rsidR="00573A98" w:rsidRPr="00271B22">
        <w:rPr>
          <w:b/>
          <w:sz w:val="24"/>
          <w:szCs w:val="24"/>
        </w:rPr>
        <w:t>, AT</w:t>
      </w:r>
      <w:r w:rsidR="00BD6660" w:rsidRPr="00271B22">
        <w:rPr>
          <w:b/>
          <w:sz w:val="24"/>
          <w:szCs w:val="24"/>
        </w:rPr>
        <w:t xml:space="preserve"> (days)</w:t>
      </w:r>
    </w:p>
    <w:p w14:paraId="5269FE65" w14:textId="0824EB37" w:rsidR="00423052" w:rsidRPr="000D3483" w:rsidRDefault="006C3ECD" w:rsidP="006E4074">
      <w:pPr>
        <w:pStyle w:val="ListParagraph"/>
        <w:numPr>
          <w:ilvl w:val="0"/>
          <w:numId w:val="34"/>
        </w:numPr>
        <w:spacing w:line="240" w:lineRule="auto"/>
        <w:rPr>
          <w:sz w:val="24"/>
          <w:szCs w:val="24"/>
        </w:rPr>
      </w:pPr>
      <w:r w:rsidRPr="000D3483">
        <w:rPr>
          <w:sz w:val="24"/>
          <w:szCs w:val="24"/>
        </w:rPr>
        <w:t>T</w:t>
      </w:r>
      <w:r w:rsidR="00573A98" w:rsidRPr="000D3483">
        <w:rPr>
          <w:sz w:val="24"/>
          <w:szCs w:val="24"/>
        </w:rPr>
        <w:t xml:space="preserve">he averaging time is the same as the exposure duration, but in terms of days rather than </w:t>
      </w:r>
      <w:r w:rsidRPr="000D3483">
        <w:rPr>
          <w:sz w:val="24"/>
          <w:szCs w:val="24"/>
        </w:rPr>
        <w:t>months</w:t>
      </w:r>
      <w:r w:rsidR="00573A98" w:rsidRPr="000D3483">
        <w:rPr>
          <w:sz w:val="24"/>
          <w:szCs w:val="24"/>
        </w:rPr>
        <w:t>.</w:t>
      </w:r>
    </w:p>
    <w:p w14:paraId="1DFBB5EB" w14:textId="4A8D9F43" w:rsidR="00D63BAC" w:rsidRPr="00271B22" w:rsidRDefault="0054791A" w:rsidP="00271B22">
      <w:pPr>
        <w:keepNext/>
        <w:spacing w:before="240" w:after="0" w:line="240" w:lineRule="auto"/>
        <w:rPr>
          <w:sz w:val="24"/>
          <w:szCs w:val="24"/>
        </w:rPr>
      </w:pPr>
      <w:r w:rsidRPr="00271B22">
        <w:rPr>
          <w:b/>
          <w:sz w:val="24"/>
          <w:szCs w:val="24"/>
        </w:rPr>
        <w:lastRenderedPageBreak/>
        <w:t>Body Weight</w:t>
      </w:r>
      <w:r w:rsidR="008F16B3" w:rsidRPr="00271B22">
        <w:rPr>
          <w:b/>
          <w:sz w:val="24"/>
          <w:szCs w:val="24"/>
        </w:rPr>
        <w:t>, BW (kg)</w:t>
      </w:r>
    </w:p>
    <w:p w14:paraId="1B15ED98" w14:textId="77777777" w:rsidR="00211F02" w:rsidRPr="00271B22" w:rsidRDefault="00211F02" w:rsidP="00271B22">
      <w:pPr>
        <w:keepNext/>
        <w:spacing w:after="0" w:line="240" w:lineRule="auto"/>
        <w:rPr>
          <w:rFonts w:ascii="Calibri" w:eastAsia="Times New Roman" w:hAnsi="Calibri" w:cs="Calibri"/>
          <w:color w:val="000000"/>
          <w:sz w:val="24"/>
          <w:szCs w:val="24"/>
          <w:u w:val="single"/>
        </w:rPr>
      </w:pPr>
      <w:r w:rsidRPr="00271B22">
        <w:rPr>
          <w:rFonts w:ascii="Calibri" w:eastAsia="Times New Roman" w:hAnsi="Calibri" w:cs="Calibri"/>
          <w:color w:val="000000"/>
          <w:sz w:val="24"/>
          <w:szCs w:val="24"/>
          <w:u w:val="single"/>
        </w:rPr>
        <w:t xml:space="preserve">DPH SWAL: </w:t>
      </w:r>
    </w:p>
    <w:p w14:paraId="11872A5D" w14:textId="5C7EB330" w:rsidR="00AC47CA" w:rsidRPr="000D3483" w:rsidRDefault="0001339E" w:rsidP="006E4074">
      <w:pPr>
        <w:pStyle w:val="ListParagraph"/>
        <w:numPr>
          <w:ilvl w:val="0"/>
          <w:numId w:val="34"/>
        </w:numPr>
        <w:spacing w:line="240" w:lineRule="auto"/>
        <w:rPr>
          <w:sz w:val="24"/>
          <w:szCs w:val="24"/>
        </w:rPr>
      </w:pPr>
      <w:r w:rsidRPr="000D3483">
        <w:rPr>
          <w:sz w:val="24"/>
          <w:szCs w:val="24"/>
        </w:rPr>
        <w:t xml:space="preserve">Body weights represent the mean </w:t>
      </w:r>
      <w:r w:rsidR="004C3498" w:rsidRPr="000D3483">
        <w:rPr>
          <w:sz w:val="24"/>
          <w:szCs w:val="24"/>
        </w:rPr>
        <w:t>of</w:t>
      </w:r>
      <w:r w:rsidRPr="000D3483">
        <w:rPr>
          <w:sz w:val="24"/>
          <w:szCs w:val="24"/>
        </w:rPr>
        <w:t xml:space="preserve"> 1999-2006 data from the National Health and Nutrition Examination Survey (NHANES) as analyzed by US EPA (2011).</w:t>
      </w:r>
    </w:p>
    <w:p w14:paraId="1BFA0AA0" w14:textId="77777777" w:rsidR="00211F02" w:rsidRPr="00271B22" w:rsidRDefault="00211F02" w:rsidP="00211F02">
      <w:pPr>
        <w:spacing w:before="120" w:after="0" w:line="240" w:lineRule="auto"/>
        <w:rPr>
          <w:rFonts w:ascii="Calibri" w:eastAsia="Times New Roman" w:hAnsi="Calibri" w:cs="Calibri"/>
          <w:color w:val="000000"/>
          <w:sz w:val="24"/>
          <w:szCs w:val="24"/>
          <w:u w:val="single"/>
        </w:rPr>
      </w:pPr>
      <w:r w:rsidRPr="00271B22">
        <w:rPr>
          <w:rFonts w:ascii="Calibri" w:eastAsia="Times New Roman" w:hAnsi="Calibri" w:cs="Calibri"/>
          <w:color w:val="000000"/>
          <w:sz w:val="24"/>
          <w:szCs w:val="24"/>
          <w:u w:val="single"/>
        </w:rPr>
        <w:t xml:space="preserve">MCP-based SWAL: </w:t>
      </w:r>
    </w:p>
    <w:p w14:paraId="2AAE5A43" w14:textId="7FAD6E19" w:rsidR="00D63BAC" w:rsidRPr="000D3483" w:rsidRDefault="00D63BAC" w:rsidP="000D3483">
      <w:pPr>
        <w:pStyle w:val="ListParagraph"/>
        <w:numPr>
          <w:ilvl w:val="0"/>
          <w:numId w:val="34"/>
        </w:numPr>
        <w:spacing w:line="240" w:lineRule="auto"/>
        <w:jc w:val="both"/>
        <w:rPr>
          <w:sz w:val="24"/>
          <w:szCs w:val="24"/>
        </w:rPr>
      </w:pPr>
      <w:r w:rsidRPr="000D3483">
        <w:rPr>
          <w:sz w:val="24"/>
          <w:szCs w:val="24"/>
        </w:rPr>
        <w:t xml:space="preserve">Body weights are based on </w:t>
      </w:r>
      <w:r w:rsidR="000D3483">
        <w:rPr>
          <w:sz w:val="24"/>
          <w:szCs w:val="24"/>
        </w:rPr>
        <w:t xml:space="preserve">summary data in </w:t>
      </w:r>
      <w:r w:rsidR="00271B22" w:rsidRPr="000D3483">
        <w:rPr>
          <w:sz w:val="24"/>
          <w:szCs w:val="24"/>
        </w:rPr>
        <w:t xml:space="preserve">US EPA’s </w:t>
      </w:r>
      <w:r w:rsidRPr="000D3483">
        <w:rPr>
          <w:sz w:val="24"/>
          <w:szCs w:val="24"/>
        </w:rPr>
        <w:t xml:space="preserve">Exposure Factors Handbook </w:t>
      </w:r>
      <w:r w:rsidR="00271B22" w:rsidRPr="000D3483">
        <w:rPr>
          <w:color w:val="000000" w:themeColor="text1"/>
          <w:sz w:val="24"/>
          <w:szCs w:val="24"/>
        </w:rPr>
        <w:t>(</w:t>
      </w:r>
      <w:r w:rsidR="000D3483">
        <w:rPr>
          <w:color w:val="000000" w:themeColor="text1"/>
          <w:sz w:val="24"/>
          <w:szCs w:val="24"/>
        </w:rPr>
        <w:t xml:space="preserve">as cited by </w:t>
      </w:r>
      <w:r w:rsidR="00271B22" w:rsidRPr="000D3483">
        <w:rPr>
          <w:color w:val="000000" w:themeColor="text1"/>
          <w:sz w:val="24"/>
          <w:szCs w:val="24"/>
        </w:rPr>
        <w:t>MassDEP, 2015).</w:t>
      </w:r>
    </w:p>
    <w:p w14:paraId="2FE1C023" w14:textId="0A9D7BE3" w:rsidR="000C5817" w:rsidRPr="00271B22" w:rsidRDefault="0054791A" w:rsidP="00D63BAC">
      <w:pPr>
        <w:spacing w:before="240" w:after="0" w:line="240" w:lineRule="auto"/>
        <w:rPr>
          <w:sz w:val="24"/>
          <w:szCs w:val="24"/>
        </w:rPr>
      </w:pPr>
      <w:r w:rsidRPr="00271B22">
        <w:rPr>
          <w:b/>
          <w:sz w:val="24"/>
          <w:szCs w:val="24"/>
        </w:rPr>
        <w:t>Surface Water Ingestion Rate</w:t>
      </w:r>
      <w:r w:rsidR="0001339E" w:rsidRPr="00271B22">
        <w:rPr>
          <w:b/>
          <w:sz w:val="24"/>
          <w:szCs w:val="24"/>
        </w:rPr>
        <w:t>, IR (</w:t>
      </w:r>
      <w:r w:rsidR="0079712C" w:rsidRPr="00271B22">
        <w:rPr>
          <w:b/>
          <w:sz w:val="24"/>
          <w:szCs w:val="24"/>
        </w:rPr>
        <w:t>L</w:t>
      </w:r>
      <w:r w:rsidR="0001339E" w:rsidRPr="00271B22">
        <w:rPr>
          <w:b/>
          <w:sz w:val="24"/>
          <w:szCs w:val="24"/>
        </w:rPr>
        <w:t>/hour)</w:t>
      </w:r>
    </w:p>
    <w:tbl>
      <w:tblPr>
        <w:tblStyle w:val="TableGrid"/>
        <w:tblW w:w="14485" w:type="dxa"/>
        <w:tblLook w:val="04A0" w:firstRow="1" w:lastRow="0" w:firstColumn="1" w:lastColumn="0" w:noHBand="0" w:noVBand="1"/>
      </w:tblPr>
      <w:tblGrid>
        <w:gridCol w:w="1705"/>
        <w:gridCol w:w="6300"/>
        <w:gridCol w:w="6480"/>
      </w:tblGrid>
      <w:tr w:rsidR="006A0F90" w:rsidRPr="00E85309" w14:paraId="2D3CDDBD" w14:textId="77777777" w:rsidTr="0E1D4E23">
        <w:tc>
          <w:tcPr>
            <w:tcW w:w="1705" w:type="dxa"/>
            <w:tcBorders>
              <w:bottom w:val="double" w:sz="4" w:space="0" w:color="auto"/>
            </w:tcBorders>
            <w:shd w:val="clear" w:color="auto" w:fill="DBE5F1" w:themeFill="accent1" w:themeFillTint="33"/>
          </w:tcPr>
          <w:p w14:paraId="60B59A8E" w14:textId="2454C1C6" w:rsidR="006A0F90" w:rsidRPr="00A16382" w:rsidRDefault="00A16382">
            <w:pPr>
              <w:keepNext/>
              <w:rPr>
                <w:rFonts w:ascii="Calibri" w:eastAsia="Times New Roman" w:hAnsi="Calibri" w:cs="Calibri"/>
                <w:b/>
                <w:bCs/>
                <w:color w:val="000000"/>
                <w:sz w:val="24"/>
                <w:szCs w:val="24"/>
              </w:rPr>
            </w:pPr>
            <w:r>
              <w:rPr>
                <w:rFonts w:ascii="Calibri" w:eastAsia="Times New Roman" w:hAnsi="Calibri" w:cs="Calibri"/>
                <w:b/>
                <w:bCs/>
                <w:color w:val="000000"/>
                <w:sz w:val="24"/>
                <w:szCs w:val="24"/>
              </w:rPr>
              <w:t>Method</w:t>
            </w:r>
          </w:p>
        </w:tc>
        <w:tc>
          <w:tcPr>
            <w:tcW w:w="6300" w:type="dxa"/>
            <w:tcBorders>
              <w:bottom w:val="double" w:sz="4" w:space="0" w:color="auto"/>
            </w:tcBorders>
            <w:shd w:val="clear" w:color="auto" w:fill="DBE5F1" w:themeFill="accent1" w:themeFillTint="33"/>
          </w:tcPr>
          <w:p w14:paraId="31F7112E" w14:textId="65F287E8" w:rsidR="006A0F90" w:rsidRPr="00A16382" w:rsidRDefault="00A16382">
            <w:pPr>
              <w:keepNext/>
              <w:rPr>
                <w:rFonts w:ascii="Calibri" w:eastAsia="Times New Roman" w:hAnsi="Calibri" w:cs="Calibri"/>
                <w:b/>
                <w:bCs/>
                <w:color w:val="000000"/>
                <w:sz w:val="24"/>
                <w:szCs w:val="24"/>
              </w:rPr>
            </w:pPr>
            <w:r>
              <w:rPr>
                <w:rFonts w:ascii="Calibri" w:eastAsia="Times New Roman" w:hAnsi="Calibri" w:cs="Calibri"/>
                <w:b/>
                <w:bCs/>
                <w:color w:val="000000"/>
                <w:sz w:val="24"/>
                <w:szCs w:val="24"/>
              </w:rPr>
              <w:t>SWAL</w:t>
            </w:r>
          </w:p>
        </w:tc>
        <w:tc>
          <w:tcPr>
            <w:tcW w:w="6480" w:type="dxa"/>
            <w:tcBorders>
              <w:bottom w:val="double" w:sz="4" w:space="0" w:color="auto"/>
            </w:tcBorders>
            <w:shd w:val="clear" w:color="auto" w:fill="DBE5F1" w:themeFill="accent1" w:themeFillTint="33"/>
          </w:tcPr>
          <w:p w14:paraId="6E5AD226" w14:textId="1EC77C26" w:rsidR="006A0F90" w:rsidRPr="00A16382" w:rsidRDefault="00A16382">
            <w:pPr>
              <w:keepNext/>
              <w:rPr>
                <w:rFonts w:ascii="Calibri" w:eastAsia="Times New Roman" w:hAnsi="Calibri" w:cs="Calibri"/>
                <w:b/>
                <w:bCs/>
                <w:color w:val="000000"/>
                <w:sz w:val="24"/>
                <w:szCs w:val="24"/>
              </w:rPr>
            </w:pPr>
            <w:r>
              <w:rPr>
                <w:rFonts w:ascii="Calibri" w:eastAsia="Times New Roman" w:hAnsi="Calibri" w:cs="Calibri"/>
                <w:b/>
                <w:bCs/>
                <w:color w:val="000000"/>
                <w:sz w:val="24"/>
                <w:szCs w:val="24"/>
              </w:rPr>
              <w:t>PBAL</w:t>
            </w:r>
          </w:p>
        </w:tc>
      </w:tr>
      <w:tr w:rsidR="006A0F90" w14:paraId="343A48F3" w14:textId="77777777" w:rsidTr="0E1D4E23">
        <w:tc>
          <w:tcPr>
            <w:tcW w:w="1705" w:type="dxa"/>
            <w:tcBorders>
              <w:top w:val="double" w:sz="4" w:space="0" w:color="auto"/>
            </w:tcBorders>
          </w:tcPr>
          <w:p w14:paraId="13135EB9" w14:textId="149E7A53" w:rsidR="006A0F90" w:rsidRPr="00A16382" w:rsidRDefault="00A16382">
            <w:pPr>
              <w:keepNext/>
              <w:rPr>
                <w:rFonts w:ascii="Calibri" w:eastAsia="Times New Roman" w:hAnsi="Calibri" w:cs="Calibri"/>
                <w:b/>
                <w:bCs/>
                <w:color w:val="000000"/>
                <w:sz w:val="24"/>
                <w:szCs w:val="24"/>
              </w:rPr>
            </w:pPr>
            <w:r>
              <w:rPr>
                <w:rFonts w:ascii="Calibri" w:eastAsia="Times New Roman" w:hAnsi="Calibri" w:cs="Calibri"/>
                <w:b/>
                <w:bCs/>
                <w:color w:val="000000"/>
                <w:sz w:val="24"/>
                <w:szCs w:val="24"/>
              </w:rPr>
              <w:t>DPH</w:t>
            </w:r>
          </w:p>
        </w:tc>
        <w:tc>
          <w:tcPr>
            <w:tcW w:w="6300" w:type="dxa"/>
            <w:tcBorders>
              <w:top w:val="double" w:sz="4" w:space="0" w:color="auto"/>
            </w:tcBorders>
          </w:tcPr>
          <w:p w14:paraId="46643AAE" w14:textId="69F75DA3" w:rsidR="003C6B7B" w:rsidRPr="003C6B7B" w:rsidRDefault="003C6B7B" w:rsidP="003C6B7B">
            <w:pPr>
              <w:pStyle w:val="ListParagraph"/>
              <w:numPr>
                <w:ilvl w:val="0"/>
                <w:numId w:val="27"/>
              </w:numPr>
              <w:ind w:left="250"/>
              <w:jc w:val="both"/>
            </w:pPr>
            <w:r>
              <w:t xml:space="preserve">The </w:t>
            </w:r>
            <w:proofErr w:type="spellStart"/>
            <w:r w:rsidR="00457917">
              <w:t>c</w:t>
            </w:r>
            <w:r>
              <w:t>SWAL</w:t>
            </w:r>
            <w:r w:rsidR="00B06B13">
              <w:t>s</w:t>
            </w:r>
            <w:proofErr w:type="spellEnd"/>
            <w:r>
              <w:t xml:space="preserve"> </w:t>
            </w:r>
            <w:r w:rsidR="00B06B13">
              <w:t xml:space="preserve">are </w:t>
            </w:r>
            <w:r>
              <w:t xml:space="preserve">calculated using an IR of 0.152 </w:t>
            </w:r>
            <w:r w:rsidR="7D0780F0">
              <w:t>L</w:t>
            </w:r>
            <w:r>
              <w:t xml:space="preserve">/hour for birth to &lt; 16 years, and an IR of 0.105 for ages 16 to &lt; 21 years and </w:t>
            </w:r>
            <w:r w:rsidR="74D30F74">
              <w:t xml:space="preserve">people </w:t>
            </w:r>
            <w:r>
              <w:t>of child-bearing age. An IR of 0.152 corresponds with the 95</w:t>
            </w:r>
            <w:r w:rsidRPr="0E1D4E23">
              <w:rPr>
                <w:vertAlign w:val="superscript"/>
              </w:rPr>
              <w:t>th</w:t>
            </w:r>
            <w:r>
              <w:t xml:space="preserve"> percentile IR for children ages 11 to &lt;16 years old, based on underlying data from DuFour (2017) for swimmers &gt; 6 years of age, as summarized in U.S. EPA’s Exposure Factors Handbook (US EPA, 2019). A</w:t>
            </w:r>
            <w:r w:rsidRPr="0E1D4E23">
              <w:rPr>
                <w:color w:val="000000" w:themeColor="text1"/>
              </w:rPr>
              <w:t xml:space="preserve">n IR of 0.105 </w:t>
            </w:r>
            <w:r w:rsidR="5BEFCB99" w:rsidRPr="0E1D4E23">
              <w:rPr>
                <w:color w:val="000000" w:themeColor="text1"/>
              </w:rPr>
              <w:t>L/</w:t>
            </w:r>
            <w:proofErr w:type="spellStart"/>
            <w:r w:rsidR="5BEFCB99" w:rsidRPr="0E1D4E23">
              <w:rPr>
                <w:color w:val="000000" w:themeColor="text1"/>
              </w:rPr>
              <w:t>hr</w:t>
            </w:r>
            <w:proofErr w:type="spellEnd"/>
            <w:r w:rsidR="5BEFCB99" w:rsidRPr="0E1D4E23">
              <w:rPr>
                <w:color w:val="000000" w:themeColor="text1"/>
              </w:rPr>
              <w:t xml:space="preserve"> </w:t>
            </w:r>
            <w:r w:rsidRPr="0E1D4E23">
              <w:rPr>
                <w:color w:val="000000" w:themeColor="text1"/>
              </w:rPr>
              <w:t>corresponds with the 95</w:t>
            </w:r>
            <w:r w:rsidRPr="0E1D4E23">
              <w:rPr>
                <w:color w:val="000000" w:themeColor="text1"/>
                <w:vertAlign w:val="superscript"/>
              </w:rPr>
              <w:t>th</w:t>
            </w:r>
            <w:r w:rsidRPr="0E1D4E23">
              <w:rPr>
                <w:color w:val="000000" w:themeColor="text1"/>
              </w:rPr>
              <w:t xml:space="preserve"> percentile IR for adolescents/young adults, ages 16 to &lt; 21 years, based on the DuFour data summarized by US EPA (2019)</w:t>
            </w:r>
            <w:r w:rsidR="5BEFCB99" w:rsidRPr="0E1D4E23">
              <w:rPr>
                <w:vertAlign w:val="superscript"/>
              </w:rPr>
              <w:t>1</w:t>
            </w:r>
            <w:r w:rsidRPr="0E1D4E23">
              <w:rPr>
                <w:color w:val="000000" w:themeColor="text1"/>
              </w:rPr>
              <w:t>.</w:t>
            </w:r>
          </w:p>
          <w:p w14:paraId="64BD8F9C" w14:textId="51D02C87" w:rsidR="006A0F90" w:rsidRDefault="003C6B7B" w:rsidP="003C6B7B">
            <w:pPr>
              <w:pStyle w:val="ListParagraph"/>
              <w:numPr>
                <w:ilvl w:val="0"/>
                <w:numId w:val="27"/>
              </w:numPr>
              <w:ind w:left="250"/>
              <w:jc w:val="both"/>
              <w:rPr>
                <w:rFonts w:ascii="Calibri" w:eastAsia="Times New Roman" w:hAnsi="Calibri" w:cs="Calibri"/>
                <w:color w:val="000000"/>
                <w:sz w:val="24"/>
                <w:szCs w:val="24"/>
                <w:u w:val="single"/>
              </w:rPr>
            </w:pPr>
            <w:r>
              <w:t>DPH did not identify data relating to ingestion rates for children &lt; 6 years of age. In the absence of ingestion rate data for children &lt; 6 years of age, and because the 90</w:t>
            </w:r>
            <w:r w:rsidRPr="0E1D4E23">
              <w:rPr>
                <w:vertAlign w:val="superscript"/>
              </w:rPr>
              <w:t>th</w:t>
            </w:r>
            <w:r>
              <w:t xml:space="preserve"> percentile value in the EFH for children ages 6 to &lt;11 years is lower than for 11 to &lt;16 years, the value for 11 to &lt;</w:t>
            </w:r>
            <w:r w:rsidR="004F40C7">
              <w:t>16-year-olds</w:t>
            </w:r>
            <w:r>
              <w:t xml:space="preserve"> </w:t>
            </w:r>
            <w:r w:rsidR="7D0780F0">
              <w:t xml:space="preserve">(0.152 L/hour) </w:t>
            </w:r>
            <w:r>
              <w:t>is also used for younger children</w:t>
            </w:r>
            <w:r w:rsidRPr="0E1D4E23">
              <w:rPr>
                <w:b/>
                <w:bCs/>
                <w:color w:val="0000FF"/>
              </w:rPr>
              <w:t>.</w:t>
            </w:r>
          </w:p>
        </w:tc>
        <w:tc>
          <w:tcPr>
            <w:tcW w:w="6480" w:type="dxa"/>
            <w:tcBorders>
              <w:top w:val="double" w:sz="4" w:space="0" w:color="auto"/>
            </w:tcBorders>
          </w:tcPr>
          <w:p w14:paraId="4046AF2A" w14:textId="3A49099D" w:rsidR="00A16382" w:rsidRPr="003C6B7B" w:rsidRDefault="2D66CA8C" w:rsidP="00A16382">
            <w:pPr>
              <w:pStyle w:val="ListParagraph"/>
              <w:numPr>
                <w:ilvl w:val="0"/>
                <w:numId w:val="27"/>
              </w:numPr>
              <w:ind w:left="250"/>
              <w:jc w:val="both"/>
            </w:pPr>
            <w:r>
              <w:t xml:space="preserve">The </w:t>
            </w:r>
            <w:proofErr w:type="spellStart"/>
            <w:r w:rsidR="00457917">
              <w:t>c</w:t>
            </w:r>
            <w:r>
              <w:t>PBAL</w:t>
            </w:r>
            <w:r w:rsidR="00B06B13">
              <w:t>s</w:t>
            </w:r>
            <w:proofErr w:type="spellEnd"/>
            <w:r>
              <w:t xml:space="preserve"> </w:t>
            </w:r>
            <w:r w:rsidR="00B06B13">
              <w:t>are</w:t>
            </w:r>
            <w:r>
              <w:t xml:space="preserve"> calculated using an IR of 0.0.053 L/hour for birth to &lt; 11 years, an IR of 0.048 for ages 11 to &lt; 16 years and </w:t>
            </w:r>
            <w:r w:rsidR="289E3B04">
              <w:t xml:space="preserve">people </w:t>
            </w:r>
            <w:r>
              <w:t xml:space="preserve">of child-bearing age, and an IR of 0.041 for ages 16 to &lt; 21 years. An IR of 0.053 corresponds with the </w:t>
            </w:r>
            <w:r w:rsidR="22748CCB">
              <w:t>7</w:t>
            </w:r>
            <w:r>
              <w:t>5</w:t>
            </w:r>
            <w:r w:rsidRPr="1CA4B720">
              <w:rPr>
                <w:vertAlign w:val="superscript"/>
              </w:rPr>
              <w:t>th</w:t>
            </w:r>
            <w:r>
              <w:t xml:space="preserve"> percentile IR for children ages </w:t>
            </w:r>
            <w:r w:rsidR="22748CCB">
              <w:t>6</w:t>
            </w:r>
            <w:r>
              <w:t xml:space="preserve"> to &lt;1</w:t>
            </w:r>
            <w:r w:rsidR="22748CCB">
              <w:t>1</w:t>
            </w:r>
            <w:r>
              <w:t xml:space="preserve"> years old, based on underlying data from DuFour (2017) for swimmers &gt; 6 years of age, as summarized in U.S. EPA’s Exposure Factors Handbook (US EPA, 2019)</w:t>
            </w:r>
            <w:r w:rsidRPr="1CA4B720">
              <w:rPr>
                <w:vertAlign w:val="superscript"/>
              </w:rPr>
              <w:t>1</w:t>
            </w:r>
            <w:r>
              <w:t xml:space="preserve">. </w:t>
            </w:r>
            <w:r w:rsidRPr="1CA4B720">
              <w:rPr>
                <w:color w:val="000000" w:themeColor="text1"/>
              </w:rPr>
              <w:t>IR</w:t>
            </w:r>
            <w:r w:rsidR="22748CCB" w:rsidRPr="1CA4B720">
              <w:rPr>
                <w:color w:val="000000" w:themeColor="text1"/>
              </w:rPr>
              <w:t>s</w:t>
            </w:r>
            <w:r w:rsidRPr="1CA4B720">
              <w:rPr>
                <w:color w:val="000000" w:themeColor="text1"/>
              </w:rPr>
              <w:t xml:space="preserve"> of 0.</w:t>
            </w:r>
            <w:r w:rsidR="22748CCB" w:rsidRPr="1CA4B720">
              <w:rPr>
                <w:color w:val="000000" w:themeColor="text1"/>
              </w:rPr>
              <w:t>048</w:t>
            </w:r>
            <w:r w:rsidRPr="1CA4B720">
              <w:rPr>
                <w:color w:val="000000" w:themeColor="text1"/>
              </w:rPr>
              <w:t xml:space="preserve"> </w:t>
            </w:r>
            <w:r w:rsidR="22748CCB" w:rsidRPr="1CA4B720">
              <w:rPr>
                <w:color w:val="000000" w:themeColor="text1"/>
              </w:rPr>
              <w:t>L/</w:t>
            </w:r>
            <w:proofErr w:type="spellStart"/>
            <w:r w:rsidR="22748CCB" w:rsidRPr="1CA4B720">
              <w:rPr>
                <w:color w:val="000000" w:themeColor="text1"/>
              </w:rPr>
              <w:t>hr</w:t>
            </w:r>
            <w:proofErr w:type="spellEnd"/>
            <w:r w:rsidR="22748CCB" w:rsidRPr="1CA4B720">
              <w:rPr>
                <w:color w:val="000000" w:themeColor="text1"/>
              </w:rPr>
              <w:t xml:space="preserve"> and 0.041 L/</w:t>
            </w:r>
            <w:proofErr w:type="spellStart"/>
            <w:r w:rsidR="22748CCB" w:rsidRPr="1CA4B720">
              <w:rPr>
                <w:color w:val="000000" w:themeColor="text1"/>
              </w:rPr>
              <w:t>hr</w:t>
            </w:r>
            <w:proofErr w:type="spellEnd"/>
            <w:r w:rsidR="22748CCB" w:rsidRPr="1CA4B720">
              <w:rPr>
                <w:color w:val="000000" w:themeColor="text1"/>
              </w:rPr>
              <w:t xml:space="preserve"> </w:t>
            </w:r>
            <w:r w:rsidRPr="1CA4B720">
              <w:rPr>
                <w:color w:val="000000" w:themeColor="text1"/>
              </w:rPr>
              <w:t xml:space="preserve">correspond with the </w:t>
            </w:r>
            <w:r w:rsidR="22748CCB" w:rsidRPr="1CA4B720">
              <w:rPr>
                <w:color w:val="000000" w:themeColor="text1"/>
              </w:rPr>
              <w:t>7</w:t>
            </w:r>
            <w:r w:rsidRPr="1CA4B720">
              <w:rPr>
                <w:color w:val="000000" w:themeColor="text1"/>
              </w:rPr>
              <w:t>5</w:t>
            </w:r>
            <w:r w:rsidRPr="1CA4B720">
              <w:rPr>
                <w:color w:val="000000" w:themeColor="text1"/>
                <w:vertAlign w:val="superscript"/>
              </w:rPr>
              <w:t>th</w:t>
            </w:r>
            <w:r w:rsidRPr="1CA4B720">
              <w:rPr>
                <w:color w:val="000000" w:themeColor="text1"/>
              </w:rPr>
              <w:t xml:space="preserve"> percentile IR for </w:t>
            </w:r>
            <w:r w:rsidR="22748CCB" w:rsidRPr="1CA4B720">
              <w:rPr>
                <w:color w:val="000000" w:themeColor="text1"/>
              </w:rPr>
              <w:t>older children/</w:t>
            </w:r>
            <w:r w:rsidRPr="1CA4B720">
              <w:rPr>
                <w:color w:val="000000" w:themeColor="text1"/>
              </w:rPr>
              <w:t>adolescents, ages 1</w:t>
            </w:r>
            <w:r w:rsidR="22748CCB" w:rsidRPr="1CA4B720">
              <w:rPr>
                <w:color w:val="000000" w:themeColor="text1"/>
              </w:rPr>
              <w:t>1</w:t>
            </w:r>
            <w:r w:rsidRPr="1CA4B720">
              <w:rPr>
                <w:color w:val="000000" w:themeColor="text1"/>
              </w:rPr>
              <w:t xml:space="preserve"> to &lt; </w:t>
            </w:r>
            <w:r w:rsidR="22748CCB" w:rsidRPr="1CA4B720">
              <w:rPr>
                <w:color w:val="000000" w:themeColor="text1"/>
              </w:rPr>
              <w:t>16</w:t>
            </w:r>
            <w:r w:rsidRPr="1CA4B720">
              <w:rPr>
                <w:color w:val="000000" w:themeColor="text1"/>
              </w:rPr>
              <w:t xml:space="preserve"> years</w:t>
            </w:r>
            <w:r w:rsidR="22748CCB" w:rsidRPr="1CA4B720">
              <w:rPr>
                <w:color w:val="000000" w:themeColor="text1"/>
              </w:rPr>
              <w:t xml:space="preserve">, and adolescents/young adults, respectively, </w:t>
            </w:r>
            <w:r w:rsidRPr="1CA4B720">
              <w:rPr>
                <w:color w:val="000000" w:themeColor="text1"/>
              </w:rPr>
              <w:t>based on the DuFour data summarized by US EPA (2019)</w:t>
            </w:r>
            <w:r w:rsidR="22748CCB" w:rsidRPr="1CA4B720">
              <w:rPr>
                <w:vertAlign w:val="superscript"/>
              </w:rPr>
              <w:t>1</w:t>
            </w:r>
            <w:r w:rsidRPr="1CA4B720">
              <w:rPr>
                <w:color w:val="000000" w:themeColor="text1"/>
              </w:rPr>
              <w:t>.</w:t>
            </w:r>
          </w:p>
          <w:p w14:paraId="096D46ED" w14:textId="56146A69" w:rsidR="00A16382" w:rsidRDefault="00A16382" w:rsidP="00A16382">
            <w:pPr>
              <w:pStyle w:val="ListParagraph"/>
              <w:numPr>
                <w:ilvl w:val="0"/>
                <w:numId w:val="27"/>
              </w:numPr>
              <w:ind w:left="250"/>
              <w:jc w:val="both"/>
            </w:pPr>
            <w:r w:rsidRPr="003C6B7B">
              <w:t xml:space="preserve">DPH did not identify data relating to ingestion rates for children &lt; 6 years of age. </w:t>
            </w:r>
            <w:r w:rsidR="00FB4304">
              <w:t xml:space="preserve">Therefore, </w:t>
            </w:r>
            <w:r w:rsidRPr="003C6B7B">
              <w:t xml:space="preserve">the </w:t>
            </w:r>
            <w:r w:rsidR="00FB4304">
              <w:t>ingestion rate</w:t>
            </w:r>
            <w:r w:rsidRPr="003C6B7B">
              <w:t xml:space="preserve"> for </w:t>
            </w:r>
            <w:r w:rsidR="00FB4304">
              <w:t>6</w:t>
            </w:r>
            <w:r w:rsidRPr="003C6B7B">
              <w:t xml:space="preserve"> to &lt;</w:t>
            </w:r>
            <w:r w:rsidR="00685D98" w:rsidRPr="003C6B7B">
              <w:t>1</w:t>
            </w:r>
            <w:r w:rsidR="00685D98">
              <w:t>1</w:t>
            </w:r>
            <w:r w:rsidR="00685D98" w:rsidRPr="003C6B7B">
              <w:t>-year-olds</w:t>
            </w:r>
            <w:r w:rsidRPr="003C6B7B">
              <w:t xml:space="preserve"> </w:t>
            </w:r>
            <w:r w:rsidR="00FB4304">
              <w:t>(0.053 L/</w:t>
            </w:r>
            <w:proofErr w:type="spellStart"/>
            <w:r w:rsidR="00FB4304">
              <w:t>hr</w:t>
            </w:r>
            <w:proofErr w:type="spellEnd"/>
            <w:r w:rsidR="00FB4304">
              <w:t xml:space="preserve">) </w:t>
            </w:r>
            <w:r w:rsidRPr="003C6B7B">
              <w:t xml:space="preserve">is used for younger </w:t>
            </w:r>
            <w:r w:rsidR="00685D98" w:rsidRPr="003C6B7B">
              <w:t>children.</w:t>
            </w:r>
          </w:p>
          <w:p w14:paraId="187DFC07" w14:textId="6632EFFB" w:rsidR="006A0F90" w:rsidRDefault="006A0F90" w:rsidP="00A16382">
            <w:pPr>
              <w:pStyle w:val="ListParagraph"/>
              <w:keepNext/>
              <w:spacing w:after="120"/>
              <w:ind w:left="346"/>
              <w:contextualSpacing w:val="0"/>
              <w:rPr>
                <w:rFonts w:ascii="Calibri" w:eastAsia="Times New Roman" w:hAnsi="Calibri" w:cs="Calibri"/>
                <w:color w:val="000000"/>
                <w:sz w:val="24"/>
                <w:szCs w:val="24"/>
                <w:u w:val="single"/>
              </w:rPr>
            </w:pPr>
          </w:p>
        </w:tc>
      </w:tr>
      <w:tr w:rsidR="006A0F90" w:rsidRPr="006E104E" w14:paraId="23DFE3A7" w14:textId="77777777" w:rsidTr="0E1D4E23">
        <w:trPr>
          <w:trHeight w:val="935"/>
        </w:trPr>
        <w:tc>
          <w:tcPr>
            <w:tcW w:w="1705" w:type="dxa"/>
          </w:tcPr>
          <w:p w14:paraId="3B0D52CB" w14:textId="69203BAE" w:rsidR="006A0F90" w:rsidRPr="00A16382" w:rsidRDefault="00A16382">
            <w:pPr>
              <w:rPr>
                <w:rFonts w:ascii="Calibri" w:eastAsia="Times New Roman" w:hAnsi="Calibri" w:cs="Calibri"/>
                <w:b/>
                <w:bCs/>
                <w:color w:val="000000"/>
                <w:sz w:val="24"/>
                <w:szCs w:val="24"/>
              </w:rPr>
            </w:pPr>
            <w:r>
              <w:rPr>
                <w:rFonts w:ascii="Calibri" w:eastAsia="Times New Roman" w:hAnsi="Calibri" w:cs="Calibri"/>
                <w:b/>
                <w:bCs/>
                <w:color w:val="000000"/>
                <w:sz w:val="24"/>
                <w:szCs w:val="24"/>
              </w:rPr>
              <w:t>MCP-Based</w:t>
            </w:r>
          </w:p>
        </w:tc>
        <w:tc>
          <w:tcPr>
            <w:tcW w:w="6300" w:type="dxa"/>
          </w:tcPr>
          <w:p w14:paraId="092DF849" w14:textId="43691741" w:rsidR="006A0F90" w:rsidRPr="003C6B7B" w:rsidRDefault="003C6B7B" w:rsidP="003C6B7B">
            <w:pPr>
              <w:pStyle w:val="ListParagraph"/>
              <w:numPr>
                <w:ilvl w:val="0"/>
                <w:numId w:val="33"/>
              </w:numPr>
              <w:ind w:left="250"/>
              <w:jc w:val="both"/>
            </w:pPr>
            <w:r>
              <w:t>In the absence of MCP guidance, an IR of 0.152 L/hour is used for all age groups.</w:t>
            </w:r>
          </w:p>
        </w:tc>
        <w:tc>
          <w:tcPr>
            <w:tcW w:w="6480" w:type="dxa"/>
          </w:tcPr>
          <w:p w14:paraId="439AC762" w14:textId="753A7F55" w:rsidR="006A0F90" w:rsidRPr="006E104E" w:rsidRDefault="00FB4304">
            <w:pPr>
              <w:pStyle w:val="ListParagraph"/>
              <w:numPr>
                <w:ilvl w:val="0"/>
                <w:numId w:val="33"/>
              </w:numPr>
              <w:ind w:left="346"/>
              <w:rPr>
                <w:rFonts w:ascii="Calibri" w:eastAsia="Times New Roman" w:hAnsi="Calibri" w:cs="Calibri"/>
                <w:color w:val="000000"/>
                <w:sz w:val="24"/>
                <w:szCs w:val="24"/>
                <w:u w:val="single"/>
              </w:rPr>
            </w:pPr>
            <w:r>
              <w:t xml:space="preserve">In the absence of MCP guidance, an IR of 0.053 L/hour is used for 1 to &lt; </w:t>
            </w:r>
            <w:r w:rsidR="00685D98">
              <w:t>15-year-olds</w:t>
            </w:r>
            <w:r>
              <w:t>, and an IR of 0.048 L/</w:t>
            </w:r>
            <w:proofErr w:type="spellStart"/>
            <w:r>
              <w:t>hr</w:t>
            </w:r>
            <w:proofErr w:type="spellEnd"/>
            <w:r>
              <w:t xml:space="preserve"> is used for 15 to &lt; </w:t>
            </w:r>
            <w:r w:rsidR="00685D98">
              <w:t>31-year-olds</w:t>
            </w:r>
            <w:r>
              <w:t>.</w:t>
            </w:r>
          </w:p>
        </w:tc>
      </w:tr>
    </w:tbl>
    <w:p w14:paraId="68A6C3E2" w14:textId="0B9B7B46" w:rsidR="006A0F90" w:rsidRPr="003C6B7B" w:rsidRDefault="003C6B7B" w:rsidP="00271B22">
      <w:pPr>
        <w:spacing w:after="0"/>
        <w:rPr>
          <w:i/>
          <w:iCs/>
          <w:sz w:val="20"/>
          <w:szCs w:val="20"/>
          <w:u w:val="single"/>
        </w:rPr>
      </w:pPr>
      <w:r w:rsidRPr="003C6B7B">
        <w:rPr>
          <w:i/>
          <w:iCs/>
          <w:sz w:val="20"/>
          <w:szCs w:val="20"/>
          <w:u w:val="single"/>
        </w:rPr>
        <w:t xml:space="preserve">[1] </w:t>
      </w:r>
      <w:r w:rsidRPr="003C6B7B">
        <w:rPr>
          <w:i/>
          <w:iCs/>
          <w:sz w:val="20"/>
          <w:szCs w:val="20"/>
        </w:rPr>
        <w:t>Based on recommendations from Table 3-93.</w:t>
      </w:r>
    </w:p>
    <w:p w14:paraId="5297B596" w14:textId="77777777" w:rsidR="007821BD" w:rsidRPr="00271B22" w:rsidRDefault="007821BD" w:rsidP="00271B22">
      <w:pPr>
        <w:rPr>
          <w:sz w:val="24"/>
          <w:szCs w:val="24"/>
        </w:rPr>
      </w:pPr>
    </w:p>
    <w:p w14:paraId="0CDD8FE5" w14:textId="77777777" w:rsidR="007821BD" w:rsidRDefault="007821BD" w:rsidP="00E10CDD">
      <w:pPr>
        <w:pStyle w:val="Heading2"/>
        <w:sectPr w:rsidR="007821BD" w:rsidSect="000750D0">
          <w:headerReference w:type="default" r:id="rId38"/>
          <w:headerReference w:type="first" r:id="rId39"/>
          <w:pgSz w:w="15840" w:h="12240" w:orient="landscape" w:code="1"/>
          <w:pgMar w:top="720" w:right="720" w:bottom="720" w:left="720" w:header="720" w:footer="720" w:gutter="0"/>
          <w:cols w:space="720"/>
          <w:docGrid w:linePitch="360"/>
        </w:sectPr>
      </w:pPr>
    </w:p>
    <w:p w14:paraId="7C340CAC" w14:textId="2CA2AB9B" w:rsidR="007821BD" w:rsidRPr="002F4427" w:rsidRDefault="002F4427" w:rsidP="002F4427">
      <w:pPr>
        <w:spacing w:after="0"/>
        <w:rPr>
          <w:b/>
          <w:bCs/>
          <w:sz w:val="24"/>
          <w:szCs w:val="24"/>
        </w:rPr>
      </w:pPr>
      <w:r w:rsidRPr="002F4427">
        <w:rPr>
          <w:b/>
          <w:bCs/>
          <w:sz w:val="24"/>
          <w:szCs w:val="24"/>
        </w:rPr>
        <w:lastRenderedPageBreak/>
        <w:t>Table A.</w:t>
      </w:r>
      <w:r w:rsidR="00846B34">
        <w:rPr>
          <w:b/>
          <w:bCs/>
          <w:sz w:val="24"/>
          <w:szCs w:val="24"/>
        </w:rPr>
        <w:t>4</w:t>
      </w:r>
      <w:r w:rsidRPr="002F4427">
        <w:rPr>
          <w:b/>
          <w:bCs/>
          <w:sz w:val="24"/>
          <w:szCs w:val="24"/>
        </w:rPr>
        <w:t xml:space="preserve"> Swim Frequency</w:t>
      </w:r>
    </w:p>
    <w:tbl>
      <w:tblPr>
        <w:tblW w:w="19160" w:type="dxa"/>
        <w:tblLook w:val="04A0" w:firstRow="1" w:lastRow="0" w:firstColumn="1" w:lastColumn="0" w:noHBand="0" w:noVBand="1"/>
      </w:tblPr>
      <w:tblGrid>
        <w:gridCol w:w="96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tblGrid>
      <w:tr w:rsidR="002F4427" w:rsidRPr="002F4427" w14:paraId="0A59CEA2" w14:textId="77777777" w:rsidTr="009500B2">
        <w:trPr>
          <w:trHeight w:val="290"/>
        </w:trPr>
        <w:tc>
          <w:tcPr>
            <w:tcW w:w="19160" w:type="dxa"/>
            <w:gridSpan w:val="27"/>
            <w:tcBorders>
              <w:top w:val="single" w:sz="4" w:space="0" w:color="auto"/>
              <w:left w:val="nil"/>
              <w:bottom w:val="nil"/>
              <w:right w:val="nil"/>
            </w:tcBorders>
            <w:shd w:val="clear" w:color="auto" w:fill="auto"/>
            <w:noWrap/>
            <w:vAlign w:val="bottom"/>
          </w:tcPr>
          <w:p w14:paraId="283B69E2" w14:textId="5E63F0B0" w:rsidR="002F4427" w:rsidRPr="002F4427" w:rsidRDefault="00144B26" w:rsidP="002F4427">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Table A.4a: </w:t>
            </w:r>
            <w:r w:rsidR="002F4427">
              <w:rPr>
                <w:rFonts w:ascii="Calibri" w:eastAsia="Times New Roman" w:hAnsi="Calibri" w:cs="Calibri"/>
                <w:b/>
                <w:bCs/>
                <w:color w:val="000000"/>
              </w:rPr>
              <w:t xml:space="preserve"># Times Swimming/Month </w:t>
            </w:r>
            <w:r w:rsidR="002F4427" w:rsidRPr="002F4427">
              <w:rPr>
                <w:rFonts w:ascii="Calibri" w:eastAsia="Times New Roman" w:hAnsi="Calibri" w:cs="Calibri"/>
                <w:color w:val="000000"/>
              </w:rPr>
              <w:t xml:space="preserve">(data from </w:t>
            </w:r>
            <w:r w:rsidR="0037742F">
              <w:rPr>
                <w:rFonts w:ascii="Calibri" w:eastAsia="Times New Roman" w:hAnsi="Calibri" w:cs="Calibri"/>
                <w:color w:val="000000"/>
              </w:rPr>
              <w:t xml:space="preserve">US EPA, 1996: </w:t>
            </w:r>
            <w:r w:rsidR="002F4427" w:rsidRPr="002F4427">
              <w:rPr>
                <w:rFonts w:ascii="Calibri" w:eastAsia="Times New Roman" w:hAnsi="Calibri" w:cs="Calibri"/>
                <w:color w:val="000000"/>
              </w:rPr>
              <w:t>“</w:t>
            </w:r>
            <w:r w:rsidR="00304037" w:rsidRPr="00304037">
              <w:rPr>
                <w:rFonts w:ascii="Calibri" w:eastAsia="Times New Roman" w:hAnsi="Calibri" w:cs="Calibri"/>
                <w:color w:val="000000"/>
              </w:rPr>
              <w:t>Descriptive Statistics Tables from a Detailed Analysis of the National Human Activity Pattern Survey (NHAPS) Data" Table QBS-17g</w:t>
            </w:r>
            <w:r w:rsidR="00304037">
              <w:rPr>
                <w:rFonts w:ascii="Calibri" w:eastAsia="Times New Roman" w:hAnsi="Calibri" w:cs="Calibri"/>
                <w:color w:val="000000"/>
              </w:rPr>
              <w:t>)</w:t>
            </w:r>
          </w:p>
        </w:tc>
      </w:tr>
      <w:tr w:rsidR="002F4427" w:rsidRPr="002F4427" w14:paraId="152A951E" w14:textId="77777777" w:rsidTr="002F4427">
        <w:trPr>
          <w:trHeight w:val="290"/>
        </w:trPr>
        <w:tc>
          <w:tcPr>
            <w:tcW w:w="960" w:type="dxa"/>
            <w:tcBorders>
              <w:top w:val="single" w:sz="4" w:space="0" w:color="auto"/>
              <w:left w:val="nil"/>
              <w:bottom w:val="nil"/>
              <w:right w:val="nil"/>
            </w:tcBorders>
            <w:shd w:val="clear" w:color="auto" w:fill="D9D9D9" w:themeFill="background1" w:themeFillShade="D9"/>
            <w:noWrap/>
            <w:vAlign w:val="bottom"/>
            <w:hideMark/>
          </w:tcPr>
          <w:p w14:paraId="6645EAC5" w14:textId="77777777" w:rsidR="002F4427" w:rsidRPr="002F4427" w:rsidRDefault="002F4427" w:rsidP="002F4427">
            <w:pPr>
              <w:spacing w:after="0" w:line="240" w:lineRule="auto"/>
              <w:rPr>
                <w:rFonts w:ascii="Calibri" w:eastAsia="Times New Roman" w:hAnsi="Calibri" w:cs="Calibri"/>
                <w:b/>
                <w:bCs/>
                <w:color w:val="000000"/>
              </w:rPr>
            </w:pPr>
            <w:r w:rsidRPr="002F4427">
              <w:rPr>
                <w:rFonts w:ascii="Calibri" w:eastAsia="Times New Roman" w:hAnsi="Calibri" w:cs="Calibri"/>
                <w:b/>
                <w:bCs/>
                <w:color w:val="000000"/>
              </w:rPr>
              <w:t>Age</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234C6BBF" w14:textId="77777777" w:rsidR="002F4427" w:rsidRPr="002F4427" w:rsidRDefault="002F4427" w:rsidP="002F4427">
            <w:pPr>
              <w:spacing w:after="0" w:line="240" w:lineRule="auto"/>
              <w:jc w:val="center"/>
              <w:rPr>
                <w:rFonts w:ascii="Calibri" w:eastAsia="Times New Roman" w:hAnsi="Calibri" w:cs="Calibri"/>
                <w:b/>
                <w:bCs/>
                <w:i/>
                <w:iCs/>
                <w:color w:val="000000"/>
              </w:rPr>
            </w:pPr>
            <w:r w:rsidRPr="002F4427">
              <w:rPr>
                <w:rFonts w:ascii="Calibri" w:eastAsia="Times New Roman" w:hAnsi="Calibri" w:cs="Calibri"/>
                <w:b/>
                <w:bCs/>
                <w:i/>
                <w:iCs/>
                <w:color w:val="000000"/>
              </w:rPr>
              <w:t>n</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45CE529B"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1743E472"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229F9E9E"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3</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6094C586"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4</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466A9360"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5</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01A4A0B9"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6</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23B67A54"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7</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2A7FA6EF"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8</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7E33E990"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9</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28942D7E"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10</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57A1F37E"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11</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7B0715DE"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12</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59DED178"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13</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5416D11E"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14</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0A6154A7"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15</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52F93B98"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16</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3E702783"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18</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6FA898A4"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20</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31F4B36E"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23</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13945383"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24</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3C54862E"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25</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11AC7864"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26</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20935A77"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28</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50023B4E"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29</w:t>
            </w:r>
          </w:p>
        </w:tc>
        <w:tc>
          <w:tcPr>
            <w:tcW w:w="700" w:type="dxa"/>
            <w:tcBorders>
              <w:top w:val="single" w:sz="4" w:space="0" w:color="auto"/>
              <w:left w:val="nil"/>
              <w:bottom w:val="nil"/>
              <w:right w:val="nil"/>
            </w:tcBorders>
            <w:shd w:val="clear" w:color="auto" w:fill="D9D9D9" w:themeFill="background1" w:themeFillShade="D9"/>
            <w:noWrap/>
            <w:vAlign w:val="center"/>
            <w:hideMark/>
          </w:tcPr>
          <w:p w14:paraId="00AA0265"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30</w:t>
            </w:r>
          </w:p>
        </w:tc>
      </w:tr>
      <w:tr w:rsidR="002F4427" w:rsidRPr="002F4427" w14:paraId="5BB33E50" w14:textId="77777777" w:rsidTr="002F4427">
        <w:trPr>
          <w:trHeight w:val="290"/>
        </w:trPr>
        <w:tc>
          <w:tcPr>
            <w:tcW w:w="960" w:type="dxa"/>
            <w:tcBorders>
              <w:top w:val="nil"/>
              <w:left w:val="nil"/>
              <w:bottom w:val="nil"/>
              <w:right w:val="nil"/>
            </w:tcBorders>
            <w:shd w:val="clear" w:color="auto" w:fill="auto"/>
            <w:noWrap/>
            <w:vAlign w:val="bottom"/>
            <w:hideMark/>
          </w:tcPr>
          <w:p w14:paraId="1DA74AC3" w14:textId="77777777" w:rsidR="002F4427" w:rsidRPr="002F4427" w:rsidRDefault="002F4427" w:rsidP="002F4427">
            <w:pPr>
              <w:spacing w:after="0" w:line="240" w:lineRule="auto"/>
              <w:rPr>
                <w:rFonts w:ascii="Calibri" w:eastAsia="Times New Roman" w:hAnsi="Calibri" w:cs="Calibri"/>
                <w:b/>
                <w:bCs/>
                <w:color w:val="000000"/>
              </w:rPr>
            </w:pPr>
            <w:r w:rsidRPr="002F4427">
              <w:rPr>
                <w:rFonts w:ascii="Calibri" w:eastAsia="Times New Roman" w:hAnsi="Calibri" w:cs="Calibri"/>
                <w:b/>
                <w:bCs/>
                <w:color w:val="000000"/>
              </w:rPr>
              <w:t>1-4</w:t>
            </w:r>
          </w:p>
        </w:tc>
        <w:tc>
          <w:tcPr>
            <w:tcW w:w="700" w:type="dxa"/>
            <w:tcBorders>
              <w:top w:val="nil"/>
              <w:left w:val="nil"/>
              <w:bottom w:val="nil"/>
              <w:right w:val="nil"/>
            </w:tcBorders>
            <w:shd w:val="clear" w:color="auto" w:fill="auto"/>
            <w:noWrap/>
            <w:vAlign w:val="center"/>
            <w:hideMark/>
          </w:tcPr>
          <w:p w14:paraId="35EBD5EC" w14:textId="77777777" w:rsidR="002F4427" w:rsidRPr="002F4427" w:rsidRDefault="002F4427" w:rsidP="002F4427">
            <w:pPr>
              <w:spacing w:after="0" w:line="240" w:lineRule="auto"/>
              <w:jc w:val="center"/>
              <w:rPr>
                <w:rFonts w:ascii="Calibri" w:eastAsia="Times New Roman" w:hAnsi="Calibri" w:cs="Calibri"/>
                <w:i/>
                <w:iCs/>
                <w:color w:val="000000"/>
              </w:rPr>
            </w:pPr>
            <w:r w:rsidRPr="002F4427">
              <w:rPr>
                <w:rFonts w:ascii="Calibri" w:eastAsia="Times New Roman" w:hAnsi="Calibri" w:cs="Calibri"/>
                <w:i/>
                <w:iCs/>
                <w:color w:val="000000"/>
              </w:rPr>
              <w:t>63</w:t>
            </w:r>
          </w:p>
        </w:tc>
        <w:tc>
          <w:tcPr>
            <w:tcW w:w="700" w:type="dxa"/>
            <w:tcBorders>
              <w:top w:val="nil"/>
              <w:left w:val="nil"/>
              <w:bottom w:val="nil"/>
              <w:right w:val="nil"/>
            </w:tcBorders>
            <w:shd w:val="clear" w:color="auto" w:fill="auto"/>
            <w:noWrap/>
            <w:vAlign w:val="center"/>
            <w:hideMark/>
          </w:tcPr>
          <w:p w14:paraId="337A8DF9"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11</w:t>
            </w:r>
          </w:p>
        </w:tc>
        <w:tc>
          <w:tcPr>
            <w:tcW w:w="700" w:type="dxa"/>
            <w:tcBorders>
              <w:top w:val="nil"/>
              <w:left w:val="nil"/>
              <w:bottom w:val="nil"/>
              <w:right w:val="nil"/>
            </w:tcBorders>
            <w:shd w:val="clear" w:color="auto" w:fill="auto"/>
            <w:noWrap/>
            <w:vAlign w:val="center"/>
            <w:hideMark/>
          </w:tcPr>
          <w:p w14:paraId="7FA55355"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14</w:t>
            </w:r>
          </w:p>
        </w:tc>
        <w:tc>
          <w:tcPr>
            <w:tcW w:w="700" w:type="dxa"/>
            <w:tcBorders>
              <w:top w:val="nil"/>
              <w:left w:val="nil"/>
              <w:bottom w:val="nil"/>
              <w:right w:val="nil"/>
            </w:tcBorders>
            <w:shd w:val="clear" w:color="auto" w:fill="auto"/>
            <w:noWrap/>
            <w:vAlign w:val="center"/>
            <w:hideMark/>
          </w:tcPr>
          <w:p w14:paraId="047AE7D5"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7</w:t>
            </w:r>
          </w:p>
        </w:tc>
        <w:tc>
          <w:tcPr>
            <w:tcW w:w="700" w:type="dxa"/>
            <w:tcBorders>
              <w:top w:val="nil"/>
              <w:left w:val="nil"/>
              <w:bottom w:val="nil"/>
              <w:right w:val="nil"/>
            </w:tcBorders>
            <w:shd w:val="clear" w:color="auto" w:fill="auto"/>
            <w:noWrap/>
            <w:vAlign w:val="center"/>
            <w:hideMark/>
          </w:tcPr>
          <w:p w14:paraId="7A1C84E8"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w:t>
            </w:r>
          </w:p>
        </w:tc>
        <w:tc>
          <w:tcPr>
            <w:tcW w:w="700" w:type="dxa"/>
            <w:tcBorders>
              <w:top w:val="nil"/>
              <w:left w:val="nil"/>
              <w:bottom w:val="nil"/>
              <w:right w:val="nil"/>
            </w:tcBorders>
            <w:shd w:val="clear" w:color="auto" w:fill="auto"/>
            <w:noWrap/>
            <w:vAlign w:val="center"/>
            <w:hideMark/>
          </w:tcPr>
          <w:p w14:paraId="3323B0C4"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w:t>
            </w:r>
          </w:p>
        </w:tc>
        <w:tc>
          <w:tcPr>
            <w:tcW w:w="700" w:type="dxa"/>
            <w:tcBorders>
              <w:top w:val="nil"/>
              <w:left w:val="nil"/>
              <w:bottom w:val="nil"/>
              <w:right w:val="nil"/>
            </w:tcBorders>
            <w:shd w:val="clear" w:color="auto" w:fill="auto"/>
            <w:noWrap/>
            <w:vAlign w:val="center"/>
            <w:hideMark/>
          </w:tcPr>
          <w:p w14:paraId="7B412C09"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w:t>
            </w:r>
          </w:p>
        </w:tc>
        <w:tc>
          <w:tcPr>
            <w:tcW w:w="700" w:type="dxa"/>
            <w:tcBorders>
              <w:top w:val="nil"/>
              <w:left w:val="nil"/>
              <w:bottom w:val="nil"/>
              <w:right w:val="nil"/>
            </w:tcBorders>
            <w:shd w:val="clear" w:color="auto" w:fill="auto"/>
            <w:noWrap/>
            <w:vAlign w:val="center"/>
            <w:hideMark/>
          </w:tcPr>
          <w:p w14:paraId="0E43578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bottom w:val="nil"/>
              <w:right w:val="nil"/>
            </w:tcBorders>
            <w:shd w:val="clear" w:color="auto" w:fill="auto"/>
            <w:noWrap/>
            <w:vAlign w:val="center"/>
            <w:hideMark/>
          </w:tcPr>
          <w:p w14:paraId="48807149"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w:t>
            </w:r>
          </w:p>
        </w:tc>
        <w:tc>
          <w:tcPr>
            <w:tcW w:w="700" w:type="dxa"/>
            <w:tcBorders>
              <w:top w:val="nil"/>
              <w:left w:val="nil"/>
              <w:bottom w:val="nil"/>
              <w:right w:val="nil"/>
            </w:tcBorders>
            <w:shd w:val="clear" w:color="auto" w:fill="auto"/>
            <w:noWrap/>
            <w:vAlign w:val="center"/>
            <w:hideMark/>
          </w:tcPr>
          <w:p w14:paraId="0286E8AC"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bottom w:val="nil"/>
              <w:right w:val="nil"/>
            </w:tcBorders>
            <w:shd w:val="clear" w:color="auto" w:fill="auto"/>
            <w:noWrap/>
            <w:vAlign w:val="center"/>
            <w:hideMark/>
          </w:tcPr>
          <w:p w14:paraId="0C98B839"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w:t>
            </w:r>
          </w:p>
        </w:tc>
        <w:tc>
          <w:tcPr>
            <w:tcW w:w="700" w:type="dxa"/>
            <w:tcBorders>
              <w:top w:val="nil"/>
              <w:left w:val="nil"/>
              <w:bottom w:val="nil"/>
              <w:right w:val="nil"/>
            </w:tcBorders>
            <w:shd w:val="clear" w:color="auto" w:fill="auto"/>
            <w:noWrap/>
            <w:vAlign w:val="center"/>
            <w:hideMark/>
          </w:tcPr>
          <w:p w14:paraId="59E01CDA"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bottom w:val="nil"/>
              <w:right w:val="nil"/>
            </w:tcBorders>
            <w:shd w:val="clear" w:color="auto" w:fill="auto"/>
            <w:noWrap/>
            <w:vAlign w:val="center"/>
            <w:hideMark/>
          </w:tcPr>
          <w:p w14:paraId="05BFC63C"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w:t>
            </w:r>
          </w:p>
        </w:tc>
        <w:tc>
          <w:tcPr>
            <w:tcW w:w="700" w:type="dxa"/>
            <w:tcBorders>
              <w:top w:val="nil"/>
              <w:left w:val="nil"/>
              <w:bottom w:val="nil"/>
              <w:right w:val="nil"/>
            </w:tcBorders>
            <w:shd w:val="clear" w:color="auto" w:fill="auto"/>
            <w:noWrap/>
            <w:vAlign w:val="center"/>
            <w:hideMark/>
          </w:tcPr>
          <w:p w14:paraId="29249755"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bottom w:val="nil"/>
              <w:right w:val="nil"/>
            </w:tcBorders>
            <w:shd w:val="clear" w:color="auto" w:fill="auto"/>
            <w:noWrap/>
            <w:vAlign w:val="center"/>
            <w:hideMark/>
          </w:tcPr>
          <w:p w14:paraId="7BCE5FCF"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bottom w:val="nil"/>
              <w:right w:val="nil"/>
            </w:tcBorders>
            <w:shd w:val="clear" w:color="auto" w:fill="auto"/>
            <w:noWrap/>
            <w:vAlign w:val="center"/>
            <w:hideMark/>
          </w:tcPr>
          <w:p w14:paraId="373E706D"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w:t>
            </w:r>
          </w:p>
        </w:tc>
        <w:tc>
          <w:tcPr>
            <w:tcW w:w="700" w:type="dxa"/>
            <w:tcBorders>
              <w:top w:val="nil"/>
              <w:left w:val="nil"/>
              <w:bottom w:val="nil"/>
              <w:right w:val="nil"/>
            </w:tcBorders>
            <w:shd w:val="clear" w:color="auto" w:fill="auto"/>
            <w:noWrap/>
            <w:vAlign w:val="center"/>
            <w:hideMark/>
          </w:tcPr>
          <w:p w14:paraId="716BD28C"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bottom w:val="nil"/>
              <w:right w:val="nil"/>
            </w:tcBorders>
            <w:shd w:val="clear" w:color="auto" w:fill="auto"/>
            <w:noWrap/>
            <w:vAlign w:val="center"/>
            <w:hideMark/>
          </w:tcPr>
          <w:p w14:paraId="5079339A"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center"/>
            <w:hideMark/>
          </w:tcPr>
          <w:p w14:paraId="54BD86C4"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w:t>
            </w:r>
          </w:p>
        </w:tc>
        <w:tc>
          <w:tcPr>
            <w:tcW w:w="700" w:type="dxa"/>
            <w:tcBorders>
              <w:top w:val="nil"/>
              <w:left w:val="nil"/>
              <w:bottom w:val="nil"/>
              <w:right w:val="nil"/>
            </w:tcBorders>
            <w:shd w:val="clear" w:color="auto" w:fill="auto"/>
            <w:noWrap/>
            <w:vAlign w:val="center"/>
            <w:hideMark/>
          </w:tcPr>
          <w:p w14:paraId="05E7F5A8"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bottom w:val="nil"/>
              <w:right w:val="nil"/>
            </w:tcBorders>
            <w:shd w:val="clear" w:color="auto" w:fill="auto"/>
            <w:noWrap/>
            <w:vAlign w:val="center"/>
            <w:hideMark/>
          </w:tcPr>
          <w:p w14:paraId="2EC7E973"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center"/>
            <w:hideMark/>
          </w:tcPr>
          <w:p w14:paraId="4653BC31"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center"/>
            <w:hideMark/>
          </w:tcPr>
          <w:p w14:paraId="15676E5B"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center"/>
            <w:hideMark/>
          </w:tcPr>
          <w:p w14:paraId="3C0168A2"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center"/>
            <w:hideMark/>
          </w:tcPr>
          <w:p w14:paraId="1D17E4F2"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bottom w:val="nil"/>
              <w:right w:val="nil"/>
            </w:tcBorders>
            <w:shd w:val="clear" w:color="auto" w:fill="auto"/>
            <w:noWrap/>
            <w:vAlign w:val="center"/>
            <w:hideMark/>
          </w:tcPr>
          <w:p w14:paraId="38B6E67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w:t>
            </w:r>
          </w:p>
        </w:tc>
      </w:tr>
      <w:tr w:rsidR="002F4427" w:rsidRPr="002F4427" w14:paraId="34DCFEE6" w14:textId="77777777" w:rsidTr="002F4427">
        <w:trPr>
          <w:trHeight w:val="290"/>
        </w:trPr>
        <w:tc>
          <w:tcPr>
            <w:tcW w:w="960" w:type="dxa"/>
            <w:tcBorders>
              <w:top w:val="nil"/>
              <w:left w:val="nil"/>
              <w:bottom w:val="nil"/>
              <w:right w:val="nil"/>
            </w:tcBorders>
            <w:shd w:val="clear" w:color="auto" w:fill="auto"/>
            <w:noWrap/>
            <w:vAlign w:val="bottom"/>
            <w:hideMark/>
          </w:tcPr>
          <w:p w14:paraId="066A64EC" w14:textId="77777777" w:rsidR="002F4427" w:rsidRPr="002F4427" w:rsidRDefault="002F4427" w:rsidP="002F4427">
            <w:pPr>
              <w:spacing w:after="0" w:line="240" w:lineRule="auto"/>
              <w:rPr>
                <w:rFonts w:ascii="Calibri" w:eastAsia="Times New Roman" w:hAnsi="Calibri" w:cs="Calibri"/>
                <w:b/>
                <w:bCs/>
                <w:color w:val="000000"/>
              </w:rPr>
            </w:pPr>
            <w:r w:rsidRPr="002F4427">
              <w:rPr>
                <w:rFonts w:ascii="Calibri" w:eastAsia="Times New Roman" w:hAnsi="Calibri" w:cs="Calibri"/>
                <w:b/>
                <w:bCs/>
                <w:color w:val="000000"/>
              </w:rPr>
              <w:t>5-11</w:t>
            </w:r>
          </w:p>
        </w:tc>
        <w:tc>
          <w:tcPr>
            <w:tcW w:w="700" w:type="dxa"/>
            <w:tcBorders>
              <w:top w:val="nil"/>
              <w:left w:val="nil"/>
              <w:bottom w:val="nil"/>
              <w:right w:val="nil"/>
            </w:tcBorders>
            <w:shd w:val="clear" w:color="auto" w:fill="auto"/>
            <w:noWrap/>
            <w:vAlign w:val="center"/>
            <w:hideMark/>
          </w:tcPr>
          <w:p w14:paraId="3AAE6DC1" w14:textId="77777777" w:rsidR="002F4427" w:rsidRPr="002F4427" w:rsidRDefault="002F4427" w:rsidP="002F4427">
            <w:pPr>
              <w:spacing w:after="0" w:line="240" w:lineRule="auto"/>
              <w:jc w:val="center"/>
              <w:rPr>
                <w:rFonts w:ascii="Calibri" w:eastAsia="Times New Roman" w:hAnsi="Calibri" w:cs="Calibri"/>
                <w:i/>
                <w:iCs/>
                <w:color w:val="000000"/>
              </w:rPr>
            </w:pPr>
            <w:r w:rsidRPr="002F4427">
              <w:rPr>
                <w:rFonts w:ascii="Calibri" w:eastAsia="Times New Roman" w:hAnsi="Calibri" w:cs="Calibri"/>
                <w:i/>
                <w:iCs/>
                <w:color w:val="000000"/>
              </w:rPr>
              <w:t>100</w:t>
            </w:r>
          </w:p>
        </w:tc>
        <w:tc>
          <w:tcPr>
            <w:tcW w:w="700" w:type="dxa"/>
            <w:tcBorders>
              <w:top w:val="nil"/>
              <w:left w:val="nil"/>
              <w:bottom w:val="nil"/>
              <w:right w:val="nil"/>
            </w:tcBorders>
            <w:shd w:val="clear" w:color="auto" w:fill="auto"/>
            <w:noWrap/>
            <w:vAlign w:val="center"/>
            <w:hideMark/>
          </w:tcPr>
          <w:p w14:paraId="50B54B8C"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16</w:t>
            </w:r>
          </w:p>
        </w:tc>
        <w:tc>
          <w:tcPr>
            <w:tcW w:w="700" w:type="dxa"/>
            <w:tcBorders>
              <w:top w:val="nil"/>
              <w:left w:val="nil"/>
              <w:bottom w:val="nil"/>
              <w:right w:val="nil"/>
            </w:tcBorders>
            <w:shd w:val="clear" w:color="auto" w:fill="auto"/>
            <w:noWrap/>
            <w:vAlign w:val="center"/>
            <w:hideMark/>
          </w:tcPr>
          <w:p w14:paraId="562009CF"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15</w:t>
            </w:r>
          </w:p>
        </w:tc>
        <w:tc>
          <w:tcPr>
            <w:tcW w:w="700" w:type="dxa"/>
            <w:tcBorders>
              <w:top w:val="nil"/>
              <w:left w:val="nil"/>
              <w:bottom w:val="nil"/>
              <w:right w:val="nil"/>
            </w:tcBorders>
            <w:shd w:val="clear" w:color="auto" w:fill="auto"/>
            <w:noWrap/>
            <w:vAlign w:val="center"/>
            <w:hideMark/>
          </w:tcPr>
          <w:p w14:paraId="26251CC6"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7</w:t>
            </w:r>
          </w:p>
        </w:tc>
        <w:tc>
          <w:tcPr>
            <w:tcW w:w="700" w:type="dxa"/>
            <w:tcBorders>
              <w:top w:val="nil"/>
              <w:left w:val="nil"/>
              <w:bottom w:val="nil"/>
              <w:right w:val="nil"/>
            </w:tcBorders>
            <w:shd w:val="clear" w:color="auto" w:fill="auto"/>
            <w:noWrap/>
            <w:vAlign w:val="center"/>
            <w:hideMark/>
          </w:tcPr>
          <w:p w14:paraId="78CD91D9"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9</w:t>
            </w:r>
          </w:p>
        </w:tc>
        <w:tc>
          <w:tcPr>
            <w:tcW w:w="700" w:type="dxa"/>
            <w:tcBorders>
              <w:top w:val="nil"/>
              <w:left w:val="nil"/>
              <w:bottom w:val="nil"/>
              <w:right w:val="nil"/>
            </w:tcBorders>
            <w:shd w:val="clear" w:color="auto" w:fill="auto"/>
            <w:noWrap/>
            <w:vAlign w:val="center"/>
            <w:hideMark/>
          </w:tcPr>
          <w:p w14:paraId="01611B56"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6</w:t>
            </w:r>
          </w:p>
        </w:tc>
        <w:tc>
          <w:tcPr>
            <w:tcW w:w="700" w:type="dxa"/>
            <w:tcBorders>
              <w:top w:val="nil"/>
              <w:left w:val="nil"/>
              <w:bottom w:val="nil"/>
              <w:right w:val="nil"/>
            </w:tcBorders>
            <w:shd w:val="clear" w:color="auto" w:fill="auto"/>
            <w:noWrap/>
            <w:vAlign w:val="center"/>
            <w:hideMark/>
          </w:tcPr>
          <w:p w14:paraId="05625C22"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w:t>
            </w:r>
          </w:p>
        </w:tc>
        <w:tc>
          <w:tcPr>
            <w:tcW w:w="700" w:type="dxa"/>
            <w:tcBorders>
              <w:top w:val="nil"/>
              <w:left w:val="nil"/>
              <w:bottom w:val="nil"/>
              <w:right w:val="nil"/>
            </w:tcBorders>
            <w:shd w:val="clear" w:color="auto" w:fill="auto"/>
            <w:noWrap/>
            <w:vAlign w:val="center"/>
            <w:hideMark/>
          </w:tcPr>
          <w:p w14:paraId="29752612"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w:t>
            </w:r>
          </w:p>
        </w:tc>
        <w:tc>
          <w:tcPr>
            <w:tcW w:w="700" w:type="dxa"/>
            <w:tcBorders>
              <w:top w:val="nil"/>
              <w:left w:val="nil"/>
              <w:bottom w:val="nil"/>
              <w:right w:val="nil"/>
            </w:tcBorders>
            <w:shd w:val="clear" w:color="auto" w:fill="auto"/>
            <w:noWrap/>
            <w:vAlign w:val="center"/>
            <w:hideMark/>
          </w:tcPr>
          <w:p w14:paraId="0E425BD6"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w:t>
            </w:r>
          </w:p>
        </w:tc>
        <w:tc>
          <w:tcPr>
            <w:tcW w:w="700" w:type="dxa"/>
            <w:tcBorders>
              <w:top w:val="nil"/>
              <w:left w:val="nil"/>
              <w:bottom w:val="nil"/>
              <w:right w:val="nil"/>
            </w:tcBorders>
            <w:shd w:val="clear" w:color="auto" w:fill="auto"/>
            <w:noWrap/>
            <w:vAlign w:val="center"/>
            <w:hideMark/>
          </w:tcPr>
          <w:p w14:paraId="22C9EC62"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bottom w:val="nil"/>
              <w:right w:val="nil"/>
            </w:tcBorders>
            <w:shd w:val="clear" w:color="auto" w:fill="auto"/>
            <w:noWrap/>
            <w:vAlign w:val="center"/>
            <w:hideMark/>
          </w:tcPr>
          <w:p w14:paraId="377E404F"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7</w:t>
            </w:r>
          </w:p>
        </w:tc>
        <w:tc>
          <w:tcPr>
            <w:tcW w:w="700" w:type="dxa"/>
            <w:tcBorders>
              <w:top w:val="nil"/>
              <w:left w:val="nil"/>
              <w:bottom w:val="nil"/>
              <w:right w:val="nil"/>
            </w:tcBorders>
            <w:shd w:val="clear" w:color="auto" w:fill="auto"/>
            <w:noWrap/>
            <w:vAlign w:val="center"/>
            <w:hideMark/>
          </w:tcPr>
          <w:p w14:paraId="0175EA96"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bottom w:val="nil"/>
              <w:right w:val="nil"/>
            </w:tcBorders>
            <w:shd w:val="clear" w:color="auto" w:fill="auto"/>
            <w:noWrap/>
            <w:vAlign w:val="center"/>
            <w:hideMark/>
          </w:tcPr>
          <w:p w14:paraId="23B52A0D"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5</w:t>
            </w:r>
          </w:p>
        </w:tc>
        <w:tc>
          <w:tcPr>
            <w:tcW w:w="700" w:type="dxa"/>
            <w:tcBorders>
              <w:top w:val="nil"/>
              <w:left w:val="nil"/>
              <w:bottom w:val="nil"/>
              <w:right w:val="nil"/>
            </w:tcBorders>
            <w:shd w:val="clear" w:color="auto" w:fill="auto"/>
            <w:noWrap/>
            <w:vAlign w:val="center"/>
            <w:hideMark/>
          </w:tcPr>
          <w:p w14:paraId="781AF8FB"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bottom w:val="nil"/>
              <w:right w:val="nil"/>
            </w:tcBorders>
            <w:shd w:val="clear" w:color="auto" w:fill="auto"/>
            <w:noWrap/>
            <w:vAlign w:val="center"/>
            <w:hideMark/>
          </w:tcPr>
          <w:p w14:paraId="3DCEACBB"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center"/>
            <w:hideMark/>
          </w:tcPr>
          <w:p w14:paraId="3CC5679D"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11</w:t>
            </w:r>
          </w:p>
        </w:tc>
        <w:tc>
          <w:tcPr>
            <w:tcW w:w="700" w:type="dxa"/>
            <w:tcBorders>
              <w:top w:val="nil"/>
              <w:left w:val="nil"/>
              <w:bottom w:val="nil"/>
              <w:right w:val="nil"/>
            </w:tcBorders>
            <w:shd w:val="clear" w:color="auto" w:fill="auto"/>
            <w:noWrap/>
            <w:vAlign w:val="center"/>
            <w:hideMark/>
          </w:tcPr>
          <w:p w14:paraId="7C24B82A"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w:t>
            </w:r>
          </w:p>
        </w:tc>
        <w:tc>
          <w:tcPr>
            <w:tcW w:w="700" w:type="dxa"/>
            <w:tcBorders>
              <w:top w:val="nil"/>
              <w:left w:val="nil"/>
              <w:bottom w:val="nil"/>
              <w:right w:val="nil"/>
            </w:tcBorders>
            <w:shd w:val="clear" w:color="auto" w:fill="auto"/>
            <w:noWrap/>
            <w:vAlign w:val="center"/>
            <w:hideMark/>
          </w:tcPr>
          <w:p w14:paraId="27BA2410"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bottom w:val="nil"/>
              <w:right w:val="nil"/>
            </w:tcBorders>
            <w:shd w:val="clear" w:color="auto" w:fill="auto"/>
            <w:noWrap/>
            <w:vAlign w:val="center"/>
            <w:hideMark/>
          </w:tcPr>
          <w:p w14:paraId="2B063695"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w:t>
            </w:r>
          </w:p>
        </w:tc>
        <w:tc>
          <w:tcPr>
            <w:tcW w:w="700" w:type="dxa"/>
            <w:tcBorders>
              <w:top w:val="nil"/>
              <w:left w:val="nil"/>
              <w:bottom w:val="nil"/>
              <w:right w:val="nil"/>
            </w:tcBorders>
            <w:shd w:val="clear" w:color="auto" w:fill="auto"/>
            <w:noWrap/>
            <w:vAlign w:val="center"/>
            <w:hideMark/>
          </w:tcPr>
          <w:p w14:paraId="2868B185"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bottom w:val="nil"/>
              <w:right w:val="nil"/>
            </w:tcBorders>
            <w:shd w:val="clear" w:color="auto" w:fill="auto"/>
            <w:noWrap/>
            <w:vAlign w:val="center"/>
            <w:hideMark/>
          </w:tcPr>
          <w:p w14:paraId="536F086B"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bottom w:val="nil"/>
              <w:right w:val="nil"/>
            </w:tcBorders>
            <w:shd w:val="clear" w:color="auto" w:fill="auto"/>
            <w:noWrap/>
            <w:vAlign w:val="center"/>
            <w:hideMark/>
          </w:tcPr>
          <w:p w14:paraId="65A2C73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w:t>
            </w:r>
          </w:p>
        </w:tc>
        <w:tc>
          <w:tcPr>
            <w:tcW w:w="700" w:type="dxa"/>
            <w:tcBorders>
              <w:top w:val="nil"/>
              <w:left w:val="nil"/>
              <w:bottom w:val="nil"/>
              <w:right w:val="nil"/>
            </w:tcBorders>
            <w:shd w:val="clear" w:color="auto" w:fill="auto"/>
            <w:noWrap/>
            <w:vAlign w:val="center"/>
            <w:hideMark/>
          </w:tcPr>
          <w:p w14:paraId="30C05FDE"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bottom w:val="nil"/>
              <w:right w:val="nil"/>
            </w:tcBorders>
            <w:shd w:val="clear" w:color="auto" w:fill="auto"/>
            <w:noWrap/>
            <w:vAlign w:val="center"/>
            <w:hideMark/>
          </w:tcPr>
          <w:p w14:paraId="5F2AA2E9"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center"/>
            <w:hideMark/>
          </w:tcPr>
          <w:p w14:paraId="01B8A7A1"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center"/>
            <w:hideMark/>
          </w:tcPr>
          <w:p w14:paraId="24037CF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5</w:t>
            </w:r>
          </w:p>
        </w:tc>
      </w:tr>
      <w:tr w:rsidR="002F4427" w:rsidRPr="002F4427" w14:paraId="4D5244AA" w14:textId="77777777" w:rsidTr="002F4427">
        <w:trPr>
          <w:trHeight w:val="290"/>
        </w:trPr>
        <w:tc>
          <w:tcPr>
            <w:tcW w:w="960" w:type="dxa"/>
            <w:tcBorders>
              <w:top w:val="nil"/>
              <w:left w:val="nil"/>
              <w:right w:val="nil"/>
            </w:tcBorders>
            <w:shd w:val="clear" w:color="auto" w:fill="auto"/>
            <w:noWrap/>
            <w:vAlign w:val="bottom"/>
            <w:hideMark/>
          </w:tcPr>
          <w:p w14:paraId="1D2B83C4" w14:textId="77777777" w:rsidR="002F4427" w:rsidRPr="002F4427" w:rsidRDefault="002F4427" w:rsidP="002F4427">
            <w:pPr>
              <w:spacing w:after="0" w:line="240" w:lineRule="auto"/>
              <w:rPr>
                <w:rFonts w:ascii="Calibri" w:eastAsia="Times New Roman" w:hAnsi="Calibri" w:cs="Calibri"/>
                <w:b/>
                <w:bCs/>
                <w:color w:val="000000"/>
              </w:rPr>
            </w:pPr>
            <w:r w:rsidRPr="002F4427">
              <w:rPr>
                <w:rFonts w:ascii="Calibri" w:eastAsia="Times New Roman" w:hAnsi="Calibri" w:cs="Calibri"/>
                <w:b/>
                <w:bCs/>
                <w:color w:val="000000"/>
              </w:rPr>
              <w:t>12-17</w:t>
            </w:r>
          </w:p>
        </w:tc>
        <w:tc>
          <w:tcPr>
            <w:tcW w:w="700" w:type="dxa"/>
            <w:tcBorders>
              <w:top w:val="nil"/>
              <w:left w:val="nil"/>
              <w:right w:val="nil"/>
            </w:tcBorders>
            <w:shd w:val="clear" w:color="auto" w:fill="auto"/>
            <w:noWrap/>
            <w:vAlign w:val="center"/>
            <w:hideMark/>
          </w:tcPr>
          <w:p w14:paraId="296AB140" w14:textId="77777777" w:rsidR="002F4427" w:rsidRPr="002F4427" w:rsidRDefault="002F4427" w:rsidP="002F4427">
            <w:pPr>
              <w:spacing w:after="0" w:line="240" w:lineRule="auto"/>
              <w:jc w:val="center"/>
              <w:rPr>
                <w:rFonts w:ascii="Calibri" w:eastAsia="Times New Roman" w:hAnsi="Calibri" w:cs="Calibri"/>
                <w:i/>
                <w:iCs/>
                <w:color w:val="000000"/>
              </w:rPr>
            </w:pPr>
            <w:r w:rsidRPr="002F4427">
              <w:rPr>
                <w:rFonts w:ascii="Calibri" w:eastAsia="Times New Roman" w:hAnsi="Calibri" w:cs="Calibri"/>
                <w:i/>
                <w:iCs/>
                <w:color w:val="000000"/>
              </w:rPr>
              <w:t>84</w:t>
            </w:r>
          </w:p>
        </w:tc>
        <w:tc>
          <w:tcPr>
            <w:tcW w:w="700" w:type="dxa"/>
            <w:tcBorders>
              <w:top w:val="nil"/>
              <w:left w:val="nil"/>
              <w:right w:val="nil"/>
            </w:tcBorders>
            <w:shd w:val="clear" w:color="auto" w:fill="auto"/>
            <w:noWrap/>
            <w:vAlign w:val="center"/>
            <w:hideMark/>
          </w:tcPr>
          <w:p w14:paraId="7D1E9CD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21</w:t>
            </w:r>
          </w:p>
        </w:tc>
        <w:tc>
          <w:tcPr>
            <w:tcW w:w="700" w:type="dxa"/>
            <w:tcBorders>
              <w:top w:val="nil"/>
              <w:left w:val="nil"/>
              <w:right w:val="nil"/>
            </w:tcBorders>
            <w:shd w:val="clear" w:color="auto" w:fill="auto"/>
            <w:noWrap/>
            <w:vAlign w:val="center"/>
            <w:hideMark/>
          </w:tcPr>
          <w:p w14:paraId="1A730373"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13</w:t>
            </w:r>
          </w:p>
        </w:tc>
        <w:tc>
          <w:tcPr>
            <w:tcW w:w="700" w:type="dxa"/>
            <w:tcBorders>
              <w:top w:val="nil"/>
              <w:left w:val="nil"/>
              <w:right w:val="nil"/>
            </w:tcBorders>
            <w:shd w:val="clear" w:color="auto" w:fill="auto"/>
            <w:noWrap/>
            <w:vAlign w:val="center"/>
            <w:hideMark/>
          </w:tcPr>
          <w:p w14:paraId="495820A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7</w:t>
            </w:r>
          </w:p>
        </w:tc>
        <w:tc>
          <w:tcPr>
            <w:tcW w:w="700" w:type="dxa"/>
            <w:tcBorders>
              <w:top w:val="nil"/>
              <w:left w:val="nil"/>
              <w:right w:val="nil"/>
            </w:tcBorders>
            <w:shd w:val="clear" w:color="auto" w:fill="auto"/>
            <w:noWrap/>
            <w:vAlign w:val="center"/>
            <w:hideMark/>
          </w:tcPr>
          <w:p w14:paraId="54E88FC3"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w:t>
            </w:r>
          </w:p>
        </w:tc>
        <w:tc>
          <w:tcPr>
            <w:tcW w:w="700" w:type="dxa"/>
            <w:tcBorders>
              <w:top w:val="nil"/>
              <w:left w:val="nil"/>
              <w:right w:val="nil"/>
            </w:tcBorders>
            <w:shd w:val="clear" w:color="auto" w:fill="auto"/>
            <w:noWrap/>
            <w:vAlign w:val="center"/>
            <w:hideMark/>
          </w:tcPr>
          <w:p w14:paraId="78E00C6B"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8</w:t>
            </w:r>
          </w:p>
        </w:tc>
        <w:tc>
          <w:tcPr>
            <w:tcW w:w="700" w:type="dxa"/>
            <w:tcBorders>
              <w:top w:val="nil"/>
              <w:left w:val="nil"/>
              <w:right w:val="nil"/>
            </w:tcBorders>
            <w:shd w:val="clear" w:color="auto" w:fill="auto"/>
            <w:noWrap/>
            <w:vAlign w:val="center"/>
            <w:hideMark/>
          </w:tcPr>
          <w:p w14:paraId="46496A3E"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w:t>
            </w:r>
          </w:p>
        </w:tc>
        <w:tc>
          <w:tcPr>
            <w:tcW w:w="700" w:type="dxa"/>
            <w:tcBorders>
              <w:top w:val="nil"/>
              <w:left w:val="nil"/>
              <w:right w:val="nil"/>
            </w:tcBorders>
            <w:shd w:val="clear" w:color="auto" w:fill="auto"/>
            <w:noWrap/>
            <w:vAlign w:val="center"/>
            <w:hideMark/>
          </w:tcPr>
          <w:p w14:paraId="097DB2A8"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w:t>
            </w:r>
          </w:p>
        </w:tc>
        <w:tc>
          <w:tcPr>
            <w:tcW w:w="700" w:type="dxa"/>
            <w:tcBorders>
              <w:top w:val="nil"/>
              <w:left w:val="nil"/>
              <w:right w:val="nil"/>
            </w:tcBorders>
            <w:shd w:val="clear" w:color="auto" w:fill="auto"/>
            <w:noWrap/>
            <w:vAlign w:val="center"/>
            <w:hideMark/>
          </w:tcPr>
          <w:p w14:paraId="363B7A4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w:t>
            </w:r>
          </w:p>
        </w:tc>
        <w:tc>
          <w:tcPr>
            <w:tcW w:w="700" w:type="dxa"/>
            <w:tcBorders>
              <w:top w:val="nil"/>
              <w:left w:val="nil"/>
              <w:right w:val="nil"/>
            </w:tcBorders>
            <w:shd w:val="clear" w:color="auto" w:fill="auto"/>
            <w:noWrap/>
            <w:vAlign w:val="center"/>
            <w:hideMark/>
          </w:tcPr>
          <w:p w14:paraId="22CDAAF7"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right w:val="nil"/>
            </w:tcBorders>
            <w:shd w:val="clear" w:color="auto" w:fill="auto"/>
            <w:noWrap/>
            <w:vAlign w:val="center"/>
            <w:hideMark/>
          </w:tcPr>
          <w:p w14:paraId="472484AC"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8</w:t>
            </w:r>
          </w:p>
        </w:tc>
        <w:tc>
          <w:tcPr>
            <w:tcW w:w="700" w:type="dxa"/>
            <w:tcBorders>
              <w:top w:val="nil"/>
              <w:left w:val="nil"/>
              <w:right w:val="nil"/>
            </w:tcBorders>
            <w:shd w:val="clear" w:color="auto" w:fill="auto"/>
            <w:noWrap/>
            <w:vAlign w:val="center"/>
            <w:hideMark/>
          </w:tcPr>
          <w:p w14:paraId="5F028423"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right w:val="nil"/>
            </w:tcBorders>
            <w:shd w:val="clear" w:color="auto" w:fill="auto"/>
            <w:noWrap/>
            <w:vAlign w:val="center"/>
            <w:hideMark/>
          </w:tcPr>
          <w:p w14:paraId="7E9421C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right w:val="nil"/>
            </w:tcBorders>
            <w:shd w:val="clear" w:color="auto" w:fill="auto"/>
            <w:noWrap/>
            <w:vAlign w:val="center"/>
            <w:hideMark/>
          </w:tcPr>
          <w:p w14:paraId="13DFF0A9"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right w:val="nil"/>
            </w:tcBorders>
            <w:shd w:val="clear" w:color="auto" w:fill="auto"/>
            <w:noWrap/>
            <w:vAlign w:val="center"/>
            <w:hideMark/>
          </w:tcPr>
          <w:p w14:paraId="11204D80"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nil"/>
              <w:left w:val="nil"/>
              <w:right w:val="nil"/>
            </w:tcBorders>
            <w:shd w:val="clear" w:color="auto" w:fill="auto"/>
            <w:noWrap/>
            <w:vAlign w:val="center"/>
            <w:hideMark/>
          </w:tcPr>
          <w:p w14:paraId="1F49F3A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w:t>
            </w:r>
          </w:p>
        </w:tc>
        <w:tc>
          <w:tcPr>
            <w:tcW w:w="700" w:type="dxa"/>
            <w:tcBorders>
              <w:top w:val="nil"/>
              <w:left w:val="nil"/>
              <w:right w:val="nil"/>
            </w:tcBorders>
            <w:shd w:val="clear" w:color="auto" w:fill="auto"/>
            <w:noWrap/>
            <w:vAlign w:val="center"/>
            <w:hideMark/>
          </w:tcPr>
          <w:p w14:paraId="73142FF1"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right w:val="nil"/>
            </w:tcBorders>
            <w:shd w:val="clear" w:color="auto" w:fill="auto"/>
            <w:noWrap/>
            <w:vAlign w:val="center"/>
            <w:hideMark/>
          </w:tcPr>
          <w:p w14:paraId="6880233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right w:val="nil"/>
            </w:tcBorders>
            <w:shd w:val="clear" w:color="auto" w:fill="auto"/>
            <w:noWrap/>
            <w:vAlign w:val="center"/>
            <w:hideMark/>
          </w:tcPr>
          <w:p w14:paraId="16D2E559"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w:t>
            </w:r>
          </w:p>
        </w:tc>
        <w:tc>
          <w:tcPr>
            <w:tcW w:w="700" w:type="dxa"/>
            <w:tcBorders>
              <w:top w:val="nil"/>
              <w:left w:val="nil"/>
              <w:right w:val="nil"/>
            </w:tcBorders>
            <w:shd w:val="clear" w:color="auto" w:fill="auto"/>
            <w:noWrap/>
            <w:vAlign w:val="center"/>
            <w:hideMark/>
          </w:tcPr>
          <w:p w14:paraId="33B532F1"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right w:val="nil"/>
            </w:tcBorders>
            <w:shd w:val="clear" w:color="auto" w:fill="auto"/>
            <w:noWrap/>
            <w:vAlign w:val="center"/>
            <w:hideMark/>
          </w:tcPr>
          <w:p w14:paraId="49701673"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nil"/>
              <w:left w:val="nil"/>
              <w:right w:val="nil"/>
            </w:tcBorders>
            <w:shd w:val="clear" w:color="auto" w:fill="auto"/>
            <w:noWrap/>
            <w:vAlign w:val="center"/>
            <w:hideMark/>
          </w:tcPr>
          <w:p w14:paraId="6C1A1DE1"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nil"/>
              <w:left w:val="nil"/>
              <w:right w:val="nil"/>
            </w:tcBorders>
            <w:shd w:val="clear" w:color="auto" w:fill="auto"/>
            <w:noWrap/>
            <w:vAlign w:val="center"/>
            <w:hideMark/>
          </w:tcPr>
          <w:p w14:paraId="40F9345A"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right w:val="nil"/>
            </w:tcBorders>
            <w:shd w:val="clear" w:color="auto" w:fill="auto"/>
            <w:noWrap/>
            <w:vAlign w:val="center"/>
            <w:hideMark/>
          </w:tcPr>
          <w:p w14:paraId="335A4507"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right w:val="nil"/>
            </w:tcBorders>
            <w:shd w:val="clear" w:color="auto" w:fill="auto"/>
            <w:noWrap/>
            <w:vAlign w:val="center"/>
            <w:hideMark/>
          </w:tcPr>
          <w:p w14:paraId="2916D956"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nil"/>
              <w:left w:val="nil"/>
              <w:right w:val="nil"/>
            </w:tcBorders>
            <w:shd w:val="clear" w:color="auto" w:fill="auto"/>
            <w:noWrap/>
            <w:vAlign w:val="center"/>
            <w:hideMark/>
          </w:tcPr>
          <w:p w14:paraId="6C9C902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w:t>
            </w:r>
          </w:p>
        </w:tc>
      </w:tr>
      <w:tr w:rsidR="002F4427" w:rsidRPr="002F4427" w14:paraId="510E9BF0" w14:textId="77777777" w:rsidTr="002F4427">
        <w:trPr>
          <w:trHeight w:val="290"/>
        </w:trPr>
        <w:tc>
          <w:tcPr>
            <w:tcW w:w="960" w:type="dxa"/>
            <w:tcBorders>
              <w:top w:val="nil"/>
              <w:left w:val="nil"/>
              <w:bottom w:val="single" w:sz="4" w:space="0" w:color="auto"/>
              <w:right w:val="nil"/>
            </w:tcBorders>
            <w:shd w:val="clear" w:color="auto" w:fill="auto"/>
            <w:noWrap/>
            <w:vAlign w:val="bottom"/>
            <w:hideMark/>
          </w:tcPr>
          <w:p w14:paraId="6820FF34" w14:textId="77777777" w:rsidR="002F4427" w:rsidRPr="002F4427" w:rsidRDefault="002F4427" w:rsidP="002F4427">
            <w:pPr>
              <w:spacing w:after="0" w:line="240" w:lineRule="auto"/>
              <w:rPr>
                <w:rFonts w:ascii="Calibri" w:eastAsia="Times New Roman" w:hAnsi="Calibri" w:cs="Calibri"/>
                <w:b/>
                <w:bCs/>
                <w:color w:val="000000"/>
              </w:rPr>
            </w:pPr>
            <w:r w:rsidRPr="002F4427">
              <w:rPr>
                <w:rFonts w:ascii="Calibri" w:eastAsia="Times New Roman" w:hAnsi="Calibri" w:cs="Calibri"/>
                <w:b/>
                <w:bCs/>
                <w:color w:val="000000"/>
              </w:rPr>
              <w:t>18-64</w:t>
            </w:r>
          </w:p>
        </w:tc>
        <w:tc>
          <w:tcPr>
            <w:tcW w:w="700" w:type="dxa"/>
            <w:tcBorders>
              <w:top w:val="nil"/>
              <w:left w:val="nil"/>
              <w:bottom w:val="single" w:sz="4" w:space="0" w:color="auto"/>
              <w:right w:val="nil"/>
            </w:tcBorders>
            <w:shd w:val="clear" w:color="auto" w:fill="auto"/>
            <w:noWrap/>
            <w:vAlign w:val="center"/>
            <w:hideMark/>
          </w:tcPr>
          <w:p w14:paraId="54EB58BD" w14:textId="77777777" w:rsidR="002F4427" w:rsidRPr="002F4427" w:rsidRDefault="002F4427" w:rsidP="002F4427">
            <w:pPr>
              <w:spacing w:after="0" w:line="240" w:lineRule="auto"/>
              <w:jc w:val="center"/>
              <w:rPr>
                <w:rFonts w:ascii="Calibri" w:eastAsia="Times New Roman" w:hAnsi="Calibri" w:cs="Calibri"/>
                <w:i/>
                <w:iCs/>
                <w:color w:val="000000"/>
              </w:rPr>
            </w:pPr>
            <w:r w:rsidRPr="002F4427">
              <w:rPr>
                <w:rFonts w:ascii="Calibri" w:eastAsia="Times New Roman" w:hAnsi="Calibri" w:cs="Calibri"/>
                <w:i/>
                <w:iCs/>
                <w:color w:val="000000"/>
              </w:rPr>
              <w:t>360</w:t>
            </w:r>
          </w:p>
        </w:tc>
        <w:tc>
          <w:tcPr>
            <w:tcW w:w="700" w:type="dxa"/>
            <w:tcBorders>
              <w:top w:val="nil"/>
              <w:left w:val="nil"/>
              <w:bottom w:val="single" w:sz="4" w:space="0" w:color="auto"/>
              <w:right w:val="nil"/>
            </w:tcBorders>
            <w:shd w:val="clear" w:color="auto" w:fill="auto"/>
            <w:noWrap/>
            <w:vAlign w:val="center"/>
            <w:hideMark/>
          </w:tcPr>
          <w:p w14:paraId="63B8253F"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86</w:t>
            </w:r>
          </w:p>
        </w:tc>
        <w:tc>
          <w:tcPr>
            <w:tcW w:w="700" w:type="dxa"/>
            <w:tcBorders>
              <w:top w:val="nil"/>
              <w:left w:val="nil"/>
              <w:bottom w:val="single" w:sz="4" w:space="0" w:color="auto"/>
              <w:right w:val="nil"/>
            </w:tcBorders>
            <w:shd w:val="clear" w:color="auto" w:fill="auto"/>
            <w:noWrap/>
            <w:vAlign w:val="center"/>
            <w:hideMark/>
          </w:tcPr>
          <w:p w14:paraId="2A79D2E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48</w:t>
            </w:r>
          </w:p>
        </w:tc>
        <w:tc>
          <w:tcPr>
            <w:tcW w:w="700" w:type="dxa"/>
            <w:tcBorders>
              <w:top w:val="nil"/>
              <w:left w:val="nil"/>
              <w:bottom w:val="single" w:sz="4" w:space="0" w:color="auto"/>
              <w:right w:val="nil"/>
            </w:tcBorders>
            <w:shd w:val="clear" w:color="auto" w:fill="auto"/>
            <w:noWrap/>
            <w:vAlign w:val="center"/>
            <w:hideMark/>
          </w:tcPr>
          <w:p w14:paraId="1E9BD848"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50</w:t>
            </w:r>
          </w:p>
        </w:tc>
        <w:tc>
          <w:tcPr>
            <w:tcW w:w="700" w:type="dxa"/>
            <w:tcBorders>
              <w:top w:val="nil"/>
              <w:left w:val="nil"/>
              <w:bottom w:val="single" w:sz="4" w:space="0" w:color="auto"/>
              <w:right w:val="nil"/>
            </w:tcBorders>
            <w:shd w:val="clear" w:color="auto" w:fill="auto"/>
            <w:noWrap/>
            <w:vAlign w:val="center"/>
            <w:hideMark/>
          </w:tcPr>
          <w:p w14:paraId="5BC5142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27</w:t>
            </w:r>
          </w:p>
        </w:tc>
        <w:tc>
          <w:tcPr>
            <w:tcW w:w="700" w:type="dxa"/>
            <w:tcBorders>
              <w:top w:val="nil"/>
              <w:left w:val="nil"/>
              <w:bottom w:val="single" w:sz="4" w:space="0" w:color="auto"/>
              <w:right w:val="nil"/>
            </w:tcBorders>
            <w:shd w:val="clear" w:color="auto" w:fill="auto"/>
            <w:noWrap/>
            <w:vAlign w:val="center"/>
            <w:hideMark/>
          </w:tcPr>
          <w:p w14:paraId="32A204E4"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22</w:t>
            </w:r>
          </w:p>
        </w:tc>
        <w:tc>
          <w:tcPr>
            <w:tcW w:w="700" w:type="dxa"/>
            <w:tcBorders>
              <w:top w:val="nil"/>
              <w:left w:val="nil"/>
              <w:bottom w:val="single" w:sz="4" w:space="0" w:color="auto"/>
              <w:right w:val="nil"/>
            </w:tcBorders>
            <w:shd w:val="clear" w:color="auto" w:fill="auto"/>
            <w:noWrap/>
            <w:vAlign w:val="center"/>
            <w:hideMark/>
          </w:tcPr>
          <w:p w14:paraId="0CA25C93"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11</w:t>
            </w:r>
          </w:p>
        </w:tc>
        <w:tc>
          <w:tcPr>
            <w:tcW w:w="700" w:type="dxa"/>
            <w:tcBorders>
              <w:top w:val="nil"/>
              <w:left w:val="nil"/>
              <w:bottom w:val="single" w:sz="4" w:space="0" w:color="auto"/>
              <w:right w:val="nil"/>
            </w:tcBorders>
            <w:shd w:val="clear" w:color="auto" w:fill="auto"/>
            <w:noWrap/>
            <w:vAlign w:val="center"/>
            <w:hideMark/>
          </w:tcPr>
          <w:p w14:paraId="4BC61A4A"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5</w:t>
            </w:r>
          </w:p>
        </w:tc>
        <w:tc>
          <w:tcPr>
            <w:tcW w:w="700" w:type="dxa"/>
            <w:tcBorders>
              <w:top w:val="nil"/>
              <w:left w:val="nil"/>
              <w:bottom w:val="single" w:sz="4" w:space="0" w:color="auto"/>
              <w:right w:val="nil"/>
            </w:tcBorders>
            <w:shd w:val="clear" w:color="auto" w:fill="auto"/>
            <w:noWrap/>
            <w:vAlign w:val="center"/>
            <w:hideMark/>
          </w:tcPr>
          <w:p w14:paraId="09EB6D24"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14</w:t>
            </w:r>
          </w:p>
        </w:tc>
        <w:tc>
          <w:tcPr>
            <w:tcW w:w="700" w:type="dxa"/>
            <w:tcBorders>
              <w:top w:val="nil"/>
              <w:left w:val="nil"/>
              <w:bottom w:val="single" w:sz="4" w:space="0" w:color="auto"/>
              <w:right w:val="nil"/>
            </w:tcBorders>
            <w:shd w:val="clear" w:color="auto" w:fill="auto"/>
            <w:noWrap/>
            <w:vAlign w:val="center"/>
            <w:hideMark/>
          </w:tcPr>
          <w:p w14:paraId="27C6B2E8"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bottom w:val="single" w:sz="4" w:space="0" w:color="auto"/>
              <w:right w:val="nil"/>
            </w:tcBorders>
            <w:shd w:val="clear" w:color="auto" w:fill="auto"/>
            <w:noWrap/>
            <w:vAlign w:val="center"/>
            <w:hideMark/>
          </w:tcPr>
          <w:p w14:paraId="0CCA23EF"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18</w:t>
            </w:r>
          </w:p>
        </w:tc>
        <w:tc>
          <w:tcPr>
            <w:tcW w:w="700" w:type="dxa"/>
            <w:tcBorders>
              <w:top w:val="nil"/>
              <w:left w:val="nil"/>
              <w:bottom w:val="single" w:sz="4" w:space="0" w:color="auto"/>
              <w:right w:val="nil"/>
            </w:tcBorders>
            <w:shd w:val="clear" w:color="auto" w:fill="auto"/>
            <w:noWrap/>
            <w:vAlign w:val="center"/>
            <w:hideMark/>
          </w:tcPr>
          <w:p w14:paraId="41D13D66"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w:t>
            </w:r>
          </w:p>
        </w:tc>
        <w:tc>
          <w:tcPr>
            <w:tcW w:w="700" w:type="dxa"/>
            <w:tcBorders>
              <w:top w:val="nil"/>
              <w:left w:val="nil"/>
              <w:bottom w:val="single" w:sz="4" w:space="0" w:color="auto"/>
              <w:right w:val="nil"/>
            </w:tcBorders>
            <w:shd w:val="clear" w:color="auto" w:fill="auto"/>
            <w:noWrap/>
            <w:vAlign w:val="center"/>
            <w:hideMark/>
          </w:tcPr>
          <w:p w14:paraId="132D4707"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15</w:t>
            </w:r>
          </w:p>
        </w:tc>
        <w:tc>
          <w:tcPr>
            <w:tcW w:w="700" w:type="dxa"/>
            <w:tcBorders>
              <w:top w:val="nil"/>
              <w:left w:val="nil"/>
              <w:bottom w:val="single" w:sz="4" w:space="0" w:color="auto"/>
              <w:right w:val="nil"/>
            </w:tcBorders>
            <w:shd w:val="clear" w:color="auto" w:fill="auto"/>
            <w:noWrap/>
            <w:vAlign w:val="center"/>
            <w:hideMark/>
          </w:tcPr>
          <w:p w14:paraId="4B0A8A45"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bottom w:val="single" w:sz="4" w:space="0" w:color="auto"/>
              <w:right w:val="nil"/>
            </w:tcBorders>
            <w:shd w:val="clear" w:color="auto" w:fill="auto"/>
            <w:noWrap/>
            <w:vAlign w:val="center"/>
            <w:hideMark/>
          </w:tcPr>
          <w:p w14:paraId="6E6751C7"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bottom w:val="single" w:sz="4" w:space="0" w:color="auto"/>
              <w:right w:val="nil"/>
            </w:tcBorders>
            <w:shd w:val="clear" w:color="auto" w:fill="auto"/>
            <w:noWrap/>
            <w:vAlign w:val="center"/>
            <w:hideMark/>
          </w:tcPr>
          <w:p w14:paraId="0CB941E5"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10</w:t>
            </w:r>
          </w:p>
        </w:tc>
        <w:tc>
          <w:tcPr>
            <w:tcW w:w="700" w:type="dxa"/>
            <w:tcBorders>
              <w:top w:val="nil"/>
              <w:left w:val="nil"/>
              <w:bottom w:val="single" w:sz="4" w:space="0" w:color="auto"/>
              <w:right w:val="nil"/>
            </w:tcBorders>
            <w:shd w:val="clear" w:color="auto" w:fill="auto"/>
            <w:noWrap/>
            <w:vAlign w:val="center"/>
            <w:hideMark/>
          </w:tcPr>
          <w:p w14:paraId="3A21B8BF"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bottom w:val="single" w:sz="4" w:space="0" w:color="auto"/>
              <w:right w:val="nil"/>
            </w:tcBorders>
            <w:shd w:val="clear" w:color="auto" w:fill="auto"/>
            <w:noWrap/>
            <w:vAlign w:val="center"/>
            <w:hideMark/>
          </w:tcPr>
          <w:p w14:paraId="3AB946F6"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nil"/>
              <w:left w:val="nil"/>
              <w:bottom w:val="single" w:sz="4" w:space="0" w:color="auto"/>
              <w:right w:val="nil"/>
            </w:tcBorders>
            <w:shd w:val="clear" w:color="auto" w:fill="auto"/>
            <w:noWrap/>
            <w:vAlign w:val="center"/>
            <w:hideMark/>
          </w:tcPr>
          <w:p w14:paraId="70E42175"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15</w:t>
            </w:r>
          </w:p>
        </w:tc>
        <w:tc>
          <w:tcPr>
            <w:tcW w:w="700" w:type="dxa"/>
            <w:tcBorders>
              <w:top w:val="nil"/>
              <w:left w:val="nil"/>
              <w:bottom w:val="single" w:sz="4" w:space="0" w:color="auto"/>
              <w:right w:val="nil"/>
            </w:tcBorders>
            <w:shd w:val="clear" w:color="auto" w:fill="auto"/>
            <w:noWrap/>
            <w:vAlign w:val="center"/>
            <w:hideMark/>
          </w:tcPr>
          <w:p w14:paraId="7AE47A64"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bottom w:val="single" w:sz="4" w:space="0" w:color="auto"/>
              <w:right w:val="nil"/>
            </w:tcBorders>
            <w:shd w:val="clear" w:color="auto" w:fill="auto"/>
            <w:noWrap/>
            <w:vAlign w:val="center"/>
            <w:hideMark/>
          </w:tcPr>
          <w:p w14:paraId="2A3835F5"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bottom w:val="single" w:sz="4" w:space="0" w:color="auto"/>
              <w:right w:val="nil"/>
            </w:tcBorders>
            <w:shd w:val="clear" w:color="auto" w:fill="auto"/>
            <w:noWrap/>
            <w:vAlign w:val="center"/>
            <w:hideMark/>
          </w:tcPr>
          <w:p w14:paraId="497AB392"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7</w:t>
            </w:r>
          </w:p>
        </w:tc>
        <w:tc>
          <w:tcPr>
            <w:tcW w:w="700" w:type="dxa"/>
            <w:tcBorders>
              <w:top w:val="nil"/>
              <w:left w:val="nil"/>
              <w:bottom w:val="single" w:sz="4" w:space="0" w:color="auto"/>
              <w:right w:val="nil"/>
            </w:tcBorders>
            <w:shd w:val="clear" w:color="auto" w:fill="auto"/>
            <w:noWrap/>
            <w:vAlign w:val="center"/>
            <w:hideMark/>
          </w:tcPr>
          <w:p w14:paraId="0347D164"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bottom w:val="single" w:sz="4" w:space="0" w:color="auto"/>
              <w:right w:val="nil"/>
            </w:tcBorders>
            <w:shd w:val="clear" w:color="auto" w:fill="auto"/>
            <w:noWrap/>
            <w:vAlign w:val="center"/>
            <w:hideMark/>
          </w:tcPr>
          <w:p w14:paraId="7538ABA3"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w:t>
            </w:r>
          </w:p>
        </w:tc>
        <w:tc>
          <w:tcPr>
            <w:tcW w:w="700" w:type="dxa"/>
            <w:tcBorders>
              <w:top w:val="nil"/>
              <w:left w:val="nil"/>
              <w:bottom w:val="single" w:sz="4" w:space="0" w:color="auto"/>
              <w:right w:val="nil"/>
            </w:tcBorders>
            <w:shd w:val="clear" w:color="auto" w:fill="auto"/>
            <w:noWrap/>
            <w:vAlign w:val="center"/>
            <w:hideMark/>
          </w:tcPr>
          <w:p w14:paraId="1A1D82E8"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nil"/>
              <w:left w:val="nil"/>
              <w:bottom w:val="single" w:sz="4" w:space="0" w:color="auto"/>
              <w:right w:val="nil"/>
            </w:tcBorders>
            <w:shd w:val="clear" w:color="auto" w:fill="auto"/>
            <w:noWrap/>
            <w:vAlign w:val="center"/>
            <w:hideMark/>
          </w:tcPr>
          <w:p w14:paraId="7933BE0B"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15</w:t>
            </w:r>
          </w:p>
        </w:tc>
      </w:tr>
      <w:tr w:rsidR="002F4427" w:rsidRPr="002F4427" w14:paraId="5B472F30" w14:textId="77777777" w:rsidTr="002F4427">
        <w:trPr>
          <w:trHeight w:val="290"/>
        </w:trPr>
        <w:tc>
          <w:tcPr>
            <w:tcW w:w="960" w:type="dxa"/>
            <w:tcBorders>
              <w:top w:val="single" w:sz="4" w:space="0" w:color="auto"/>
              <w:left w:val="nil"/>
              <w:bottom w:val="nil"/>
              <w:right w:val="nil"/>
            </w:tcBorders>
            <w:shd w:val="clear" w:color="auto" w:fill="auto"/>
            <w:noWrap/>
            <w:vAlign w:val="bottom"/>
          </w:tcPr>
          <w:p w14:paraId="3E2487BA" w14:textId="77777777" w:rsidR="002F4427" w:rsidRPr="002F4427" w:rsidRDefault="002F4427" w:rsidP="002F4427">
            <w:pPr>
              <w:spacing w:after="0" w:line="240" w:lineRule="auto"/>
              <w:rPr>
                <w:rFonts w:ascii="Calibri" w:eastAsia="Times New Roman" w:hAnsi="Calibri" w:cs="Calibri"/>
                <w:b/>
                <w:bCs/>
                <w:color w:val="000000"/>
              </w:rPr>
            </w:pPr>
          </w:p>
        </w:tc>
        <w:tc>
          <w:tcPr>
            <w:tcW w:w="700" w:type="dxa"/>
            <w:tcBorders>
              <w:top w:val="single" w:sz="4" w:space="0" w:color="auto"/>
              <w:left w:val="nil"/>
              <w:bottom w:val="nil"/>
              <w:right w:val="nil"/>
            </w:tcBorders>
            <w:shd w:val="clear" w:color="auto" w:fill="auto"/>
            <w:noWrap/>
            <w:vAlign w:val="center"/>
          </w:tcPr>
          <w:p w14:paraId="1A77CC21"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00DED480"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7F8AE30D"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0E355E8A"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30789A0B"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1DBA5D88"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11A2F377"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3362D387"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7159BDD4"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1AD45B6A"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5FC3AC7A"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70BC9C49"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0EC47FCE"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2367A8E0"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5AC66533"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08254ED7"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1A4E4482"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47A6DDC2"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single" w:sz="4" w:space="0" w:color="auto"/>
              <w:left w:val="nil"/>
              <w:bottom w:val="nil"/>
              <w:right w:val="nil"/>
            </w:tcBorders>
            <w:shd w:val="clear" w:color="auto" w:fill="auto"/>
            <w:noWrap/>
            <w:vAlign w:val="center"/>
          </w:tcPr>
          <w:p w14:paraId="67962D99"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0760236C"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0E3B9BBD"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1FD2494D"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6152C5D2"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3F7BE1A1"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0E8BBD40"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21E7F8F9" w14:textId="77777777" w:rsidR="002F4427" w:rsidRPr="002F4427" w:rsidRDefault="002F4427" w:rsidP="002F4427">
            <w:pPr>
              <w:spacing w:after="0" w:line="240" w:lineRule="auto"/>
              <w:jc w:val="center"/>
              <w:rPr>
                <w:rFonts w:ascii="Calibri" w:eastAsia="Times New Roman" w:hAnsi="Calibri" w:cs="Calibri"/>
                <w:color w:val="000000"/>
              </w:rPr>
            </w:pPr>
          </w:p>
        </w:tc>
      </w:tr>
      <w:tr w:rsidR="00304037" w:rsidRPr="002F4427" w14:paraId="4C66E7D6" w14:textId="77777777" w:rsidTr="009500B2">
        <w:trPr>
          <w:trHeight w:val="290"/>
        </w:trPr>
        <w:tc>
          <w:tcPr>
            <w:tcW w:w="19160" w:type="dxa"/>
            <w:gridSpan w:val="27"/>
            <w:tcBorders>
              <w:top w:val="nil"/>
              <w:left w:val="nil"/>
              <w:bottom w:val="single" w:sz="4" w:space="0" w:color="auto"/>
              <w:right w:val="nil"/>
            </w:tcBorders>
            <w:shd w:val="clear" w:color="auto" w:fill="auto"/>
            <w:noWrap/>
            <w:vAlign w:val="bottom"/>
          </w:tcPr>
          <w:p w14:paraId="2D0FA62D" w14:textId="350A18B4" w:rsidR="00304037" w:rsidRPr="002F4427" w:rsidRDefault="00144B26" w:rsidP="00304037">
            <w:pPr>
              <w:spacing w:after="0" w:line="240" w:lineRule="auto"/>
              <w:rPr>
                <w:rFonts w:ascii="Calibri" w:eastAsia="Times New Roman" w:hAnsi="Calibri" w:cs="Calibri"/>
                <w:color w:val="000000"/>
              </w:rPr>
            </w:pPr>
            <w:r>
              <w:rPr>
                <w:rFonts w:ascii="Calibri" w:eastAsia="Times New Roman" w:hAnsi="Calibri" w:cs="Calibri"/>
                <w:b/>
                <w:bCs/>
                <w:color w:val="000000"/>
              </w:rPr>
              <w:t xml:space="preserve">Table A.4b: </w:t>
            </w:r>
            <w:r w:rsidR="00304037" w:rsidRPr="002F4427">
              <w:rPr>
                <w:rFonts w:ascii="Calibri" w:eastAsia="Times New Roman" w:hAnsi="Calibri" w:cs="Calibri"/>
                <w:b/>
                <w:bCs/>
                <w:color w:val="000000"/>
              </w:rPr>
              <w:t># Times swimming/month (%)</w:t>
            </w:r>
            <w:r w:rsidR="00304037">
              <w:rPr>
                <w:rFonts w:ascii="Calibri" w:eastAsia="Times New Roman" w:hAnsi="Calibri" w:cs="Calibri"/>
                <w:b/>
                <w:bCs/>
                <w:color w:val="000000"/>
              </w:rPr>
              <w:t xml:space="preserve"> </w:t>
            </w:r>
            <w:r w:rsidR="00304037" w:rsidRPr="00304037">
              <w:rPr>
                <w:rFonts w:ascii="Calibri" w:eastAsia="Times New Roman" w:hAnsi="Calibri" w:cs="Calibri"/>
                <w:color w:val="000000"/>
              </w:rPr>
              <w:t>(calculated)</w:t>
            </w:r>
          </w:p>
        </w:tc>
      </w:tr>
      <w:tr w:rsidR="002F4427" w:rsidRPr="002F4427" w14:paraId="7B9A7105" w14:textId="77777777" w:rsidTr="002F4427">
        <w:trPr>
          <w:trHeight w:val="290"/>
        </w:trPr>
        <w:tc>
          <w:tcPr>
            <w:tcW w:w="960" w:type="dxa"/>
            <w:tcBorders>
              <w:top w:val="single" w:sz="4" w:space="0" w:color="auto"/>
              <w:left w:val="nil"/>
              <w:bottom w:val="nil"/>
              <w:right w:val="nil"/>
            </w:tcBorders>
            <w:shd w:val="clear" w:color="auto" w:fill="D9D9D9" w:themeFill="background1" w:themeFillShade="D9"/>
            <w:noWrap/>
            <w:vAlign w:val="bottom"/>
          </w:tcPr>
          <w:p w14:paraId="11D95496" w14:textId="77777777" w:rsidR="002F4427" w:rsidRPr="002F4427" w:rsidRDefault="002F4427" w:rsidP="002F4427">
            <w:pPr>
              <w:spacing w:after="0" w:line="240" w:lineRule="auto"/>
              <w:rPr>
                <w:rFonts w:ascii="Calibri" w:eastAsia="Times New Roman" w:hAnsi="Calibri" w:cs="Calibri"/>
                <w:b/>
                <w:bCs/>
                <w:color w:val="000000"/>
              </w:rPr>
            </w:pPr>
            <w:r w:rsidRPr="002F4427">
              <w:rPr>
                <w:rFonts w:ascii="Calibri" w:eastAsia="Times New Roman" w:hAnsi="Calibri" w:cs="Calibri"/>
                <w:b/>
                <w:bCs/>
                <w:color w:val="000000"/>
              </w:rPr>
              <w:t>Age</w:t>
            </w:r>
          </w:p>
        </w:tc>
        <w:tc>
          <w:tcPr>
            <w:tcW w:w="700" w:type="dxa"/>
            <w:tcBorders>
              <w:top w:val="single" w:sz="4" w:space="0" w:color="auto"/>
              <w:left w:val="nil"/>
              <w:bottom w:val="nil"/>
              <w:right w:val="nil"/>
            </w:tcBorders>
            <w:shd w:val="clear" w:color="auto" w:fill="D9D9D9" w:themeFill="background1" w:themeFillShade="D9"/>
            <w:noWrap/>
            <w:vAlign w:val="center"/>
          </w:tcPr>
          <w:p w14:paraId="598EB603" w14:textId="77777777" w:rsidR="002F4427" w:rsidRPr="002F4427" w:rsidRDefault="002F4427" w:rsidP="002F4427">
            <w:pPr>
              <w:spacing w:after="0" w:line="240" w:lineRule="auto"/>
              <w:jc w:val="center"/>
              <w:rPr>
                <w:rFonts w:ascii="Calibri" w:eastAsia="Times New Roman" w:hAnsi="Calibri" w:cs="Calibri"/>
                <w:b/>
                <w:bCs/>
                <w:i/>
                <w:iCs/>
                <w:color w:val="000000"/>
              </w:rPr>
            </w:pPr>
            <w:r w:rsidRPr="002F4427">
              <w:rPr>
                <w:rFonts w:ascii="Calibri" w:eastAsia="Times New Roman" w:hAnsi="Calibri" w:cs="Calibri"/>
                <w:b/>
                <w:bCs/>
                <w:i/>
                <w:iCs/>
                <w:color w:val="000000"/>
              </w:rPr>
              <w:t>n</w:t>
            </w:r>
          </w:p>
        </w:tc>
        <w:tc>
          <w:tcPr>
            <w:tcW w:w="700" w:type="dxa"/>
            <w:tcBorders>
              <w:top w:val="single" w:sz="4" w:space="0" w:color="auto"/>
              <w:left w:val="nil"/>
              <w:bottom w:val="nil"/>
              <w:right w:val="nil"/>
            </w:tcBorders>
            <w:shd w:val="clear" w:color="auto" w:fill="D9D9D9" w:themeFill="background1" w:themeFillShade="D9"/>
            <w:noWrap/>
            <w:vAlign w:val="center"/>
          </w:tcPr>
          <w:p w14:paraId="52E981C8"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w:t>
            </w:r>
          </w:p>
        </w:tc>
        <w:tc>
          <w:tcPr>
            <w:tcW w:w="700" w:type="dxa"/>
            <w:tcBorders>
              <w:top w:val="single" w:sz="4" w:space="0" w:color="auto"/>
              <w:left w:val="nil"/>
              <w:bottom w:val="nil"/>
              <w:right w:val="nil"/>
            </w:tcBorders>
            <w:shd w:val="clear" w:color="auto" w:fill="D9D9D9" w:themeFill="background1" w:themeFillShade="D9"/>
            <w:noWrap/>
            <w:vAlign w:val="center"/>
          </w:tcPr>
          <w:p w14:paraId="6324B6B0"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w:t>
            </w:r>
          </w:p>
        </w:tc>
        <w:tc>
          <w:tcPr>
            <w:tcW w:w="700" w:type="dxa"/>
            <w:tcBorders>
              <w:top w:val="single" w:sz="4" w:space="0" w:color="auto"/>
              <w:left w:val="nil"/>
              <w:bottom w:val="nil"/>
              <w:right w:val="nil"/>
            </w:tcBorders>
            <w:shd w:val="clear" w:color="auto" w:fill="D9D9D9" w:themeFill="background1" w:themeFillShade="D9"/>
            <w:noWrap/>
            <w:vAlign w:val="center"/>
          </w:tcPr>
          <w:p w14:paraId="12816065"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3</w:t>
            </w:r>
          </w:p>
        </w:tc>
        <w:tc>
          <w:tcPr>
            <w:tcW w:w="700" w:type="dxa"/>
            <w:tcBorders>
              <w:top w:val="single" w:sz="4" w:space="0" w:color="auto"/>
              <w:left w:val="nil"/>
              <w:bottom w:val="nil"/>
              <w:right w:val="nil"/>
            </w:tcBorders>
            <w:shd w:val="clear" w:color="auto" w:fill="D9D9D9" w:themeFill="background1" w:themeFillShade="D9"/>
            <w:noWrap/>
            <w:vAlign w:val="center"/>
          </w:tcPr>
          <w:p w14:paraId="085BD019"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4</w:t>
            </w:r>
          </w:p>
        </w:tc>
        <w:tc>
          <w:tcPr>
            <w:tcW w:w="700" w:type="dxa"/>
            <w:tcBorders>
              <w:top w:val="single" w:sz="4" w:space="0" w:color="auto"/>
              <w:left w:val="nil"/>
              <w:bottom w:val="nil"/>
              <w:right w:val="nil"/>
            </w:tcBorders>
            <w:shd w:val="clear" w:color="auto" w:fill="D9D9D9" w:themeFill="background1" w:themeFillShade="D9"/>
            <w:noWrap/>
            <w:vAlign w:val="center"/>
          </w:tcPr>
          <w:p w14:paraId="454AF48C"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5</w:t>
            </w:r>
          </w:p>
        </w:tc>
        <w:tc>
          <w:tcPr>
            <w:tcW w:w="700" w:type="dxa"/>
            <w:tcBorders>
              <w:top w:val="single" w:sz="4" w:space="0" w:color="auto"/>
              <w:left w:val="nil"/>
              <w:bottom w:val="nil"/>
              <w:right w:val="nil"/>
            </w:tcBorders>
            <w:shd w:val="clear" w:color="auto" w:fill="D9D9D9" w:themeFill="background1" w:themeFillShade="D9"/>
            <w:noWrap/>
            <w:vAlign w:val="center"/>
          </w:tcPr>
          <w:p w14:paraId="679471CE"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6</w:t>
            </w:r>
          </w:p>
        </w:tc>
        <w:tc>
          <w:tcPr>
            <w:tcW w:w="700" w:type="dxa"/>
            <w:tcBorders>
              <w:top w:val="single" w:sz="4" w:space="0" w:color="auto"/>
              <w:left w:val="nil"/>
              <w:bottom w:val="nil"/>
              <w:right w:val="nil"/>
            </w:tcBorders>
            <w:shd w:val="clear" w:color="auto" w:fill="D9D9D9" w:themeFill="background1" w:themeFillShade="D9"/>
            <w:noWrap/>
            <w:vAlign w:val="center"/>
          </w:tcPr>
          <w:p w14:paraId="44DEC899"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7</w:t>
            </w:r>
          </w:p>
        </w:tc>
        <w:tc>
          <w:tcPr>
            <w:tcW w:w="700" w:type="dxa"/>
            <w:tcBorders>
              <w:top w:val="single" w:sz="4" w:space="0" w:color="auto"/>
              <w:left w:val="nil"/>
              <w:bottom w:val="nil"/>
              <w:right w:val="nil"/>
            </w:tcBorders>
            <w:shd w:val="clear" w:color="auto" w:fill="D9D9D9" w:themeFill="background1" w:themeFillShade="D9"/>
            <w:noWrap/>
            <w:vAlign w:val="center"/>
          </w:tcPr>
          <w:p w14:paraId="31C26A7A"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8</w:t>
            </w:r>
          </w:p>
        </w:tc>
        <w:tc>
          <w:tcPr>
            <w:tcW w:w="700" w:type="dxa"/>
            <w:tcBorders>
              <w:top w:val="single" w:sz="4" w:space="0" w:color="auto"/>
              <w:left w:val="nil"/>
              <w:bottom w:val="nil"/>
              <w:right w:val="nil"/>
            </w:tcBorders>
            <w:shd w:val="clear" w:color="auto" w:fill="D9D9D9" w:themeFill="background1" w:themeFillShade="D9"/>
            <w:noWrap/>
            <w:vAlign w:val="center"/>
          </w:tcPr>
          <w:p w14:paraId="0A7B9C72"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9</w:t>
            </w:r>
          </w:p>
        </w:tc>
        <w:tc>
          <w:tcPr>
            <w:tcW w:w="700" w:type="dxa"/>
            <w:tcBorders>
              <w:top w:val="single" w:sz="4" w:space="0" w:color="auto"/>
              <w:left w:val="nil"/>
              <w:bottom w:val="nil"/>
              <w:right w:val="nil"/>
            </w:tcBorders>
            <w:shd w:val="clear" w:color="auto" w:fill="D9D9D9" w:themeFill="background1" w:themeFillShade="D9"/>
            <w:noWrap/>
            <w:vAlign w:val="center"/>
          </w:tcPr>
          <w:p w14:paraId="432D77E3"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10</w:t>
            </w:r>
          </w:p>
        </w:tc>
        <w:tc>
          <w:tcPr>
            <w:tcW w:w="700" w:type="dxa"/>
            <w:tcBorders>
              <w:top w:val="single" w:sz="4" w:space="0" w:color="auto"/>
              <w:left w:val="nil"/>
              <w:bottom w:val="nil"/>
              <w:right w:val="nil"/>
            </w:tcBorders>
            <w:shd w:val="clear" w:color="auto" w:fill="D9D9D9" w:themeFill="background1" w:themeFillShade="D9"/>
            <w:noWrap/>
            <w:vAlign w:val="center"/>
          </w:tcPr>
          <w:p w14:paraId="425D1B54"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11</w:t>
            </w:r>
          </w:p>
        </w:tc>
        <w:tc>
          <w:tcPr>
            <w:tcW w:w="700" w:type="dxa"/>
            <w:tcBorders>
              <w:top w:val="single" w:sz="4" w:space="0" w:color="auto"/>
              <w:left w:val="nil"/>
              <w:bottom w:val="nil"/>
              <w:right w:val="nil"/>
            </w:tcBorders>
            <w:shd w:val="clear" w:color="auto" w:fill="D9D9D9" w:themeFill="background1" w:themeFillShade="D9"/>
            <w:noWrap/>
            <w:vAlign w:val="center"/>
          </w:tcPr>
          <w:p w14:paraId="08EE3385"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12</w:t>
            </w:r>
          </w:p>
        </w:tc>
        <w:tc>
          <w:tcPr>
            <w:tcW w:w="700" w:type="dxa"/>
            <w:tcBorders>
              <w:top w:val="single" w:sz="4" w:space="0" w:color="auto"/>
              <w:left w:val="nil"/>
              <w:bottom w:val="nil"/>
              <w:right w:val="nil"/>
            </w:tcBorders>
            <w:shd w:val="clear" w:color="auto" w:fill="D9D9D9" w:themeFill="background1" w:themeFillShade="D9"/>
            <w:noWrap/>
            <w:vAlign w:val="center"/>
          </w:tcPr>
          <w:p w14:paraId="353B2C2A"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13</w:t>
            </w:r>
          </w:p>
        </w:tc>
        <w:tc>
          <w:tcPr>
            <w:tcW w:w="700" w:type="dxa"/>
            <w:tcBorders>
              <w:top w:val="single" w:sz="4" w:space="0" w:color="auto"/>
              <w:left w:val="nil"/>
              <w:bottom w:val="nil"/>
              <w:right w:val="nil"/>
            </w:tcBorders>
            <w:shd w:val="clear" w:color="auto" w:fill="D9D9D9" w:themeFill="background1" w:themeFillShade="D9"/>
            <w:noWrap/>
            <w:vAlign w:val="center"/>
          </w:tcPr>
          <w:p w14:paraId="3A1A1F99"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14</w:t>
            </w:r>
          </w:p>
        </w:tc>
        <w:tc>
          <w:tcPr>
            <w:tcW w:w="700" w:type="dxa"/>
            <w:tcBorders>
              <w:top w:val="single" w:sz="4" w:space="0" w:color="auto"/>
              <w:left w:val="nil"/>
              <w:bottom w:val="nil"/>
              <w:right w:val="nil"/>
            </w:tcBorders>
            <w:shd w:val="clear" w:color="auto" w:fill="D9D9D9" w:themeFill="background1" w:themeFillShade="D9"/>
            <w:noWrap/>
            <w:vAlign w:val="center"/>
          </w:tcPr>
          <w:p w14:paraId="173B1058"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15</w:t>
            </w:r>
          </w:p>
        </w:tc>
        <w:tc>
          <w:tcPr>
            <w:tcW w:w="700" w:type="dxa"/>
            <w:tcBorders>
              <w:top w:val="single" w:sz="4" w:space="0" w:color="auto"/>
              <w:left w:val="nil"/>
              <w:bottom w:val="nil"/>
              <w:right w:val="nil"/>
            </w:tcBorders>
            <w:shd w:val="clear" w:color="auto" w:fill="D9D9D9" w:themeFill="background1" w:themeFillShade="D9"/>
            <w:noWrap/>
            <w:vAlign w:val="center"/>
          </w:tcPr>
          <w:p w14:paraId="4FEEB8B0"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16</w:t>
            </w:r>
          </w:p>
        </w:tc>
        <w:tc>
          <w:tcPr>
            <w:tcW w:w="700" w:type="dxa"/>
            <w:tcBorders>
              <w:top w:val="single" w:sz="4" w:space="0" w:color="auto"/>
              <w:left w:val="nil"/>
              <w:bottom w:val="nil"/>
              <w:right w:val="nil"/>
            </w:tcBorders>
            <w:shd w:val="clear" w:color="auto" w:fill="D9D9D9" w:themeFill="background1" w:themeFillShade="D9"/>
            <w:noWrap/>
            <w:vAlign w:val="center"/>
          </w:tcPr>
          <w:p w14:paraId="14302509" w14:textId="77777777" w:rsidR="002F4427" w:rsidRPr="002F4427" w:rsidRDefault="002F4427" w:rsidP="002F4427">
            <w:pPr>
              <w:spacing w:after="0" w:line="240" w:lineRule="auto"/>
              <w:jc w:val="center"/>
              <w:rPr>
                <w:rFonts w:ascii="Times New Roman" w:eastAsia="Times New Roman" w:hAnsi="Times New Roman" w:cs="Times New Roman"/>
                <w:b/>
                <w:bCs/>
                <w:sz w:val="20"/>
                <w:szCs w:val="20"/>
              </w:rPr>
            </w:pPr>
            <w:r w:rsidRPr="002F4427">
              <w:rPr>
                <w:rFonts w:ascii="Times New Roman" w:eastAsia="Times New Roman" w:hAnsi="Times New Roman" w:cs="Times New Roman"/>
                <w:b/>
                <w:bCs/>
                <w:sz w:val="20"/>
                <w:szCs w:val="20"/>
              </w:rPr>
              <w:t>18</w:t>
            </w:r>
          </w:p>
        </w:tc>
        <w:tc>
          <w:tcPr>
            <w:tcW w:w="700" w:type="dxa"/>
            <w:tcBorders>
              <w:top w:val="single" w:sz="4" w:space="0" w:color="auto"/>
              <w:left w:val="nil"/>
              <w:bottom w:val="nil"/>
              <w:right w:val="nil"/>
            </w:tcBorders>
            <w:shd w:val="clear" w:color="auto" w:fill="D9D9D9" w:themeFill="background1" w:themeFillShade="D9"/>
            <w:noWrap/>
            <w:vAlign w:val="center"/>
          </w:tcPr>
          <w:p w14:paraId="16098FBB"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20</w:t>
            </w:r>
          </w:p>
        </w:tc>
        <w:tc>
          <w:tcPr>
            <w:tcW w:w="700" w:type="dxa"/>
            <w:tcBorders>
              <w:top w:val="single" w:sz="4" w:space="0" w:color="auto"/>
              <w:left w:val="nil"/>
              <w:bottom w:val="nil"/>
              <w:right w:val="nil"/>
            </w:tcBorders>
            <w:shd w:val="clear" w:color="auto" w:fill="D9D9D9" w:themeFill="background1" w:themeFillShade="D9"/>
            <w:noWrap/>
            <w:vAlign w:val="center"/>
          </w:tcPr>
          <w:p w14:paraId="07DBBB06"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23</w:t>
            </w:r>
          </w:p>
        </w:tc>
        <w:tc>
          <w:tcPr>
            <w:tcW w:w="700" w:type="dxa"/>
            <w:tcBorders>
              <w:top w:val="single" w:sz="4" w:space="0" w:color="auto"/>
              <w:left w:val="nil"/>
              <w:bottom w:val="nil"/>
              <w:right w:val="nil"/>
            </w:tcBorders>
            <w:shd w:val="clear" w:color="auto" w:fill="D9D9D9" w:themeFill="background1" w:themeFillShade="D9"/>
            <w:noWrap/>
            <w:vAlign w:val="center"/>
          </w:tcPr>
          <w:p w14:paraId="13A2909A"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24</w:t>
            </w:r>
          </w:p>
        </w:tc>
        <w:tc>
          <w:tcPr>
            <w:tcW w:w="700" w:type="dxa"/>
            <w:tcBorders>
              <w:top w:val="single" w:sz="4" w:space="0" w:color="auto"/>
              <w:left w:val="nil"/>
              <w:bottom w:val="nil"/>
              <w:right w:val="nil"/>
            </w:tcBorders>
            <w:shd w:val="clear" w:color="auto" w:fill="D9D9D9" w:themeFill="background1" w:themeFillShade="D9"/>
            <w:noWrap/>
            <w:vAlign w:val="center"/>
          </w:tcPr>
          <w:p w14:paraId="5E9218FE"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25</w:t>
            </w:r>
          </w:p>
        </w:tc>
        <w:tc>
          <w:tcPr>
            <w:tcW w:w="700" w:type="dxa"/>
            <w:tcBorders>
              <w:top w:val="single" w:sz="4" w:space="0" w:color="auto"/>
              <w:left w:val="nil"/>
              <w:bottom w:val="nil"/>
              <w:right w:val="nil"/>
            </w:tcBorders>
            <w:shd w:val="clear" w:color="auto" w:fill="D9D9D9" w:themeFill="background1" w:themeFillShade="D9"/>
            <w:noWrap/>
            <w:vAlign w:val="center"/>
          </w:tcPr>
          <w:p w14:paraId="25D5B931"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26</w:t>
            </w:r>
          </w:p>
        </w:tc>
        <w:tc>
          <w:tcPr>
            <w:tcW w:w="700" w:type="dxa"/>
            <w:tcBorders>
              <w:top w:val="single" w:sz="4" w:space="0" w:color="auto"/>
              <w:left w:val="nil"/>
              <w:bottom w:val="nil"/>
              <w:right w:val="nil"/>
            </w:tcBorders>
            <w:shd w:val="clear" w:color="auto" w:fill="D9D9D9" w:themeFill="background1" w:themeFillShade="D9"/>
            <w:noWrap/>
            <w:vAlign w:val="center"/>
          </w:tcPr>
          <w:p w14:paraId="132E5C61"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28</w:t>
            </w:r>
          </w:p>
        </w:tc>
        <w:tc>
          <w:tcPr>
            <w:tcW w:w="700" w:type="dxa"/>
            <w:tcBorders>
              <w:top w:val="single" w:sz="4" w:space="0" w:color="auto"/>
              <w:left w:val="nil"/>
              <w:bottom w:val="nil"/>
              <w:right w:val="nil"/>
            </w:tcBorders>
            <w:shd w:val="clear" w:color="auto" w:fill="D9D9D9" w:themeFill="background1" w:themeFillShade="D9"/>
            <w:noWrap/>
            <w:vAlign w:val="center"/>
          </w:tcPr>
          <w:p w14:paraId="749AA4F7"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29</w:t>
            </w:r>
          </w:p>
        </w:tc>
        <w:tc>
          <w:tcPr>
            <w:tcW w:w="700" w:type="dxa"/>
            <w:tcBorders>
              <w:top w:val="single" w:sz="4" w:space="0" w:color="auto"/>
              <w:left w:val="nil"/>
              <w:bottom w:val="nil"/>
              <w:right w:val="nil"/>
            </w:tcBorders>
            <w:shd w:val="clear" w:color="auto" w:fill="D9D9D9" w:themeFill="background1" w:themeFillShade="D9"/>
            <w:noWrap/>
            <w:vAlign w:val="center"/>
          </w:tcPr>
          <w:p w14:paraId="6BB78C9E" w14:textId="77777777" w:rsidR="002F4427" w:rsidRPr="002F4427" w:rsidRDefault="002F4427" w:rsidP="002F4427">
            <w:pPr>
              <w:spacing w:after="0" w:line="240" w:lineRule="auto"/>
              <w:jc w:val="center"/>
              <w:rPr>
                <w:rFonts w:ascii="Calibri" w:eastAsia="Times New Roman" w:hAnsi="Calibri" w:cs="Calibri"/>
                <w:b/>
                <w:bCs/>
                <w:color w:val="000000"/>
              </w:rPr>
            </w:pPr>
            <w:r w:rsidRPr="002F4427">
              <w:rPr>
                <w:rFonts w:ascii="Calibri" w:eastAsia="Times New Roman" w:hAnsi="Calibri" w:cs="Calibri"/>
                <w:b/>
                <w:bCs/>
                <w:color w:val="000000"/>
              </w:rPr>
              <w:t>30</w:t>
            </w:r>
          </w:p>
        </w:tc>
      </w:tr>
      <w:tr w:rsidR="002F4427" w:rsidRPr="002F4427" w14:paraId="39AF0081" w14:textId="77777777" w:rsidTr="002F4427">
        <w:trPr>
          <w:trHeight w:val="290"/>
        </w:trPr>
        <w:tc>
          <w:tcPr>
            <w:tcW w:w="960" w:type="dxa"/>
            <w:tcBorders>
              <w:top w:val="nil"/>
              <w:left w:val="nil"/>
              <w:bottom w:val="nil"/>
              <w:right w:val="nil"/>
            </w:tcBorders>
            <w:shd w:val="clear" w:color="auto" w:fill="auto"/>
            <w:noWrap/>
            <w:vAlign w:val="bottom"/>
          </w:tcPr>
          <w:p w14:paraId="6EEED51C" w14:textId="77777777" w:rsidR="002F4427" w:rsidRPr="002F4427" w:rsidRDefault="002F4427" w:rsidP="002F4427">
            <w:pPr>
              <w:spacing w:after="0" w:line="240" w:lineRule="auto"/>
              <w:rPr>
                <w:rFonts w:ascii="Calibri" w:eastAsia="Times New Roman" w:hAnsi="Calibri" w:cs="Calibri"/>
                <w:b/>
                <w:bCs/>
                <w:color w:val="000000"/>
              </w:rPr>
            </w:pPr>
            <w:r w:rsidRPr="002F4427">
              <w:rPr>
                <w:rFonts w:ascii="Calibri" w:eastAsia="Times New Roman" w:hAnsi="Calibri" w:cs="Calibri"/>
                <w:b/>
                <w:bCs/>
                <w:color w:val="000000"/>
              </w:rPr>
              <w:t>1-4</w:t>
            </w:r>
          </w:p>
        </w:tc>
        <w:tc>
          <w:tcPr>
            <w:tcW w:w="700" w:type="dxa"/>
            <w:tcBorders>
              <w:top w:val="nil"/>
              <w:left w:val="nil"/>
              <w:bottom w:val="nil"/>
              <w:right w:val="nil"/>
            </w:tcBorders>
            <w:shd w:val="clear" w:color="auto" w:fill="auto"/>
            <w:noWrap/>
            <w:vAlign w:val="center"/>
          </w:tcPr>
          <w:p w14:paraId="5B727C98" w14:textId="77777777" w:rsidR="002F4427" w:rsidRPr="002F4427" w:rsidRDefault="002F4427" w:rsidP="002F4427">
            <w:pPr>
              <w:spacing w:after="0" w:line="240" w:lineRule="auto"/>
              <w:jc w:val="center"/>
              <w:rPr>
                <w:rFonts w:ascii="Calibri" w:eastAsia="Times New Roman" w:hAnsi="Calibri" w:cs="Calibri"/>
                <w:i/>
                <w:iCs/>
                <w:color w:val="000000"/>
              </w:rPr>
            </w:pPr>
            <w:r w:rsidRPr="002F4427">
              <w:rPr>
                <w:rFonts w:ascii="Calibri" w:eastAsia="Times New Roman" w:hAnsi="Calibri" w:cs="Calibri"/>
                <w:i/>
                <w:iCs/>
                <w:color w:val="000000"/>
              </w:rPr>
              <w:t>63</w:t>
            </w:r>
          </w:p>
        </w:tc>
        <w:tc>
          <w:tcPr>
            <w:tcW w:w="700" w:type="dxa"/>
            <w:tcBorders>
              <w:top w:val="nil"/>
              <w:left w:val="nil"/>
              <w:bottom w:val="nil"/>
              <w:right w:val="nil"/>
            </w:tcBorders>
            <w:shd w:val="clear" w:color="auto" w:fill="auto"/>
            <w:noWrap/>
            <w:vAlign w:val="center"/>
          </w:tcPr>
          <w:p w14:paraId="5222C2F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17.5</w:t>
            </w:r>
          </w:p>
        </w:tc>
        <w:tc>
          <w:tcPr>
            <w:tcW w:w="700" w:type="dxa"/>
            <w:tcBorders>
              <w:top w:val="nil"/>
              <w:left w:val="nil"/>
              <w:bottom w:val="nil"/>
              <w:right w:val="nil"/>
            </w:tcBorders>
            <w:shd w:val="clear" w:color="auto" w:fill="auto"/>
            <w:noWrap/>
            <w:vAlign w:val="center"/>
          </w:tcPr>
          <w:p w14:paraId="1A9D445C"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22.2</w:t>
            </w:r>
          </w:p>
        </w:tc>
        <w:tc>
          <w:tcPr>
            <w:tcW w:w="700" w:type="dxa"/>
            <w:tcBorders>
              <w:top w:val="nil"/>
              <w:left w:val="nil"/>
              <w:bottom w:val="nil"/>
              <w:right w:val="nil"/>
            </w:tcBorders>
            <w:shd w:val="clear" w:color="auto" w:fill="auto"/>
            <w:noWrap/>
            <w:vAlign w:val="center"/>
          </w:tcPr>
          <w:p w14:paraId="1E5448BA"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11.1</w:t>
            </w:r>
          </w:p>
        </w:tc>
        <w:tc>
          <w:tcPr>
            <w:tcW w:w="700" w:type="dxa"/>
            <w:tcBorders>
              <w:top w:val="nil"/>
              <w:left w:val="nil"/>
              <w:bottom w:val="nil"/>
              <w:right w:val="nil"/>
            </w:tcBorders>
            <w:shd w:val="clear" w:color="auto" w:fill="auto"/>
            <w:noWrap/>
            <w:vAlign w:val="center"/>
          </w:tcPr>
          <w:p w14:paraId="2276D01A"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4.8</w:t>
            </w:r>
          </w:p>
        </w:tc>
        <w:tc>
          <w:tcPr>
            <w:tcW w:w="700" w:type="dxa"/>
            <w:tcBorders>
              <w:top w:val="nil"/>
              <w:left w:val="nil"/>
              <w:bottom w:val="nil"/>
              <w:right w:val="nil"/>
            </w:tcBorders>
            <w:shd w:val="clear" w:color="auto" w:fill="auto"/>
            <w:noWrap/>
            <w:vAlign w:val="center"/>
          </w:tcPr>
          <w:p w14:paraId="431A48B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4.8</w:t>
            </w:r>
          </w:p>
        </w:tc>
        <w:tc>
          <w:tcPr>
            <w:tcW w:w="700" w:type="dxa"/>
            <w:tcBorders>
              <w:top w:val="nil"/>
              <w:left w:val="nil"/>
              <w:bottom w:val="nil"/>
              <w:right w:val="nil"/>
            </w:tcBorders>
            <w:shd w:val="clear" w:color="auto" w:fill="auto"/>
            <w:noWrap/>
            <w:vAlign w:val="center"/>
          </w:tcPr>
          <w:p w14:paraId="62638092"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6.3</w:t>
            </w:r>
          </w:p>
        </w:tc>
        <w:tc>
          <w:tcPr>
            <w:tcW w:w="700" w:type="dxa"/>
            <w:tcBorders>
              <w:top w:val="nil"/>
              <w:left w:val="nil"/>
              <w:bottom w:val="nil"/>
              <w:right w:val="nil"/>
            </w:tcBorders>
            <w:shd w:val="clear" w:color="auto" w:fill="auto"/>
            <w:noWrap/>
            <w:vAlign w:val="center"/>
          </w:tcPr>
          <w:p w14:paraId="1E484BD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1.6</w:t>
            </w:r>
          </w:p>
        </w:tc>
        <w:tc>
          <w:tcPr>
            <w:tcW w:w="700" w:type="dxa"/>
            <w:tcBorders>
              <w:top w:val="nil"/>
              <w:left w:val="nil"/>
              <w:bottom w:val="nil"/>
              <w:right w:val="nil"/>
            </w:tcBorders>
            <w:shd w:val="clear" w:color="auto" w:fill="auto"/>
            <w:noWrap/>
            <w:vAlign w:val="center"/>
          </w:tcPr>
          <w:p w14:paraId="56913E2E"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4.8</w:t>
            </w:r>
          </w:p>
        </w:tc>
        <w:tc>
          <w:tcPr>
            <w:tcW w:w="700" w:type="dxa"/>
            <w:tcBorders>
              <w:top w:val="nil"/>
              <w:left w:val="nil"/>
              <w:bottom w:val="nil"/>
              <w:right w:val="nil"/>
            </w:tcBorders>
            <w:shd w:val="clear" w:color="auto" w:fill="auto"/>
            <w:noWrap/>
            <w:vAlign w:val="center"/>
          </w:tcPr>
          <w:p w14:paraId="1D0B5FD4"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1.6</w:t>
            </w:r>
          </w:p>
        </w:tc>
        <w:tc>
          <w:tcPr>
            <w:tcW w:w="700" w:type="dxa"/>
            <w:tcBorders>
              <w:top w:val="nil"/>
              <w:left w:val="nil"/>
              <w:bottom w:val="nil"/>
              <w:right w:val="nil"/>
            </w:tcBorders>
            <w:shd w:val="clear" w:color="auto" w:fill="auto"/>
            <w:noWrap/>
            <w:vAlign w:val="center"/>
          </w:tcPr>
          <w:p w14:paraId="5867F7D2"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6.3</w:t>
            </w:r>
          </w:p>
        </w:tc>
        <w:tc>
          <w:tcPr>
            <w:tcW w:w="700" w:type="dxa"/>
            <w:tcBorders>
              <w:top w:val="nil"/>
              <w:left w:val="nil"/>
              <w:bottom w:val="nil"/>
              <w:right w:val="nil"/>
            </w:tcBorders>
            <w:shd w:val="clear" w:color="auto" w:fill="auto"/>
            <w:noWrap/>
            <w:vAlign w:val="center"/>
          </w:tcPr>
          <w:p w14:paraId="279B08C9"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01ACC42A"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3.2</w:t>
            </w:r>
          </w:p>
        </w:tc>
        <w:tc>
          <w:tcPr>
            <w:tcW w:w="700" w:type="dxa"/>
            <w:tcBorders>
              <w:top w:val="nil"/>
              <w:left w:val="nil"/>
              <w:bottom w:val="nil"/>
              <w:right w:val="nil"/>
            </w:tcBorders>
            <w:shd w:val="clear" w:color="auto" w:fill="auto"/>
            <w:noWrap/>
            <w:vAlign w:val="center"/>
          </w:tcPr>
          <w:p w14:paraId="5BEE3B2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1.6</w:t>
            </w:r>
          </w:p>
        </w:tc>
        <w:tc>
          <w:tcPr>
            <w:tcW w:w="700" w:type="dxa"/>
            <w:tcBorders>
              <w:top w:val="nil"/>
              <w:left w:val="nil"/>
              <w:bottom w:val="nil"/>
              <w:right w:val="nil"/>
            </w:tcBorders>
            <w:shd w:val="clear" w:color="auto" w:fill="auto"/>
            <w:noWrap/>
            <w:vAlign w:val="center"/>
          </w:tcPr>
          <w:p w14:paraId="5D5F197C"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1.6</w:t>
            </w:r>
          </w:p>
        </w:tc>
        <w:tc>
          <w:tcPr>
            <w:tcW w:w="700" w:type="dxa"/>
            <w:tcBorders>
              <w:top w:val="nil"/>
              <w:left w:val="nil"/>
              <w:bottom w:val="nil"/>
              <w:right w:val="nil"/>
            </w:tcBorders>
            <w:shd w:val="clear" w:color="auto" w:fill="auto"/>
            <w:noWrap/>
            <w:vAlign w:val="center"/>
          </w:tcPr>
          <w:p w14:paraId="2461993E"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3.2</w:t>
            </w:r>
          </w:p>
        </w:tc>
        <w:tc>
          <w:tcPr>
            <w:tcW w:w="700" w:type="dxa"/>
            <w:tcBorders>
              <w:top w:val="nil"/>
              <w:left w:val="nil"/>
              <w:bottom w:val="nil"/>
              <w:right w:val="nil"/>
            </w:tcBorders>
            <w:shd w:val="clear" w:color="auto" w:fill="auto"/>
            <w:noWrap/>
            <w:vAlign w:val="center"/>
          </w:tcPr>
          <w:p w14:paraId="4F40A847"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7E8493F1"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r w:rsidRPr="002F4427">
              <w:rPr>
                <w:rFonts w:ascii="Times New Roman" w:eastAsia="Times New Roman" w:hAnsi="Times New Roman" w:cs="Times New Roman"/>
                <w:sz w:val="20"/>
                <w:szCs w:val="20"/>
              </w:rPr>
              <w:t>0.0</w:t>
            </w:r>
          </w:p>
        </w:tc>
        <w:tc>
          <w:tcPr>
            <w:tcW w:w="700" w:type="dxa"/>
            <w:tcBorders>
              <w:top w:val="nil"/>
              <w:left w:val="nil"/>
              <w:bottom w:val="nil"/>
              <w:right w:val="nil"/>
            </w:tcBorders>
            <w:shd w:val="clear" w:color="auto" w:fill="auto"/>
            <w:noWrap/>
            <w:vAlign w:val="center"/>
          </w:tcPr>
          <w:p w14:paraId="3F2C70D3"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3.2</w:t>
            </w:r>
          </w:p>
        </w:tc>
        <w:tc>
          <w:tcPr>
            <w:tcW w:w="700" w:type="dxa"/>
            <w:tcBorders>
              <w:top w:val="nil"/>
              <w:left w:val="nil"/>
              <w:bottom w:val="nil"/>
              <w:right w:val="nil"/>
            </w:tcBorders>
            <w:shd w:val="clear" w:color="auto" w:fill="auto"/>
            <w:noWrap/>
            <w:vAlign w:val="center"/>
          </w:tcPr>
          <w:p w14:paraId="26F11443"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09A31E5E"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51D0AF53"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4DE2DF5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139DE9F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2C2468EA"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1.6</w:t>
            </w:r>
          </w:p>
        </w:tc>
        <w:tc>
          <w:tcPr>
            <w:tcW w:w="700" w:type="dxa"/>
            <w:tcBorders>
              <w:top w:val="nil"/>
              <w:left w:val="nil"/>
              <w:bottom w:val="nil"/>
              <w:right w:val="nil"/>
            </w:tcBorders>
            <w:shd w:val="clear" w:color="auto" w:fill="auto"/>
            <w:noWrap/>
            <w:vAlign w:val="center"/>
          </w:tcPr>
          <w:p w14:paraId="0BD9B2DA"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3.2</w:t>
            </w:r>
          </w:p>
        </w:tc>
      </w:tr>
      <w:tr w:rsidR="002F4427" w:rsidRPr="002F4427" w14:paraId="3D00744D" w14:textId="77777777" w:rsidTr="002F4427">
        <w:trPr>
          <w:trHeight w:val="290"/>
        </w:trPr>
        <w:tc>
          <w:tcPr>
            <w:tcW w:w="960" w:type="dxa"/>
            <w:tcBorders>
              <w:top w:val="nil"/>
              <w:left w:val="nil"/>
              <w:bottom w:val="nil"/>
              <w:right w:val="nil"/>
            </w:tcBorders>
            <w:shd w:val="clear" w:color="auto" w:fill="auto"/>
            <w:noWrap/>
            <w:vAlign w:val="bottom"/>
          </w:tcPr>
          <w:p w14:paraId="09B32E42" w14:textId="77777777" w:rsidR="002F4427" w:rsidRPr="002F4427" w:rsidRDefault="002F4427" w:rsidP="002F4427">
            <w:pPr>
              <w:spacing w:after="0" w:line="240" w:lineRule="auto"/>
              <w:rPr>
                <w:rFonts w:ascii="Calibri" w:eastAsia="Times New Roman" w:hAnsi="Calibri" w:cs="Calibri"/>
                <w:b/>
                <w:bCs/>
                <w:color w:val="000000"/>
              </w:rPr>
            </w:pPr>
            <w:r w:rsidRPr="002F4427">
              <w:rPr>
                <w:rFonts w:ascii="Calibri" w:eastAsia="Times New Roman" w:hAnsi="Calibri" w:cs="Calibri"/>
                <w:b/>
                <w:bCs/>
                <w:color w:val="000000"/>
              </w:rPr>
              <w:t>5-11</w:t>
            </w:r>
          </w:p>
        </w:tc>
        <w:tc>
          <w:tcPr>
            <w:tcW w:w="700" w:type="dxa"/>
            <w:tcBorders>
              <w:top w:val="nil"/>
              <w:left w:val="nil"/>
              <w:bottom w:val="nil"/>
              <w:right w:val="nil"/>
            </w:tcBorders>
            <w:shd w:val="clear" w:color="auto" w:fill="auto"/>
            <w:noWrap/>
            <w:vAlign w:val="center"/>
          </w:tcPr>
          <w:p w14:paraId="3A0241D7" w14:textId="77777777" w:rsidR="002F4427" w:rsidRPr="002F4427" w:rsidRDefault="002F4427" w:rsidP="002F4427">
            <w:pPr>
              <w:spacing w:after="0" w:line="240" w:lineRule="auto"/>
              <w:jc w:val="center"/>
              <w:rPr>
                <w:rFonts w:ascii="Calibri" w:eastAsia="Times New Roman" w:hAnsi="Calibri" w:cs="Calibri"/>
                <w:i/>
                <w:iCs/>
                <w:color w:val="000000"/>
              </w:rPr>
            </w:pPr>
            <w:r w:rsidRPr="002F4427">
              <w:rPr>
                <w:rFonts w:ascii="Calibri" w:eastAsia="Times New Roman" w:hAnsi="Calibri" w:cs="Calibri"/>
                <w:i/>
                <w:iCs/>
                <w:color w:val="000000"/>
              </w:rPr>
              <w:t>100</w:t>
            </w:r>
          </w:p>
        </w:tc>
        <w:tc>
          <w:tcPr>
            <w:tcW w:w="700" w:type="dxa"/>
            <w:tcBorders>
              <w:top w:val="nil"/>
              <w:left w:val="nil"/>
              <w:bottom w:val="nil"/>
              <w:right w:val="nil"/>
            </w:tcBorders>
            <w:shd w:val="clear" w:color="auto" w:fill="auto"/>
            <w:noWrap/>
            <w:vAlign w:val="center"/>
          </w:tcPr>
          <w:p w14:paraId="03A4A0DD"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16.0</w:t>
            </w:r>
          </w:p>
        </w:tc>
        <w:tc>
          <w:tcPr>
            <w:tcW w:w="700" w:type="dxa"/>
            <w:tcBorders>
              <w:top w:val="nil"/>
              <w:left w:val="nil"/>
              <w:bottom w:val="nil"/>
              <w:right w:val="nil"/>
            </w:tcBorders>
            <w:shd w:val="clear" w:color="auto" w:fill="auto"/>
            <w:noWrap/>
            <w:vAlign w:val="center"/>
          </w:tcPr>
          <w:p w14:paraId="5DBBE3E6"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15.0</w:t>
            </w:r>
          </w:p>
        </w:tc>
        <w:tc>
          <w:tcPr>
            <w:tcW w:w="700" w:type="dxa"/>
            <w:tcBorders>
              <w:top w:val="nil"/>
              <w:left w:val="nil"/>
              <w:bottom w:val="nil"/>
              <w:right w:val="nil"/>
            </w:tcBorders>
            <w:shd w:val="clear" w:color="auto" w:fill="auto"/>
            <w:noWrap/>
            <w:vAlign w:val="center"/>
          </w:tcPr>
          <w:p w14:paraId="0C22CF7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7.0</w:t>
            </w:r>
          </w:p>
        </w:tc>
        <w:tc>
          <w:tcPr>
            <w:tcW w:w="700" w:type="dxa"/>
            <w:tcBorders>
              <w:top w:val="nil"/>
              <w:left w:val="nil"/>
              <w:bottom w:val="nil"/>
              <w:right w:val="nil"/>
            </w:tcBorders>
            <w:shd w:val="clear" w:color="auto" w:fill="auto"/>
            <w:noWrap/>
            <w:vAlign w:val="center"/>
          </w:tcPr>
          <w:p w14:paraId="2E7CD035"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9.0</w:t>
            </w:r>
          </w:p>
        </w:tc>
        <w:tc>
          <w:tcPr>
            <w:tcW w:w="700" w:type="dxa"/>
            <w:tcBorders>
              <w:top w:val="nil"/>
              <w:left w:val="nil"/>
              <w:bottom w:val="nil"/>
              <w:right w:val="nil"/>
            </w:tcBorders>
            <w:shd w:val="clear" w:color="auto" w:fill="auto"/>
            <w:noWrap/>
            <w:vAlign w:val="center"/>
          </w:tcPr>
          <w:p w14:paraId="054C56E7"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6.0</w:t>
            </w:r>
          </w:p>
        </w:tc>
        <w:tc>
          <w:tcPr>
            <w:tcW w:w="700" w:type="dxa"/>
            <w:tcBorders>
              <w:top w:val="nil"/>
              <w:left w:val="nil"/>
              <w:bottom w:val="nil"/>
              <w:right w:val="nil"/>
            </w:tcBorders>
            <w:shd w:val="clear" w:color="auto" w:fill="auto"/>
            <w:noWrap/>
            <w:vAlign w:val="center"/>
          </w:tcPr>
          <w:p w14:paraId="5CAE80A2"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4.0</w:t>
            </w:r>
          </w:p>
        </w:tc>
        <w:tc>
          <w:tcPr>
            <w:tcW w:w="700" w:type="dxa"/>
            <w:tcBorders>
              <w:top w:val="nil"/>
              <w:left w:val="nil"/>
              <w:bottom w:val="nil"/>
              <w:right w:val="nil"/>
            </w:tcBorders>
            <w:shd w:val="clear" w:color="auto" w:fill="auto"/>
            <w:noWrap/>
            <w:vAlign w:val="center"/>
          </w:tcPr>
          <w:p w14:paraId="2D89A0D8"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2.0</w:t>
            </w:r>
          </w:p>
        </w:tc>
        <w:tc>
          <w:tcPr>
            <w:tcW w:w="700" w:type="dxa"/>
            <w:tcBorders>
              <w:top w:val="nil"/>
              <w:left w:val="nil"/>
              <w:bottom w:val="nil"/>
              <w:right w:val="nil"/>
            </w:tcBorders>
            <w:shd w:val="clear" w:color="auto" w:fill="auto"/>
            <w:noWrap/>
            <w:vAlign w:val="center"/>
          </w:tcPr>
          <w:p w14:paraId="13EC37B8"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4.0</w:t>
            </w:r>
          </w:p>
        </w:tc>
        <w:tc>
          <w:tcPr>
            <w:tcW w:w="700" w:type="dxa"/>
            <w:tcBorders>
              <w:top w:val="nil"/>
              <w:left w:val="nil"/>
              <w:bottom w:val="nil"/>
              <w:right w:val="nil"/>
            </w:tcBorders>
            <w:shd w:val="clear" w:color="auto" w:fill="auto"/>
            <w:noWrap/>
            <w:vAlign w:val="center"/>
          </w:tcPr>
          <w:p w14:paraId="682238A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03E34777"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7.0</w:t>
            </w:r>
          </w:p>
        </w:tc>
        <w:tc>
          <w:tcPr>
            <w:tcW w:w="700" w:type="dxa"/>
            <w:tcBorders>
              <w:top w:val="nil"/>
              <w:left w:val="nil"/>
              <w:bottom w:val="nil"/>
              <w:right w:val="nil"/>
            </w:tcBorders>
            <w:shd w:val="clear" w:color="auto" w:fill="auto"/>
            <w:noWrap/>
            <w:vAlign w:val="center"/>
          </w:tcPr>
          <w:p w14:paraId="413964F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51E23AAE"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5.0</w:t>
            </w:r>
          </w:p>
        </w:tc>
        <w:tc>
          <w:tcPr>
            <w:tcW w:w="700" w:type="dxa"/>
            <w:tcBorders>
              <w:top w:val="nil"/>
              <w:left w:val="nil"/>
              <w:bottom w:val="nil"/>
              <w:right w:val="nil"/>
            </w:tcBorders>
            <w:shd w:val="clear" w:color="auto" w:fill="auto"/>
            <w:noWrap/>
            <w:vAlign w:val="center"/>
          </w:tcPr>
          <w:p w14:paraId="6EF209D6"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567054C5"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2E70F77D"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11.0</w:t>
            </w:r>
          </w:p>
        </w:tc>
        <w:tc>
          <w:tcPr>
            <w:tcW w:w="700" w:type="dxa"/>
            <w:tcBorders>
              <w:top w:val="nil"/>
              <w:left w:val="nil"/>
              <w:bottom w:val="nil"/>
              <w:right w:val="nil"/>
            </w:tcBorders>
            <w:shd w:val="clear" w:color="auto" w:fill="auto"/>
            <w:noWrap/>
            <w:vAlign w:val="center"/>
          </w:tcPr>
          <w:p w14:paraId="3ED33BCB"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2.0</w:t>
            </w:r>
          </w:p>
        </w:tc>
        <w:tc>
          <w:tcPr>
            <w:tcW w:w="700" w:type="dxa"/>
            <w:tcBorders>
              <w:top w:val="nil"/>
              <w:left w:val="nil"/>
              <w:bottom w:val="nil"/>
              <w:right w:val="nil"/>
            </w:tcBorders>
            <w:shd w:val="clear" w:color="auto" w:fill="auto"/>
            <w:noWrap/>
            <w:vAlign w:val="center"/>
          </w:tcPr>
          <w:p w14:paraId="48A9BC3A"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r w:rsidRPr="002F4427">
              <w:rPr>
                <w:rFonts w:ascii="Times New Roman" w:eastAsia="Times New Roman" w:hAnsi="Times New Roman" w:cs="Times New Roman"/>
                <w:sz w:val="20"/>
                <w:szCs w:val="20"/>
              </w:rPr>
              <w:t>0.0</w:t>
            </w:r>
          </w:p>
        </w:tc>
        <w:tc>
          <w:tcPr>
            <w:tcW w:w="700" w:type="dxa"/>
            <w:tcBorders>
              <w:top w:val="nil"/>
              <w:left w:val="nil"/>
              <w:bottom w:val="nil"/>
              <w:right w:val="nil"/>
            </w:tcBorders>
            <w:shd w:val="clear" w:color="auto" w:fill="auto"/>
            <w:noWrap/>
            <w:vAlign w:val="center"/>
          </w:tcPr>
          <w:p w14:paraId="32A6E2F9"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3.0</w:t>
            </w:r>
          </w:p>
        </w:tc>
        <w:tc>
          <w:tcPr>
            <w:tcW w:w="700" w:type="dxa"/>
            <w:tcBorders>
              <w:top w:val="nil"/>
              <w:left w:val="nil"/>
              <w:bottom w:val="nil"/>
              <w:right w:val="nil"/>
            </w:tcBorders>
            <w:shd w:val="clear" w:color="auto" w:fill="auto"/>
            <w:noWrap/>
            <w:vAlign w:val="center"/>
          </w:tcPr>
          <w:p w14:paraId="475E457F"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069CE737"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1.0</w:t>
            </w:r>
          </w:p>
        </w:tc>
        <w:tc>
          <w:tcPr>
            <w:tcW w:w="700" w:type="dxa"/>
            <w:tcBorders>
              <w:top w:val="nil"/>
              <w:left w:val="nil"/>
              <w:bottom w:val="nil"/>
              <w:right w:val="nil"/>
            </w:tcBorders>
            <w:shd w:val="clear" w:color="auto" w:fill="auto"/>
            <w:noWrap/>
            <w:vAlign w:val="center"/>
          </w:tcPr>
          <w:p w14:paraId="4C5EE6CC"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2.0</w:t>
            </w:r>
          </w:p>
        </w:tc>
        <w:tc>
          <w:tcPr>
            <w:tcW w:w="700" w:type="dxa"/>
            <w:tcBorders>
              <w:top w:val="nil"/>
              <w:left w:val="nil"/>
              <w:bottom w:val="nil"/>
              <w:right w:val="nil"/>
            </w:tcBorders>
            <w:shd w:val="clear" w:color="auto" w:fill="auto"/>
            <w:noWrap/>
            <w:vAlign w:val="center"/>
          </w:tcPr>
          <w:p w14:paraId="6FC8F454"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0B521AA7"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67D52DF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nil"/>
              <w:right w:val="nil"/>
            </w:tcBorders>
            <w:shd w:val="clear" w:color="auto" w:fill="auto"/>
            <w:noWrap/>
            <w:vAlign w:val="center"/>
          </w:tcPr>
          <w:p w14:paraId="78505602"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5.0</w:t>
            </w:r>
          </w:p>
        </w:tc>
      </w:tr>
      <w:tr w:rsidR="002F4427" w:rsidRPr="002F4427" w14:paraId="5E8D0BD4" w14:textId="77777777" w:rsidTr="002F4427">
        <w:trPr>
          <w:trHeight w:val="290"/>
        </w:trPr>
        <w:tc>
          <w:tcPr>
            <w:tcW w:w="960" w:type="dxa"/>
            <w:tcBorders>
              <w:top w:val="nil"/>
              <w:left w:val="nil"/>
              <w:right w:val="nil"/>
            </w:tcBorders>
            <w:shd w:val="clear" w:color="auto" w:fill="auto"/>
            <w:noWrap/>
            <w:vAlign w:val="bottom"/>
          </w:tcPr>
          <w:p w14:paraId="557A8543" w14:textId="77777777" w:rsidR="002F4427" w:rsidRPr="002F4427" w:rsidRDefault="002F4427" w:rsidP="002F4427">
            <w:pPr>
              <w:spacing w:after="0" w:line="240" w:lineRule="auto"/>
              <w:rPr>
                <w:rFonts w:ascii="Calibri" w:eastAsia="Times New Roman" w:hAnsi="Calibri" w:cs="Calibri"/>
                <w:b/>
                <w:bCs/>
                <w:color w:val="000000"/>
              </w:rPr>
            </w:pPr>
            <w:r w:rsidRPr="002F4427">
              <w:rPr>
                <w:rFonts w:ascii="Calibri" w:eastAsia="Times New Roman" w:hAnsi="Calibri" w:cs="Calibri"/>
                <w:b/>
                <w:bCs/>
                <w:color w:val="000000"/>
              </w:rPr>
              <w:t>12-17</w:t>
            </w:r>
          </w:p>
        </w:tc>
        <w:tc>
          <w:tcPr>
            <w:tcW w:w="700" w:type="dxa"/>
            <w:tcBorders>
              <w:top w:val="nil"/>
              <w:left w:val="nil"/>
              <w:right w:val="nil"/>
            </w:tcBorders>
            <w:shd w:val="clear" w:color="auto" w:fill="auto"/>
            <w:noWrap/>
            <w:vAlign w:val="center"/>
          </w:tcPr>
          <w:p w14:paraId="58574CA1" w14:textId="77777777" w:rsidR="002F4427" w:rsidRPr="002F4427" w:rsidRDefault="002F4427" w:rsidP="002F4427">
            <w:pPr>
              <w:spacing w:after="0" w:line="240" w:lineRule="auto"/>
              <w:jc w:val="center"/>
              <w:rPr>
                <w:rFonts w:ascii="Calibri" w:eastAsia="Times New Roman" w:hAnsi="Calibri" w:cs="Calibri"/>
                <w:i/>
                <w:iCs/>
                <w:color w:val="000000"/>
              </w:rPr>
            </w:pPr>
            <w:r w:rsidRPr="002F4427">
              <w:rPr>
                <w:rFonts w:ascii="Calibri" w:eastAsia="Times New Roman" w:hAnsi="Calibri" w:cs="Calibri"/>
                <w:i/>
                <w:iCs/>
                <w:color w:val="000000"/>
              </w:rPr>
              <w:t>84</w:t>
            </w:r>
          </w:p>
        </w:tc>
        <w:tc>
          <w:tcPr>
            <w:tcW w:w="700" w:type="dxa"/>
            <w:tcBorders>
              <w:top w:val="nil"/>
              <w:left w:val="nil"/>
              <w:right w:val="nil"/>
            </w:tcBorders>
            <w:shd w:val="clear" w:color="auto" w:fill="auto"/>
            <w:noWrap/>
            <w:vAlign w:val="center"/>
          </w:tcPr>
          <w:p w14:paraId="2823AEE8"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25.0</w:t>
            </w:r>
          </w:p>
        </w:tc>
        <w:tc>
          <w:tcPr>
            <w:tcW w:w="700" w:type="dxa"/>
            <w:tcBorders>
              <w:top w:val="nil"/>
              <w:left w:val="nil"/>
              <w:right w:val="nil"/>
            </w:tcBorders>
            <w:shd w:val="clear" w:color="auto" w:fill="auto"/>
            <w:noWrap/>
            <w:vAlign w:val="center"/>
          </w:tcPr>
          <w:p w14:paraId="7BF9BBC4"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15.5</w:t>
            </w:r>
          </w:p>
        </w:tc>
        <w:tc>
          <w:tcPr>
            <w:tcW w:w="700" w:type="dxa"/>
            <w:tcBorders>
              <w:top w:val="nil"/>
              <w:left w:val="nil"/>
              <w:right w:val="nil"/>
            </w:tcBorders>
            <w:shd w:val="clear" w:color="auto" w:fill="auto"/>
            <w:noWrap/>
            <w:vAlign w:val="center"/>
          </w:tcPr>
          <w:p w14:paraId="36A544F7"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8.3</w:t>
            </w:r>
          </w:p>
        </w:tc>
        <w:tc>
          <w:tcPr>
            <w:tcW w:w="700" w:type="dxa"/>
            <w:tcBorders>
              <w:top w:val="nil"/>
              <w:left w:val="nil"/>
              <w:right w:val="nil"/>
            </w:tcBorders>
            <w:shd w:val="clear" w:color="auto" w:fill="auto"/>
            <w:noWrap/>
            <w:vAlign w:val="center"/>
          </w:tcPr>
          <w:p w14:paraId="7D538DD2"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4.8</w:t>
            </w:r>
          </w:p>
        </w:tc>
        <w:tc>
          <w:tcPr>
            <w:tcW w:w="700" w:type="dxa"/>
            <w:tcBorders>
              <w:top w:val="nil"/>
              <w:left w:val="nil"/>
              <w:right w:val="nil"/>
            </w:tcBorders>
            <w:shd w:val="clear" w:color="auto" w:fill="auto"/>
            <w:noWrap/>
            <w:vAlign w:val="center"/>
          </w:tcPr>
          <w:p w14:paraId="0974A62E"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9.5</w:t>
            </w:r>
          </w:p>
        </w:tc>
        <w:tc>
          <w:tcPr>
            <w:tcW w:w="700" w:type="dxa"/>
            <w:tcBorders>
              <w:top w:val="nil"/>
              <w:left w:val="nil"/>
              <w:right w:val="nil"/>
            </w:tcBorders>
            <w:shd w:val="clear" w:color="auto" w:fill="auto"/>
            <w:noWrap/>
            <w:vAlign w:val="center"/>
          </w:tcPr>
          <w:p w14:paraId="5B17F3F9"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4.8</w:t>
            </w:r>
          </w:p>
        </w:tc>
        <w:tc>
          <w:tcPr>
            <w:tcW w:w="700" w:type="dxa"/>
            <w:tcBorders>
              <w:top w:val="nil"/>
              <w:left w:val="nil"/>
              <w:right w:val="nil"/>
            </w:tcBorders>
            <w:shd w:val="clear" w:color="auto" w:fill="auto"/>
            <w:noWrap/>
            <w:vAlign w:val="center"/>
          </w:tcPr>
          <w:p w14:paraId="40F7795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2.4</w:t>
            </w:r>
          </w:p>
        </w:tc>
        <w:tc>
          <w:tcPr>
            <w:tcW w:w="700" w:type="dxa"/>
            <w:tcBorders>
              <w:top w:val="nil"/>
              <w:left w:val="nil"/>
              <w:right w:val="nil"/>
            </w:tcBorders>
            <w:shd w:val="clear" w:color="auto" w:fill="auto"/>
            <w:noWrap/>
            <w:vAlign w:val="center"/>
          </w:tcPr>
          <w:p w14:paraId="70F5D47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3.6</w:t>
            </w:r>
          </w:p>
        </w:tc>
        <w:tc>
          <w:tcPr>
            <w:tcW w:w="700" w:type="dxa"/>
            <w:tcBorders>
              <w:top w:val="nil"/>
              <w:left w:val="nil"/>
              <w:right w:val="nil"/>
            </w:tcBorders>
            <w:shd w:val="clear" w:color="auto" w:fill="auto"/>
            <w:noWrap/>
            <w:vAlign w:val="center"/>
          </w:tcPr>
          <w:p w14:paraId="21E3DFD9"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1.2</w:t>
            </w:r>
          </w:p>
        </w:tc>
        <w:tc>
          <w:tcPr>
            <w:tcW w:w="700" w:type="dxa"/>
            <w:tcBorders>
              <w:top w:val="nil"/>
              <w:left w:val="nil"/>
              <w:right w:val="nil"/>
            </w:tcBorders>
            <w:shd w:val="clear" w:color="auto" w:fill="auto"/>
            <w:noWrap/>
            <w:vAlign w:val="center"/>
          </w:tcPr>
          <w:p w14:paraId="3E0F57C8"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9.5</w:t>
            </w:r>
          </w:p>
        </w:tc>
        <w:tc>
          <w:tcPr>
            <w:tcW w:w="700" w:type="dxa"/>
            <w:tcBorders>
              <w:top w:val="nil"/>
              <w:left w:val="nil"/>
              <w:right w:val="nil"/>
            </w:tcBorders>
            <w:shd w:val="clear" w:color="auto" w:fill="auto"/>
            <w:noWrap/>
            <w:vAlign w:val="center"/>
          </w:tcPr>
          <w:p w14:paraId="6DA7663A"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right w:val="nil"/>
            </w:tcBorders>
            <w:shd w:val="clear" w:color="auto" w:fill="auto"/>
            <w:noWrap/>
            <w:vAlign w:val="center"/>
          </w:tcPr>
          <w:p w14:paraId="4A099F5A"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1.2</w:t>
            </w:r>
          </w:p>
        </w:tc>
        <w:tc>
          <w:tcPr>
            <w:tcW w:w="700" w:type="dxa"/>
            <w:tcBorders>
              <w:top w:val="nil"/>
              <w:left w:val="nil"/>
              <w:right w:val="nil"/>
            </w:tcBorders>
            <w:shd w:val="clear" w:color="auto" w:fill="auto"/>
            <w:noWrap/>
            <w:vAlign w:val="center"/>
          </w:tcPr>
          <w:p w14:paraId="6E332944"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right w:val="nil"/>
            </w:tcBorders>
            <w:shd w:val="clear" w:color="auto" w:fill="auto"/>
            <w:noWrap/>
            <w:vAlign w:val="center"/>
          </w:tcPr>
          <w:p w14:paraId="3BC31349"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right w:val="nil"/>
            </w:tcBorders>
            <w:shd w:val="clear" w:color="auto" w:fill="auto"/>
            <w:noWrap/>
            <w:vAlign w:val="center"/>
          </w:tcPr>
          <w:p w14:paraId="45C79B7B"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2.4</w:t>
            </w:r>
          </w:p>
        </w:tc>
        <w:tc>
          <w:tcPr>
            <w:tcW w:w="700" w:type="dxa"/>
            <w:tcBorders>
              <w:top w:val="nil"/>
              <w:left w:val="nil"/>
              <w:right w:val="nil"/>
            </w:tcBorders>
            <w:shd w:val="clear" w:color="auto" w:fill="auto"/>
            <w:noWrap/>
            <w:vAlign w:val="center"/>
          </w:tcPr>
          <w:p w14:paraId="15A48DDC"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right w:val="nil"/>
            </w:tcBorders>
            <w:shd w:val="clear" w:color="auto" w:fill="auto"/>
            <w:noWrap/>
            <w:vAlign w:val="center"/>
          </w:tcPr>
          <w:p w14:paraId="64E2F208"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r w:rsidRPr="002F4427">
              <w:rPr>
                <w:rFonts w:ascii="Times New Roman" w:eastAsia="Times New Roman" w:hAnsi="Times New Roman" w:cs="Times New Roman"/>
                <w:sz w:val="20"/>
                <w:szCs w:val="20"/>
              </w:rPr>
              <w:t>1.2</w:t>
            </w:r>
          </w:p>
        </w:tc>
        <w:tc>
          <w:tcPr>
            <w:tcW w:w="700" w:type="dxa"/>
            <w:tcBorders>
              <w:top w:val="nil"/>
              <w:left w:val="nil"/>
              <w:right w:val="nil"/>
            </w:tcBorders>
            <w:shd w:val="clear" w:color="auto" w:fill="auto"/>
            <w:noWrap/>
            <w:vAlign w:val="center"/>
          </w:tcPr>
          <w:p w14:paraId="716C173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4.8</w:t>
            </w:r>
          </w:p>
        </w:tc>
        <w:tc>
          <w:tcPr>
            <w:tcW w:w="700" w:type="dxa"/>
            <w:tcBorders>
              <w:top w:val="nil"/>
              <w:left w:val="nil"/>
              <w:right w:val="nil"/>
            </w:tcBorders>
            <w:shd w:val="clear" w:color="auto" w:fill="auto"/>
            <w:noWrap/>
            <w:vAlign w:val="center"/>
          </w:tcPr>
          <w:p w14:paraId="5AC2770F"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right w:val="nil"/>
            </w:tcBorders>
            <w:shd w:val="clear" w:color="auto" w:fill="auto"/>
            <w:noWrap/>
            <w:vAlign w:val="center"/>
          </w:tcPr>
          <w:p w14:paraId="715E669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right w:val="nil"/>
            </w:tcBorders>
            <w:shd w:val="clear" w:color="auto" w:fill="auto"/>
            <w:noWrap/>
            <w:vAlign w:val="center"/>
          </w:tcPr>
          <w:p w14:paraId="4D91CD0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right w:val="nil"/>
            </w:tcBorders>
            <w:shd w:val="clear" w:color="auto" w:fill="auto"/>
            <w:noWrap/>
            <w:vAlign w:val="center"/>
          </w:tcPr>
          <w:p w14:paraId="6D724A72"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1.2</w:t>
            </w:r>
          </w:p>
        </w:tc>
        <w:tc>
          <w:tcPr>
            <w:tcW w:w="700" w:type="dxa"/>
            <w:tcBorders>
              <w:top w:val="nil"/>
              <w:left w:val="nil"/>
              <w:right w:val="nil"/>
            </w:tcBorders>
            <w:shd w:val="clear" w:color="auto" w:fill="auto"/>
            <w:noWrap/>
            <w:vAlign w:val="center"/>
          </w:tcPr>
          <w:p w14:paraId="549EE243"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right w:val="nil"/>
            </w:tcBorders>
            <w:shd w:val="clear" w:color="auto" w:fill="auto"/>
            <w:noWrap/>
            <w:vAlign w:val="center"/>
          </w:tcPr>
          <w:p w14:paraId="6E5AFF13"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right w:val="nil"/>
            </w:tcBorders>
            <w:shd w:val="clear" w:color="auto" w:fill="auto"/>
            <w:noWrap/>
            <w:vAlign w:val="center"/>
          </w:tcPr>
          <w:p w14:paraId="33F87AD5"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2.4</w:t>
            </w:r>
          </w:p>
        </w:tc>
      </w:tr>
      <w:tr w:rsidR="002F4427" w:rsidRPr="002F4427" w14:paraId="4841F7A0" w14:textId="77777777" w:rsidTr="002F4427">
        <w:trPr>
          <w:trHeight w:val="290"/>
        </w:trPr>
        <w:tc>
          <w:tcPr>
            <w:tcW w:w="960" w:type="dxa"/>
            <w:tcBorders>
              <w:top w:val="nil"/>
              <w:left w:val="nil"/>
              <w:bottom w:val="single" w:sz="4" w:space="0" w:color="auto"/>
              <w:right w:val="nil"/>
            </w:tcBorders>
            <w:shd w:val="clear" w:color="auto" w:fill="auto"/>
            <w:noWrap/>
            <w:vAlign w:val="bottom"/>
          </w:tcPr>
          <w:p w14:paraId="640BA4AC" w14:textId="77777777" w:rsidR="002F4427" w:rsidRPr="002F4427" w:rsidRDefault="002F4427" w:rsidP="002F4427">
            <w:pPr>
              <w:spacing w:after="0" w:line="240" w:lineRule="auto"/>
              <w:rPr>
                <w:rFonts w:ascii="Calibri" w:eastAsia="Times New Roman" w:hAnsi="Calibri" w:cs="Calibri"/>
                <w:b/>
                <w:bCs/>
                <w:color w:val="000000"/>
              </w:rPr>
            </w:pPr>
            <w:r w:rsidRPr="002F4427">
              <w:rPr>
                <w:rFonts w:ascii="Calibri" w:eastAsia="Times New Roman" w:hAnsi="Calibri" w:cs="Calibri"/>
                <w:b/>
                <w:bCs/>
                <w:color w:val="000000"/>
              </w:rPr>
              <w:t>18-64</w:t>
            </w:r>
          </w:p>
        </w:tc>
        <w:tc>
          <w:tcPr>
            <w:tcW w:w="700" w:type="dxa"/>
            <w:tcBorders>
              <w:top w:val="nil"/>
              <w:left w:val="nil"/>
              <w:bottom w:val="single" w:sz="4" w:space="0" w:color="auto"/>
              <w:right w:val="nil"/>
            </w:tcBorders>
            <w:shd w:val="clear" w:color="auto" w:fill="auto"/>
            <w:noWrap/>
            <w:vAlign w:val="center"/>
          </w:tcPr>
          <w:p w14:paraId="2DB94077" w14:textId="77777777" w:rsidR="002F4427" w:rsidRPr="002F4427" w:rsidRDefault="002F4427" w:rsidP="002F4427">
            <w:pPr>
              <w:spacing w:after="0" w:line="240" w:lineRule="auto"/>
              <w:jc w:val="center"/>
              <w:rPr>
                <w:rFonts w:ascii="Calibri" w:eastAsia="Times New Roman" w:hAnsi="Calibri" w:cs="Calibri"/>
                <w:i/>
                <w:iCs/>
                <w:color w:val="000000"/>
              </w:rPr>
            </w:pPr>
            <w:r w:rsidRPr="002F4427">
              <w:rPr>
                <w:rFonts w:ascii="Calibri" w:eastAsia="Times New Roman" w:hAnsi="Calibri" w:cs="Calibri"/>
                <w:i/>
                <w:iCs/>
                <w:color w:val="000000"/>
              </w:rPr>
              <w:t>360</w:t>
            </w:r>
          </w:p>
        </w:tc>
        <w:tc>
          <w:tcPr>
            <w:tcW w:w="700" w:type="dxa"/>
            <w:tcBorders>
              <w:top w:val="nil"/>
              <w:left w:val="nil"/>
              <w:bottom w:val="single" w:sz="4" w:space="0" w:color="auto"/>
              <w:right w:val="nil"/>
            </w:tcBorders>
            <w:shd w:val="clear" w:color="auto" w:fill="auto"/>
            <w:noWrap/>
            <w:vAlign w:val="center"/>
          </w:tcPr>
          <w:p w14:paraId="36EAD0E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23.9</w:t>
            </w:r>
          </w:p>
        </w:tc>
        <w:tc>
          <w:tcPr>
            <w:tcW w:w="700" w:type="dxa"/>
            <w:tcBorders>
              <w:top w:val="nil"/>
              <w:left w:val="nil"/>
              <w:bottom w:val="single" w:sz="4" w:space="0" w:color="auto"/>
              <w:right w:val="nil"/>
            </w:tcBorders>
            <w:shd w:val="clear" w:color="auto" w:fill="auto"/>
            <w:noWrap/>
            <w:vAlign w:val="center"/>
          </w:tcPr>
          <w:p w14:paraId="695BEB54"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13.3</w:t>
            </w:r>
          </w:p>
        </w:tc>
        <w:tc>
          <w:tcPr>
            <w:tcW w:w="700" w:type="dxa"/>
            <w:tcBorders>
              <w:top w:val="nil"/>
              <w:left w:val="nil"/>
              <w:bottom w:val="single" w:sz="4" w:space="0" w:color="auto"/>
              <w:right w:val="nil"/>
            </w:tcBorders>
            <w:shd w:val="clear" w:color="auto" w:fill="auto"/>
            <w:noWrap/>
            <w:vAlign w:val="center"/>
          </w:tcPr>
          <w:p w14:paraId="065FDA13"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13.9</w:t>
            </w:r>
          </w:p>
        </w:tc>
        <w:tc>
          <w:tcPr>
            <w:tcW w:w="700" w:type="dxa"/>
            <w:tcBorders>
              <w:top w:val="nil"/>
              <w:left w:val="nil"/>
              <w:bottom w:val="single" w:sz="4" w:space="0" w:color="auto"/>
              <w:right w:val="nil"/>
            </w:tcBorders>
            <w:shd w:val="clear" w:color="auto" w:fill="auto"/>
            <w:noWrap/>
            <w:vAlign w:val="center"/>
          </w:tcPr>
          <w:p w14:paraId="263DB53D"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7.5</w:t>
            </w:r>
          </w:p>
        </w:tc>
        <w:tc>
          <w:tcPr>
            <w:tcW w:w="700" w:type="dxa"/>
            <w:tcBorders>
              <w:top w:val="nil"/>
              <w:left w:val="nil"/>
              <w:bottom w:val="single" w:sz="4" w:space="0" w:color="auto"/>
              <w:right w:val="nil"/>
            </w:tcBorders>
            <w:shd w:val="clear" w:color="auto" w:fill="auto"/>
            <w:noWrap/>
            <w:vAlign w:val="center"/>
          </w:tcPr>
          <w:p w14:paraId="285EB0B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6.1</w:t>
            </w:r>
          </w:p>
        </w:tc>
        <w:tc>
          <w:tcPr>
            <w:tcW w:w="700" w:type="dxa"/>
            <w:tcBorders>
              <w:top w:val="nil"/>
              <w:left w:val="nil"/>
              <w:bottom w:val="single" w:sz="4" w:space="0" w:color="auto"/>
              <w:right w:val="nil"/>
            </w:tcBorders>
            <w:shd w:val="clear" w:color="auto" w:fill="auto"/>
            <w:noWrap/>
            <w:vAlign w:val="center"/>
          </w:tcPr>
          <w:p w14:paraId="53AD2D5F"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3.1</w:t>
            </w:r>
          </w:p>
        </w:tc>
        <w:tc>
          <w:tcPr>
            <w:tcW w:w="700" w:type="dxa"/>
            <w:tcBorders>
              <w:top w:val="nil"/>
              <w:left w:val="nil"/>
              <w:bottom w:val="single" w:sz="4" w:space="0" w:color="auto"/>
              <w:right w:val="nil"/>
            </w:tcBorders>
            <w:shd w:val="clear" w:color="auto" w:fill="auto"/>
            <w:noWrap/>
            <w:vAlign w:val="center"/>
          </w:tcPr>
          <w:p w14:paraId="35B282C2"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1.4</w:t>
            </w:r>
          </w:p>
        </w:tc>
        <w:tc>
          <w:tcPr>
            <w:tcW w:w="700" w:type="dxa"/>
            <w:tcBorders>
              <w:top w:val="nil"/>
              <w:left w:val="nil"/>
              <w:bottom w:val="single" w:sz="4" w:space="0" w:color="auto"/>
              <w:right w:val="nil"/>
            </w:tcBorders>
            <w:shd w:val="clear" w:color="auto" w:fill="auto"/>
            <w:noWrap/>
            <w:vAlign w:val="center"/>
          </w:tcPr>
          <w:p w14:paraId="1C4F1FE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3.9</w:t>
            </w:r>
          </w:p>
        </w:tc>
        <w:tc>
          <w:tcPr>
            <w:tcW w:w="700" w:type="dxa"/>
            <w:tcBorders>
              <w:top w:val="nil"/>
              <w:left w:val="nil"/>
              <w:bottom w:val="single" w:sz="4" w:space="0" w:color="auto"/>
              <w:right w:val="nil"/>
            </w:tcBorders>
            <w:shd w:val="clear" w:color="auto" w:fill="auto"/>
            <w:noWrap/>
            <w:vAlign w:val="center"/>
          </w:tcPr>
          <w:p w14:paraId="22868E39"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single" w:sz="4" w:space="0" w:color="auto"/>
              <w:right w:val="nil"/>
            </w:tcBorders>
            <w:shd w:val="clear" w:color="auto" w:fill="auto"/>
            <w:noWrap/>
            <w:vAlign w:val="center"/>
          </w:tcPr>
          <w:p w14:paraId="1F0ADCE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5.0</w:t>
            </w:r>
          </w:p>
        </w:tc>
        <w:tc>
          <w:tcPr>
            <w:tcW w:w="700" w:type="dxa"/>
            <w:tcBorders>
              <w:top w:val="nil"/>
              <w:left w:val="nil"/>
              <w:bottom w:val="single" w:sz="4" w:space="0" w:color="auto"/>
              <w:right w:val="nil"/>
            </w:tcBorders>
            <w:shd w:val="clear" w:color="auto" w:fill="auto"/>
            <w:noWrap/>
            <w:vAlign w:val="center"/>
          </w:tcPr>
          <w:p w14:paraId="7EC851BE"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0.8</w:t>
            </w:r>
          </w:p>
        </w:tc>
        <w:tc>
          <w:tcPr>
            <w:tcW w:w="700" w:type="dxa"/>
            <w:tcBorders>
              <w:top w:val="nil"/>
              <w:left w:val="nil"/>
              <w:bottom w:val="single" w:sz="4" w:space="0" w:color="auto"/>
              <w:right w:val="nil"/>
            </w:tcBorders>
            <w:shd w:val="clear" w:color="auto" w:fill="auto"/>
            <w:noWrap/>
            <w:vAlign w:val="center"/>
          </w:tcPr>
          <w:p w14:paraId="65F4D417"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4.2</w:t>
            </w:r>
          </w:p>
        </w:tc>
        <w:tc>
          <w:tcPr>
            <w:tcW w:w="700" w:type="dxa"/>
            <w:tcBorders>
              <w:top w:val="nil"/>
              <w:left w:val="nil"/>
              <w:bottom w:val="single" w:sz="4" w:space="0" w:color="auto"/>
              <w:right w:val="nil"/>
            </w:tcBorders>
            <w:shd w:val="clear" w:color="auto" w:fill="auto"/>
            <w:noWrap/>
            <w:vAlign w:val="center"/>
          </w:tcPr>
          <w:p w14:paraId="7C79701C"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0.3</w:t>
            </w:r>
          </w:p>
        </w:tc>
        <w:tc>
          <w:tcPr>
            <w:tcW w:w="700" w:type="dxa"/>
            <w:tcBorders>
              <w:top w:val="nil"/>
              <w:left w:val="nil"/>
              <w:bottom w:val="single" w:sz="4" w:space="0" w:color="auto"/>
              <w:right w:val="nil"/>
            </w:tcBorders>
            <w:shd w:val="clear" w:color="auto" w:fill="auto"/>
            <w:noWrap/>
            <w:vAlign w:val="center"/>
          </w:tcPr>
          <w:p w14:paraId="59CEE8BE"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0.3</w:t>
            </w:r>
          </w:p>
        </w:tc>
        <w:tc>
          <w:tcPr>
            <w:tcW w:w="700" w:type="dxa"/>
            <w:tcBorders>
              <w:top w:val="nil"/>
              <w:left w:val="nil"/>
              <w:bottom w:val="single" w:sz="4" w:space="0" w:color="auto"/>
              <w:right w:val="nil"/>
            </w:tcBorders>
            <w:shd w:val="clear" w:color="auto" w:fill="auto"/>
            <w:noWrap/>
            <w:vAlign w:val="center"/>
          </w:tcPr>
          <w:p w14:paraId="71C3A38D"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2.8</w:t>
            </w:r>
          </w:p>
        </w:tc>
        <w:tc>
          <w:tcPr>
            <w:tcW w:w="700" w:type="dxa"/>
            <w:tcBorders>
              <w:top w:val="nil"/>
              <w:left w:val="nil"/>
              <w:bottom w:val="single" w:sz="4" w:space="0" w:color="auto"/>
              <w:right w:val="nil"/>
            </w:tcBorders>
            <w:shd w:val="clear" w:color="auto" w:fill="auto"/>
            <w:noWrap/>
            <w:vAlign w:val="center"/>
          </w:tcPr>
          <w:p w14:paraId="796652F4"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single" w:sz="4" w:space="0" w:color="auto"/>
              <w:right w:val="nil"/>
            </w:tcBorders>
            <w:shd w:val="clear" w:color="auto" w:fill="auto"/>
            <w:noWrap/>
            <w:vAlign w:val="center"/>
          </w:tcPr>
          <w:p w14:paraId="658948DC"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r w:rsidRPr="002F4427">
              <w:rPr>
                <w:rFonts w:ascii="Times New Roman" w:eastAsia="Times New Roman" w:hAnsi="Times New Roman" w:cs="Times New Roman"/>
                <w:sz w:val="20"/>
                <w:szCs w:val="20"/>
              </w:rPr>
              <w:t>0.0</w:t>
            </w:r>
          </w:p>
        </w:tc>
        <w:tc>
          <w:tcPr>
            <w:tcW w:w="700" w:type="dxa"/>
            <w:tcBorders>
              <w:top w:val="nil"/>
              <w:left w:val="nil"/>
              <w:bottom w:val="single" w:sz="4" w:space="0" w:color="auto"/>
              <w:right w:val="nil"/>
            </w:tcBorders>
            <w:shd w:val="clear" w:color="auto" w:fill="auto"/>
            <w:noWrap/>
            <w:vAlign w:val="center"/>
          </w:tcPr>
          <w:p w14:paraId="5EBD0141"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4.2</w:t>
            </w:r>
          </w:p>
        </w:tc>
        <w:tc>
          <w:tcPr>
            <w:tcW w:w="700" w:type="dxa"/>
            <w:tcBorders>
              <w:top w:val="nil"/>
              <w:left w:val="nil"/>
              <w:bottom w:val="single" w:sz="4" w:space="0" w:color="auto"/>
              <w:right w:val="nil"/>
            </w:tcBorders>
            <w:shd w:val="clear" w:color="auto" w:fill="auto"/>
            <w:noWrap/>
            <w:vAlign w:val="center"/>
          </w:tcPr>
          <w:p w14:paraId="13E5F295"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0.3</w:t>
            </w:r>
          </w:p>
        </w:tc>
        <w:tc>
          <w:tcPr>
            <w:tcW w:w="700" w:type="dxa"/>
            <w:tcBorders>
              <w:top w:val="nil"/>
              <w:left w:val="nil"/>
              <w:bottom w:val="single" w:sz="4" w:space="0" w:color="auto"/>
              <w:right w:val="nil"/>
            </w:tcBorders>
            <w:shd w:val="clear" w:color="auto" w:fill="auto"/>
            <w:noWrap/>
            <w:vAlign w:val="center"/>
          </w:tcPr>
          <w:p w14:paraId="7797FB0B"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single" w:sz="4" w:space="0" w:color="auto"/>
              <w:right w:val="nil"/>
            </w:tcBorders>
            <w:shd w:val="clear" w:color="auto" w:fill="auto"/>
            <w:noWrap/>
            <w:vAlign w:val="center"/>
          </w:tcPr>
          <w:p w14:paraId="1C86C8B0"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1.9</w:t>
            </w:r>
          </w:p>
        </w:tc>
        <w:tc>
          <w:tcPr>
            <w:tcW w:w="700" w:type="dxa"/>
            <w:tcBorders>
              <w:top w:val="nil"/>
              <w:left w:val="nil"/>
              <w:bottom w:val="single" w:sz="4" w:space="0" w:color="auto"/>
              <w:right w:val="nil"/>
            </w:tcBorders>
            <w:shd w:val="clear" w:color="auto" w:fill="auto"/>
            <w:noWrap/>
            <w:vAlign w:val="center"/>
          </w:tcPr>
          <w:p w14:paraId="79CDCCCB"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0.3</w:t>
            </w:r>
          </w:p>
        </w:tc>
        <w:tc>
          <w:tcPr>
            <w:tcW w:w="700" w:type="dxa"/>
            <w:tcBorders>
              <w:top w:val="nil"/>
              <w:left w:val="nil"/>
              <w:bottom w:val="single" w:sz="4" w:space="0" w:color="auto"/>
              <w:right w:val="nil"/>
            </w:tcBorders>
            <w:shd w:val="clear" w:color="auto" w:fill="auto"/>
            <w:noWrap/>
            <w:vAlign w:val="center"/>
          </w:tcPr>
          <w:p w14:paraId="6736852D"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0.3</w:t>
            </w:r>
          </w:p>
        </w:tc>
        <w:tc>
          <w:tcPr>
            <w:tcW w:w="700" w:type="dxa"/>
            <w:tcBorders>
              <w:top w:val="nil"/>
              <w:left w:val="nil"/>
              <w:bottom w:val="single" w:sz="4" w:space="0" w:color="auto"/>
              <w:right w:val="nil"/>
            </w:tcBorders>
            <w:shd w:val="clear" w:color="auto" w:fill="auto"/>
            <w:noWrap/>
            <w:vAlign w:val="center"/>
          </w:tcPr>
          <w:p w14:paraId="319FEBE3"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0.0</w:t>
            </w:r>
          </w:p>
        </w:tc>
        <w:tc>
          <w:tcPr>
            <w:tcW w:w="700" w:type="dxa"/>
            <w:tcBorders>
              <w:top w:val="nil"/>
              <w:left w:val="nil"/>
              <w:bottom w:val="single" w:sz="4" w:space="0" w:color="auto"/>
              <w:right w:val="nil"/>
            </w:tcBorders>
            <w:shd w:val="clear" w:color="auto" w:fill="auto"/>
            <w:noWrap/>
            <w:vAlign w:val="center"/>
          </w:tcPr>
          <w:p w14:paraId="5F292374" w14:textId="77777777" w:rsidR="002F4427" w:rsidRPr="002F4427" w:rsidRDefault="002F4427" w:rsidP="002F4427">
            <w:pPr>
              <w:spacing w:after="0" w:line="240" w:lineRule="auto"/>
              <w:jc w:val="center"/>
              <w:rPr>
                <w:rFonts w:ascii="Calibri" w:eastAsia="Times New Roman" w:hAnsi="Calibri" w:cs="Calibri"/>
                <w:color w:val="000000"/>
              </w:rPr>
            </w:pPr>
            <w:r w:rsidRPr="002F4427">
              <w:rPr>
                <w:rFonts w:ascii="Calibri" w:eastAsia="Times New Roman" w:hAnsi="Calibri" w:cs="Calibri"/>
                <w:color w:val="000000"/>
              </w:rPr>
              <w:t>4.2</w:t>
            </w:r>
          </w:p>
        </w:tc>
      </w:tr>
      <w:tr w:rsidR="002F4427" w:rsidRPr="002F4427" w14:paraId="02FF4B51" w14:textId="77777777" w:rsidTr="002F4427">
        <w:trPr>
          <w:trHeight w:val="290"/>
        </w:trPr>
        <w:tc>
          <w:tcPr>
            <w:tcW w:w="960" w:type="dxa"/>
            <w:tcBorders>
              <w:top w:val="single" w:sz="4" w:space="0" w:color="auto"/>
              <w:left w:val="nil"/>
              <w:bottom w:val="nil"/>
              <w:right w:val="nil"/>
            </w:tcBorders>
            <w:shd w:val="clear" w:color="auto" w:fill="auto"/>
            <w:noWrap/>
            <w:vAlign w:val="bottom"/>
          </w:tcPr>
          <w:p w14:paraId="14B51BE3" w14:textId="77777777" w:rsidR="002F4427" w:rsidRPr="002F4427" w:rsidRDefault="002F4427" w:rsidP="002F4427">
            <w:pPr>
              <w:spacing w:after="0" w:line="240" w:lineRule="auto"/>
              <w:rPr>
                <w:rFonts w:ascii="Calibri" w:eastAsia="Times New Roman" w:hAnsi="Calibri" w:cs="Calibri"/>
                <w:b/>
                <w:bCs/>
                <w:color w:val="000000"/>
              </w:rPr>
            </w:pPr>
          </w:p>
        </w:tc>
        <w:tc>
          <w:tcPr>
            <w:tcW w:w="700" w:type="dxa"/>
            <w:tcBorders>
              <w:top w:val="single" w:sz="4" w:space="0" w:color="auto"/>
              <w:left w:val="nil"/>
              <w:bottom w:val="nil"/>
              <w:right w:val="nil"/>
            </w:tcBorders>
            <w:shd w:val="clear" w:color="auto" w:fill="auto"/>
            <w:noWrap/>
            <w:vAlign w:val="center"/>
          </w:tcPr>
          <w:p w14:paraId="02FBA2F8"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0AA7ACDC"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5D9F2035"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3CA36923"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640530BD"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362BB860"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464CFC10"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126ECCB4"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3FAFD588"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579F8877"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1E4310B4"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0DE48A35"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1396CB4E"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1B021DB8"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3B3AE007"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5CB1519F"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19951BE1"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085B356C" w14:textId="77777777" w:rsidR="002F4427" w:rsidRPr="002F4427" w:rsidRDefault="002F4427" w:rsidP="002F4427">
            <w:pPr>
              <w:spacing w:after="0" w:line="240" w:lineRule="auto"/>
              <w:jc w:val="center"/>
              <w:rPr>
                <w:rFonts w:ascii="Times New Roman" w:eastAsia="Times New Roman" w:hAnsi="Times New Roman" w:cs="Times New Roman"/>
                <w:sz w:val="20"/>
                <w:szCs w:val="20"/>
              </w:rPr>
            </w:pPr>
          </w:p>
        </w:tc>
        <w:tc>
          <w:tcPr>
            <w:tcW w:w="700" w:type="dxa"/>
            <w:tcBorders>
              <w:top w:val="single" w:sz="4" w:space="0" w:color="auto"/>
              <w:left w:val="nil"/>
              <w:bottom w:val="nil"/>
              <w:right w:val="nil"/>
            </w:tcBorders>
            <w:shd w:val="clear" w:color="auto" w:fill="auto"/>
            <w:noWrap/>
            <w:vAlign w:val="center"/>
          </w:tcPr>
          <w:p w14:paraId="2E1D29EE"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2FDE640E"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01B149B4"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09651EFD"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076283EB"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696B74B9"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5A69CE27" w14:textId="77777777" w:rsidR="002F4427" w:rsidRPr="002F4427" w:rsidRDefault="002F4427" w:rsidP="002F4427">
            <w:pPr>
              <w:spacing w:after="0" w:line="240" w:lineRule="auto"/>
              <w:jc w:val="center"/>
              <w:rPr>
                <w:rFonts w:ascii="Calibri" w:eastAsia="Times New Roman" w:hAnsi="Calibri" w:cs="Calibri"/>
                <w:color w:val="000000"/>
              </w:rPr>
            </w:pPr>
          </w:p>
        </w:tc>
        <w:tc>
          <w:tcPr>
            <w:tcW w:w="700" w:type="dxa"/>
            <w:tcBorders>
              <w:top w:val="single" w:sz="4" w:space="0" w:color="auto"/>
              <w:left w:val="nil"/>
              <w:bottom w:val="nil"/>
              <w:right w:val="nil"/>
            </w:tcBorders>
            <w:shd w:val="clear" w:color="auto" w:fill="auto"/>
            <w:noWrap/>
            <w:vAlign w:val="center"/>
          </w:tcPr>
          <w:p w14:paraId="28168529" w14:textId="77777777" w:rsidR="002F4427" w:rsidRPr="002F4427" w:rsidRDefault="002F4427" w:rsidP="002F4427">
            <w:pPr>
              <w:spacing w:after="0" w:line="240" w:lineRule="auto"/>
              <w:jc w:val="center"/>
              <w:rPr>
                <w:rFonts w:ascii="Calibri" w:eastAsia="Times New Roman" w:hAnsi="Calibri" w:cs="Calibri"/>
                <w:color w:val="000000"/>
              </w:rPr>
            </w:pPr>
          </w:p>
        </w:tc>
      </w:tr>
      <w:tr w:rsidR="00304037" w:rsidRPr="002F4427" w14:paraId="379075FD" w14:textId="77777777" w:rsidTr="009500B2">
        <w:trPr>
          <w:trHeight w:val="290"/>
        </w:trPr>
        <w:tc>
          <w:tcPr>
            <w:tcW w:w="19160" w:type="dxa"/>
            <w:gridSpan w:val="27"/>
            <w:tcBorders>
              <w:top w:val="nil"/>
              <w:left w:val="nil"/>
              <w:bottom w:val="single" w:sz="4" w:space="0" w:color="auto"/>
              <w:right w:val="nil"/>
            </w:tcBorders>
            <w:shd w:val="clear" w:color="auto" w:fill="auto"/>
            <w:noWrap/>
            <w:vAlign w:val="bottom"/>
          </w:tcPr>
          <w:p w14:paraId="1B7D78D0" w14:textId="487FBF1C" w:rsidR="00304037" w:rsidRPr="002F4427" w:rsidRDefault="00144B26" w:rsidP="00304037">
            <w:pPr>
              <w:spacing w:after="0" w:line="240" w:lineRule="auto"/>
              <w:rPr>
                <w:rFonts w:ascii="Calibri" w:eastAsia="Times New Roman" w:hAnsi="Calibri" w:cs="Calibri"/>
                <w:color w:val="000000"/>
              </w:rPr>
            </w:pPr>
            <w:r>
              <w:rPr>
                <w:rFonts w:ascii="Calibri" w:eastAsia="Times New Roman" w:hAnsi="Calibri" w:cs="Calibri"/>
                <w:b/>
                <w:bCs/>
                <w:color w:val="000000"/>
              </w:rPr>
              <w:t xml:space="preserve">Table A.4c: </w:t>
            </w:r>
            <w:r w:rsidR="00304037" w:rsidRPr="002F4427">
              <w:rPr>
                <w:rFonts w:ascii="Calibri" w:eastAsia="Times New Roman" w:hAnsi="Calibri" w:cs="Calibri"/>
                <w:b/>
                <w:bCs/>
                <w:color w:val="000000"/>
              </w:rPr>
              <w:t># Times swimming/month (cumulative %</w:t>
            </w:r>
            <w:r>
              <w:rPr>
                <w:rFonts w:ascii="Calibri" w:eastAsia="Times New Roman" w:hAnsi="Calibri" w:cs="Calibri"/>
                <w:b/>
                <w:bCs/>
                <w:color w:val="000000"/>
              </w:rPr>
              <w:t>, or percentile</w:t>
            </w:r>
            <w:r w:rsidR="00304037" w:rsidRPr="002F4427">
              <w:rPr>
                <w:rFonts w:ascii="Calibri" w:eastAsia="Times New Roman" w:hAnsi="Calibri" w:cs="Calibri"/>
                <w:b/>
                <w:bCs/>
                <w:color w:val="000000"/>
              </w:rPr>
              <w:t>)</w:t>
            </w:r>
            <w:r w:rsidR="00304037">
              <w:rPr>
                <w:rFonts w:ascii="Calibri" w:eastAsia="Times New Roman" w:hAnsi="Calibri" w:cs="Calibri"/>
                <w:b/>
                <w:bCs/>
                <w:color w:val="000000"/>
              </w:rPr>
              <w:t xml:space="preserve"> </w:t>
            </w:r>
            <w:r w:rsidR="00304037" w:rsidRPr="00304037">
              <w:rPr>
                <w:rFonts w:ascii="Calibri" w:eastAsia="Times New Roman" w:hAnsi="Calibri" w:cs="Calibri"/>
                <w:color w:val="000000"/>
              </w:rPr>
              <w:t>(calculated)</w:t>
            </w:r>
          </w:p>
        </w:tc>
      </w:tr>
      <w:tr w:rsidR="002F4427" w:rsidRPr="002F4427" w14:paraId="477D253C" w14:textId="77777777" w:rsidTr="002F4427">
        <w:trPr>
          <w:trHeight w:val="290"/>
        </w:trPr>
        <w:tc>
          <w:tcPr>
            <w:tcW w:w="960" w:type="dxa"/>
            <w:tcBorders>
              <w:top w:val="single" w:sz="4" w:space="0" w:color="auto"/>
              <w:left w:val="nil"/>
              <w:bottom w:val="nil"/>
              <w:right w:val="nil"/>
            </w:tcBorders>
            <w:shd w:val="clear" w:color="auto" w:fill="D9D9D9" w:themeFill="background1" w:themeFillShade="D9"/>
            <w:noWrap/>
            <w:vAlign w:val="bottom"/>
          </w:tcPr>
          <w:p w14:paraId="1F10D669" w14:textId="5780FB3E" w:rsidR="002F4427" w:rsidRPr="002F4427" w:rsidRDefault="002F4427" w:rsidP="002F4427">
            <w:pPr>
              <w:spacing w:after="0" w:line="240" w:lineRule="auto"/>
              <w:rPr>
                <w:rFonts w:ascii="Calibri" w:eastAsia="Times New Roman" w:hAnsi="Calibri" w:cs="Calibri"/>
                <w:b/>
                <w:bCs/>
                <w:color w:val="000000"/>
              </w:rPr>
            </w:pPr>
            <w:r>
              <w:rPr>
                <w:rFonts w:ascii="Calibri" w:hAnsi="Calibri" w:cs="Calibri"/>
                <w:b/>
                <w:bCs/>
                <w:color w:val="000000"/>
              </w:rPr>
              <w:t>Age</w:t>
            </w:r>
          </w:p>
        </w:tc>
        <w:tc>
          <w:tcPr>
            <w:tcW w:w="700" w:type="dxa"/>
            <w:tcBorders>
              <w:top w:val="single" w:sz="4" w:space="0" w:color="auto"/>
              <w:left w:val="nil"/>
              <w:bottom w:val="nil"/>
              <w:right w:val="nil"/>
            </w:tcBorders>
            <w:shd w:val="clear" w:color="auto" w:fill="D9D9D9" w:themeFill="background1" w:themeFillShade="D9"/>
            <w:noWrap/>
            <w:vAlign w:val="center"/>
          </w:tcPr>
          <w:p w14:paraId="63FE3543" w14:textId="0A3360DA" w:rsidR="002F4427" w:rsidRPr="002F4427" w:rsidRDefault="002F4427" w:rsidP="002F4427">
            <w:pPr>
              <w:spacing w:after="0" w:line="240" w:lineRule="auto"/>
              <w:jc w:val="center"/>
              <w:rPr>
                <w:rFonts w:ascii="Calibri" w:eastAsia="Times New Roman" w:hAnsi="Calibri" w:cs="Calibri"/>
                <w:i/>
                <w:iCs/>
                <w:color w:val="000000"/>
              </w:rPr>
            </w:pPr>
            <w:r w:rsidRPr="002F4427">
              <w:rPr>
                <w:rFonts w:ascii="Calibri" w:hAnsi="Calibri" w:cs="Calibri"/>
                <w:b/>
                <w:bCs/>
                <w:i/>
                <w:iCs/>
                <w:color w:val="000000"/>
              </w:rPr>
              <w:t>n</w:t>
            </w:r>
          </w:p>
        </w:tc>
        <w:tc>
          <w:tcPr>
            <w:tcW w:w="700" w:type="dxa"/>
            <w:tcBorders>
              <w:top w:val="single" w:sz="4" w:space="0" w:color="auto"/>
              <w:left w:val="nil"/>
              <w:bottom w:val="nil"/>
              <w:right w:val="nil"/>
            </w:tcBorders>
            <w:shd w:val="clear" w:color="auto" w:fill="D9D9D9" w:themeFill="background1" w:themeFillShade="D9"/>
            <w:noWrap/>
            <w:vAlign w:val="center"/>
          </w:tcPr>
          <w:p w14:paraId="2A4E313E" w14:textId="7017512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1</w:t>
            </w:r>
          </w:p>
        </w:tc>
        <w:tc>
          <w:tcPr>
            <w:tcW w:w="700" w:type="dxa"/>
            <w:tcBorders>
              <w:top w:val="single" w:sz="4" w:space="0" w:color="auto"/>
              <w:left w:val="nil"/>
              <w:bottom w:val="nil"/>
              <w:right w:val="nil"/>
            </w:tcBorders>
            <w:shd w:val="clear" w:color="auto" w:fill="D9D9D9" w:themeFill="background1" w:themeFillShade="D9"/>
            <w:noWrap/>
            <w:vAlign w:val="center"/>
          </w:tcPr>
          <w:p w14:paraId="14C3F290" w14:textId="49921E36"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2</w:t>
            </w:r>
          </w:p>
        </w:tc>
        <w:tc>
          <w:tcPr>
            <w:tcW w:w="700" w:type="dxa"/>
            <w:tcBorders>
              <w:top w:val="single" w:sz="4" w:space="0" w:color="auto"/>
              <w:left w:val="nil"/>
              <w:bottom w:val="nil"/>
              <w:right w:val="nil"/>
            </w:tcBorders>
            <w:shd w:val="clear" w:color="auto" w:fill="D9D9D9" w:themeFill="background1" w:themeFillShade="D9"/>
            <w:noWrap/>
            <w:vAlign w:val="center"/>
          </w:tcPr>
          <w:p w14:paraId="3C3D4C63" w14:textId="059DE8FE"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3</w:t>
            </w:r>
          </w:p>
        </w:tc>
        <w:tc>
          <w:tcPr>
            <w:tcW w:w="700" w:type="dxa"/>
            <w:tcBorders>
              <w:top w:val="single" w:sz="4" w:space="0" w:color="auto"/>
              <w:left w:val="nil"/>
              <w:bottom w:val="nil"/>
              <w:right w:val="nil"/>
            </w:tcBorders>
            <w:shd w:val="clear" w:color="auto" w:fill="D9D9D9" w:themeFill="background1" w:themeFillShade="D9"/>
            <w:noWrap/>
            <w:vAlign w:val="center"/>
          </w:tcPr>
          <w:p w14:paraId="16A85626" w14:textId="160016EB"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4</w:t>
            </w:r>
          </w:p>
        </w:tc>
        <w:tc>
          <w:tcPr>
            <w:tcW w:w="700" w:type="dxa"/>
            <w:tcBorders>
              <w:top w:val="single" w:sz="4" w:space="0" w:color="auto"/>
              <w:left w:val="nil"/>
              <w:bottom w:val="nil"/>
              <w:right w:val="nil"/>
            </w:tcBorders>
            <w:shd w:val="clear" w:color="auto" w:fill="D9D9D9" w:themeFill="background1" w:themeFillShade="D9"/>
            <w:noWrap/>
            <w:vAlign w:val="center"/>
          </w:tcPr>
          <w:p w14:paraId="52FD9DA9" w14:textId="1C7BE328"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5</w:t>
            </w:r>
          </w:p>
        </w:tc>
        <w:tc>
          <w:tcPr>
            <w:tcW w:w="700" w:type="dxa"/>
            <w:tcBorders>
              <w:top w:val="single" w:sz="4" w:space="0" w:color="auto"/>
              <w:left w:val="nil"/>
              <w:bottom w:val="nil"/>
              <w:right w:val="nil"/>
            </w:tcBorders>
            <w:shd w:val="clear" w:color="auto" w:fill="D9D9D9" w:themeFill="background1" w:themeFillShade="D9"/>
            <w:noWrap/>
            <w:vAlign w:val="center"/>
          </w:tcPr>
          <w:p w14:paraId="66963C87" w14:textId="57C62855"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6</w:t>
            </w:r>
          </w:p>
        </w:tc>
        <w:tc>
          <w:tcPr>
            <w:tcW w:w="700" w:type="dxa"/>
            <w:tcBorders>
              <w:top w:val="single" w:sz="4" w:space="0" w:color="auto"/>
              <w:left w:val="nil"/>
              <w:bottom w:val="nil"/>
              <w:right w:val="nil"/>
            </w:tcBorders>
            <w:shd w:val="clear" w:color="auto" w:fill="D9D9D9" w:themeFill="background1" w:themeFillShade="D9"/>
            <w:noWrap/>
            <w:vAlign w:val="center"/>
          </w:tcPr>
          <w:p w14:paraId="2C9CE29B" w14:textId="6806248F"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7</w:t>
            </w:r>
          </w:p>
        </w:tc>
        <w:tc>
          <w:tcPr>
            <w:tcW w:w="700" w:type="dxa"/>
            <w:tcBorders>
              <w:top w:val="single" w:sz="4" w:space="0" w:color="auto"/>
              <w:left w:val="nil"/>
              <w:bottom w:val="nil"/>
              <w:right w:val="nil"/>
            </w:tcBorders>
            <w:shd w:val="clear" w:color="auto" w:fill="D9D9D9" w:themeFill="background1" w:themeFillShade="D9"/>
            <w:noWrap/>
            <w:vAlign w:val="center"/>
          </w:tcPr>
          <w:p w14:paraId="19AE2CCD" w14:textId="4EB5806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8</w:t>
            </w:r>
          </w:p>
        </w:tc>
        <w:tc>
          <w:tcPr>
            <w:tcW w:w="700" w:type="dxa"/>
            <w:tcBorders>
              <w:top w:val="single" w:sz="4" w:space="0" w:color="auto"/>
              <w:left w:val="nil"/>
              <w:bottom w:val="nil"/>
              <w:right w:val="nil"/>
            </w:tcBorders>
            <w:shd w:val="clear" w:color="auto" w:fill="D9D9D9" w:themeFill="background1" w:themeFillShade="D9"/>
            <w:noWrap/>
            <w:vAlign w:val="center"/>
          </w:tcPr>
          <w:p w14:paraId="49F97BCE" w14:textId="240CC6D1"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9</w:t>
            </w:r>
          </w:p>
        </w:tc>
        <w:tc>
          <w:tcPr>
            <w:tcW w:w="700" w:type="dxa"/>
            <w:tcBorders>
              <w:top w:val="single" w:sz="4" w:space="0" w:color="auto"/>
              <w:left w:val="nil"/>
              <w:bottom w:val="nil"/>
              <w:right w:val="nil"/>
            </w:tcBorders>
            <w:shd w:val="clear" w:color="auto" w:fill="D9D9D9" w:themeFill="background1" w:themeFillShade="D9"/>
            <w:noWrap/>
            <w:vAlign w:val="center"/>
          </w:tcPr>
          <w:p w14:paraId="030F64AF" w14:textId="19340503"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10</w:t>
            </w:r>
          </w:p>
        </w:tc>
        <w:tc>
          <w:tcPr>
            <w:tcW w:w="700" w:type="dxa"/>
            <w:tcBorders>
              <w:top w:val="single" w:sz="4" w:space="0" w:color="auto"/>
              <w:left w:val="nil"/>
              <w:bottom w:val="nil"/>
              <w:right w:val="nil"/>
            </w:tcBorders>
            <w:shd w:val="clear" w:color="auto" w:fill="D9D9D9" w:themeFill="background1" w:themeFillShade="D9"/>
            <w:noWrap/>
            <w:vAlign w:val="center"/>
          </w:tcPr>
          <w:p w14:paraId="00962EB2" w14:textId="7BB109B2"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11</w:t>
            </w:r>
          </w:p>
        </w:tc>
        <w:tc>
          <w:tcPr>
            <w:tcW w:w="700" w:type="dxa"/>
            <w:tcBorders>
              <w:top w:val="single" w:sz="4" w:space="0" w:color="auto"/>
              <w:left w:val="nil"/>
              <w:bottom w:val="nil"/>
              <w:right w:val="nil"/>
            </w:tcBorders>
            <w:shd w:val="clear" w:color="auto" w:fill="D9D9D9" w:themeFill="background1" w:themeFillShade="D9"/>
            <w:noWrap/>
            <w:vAlign w:val="center"/>
          </w:tcPr>
          <w:p w14:paraId="1C8A2116" w14:textId="51CDE80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12</w:t>
            </w:r>
          </w:p>
        </w:tc>
        <w:tc>
          <w:tcPr>
            <w:tcW w:w="700" w:type="dxa"/>
            <w:tcBorders>
              <w:top w:val="single" w:sz="4" w:space="0" w:color="auto"/>
              <w:left w:val="nil"/>
              <w:bottom w:val="nil"/>
              <w:right w:val="nil"/>
            </w:tcBorders>
            <w:shd w:val="clear" w:color="auto" w:fill="D9D9D9" w:themeFill="background1" w:themeFillShade="D9"/>
            <w:noWrap/>
            <w:vAlign w:val="center"/>
          </w:tcPr>
          <w:p w14:paraId="7A23F8DD" w14:textId="634C1443"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13</w:t>
            </w:r>
          </w:p>
        </w:tc>
        <w:tc>
          <w:tcPr>
            <w:tcW w:w="700" w:type="dxa"/>
            <w:tcBorders>
              <w:top w:val="single" w:sz="4" w:space="0" w:color="auto"/>
              <w:left w:val="nil"/>
              <w:bottom w:val="nil"/>
              <w:right w:val="nil"/>
            </w:tcBorders>
            <w:shd w:val="clear" w:color="auto" w:fill="D9D9D9" w:themeFill="background1" w:themeFillShade="D9"/>
            <w:noWrap/>
            <w:vAlign w:val="center"/>
          </w:tcPr>
          <w:p w14:paraId="510F25F7" w14:textId="78B22A80"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14</w:t>
            </w:r>
          </w:p>
        </w:tc>
        <w:tc>
          <w:tcPr>
            <w:tcW w:w="700" w:type="dxa"/>
            <w:tcBorders>
              <w:top w:val="single" w:sz="4" w:space="0" w:color="auto"/>
              <w:left w:val="nil"/>
              <w:bottom w:val="nil"/>
              <w:right w:val="nil"/>
            </w:tcBorders>
            <w:shd w:val="clear" w:color="auto" w:fill="D9D9D9" w:themeFill="background1" w:themeFillShade="D9"/>
            <w:noWrap/>
            <w:vAlign w:val="center"/>
          </w:tcPr>
          <w:p w14:paraId="4D3057B6" w14:textId="66155A5F"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15</w:t>
            </w:r>
          </w:p>
        </w:tc>
        <w:tc>
          <w:tcPr>
            <w:tcW w:w="700" w:type="dxa"/>
            <w:tcBorders>
              <w:top w:val="single" w:sz="4" w:space="0" w:color="auto"/>
              <w:left w:val="nil"/>
              <w:bottom w:val="nil"/>
              <w:right w:val="nil"/>
            </w:tcBorders>
            <w:shd w:val="clear" w:color="auto" w:fill="D9D9D9" w:themeFill="background1" w:themeFillShade="D9"/>
            <w:noWrap/>
            <w:vAlign w:val="center"/>
          </w:tcPr>
          <w:p w14:paraId="52A1B8EF" w14:textId="5C38E1A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16</w:t>
            </w:r>
          </w:p>
        </w:tc>
        <w:tc>
          <w:tcPr>
            <w:tcW w:w="700" w:type="dxa"/>
            <w:tcBorders>
              <w:top w:val="single" w:sz="4" w:space="0" w:color="auto"/>
              <w:left w:val="nil"/>
              <w:bottom w:val="nil"/>
              <w:right w:val="nil"/>
            </w:tcBorders>
            <w:shd w:val="clear" w:color="auto" w:fill="D9D9D9" w:themeFill="background1" w:themeFillShade="D9"/>
            <w:noWrap/>
            <w:vAlign w:val="center"/>
          </w:tcPr>
          <w:p w14:paraId="21407E2B" w14:textId="0D368AA9" w:rsidR="002F4427" w:rsidRPr="002F4427" w:rsidRDefault="002F4427" w:rsidP="002F4427">
            <w:pPr>
              <w:spacing w:after="0" w:line="240" w:lineRule="auto"/>
              <w:jc w:val="center"/>
              <w:rPr>
                <w:rFonts w:ascii="Times New Roman" w:eastAsia="Times New Roman" w:hAnsi="Times New Roman" w:cs="Times New Roman"/>
                <w:sz w:val="20"/>
                <w:szCs w:val="20"/>
              </w:rPr>
            </w:pPr>
            <w:r>
              <w:rPr>
                <w:rFonts w:ascii="Calibri" w:hAnsi="Calibri" w:cs="Calibri"/>
                <w:b/>
                <w:bCs/>
                <w:color w:val="000000"/>
              </w:rPr>
              <w:t>18</w:t>
            </w:r>
          </w:p>
        </w:tc>
        <w:tc>
          <w:tcPr>
            <w:tcW w:w="700" w:type="dxa"/>
            <w:tcBorders>
              <w:top w:val="single" w:sz="4" w:space="0" w:color="auto"/>
              <w:left w:val="nil"/>
              <w:bottom w:val="nil"/>
              <w:right w:val="nil"/>
            </w:tcBorders>
            <w:shd w:val="clear" w:color="auto" w:fill="D9D9D9" w:themeFill="background1" w:themeFillShade="D9"/>
            <w:noWrap/>
            <w:vAlign w:val="center"/>
          </w:tcPr>
          <w:p w14:paraId="42350D30" w14:textId="00721C96"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20</w:t>
            </w:r>
          </w:p>
        </w:tc>
        <w:tc>
          <w:tcPr>
            <w:tcW w:w="700" w:type="dxa"/>
            <w:tcBorders>
              <w:top w:val="single" w:sz="4" w:space="0" w:color="auto"/>
              <w:left w:val="nil"/>
              <w:bottom w:val="nil"/>
              <w:right w:val="nil"/>
            </w:tcBorders>
            <w:shd w:val="clear" w:color="auto" w:fill="D9D9D9" w:themeFill="background1" w:themeFillShade="D9"/>
            <w:noWrap/>
            <w:vAlign w:val="center"/>
          </w:tcPr>
          <w:p w14:paraId="0847D4EA" w14:textId="34BF59E5"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23</w:t>
            </w:r>
          </w:p>
        </w:tc>
        <w:tc>
          <w:tcPr>
            <w:tcW w:w="700" w:type="dxa"/>
            <w:tcBorders>
              <w:top w:val="single" w:sz="4" w:space="0" w:color="auto"/>
              <w:left w:val="nil"/>
              <w:bottom w:val="nil"/>
              <w:right w:val="nil"/>
            </w:tcBorders>
            <w:shd w:val="clear" w:color="auto" w:fill="D9D9D9" w:themeFill="background1" w:themeFillShade="D9"/>
            <w:noWrap/>
            <w:vAlign w:val="center"/>
          </w:tcPr>
          <w:p w14:paraId="46BFCCC1" w14:textId="2BE870E6"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24</w:t>
            </w:r>
          </w:p>
        </w:tc>
        <w:tc>
          <w:tcPr>
            <w:tcW w:w="700" w:type="dxa"/>
            <w:tcBorders>
              <w:top w:val="single" w:sz="4" w:space="0" w:color="auto"/>
              <w:left w:val="nil"/>
              <w:bottom w:val="nil"/>
              <w:right w:val="nil"/>
            </w:tcBorders>
            <w:shd w:val="clear" w:color="auto" w:fill="D9D9D9" w:themeFill="background1" w:themeFillShade="D9"/>
            <w:noWrap/>
            <w:vAlign w:val="center"/>
          </w:tcPr>
          <w:p w14:paraId="471EE759" w14:textId="0F3FEA35"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25</w:t>
            </w:r>
          </w:p>
        </w:tc>
        <w:tc>
          <w:tcPr>
            <w:tcW w:w="700" w:type="dxa"/>
            <w:tcBorders>
              <w:top w:val="single" w:sz="4" w:space="0" w:color="auto"/>
              <w:left w:val="nil"/>
              <w:bottom w:val="nil"/>
              <w:right w:val="nil"/>
            </w:tcBorders>
            <w:shd w:val="clear" w:color="auto" w:fill="D9D9D9" w:themeFill="background1" w:themeFillShade="D9"/>
            <w:noWrap/>
            <w:vAlign w:val="center"/>
          </w:tcPr>
          <w:p w14:paraId="079E1601" w14:textId="2208A964"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26</w:t>
            </w:r>
          </w:p>
        </w:tc>
        <w:tc>
          <w:tcPr>
            <w:tcW w:w="700" w:type="dxa"/>
            <w:tcBorders>
              <w:top w:val="single" w:sz="4" w:space="0" w:color="auto"/>
              <w:left w:val="nil"/>
              <w:bottom w:val="nil"/>
              <w:right w:val="nil"/>
            </w:tcBorders>
            <w:shd w:val="clear" w:color="auto" w:fill="D9D9D9" w:themeFill="background1" w:themeFillShade="D9"/>
            <w:noWrap/>
            <w:vAlign w:val="center"/>
          </w:tcPr>
          <w:p w14:paraId="56BEE194" w14:textId="41573104"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28</w:t>
            </w:r>
          </w:p>
        </w:tc>
        <w:tc>
          <w:tcPr>
            <w:tcW w:w="700" w:type="dxa"/>
            <w:tcBorders>
              <w:top w:val="single" w:sz="4" w:space="0" w:color="auto"/>
              <w:left w:val="nil"/>
              <w:bottom w:val="nil"/>
              <w:right w:val="nil"/>
            </w:tcBorders>
            <w:shd w:val="clear" w:color="auto" w:fill="D9D9D9" w:themeFill="background1" w:themeFillShade="D9"/>
            <w:noWrap/>
            <w:vAlign w:val="center"/>
          </w:tcPr>
          <w:p w14:paraId="73E0D3F6" w14:textId="490033D1"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29</w:t>
            </w:r>
          </w:p>
        </w:tc>
        <w:tc>
          <w:tcPr>
            <w:tcW w:w="700" w:type="dxa"/>
            <w:tcBorders>
              <w:top w:val="single" w:sz="4" w:space="0" w:color="auto"/>
              <w:left w:val="nil"/>
              <w:bottom w:val="nil"/>
              <w:right w:val="nil"/>
            </w:tcBorders>
            <w:shd w:val="clear" w:color="auto" w:fill="D9D9D9" w:themeFill="background1" w:themeFillShade="D9"/>
            <w:noWrap/>
            <w:vAlign w:val="center"/>
          </w:tcPr>
          <w:p w14:paraId="13308579" w14:textId="27D0B47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b/>
                <w:bCs/>
                <w:color w:val="000000"/>
              </w:rPr>
              <w:t>30</w:t>
            </w:r>
          </w:p>
        </w:tc>
      </w:tr>
      <w:tr w:rsidR="002F4427" w:rsidRPr="002F4427" w14:paraId="29976A39" w14:textId="77777777" w:rsidTr="002F4427">
        <w:trPr>
          <w:trHeight w:val="290"/>
        </w:trPr>
        <w:tc>
          <w:tcPr>
            <w:tcW w:w="960" w:type="dxa"/>
            <w:tcBorders>
              <w:top w:val="nil"/>
              <w:left w:val="nil"/>
              <w:bottom w:val="nil"/>
              <w:right w:val="nil"/>
            </w:tcBorders>
            <w:shd w:val="clear" w:color="auto" w:fill="auto"/>
            <w:noWrap/>
            <w:vAlign w:val="bottom"/>
          </w:tcPr>
          <w:p w14:paraId="4414F7F0" w14:textId="0CA8F7E7" w:rsidR="002F4427" w:rsidRPr="002F4427" w:rsidRDefault="002F4427" w:rsidP="002F4427">
            <w:pPr>
              <w:spacing w:after="0" w:line="240" w:lineRule="auto"/>
              <w:rPr>
                <w:rFonts w:ascii="Calibri" w:eastAsia="Times New Roman" w:hAnsi="Calibri" w:cs="Calibri"/>
                <w:b/>
                <w:bCs/>
                <w:color w:val="000000"/>
              </w:rPr>
            </w:pPr>
            <w:r>
              <w:rPr>
                <w:rFonts w:ascii="Calibri" w:hAnsi="Calibri" w:cs="Calibri"/>
                <w:b/>
                <w:bCs/>
                <w:color w:val="000000"/>
              </w:rPr>
              <w:t>1-4</w:t>
            </w:r>
          </w:p>
        </w:tc>
        <w:tc>
          <w:tcPr>
            <w:tcW w:w="700" w:type="dxa"/>
            <w:tcBorders>
              <w:top w:val="nil"/>
              <w:left w:val="nil"/>
              <w:bottom w:val="nil"/>
              <w:right w:val="nil"/>
            </w:tcBorders>
            <w:shd w:val="clear" w:color="auto" w:fill="auto"/>
            <w:noWrap/>
            <w:vAlign w:val="center"/>
          </w:tcPr>
          <w:p w14:paraId="737887D4" w14:textId="493B2040" w:rsidR="002F4427" w:rsidRPr="002F4427" w:rsidRDefault="002F4427" w:rsidP="002F4427">
            <w:pPr>
              <w:spacing w:after="0" w:line="240" w:lineRule="auto"/>
              <w:jc w:val="center"/>
              <w:rPr>
                <w:rFonts w:ascii="Calibri" w:eastAsia="Times New Roman" w:hAnsi="Calibri" w:cs="Calibri"/>
                <w:i/>
                <w:iCs/>
                <w:color w:val="000000"/>
              </w:rPr>
            </w:pPr>
            <w:r w:rsidRPr="002F4427">
              <w:rPr>
                <w:rFonts w:ascii="Calibri" w:hAnsi="Calibri" w:cs="Calibri"/>
                <w:i/>
                <w:iCs/>
                <w:color w:val="000000"/>
              </w:rPr>
              <w:t>63</w:t>
            </w:r>
          </w:p>
        </w:tc>
        <w:tc>
          <w:tcPr>
            <w:tcW w:w="700" w:type="dxa"/>
            <w:tcBorders>
              <w:top w:val="nil"/>
              <w:left w:val="nil"/>
              <w:bottom w:val="nil"/>
              <w:right w:val="nil"/>
            </w:tcBorders>
            <w:shd w:val="clear" w:color="auto" w:fill="auto"/>
            <w:noWrap/>
            <w:vAlign w:val="center"/>
          </w:tcPr>
          <w:p w14:paraId="71FFC174" w14:textId="7C510E17"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17.5</w:t>
            </w:r>
          </w:p>
        </w:tc>
        <w:tc>
          <w:tcPr>
            <w:tcW w:w="700" w:type="dxa"/>
            <w:tcBorders>
              <w:top w:val="nil"/>
              <w:left w:val="nil"/>
              <w:bottom w:val="nil"/>
              <w:right w:val="nil"/>
            </w:tcBorders>
            <w:shd w:val="clear" w:color="auto" w:fill="auto"/>
            <w:noWrap/>
            <w:vAlign w:val="center"/>
          </w:tcPr>
          <w:p w14:paraId="7BAD7FA4" w14:textId="4C967633"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39.7</w:t>
            </w:r>
          </w:p>
        </w:tc>
        <w:tc>
          <w:tcPr>
            <w:tcW w:w="700" w:type="dxa"/>
            <w:tcBorders>
              <w:top w:val="nil"/>
              <w:left w:val="nil"/>
              <w:bottom w:val="nil"/>
              <w:right w:val="nil"/>
            </w:tcBorders>
            <w:shd w:val="clear" w:color="auto" w:fill="auto"/>
            <w:noWrap/>
            <w:vAlign w:val="center"/>
          </w:tcPr>
          <w:p w14:paraId="4A06A433" w14:textId="43416775"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50.8</w:t>
            </w:r>
          </w:p>
        </w:tc>
        <w:tc>
          <w:tcPr>
            <w:tcW w:w="700" w:type="dxa"/>
            <w:tcBorders>
              <w:top w:val="nil"/>
              <w:left w:val="nil"/>
              <w:bottom w:val="nil"/>
              <w:right w:val="nil"/>
            </w:tcBorders>
            <w:shd w:val="clear" w:color="auto" w:fill="auto"/>
            <w:noWrap/>
            <w:vAlign w:val="center"/>
          </w:tcPr>
          <w:p w14:paraId="7BD60879" w14:textId="3F2AC0AE"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55.6</w:t>
            </w:r>
          </w:p>
        </w:tc>
        <w:tc>
          <w:tcPr>
            <w:tcW w:w="700" w:type="dxa"/>
            <w:tcBorders>
              <w:top w:val="nil"/>
              <w:left w:val="nil"/>
              <w:bottom w:val="nil"/>
              <w:right w:val="nil"/>
            </w:tcBorders>
            <w:shd w:val="clear" w:color="auto" w:fill="auto"/>
            <w:noWrap/>
            <w:vAlign w:val="center"/>
          </w:tcPr>
          <w:p w14:paraId="5D1002E4" w14:textId="662EB07F"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60.3</w:t>
            </w:r>
          </w:p>
        </w:tc>
        <w:tc>
          <w:tcPr>
            <w:tcW w:w="700" w:type="dxa"/>
            <w:tcBorders>
              <w:top w:val="nil"/>
              <w:left w:val="nil"/>
              <w:bottom w:val="nil"/>
              <w:right w:val="nil"/>
            </w:tcBorders>
            <w:shd w:val="clear" w:color="auto" w:fill="auto"/>
            <w:noWrap/>
            <w:vAlign w:val="center"/>
          </w:tcPr>
          <w:p w14:paraId="4A4BC543" w14:textId="2835D773"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66.7</w:t>
            </w:r>
          </w:p>
        </w:tc>
        <w:tc>
          <w:tcPr>
            <w:tcW w:w="700" w:type="dxa"/>
            <w:tcBorders>
              <w:top w:val="nil"/>
              <w:left w:val="nil"/>
              <w:bottom w:val="nil"/>
              <w:right w:val="nil"/>
            </w:tcBorders>
            <w:shd w:val="clear" w:color="auto" w:fill="auto"/>
            <w:noWrap/>
            <w:vAlign w:val="center"/>
          </w:tcPr>
          <w:p w14:paraId="57DB6C69" w14:textId="34970C0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68.3</w:t>
            </w:r>
          </w:p>
        </w:tc>
        <w:tc>
          <w:tcPr>
            <w:tcW w:w="700" w:type="dxa"/>
            <w:tcBorders>
              <w:top w:val="nil"/>
              <w:left w:val="nil"/>
              <w:bottom w:val="nil"/>
              <w:right w:val="nil"/>
            </w:tcBorders>
            <w:shd w:val="clear" w:color="auto" w:fill="auto"/>
            <w:noWrap/>
            <w:vAlign w:val="center"/>
          </w:tcPr>
          <w:p w14:paraId="17DAE684" w14:textId="21B62E2F"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73.0</w:t>
            </w:r>
          </w:p>
        </w:tc>
        <w:tc>
          <w:tcPr>
            <w:tcW w:w="700" w:type="dxa"/>
            <w:tcBorders>
              <w:top w:val="nil"/>
              <w:left w:val="nil"/>
              <w:bottom w:val="nil"/>
              <w:right w:val="nil"/>
            </w:tcBorders>
            <w:shd w:val="clear" w:color="auto" w:fill="auto"/>
            <w:noWrap/>
            <w:vAlign w:val="center"/>
          </w:tcPr>
          <w:p w14:paraId="43CA1EC9" w14:textId="65168448"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74.6</w:t>
            </w:r>
          </w:p>
        </w:tc>
        <w:tc>
          <w:tcPr>
            <w:tcW w:w="700" w:type="dxa"/>
            <w:tcBorders>
              <w:top w:val="nil"/>
              <w:left w:val="nil"/>
              <w:bottom w:val="nil"/>
              <w:right w:val="nil"/>
            </w:tcBorders>
            <w:shd w:val="clear" w:color="auto" w:fill="auto"/>
            <w:noWrap/>
            <w:vAlign w:val="center"/>
          </w:tcPr>
          <w:p w14:paraId="3C0BCDC7" w14:textId="2BDDBBB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81.0</w:t>
            </w:r>
          </w:p>
        </w:tc>
        <w:tc>
          <w:tcPr>
            <w:tcW w:w="700" w:type="dxa"/>
            <w:tcBorders>
              <w:top w:val="nil"/>
              <w:left w:val="nil"/>
              <w:bottom w:val="nil"/>
              <w:right w:val="nil"/>
            </w:tcBorders>
            <w:shd w:val="clear" w:color="auto" w:fill="auto"/>
            <w:noWrap/>
            <w:vAlign w:val="center"/>
          </w:tcPr>
          <w:p w14:paraId="2BE20D15" w14:textId="7478059E"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81.0</w:t>
            </w:r>
          </w:p>
        </w:tc>
        <w:tc>
          <w:tcPr>
            <w:tcW w:w="700" w:type="dxa"/>
            <w:tcBorders>
              <w:top w:val="nil"/>
              <w:left w:val="nil"/>
              <w:bottom w:val="nil"/>
              <w:right w:val="nil"/>
            </w:tcBorders>
            <w:shd w:val="clear" w:color="auto" w:fill="auto"/>
            <w:noWrap/>
            <w:vAlign w:val="center"/>
          </w:tcPr>
          <w:p w14:paraId="1A1CA48A" w14:textId="3B7C74F0"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84.1</w:t>
            </w:r>
          </w:p>
        </w:tc>
        <w:tc>
          <w:tcPr>
            <w:tcW w:w="700" w:type="dxa"/>
            <w:tcBorders>
              <w:top w:val="nil"/>
              <w:left w:val="nil"/>
              <w:bottom w:val="nil"/>
              <w:right w:val="nil"/>
            </w:tcBorders>
            <w:shd w:val="clear" w:color="auto" w:fill="auto"/>
            <w:noWrap/>
            <w:vAlign w:val="center"/>
          </w:tcPr>
          <w:p w14:paraId="57E107AA" w14:textId="309EDC74"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85.7</w:t>
            </w:r>
          </w:p>
        </w:tc>
        <w:tc>
          <w:tcPr>
            <w:tcW w:w="700" w:type="dxa"/>
            <w:tcBorders>
              <w:top w:val="nil"/>
              <w:left w:val="nil"/>
              <w:bottom w:val="nil"/>
              <w:right w:val="nil"/>
            </w:tcBorders>
            <w:shd w:val="clear" w:color="auto" w:fill="auto"/>
            <w:noWrap/>
            <w:vAlign w:val="center"/>
          </w:tcPr>
          <w:p w14:paraId="6EEFF42C" w14:textId="597C09A2"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87.3</w:t>
            </w:r>
          </w:p>
        </w:tc>
        <w:tc>
          <w:tcPr>
            <w:tcW w:w="700" w:type="dxa"/>
            <w:tcBorders>
              <w:top w:val="nil"/>
              <w:left w:val="nil"/>
              <w:bottom w:val="nil"/>
              <w:right w:val="nil"/>
            </w:tcBorders>
            <w:shd w:val="clear" w:color="auto" w:fill="auto"/>
            <w:noWrap/>
            <w:vAlign w:val="center"/>
          </w:tcPr>
          <w:p w14:paraId="06774003" w14:textId="068A6E3C"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90.5</w:t>
            </w:r>
          </w:p>
        </w:tc>
        <w:tc>
          <w:tcPr>
            <w:tcW w:w="700" w:type="dxa"/>
            <w:tcBorders>
              <w:top w:val="nil"/>
              <w:left w:val="nil"/>
              <w:bottom w:val="nil"/>
              <w:right w:val="nil"/>
            </w:tcBorders>
            <w:shd w:val="clear" w:color="auto" w:fill="auto"/>
            <w:noWrap/>
            <w:vAlign w:val="center"/>
          </w:tcPr>
          <w:p w14:paraId="27DF68AA" w14:textId="07B3BA3C"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90.5</w:t>
            </w:r>
          </w:p>
        </w:tc>
        <w:tc>
          <w:tcPr>
            <w:tcW w:w="700" w:type="dxa"/>
            <w:tcBorders>
              <w:top w:val="nil"/>
              <w:left w:val="nil"/>
              <w:bottom w:val="nil"/>
              <w:right w:val="nil"/>
            </w:tcBorders>
            <w:shd w:val="clear" w:color="auto" w:fill="auto"/>
            <w:noWrap/>
            <w:vAlign w:val="center"/>
          </w:tcPr>
          <w:p w14:paraId="40BF16BA" w14:textId="14FC3963" w:rsidR="002F4427" w:rsidRPr="002F4427" w:rsidRDefault="002F4427" w:rsidP="002F4427">
            <w:pPr>
              <w:spacing w:after="0" w:line="240" w:lineRule="auto"/>
              <w:jc w:val="center"/>
              <w:rPr>
                <w:rFonts w:ascii="Times New Roman" w:eastAsia="Times New Roman" w:hAnsi="Times New Roman" w:cs="Times New Roman"/>
                <w:sz w:val="20"/>
                <w:szCs w:val="20"/>
              </w:rPr>
            </w:pPr>
            <w:r>
              <w:rPr>
                <w:rFonts w:ascii="Calibri" w:hAnsi="Calibri" w:cs="Calibri"/>
                <w:color w:val="000000"/>
              </w:rPr>
              <w:t>90.5</w:t>
            </w:r>
          </w:p>
        </w:tc>
        <w:tc>
          <w:tcPr>
            <w:tcW w:w="700" w:type="dxa"/>
            <w:tcBorders>
              <w:top w:val="nil"/>
              <w:left w:val="nil"/>
              <w:bottom w:val="nil"/>
              <w:right w:val="nil"/>
            </w:tcBorders>
            <w:shd w:val="clear" w:color="auto" w:fill="auto"/>
            <w:noWrap/>
            <w:vAlign w:val="center"/>
          </w:tcPr>
          <w:p w14:paraId="7DD7B6A8" w14:textId="2B32372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93.7</w:t>
            </w:r>
          </w:p>
        </w:tc>
        <w:tc>
          <w:tcPr>
            <w:tcW w:w="700" w:type="dxa"/>
            <w:tcBorders>
              <w:top w:val="nil"/>
              <w:left w:val="nil"/>
              <w:bottom w:val="nil"/>
              <w:right w:val="nil"/>
            </w:tcBorders>
            <w:shd w:val="clear" w:color="auto" w:fill="auto"/>
            <w:noWrap/>
            <w:vAlign w:val="center"/>
          </w:tcPr>
          <w:p w14:paraId="57874A1C" w14:textId="407B7344"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93.7</w:t>
            </w:r>
          </w:p>
        </w:tc>
        <w:tc>
          <w:tcPr>
            <w:tcW w:w="700" w:type="dxa"/>
            <w:tcBorders>
              <w:top w:val="nil"/>
              <w:left w:val="nil"/>
              <w:bottom w:val="nil"/>
              <w:right w:val="nil"/>
            </w:tcBorders>
            <w:shd w:val="clear" w:color="auto" w:fill="auto"/>
            <w:noWrap/>
            <w:vAlign w:val="center"/>
          </w:tcPr>
          <w:p w14:paraId="7C32F068" w14:textId="5B01E133"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93.7</w:t>
            </w:r>
          </w:p>
        </w:tc>
        <w:tc>
          <w:tcPr>
            <w:tcW w:w="700" w:type="dxa"/>
            <w:tcBorders>
              <w:top w:val="nil"/>
              <w:left w:val="nil"/>
              <w:bottom w:val="nil"/>
              <w:right w:val="nil"/>
            </w:tcBorders>
            <w:shd w:val="clear" w:color="auto" w:fill="auto"/>
            <w:noWrap/>
            <w:vAlign w:val="center"/>
          </w:tcPr>
          <w:p w14:paraId="493DB69F" w14:textId="72295823"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93.7</w:t>
            </w:r>
          </w:p>
        </w:tc>
        <w:tc>
          <w:tcPr>
            <w:tcW w:w="700" w:type="dxa"/>
            <w:tcBorders>
              <w:top w:val="nil"/>
              <w:left w:val="nil"/>
              <w:bottom w:val="nil"/>
              <w:right w:val="nil"/>
            </w:tcBorders>
            <w:shd w:val="clear" w:color="auto" w:fill="auto"/>
            <w:noWrap/>
            <w:vAlign w:val="center"/>
          </w:tcPr>
          <w:p w14:paraId="5F93E0E1" w14:textId="37272529"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93.7</w:t>
            </w:r>
          </w:p>
        </w:tc>
        <w:tc>
          <w:tcPr>
            <w:tcW w:w="700" w:type="dxa"/>
            <w:tcBorders>
              <w:top w:val="nil"/>
              <w:left w:val="nil"/>
              <w:bottom w:val="nil"/>
              <w:right w:val="nil"/>
            </w:tcBorders>
            <w:shd w:val="clear" w:color="auto" w:fill="auto"/>
            <w:noWrap/>
            <w:vAlign w:val="center"/>
          </w:tcPr>
          <w:p w14:paraId="4726FFE3" w14:textId="73C965D7"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93.7</w:t>
            </w:r>
          </w:p>
        </w:tc>
        <w:tc>
          <w:tcPr>
            <w:tcW w:w="700" w:type="dxa"/>
            <w:tcBorders>
              <w:top w:val="nil"/>
              <w:left w:val="nil"/>
              <w:bottom w:val="nil"/>
              <w:right w:val="nil"/>
            </w:tcBorders>
            <w:shd w:val="clear" w:color="auto" w:fill="auto"/>
            <w:noWrap/>
            <w:vAlign w:val="center"/>
          </w:tcPr>
          <w:p w14:paraId="3E3393BD" w14:textId="1054E20B"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95.2</w:t>
            </w:r>
          </w:p>
        </w:tc>
        <w:tc>
          <w:tcPr>
            <w:tcW w:w="700" w:type="dxa"/>
            <w:tcBorders>
              <w:top w:val="nil"/>
              <w:left w:val="nil"/>
              <w:bottom w:val="nil"/>
              <w:right w:val="nil"/>
            </w:tcBorders>
            <w:shd w:val="clear" w:color="auto" w:fill="auto"/>
            <w:noWrap/>
            <w:vAlign w:val="center"/>
          </w:tcPr>
          <w:p w14:paraId="5BB77F31" w14:textId="23707A11"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98.4</w:t>
            </w:r>
          </w:p>
        </w:tc>
      </w:tr>
      <w:tr w:rsidR="002F4427" w:rsidRPr="002F4427" w14:paraId="6D978219" w14:textId="77777777" w:rsidTr="002F4427">
        <w:trPr>
          <w:trHeight w:val="290"/>
        </w:trPr>
        <w:tc>
          <w:tcPr>
            <w:tcW w:w="960" w:type="dxa"/>
            <w:tcBorders>
              <w:top w:val="nil"/>
              <w:left w:val="nil"/>
              <w:bottom w:val="nil"/>
              <w:right w:val="nil"/>
            </w:tcBorders>
            <w:shd w:val="clear" w:color="auto" w:fill="auto"/>
            <w:noWrap/>
            <w:vAlign w:val="bottom"/>
          </w:tcPr>
          <w:p w14:paraId="42A0B0A2" w14:textId="2D07AF40" w:rsidR="002F4427" w:rsidRPr="002F4427" w:rsidRDefault="002F4427" w:rsidP="002F4427">
            <w:pPr>
              <w:spacing w:after="0" w:line="240" w:lineRule="auto"/>
              <w:rPr>
                <w:rFonts w:ascii="Calibri" w:eastAsia="Times New Roman" w:hAnsi="Calibri" w:cs="Calibri"/>
                <w:b/>
                <w:bCs/>
                <w:color w:val="000000"/>
              </w:rPr>
            </w:pPr>
            <w:r>
              <w:rPr>
                <w:rFonts w:ascii="Calibri" w:hAnsi="Calibri" w:cs="Calibri"/>
                <w:b/>
                <w:bCs/>
                <w:color w:val="000000"/>
              </w:rPr>
              <w:t>5-11</w:t>
            </w:r>
          </w:p>
        </w:tc>
        <w:tc>
          <w:tcPr>
            <w:tcW w:w="700" w:type="dxa"/>
            <w:tcBorders>
              <w:top w:val="nil"/>
              <w:left w:val="nil"/>
              <w:bottom w:val="nil"/>
              <w:right w:val="nil"/>
            </w:tcBorders>
            <w:shd w:val="clear" w:color="auto" w:fill="auto"/>
            <w:noWrap/>
            <w:vAlign w:val="center"/>
          </w:tcPr>
          <w:p w14:paraId="29A5005C" w14:textId="1ADAF242" w:rsidR="002F4427" w:rsidRPr="002F4427" w:rsidRDefault="002F4427" w:rsidP="002F4427">
            <w:pPr>
              <w:spacing w:after="0" w:line="240" w:lineRule="auto"/>
              <w:jc w:val="center"/>
              <w:rPr>
                <w:rFonts w:ascii="Calibri" w:eastAsia="Times New Roman" w:hAnsi="Calibri" w:cs="Calibri"/>
                <w:i/>
                <w:iCs/>
                <w:color w:val="000000"/>
              </w:rPr>
            </w:pPr>
            <w:r w:rsidRPr="002F4427">
              <w:rPr>
                <w:rFonts w:ascii="Calibri" w:hAnsi="Calibri" w:cs="Calibri"/>
                <w:i/>
                <w:iCs/>
                <w:color w:val="000000"/>
              </w:rPr>
              <w:t>100</w:t>
            </w:r>
          </w:p>
        </w:tc>
        <w:tc>
          <w:tcPr>
            <w:tcW w:w="700" w:type="dxa"/>
            <w:tcBorders>
              <w:top w:val="nil"/>
              <w:left w:val="nil"/>
              <w:bottom w:val="nil"/>
              <w:right w:val="nil"/>
            </w:tcBorders>
            <w:shd w:val="clear" w:color="auto" w:fill="auto"/>
            <w:noWrap/>
            <w:vAlign w:val="center"/>
          </w:tcPr>
          <w:p w14:paraId="3A0B842B" w14:textId="5C8C96CE"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16.0</w:t>
            </w:r>
          </w:p>
        </w:tc>
        <w:tc>
          <w:tcPr>
            <w:tcW w:w="700" w:type="dxa"/>
            <w:tcBorders>
              <w:top w:val="nil"/>
              <w:left w:val="nil"/>
              <w:bottom w:val="nil"/>
              <w:right w:val="nil"/>
            </w:tcBorders>
            <w:shd w:val="clear" w:color="auto" w:fill="auto"/>
            <w:noWrap/>
            <w:vAlign w:val="center"/>
          </w:tcPr>
          <w:p w14:paraId="66DA28AE" w14:textId="18824BF5"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31.0</w:t>
            </w:r>
          </w:p>
        </w:tc>
        <w:tc>
          <w:tcPr>
            <w:tcW w:w="700" w:type="dxa"/>
            <w:tcBorders>
              <w:top w:val="nil"/>
              <w:left w:val="nil"/>
              <w:bottom w:val="nil"/>
              <w:right w:val="nil"/>
            </w:tcBorders>
            <w:shd w:val="clear" w:color="auto" w:fill="auto"/>
            <w:noWrap/>
            <w:vAlign w:val="center"/>
          </w:tcPr>
          <w:p w14:paraId="5A578ADA" w14:textId="59A8B7CA"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38.0</w:t>
            </w:r>
          </w:p>
        </w:tc>
        <w:tc>
          <w:tcPr>
            <w:tcW w:w="700" w:type="dxa"/>
            <w:tcBorders>
              <w:top w:val="nil"/>
              <w:left w:val="nil"/>
              <w:bottom w:val="nil"/>
              <w:right w:val="nil"/>
            </w:tcBorders>
            <w:shd w:val="clear" w:color="auto" w:fill="auto"/>
            <w:noWrap/>
            <w:vAlign w:val="center"/>
          </w:tcPr>
          <w:p w14:paraId="6B76BFC2" w14:textId="389FACA8"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47.0</w:t>
            </w:r>
          </w:p>
        </w:tc>
        <w:tc>
          <w:tcPr>
            <w:tcW w:w="700" w:type="dxa"/>
            <w:tcBorders>
              <w:top w:val="nil"/>
              <w:left w:val="nil"/>
              <w:bottom w:val="nil"/>
              <w:right w:val="nil"/>
            </w:tcBorders>
            <w:shd w:val="clear" w:color="auto" w:fill="auto"/>
            <w:noWrap/>
            <w:vAlign w:val="center"/>
          </w:tcPr>
          <w:p w14:paraId="45A76B44" w14:textId="60AF6E90"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53.0</w:t>
            </w:r>
          </w:p>
        </w:tc>
        <w:tc>
          <w:tcPr>
            <w:tcW w:w="700" w:type="dxa"/>
            <w:tcBorders>
              <w:top w:val="nil"/>
              <w:left w:val="nil"/>
              <w:bottom w:val="nil"/>
              <w:right w:val="nil"/>
            </w:tcBorders>
            <w:shd w:val="clear" w:color="auto" w:fill="auto"/>
            <w:noWrap/>
            <w:vAlign w:val="center"/>
          </w:tcPr>
          <w:p w14:paraId="42CAD7DC" w14:textId="453179BB"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57.0</w:t>
            </w:r>
          </w:p>
        </w:tc>
        <w:tc>
          <w:tcPr>
            <w:tcW w:w="700" w:type="dxa"/>
            <w:tcBorders>
              <w:top w:val="nil"/>
              <w:left w:val="nil"/>
              <w:bottom w:val="nil"/>
              <w:right w:val="nil"/>
            </w:tcBorders>
            <w:shd w:val="clear" w:color="auto" w:fill="auto"/>
            <w:noWrap/>
            <w:vAlign w:val="center"/>
          </w:tcPr>
          <w:p w14:paraId="7AC7E9B0" w14:textId="1617D899"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59.0</w:t>
            </w:r>
          </w:p>
        </w:tc>
        <w:tc>
          <w:tcPr>
            <w:tcW w:w="700" w:type="dxa"/>
            <w:tcBorders>
              <w:top w:val="nil"/>
              <w:left w:val="nil"/>
              <w:bottom w:val="nil"/>
              <w:right w:val="nil"/>
            </w:tcBorders>
            <w:shd w:val="clear" w:color="auto" w:fill="auto"/>
            <w:noWrap/>
            <w:vAlign w:val="center"/>
          </w:tcPr>
          <w:p w14:paraId="625CEBD0" w14:textId="2BDD1B02"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63.0</w:t>
            </w:r>
          </w:p>
        </w:tc>
        <w:tc>
          <w:tcPr>
            <w:tcW w:w="700" w:type="dxa"/>
            <w:tcBorders>
              <w:top w:val="nil"/>
              <w:left w:val="nil"/>
              <w:bottom w:val="nil"/>
              <w:right w:val="nil"/>
            </w:tcBorders>
            <w:shd w:val="clear" w:color="auto" w:fill="auto"/>
            <w:noWrap/>
            <w:vAlign w:val="center"/>
          </w:tcPr>
          <w:p w14:paraId="21CF738A" w14:textId="5C61E2C2"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63.0</w:t>
            </w:r>
          </w:p>
        </w:tc>
        <w:tc>
          <w:tcPr>
            <w:tcW w:w="700" w:type="dxa"/>
            <w:tcBorders>
              <w:top w:val="nil"/>
              <w:left w:val="nil"/>
              <w:bottom w:val="nil"/>
              <w:right w:val="nil"/>
            </w:tcBorders>
            <w:shd w:val="clear" w:color="auto" w:fill="auto"/>
            <w:noWrap/>
            <w:vAlign w:val="center"/>
          </w:tcPr>
          <w:p w14:paraId="2E903AF8" w14:textId="32450DCF"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70.0</w:t>
            </w:r>
          </w:p>
        </w:tc>
        <w:tc>
          <w:tcPr>
            <w:tcW w:w="700" w:type="dxa"/>
            <w:tcBorders>
              <w:top w:val="nil"/>
              <w:left w:val="nil"/>
              <w:bottom w:val="nil"/>
              <w:right w:val="nil"/>
            </w:tcBorders>
            <w:shd w:val="clear" w:color="auto" w:fill="auto"/>
            <w:noWrap/>
            <w:vAlign w:val="center"/>
          </w:tcPr>
          <w:p w14:paraId="6E32FAA8" w14:textId="1E2F962B"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70.0</w:t>
            </w:r>
          </w:p>
        </w:tc>
        <w:tc>
          <w:tcPr>
            <w:tcW w:w="700" w:type="dxa"/>
            <w:tcBorders>
              <w:top w:val="nil"/>
              <w:left w:val="nil"/>
              <w:bottom w:val="nil"/>
              <w:right w:val="nil"/>
            </w:tcBorders>
            <w:shd w:val="clear" w:color="auto" w:fill="auto"/>
            <w:noWrap/>
            <w:vAlign w:val="center"/>
          </w:tcPr>
          <w:p w14:paraId="34C6F292" w14:textId="22A0AC8A"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75.0</w:t>
            </w:r>
          </w:p>
        </w:tc>
        <w:tc>
          <w:tcPr>
            <w:tcW w:w="700" w:type="dxa"/>
            <w:tcBorders>
              <w:top w:val="nil"/>
              <w:left w:val="nil"/>
              <w:bottom w:val="nil"/>
              <w:right w:val="nil"/>
            </w:tcBorders>
            <w:shd w:val="clear" w:color="auto" w:fill="auto"/>
            <w:noWrap/>
            <w:vAlign w:val="center"/>
          </w:tcPr>
          <w:p w14:paraId="4F54A879" w14:textId="0907F776"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75.0</w:t>
            </w:r>
          </w:p>
        </w:tc>
        <w:tc>
          <w:tcPr>
            <w:tcW w:w="700" w:type="dxa"/>
            <w:tcBorders>
              <w:top w:val="nil"/>
              <w:left w:val="nil"/>
              <w:bottom w:val="nil"/>
              <w:right w:val="nil"/>
            </w:tcBorders>
            <w:shd w:val="clear" w:color="auto" w:fill="auto"/>
            <w:noWrap/>
            <w:vAlign w:val="center"/>
          </w:tcPr>
          <w:p w14:paraId="7DD01733" w14:textId="11AD2EBB"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75.0</w:t>
            </w:r>
          </w:p>
        </w:tc>
        <w:tc>
          <w:tcPr>
            <w:tcW w:w="700" w:type="dxa"/>
            <w:tcBorders>
              <w:top w:val="nil"/>
              <w:left w:val="nil"/>
              <w:bottom w:val="nil"/>
              <w:right w:val="nil"/>
            </w:tcBorders>
            <w:shd w:val="clear" w:color="auto" w:fill="auto"/>
            <w:noWrap/>
            <w:vAlign w:val="center"/>
          </w:tcPr>
          <w:p w14:paraId="3316F949" w14:textId="3BE66CA3"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86.0</w:t>
            </w:r>
          </w:p>
        </w:tc>
        <w:tc>
          <w:tcPr>
            <w:tcW w:w="700" w:type="dxa"/>
            <w:tcBorders>
              <w:top w:val="nil"/>
              <w:left w:val="nil"/>
              <w:bottom w:val="nil"/>
              <w:right w:val="nil"/>
            </w:tcBorders>
            <w:shd w:val="clear" w:color="auto" w:fill="auto"/>
            <w:noWrap/>
            <w:vAlign w:val="center"/>
          </w:tcPr>
          <w:p w14:paraId="136645CE" w14:textId="11E2859B"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88.0</w:t>
            </w:r>
          </w:p>
        </w:tc>
        <w:tc>
          <w:tcPr>
            <w:tcW w:w="700" w:type="dxa"/>
            <w:tcBorders>
              <w:top w:val="nil"/>
              <w:left w:val="nil"/>
              <w:bottom w:val="nil"/>
              <w:right w:val="nil"/>
            </w:tcBorders>
            <w:shd w:val="clear" w:color="auto" w:fill="auto"/>
            <w:noWrap/>
            <w:vAlign w:val="center"/>
          </w:tcPr>
          <w:p w14:paraId="5590B2F8" w14:textId="3A2C3D5D" w:rsidR="002F4427" w:rsidRPr="002F4427" w:rsidRDefault="002F4427" w:rsidP="002F4427">
            <w:pPr>
              <w:spacing w:after="0" w:line="240" w:lineRule="auto"/>
              <w:jc w:val="center"/>
              <w:rPr>
                <w:rFonts w:ascii="Times New Roman" w:eastAsia="Times New Roman" w:hAnsi="Times New Roman" w:cs="Times New Roman"/>
                <w:sz w:val="20"/>
                <w:szCs w:val="20"/>
              </w:rPr>
            </w:pPr>
            <w:r>
              <w:rPr>
                <w:rFonts w:ascii="Calibri" w:hAnsi="Calibri" w:cs="Calibri"/>
                <w:color w:val="000000"/>
              </w:rPr>
              <w:t>88.0</w:t>
            </w:r>
          </w:p>
        </w:tc>
        <w:tc>
          <w:tcPr>
            <w:tcW w:w="700" w:type="dxa"/>
            <w:tcBorders>
              <w:top w:val="nil"/>
              <w:left w:val="nil"/>
              <w:bottom w:val="nil"/>
              <w:right w:val="nil"/>
            </w:tcBorders>
            <w:shd w:val="clear" w:color="auto" w:fill="auto"/>
            <w:noWrap/>
            <w:vAlign w:val="center"/>
          </w:tcPr>
          <w:p w14:paraId="2B2ECAB5" w14:textId="4E3AD926"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91.0</w:t>
            </w:r>
          </w:p>
        </w:tc>
        <w:tc>
          <w:tcPr>
            <w:tcW w:w="700" w:type="dxa"/>
            <w:tcBorders>
              <w:top w:val="nil"/>
              <w:left w:val="nil"/>
              <w:bottom w:val="nil"/>
              <w:right w:val="nil"/>
            </w:tcBorders>
            <w:shd w:val="clear" w:color="auto" w:fill="auto"/>
            <w:noWrap/>
            <w:vAlign w:val="center"/>
          </w:tcPr>
          <w:p w14:paraId="3D2349D6" w14:textId="42A961C5"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91.0</w:t>
            </w:r>
          </w:p>
        </w:tc>
        <w:tc>
          <w:tcPr>
            <w:tcW w:w="700" w:type="dxa"/>
            <w:tcBorders>
              <w:top w:val="nil"/>
              <w:left w:val="nil"/>
              <w:bottom w:val="nil"/>
              <w:right w:val="nil"/>
            </w:tcBorders>
            <w:shd w:val="clear" w:color="auto" w:fill="auto"/>
            <w:noWrap/>
            <w:vAlign w:val="center"/>
          </w:tcPr>
          <w:p w14:paraId="0DD4668B" w14:textId="771889AC"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92.0</w:t>
            </w:r>
          </w:p>
        </w:tc>
        <w:tc>
          <w:tcPr>
            <w:tcW w:w="700" w:type="dxa"/>
            <w:tcBorders>
              <w:top w:val="nil"/>
              <w:left w:val="nil"/>
              <w:bottom w:val="nil"/>
              <w:right w:val="nil"/>
            </w:tcBorders>
            <w:shd w:val="clear" w:color="auto" w:fill="auto"/>
            <w:noWrap/>
            <w:vAlign w:val="center"/>
          </w:tcPr>
          <w:p w14:paraId="286EA722" w14:textId="036673CA"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94.0</w:t>
            </w:r>
          </w:p>
        </w:tc>
        <w:tc>
          <w:tcPr>
            <w:tcW w:w="700" w:type="dxa"/>
            <w:tcBorders>
              <w:top w:val="nil"/>
              <w:left w:val="nil"/>
              <w:bottom w:val="nil"/>
              <w:right w:val="nil"/>
            </w:tcBorders>
            <w:shd w:val="clear" w:color="auto" w:fill="auto"/>
            <w:noWrap/>
            <w:vAlign w:val="center"/>
          </w:tcPr>
          <w:p w14:paraId="380E8584" w14:textId="0C74B9DE"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94.0</w:t>
            </w:r>
          </w:p>
        </w:tc>
        <w:tc>
          <w:tcPr>
            <w:tcW w:w="700" w:type="dxa"/>
            <w:tcBorders>
              <w:top w:val="nil"/>
              <w:left w:val="nil"/>
              <w:bottom w:val="nil"/>
              <w:right w:val="nil"/>
            </w:tcBorders>
            <w:shd w:val="clear" w:color="auto" w:fill="auto"/>
            <w:noWrap/>
            <w:vAlign w:val="center"/>
          </w:tcPr>
          <w:p w14:paraId="2024DB58" w14:textId="750B36F0"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94.0</w:t>
            </w:r>
          </w:p>
        </w:tc>
        <w:tc>
          <w:tcPr>
            <w:tcW w:w="700" w:type="dxa"/>
            <w:tcBorders>
              <w:top w:val="nil"/>
              <w:left w:val="nil"/>
              <w:bottom w:val="nil"/>
              <w:right w:val="nil"/>
            </w:tcBorders>
            <w:shd w:val="clear" w:color="auto" w:fill="auto"/>
            <w:noWrap/>
            <w:vAlign w:val="center"/>
          </w:tcPr>
          <w:p w14:paraId="40FF6FE6" w14:textId="4A47855B"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94.0</w:t>
            </w:r>
          </w:p>
        </w:tc>
        <w:tc>
          <w:tcPr>
            <w:tcW w:w="700" w:type="dxa"/>
            <w:tcBorders>
              <w:top w:val="nil"/>
              <w:left w:val="nil"/>
              <w:bottom w:val="nil"/>
              <w:right w:val="nil"/>
            </w:tcBorders>
            <w:shd w:val="clear" w:color="auto" w:fill="auto"/>
            <w:noWrap/>
            <w:vAlign w:val="center"/>
          </w:tcPr>
          <w:p w14:paraId="2274957C" w14:textId="34D3CAC0"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99.0</w:t>
            </w:r>
          </w:p>
        </w:tc>
      </w:tr>
      <w:tr w:rsidR="002F4427" w:rsidRPr="002F4427" w14:paraId="1DCF7292" w14:textId="77777777" w:rsidTr="002F4427">
        <w:trPr>
          <w:trHeight w:val="290"/>
        </w:trPr>
        <w:tc>
          <w:tcPr>
            <w:tcW w:w="960" w:type="dxa"/>
            <w:tcBorders>
              <w:top w:val="nil"/>
              <w:left w:val="nil"/>
              <w:right w:val="nil"/>
            </w:tcBorders>
            <w:shd w:val="clear" w:color="auto" w:fill="auto"/>
            <w:noWrap/>
            <w:vAlign w:val="bottom"/>
          </w:tcPr>
          <w:p w14:paraId="3F81E6BD" w14:textId="3C1607A9" w:rsidR="002F4427" w:rsidRPr="002F4427" w:rsidRDefault="002F4427" w:rsidP="002F4427">
            <w:pPr>
              <w:spacing w:after="0" w:line="240" w:lineRule="auto"/>
              <w:rPr>
                <w:rFonts w:ascii="Calibri" w:eastAsia="Times New Roman" w:hAnsi="Calibri" w:cs="Calibri"/>
                <w:b/>
                <w:bCs/>
                <w:color w:val="000000"/>
              </w:rPr>
            </w:pPr>
            <w:r>
              <w:rPr>
                <w:rFonts w:ascii="Calibri" w:hAnsi="Calibri" w:cs="Calibri"/>
                <w:b/>
                <w:bCs/>
                <w:color w:val="000000"/>
              </w:rPr>
              <w:t>12-17</w:t>
            </w:r>
          </w:p>
        </w:tc>
        <w:tc>
          <w:tcPr>
            <w:tcW w:w="700" w:type="dxa"/>
            <w:tcBorders>
              <w:top w:val="nil"/>
              <w:left w:val="nil"/>
              <w:right w:val="nil"/>
            </w:tcBorders>
            <w:shd w:val="clear" w:color="auto" w:fill="auto"/>
            <w:noWrap/>
            <w:vAlign w:val="center"/>
          </w:tcPr>
          <w:p w14:paraId="757DB686" w14:textId="3430A50E" w:rsidR="002F4427" w:rsidRPr="002F4427" w:rsidRDefault="002F4427" w:rsidP="002F4427">
            <w:pPr>
              <w:spacing w:after="0" w:line="240" w:lineRule="auto"/>
              <w:jc w:val="center"/>
              <w:rPr>
                <w:rFonts w:ascii="Calibri" w:eastAsia="Times New Roman" w:hAnsi="Calibri" w:cs="Calibri"/>
                <w:i/>
                <w:iCs/>
                <w:color w:val="000000"/>
              </w:rPr>
            </w:pPr>
            <w:r w:rsidRPr="002F4427">
              <w:rPr>
                <w:rFonts w:ascii="Calibri" w:hAnsi="Calibri" w:cs="Calibri"/>
                <w:i/>
                <w:iCs/>
                <w:color w:val="000000"/>
              </w:rPr>
              <w:t>84</w:t>
            </w:r>
          </w:p>
        </w:tc>
        <w:tc>
          <w:tcPr>
            <w:tcW w:w="700" w:type="dxa"/>
            <w:tcBorders>
              <w:top w:val="nil"/>
              <w:left w:val="nil"/>
              <w:right w:val="nil"/>
            </w:tcBorders>
            <w:shd w:val="clear" w:color="auto" w:fill="auto"/>
            <w:noWrap/>
            <w:vAlign w:val="center"/>
          </w:tcPr>
          <w:p w14:paraId="72D03906" w14:textId="4938C893"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25.0</w:t>
            </w:r>
          </w:p>
        </w:tc>
        <w:tc>
          <w:tcPr>
            <w:tcW w:w="700" w:type="dxa"/>
            <w:tcBorders>
              <w:top w:val="nil"/>
              <w:left w:val="nil"/>
              <w:right w:val="nil"/>
            </w:tcBorders>
            <w:shd w:val="clear" w:color="auto" w:fill="auto"/>
            <w:noWrap/>
            <w:vAlign w:val="center"/>
          </w:tcPr>
          <w:p w14:paraId="39288F3F" w14:textId="22739BFA"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40.5</w:t>
            </w:r>
          </w:p>
        </w:tc>
        <w:tc>
          <w:tcPr>
            <w:tcW w:w="700" w:type="dxa"/>
            <w:tcBorders>
              <w:top w:val="nil"/>
              <w:left w:val="nil"/>
              <w:right w:val="nil"/>
            </w:tcBorders>
            <w:shd w:val="clear" w:color="auto" w:fill="auto"/>
            <w:noWrap/>
            <w:vAlign w:val="center"/>
          </w:tcPr>
          <w:p w14:paraId="640C254C" w14:textId="483380D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48.8</w:t>
            </w:r>
          </w:p>
        </w:tc>
        <w:tc>
          <w:tcPr>
            <w:tcW w:w="700" w:type="dxa"/>
            <w:tcBorders>
              <w:top w:val="nil"/>
              <w:left w:val="nil"/>
              <w:right w:val="nil"/>
            </w:tcBorders>
            <w:shd w:val="clear" w:color="auto" w:fill="auto"/>
            <w:noWrap/>
            <w:vAlign w:val="center"/>
          </w:tcPr>
          <w:p w14:paraId="40FFC467" w14:textId="7AE37D37"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53.6</w:t>
            </w:r>
          </w:p>
        </w:tc>
        <w:tc>
          <w:tcPr>
            <w:tcW w:w="700" w:type="dxa"/>
            <w:tcBorders>
              <w:top w:val="nil"/>
              <w:left w:val="nil"/>
              <w:right w:val="nil"/>
            </w:tcBorders>
            <w:shd w:val="clear" w:color="auto" w:fill="auto"/>
            <w:noWrap/>
            <w:vAlign w:val="center"/>
          </w:tcPr>
          <w:p w14:paraId="2F1E7D8F" w14:textId="0447AC82"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63.1</w:t>
            </w:r>
          </w:p>
        </w:tc>
        <w:tc>
          <w:tcPr>
            <w:tcW w:w="700" w:type="dxa"/>
            <w:tcBorders>
              <w:top w:val="nil"/>
              <w:left w:val="nil"/>
              <w:right w:val="nil"/>
            </w:tcBorders>
            <w:shd w:val="clear" w:color="auto" w:fill="auto"/>
            <w:noWrap/>
            <w:vAlign w:val="center"/>
          </w:tcPr>
          <w:p w14:paraId="3FC39E22" w14:textId="4CB19EB7"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67.9</w:t>
            </w:r>
          </w:p>
        </w:tc>
        <w:tc>
          <w:tcPr>
            <w:tcW w:w="700" w:type="dxa"/>
            <w:tcBorders>
              <w:top w:val="nil"/>
              <w:left w:val="nil"/>
              <w:right w:val="nil"/>
            </w:tcBorders>
            <w:shd w:val="clear" w:color="auto" w:fill="auto"/>
            <w:noWrap/>
            <w:vAlign w:val="center"/>
          </w:tcPr>
          <w:p w14:paraId="4E964742" w14:textId="5522A1C1"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70.2</w:t>
            </w:r>
          </w:p>
        </w:tc>
        <w:tc>
          <w:tcPr>
            <w:tcW w:w="700" w:type="dxa"/>
            <w:tcBorders>
              <w:top w:val="nil"/>
              <w:left w:val="nil"/>
              <w:right w:val="nil"/>
            </w:tcBorders>
            <w:shd w:val="clear" w:color="auto" w:fill="auto"/>
            <w:noWrap/>
            <w:vAlign w:val="center"/>
          </w:tcPr>
          <w:p w14:paraId="76387EB3" w14:textId="2CA449B3"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73.8</w:t>
            </w:r>
          </w:p>
        </w:tc>
        <w:tc>
          <w:tcPr>
            <w:tcW w:w="700" w:type="dxa"/>
            <w:tcBorders>
              <w:top w:val="nil"/>
              <w:left w:val="nil"/>
              <w:right w:val="nil"/>
            </w:tcBorders>
            <w:shd w:val="clear" w:color="auto" w:fill="auto"/>
            <w:noWrap/>
            <w:vAlign w:val="center"/>
          </w:tcPr>
          <w:p w14:paraId="70617D0E" w14:textId="35AC10A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75.0</w:t>
            </w:r>
          </w:p>
        </w:tc>
        <w:tc>
          <w:tcPr>
            <w:tcW w:w="700" w:type="dxa"/>
            <w:tcBorders>
              <w:top w:val="nil"/>
              <w:left w:val="nil"/>
              <w:right w:val="nil"/>
            </w:tcBorders>
            <w:shd w:val="clear" w:color="auto" w:fill="auto"/>
            <w:noWrap/>
            <w:vAlign w:val="center"/>
          </w:tcPr>
          <w:p w14:paraId="67076ECE" w14:textId="25087C9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84.5</w:t>
            </w:r>
          </w:p>
        </w:tc>
        <w:tc>
          <w:tcPr>
            <w:tcW w:w="700" w:type="dxa"/>
            <w:tcBorders>
              <w:top w:val="nil"/>
              <w:left w:val="nil"/>
              <w:right w:val="nil"/>
            </w:tcBorders>
            <w:shd w:val="clear" w:color="auto" w:fill="auto"/>
            <w:noWrap/>
            <w:vAlign w:val="center"/>
          </w:tcPr>
          <w:p w14:paraId="2332C442" w14:textId="51A15C9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84.5</w:t>
            </w:r>
          </w:p>
        </w:tc>
        <w:tc>
          <w:tcPr>
            <w:tcW w:w="700" w:type="dxa"/>
            <w:tcBorders>
              <w:top w:val="nil"/>
              <w:left w:val="nil"/>
              <w:right w:val="nil"/>
            </w:tcBorders>
            <w:shd w:val="clear" w:color="auto" w:fill="auto"/>
            <w:noWrap/>
            <w:vAlign w:val="center"/>
          </w:tcPr>
          <w:p w14:paraId="6D9FCF45" w14:textId="366ADB1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85.7</w:t>
            </w:r>
          </w:p>
        </w:tc>
        <w:tc>
          <w:tcPr>
            <w:tcW w:w="700" w:type="dxa"/>
            <w:tcBorders>
              <w:top w:val="nil"/>
              <w:left w:val="nil"/>
              <w:right w:val="nil"/>
            </w:tcBorders>
            <w:shd w:val="clear" w:color="auto" w:fill="auto"/>
            <w:noWrap/>
            <w:vAlign w:val="center"/>
          </w:tcPr>
          <w:p w14:paraId="26DF8C38" w14:textId="3C64A67A"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85.7</w:t>
            </w:r>
          </w:p>
        </w:tc>
        <w:tc>
          <w:tcPr>
            <w:tcW w:w="700" w:type="dxa"/>
            <w:tcBorders>
              <w:top w:val="nil"/>
              <w:left w:val="nil"/>
              <w:right w:val="nil"/>
            </w:tcBorders>
            <w:shd w:val="clear" w:color="auto" w:fill="auto"/>
            <w:noWrap/>
            <w:vAlign w:val="center"/>
          </w:tcPr>
          <w:p w14:paraId="69130773" w14:textId="7C535FF9"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85.7</w:t>
            </w:r>
          </w:p>
        </w:tc>
        <w:tc>
          <w:tcPr>
            <w:tcW w:w="700" w:type="dxa"/>
            <w:tcBorders>
              <w:top w:val="nil"/>
              <w:left w:val="nil"/>
              <w:right w:val="nil"/>
            </w:tcBorders>
            <w:shd w:val="clear" w:color="auto" w:fill="auto"/>
            <w:noWrap/>
            <w:vAlign w:val="center"/>
          </w:tcPr>
          <w:p w14:paraId="1A11AF15" w14:textId="2595C281"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88.1</w:t>
            </w:r>
          </w:p>
        </w:tc>
        <w:tc>
          <w:tcPr>
            <w:tcW w:w="700" w:type="dxa"/>
            <w:tcBorders>
              <w:top w:val="nil"/>
              <w:left w:val="nil"/>
              <w:right w:val="nil"/>
            </w:tcBorders>
            <w:shd w:val="clear" w:color="auto" w:fill="auto"/>
            <w:noWrap/>
            <w:vAlign w:val="center"/>
          </w:tcPr>
          <w:p w14:paraId="3376661D" w14:textId="7D5389D4"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88.1</w:t>
            </w:r>
          </w:p>
        </w:tc>
        <w:tc>
          <w:tcPr>
            <w:tcW w:w="700" w:type="dxa"/>
            <w:tcBorders>
              <w:top w:val="nil"/>
              <w:left w:val="nil"/>
              <w:right w:val="nil"/>
            </w:tcBorders>
            <w:shd w:val="clear" w:color="auto" w:fill="auto"/>
            <w:noWrap/>
            <w:vAlign w:val="center"/>
          </w:tcPr>
          <w:p w14:paraId="603823D3" w14:textId="08DB8859" w:rsidR="002F4427" w:rsidRPr="002F4427" w:rsidRDefault="002F4427" w:rsidP="002F4427">
            <w:pPr>
              <w:spacing w:after="0" w:line="240" w:lineRule="auto"/>
              <w:jc w:val="center"/>
              <w:rPr>
                <w:rFonts w:ascii="Times New Roman" w:eastAsia="Times New Roman" w:hAnsi="Times New Roman" w:cs="Times New Roman"/>
                <w:sz w:val="20"/>
                <w:szCs w:val="20"/>
              </w:rPr>
            </w:pPr>
            <w:r>
              <w:rPr>
                <w:rFonts w:ascii="Calibri" w:hAnsi="Calibri" w:cs="Calibri"/>
                <w:color w:val="000000"/>
              </w:rPr>
              <w:t>89.3</w:t>
            </w:r>
          </w:p>
        </w:tc>
        <w:tc>
          <w:tcPr>
            <w:tcW w:w="700" w:type="dxa"/>
            <w:tcBorders>
              <w:top w:val="nil"/>
              <w:left w:val="nil"/>
              <w:right w:val="nil"/>
            </w:tcBorders>
            <w:shd w:val="clear" w:color="auto" w:fill="auto"/>
            <w:noWrap/>
            <w:vAlign w:val="center"/>
          </w:tcPr>
          <w:p w14:paraId="64C345D1" w14:textId="690A7B65"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94.0</w:t>
            </w:r>
          </w:p>
        </w:tc>
        <w:tc>
          <w:tcPr>
            <w:tcW w:w="700" w:type="dxa"/>
            <w:tcBorders>
              <w:top w:val="nil"/>
              <w:left w:val="nil"/>
              <w:right w:val="nil"/>
            </w:tcBorders>
            <w:shd w:val="clear" w:color="auto" w:fill="auto"/>
            <w:noWrap/>
            <w:vAlign w:val="center"/>
          </w:tcPr>
          <w:p w14:paraId="325A5FE8" w14:textId="522CD351"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94.0</w:t>
            </w:r>
          </w:p>
        </w:tc>
        <w:tc>
          <w:tcPr>
            <w:tcW w:w="700" w:type="dxa"/>
            <w:tcBorders>
              <w:top w:val="nil"/>
              <w:left w:val="nil"/>
              <w:right w:val="nil"/>
            </w:tcBorders>
            <w:shd w:val="clear" w:color="auto" w:fill="auto"/>
            <w:noWrap/>
            <w:vAlign w:val="center"/>
          </w:tcPr>
          <w:p w14:paraId="501E2038" w14:textId="1CB3AD69"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94.0</w:t>
            </w:r>
          </w:p>
        </w:tc>
        <w:tc>
          <w:tcPr>
            <w:tcW w:w="700" w:type="dxa"/>
            <w:tcBorders>
              <w:top w:val="nil"/>
              <w:left w:val="nil"/>
              <w:right w:val="nil"/>
            </w:tcBorders>
            <w:shd w:val="clear" w:color="auto" w:fill="auto"/>
            <w:noWrap/>
            <w:vAlign w:val="center"/>
          </w:tcPr>
          <w:p w14:paraId="2EC6F57D" w14:textId="34104699"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94.0</w:t>
            </w:r>
          </w:p>
        </w:tc>
        <w:tc>
          <w:tcPr>
            <w:tcW w:w="700" w:type="dxa"/>
            <w:tcBorders>
              <w:top w:val="nil"/>
              <w:left w:val="nil"/>
              <w:right w:val="nil"/>
            </w:tcBorders>
            <w:shd w:val="clear" w:color="auto" w:fill="auto"/>
            <w:noWrap/>
            <w:vAlign w:val="center"/>
          </w:tcPr>
          <w:p w14:paraId="21C47A87" w14:textId="6F7130EC"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95.2</w:t>
            </w:r>
          </w:p>
        </w:tc>
        <w:tc>
          <w:tcPr>
            <w:tcW w:w="700" w:type="dxa"/>
            <w:tcBorders>
              <w:top w:val="nil"/>
              <w:left w:val="nil"/>
              <w:right w:val="nil"/>
            </w:tcBorders>
            <w:shd w:val="clear" w:color="auto" w:fill="auto"/>
            <w:noWrap/>
            <w:vAlign w:val="center"/>
          </w:tcPr>
          <w:p w14:paraId="099D56C7" w14:textId="646EC9AA"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95.2</w:t>
            </w:r>
          </w:p>
        </w:tc>
        <w:tc>
          <w:tcPr>
            <w:tcW w:w="700" w:type="dxa"/>
            <w:tcBorders>
              <w:top w:val="nil"/>
              <w:left w:val="nil"/>
              <w:right w:val="nil"/>
            </w:tcBorders>
            <w:shd w:val="clear" w:color="auto" w:fill="auto"/>
            <w:noWrap/>
            <w:vAlign w:val="center"/>
          </w:tcPr>
          <w:p w14:paraId="7416B993" w14:textId="093B6962"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95.2</w:t>
            </w:r>
          </w:p>
        </w:tc>
        <w:tc>
          <w:tcPr>
            <w:tcW w:w="700" w:type="dxa"/>
            <w:tcBorders>
              <w:top w:val="nil"/>
              <w:left w:val="nil"/>
              <w:right w:val="nil"/>
            </w:tcBorders>
            <w:shd w:val="clear" w:color="auto" w:fill="auto"/>
            <w:noWrap/>
            <w:vAlign w:val="center"/>
          </w:tcPr>
          <w:p w14:paraId="26DA3FD4" w14:textId="47469A49"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97.6</w:t>
            </w:r>
          </w:p>
        </w:tc>
      </w:tr>
      <w:tr w:rsidR="002F4427" w:rsidRPr="002F4427" w14:paraId="7AEA5808" w14:textId="77777777" w:rsidTr="002F4427">
        <w:trPr>
          <w:trHeight w:val="290"/>
        </w:trPr>
        <w:tc>
          <w:tcPr>
            <w:tcW w:w="960" w:type="dxa"/>
            <w:tcBorders>
              <w:top w:val="nil"/>
              <w:left w:val="nil"/>
              <w:bottom w:val="single" w:sz="4" w:space="0" w:color="auto"/>
              <w:right w:val="nil"/>
            </w:tcBorders>
            <w:shd w:val="clear" w:color="auto" w:fill="auto"/>
            <w:noWrap/>
            <w:vAlign w:val="bottom"/>
          </w:tcPr>
          <w:p w14:paraId="3D4D4815" w14:textId="7A99B982" w:rsidR="002F4427" w:rsidRPr="002F4427" w:rsidRDefault="002F4427" w:rsidP="002F4427">
            <w:pPr>
              <w:spacing w:after="0" w:line="240" w:lineRule="auto"/>
              <w:rPr>
                <w:rFonts w:ascii="Calibri" w:eastAsia="Times New Roman" w:hAnsi="Calibri" w:cs="Calibri"/>
                <w:b/>
                <w:bCs/>
                <w:color w:val="000000"/>
              </w:rPr>
            </w:pPr>
            <w:r>
              <w:rPr>
                <w:rFonts w:ascii="Calibri" w:hAnsi="Calibri" w:cs="Calibri"/>
                <w:b/>
                <w:bCs/>
                <w:color w:val="000000"/>
              </w:rPr>
              <w:t>18-64</w:t>
            </w:r>
          </w:p>
        </w:tc>
        <w:tc>
          <w:tcPr>
            <w:tcW w:w="700" w:type="dxa"/>
            <w:tcBorders>
              <w:top w:val="nil"/>
              <w:left w:val="nil"/>
              <w:bottom w:val="single" w:sz="4" w:space="0" w:color="auto"/>
              <w:right w:val="nil"/>
            </w:tcBorders>
            <w:shd w:val="clear" w:color="auto" w:fill="auto"/>
            <w:noWrap/>
            <w:vAlign w:val="center"/>
          </w:tcPr>
          <w:p w14:paraId="58D33195" w14:textId="766EAC01" w:rsidR="002F4427" w:rsidRPr="002F4427" w:rsidRDefault="002F4427" w:rsidP="002F4427">
            <w:pPr>
              <w:spacing w:after="0" w:line="240" w:lineRule="auto"/>
              <w:jc w:val="center"/>
              <w:rPr>
                <w:rFonts w:ascii="Calibri" w:eastAsia="Times New Roman" w:hAnsi="Calibri" w:cs="Calibri"/>
                <w:i/>
                <w:iCs/>
                <w:color w:val="000000"/>
              </w:rPr>
            </w:pPr>
            <w:r w:rsidRPr="002F4427">
              <w:rPr>
                <w:rFonts w:ascii="Calibri" w:hAnsi="Calibri" w:cs="Calibri"/>
                <w:i/>
                <w:iCs/>
                <w:color w:val="000000"/>
              </w:rPr>
              <w:t>360</w:t>
            </w:r>
          </w:p>
        </w:tc>
        <w:tc>
          <w:tcPr>
            <w:tcW w:w="700" w:type="dxa"/>
            <w:tcBorders>
              <w:top w:val="nil"/>
              <w:left w:val="nil"/>
              <w:bottom w:val="single" w:sz="4" w:space="0" w:color="auto"/>
              <w:right w:val="nil"/>
            </w:tcBorders>
            <w:shd w:val="clear" w:color="auto" w:fill="auto"/>
            <w:noWrap/>
            <w:vAlign w:val="center"/>
          </w:tcPr>
          <w:p w14:paraId="392206CF" w14:textId="0EC9A544"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23.9</w:t>
            </w:r>
          </w:p>
        </w:tc>
        <w:tc>
          <w:tcPr>
            <w:tcW w:w="700" w:type="dxa"/>
            <w:tcBorders>
              <w:top w:val="nil"/>
              <w:left w:val="nil"/>
              <w:bottom w:val="single" w:sz="4" w:space="0" w:color="auto"/>
              <w:right w:val="nil"/>
            </w:tcBorders>
            <w:shd w:val="clear" w:color="auto" w:fill="auto"/>
            <w:noWrap/>
            <w:vAlign w:val="center"/>
          </w:tcPr>
          <w:p w14:paraId="696BF954" w14:textId="68D5E1C4"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37.2</w:t>
            </w:r>
          </w:p>
        </w:tc>
        <w:tc>
          <w:tcPr>
            <w:tcW w:w="700" w:type="dxa"/>
            <w:tcBorders>
              <w:top w:val="nil"/>
              <w:left w:val="nil"/>
              <w:bottom w:val="single" w:sz="4" w:space="0" w:color="auto"/>
              <w:right w:val="nil"/>
            </w:tcBorders>
            <w:shd w:val="clear" w:color="auto" w:fill="auto"/>
            <w:noWrap/>
            <w:vAlign w:val="center"/>
          </w:tcPr>
          <w:p w14:paraId="6E490C51" w14:textId="704301A7"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51.1</w:t>
            </w:r>
          </w:p>
        </w:tc>
        <w:tc>
          <w:tcPr>
            <w:tcW w:w="700" w:type="dxa"/>
            <w:tcBorders>
              <w:top w:val="nil"/>
              <w:left w:val="nil"/>
              <w:bottom w:val="single" w:sz="4" w:space="0" w:color="auto"/>
              <w:right w:val="nil"/>
            </w:tcBorders>
            <w:shd w:val="clear" w:color="auto" w:fill="auto"/>
            <w:noWrap/>
            <w:vAlign w:val="center"/>
          </w:tcPr>
          <w:p w14:paraId="036A627C" w14:textId="55A3619F"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58.6</w:t>
            </w:r>
          </w:p>
        </w:tc>
        <w:tc>
          <w:tcPr>
            <w:tcW w:w="700" w:type="dxa"/>
            <w:tcBorders>
              <w:top w:val="nil"/>
              <w:left w:val="nil"/>
              <w:bottom w:val="single" w:sz="4" w:space="0" w:color="auto"/>
              <w:right w:val="nil"/>
            </w:tcBorders>
            <w:shd w:val="clear" w:color="auto" w:fill="auto"/>
            <w:noWrap/>
            <w:vAlign w:val="center"/>
          </w:tcPr>
          <w:p w14:paraId="2350E79F" w14:textId="77E4F7A3"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64.7</w:t>
            </w:r>
          </w:p>
        </w:tc>
        <w:tc>
          <w:tcPr>
            <w:tcW w:w="700" w:type="dxa"/>
            <w:tcBorders>
              <w:top w:val="nil"/>
              <w:left w:val="nil"/>
              <w:bottom w:val="single" w:sz="4" w:space="0" w:color="auto"/>
              <w:right w:val="nil"/>
            </w:tcBorders>
            <w:shd w:val="clear" w:color="auto" w:fill="auto"/>
            <w:noWrap/>
            <w:vAlign w:val="center"/>
          </w:tcPr>
          <w:p w14:paraId="71D2778E" w14:textId="25FD111E"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67.8</w:t>
            </w:r>
          </w:p>
        </w:tc>
        <w:tc>
          <w:tcPr>
            <w:tcW w:w="700" w:type="dxa"/>
            <w:tcBorders>
              <w:top w:val="nil"/>
              <w:left w:val="nil"/>
              <w:bottom w:val="single" w:sz="4" w:space="0" w:color="auto"/>
              <w:right w:val="nil"/>
            </w:tcBorders>
            <w:shd w:val="clear" w:color="auto" w:fill="auto"/>
            <w:noWrap/>
            <w:vAlign w:val="center"/>
          </w:tcPr>
          <w:p w14:paraId="324176A7" w14:textId="78866AC3"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69.2</w:t>
            </w:r>
          </w:p>
        </w:tc>
        <w:tc>
          <w:tcPr>
            <w:tcW w:w="700" w:type="dxa"/>
            <w:tcBorders>
              <w:top w:val="nil"/>
              <w:left w:val="nil"/>
              <w:bottom w:val="single" w:sz="4" w:space="0" w:color="auto"/>
              <w:right w:val="nil"/>
            </w:tcBorders>
            <w:shd w:val="clear" w:color="auto" w:fill="auto"/>
            <w:noWrap/>
            <w:vAlign w:val="center"/>
          </w:tcPr>
          <w:p w14:paraId="1471A615" w14:textId="57BAA3E3"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73.1</w:t>
            </w:r>
          </w:p>
        </w:tc>
        <w:tc>
          <w:tcPr>
            <w:tcW w:w="700" w:type="dxa"/>
            <w:tcBorders>
              <w:top w:val="nil"/>
              <w:left w:val="nil"/>
              <w:bottom w:val="single" w:sz="4" w:space="0" w:color="auto"/>
              <w:right w:val="nil"/>
            </w:tcBorders>
            <w:shd w:val="clear" w:color="auto" w:fill="auto"/>
            <w:noWrap/>
            <w:vAlign w:val="center"/>
          </w:tcPr>
          <w:p w14:paraId="66FD3D0E" w14:textId="2E2E2EC8"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73.1</w:t>
            </w:r>
          </w:p>
        </w:tc>
        <w:tc>
          <w:tcPr>
            <w:tcW w:w="700" w:type="dxa"/>
            <w:tcBorders>
              <w:top w:val="nil"/>
              <w:left w:val="nil"/>
              <w:bottom w:val="single" w:sz="4" w:space="0" w:color="auto"/>
              <w:right w:val="nil"/>
            </w:tcBorders>
            <w:shd w:val="clear" w:color="auto" w:fill="auto"/>
            <w:noWrap/>
            <w:vAlign w:val="center"/>
          </w:tcPr>
          <w:p w14:paraId="1C1C4297" w14:textId="3CC5770A"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78.1</w:t>
            </w:r>
          </w:p>
        </w:tc>
        <w:tc>
          <w:tcPr>
            <w:tcW w:w="700" w:type="dxa"/>
            <w:tcBorders>
              <w:top w:val="nil"/>
              <w:left w:val="nil"/>
              <w:bottom w:val="single" w:sz="4" w:space="0" w:color="auto"/>
              <w:right w:val="nil"/>
            </w:tcBorders>
            <w:shd w:val="clear" w:color="auto" w:fill="auto"/>
            <w:noWrap/>
            <w:vAlign w:val="center"/>
          </w:tcPr>
          <w:p w14:paraId="0333620B" w14:textId="7E747FF0"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78.9</w:t>
            </w:r>
          </w:p>
        </w:tc>
        <w:tc>
          <w:tcPr>
            <w:tcW w:w="700" w:type="dxa"/>
            <w:tcBorders>
              <w:top w:val="nil"/>
              <w:left w:val="nil"/>
              <w:bottom w:val="single" w:sz="4" w:space="0" w:color="auto"/>
              <w:right w:val="nil"/>
            </w:tcBorders>
            <w:shd w:val="clear" w:color="auto" w:fill="auto"/>
            <w:noWrap/>
            <w:vAlign w:val="center"/>
          </w:tcPr>
          <w:p w14:paraId="6544E289" w14:textId="565D1B10"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83.1</w:t>
            </w:r>
          </w:p>
        </w:tc>
        <w:tc>
          <w:tcPr>
            <w:tcW w:w="700" w:type="dxa"/>
            <w:tcBorders>
              <w:top w:val="nil"/>
              <w:left w:val="nil"/>
              <w:bottom w:val="single" w:sz="4" w:space="0" w:color="auto"/>
              <w:right w:val="nil"/>
            </w:tcBorders>
            <w:shd w:val="clear" w:color="auto" w:fill="auto"/>
            <w:noWrap/>
            <w:vAlign w:val="center"/>
          </w:tcPr>
          <w:p w14:paraId="1EB397DC" w14:textId="4CE41ED6"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83.3</w:t>
            </w:r>
          </w:p>
        </w:tc>
        <w:tc>
          <w:tcPr>
            <w:tcW w:w="700" w:type="dxa"/>
            <w:tcBorders>
              <w:top w:val="nil"/>
              <w:left w:val="nil"/>
              <w:bottom w:val="single" w:sz="4" w:space="0" w:color="auto"/>
              <w:right w:val="nil"/>
            </w:tcBorders>
            <w:shd w:val="clear" w:color="auto" w:fill="auto"/>
            <w:noWrap/>
            <w:vAlign w:val="center"/>
          </w:tcPr>
          <w:p w14:paraId="6AD5A797" w14:textId="667FD267"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83.6</w:t>
            </w:r>
          </w:p>
        </w:tc>
        <w:tc>
          <w:tcPr>
            <w:tcW w:w="700" w:type="dxa"/>
            <w:tcBorders>
              <w:top w:val="nil"/>
              <w:left w:val="nil"/>
              <w:bottom w:val="single" w:sz="4" w:space="0" w:color="auto"/>
              <w:right w:val="nil"/>
            </w:tcBorders>
            <w:shd w:val="clear" w:color="auto" w:fill="auto"/>
            <w:noWrap/>
            <w:vAlign w:val="center"/>
          </w:tcPr>
          <w:p w14:paraId="218B2F70" w14:textId="50B7B161"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86.4</w:t>
            </w:r>
          </w:p>
        </w:tc>
        <w:tc>
          <w:tcPr>
            <w:tcW w:w="700" w:type="dxa"/>
            <w:tcBorders>
              <w:top w:val="nil"/>
              <w:left w:val="nil"/>
              <w:bottom w:val="single" w:sz="4" w:space="0" w:color="auto"/>
              <w:right w:val="nil"/>
            </w:tcBorders>
            <w:shd w:val="clear" w:color="auto" w:fill="auto"/>
            <w:noWrap/>
            <w:vAlign w:val="center"/>
          </w:tcPr>
          <w:p w14:paraId="73A79E98" w14:textId="321CA8A9"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86.4</w:t>
            </w:r>
          </w:p>
        </w:tc>
        <w:tc>
          <w:tcPr>
            <w:tcW w:w="700" w:type="dxa"/>
            <w:tcBorders>
              <w:top w:val="nil"/>
              <w:left w:val="nil"/>
              <w:bottom w:val="single" w:sz="4" w:space="0" w:color="auto"/>
              <w:right w:val="nil"/>
            </w:tcBorders>
            <w:shd w:val="clear" w:color="auto" w:fill="auto"/>
            <w:noWrap/>
            <w:vAlign w:val="center"/>
          </w:tcPr>
          <w:p w14:paraId="007C354B" w14:textId="107F2DBE" w:rsidR="002F4427" w:rsidRPr="002F4427" w:rsidRDefault="002F4427" w:rsidP="002F4427">
            <w:pPr>
              <w:spacing w:after="0" w:line="240" w:lineRule="auto"/>
              <w:jc w:val="center"/>
              <w:rPr>
                <w:rFonts w:ascii="Times New Roman" w:eastAsia="Times New Roman" w:hAnsi="Times New Roman" w:cs="Times New Roman"/>
                <w:sz w:val="20"/>
                <w:szCs w:val="20"/>
              </w:rPr>
            </w:pPr>
            <w:r>
              <w:rPr>
                <w:rFonts w:ascii="Calibri" w:hAnsi="Calibri" w:cs="Calibri"/>
                <w:color w:val="000000"/>
              </w:rPr>
              <w:t>86.4</w:t>
            </w:r>
          </w:p>
        </w:tc>
        <w:tc>
          <w:tcPr>
            <w:tcW w:w="700" w:type="dxa"/>
            <w:tcBorders>
              <w:top w:val="nil"/>
              <w:left w:val="nil"/>
              <w:bottom w:val="single" w:sz="4" w:space="0" w:color="auto"/>
              <w:right w:val="nil"/>
            </w:tcBorders>
            <w:shd w:val="clear" w:color="auto" w:fill="auto"/>
            <w:noWrap/>
            <w:vAlign w:val="center"/>
          </w:tcPr>
          <w:p w14:paraId="38152C54" w14:textId="7A0A9D66"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90.6</w:t>
            </w:r>
          </w:p>
        </w:tc>
        <w:tc>
          <w:tcPr>
            <w:tcW w:w="700" w:type="dxa"/>
            <w:tcBorders>
              <w:top w:val="nil"/>
              <w:left w:val="nil"/>
              <w:bottom w:val="single" w:sz="4" w:space="0" w:color="auto"/>
              <w:right w:val="nil"/>
            </w:tcBorders>
            <w:shd w:val="clear" w:color="auto" w:fill="auto"/>
            <w:noWrap/>
            <w:vAlign w:val="center"/>
          </w:tcPr>
          <w:p w14:paraId="1F526132" w14:textId="044547EC"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90.8</w:t>
            </w:r>
          </w:p>
        </w:tc>
        <w:tc>
          <w:tcPr>
            <w:tcW w:w="700" w:type="dxa"/>
            <w:tcBorders>
              <w:top w:val="nil"/>
              <w:left w:val="nil"/>
              <w:bottom w:val="single" w:sz="4" w:space="0" w:color="auto"/>
              <w:right w:val="nil"/>
            </w:tcBorders>
            <w:shd w:val="clear" w:color="auto" w:fill="auto"/>
            <w:noWrap/>
            <w:vAlign w:val="center"/>
          </w:tcPr>
          <w:p w14:paraId="36676F77" w14:textId="70E4D191"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90.8</w:t>
            </w:r>
          </w:p>
        </w:tc>
        <w:tc>
          <w:tcPr>
            <w:tcW w:w="700" w:type="dxa"/>
            <w:tcBorders>
              <w:top w:val="nil"/>
              <w:left w:val="nil"/>
              <w:bottom w:val="single" w:sz="4" w:space="0" w:color="auto"/>
              <w:right w:val="nil"/>
            </w:tcBorders>
            <w:shd w:val="clear" w:color="auto" w:fill="auto"/>
            <w:noWrap/>
            <w:vAlign w:val="center"/>
          </w:tcPr>
          <w:p w14:paraId="392BF9D4" w14:textId="1548A7A8"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92.8</w:t>
            </w:r>
          </w:p>
        </w:tc>
        <w:tc>
          <w:tcPr>
            <w:tcW w:w="700" w:type="dxa"/>
            <w:tcBorders>
              <w:top w:val="nil"/>
              <w:left w:val="nil"/>
              <w:bottom w:val="single" w:sz="4" w:space="0" w:color="auto"/>
              <w:right w:val="nil"/>
            </w:tcBorders>
            <w:shd w:val="clear" w:color="auto" w:fill="auto"/>
            <w:noWrap/>
            <w:vAlign w:val="center"/>
          </w:tcPr>
          <w:p w14:paraId="671C0C6F" w14:textId="1F5494CD"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93.1</w:t>
            </w:r>
          </w:p>
        </w:tc>
        <w:tc>
          <w:tcPr>
            <w:tcW w:w="700" w:type="dxa"/>
            <w:tcBorders>
              <w:top w:val="nil"/>
              <w:left w:val="nil"/>
              <w:bottom w:val="single" w:sz="4" w:space="0" w:color="auto"/>
              <w:right w:val="nil"/>
            </w:tcBorders>
            <w:shd w:val="clear" w:color="auto" w:fill="auto"/>
            <w:noWrap/>
            <w:vAlign w:val="center"/>
          </w:tcPr>
          <w:p w14:paraId="3A15F709" w14:textId="0ADD3BDE"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93.3</w:t>
            </w:r>
          </w:p>
        </w:tc>
        <w:tc>
          <w:tcPr>
            <w:tcW w:w="700" w:type="dxa"/>
            <w:tcBorders>
              <w:top w:val="nil"/>
              <w:left w:val="nil"/>
              <w:bottom w:val="single" w:sz="4" w:space="0" w:color="auto"/>
              <w:right w:val="nil"/>
            </w:tcBorders>
            <w:shd w:val="clear" w:color="auto" w:fill="auto"/>
            <w:noWrap/>
            <w:vAlign w:val="center"/>
          </w:tcPr>
          <w:p w14:paraId="77B2DFA5" w14:textId="644E5A62"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93.3</w:t>
            </w:r>
          </w:p>
        </w:tc>
        <w:tc>
          <w:tcPr>
            <w:tcW w:w="700" w:type="dxa"/>
            <w:tcBorders>
              <w:top w:val="nil"/>
              <w:left w:val="nil"/>
              <w:bottom w:val="single" w:sz="4" w:space="0" w:color="auto"/>
              <w:right w:val="nil"/>
            </w:tcBorders>
            <w:shd w:val="clear" w:color="auto" w:fill="auto"/>
            <w:noWrap/>
            <w:vAlign w:val="center"/>
          </w:tcPr>
          <w:p w14:paraId="243AB2CE" w14:textId="2CEE5E49" w:rsidR="002F4427" w:rsidRPr="002F4427" w:rsidRDefault="002F4427" w:rsidP="002F4427">
            <w:pPr>
              <w:spacing w:after="0" w:line="240" w:lineRule="auto"/>
              <w:jc w:val="center"/>
              <w:rPr>
                <w:rFonts w:ascii="Calibri" w:eastAsia="Times New Roman" w:hAnsi="Calibri" w:cs="Calibri"/>
                <w:color w:val="000000"/>
              </w:rPr>
            </w:pPr>
            <w:r>
              <w:rPr>
                <w:rFonts w:ascii="Calibri" w:hAnsi="Calibri" w:cs="Calibri"/>
                <w:color w:val="000000"/>
              </w:rPr>
              <w:t>97.5</w:t>
            </w:r>
          </w:p>
        </w:tc>
      </w:tr>
    </w:tbl>
    <w:p w14:paraId="1A972E11" w14:textId="77777777" w:rsidR="007821BD" w:rsidRDefault="007821BD" w:rsidP="007821BD"/>
    <w:p w14:paraId="1BD45C28" w14:textId="118446A7" w:rsidR="007821BD" w:rsidRPr="007821BD" w:rsidRDefault="007821BD" w:rsidP="007821BD">
      <w:pPr>
        <w:sectPr w:rsidR="007821BD" w:rsidRPr="007821BD" w:rsidSect="000750D0">
          <w:headerReference w:type="default" r:id="rId40"/>
          <w:headerReference w:type="first" r:id="rId41"/>
          <w:pgSz w:w="20160" w:h="12240" w:orient="landscape" w:code="5"/>
          <w:pgMar w:top="720" w:right="720" w:bottom="720" w:left="720" w:header="720" w:footer="720" w:gutter="0"/>
          <w:cols w:space="720"/>
          <w:docGrid w:linePitch="360"/>
        </w:sectPr>
      </w:pPr>
    </w:p>
    <w:p w14:paraId="2072EA4C" w14:textId="27E9D41F" w:rsidR="00506F46" w:rsidRPr="00776FA8" w:rsidRDefault="00764CC1" w:rsidP="00776FA8">
      <w:pPr>
        <w:rPr>
          <w:b/>
          <w:bCs/>
          <w:sz w:val="28"/>
          <w:szCs w:val="28"/>
        </w:rPr>
      </w:pPr>
      <w:r w:rsidRPr="00776FA8">
        <w:rPr>
          <w:b/>
          <w:bCs/>
          <w:sz w:val="28"/>
          <w:szCs w:val="28"/>
        </w:rPr>
        <w:lastRenderedPageBreak/>
        <w:t>A</w:t>
      </w:r>
      <w:r w:rsidR="0001329E" w:rsidRPr="00776FA8">
        <w:rPr>
          <w:b/>
          <w:bCs/>
          <w:sz w:val="28"/>
          <w:szCs w:val="28"/>
        </w:rPr>
        <w:t xml:space="preserve">.4 </w:t>
      </w:r>
      <w:r w:rsidR="00FD553E">
        <w:rPr>
          <w:b/>
          <w:bCs/>
          <w:sz w:val="28"/>
          <w:szCs w:val="28"/>
        </w:rPr>
        <w:tab/>
      </w:r>
      <w:r w:rsidR="00DF46D9" w:rsidRPr="00776FA8">
        <w:rPr>
          <w:b/>
          <w:bCs/>
          <w:sz w:val="28"/>
          <w:szCs w:val="28"/>
        </w:rPr>
        <w:t>R</w:t>
      </w:r>
      <w:r w:rsidR="0001329E" w:rsidRPr="00776FA8">
        <w:rPr>
          <w:b/>
          <w:bCs/>
          <w:sz w:val="28"/>
          <w:szCs w:val="28"/>
        </w:rPr>
        <w:t>elative</w:t>
      </w:r>
      <w:r w:rsidR="00DF46D9" w:rsidRPr="00776FA8">
        <w:rPr>
          <w:b/>
          <w:bCs/>
          <w:sz w:val="28"/>
          <w:szCs w:val="28"/>
        </w:rPr>
        <w:t xml:space="preserve"> S</w:t>
      </w:r>
      <w:r w:rsidR="0001329E" w:rsidRPr="00776FA8">
        <w:rPr>
          <w:b/>
          <w:bCs/>
          <w:sz w:val="28"/>
          <w:szCs w:val="28"/>
        </w:rPr>
        <w:t>ource</w:t>
      </w:r>
      <w:r w:rsidR="00DF46D9" w:rsidRPr="00776FA8">
        <w:rPr>
          <w:b/>
          <w:bCs/>
          <w:sz w:val="28"/>
          <w:szCs w:val="28"/>
        </w:rPr>
        <w:t xml:space="preserve"> C</w:t>
      </w:r>
      <w:r w:rsidR="00657CF0" w:rsidRPr="00776FA8">
        <w:rPr>
          <w:b/>
          <w:bCs/>
          <w:sz w:val="28"/>
          <w:szCs w:val="28"/>
        </w:rPr>
        <w:t>ontribution</w:t>
      </w:r>
    </w:p>
    <w:p w14:paraId="7393370E" w14:textId="2515F7BA" w:rsidR="00236547" w:rsidRPr="003773CB" w:rsidRDefault="00DF46D9" w:rsidP="006E4074">
      <w:pPr>
        <w:spacing w:line="240" w:lineRule="auto"/>
        <w:rPr>
          <w:rFonts w:cs="Arial"/>
          <w:sz w:val="24"/>
          <w:szCs w:val="24"/>
        </w:rPr>
      </w:pPr>
      <w:r w:rsidRPr="003773CB">
        <w:rPr>
          <w:rFonts w:cs="Arial"/>
          <w:sz w:val="24"/>
          <w:szCs w:val="24"/>
        </w:rPr>
        <w:t xml:space="preserve">The </w:t>
      </w:r>
      <w:r w:rsidR="006B3ECA">
        <w:rPr>
          <w:rFonts w:cs="Arial"/>
          <w:sz w:val="24"/>
          <w:szCs w:val="24"/>
        </w:rPr>
        <w:t>relative source contribution (</w:t>
      </w:r>
      <w:r w:rsidRPr="003773CB">
        <w:rPr>
          <w:rFonts w:cs="Arial"/>
          <w:sz w:val="24"/>
          <w:szCs w:val="24"/>
        </w:rPr>
        <w:t>RSC</w:t>
      </w:r>
      <w:r w:rsidR="006B3ECA">
        <w:rPr>
          <w:rFonts w:cs="Arial"/>
          <w:sz w:val="24"/>
          <w:szCs w:val="24"/>
        </w:rPr>
        <w:t>)</w:t>
      </w:r>
      <w:r w:rsidRPr="003773CB">
        <w:rPr>
          <w:rFonts w:cs="Arial"/>
          <w:sz w:val="24"/>
          <w:szCs w:val="24"/>
        </w:rPr>
        <w:t xml:space="preserve"> accounts for exposures to the contaminant of concern from sources other than those </w:t>
      </w:r>
      <w:r w:rsidR="002E410E">
        <w:rPr>
          <w:rFonts w:cs="Arial"/>
          <w:sz w:val="24"/>
          <w:szCs w:val="24"/>
        </w:rPr>
        <w:t>accounted for</w:t>
      </w:r>
      <w:r w:rsidRPr="003773CB">
        <w:rPr>
          <w:rFonts w:cs="Arial"/>
          <w:sz w:val="24"/>
          <w:szCs w:val="24"/>
        </w:rPr>
        <w:t xml:space="preserve"> by the </w:t>
      </w:r>
      <w:r w:rsidR="006B3ECA">
        <w:rPr>
          <w:rFonts w:cs="Arial"/>
          <w:sz w:val="24"/>
          <w:szCs w:val="24"/>
        </w:rPr>
        <w:t>SWAL</w:t>
      </w:r>
      <w:r w:rsidR="002450EC">
        <w:rPr>
          <w:rFonts w:cs="Arial"/>
          <w:sz w:val="24"/>
          <w:szCs w:val="24"/>
        </w:rPr>
        <w:t xml:space="preserve"> </w:t>
      </w:r>
      <w:r w:rsidR="002450EC" w:rsidRPr="00DB14B8">
        <w:rPr>
          <w:rFonts w:cs="Arial"/>
          <w:sz w:val="24"/>
          <w:szCs w:val="24"/>
        </w:rPr>
        <w:t>and PBAL</w:t>
      </w:r>
      <w:r w:rsidRPr="003773CB">
        <w:rPr>
          <w:rFonts w:cs="Arial"/>
          <w:sz w:val="24"/>
          <w:szCs w:val="24"/>
        </w:rPr>
        <w:t>, such as diet or air. Per US EPA guidance (2000) RSCs range from 20 – 80%, with 20% used as a default in the absence of adequate data supporting a higher RSC.</w:t>
      </w:r>
    </w:p>
    <w:p w14:paraId="75ECD31F" w14:textId="04782E0E" w:rsidR="002450EC" w:rsidRPr="00DB14B8" w:rsidRDefault="002450EC" w:rsidP="006E4074">
      <w:pPr>
        <w:spacing w:after="0" w:line="240" w:lineRule="auto"/>
        <w:rPr>
          <w:rFonts w:cs="Arial"/>
        </w:rPr>
      </w:pPr>
      <w:r w:rsidRPr="00DB14B8">
        <w:rPr>
          <w:rFonts w:cs="Arial"/>
          <w:sz w:val="24"/>
          <w:szCs w:val="24"/>
        </w:rPr>
        <w:t>As an estimate of background exposure</w:t>
      </w:r>
      <w:r w:rsidR="00A911B0" w:rsidRPr="00DB14B8">
        <w:rPr>
          <w:rFonts w:cs="Arial"/>
          <w:sz w:val="24"/>
          <w:szCs w:val="24"/>
        </w:rPr>
        <w:t xml:space="preserve">, </w:t>
      </w:r>
      <w:r w:rsidR="006B38D0" w:rsidRPr="00032A22">
        <w:rPr>
          <w:rFonts w:cs="Arial"/>
          <w:sz w:val="24"/>
          <w:szCs w:val="24"/>
        </w:rPr>
        <w:t>DP</w:t>
      </w:r>
      <w:r w:rsidR="006B38D0" w:rsidRPr="002E2ED1">
        <w:rPr>
          <w:rFonts w:cs="Arial"/>
          <w:sz w:val="24"/>
          <w:szCs w:val="24"/>
        </w:rPr>
        <w:t>H used serum PFAS levels from the National Health and Nutrition Examination</w:t>
      </w:r>
      <w:r w:rsidR="00DF66A4" w:rsidRPr="002E2ED1">
        <w:rPr>
          <w:rFonts w:cs="Arial"/>
          <w:sz w:val="24"/>
          <w:szCs w:val="24"/>
        </w:rPr>
        <w:t xml:space="preserve"> Survey (NHANES), as a measure of exposure across all potential routes and media (CDC, </w:t>
      </w:r>
      <w:r w:rsidR="002830EA" w:rsidRPr="002E2ED1">
        <w:rPr>
          <w:rFonts w:cs="Arial"/>
          <w:sz w:val="24"/>
          <w:szCs w:val="24"/>
        </w:rPr>
        <w:t>2022</w:t>
      </w:r>
      <w:r w:rsidR="004C6B3C" w:rsidRPr="002E2ED1">
        <w:rPr>
          <w:rFonts w:cs="Arial"/>
          <w:sz w:val="24"/>
          <w:szCs w:val="24"/>
        </w:rPr>
        <w:t>a, b</w:t>
      </w:r>
      <w:r w:rsidR="002830EA" w:rsidRPr="002E2ED1">
        <w:rPr>
          <w:rFonts w:cs="Arial"/>
          <w:sz w:val="24"/>
          <w:szCs w:val="24"/>
        </w:rPr>
        <w:t>)</w:t>
      </w:r>
      <w:r w:rsidR="00371F30" w:rsidRPr="002E2ED1">
        <w:rPr>
          <w:rFonts w:cs="Arial"/>
          <w:sz w:val="24"/>
          <w:szCs w:val="24"/>
        </w:rPr>
        <w:t>.</w:t>
      </w:r>
      <w:r w:rsidR="007D6ABB" w:rsidRPr="002E2ED1">
        <w:rPr>
          <w:rFonts w:cs="Arial"/>
          <w:sz w:val="24"/>
          <w:szCs w:val="24"/>
        </w:rPr>
        <w:t xml:space="preserve"> The RSC was calculated </w:t>
      </w:r>
      <w:r w:rsidR="002C47EB" w:rsidRPr="002E2ED1">
        <w:rPr>
          <w:rFonts w:cs="Arial"/>
          <w:sz w:val="24"/>
          <w:szCs w:val="24"/>
        </w:rPr>
        <w:t xml:space="preserve">using </w:t>
      </w:r>
      <w:r w:rsidR="00D512BD" w:rsidRPr="002E2ED1">
        <w:rPr>
          <w:rFonts w:cs="Arial"/>
          <w:sz w:val="24"/>
          <w:szCs w:val="24"/>
        </w:rPr>
        <w:t xml:space="preserve">a serum equivalent for </w:t>
      </w:r>
      <w:r w:rsidR="00AA3AC5" w:rsidRPr="002E2ED1">
        <w:rPr>
          <w:rFonts w:cs="Arial"/>
          <w:sz w:val="24"/>
          <w:szCs w:val="24"/>
        </w:rPr>
        <w:t>ATSDR’s PFOS MRL, as follows:</w:t>
      </w:r>
    </w:p>
    <w:p w14:paraId="08C06A31" w14:textId="77777777" w:rsidR="00AA3AC5" w:rsidRPr="00DB14B8" w:rsidRDefault="00AA3AC5" w:rsidP="006E4074">
      <w:pPr>
        <w:spacing w:after="0" w:line="240" w:lineRule="auto"/>
        <w:rPr>
          <w:rFonts w:cs="Arial"/>
        </w:rPr>
      </w:pPr>
    </w:p>
    <w:p w14:paraId="654EA232" w14:textId="435FD297" w:rsidR="00582627" w:rsidRPr="00DB14B8" w:rsidRDefault="00582627" w:rsidP="006E4074">
      <w:pPr>
        <w:spacing w:after="0" w:line="240" w:lineRule="auto"/>
      </w:pPr>
      <m:oMathPara>
        <m:oMath>
          <m:r>
            <w:rPr>
              <w:rFonts w:ascii="Cambria Math" w:hAnsi="Cambria Math"/>
            </w:rPr>
            <m:t xml:space="preserve">RSC= </m:t>
          </m:r>
          <m:f>
            <m:fPr>
              <m:ctrlPr>
                <w:rPr>
                  <w:rFonts w:ascii="Cambria Math" w:hAnsi="Cambria Math"/>
                  <w:i/>
                </w:rPr>
              </m:ctrlPr>
            </m:fPr>
            <m:num>
              <m:sSub>
                <m:sSubPr>
                  <m:ctrlPr>
                    <w:rPr>
                      <w:rFonts w:ascii="Cambria Math" w:hAnsi="Cambria Math"/>
                      <w:i/>
                    </w:rPr>
                  </m:ctrlPr>
                </m:sSubPr>
                <m:e>
                  <m:r>
                    <w:rPr>
                      <w:rFonts w:ascii="Cambria Math" w:hAnsi="Cambria Math"/>
                    </w:rPr>
                    <m:t>MRL</m:t>
                  </m:r>
                </m:e>
                <m:sub>
                  <m:r>
                    <w:rPr>
                      <w:rFonts w:ascii="Cambria Math" w:hAnsi="Cambria Math"/>
                    </w:rPr>
                    <m:t xml:space="preserve">Serum Equivalent  </m:t>
                  </m:r>
                </m:sub>
              </m:sSub>
              <m:r>
                <w:rPr>
                  <w:rFonts w:ascii="Cambria Math" w:hAnsi="Cambria Math"/>
                </w:rPr>
                <m:t>-  NHANES Serum Concentration</m:t>
              </m:r>
            </m:num>
            <m:den>
              <m:sSub>
                <m:sSubPr>
                  <m:ctrlPr>
                    <w:rPr>
                      <w:rFonts w:ascii="Cambria Math" w:hAnsi="Cambria Math"/>
                      <w:i/>
                    </w:rPr>
                  </m:ctrlPr>
                </m:sSubPr>
                <m:e>
                  <m:r>
                    <w:rPr>
                      <w:rFonts w:ascii="Cambria Math" w:hAnsi="Cambria Math"/>
                    </w:rPr>
                    <m:t>MRL</m:t>
                  </m:r>
                </m:e>
                <m:sub>
                  <m:r>
                    <w:rPr>
                      <w:rFonts w:ascii="Cambria Math" w:hAnsi="Cambria Math"/>
                    </w:rPr>
                    <m:t xml:space="preserve">Serum Equivalent  </m:t>
                  </m:r>
                </m:sub>
              </m:sSub>
            </m:den>
          </m:f>
        </m:oMath>
      </m:oMathPara>
    </w:p>
    <w:p w14:paraId="4ECD58ED" w14:textId="77777777" w:rsidR="00AA3AC5" w:rsidRPr="00DB14B8" w:rsidRDefault="00AA3AC5" w:rsidP="006E4074">
      <w:pPr>
        <w:spacing w:after="0" w:line="240" w:lineRule="auto"/>
        <w:rPr>
          <w:rFonts w:cs="Arial"/>
          <w:sz w:val="24"/>
          <w:szCs w:val="24"/>
        </w:rPr>
      </w:pPr>
    </w:p>
    <w:p w14:paraId="4C139CED" w14:textId="5BCE3219" w:rsidR="002450EC" w:rsidRPr="00B718A1" w:rsidRDefault="005E23B8" w:rsidP="006E4074">
      <w:pPr>
        <w:spacing w:after="0" w:line="240" w:lineRule="auto"/>
        <w:rPr>
          <w:rFonts w:cs="Arial"/>
          <w:sz w:val="24"/>
          <w:szCs w:val="24"/>
        </w:rPr>
      </w:pPr>
      <w:r w:rsidRPr="00B718A1">
        <w:rPr>
          <w:rFonts w:cs="Arial"/>
          <w:sz w:val="24"/>
          <w:szCs w:val="24"/>
        </w:rPr>
        <w:t xml:space="preserve">The </w:t>
      </w:r>
      <w:proofErr w:type="spellStart"/>
      <w:r w:rsidRPr="00B718A1">
        <w:rPr>
          <w:rFonts w:cs="Arial"/>
          <w:sz w:val="24"/>
          <w:szCs w:val="24"/>
        </w:rPr>
        <w:t>MRL</w:t>
      </w:r>
      <w:r w:rsidRPr="00B718A1">
        <w:rPr>
          <w:rFonts w:cs="Arial"/>
          <w:sz w:val="24"/>
          <w:szCs w:val="24"/>
          <w:vertAlign w:val="subscript"/>
        </w:rPr>
        <w:t>serum</w:t>
      </w:r>
      <w:proofErr w:type="spellEnd"/>
      <w:r w:rsidRPr="00B718A1">
        <w:rPr>
          <w:rFonts w:cs="Arial"/>
          <w:sz w:val="24"/>
          <w:szCs w:val="24"/>
        </w:rPr>
        <w:t xml:space="preserve"> </w:t>
      </w:r>
      <w:r w:rsidRPr="00B718A1">
        <w:rPr>
          <w:rFonts w:cs="Arial"/>
          <w:sz w:val="24"/>
          <w:szCs w:val="24"/>
          <w:vertAlign w:val="subscript"/>
        </w:rPr>
        <w:t>equivalent</w:t>
      </w:r>
      <w:r w:rsidRPr="00B718A1">
        <w:rPr>
          <w:rFonts w:cs="Arial"/>
          <w:sz w:val="24"/>
          <w:szCs w:val="24"/>
        </w:rPr>
        <w:t xml:space="preserve"> was calculated</w:t>
      </w:r>
      <w:r w:rsidR="00023DD3" w:rsidRPr="00B718A1">
        <w:rPr>
          <w:rFonts w:cs="Arial"/>
          <w:sz w:val="24"/>
          <w:szCs w:val="24"/>
        </w:rPr>
        <w:t xml:space="preserve"> by dividing the predicted serum value corresponding to the </w:t>
      </w:r>
      <w:r w:rsidR="00DC14F8" w:rsidRPr="00B718A1">
        <w:rPr>
          <w:rFonts w:cs="Arial"/>
          <w:sz w:val="24"/>
          <w:szCs w:val="24"/>
        </w:rPr>
        <w:t>human equivalent dose</w:t>
      </w:r>
      <w:r w:rsidR="00023DD3" w:rsidRPr="00B718A1">
        <w:rPr>
          <w:rFonts w:cs="Arial"/>
          <w:sz w:val="24"/>
          <w:szCs w:val="24"/>
        </w:rPr>
        <w:t xml:space="preserve"> </w:t>
      </w:r>
      <w:r w:rsidR="002B7AD7" w:rsidRPr="00B718A1">
        <w:rPr>
          <w:rFonts w:cs="Arial"/>
          <w:sz w:val="24"/>
          <w:szCs w:val="24"/>
        </w:rPr>
        <w:t xml:space="preserve">(HED) </w:t>
      </w:r>
      <w:r w:rsidR="00023DD3" w:rsidRPr="00B718A1">
        <w:rPr>
          <w:rFonts w:cs="Arial"/>
          <w:sz w:val="24"/>
          <w:szCs w:val="24"/>
        </w:rPr>
        <w:t>that ATSDR used for</w:t>
      </w:r>
      <w:r w:rsidR="00BC7A12" w:rsidRPr="00B718A1">
        <w:rPr>
          <w:rFonts w:cs="Arial"/>
          <w:sz w:val="24"/>
          <w:szCs w:val="24"/>
        </w:rPr>
        <w:t xml:space="preserve"> the PFOS MRL (7.43 µg/L)</w:t>
      </w:r>
      <w:r w:rsidR="00CF51ED" w:rsidRPr="00B718A1">
        <w:rPr>
          <w:rFonts w:cs="Arial"/>
          <w:sz w:val="24"/>
          <w:szCs w:val="24"/>
        </w:rPr>
        <w:t xml:space="preserve">, by the total uncertainty factor </w:t>
      </w:r>
      <w:r w:rsidR="002B7AD7" w:rsidRPr="00B718A1">
        <w:rPr>
          <w:rFonts w:cs="Arial"/>
          <w:sz w:val="24"/>
          <w:szCs w:val="24"/>
        </w:rPr>
        <w:t>applied to the HED (300)</w:t>
      </w:r>
      <w:r w:rsidR="001C5534" w:rsidRPr="00B718A1">
        <w:rPr>
          <w:rFonts w:cs="Arial"/>
          <w:sz w:val="24"/>
          <w:szCs w:val="24"/>
        </w:rPr>
        <w:t xml:space="preserve">, resulting in a PFOS </w:t>
      </w:r>
      <w:proofErr w:type="spellStart"/>
      <w:r w:rsidR="001C5534" w:rsidRPr="00B718A1">
        <w:rPr>
          <w:rFonts w:cs="Arial"/>
          <w:sz w:val="24"/>
          <w:szCs w:val="24"/>
        </w:rPr>
        <w:t>MRL</w:t>
      </w:r>
      <w:r w:rsidR="001C5534" w:rsidRPr="00B718A1">
        <w:rPr>
          <w:rFonts w:cs="Arial"/>
          <w:sz w:val="24"/>
          <w:szCs w:val="24"/>
          <w:vertAlign w:val="subscript"/>
        </w:rPr>
        <w:t>serum</w:t>
      </w:r>
      <w:proofErr w:type="spellEnd"/>
      <w:r w:rsidR="001C5534" w:rsidRPr="00B718A1">
        <w:rPr>
          <w:rFonts w:cs="Arial"/>
          <w:sz w:val="24"/>
          <w:szCs w:val="24"/>
        </w:rPr>
        <w:t xml:space="preserve"> </w:t>
      </w:r>
      <w:r w:rsidR="001C5534" w:rsidRPr="00B718A1">
        <w:rPr>
          <w:rFonts w:cs="Arial"/>
          <w:sz w:val="24"/>
          <w:szCs w:val="24"/>
          <w:vertAlign w:val="subscript"/>
        </w:rPr>
        <w:t>equivalent</w:t>
      </w:r>
      <w:r w:rsidR="001C5534" w:rsidRPr="00B718A1">
        <w:rPr>
          <w:rFonts w:cs="Arial"/>
          <w:sz w:val="24"/>
          <w:szCs w:val="24"/>
        </w:rPr>
        <w:t xml:space="preserve"> of 24.8 µg/L.</w:t>
      </w:r>
    </w:p>
    <w:p w14:paraId="328E20DD" w14:textId="77777777" w:rsidR="005E23B8" w:rsidRPr="00DB14B8" w:rsidRDefault="005E23B8" w:rsidP="006E4074">
      <w:pPr>
        <w:spacing w:after="0" w:line="240" w:lineRule="auto"/>
        <w:rPr>
          <w:rFonts w:cs="Arial"/>
          <w:sz w:val="24"/>
          <w:szCs w:val="24"/>
        </w:rPr>
      </w:pPr>
    </w:p>
    <w:p w14:paraId="7F781C6C" w14:textId="77777777" w:rsidR="001246E1" w:rsidRDefault="00543F1C" w:rsidP="006E4074">
      <w:pPr>
        <w:spacing w:after="0" w:line="240" w:lineRule="auto"/>
        <w:rPr>
          <w:rFonts w:cs="Arial"/>
          <w:sz w:val="24"/>
          <w:szCs w:val="24"/>
        </w:rPr>
      </w:pPr>
      <w:r w:rsidRPr="00DB14B8">
        <w:rPr>
          <w:rFonts w:cs="Arial"/>
          <w:sz w:val="24"/>
          <w:szCs w:val="24"/>
        </w:rPr>
        <w:t xml:space="preserve">Table A.6 shows RSCs calculated for different percentiles of </w:t>
      </w:r>
      <w:r w:rsidR="00D42917" w:rsidRPr="00DB14B8">
        <w:rPr>
          <w:rFonts w:cs="Arial"/>
          <w:sz w:val="24"/>
          <w:szCs w:val="24"/>
        </w:rPr>
        <w:t>PFOS serum levels for the general population.</w:t>
      </w:r>
      <w:r w:rsidR="008020B4" w:rsidRPr="00DB14B8">
        <w:rPr>
          <w:rFonts w:cs="Arial"/>
          <w:sz w:val="24"/>
          <w:szCs w:val="24"/>
        </w:rPr>
        <w:t xml:space="preserve"> </w:t>
      </w:r>
      <w:r w:rsidR="001246E1">
        <w:rPr>
          <w:rFonts w:cs="Arial"/>
          <w:sz w:val="24"/>
          <w:szCs w:val="24"/>
        </w:rPr>
        <w:t>For example, at the 90</w:t>
      </w:r>
      <w:r w:rsidR="001246E1" w:rsidRPr="001246E1">
        <w:rPr>
          <w:rFonts w:cs="Arial"/>
          <w:sz w:val="24"/>
          <w:szCs w:val="24"/>
          <w:vertAlign w:val="superscript"/>
        </w:rPr>
        <w:t>th</w:t>
      </w:r>
      <w:r w:rsidR="001246E1">
        <w:rPr>
          <w:rFonts w:cs="Arial"/>
          <w:sz w:val="24"/>
          <w:szCs w:val="24"/>
        </w:rPr>
        <w:t xml:space="preserve"> percentile serum value, the RSC is calculated as:</w:t>
      </w:r>
    </w:p>
    <w:p w14:paraId="5B0FFF8E" w14:textId="77777777" w:rsidR="001246E1" w:rsidRDefault="001246E1" w:rsidP="006E4074">
      <w:pPr>
        <w:spacing w:after="0" w:line="240" w:lineRule="auto"/>
        <w:rPr>
          <w:rFonts w:cs="Arial"/>
          <w:sz w:val="24"/>
          <w:szCs w:val="24"/>
        </w:rPr>
      </w:pPr>
    </w:p>
    <w:p w14:paraId="64035084" w14:textId="77777777" w:rsidR="001246E1" w:rsidRPr="00DB14B8" w:rsidRDefault="001246E1" w:rsidP="001246E1">
      <w:pPr>
        <w:spacing w:after="0" w:line="240" w:lineRule="auto"/>
        <w:rPr>
          <w:rFonts w:cs="Arial"/>
        </w:rPr>
      </w:pPr>
    </w:p>
    <w:p w14:paraId="6E34D0A9" w14:textId="7AB67317" w:rsidR="001246E1" w:rsidRPr="00DB14B8" w:rsidRDefault="001246E1" w:rsidP="001246E1">
      <w:pPr>
        <w:spacing w:after="0" w:line="240" w:lineRule="auto"/>
      </w:pPr>
      <m:oMathPara>
        <m:oMath>
          <m:r>
            <w:rPr>
              <w:rFonts w:ascii="Cambria Math" w:hAnsi="Cambria Math"/>
            </w:rPr>
            <m:t xml:space="preserve">RSC= </m:t>
          </m:r>
          <m:f>
            <m:fPr>
              <m:ctrlPr>
                <w:rPr>
                  <w:rFonts w:ascii="Cambria Math" w:hAnsi="Cambria Math"/>
                  <w:i/>
                </w:rPr>
              </m:ctrlPr>
            </m:fPr>
            <m:num>
              <m:r>
                <w:rPr>
                  <w:rFonts w:ascii="Cambria Math" w:hAnsi="Cambria Math"/>
                </w:rPr>
                <m:t xml:space="preserve">24.8 </m:t>
              </m:r>
              <m:f>
                <m:fPr>
                  <m:type m:val="lin"/>
                  <m:ctrlPr>
                    <w:rPr>
                      <w:rFonts w:ascii="Cambria Math" w:hAnsi="Cambria Math"/>
                      <w:i/>
                    </w:rPr>
                  </m:ctrlPr>
                </m:fPr>
                <m:num>
                  <m:r>
                    <w:rPr>
                      <w:rFonts w:ascii="Cambria Math" w:hAnsi="Cambria Math"/>
                    </w:rPr>
                    <m:t>µg</m:t>
                  </m:r>
                </m:num>
                <m:den>
                  <m:r>
                    <w:rPr>
                      <w:rFonts w:ascii="Cambria Math" w:hAnsi="Cambria Math"/>
                    </w:rPr>
                    <m:t>L</m:t>
                  </m:r>
                </m:den>
              </m:f>
              <m:r>
                <w:rPr>
                  <w:rFonts w:ascii="Cambria Math" w:hAnsi="Cambria Math"/>
                </w:rPr>
                <m:t xml:space="preserve">- 11.5 </m:t>
              </m:r>
              <m:f>
                <m:fPr>
                  <m:type m:val="lin"/>
                  <m:ctrlPr>
                    <w:rPr>
                      <w:rFonts w:ascii="Cambria Math" w:hAnsi="Cambria Math"/>
                      <w:i/>
                    </w:rPr>
                  </m:ctrlPr>
                </m:fPr>
                <m:num>
                  <m:r>
                    <w:rPr>
                      <w:rFonts w:ascii="Cambria Math" w:hAnsi="Cambria Math"/>
                    </w:rPr>
                    <m:t>µg</m:t>
                  </m:r>
                </m:num>
                <m:den>
                  <m:r>
                    <w:rPr>
                      <w:rFonts w:ascii="Cambria Math" w:hAnsi="Cambria Math"/>
                    </w:rPr>
                    <m:t>L</m:t>
                  </m:r>
                </m:den>
              </m:f>
            </m:num>
            <m:den>
              <m:r>
                <w:rPr>
                  <w:rFonts w:ascii="Cambria Math" w:hAnsi="Cambria Math"/>
                </w:rPr>
                <m:t xml:space="preserve">24.8 </m:t>
              </m:r>
              <m:f>
                <m:fPr>
                  <m:type m:val="lin"/>
                  <m:ctrlPr>
                    <w:rPr>
                      <w:rFonts w:ascii="Cambria Math" w:hAnsi="Cambria Math"/>
                      <w:i/>
                    </w:rPr>
                  </m:ctrlPr>
                </m:fPr>
                <m:num>
                  <m:r>
                    <w:rPr>
                      <w:rFonts w:ascii="Cambria Math" w:hAnsi="Cambria Math"/>
                    </w:rPr>
                    <m:t>µg</m:t>
                  </m:r>
                </m:num>
                <m:den>
                  <m:r>
                    <w:rPr>
                      <w:rFonts w:ascii="Cambria Math" w:hAnsi="Cambria Math"/>
                    </w:rPr>
                    <m:t>L</m:t>
                  </m:r>
                </m:den>
              </m:f>
            </m:den>
          </m:f>
        </m:oMath>
      </m:oMathPara>
    </w:p>
    <w:p w14:paraId="44BBA6FD" w14:textId="77777777" w:rsidR="001246E1" w:rsidRDefault="001246E1" w:rsidP="006E4074">
      <w:pPr>
        <w:spacing w:after="0" w:line="240" w:lineRule="auto"/>
        <w:rPr>
          <w:rFonts w:cs="Arial"/>
          <w:sz w:val="24"/>
          <w:szCs w:val="24"/>
        </w:rPr>
      </w:pPr>
    </w:p>
    <w:p w14:paraId="2F15B7BE" w14:textId="77777777" w:rsidR="001246E1" w:rsidRDefault="001246E1" w:rsidP="006E4074">
      <w:pPr>
        <w:spacing w:after="0" w:line="240" w:lineRule="auto"/>
        <w:rPr>
          <w:rFonts w:cs="Arial"/>
          <w:sz w:val="24"/>
          <w:szCs w:val="24"/>
        </w:rPr>
      </w:pPr>
    </w:p>
    <w:p w14:paraId="286218DA" w14:textId="0EAE0327" w:rsidR="00543F1C" w:rsidRPr="00DB14B8" w:rsidRDefault="001246E1" w:rsidP="006E4074">
      <w:pPr>
        <w:spacing w:after="0" w:line="240" w:lineRule="auto"/>
        <w:rPr>
          <w:rFonts w:cs="Arial"/>
          <w:sz w:val="24"/>
          <w:szCs w:val="24"/>
        </w:rPr>
      </w:pPr>
      <w:r>
        <w:rPr>
          <w:rFonts w:cs="Arial"/>
          <w:sz w:val="24"/>
          <w:szCs w:val="24"/>
        </w:rPr>
        <w:t xml:space="preserve"> </w:t>
      </w:r>
      <w:r w:rsidR="008020B4" w:rsidRPr="00DB14B8">
        <w:rPr>
          <w:rFonts w:cs="Arial"/>
          <w:sz w:val="24"/>
          <w:szCs w:val="24"/>
        </w:rPr>
        <w:t xml:space="preserve">DPH selected </w:t>
      </w:r>
      <w:r w:rsidR="007A51C1" w:rsidRPr="00DB14B8">
        <w:rPr>
          <w:rFonts w:cs="Arial"/>
          <w:sz w:val="24"/>
          <w:szCs w:val="24"/>
        </w:rPr>
        <w:t>an</w:t>
      </w:r>
      <w:r w:rsidR="008020B4" w:rsidRPr="00DB14B8">
        <w:rPr>
          <w:rFonts w:cs="Arial"/>
          <w:sz w:val="24"/>
          <w:szCs w:val="24"/>
        </w:rPr>
        <w:t xml:space="preserve"> RSC</w:t>
      </w:r>
      <w:r w:rsidR="008013B4" w:rsidRPr="00DB14B8">
        <w:rPr>
          <w:rFonts w:cs="Arial"/>
          <w:sz w:val="24"/>
          <w:szCs w:val="24"/>
        </w:rPr>
        <w:t xml:space="preserve"> of 50%, corresp</w:t>
      </w:r>
      <w:r w:rsidR="00675878" w:rsidRPr="00DB14B8">
        <w:rPr>
          <w:rFonts w:cs="Arial"/>
          <w:sz w:val="24"/>
          <w:szCs w:val="24"/>
        </w:rPr>
        <w:t>onding to a 90</w:t>
      </w:r>
      <w:r w:rsidR="00675878" w:rsidRPr="00DB14B8">
        <w:rPr>
          <w:rFonts w:cs="Arial"/>
          <w:sz w:val="24"/>
          <w:szCs w:val="24"/>
          <w:vertAlign w:val="superscript"/>
        </w:rPr>
        <w:t>th</w:t>
      </w:r>
      <w:r w:rsidR="00675878" w:rsidRPr="00DB14B8">
        <w:rPr>
          <w:rFonts w:cs="Arial"/>
          <w:sz w:val="24"/>
          <w:szCs w:val="24"/>
        </w:rPr>
        <w:t xml:space="preserve"> percentile </w:t>
      </w:r>
      <w:r w:rsidR="000871B0" w:rsidRPr="00DB14B8">
        <w:rPr>
          <w:rFonts w:cs="Arial"/>
          <w:sz w:val="24"/>
          <w:szCs w:val="24"/>
        </w:rPr>
        <w:t>concentration of PFOS in serum.</w:t>
      </w:r>
    </w:p>
    <w:p w14:paraId="1232F271" w14:textId="77777777" w:rsidR="000261DD" w:rsidRPr="00DB14B8" w:rsidRDefault="000261DD" w:rsidP="00E05B96">
      <w:pPr>
        <w:spacing w:after="0" w:line="240" w:lineRule="auto"/>
        <w:rPr>
          <w:rFonts w:cs="Arial"/>
          <w:sz w:val="24"/>
          <w:szCs w:val="24"/>
        </w:rPr>
      </w:pPr>
    </w:p>
    <w:p w14:paraId="24F2A8B4" w14:textId="77777777" w:rsidR="00FB7BED" w:rsidRPr="00DB14B8" w:rsidRDefault="00FB7BED" w:rsidP="00E05B96">
      <w:pPr>
        <w:spacing w:after="0" w:line="240" w:lineRule="auto"/>
        <w:rPr>
          <w:rFonts w:cs="Arial"/>
          <w:sz w:val="24"/>
          <w:szCs w:val="24"/>
        </w:rPr>
      </w:pPr>
    </w:p>
    <w:p w14:paraId="2ED50AC8" w14:textId="328A22BD" w:rsidR="000F467D" w:rsidRPr="00DB14B8" w:rsidRDefault="000F467D" w:rsidP="000F467D">
      <w:pPr>
        <w:keepNext/>
        <w:spacing w:after="0" w:line="240" w:lineRule="auto"/>
        <w:jc w:val="center"/>
        <w:rPr>
          <w:rFonts w:cs="Arial"/>
          <w:b/>
          <w:bCs/>
          <w:sz w:val="24"/>
          <w:szCs w:val="24"/>
        </w:rPr>
      </w:pPr>
      <w:r w:rsidRPr="00DB14B8">
        <w:rPr>
          <w:rFonts w:cs="Arial"/>
          <w:b/>
          <w:bCs/>
          <w:sz w:val="24"/>
          <w:szCs w:val="24"/>
        </w:rPr>
        <w:t xml:space="preserve">Table A.6.  </w:t>
      </w:r>
      <w:r w:rsidR="00CF7DC8" w:rsidRPr="00DB14B8">
        <w:rPr>
          <w:rFonts w:cs="Arial"/>
          <w:b/>
          <w:bCs/>
          <w:sz w:val="24"/>
          <w:szCs w:val="24"/>
        </w:rPr>
        <w:t>PFOS Relative Source Contribution</w:t>
      </w:r>
    </w:p>
    <w:tbl>
      <w:tblPr>
        <w:tblStyle w:val="TableGrid"/>
        <w:tblW w:w="0" w:type="auto"/>
        <w:tblLook w:val="04A0" w:firstRow="1" w:lastRow="0" w:firstColumn="1" w:lastColumn="0" w:noHBand="0" w:noVBand="1"/>
      </w:tblPr>
      <w:tblGrid>
        <w:gridCol w:w="2425"/>
        <w:gridCol w:w="1872"/>
        <w:gridCol w:w="1872"/>
        <w:gridCol w:w="1872"/>
        <w:gridCol w:w="1872"/>
      </w:tblGrid>
      <w:tr w:rsidR="000F467D" w:rsidRPr="00DB14B8" w14:paraId="33341C9F" w14:textId="77777777" w:rsidTr="008020B4">
        <w:tc>
          <w:tcPr>
            <w:tcW w:w="2425" w:type="dxa"/>
          </w:tcPr>
          <w:p w14:paraId="7DE1BCC0" w14:textId="7621CB48" w:rsidR="000F467D" w:rsidRPr="00DB14B8" w:rsidRDefault="000F467D" w:rsidP="000F467D">
            <w:pPr>
              <w:jc w:val="center"/>
              <w:rPr>
                <w:rFonts w:cs="Arial"/>
                <w:sz w:val="24"/>
                <w:szCs w:val="24"/>
              </w:rPr>
            </w:pPr>
          </w:p>
        </w:tc>
        <w:tc>
          <w:tcPr>
            <w:tcW w:w="1872" w:type="dxa"/>
          </w:tcPr>
          <w:p w14:paraId="5812FBEC" w14:textId="0DF06344" w:rsidR="000F467D" w:rsidRPr="00DB14B8" w:rsidRDefault="000F467D" w:rsidP="000F467D">
            <w:pPr>
              <w:jc w:val="center"/>
              <w:rPr>
                <w:rFonts w:cs="Arial"/>
                <w:sz w:val="24"/>
                <w:szCs w:val="24"/>
              </w:rPr>
            </w:pPr>
            <w:r w:rsidRPr="00DB14B8">
              <w:rPr>
                <w:rFonts w:cs="Arial"/>
                <w:sz w:val="24"/>
                <w:szCs w:val="24"/>
              </w:rPr>
              <w:t>50</w:t>
            </w:r>
            <w:r w:rsidRPr="00DB14B8">
              <w:rPr>
                <w:rFonts w:cs="Arial"/>
                <w:sz w:val="24"/>
                <w:szCs w:val="24"/>
                <w:vertAlign w:val="superscript"/>
              </w:rPr>
              <w:t>th</w:t>
            </w:r>
            <w:r w:rsidRPr="00DB14B8">
              <w:rPr>
                <w:rFonts w:cs="Arial"/>
                <w:sz w:val="24"/>
                <w:szCs w:val="24"/>
              </w:rPr>
              <w:t xml:space="preserve"> Percentile</w:t>
            </w:r>
          </w:p>
        </w:tc>
        <w:tc>
          <w:tcPr>
            <w:tcW w:w="1872" w:type="dxa"/>
          </w:tcPr>
          <w:p w14:paraId="6B577568" w14:textId="3FD53C0C" w:rsidR="000F467D" w:rsidRPr="00DB14B8" w:rsidRDefault="000F467D" w:rsidP="000F467D">
            <w:pPr>
              <w:jc w:val="center"/>
              <w:rPr>
                <w:rFonts w:cs="Arial"/>
                <w:sz w:val="24"/>
                <w:szCs w:val="24"/>
              </w:rPr>
            </w:pPr>
            <w:r w:rsidRPr="00DB14B8">
              <w:rPr>
                <w:rFonts w:cs="Arial"/>
                <w:sz w:val="24"/>
                <w:szCs w:val="24"/>
              </w:rPr>
              <w:t>75</w:t>
            </w:r>
            <w:r w:rsidRPr="00DB14B8">
              <w:rPr>
                <w:rFonts w:cs="Arial"/>
                <w:sz w:val="24"/>
                <w:szCs w:val="24"/>
                <w:vertAlign w:val="superscript"/>
              </w:rPr>
              <w:t>th</w:t>
            </w:r>
            <w:r w:rsidRPr="00DB14B8">
              <w:rPr>
                <w:rFonts w:cs="Arial"/>
                <w:sz w:val="24"/>
                <w:szCs w:val="24"/>
              </w:rPr>
              <w:t xml:space="preserve"> Percentile</w:t>
            </w:r>
          </w:p>
        </w:tc>
        <w:tc>
          <w:tcPr>
            <w:tcW w:w="1872" w:type="dxa"/>
          </w:tcPr>
          <w:p w14:paraId="15400D78" w14:textId="5AEE0DE2" w:rsidR="000F467D" w:rsidRPr="00DB14B8" w:rsidRDefault="000F467D" w:rsidP="000F467D">
            <w:pPr>
              <w:jc w:val="center"/>
              <w:rPr>
                <w:rFonts w:cs="Arial"/>
                <w:sz w:val="24"/>
                <w:szCs w:val="24"/>
              </w:rPr>
            </w:pPr>
            <w:r w:rsidRPr="00DB14B8">
              <w:rPr>
                <w:rFonts w:cs="Arial"/>
                <w:sz w:val="24"/>
                <w:szCs w:val="24"/>
              </w:rPr>
              <w:t>90</w:t>
            </w:r>
            <w:r w:rsidRPr="00DB14B8">
              <w:rPr>
                <w:rFonts w:cs="Arial"/>
                <w:sz w:val="24"/>
                <w:szCs w:val="24"/>
                <w:vertAlign w:val="superscript"/>
              </w:rPr>
              <w:t>th</w:t>
            </w:r>
            <w:r w:rsidRPr="00DB14B8">
              <w:rPr>
                <w:rFonts w:cs="Arial"/>
                <w:sz w:val="24"/>
                <w:szCs w:val="24"/>
              </w:rPr>
              <w:t xml:space="preserve"> Percentile</w:t>
            </w:r>
          </w:p>
        </w:tc>
        <w:tc>
          <w:tcPr>
            <w:tcW w:w="1872" w:type="dxa"/>
          </w:tcPr>
          <w:p w14:paraId="555183A4" w14:textId="606C978F" w:rsidR="000F467D" w:rsidRPr="00DB14B8" w:rsidRDefault="000F467D" w:rsidP="000F467D">
            <w:pPr>
              <w:jc w:val="center"/>
              <w:rPr>
                <w:rFonts w:cs="Arial"/>
                <w:sz w:val="24"/>
                <w:szCs w:val="24"/>
              </w:rPr>
            </w:pPr>
            <w:r w:rsidRPr="00DB14B8">
              <w:rPr>
                <w:rFonts w:cs="Arial"/>
                <w:sz w:val="24"/>
                <w:szCs w:val="24"/>
              </w:rPr>
              <w:t>95</w:t>
            </w:r>
            <w:r w:rsidRPr="00DB14B8">
              <w:rPr>
                <w:rFonts w:cs="Arial"/>
                <w:sz w:val="24"/>
                <w:szCs w:val="24"/>
                <w:vertAlign w:val="superscript"/>
              </w:rPr>
              <w:t>th</w:t>
            </w:r>
            <w:r w:rsidRPr="00DB14B8">
              <w:rPr>
                <w:rFonts w:cs="Arial"/>
                <w:sz w:val="24"/>
                <w:szCs w:val="24"/>
              </w:rPr>
              <w:t xml:space="preserve"> Percentile</w:t>
            </w:r>
          </w:p>
        </w:tc>
      </w:tr>
      <w:tr w:rsidR="000F467D" w:rsidRPr="00DB14B8" w14:paraId="388A427A" w14:textId="77777777" w:rsidTr="008020B4">
        <w:tc>
          <w:tcPr>
            <w:tcW w:w="2425" w:type="dxa"/>
          </w:tcPr>
          <w:p w14:paraId="42375BC1" w14:textId="49AA38F5" w:rsidR="000F467D" w:rsidRPr="00DB14B8" w:rsidRDefault="00010430" w:rsidP="0012214A">
            <w:pPr>
              <w:jc w:val="center"/>
              <w:rPr>
                <w:rFonts w:cs="Arial"/>
                <w:sz w:val="24"/>
                <w:szCs w:val="24"/>
              </w:rPr>
            </w:pPr>
            <w:r w:rsidRPr="00DB14B8">
              <w:rPr>
                <w:rFonts w:cs="Arial"/>
                <w:sz w:val="24"/>
                <w:szCs w:val="24"/>
              </w:rPr>
              <w:t>PFOS in serum</w:t>
            </w:r>
            <w:r w:rsidR="0036011E" w:rsidRPr="00DB14B8">
              <w:rPr>
                <w:rFonts w:cs="Arial"/>
                <w:sz w:val="24"/>
                <w:szCs w:val="24"/>
              </w:rPr>
              <w:t xml:space="preserve"> (</w:t>
            </w:r>
            <w:r w:rsidR="002A32B1" w:rsidRPr="00DB14B8">
              <w:rPr>
                <w:rFonts w:cs="Arial"/>
                <w:sz w:val="24"/>
                <w:szCs w:val="24"/>
              </w:rPr>
              <w:t>µg/L)</w:t>
            </w:r>
            <w:r w:rsidR="001246E1" w:rsidRPr="001246E1">
              <w:rPr>
                <w:rFonts w:cs="Arial"/>
                <w:sz w:val="24"/>
                <w:szCs w:val="24"/>
                <w:vertAlign w:val="superscript"/>
              </w:rPr>
              <w:t>1</w:t>
            </w:r>
          </w:p>
          <w:p w14:paraId="713AC4C5" w14:textId="14CC566D" w:rsidR="00563157" w:rsidRPr="00DB14B8" w:rsidRDefault="00010430" w:rsidP="0012214A">
            <w:pPr>
              <w:jc w:val="center"/>
              <w:rPr>
                <w:rFonts w:cs="Arial"/>
                <w:sz w:val="24"/>
                <w:szCs w:val="24"/>
              </w:rPr>
            </w:pPr>
            <w:r w:rsidRPr="00DB14B8">
              <w:rPr>
                <w:rFonts w:cs="Arial"/>
                <w:sz w:val="24"/>
                <w:szCs w:val="24"/>
              </w:rPr>
              <w:t>RSC</w:t>
            </w:r>
          </w:p>
        </w:tc>
        <w:tc>
          <w:tcPr>
            <w:tcW w:w="1872" w:type="dxa"/>
          </w:tcPr>
          <w:p w14:paraId="454845D0" w14:textId="3663C1A5" w:rsidR="000F467D" w:rsidRPr="00DB14B8" w:rsidRDefault="000F467D" w:rsidP="0012214A">
            <w:pPr>
              <w:jc w:val="center"/>
              <w:rPr>
                <w:rFonts w:cs="Arial"/>
                <w:sz w:val="24"/>
                <w:szCs w:val="24"/>
              </w:rPr>
            </w:pPr>
            <w:r w:rsidRPr="00DB14B8">
              <w:rPr>
                <w:rFonts w:cs="Arial"/>
                <w:sz w:val="24"/>
                <w:szCs w:val="24"/>
              </w:rPr>
              <w:t>4.</w:t>
            </w:r>
            <w:r w:rsidR="002A32B1" w:rsidRPr="00DB14B8">
              <w:rPr>
                <w:rFonts w:cs="Arial"/>
                <w:sz w:val="24"/>
                <w:szCs w:val="24"/>
              </w:rPr>
              <w:t>30</w:t>
            </w:r>
          </w:p>
          <w:p w14:paraId="769B9E91" w14:textId="7194AA23" w:rsidR="00563157" w:rsidRPr="00DB14B8" w:rsidRDefault="008020B4" w:rsidP="0012214A">
            <w:pPr>
              <w:jc w:val="center"/>
              <w:rPr>
                <w:rFonts w:cs="Arial"/>
                <w:sz w:val="24"/>
                <w:szCs w:val="24"/>
              </w:rPr>
            </w:pPr>
            <w:r w:rsidRPr="00DB14B8">
              <w:rPr>
                <w:rFonts w:cs="Arial"/>
                <w:sz w:val="24"/>
                <w:szCs w:val="24"/>
              </w:rPr>
              <w:t>83%</w:t>
            </w:r>
          </w:p>
        </w:tc>
        <w:tc>
          <w:tcPr>
            <w:tcW w:w="1872" w:type="dxa"/>
          </w:tcPr>
          <w:p w14:paraId="3D50C5F8" w14:textId="26C07F87" w:rsidR="000F467D" w:rsidRPr="00DB14B8" w:rsidRDefault="002A32B1" w:rsidP="0012214A">
            <w:pPr>
              <w:jc w:val="center"/>
              <w:rPr>
                <w:rFonts w:cs="Arial"/>
                <w:sz w:val="24"/>
                <w:szCs w:val="24"/>
              </w:rPr>
            </w:pPr>
            <w:r w:rsidRPr="00DB14B8">
              <w:rPr>
                <w:rFonts w:cs="Arial"/>
                <w:sz w:val="24"/>
                <w:szCs w:val="24"/>
              </w:rPr>
              <w:t>7.50</w:t>
            </w:r>
          </w:p>
          <w:p w14:paraId="4B1F1B2F" w14:textId="62E04671" w:rsidR="00563157" w:rsidRPr="00DB14B8" w:rsidRDefault="008020B4" w:rsidP="0012214A">
            <w:pPr>
              <w:jc w:val="center"/>
              <w:rPr>
                <w:rFonts w:cs="Arial"/>
                <w:sz w:val="24"/>
                <w:szCs w:val="24"/>
              </w:rPr>
            </w:pPr>
            <w:r w:rsidRPr="00DB14B8">
              <w:rPr>
                <w:rFonts w:cs="Arial"/>
                <w:sz w:val="24"/>
                <w:szCs w:val="24"/>
              </w:rPr>
              <w:t>70%</w:t>
            </w:r>
          </w:p>
        </w:tc>
        <w:tc>
          <w:tcPr>
            <w:tcW w:w="1872" w:type="dxa"/>
          </w:tcPr>
          <w:p w14:paraId="27B91397" w14:textId="5EB81DF6" w:rsidR="000F467D" w:rsidRPr="00DB14B8" w:rsidRDefault="002A32B1" w:rsidP="0012214A">
            <w:pPr>
              <w:jc w:val="center"/>
              <w:rPr>
                <w:rFonts w:cs="Arial"/>
                <w:sz w:val="24"/>
                <w:szCs w:val="24"/>
              </w:rPr>
            </w:pPr>
            <w:r w:rsidRPr="00DB14B8">
              <w:rPr>
                <w:rFonts w:cs="Arial"/>
                <w:sz w:val="24"/>
                <w:szCs w:val="24"/>
              </w:rPr>
              <w:t>11.5</w:t>
            </w:r>
          </w:p>
          <w:p w14:paraId="0362B351" w14:textId="4ED24207" w:rsidR="00563157" w:rsidRPr="00DB14B8" w:rsidRDefault="008020B4" w:rsidP="0012214A">
            <w:pPr>
              <w:jc w:val="center"/>
              <w:rPr>
                <w:rFonts w:cs="Arial"/>
                <w:sz w:val="24"/>
                <w:szCs w:val="24"/>
              </w:rPr>
            </w:pPr>
            <w:r w:rsidRPr="00DB14B8">
              <w:rPr>
                <w:rFonts w:cs="Arial"/>
                <w:sz w:val="24"/>
                <w:szCs w:val="24"/>
              </w:rPr>
              <w:t>54%</w:t>
            </w:r>
          </w:p>
        </w:tc>
        <w:tc>
          <w:tcPr>
            <w:tcW w:w="1872" w:type="dxa"/>
          </w:tcPr>
          <w:p w14:paraId="28562A09" w14:textId="41A0B819" w:rsidR="000F467D" w:rsidRPr="00DB14B8" w:rsidRDefault="002A32B1" w:rsidP="0012214A">
            <w:pPr>
              <w:jc w:val="center"/>
              <w:rPr>
                <w:rFonts w:cs="Arial"/>
                <w:sz w:val="24"/>
                <w:szCs w:val="24"/>
              </w:rPr>
            </w:pPr>
            <w:r w:rsidRPr="00DB14B8">
              <w:rPr>
                <w:rFonts w:cs="Arial"/>
                <w:sz w:val="24"/>
                <w:szCs w:val="24"/>
              </w:rPr>
              <w:t>14.6</w:t>
            </w:r>
          </w:p>
          <w:p w14:paraId="7C85EAB6" w14:textId="031B7A75" w:rsidR="00271CCB" w:rsidRPr="00DB14B8" w:rsidRDefault="008020B4" w:rsidP="0012214A">
            <w:pPr>
              <w:jc w:val="center"/>
              <w:rPr>
                <w:rFonts w:cs="Arial"/>
                <w:sz w:val="24"/>
                <w:szCs w:val="24"/>
              </w:rPr>
            </w:pPr>
            <w:r w:rsidRPr="00DB14B8">
              <w:rPr>
                <w:rFonts w:cs="Arial"/>
                <w:sz w:val="24"/>
                <w:szCs w:val="24"/>
              </w:rPr>
              <w:t>41%</w:t>
            </w:r>
          </w:p>
        </w:tc>
      </w:tr>
    </w:tbl>
    <w:p w14:paraId="73CFD127" w14:textId="134BAFD9" w:rsidR="000F467D" w:rsidRPr="0012214A" w:rsidRDefault="00563157" w:rsidP="00563157">
      <w:pPr>
        <w:spacing w:after="0" w:line="240" w:lineRule="auto"/>
        <w:ind w:right="1440"/>
        <w:rPr>
          <w:rFonts w:cs="Arial"/>
          <w:i/>
          <w:iCs/>
          <w:sz w:val="20"/>
          <w:szCs w:val="20"/>
        </w:rPr>
      </w:pPr>
      <w:r w:rsidRPr="00DB14B8">
        <w:rPr>
          <w:rFonts w:cs="Arial"/>
          <w:i/>
          <w:iCs/>
          <w:sz w:val="20"/>
          <w:szCs w:val="20"/>
        </w:rPr>
        <w:t xml:space="preserve">[1] </w:t>
      </w:r>
      <w:r w:rsidR="000F467D" w:rsidRPr="00DB14B8">
        <w:rPr>
          <w:rFonts w:cs="Arial"/>
          <w:i/>
          <w:iCs/>
          <w:sz w:val="20"/>
          <w:szCs w:val="20"/>
        </w:rPr>
        <w:t>PFOS levels for linear and branched PFOS isomers</w:t>
      </w:r>
      <w:r w:rsidR="00CF7DC8" w:rsidRPr="00DB14B8">
        <w:rPr>
          <w:rFonts w:cs="Arial"/>
          <w:i/>
          <w:iCs/>
          <w:sz w:val="20"/>
          <w:szCs w:val="20"/>
        </w:rPr>
        <w:t xml:space="preserve"> for the </w:t>
      </w:r>
      <w:r w:rsidR="0036011E" w:rsidRPr="00DB14B8">
        <w:rPr>
          <w:rFonts w:cs="Arial"/>
          <w:i/>
          <w:iCs/>
          <w:sz w:val="20"/>
          <w:szCs w:val="20"/>
        </w:rPr>
        <w:t>total</w:t>
      </w:r>
      <w:r w:rsidR="00CF7DC8" w:rsidRPr="00DB14B8">
        <w:rPr>
          <w:rFonts w:cs="Arial"/>
          <w:i/>
          <w:iCs/>
          <w:sz w:val="20"/>
          <w:szCs w:val="20"/>
        </w:rPr>
        <w:t xml:space="preserve"> population</w:t>
      </w:r>
      <w:r w:rsidR="000F467D" w:rsidRPr="00DB14B8">
        <w:rPr>
          <w:rFonts w:cs="Arial"/>
          <w:i/>
          <w:iCs/>
          <w:sz w:val="20"/>
          <w:szCs w:val="20"/>
        </w:rPr>
        <w:t>, from the 20</w:t>
      </w:r>
      <w:r w:rsidR="00CF7DC8" w:rsidRPr="00DB14B8">
        <w:rPr>
          <w:rFonts w:cs="Arial"/>
          <w:i/>
          <w:iCs/>
          <w:sz w:val="20"/>
          <w:szCs w:val="20"/>
        </w:rPr>
        <w:t>17</w:t>
      </w:r>
      <w:r w:rsidR="000F467D" w:rsidRPr="00DB14B8">
        <w:rPr>
          <w:rFonts w:cs="Arial"/>
          <w:i/>
          <w:iCs/>
          <w:sz w:val="20"/>
          <w:szCs w:val="20"/>
        </w:rPr>
        <w:t xml:space="preserve"> – 20</w:t>
      </w:r>
      <w:r w:rsidR="00CF7DC8" w:rsidRPr="00DB14B8">
        <w:rPr>
          <w:rFonts w:cs="Arial"/>
          <w:i/>
          <w:iCs/>
          <w:sz w:val="20"/>
          <w:szCs w:val="20"/>
        </w:rPr>
        <w:t>18</w:t>
      </w:r>
      <w:r w:rsidR="000F467D" w:rsidRPr="00DB14B8">
        <w:rPr>
          <w:rFonts w:cs="Arial"/>
          <w:i/>
          <w:iCs/>
          <w:sz w:val="20"/>
          <w:szCs w:val="20"/>
        </w:rPr>
        <w:t xml:space="preserve"> N</w:t>
      </w:r>
      <w:r w:rsidRPr="00DB14B8">
        <w:rPr>
          <w:rFonts w:cs="Arial"/>
          <w:i/>
          <w:iCs/>
          <w:sz w:val="20"/>
          <w:szCs w:val="20"/>
        </w:rPr>
        <w:t>ational Health and Nutrition Evaluation Survey</w:t>
      </w:r>
      <w:r w:rsidR="000F467D" w:rsidRPr="00DB14B8">
        <w:rPr>
          <w:rFonts w:cs="Arial"/>
          <w:i/>
          <w:iCs/>
          <w:sz w:val="20"/>
          <w:szCs w:val="20"/>
        </w:rPr>
        <w:t xml:space="preserve"> (</w:t>
      </w:r>
      <w:r w:rsidRPr="00DB14B8">
        <w:rPr>
          <w:rFonts w:cs="Arial"/>
          <w:i/>
          <w:iCs/>
          <w:sz w:val="20"/>
          <w:szCs w:val="20"/>
        </w:rPr>
        <w:t>CDC, 202</w:t>
      </w:r>
      <w:r w:rsidR="00C1660C" w:rsidRPr="00DB14B8">
        <w:rPr>
          <w:rFonts w:cs="Arial"/>
          <w:i/>
          <w:iCs/>
          <w:sz w:val="20"/>
          <w:szCs w:val="20"/>
        </w:rPr>
        <w:t>2</w:t>
      </w:r>
      <w:r w:rsidR="00CF7DC8" w:rsidRPr="00DB14B8">
        <w:rPr>
          <w:rFonts w:cs="Arial"/>
          <w:i/>
          <w:iCs/>
          <w:sz w:val="20"/>
          <w:szCs w:val="20"/>
        </w:rPr>
        <w:t>a</w:t>
      </w:r>
      <w:r w:rsidR="000F467D" w:rsidRPr="00DB14B8">
        <w:rPr>
          <w:rFonts w:cs="Arial"/>
          <w:i/>
          <w:iCs/>
          <w:sz w:val="20"/>
          <w:szCs w:val="20"/>
        </w:rPr>
        <w:t>)</w:t>
      </w:r>
    </w:p>
    <w:p w14:paraId="73D8F3C5" w14:textId="77777777" w:rsidR="0041218A" w:rsidRPr="00AB49C5" w:rsidRDefault="0041218A" w:rsidP="00E05B96">
      <w:pPr>
        <w:spacing w:after="0" w:line="240" w:lineRule="auto"/>
        <w:rPr>
          <w:rFonts w:cs="Arial"/>
          <w:sz w:val="24"/>
          <w:szCs w:val="24"/>
        </w:rPr>
      </w:pPr>
    </w:p>
    <w:p w14:paraId="22E24E88" w14:textId="54298C42" w:rsidR="006B3ECA" w:rsidRDefault="006B3ECA">
      <w:pPr>
        <w:rPr>
          <w:b/>
          <w:bCs/>
          <w:sz w:val="28"/>
          <w:szCs w:val="28"/>
        </w:rPr>
      </w:pPr>
      <w:r>
        <w:rPr>
          <w:b/>
          <w:bCs/>
          <w:sz w:val="28"/>
          <w:szCs w:val="28"/>
        </w:rPr>
        <w:br w:type="page"/>
      </w:r>
    </w:p>
    <w:p w14:paraId="2E80CBA2" w14:textId="1E0870C9" w:rsidR="00D81CD7" w:rsidRPr="00776FA8" w:rsidRDefault="00D81CD7" w:rsidP="00776FA8">
      <w:pPr>
        <w:keepNext/>
        <w:rPr>
          <w:b/>
          <w:bCs/>
          <w:sz w:val="28"/>
          <w:szCs w:val="28"/>
        </w:rPr>
      </w:pPr>
      <w:r w:rsidRPr="00776FA8">
        <w:rPr>
          <w:b/>
          <w:bCs/>
          <w:sz w:val="28"/>
          <w:szCs w:val="28"/>
        </w:rPr>
        <w:lastRenderedPageBreak/>
        <w:t xml:space="preserve">A.5 </w:t>
      </w:r>
      <w:r w:rsidR="00FD553E">
        <w:rPr>
          <w:b/>
          <w:bCs/>
          <w:sz w:val="28"/>
          <w:szCs w:val="28"/>
        </w:rPr>
        <w:tab/>
      </w:r>
      <w:r w:rsidRPr="00776FA8">
        <w:rPr>
          <w:b/>
          <w:bCs/>
          <w:sz w:val="28"/>
          <w:szCs w:val="28"/>
        </w:rPr>
        <w:t>Action Levels</w:t>
      </w:r>
      <w:r w:rsidR="00526E59">
        <w:rPr>
          <w:b/>
          <w:bCs/>
          <w:sz w:val="28"/>
          <w:szCs w:val="28"/>
        </w:rPr>
        <w:t xml:space="preserve"> for Recreational Waterbodies</w:t>
      </w:r>
    </w:p>
    <w:p w14:paraId="594D7F8E" w14:textId="175F4ED5" w:rsidR="003B3E17" w:rsidRDefault="000871B0" w:rsidP="006E4074">
      <w:pPr>
        <w:keepNext/>
        <w:spacing w:after="0" w:line="240" w:lineRule="auto"/>
        <w:rPr>
          <w:rFonts w:cs="Arial"/>
          <w:sz w:val="24"/>
          <w:szCs w:val="24"/>
        </w:rPr>
      </w:pPr>
      <w:r>
        <w:rPr>
          <w:rFonts w:cs="Arial"/>
          <w:sz w:val="24"/>
          <w:szCs w:val="24"/>
        </w:rPr>
        <w:t xml:space="preserve">Candidate </w:t>
      </w:r>
      <w:r w:rsidR="009558F1">
        <w:rPr>
          <w:rFonts w:cs="Arial"/>
          <w:sz w:val="24"/>
          <w:szCs w:val="24"/>
        </w:rPr>
        <w:t>Surface Water Action Levels</w:t>
      </w:r>
      <w:r w:rsidR="00147145">
        <w:rPr>
          <w:rFonts w:cs="Arial"/>
          <w:sz w:val="24"/>
          <w:szCs w:val="24"/>
        </w:rPr>
        <w:t xml:space="preserve"> </w:t>
      </w:r>
      <w:r w:rsidR="004B5DC0">
        <w:rPr>
          <w:rFonts w:cs="Arial"/>
          <w:sz w:val="24"/>
          <w:szCs w:val="24"/>
        </w:rPr>
        <w:t>(</w:t>
      </w:r>
      <w:proofErr w:type="spellStart"/>
      <w:r>
        <w:rPr>
          <w:rFonts w:cs="Arial"/>
          <w:sz w:val="24"/>
          <w:szCs w:val="24"/>
        </w:rPr>
        <w:t>c</w:t>
      </w:r>
      <w:r w:rsidR="004B5DC0">
        <w:rPr>
          <w:rFonts w:cs="Arial"/>
          <w:sz w:val="24"/>
          <w:szCs w:val="24"/>
        </w:rPr>
        <w:t>SWALs</w:t>
      </w:r>
      <w:proofErr w:type="spellEnd"/>
      <w:r w:rsidR="004B5DC0">
        <w:rPr>
          <w:rFonts w:cs="Arial"/>
          <w:sz w:val="24"/>
          <w:szCs w:val="24"/>
        </w:rPr>
        <w:t xml:space="preserve">) </w:t>
      </w:r>
      <w:r w:rsidR="00526E59">
        <w:rPr>
          <w:rFonts w:cs="Arial"/>
          <w:sz w:val="24"/>
          <w:szCs w:val="24"/>
        </w:rPr>
        <w:t xml:space="preserve">and Public Beach Action Levels </w:t>
      </w:r>
      <w:r w:rsidR="004B5DC0">
        <w:rPr>
          <w:rFonts w:cs="Arial"/>
          <w:sz w:val="24"/>
          <w:szCs w:val="24"/>
        </w:rPr>
        <w:t>(</w:t>
      </w:r>
      <w:proofErr w:type="spellStart"/>
      <w:r>
        <w:rPr>
          <w:rFonts w:cs="Arial"/>
          <w:sz w:val="24"/>
          <w:szCs w:val="24"/>
        </w:rPr>
        <w:t>c</w:t>
      </w:r>
      <w:r w:rsidR="004B5DC0">
        <w:rPr>
          <w:rFonts w:cs="Arial"/>
          <w:sz w:val="24"/>
          <w:szCs w:val="24"/>
        </w:rPr>
        <w:t>PBALs</w:t>
      </w:r>
      <w:proofErr w:type="spellEnd"/>
      <w:r w:rsidR="004B5DC0">
        <w:rPr>
          <w:rFonts w:cs="Arial"/>
          <w:sz w:val="24"/>
          <w:szCs w:val="24"/>
        </w:rPr>
        <w:t xml:space="preserve">) </w:t>
      </w:r>
      <w:r w:rsidR="009558F1">
        <w:rPr>
          <w:rFonts w:cs="Arial"/>
          <w:sz w:val="24"/>
          <w:szCs w:val="24"/>
        </w:rPr>
        <w:t>across age groups are provided in Table A.</w:t>
      </w:r>
      <w:r w:rsidR="00526E59">
        <w:rPr>
          <w:rFonts w:cs="Arial"/>
          <w:sz w:val="24"/>
          <w:szCs w:val="24"/>
        </w:rPr>
        <w:t xml:space="preserve">7 </w:t>
      </w:r>
      <w:r w:rsidR="009558F1">
        <w:rPr>
          <w:rFonts w:cs="Arial"/>
          <w:sz w:val="24"/>
          <w:szCs w:val="24"/>
        </w:rPr>
        <w:t>(for DPH) and Table A.</w:t>
      </w:r>
      <w:r w:rsidR="00526E59">
        <w:rPr>
          <w:rFonts w:cs="Arial"/>
          <w:sz w:val="24"/>
          <w:szCs w:val="24"/>
        </w:rPr>
        <w:t xml:space="preserve">8 </w:t>
      </w:r>
      <w:r w:rsidR="009558F1">
        <w:rPr>
          <w:rFonts w:cs="Arial"/>
          <w:sz w:val="24"/>
          <w:szCs w:val="24"/>
        </w:rPr>
        <w:t>(for the MCP-based approach</w:t>
      </w:r>
      <w:r w:rsidR="006B3ECA">
        <w:rPr>
          <w:rFonts w:cs="Arial"/>
          <w:sz w:val="24"/>
          <w:szCs w:val="24"/>
        </w:rPr>
        <w:t>)</w:t>
      </w:r>
      <w:r w:rsidR="009558F1">
        <w:rPr>
          <w:rFonts w:cs="Arial"/>
          <w:sz w:val="24"/>
          <w:szCs w:val="24"/>
        </w:rPr>
        <w:t>.</w:t>
      </w:r>
      <w:r w:rsidR="0003699C">
        <w:rPr>
          <w:rFonts w:cs="Arial"/>
          <w:sz w:val="24"/>
          <w:szCs w:val="24"/>
        </w:rPr>
        <w:t xml:space="preserve"> The </w:t>
      </w:r>
      <w:proofErr w:type="spellStart"/>
      <w:r w:rsidR="0003699C">
        <w:rPr>
          <w:rFonts w:cs="Arial"/>
          <w:sz w:val="24"/>
          <w:szCs w:val="24"/>
        </w:rPr>
        <w:t>cSWALs</w:t>
      </w:r>
      <w:proofErr w:type="spellEnd"/>
      <w:r w:rsidR="0003699C">
        <w:rPr>
          <w:rFonts w:cs="Arial"/>
          <w:sz w:val="24"/>
          <w:szCs w:val="24"/>
        </w:rPr>
        <w:t xml:space="preserve"> and </w:t>
      </w:r>
      <w:proofErr w:type="spellStart"/>
      <w:r w:rsidR="0003699C">
        <w:rPr>
          <w:rFonts w:cs="Arial"/>
          <w:sz w:val="24"/>
          <w:szCs w:val="24"/>
        </w:rPr>
        <w:t>cPBALs</w:t>
      </w:r>
      <w:proofErr w:type="spellEnd"/>
      <w:r w:rsidR="0003699C">
        <w:rPr>
          <w:rFonts w:cs="Arial"/>
          <w:sz w:val="24"/>
          <w:szCs w:val="24"/>
        </w:rPr>
        <w:t xml:space="preserve"> are calculated using the equation on page 21, and the exposure assumptions in Tables A.2 and A.3</w:t>
      </w:r>
    </w:p>
    <w:p w14:paraId="5F9FBB86" w14:textId="77777777" w:rsidR="009558F1" w:rsidRDefault="009558F1" w:rsidP="00E05B96">
      <w:pPr>
        <w:spacing w:after="0" w:line="240" w:lineRule="auto"/>
        <w:rPr>
          <w:rFonts w:cs="Arial"/>
          <w:b/>
          <w:bCs/>
          <w:sz w:val="24"/>
          <w:szCs w:val="24"/>
        </w:rPr>
      </w:pPr>
    </w:p>
    <w:p w14:paraId="2C522F0C" w14:textId="521B2604" w:rsidR="003B3E17" w:rsidRPr="009558F1" w:rsidRDefault="003B3E17" w:rsidP="00E05B96">
      <w:pPr>
        <w:spacing w:after="0" w:line="240" w:lineRule="auto"/>
        <w:rPr>
          <w:rFonts w:cs="Arial"/>
          <w:b/>
          <w:bCs/>
          <w:sz w:val="24"/>
          <w:szCs w:val="24"/>
        </w:rPr>
      </w:pPr>
      <w:r w:rsidRPr="009558F1">
        <w:rPr>
          <w:rFonts w:cs="Arial"/>
          <w:b/>
          <w:bCs/>
          <w:sz w:val="24"/>
          <w:szCs w:val="24"/>
        </w:rPr>
        <w:t>Table A.</w:t>
      </w:r>
      <w:r w:rsidR="00526E59">
        <w:rPr>
          <w:rFonts w:cs="Arial"/>
          <w:b/>
          <w:bCs/>
          <w:sz w:val="24"/>
          <w:szCs w:val="24"/>
        </w:rPr>
        <w:t>7</w:t>
      </w:r>
      <w:r w:rsidR="006B3ECA">
        <w:rPr>
          <w:rFonts w:cs="Arial"/>
          <w:b/>
          <w:bCs/>
          <w:sz w:val="24"/>
          <w:szCs w:val="24"/>
        </w:rPr>
        <w:t xml:space="preserve">. </w:t>
      </w:r>
      <w:r w:rsidRPr="009558F1">
        <w:rPr>
          <w:rFonts w:cs="Arial"/>
          <w:b/>
          <w:bCs/>
          <w:sz w:val="24"/>
          <w:szCs w:val="24"/>
        </w:rPr>
        <w:t xml:space="preserve"> Action Levels</w:t>
      </w:r>
      <w:r w:rsidR="009558F1">
        <w:rPr>
          <w:rFonts w:cs="Arial"/>
          <w:b/>
          <w:bCs/>
          <w:sz w:val="24"/>
          <w:szCs w:val="24"/>
        </w:rPr>
        <w:t xml:space="preserve"> </w:t>
      </w:r>
      <w:r w:rsidR="00526E59">
        <w:rPr>
          <w:rFonts w:cs="Arial"/>
          <w:b/>
          <w:bCs/>
          <w:sz w:val="24"/>
          <w:szCs w:val="24"/>
        </w:rPr>
        <w:t xml:space="preserve">for Recreational Waterbodies </w:t>
      </w:r>
      <w:r w:rsidR="009558F1">
        <w:rPr>
          <w:rFonts w:cs="Arial"/>
          <w:b/>
          <w:bCs/>
          <w:sz w:val="24"/>
          <w:szCs w:val="24"/>
        </w:rPr>
        <w:t xml:space="preserve">(ng/L), </w:t>
      </w:r>
      <w:r w:rsidRPr="009558F1">
        <w:rPr>
          <w:rFonts w:cs="Arial"/>
          <w:b/>
          <w:bCs/>
          <w:sz w:val="24"/>
          <w:szCs w:val="24"/>
        </w:rPr>
        <w:t>DPH</w:t>
      </w:r>
    </w:p>
    <w:tbl>
      <w:tblPr>
        <w:tblW w:w="8990" w:type="dxa"/>
        <w:tblLook w:val="04A0" w:firstRow="1" w:lastRow="0" w:firstColumn="1" w:lastColumn="0" w:noHBand="0" w:noVBand="1"/>
      </w:tblPr>
      <w:tblGrid>
        <w:gridCol w:w="1200"/>
        <w:gridCol w:w="1200"/>
        <w:gridCol w:w="960"/>
        <w:gridCol w:w="960"/>
        <w:gridCol w:w="1050"/>
        <w:gridCol w:w="1280"/>
        <w:gridCol w:w="1380"/>
        <w:gridCol w:w="960"/>
      </w:tblGrid>
      <w:tr w:rsidR="00526E59" w:rsidRPr="003B3E17" w14:paraId="307A8CCC" w14:textId="77777777" w:rsidTr="00147145">
        <w:trPr>
          <w:trHeight w:val="300"/>
        </w:trPr>
        <w:tc>
          <w:tcPr>
            <w:tcW w:w="1200" w:type="dxa"/>
            <w:tcBorders>
              <w:top w:val="single" w:sz="4" w:space="0" w:color="auto"/>
              <w:left w:val="nil"/>
              <w:bottom w:val="double" w:sz="6" w:space="0" w:color="auto"/>
              <w:right w:val="single" w:sz="4" w:space="0" w:color="auto"/>
            </w:tcBorders>
            <w:shd w:val="clear" w:color="auto" w:fill="DBE5F1" w:themeFill="accent1" w:themeFillTint="33"/>
          </w:tcPr>
          <w:p w14:paraId="0108289D" w14:textId="1C4AA5BA" w:rsidR="00526E59" w:rsidRPr="003B3E17" w:rsidRDefault="00526E59" w:rsidP="003B3E17">
            <w:pPr>
              <w:spacing w:after="0" w:line="240" w:lineRule="auto"/>
              <w:jc w:val="center"/>
              <w:rPr>
                <w:rFonts w:ascii="Calibri" w:eastAsia="Times New Roman" w:hAnsi="Calibri" w:cs="Calibri"/>
                <w:b/>
                <w:bCs/>
                <w:color w:val="000000"/>
              </w:rPr>
            </w:pPr>
          </w:p>
        </w:tc>
        <w:tc>
          <w:tcPr>
            <w:tcW w:w="1200" w:type="dxa"/>
            <w:tcBorders>
              <w:top w:val="single" w:sz="4" w:space="0" w:color="auto"/>
              <w:left w:val="single" w:sz="4" w:space="0" w:color="auto"/>
              <w:bottom w:val="double" w:sz="6" w:space="0" w:color="auto"/>
              <w:right w:val="nil"/>
            </w:tcBorders>
            <w:shd w:val="clear" w:color="auto" w:fill="DBE5F1" w:themeFill="accent1" w:themeFillTint="33"/>
            <w:noWrap/>
            <w:vAlign w:val="bottom"/>
            <w:hideMark/>
          </w:tcPr>
          <w:p w14:paraId="3C612115" w14:textId="5BFC81B0" w:rsidR="00526E59" w:rsidRPr="003B3E17" w:rsidRDefault="00526E59" w:rsidP="003B3E17">
            <w:pPr>
              <w:spacing w:after="0" w:line="240" w:lineRule="auto"/>
              <w:jc w:val="center"/>
              <w:rPr>
                <w:rFonts w:ascii="Calibri" w:eastAsia="Times New Roman" w:hAnsi="Calibri" w:cs="Calibri"/>
                <w:b/>
                <w:bCs/>
                <w:color w:val="000000"/>
              </w:rPr>
            </w:pPr>
            <w:r w:rsidRPr="003B3E17">
              <w:rPr>
                <w:rFonts w:ascii="Calibri" w:eastAsia="Times New Roman" w:hAnsi="Calibri" w:cs="Calibri"/>
                <w:b/>
                <w:bCs/>
                <w:color w:val="000000"/>
              </w:rPr>
              <w:t>birth to&lt;1</w:t>
            </w:r>
          </w:p>
        </w:tc>
        <w:tc>
          <w:tcPr>
            <w:tcW w:w="960" w:type="dxa"/>
            <w:tcBorders>
              <w:top w:val="single" w:sz="4" w:space="0" w:color="auto"/>
              <w:left w:val="nil"/>
              <w:bottom w:val="double" w:sz="6" w:space="0" w:color="auto"/>
              <w:right w:val="nil"/>
            </w:tcBorders>
            <w:shd w:val="clear" w:color="auto" w:fill="DBE5F1" w:themeFill="accent1" w:themeFillTint="33"/>
            <w:noWrap/>
            <w:vAlign w:val="bottom"/>
            <w:hideMark/>
          </w:tcPr>
          <w:p w14:paraId="753EEA2F" w14:textId="77777777" w:rsidR="00526E59" w:rsidRPr="003B3E17" w:rsidRDefault="00526E59" w:rsidP="003B3E17">
            <w:pPr>
              <w:spacing w:after="0" w:line="240" w:lineRule="auto"/>
              <w:jc w:val="center"/>
              <w:rPr>
                <w:rFonts w:ascii="Calibri" w:eastAsia="Times New Roman" w:hAnsi="Calibri" w:cs="Calibri"/>
                <w:b/>
                <w:bCs/>
                <w:color w:val="000000"/>
              </w:rPr>
            </w:pPr>
            <w:r w:rsidRPr="003B3E17">
              <w:rPr>
                <w:rFonts w:ascii="Calibri" w:eastAsia="Times New Roman" w:hAnsi="Calibri" w:cs="Calibri"/>
                <w:b/>
                <w:bCs/>
                <w:color w:val="000000"/>
              </w:rPr>
              <w:t>1 to &lt;2</w:t>
            </w:r>
          </w:p>
        </w:tc>
        <w:tc>
          <w:tcPr>
            <w:tcW w:w="960" w:type="dxa"/>
            <w:tcBorders>
              <w:top w:val="single" w:sz="4" w:space="0" w:color="auto"/>
              <w:left w:val="nil"/>
              <w:bottom w:val="double" w:sz="6" w:space="0" w:color="auto"/>
              <w:right w:val="nil"/>
            </w:tcBorders>
            <w:shd w:val="clear" w:color="auto" w:fill="DBE5F1" w:themeFill="accent1" w:themeFillTint="33"/>
            <w:noWrap/>
            <w:vAlign w:val="bottom"/>
            <w:hideMark/>
          </w:tcPr>
          <w:p w14:paraId="09AAF8D3" w14:textId="77777777" w:rsidR="00526E59" w:rsidRPr="003B3E17" w:rsidRDefault="00526E59" w:rsidP="003B3E17">
            <w:pPr>
              <w:spacing w:after="0" w:line="240" w:lineRule="auto"/>
              <w:jc w:val="center"/>
              <w:rPr>
                <w:rFonts w:ascii="Calibri" w:eastAsia="Times New Roman" w:hAnsi="Calibri" w:cs="Calibri"/>
                <w:b/>
                <w:bCs/>
                <w:color w:val="000000"/>
              </w:rPr>
            </w:pPr>
            <w:r w:rsidRPr="003B3E17">
              <w:rPr>
                <w:rFonts w:ascii="Calibri" w:eastAsia="Times New Roman" w:hAnsi="Calibri" w:cs="Calibri"/>
                <w:b/>
                <w:bCs/>
                <w:color w:val="000000"/>
              </w:rPr>
              <w:t>2 to &lt;6</w:t>
            </w:r>
          </w:p>
        </w:tc>
        <w:tc>
          <w:tcPr>
            <w:tcW w:w="1050" w:type="dxa"/>
            <w:tcBorders>
              <w:top w:val="single" w:sz="4" w:space="0" w:color="auto"/>
              <w:left w:val="nil"/>
              <w:bottom w:val="double" w:sz="6" w:space="0" w:color="auto"/>
              <w:right w:val="nil"/>
            </w:tcBorders>
            <w:shd w:val="clear" w:color="auto" w:fill="DBE5F1" w:themeFill="accent1" w:themeFillTint="33"/>
            <w:noWrap/>
            <w:vAlign w:val="bottom"/>
            <w:hideMark/>
          </w:tcPr>
          <w:p w14:paraId="7F1871EB" w14:textId="77777777" w:rsidR="00526E59" w:rsidRPr="003B3E17" w:rsidRDefault="00526E59" w:rsidP="003B3E17">
            <w:pPr>
              <w:spacing w:after="0" w:line="240" w:lineRule="auto"/>
              <w:jc w:val="center"/>
              <w:rPr>
                <w:rFonts w:ascii="Calibri" w:eastAsia="Times New Roman" w:hAnsi="Calibri" w:cs="Calibri"/>
                <w:b/>
                <w:bCs/>
                <w:color w:val="000000"/>
              </w:rPr>
            </w:pPr>
            <w:r w:rsidRPr="003B3E17">
              <w:rPr>
                <w:rFonts w:ascii="Calibri" w:eastAsia="Times New Roman" w:hAnsi="Calibri" w:cs="Calibri"/>
                <w:b/>
                <w:bCs/>
                <w:color w:val="000000"/>
              </w:rPr>
              <w:t>6 to  &lt;11</w:t>
            </w:r>
          </w:p>
        </w:tc>
        <w:tc>
          <w:tcPr>
            <w:tcW w:w="1280" w:type="dxa"/>
            <w:tcBorders>
              <w:top w:val="single" w:sz="4" w:space="0" w:color="auto"/>
              <w:left w:val="nil"/>
              <w:bottom w:val="double" w:sz="6" w:space="0" w:color="auto"/>
              <w:right w:val="nil"/>
            </w:tcBorders>
            <w:shd w:val="clear" w:color="auto" w:fill="DBE5F1" w:themeFill="accent1" w:themeFillTint="33"/>
            <w:noWrap/>
            <w:vAlign w:val="bottom"/>
            <w:hideMark/>
          </w:tcPr>
          <w:p w14:paraId="67D73835" w14:textId="77777777" w:rsidR="00526E59" w:rsidRPr="003B3E17" w:rsidRDefault="00526E59" w:rsidP="003B3E17">
            <w:pPr>
              <w:spacing w:after="0" w:line="240" w:lineRule="auto"/>
              <w:jc w:val="center"/>
              <w:rPr>
                <w:rFonts w:ascii="Calibri" w:eastAsia="Times New Roman" w:hAnsi="Calibri" w:cs="Calibri"/>
                <w:b/>
                <w:bCs/>
                <w:color w:val="000000"/>
              </w:rPr>
            </w:pPr>
            <w:r w:rsidRPr="003B3E17">
              <w:rPr>
                <w:rFonts w:ascii="Calibri" w:eastAsia="Times New Roman" w:hAnsi="Calibri" w:cs="Calibri"/>
                <w:b/>
                <w:bCs/>
                <w:color w:val="000000"/>
              </w:rPr>
              <w:t>11 to &lt;16</w:t>
            </w:r>
          </w:p>
        </w:tc>
        <w:tc>
          <w:tcPr>
            <w:tcW w:w="1380" w:type="dxa"/>
            <w:tcBorders>
              <w:top w:val="single" w:sz="4" w:space="0" w:color="auto"/>
              <w:left w:val="nil"/>
              <w:bottom w:val="double" w:sz="6" w:space="0" w:color="auto"/>
              <w:right w:val="nil"/>
            </w:tcBorders>
            <w:shd w:val="clear" w:color="auto" w:fill="DBE5F1" w:themeFill="accent1" w:themeFillTint="33"/>
            <w:noWrap/>
            <w:vAlign w:val="bottom"/>
            <w:hideMark/>
          </w:tcPr>
          <w:p w14:paraId="46944290" w14:textId="77777777" w:rsidR="00526E59" w:rsidRPr="003B3E17" w:rsidRDefault="00526E59" w:rsidP="003B3E17">
            <w:pPr>
              <w:spacing w:after="0" w:line="240" w:lineRule="auto"/>
              <w:jc w:val="center"/>
              <w:rPr>
                <w:rFonts w:ascii="Calibri" w:eastAsia="Times New Roman" w:hAnsi="Calibri" w:cs="Calibri"/>
                <w:b/>
                <w:bCs/>
                <w:color w:val="000000"/>
              </w:rPr>
            </w:pPr>
            <w:r w:rsidRPr="003B3E17">
              <w:rPr>
                <w:rFonts w:ascii="Calibri" w:eastAsia="Times New Roman" w:hAnsi="Calibri" w:cs="Calibri"/>
                <w:b/>
                <w:bCs/>
                <w:color w:val="000000"/>
              </w:rPr>
              <w:t>16 to &lt;21</w:t>
            </w:r>
          </w:p>
        </w:tc>
        <w:tc>
          <w:tcPr>
            <w:tcW w:w="960" w:type="dxa"/>
            <w:tcBorders>
              <w:top w:val="single" w:sz="4" w:space="0" w:color="auto"/>
              <w:left w:val="nil"/>
              <w:bottom w:val="double" w:sz="6" w:space="0" w:color="auto"/>
              <w:right w:val="nil"/>
            </w:tcBorders>
            <w:shd w:val="clear" w:color="auto" w:fill="DBE5F1" w:themeFill="accent1" w:themeFillTint="33"/>
            <w:vAlign w:val="bottom"/>
            <w:hideMark/>
          </w:tcPr>
          <w:p w14:paraId="40CA6B13" w14:textId="011A80E3" w:rsidR="00526E59" w:rsidRPr="003B3E17" w:rsidRDefault="002E62DE" w:rsidP="003B3E1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w:t>
            </w:r>
            <w:r w:rsidRPr="003B3E17">
              <w:rPr>
                <w:rFonts w:ascii="Calibri" w:eastAsia="Times New Roman" w:hAnsi="Calibri" w:cs="Calibri"/>
                <w:b/>
                <w:bCs/>
                <w:color w:val="000000"/>
              </w:rPr>
              <w:t>CBA</w:t>
            </w:r>
          </w:p>
        </w:tc>
      </w:tr>
      <w:tr w:rsidR="00526E59" w:rsidRPr="003B3E17" w14:paraId="27036ECB" w14:textId="77777777" w:rsidTr="00147145">
        <w:trPr>
          <w:trHeight w:val="290"/>
        </w:trPr>
        <w:tc>
          <w:tcPr>
            <w:tcW w:w="1200" w:type="dxa"/>
            <w:tcBorders>
              <w:top w:val="nil"/>
              <w:left w:val="nil"/>
              <w:bottom w:val="nil"/>
              <w:right w:val="single" w:sz="4" w:space="0" w:color="auto"/>
            </w:tcBorders>
          </w:tcPr>
          <w:p w14:paraId="04EECC1A" w14:textId="7B41F013" w:rsidR="00526E59" w:rsidRDefault="000871B0" w:rsidP="003B3E17">
            <w:pPr>
              <w:spacing w:after="0" w:line="240" w:lineRule="auto"/>
              <w:jc w:val="center"/>
              <w:rPr>
                <w:rFonts w:ascii="Calibri" w:eastAsia="Times New Roman" w:hAnsi="Calibri" w:cs="Calibri"/>
                <w:color w:val="000000"/>
              </w:rPr>
            </w:pPr>
            <w:proofErr w:type="spellStart"/>
            <w:r>
              <w:rPr>
                <w:rFonts w:ascii="Calibri" w:eastAsia="Times New Roman" w:hAnsi="Calibri" w:cs="Calibri"/>
                <w:color w:val="000000"/>
              </w:rPr>
              <w:t>c</w:t>
            </w:r>
            <w:r w:rsidR="00147145">
              <w:rPr>
                <w:rFonts w:ascii="Calibri" w:eastAsia="Times New Roman" w:hAnsi="Calibri" w:cs="Calibri"/>
                <w:color w:val="000000"/>
              </w:rPr>
              <w:t>SWAL</w:t>
            </w:r>
            <w:proofErr w:type="spellEnd"/>
          </w:p>
        </w:tc>
        <w:tc>
          <w:tcPr>
            <w:tcW w:w="1200" w:type="dxa"/>
            <w:tcBorders>
              <w:top w:val="nil"/>
              <w:left w:val="single" w:sz="4" w:space="0" w:color="auto"/>
              <w:bottom w:val="nil"/>
              <w:right w:val="nil"/>
            </w:tcBorders>
            <w:shd w:val="clear" w:color="auto" w:fill="auto"/>
            <w:noWrap/>
            <w:vAlign w:val="bottom"/>
            <w:hideMark/>
          </w:tcPr>
          <w:p w14:paraId="27CAC912" w14:textId="4036D043" w:rsidR="00526E59" w:rsidRPr="003B3E17" w:rsidRDefault="00D00B7E" w:rsidP="003B3E17">
            <w:pPr>
              <w:spacing w:after="0" w:line="240" w:lineRule="auto"/>
              <w:jc w:val="center"/>
              <w:rPr>
                <w:rFonts w:ascii="Calibri" w:eastAsia="Times New Roman" w:hAnsi="Calibri" w:cs="Calibri"/>
                <w:color w:val="000000"/>
              </w:rPr>
            </w:pPr>
            <w:r>
              <w:rPr>
                <w:rFonts w:ascii="Calibri" w:eastAsia="Times New Roman" w:hAnsi="Calibri" w:cs="Calibri"/>
                <w:color w:val="000000"/>
              </w:rPr>
              <w:t>47</w:t>
            </w:r>
          </w:p>
        </w:tc>
        <w:tc>
          <w:tcPr>
            <w:tcW w:w="960" w:type="dxa"/>
            <w:tcBorders>
              <w:top w:val="nil"/>
              <w:left w:val="nil"/>
              <w:bottom w:val="nil"/>
              <w:right w:val="nil"/>
            </w:tcBorders>
            <w:shd w:val="clear" w:color="auto" w:fill="auto"/>
            <w:noWrap/>
            <w:vAlign w:val="bottom"/>
            <w:hideMark/>
          </w:tcPr>
          <w:p w14:paraId="29906F70" w14:textId="3038E187" w:rsidR="00526E59" w:rsidRPr="003B3E17" w:rsidRDefault="00D00B7E" w:rsidP="003B3E17">
            <w:pPr>
              <w:spacing w:after="0" w:line="240" w:lineRule="auto"/>
              <w:jc w:val="center"/>
              <w:rPr>
                <w:rFonts w:ascii="Calibri" w:eastAsia="Times New Roman" w:hAnsi="Calibri" w:cs="Calibri"/>
                <w:color w:val="000000"/>
              </w:rPr>
            </w:pPr>
            <w:r>
              <w:rPr>
                <w:rFonts w:ascii="Calibri" w:eastAsia="Times New Roman" w:hAnsi="Calibri" w:cs="Calibri"/>
                <w:color w:val="000000"/>
              </w:rPr>
              <w:t>69</w:t>
            </w:r>
          </w:p>
        </w:tc>
        <w:tc>
          <w:tcPr>
            <w:tcW w:w="960" w:type="dxa"/>
            <w:tcBorders>
              <w:top w:val="nil"/>
              <w:left w:val="nil"/>
              <w:bottom w:val="nil"/>
              <w:right w:val="nil"/>
            </w:tcBorders>
            <w:shd w:val="clear" w:color="auto" w:fill="auto"/>
            <w:noWrap/>
            <w:vAlign w:val="bottom"/>
            <w:hideMark/>
          </w:tcPr>
          <w:p w14:paraId="250FE27F" w14:textId="47FE0CE1" w:rsidR="00526E59" w:rsidRPr="003B3E17" w:rsidRDefault="00526E59" w:rsidP="003B3E17">
            <w:pPr>
              <w:spacing w:after="0" w:line="240" w:lineRule="auto"/>
              <w:jc w:val="center"/>
              <w:rPr>
                <w:rFonts w:ascii="Calibri" w:eastAsia="Times New Roman" w:hAnsi="Calibri" w:cs="Calibri"/>
                <w:color w:val="000000"/>
              </w:rPr>
            </w:pPr>
            <w:r>
              <w:rPr>
                <w:rFonts w:ascii="Calibri" w:eastAsia="Times New Roman" w:hAnsi="Calibri" w:cs="Calibri"/>
                <w:b/>
                <w:bCs/>
                <w:color w:val="000000"/>
              </w:rPr>
              <w:t>23</w:t>
            </w:r>
            <w:r w:rsidRPr="00526E59">
              <w:rPr>
                <w:rFonts w:ascii="Calibri" w:eastAsia="Times New Roman" w:hAnsi="Calibri" w:cs="Calibri"/>
                <w:b/>
                <w:bCs/>
                <w:color w:val="000000"/>
                <w:vertAlign w:val="superscript"/>
              </w:rPr>
              <w:t>a</w:t>
            </w:r>
          </w:p>
        </w:tc>
        <w:tc>
          <w:tcPr>
            <w:tcW w:w="1050" w:type="dxa"/>
            <w:tcBorders>
              <w:top w:val="nil"/>
              <w:left w:val="nil"/>
              <w:bottom w:val="nil"/>
              <w:right w:val="nil"/>
            </w:tcBorders>
            <w:shd w:val="clear" w:color="auto" w:fill="auto"/>
            <w:noWrap/>
            <w:vAlign w:val="bottom"/>
            <w:hideMark/>
          </w:tcPr>
          <w:p w14:paraId="6D70EE90" w14:textId="2DCBADCF" w:rsidR="00526E59" w:rsidRPr="003B3E17" w:rsidRDefault="00D00B7E" w:rsidP="003B3E17">
            <w:pPr>
              <w:spacing w:after="0" w:line="240" w:lineRule="auto"/>
              <w:jc w:val="center"/>
              <w:rPr>
                <w:rFonts w:ascii="Calibri" w:eastAsia="Times New Roman" w:hAnsi="Calibri" w:cs="Calibri"/>
                <w:color w:val="000000"/>
              </w:rPr>
            </w:pPr>
            <w:r>
              <w:rPr>
                <w:rFonts w:ascii="Calibri" w:eastAsia="Times New Roman" w:hAnsi="Calibri" w:cs="Calibri"/>
                <w:color w:val="000000"/>
              </w:rPr>
              <w:t>43</w:t>
            </w:r>
          </w:p>
        </w:tc>
        <w:tc>
          <w:tcPr>
            <w:tcW w:w="1280" w:type="dxa"/>
            <w:tcBorders>
              <w:top w:val="nil"/>
              <w:left w:val="nil"/>
              <w:bottom w:val="nil"/>
              <w:right w:val="nil"/>
            </w:tcBorders>
            <w:shd w:val="clear" w:color="auto" w:fill="auto"/>
            <w:noWrap/>
            <w:vAlign w:val="bottom"/>
            <w:hideMark/>
          </w:tcPr>
          <w:p w14:paraId="207CEEA5" w14:textId="2C701916" w:rsidR="00526E59" w:rsidRPr="003B3E17" w:rsidRDefault="009C1D5E" w:rsidP="003B3E17">
            <w:pPr>
              <w:spacing w:after="0" w:line="240" w:lineRule="auto"/>
              <w:jc w:val="center"/>
              <w:rPr>
                <w:rFonts w:ascii="Calibri" w:eastAsia="Times New Roman" w:hAnsi="Calibri" w:cs="Calibri"/>
                <w:color w:val="000000"/>
              </w:rPr>
            </w:pPr>
            <w:r>
              <w:rPr>
                <w:rFonts w:ascii="Calibri" w:eastAsia="Times New Roman" w:hAnsi="Calibri" w:cs="Calibri"/>
                <w:color w:val="000000"/>
              </w:rPr>
              <w:t>76</w:t>
            </w:r>
          </w:p>
        </w:tc>
        <w:tc>
          <w:tcPr>
            <w:tcW w:w="1380" w:type="dxa"/>
            <w:tcBorders>
              <w:top w:val="nil"/>
              <w:left w:val="nil"/>
              <w:bottom w:val="nil"/>
              <w:right w:val="nil"/>
            </w:tcBorders>
            <w:shd w:val="clear" w:color="auto" w:fill="auto"/>
            <w:noWrap/>
            <w:vAlign w:val="bottom"/>
            <w:hideMark/>
          </w:tcPr>
          <w:p w14:paraId="73DBEBCE" w14:textId="41D25B23" w:rsidR="00526E59" w:rsidRPr="003B3E17" w:rsidRDefault="009C1D5E" w:rsidP="003B3E17">
            <w:pPr>
              <w:spacing w:after="0" w:line="240" w:lineRule="auto"/>
              <w:jc w:val="center"/>
              <w:rPr>
                <w:rFonts w:ascii="Calibri" w:eastAsia="Times New Roman" w:hAnsi="Calibri" w:cs="Calibri"/>
                <w:color w:val="000000"/>
              </w:rPr>
            </w:pPr>
            <w:r>
              <w:rPr>
                <w:rFonts w:ascii="Calibri" w:eastAsia="Times New Roman" w:hAnsi="Calibri" w:cs="Calibri"/>
                <w:color w:val="000000"/>
              </w:rPr>
              <w:t>139</w:t>
            </w:r>
          </w:p>
        </w:tc>
        <w:tc>
          <w:tcPr>
            <w:tcW w:w="960" w:type="dxa"/>
            <w:tcBorders>
              <w:top w:val="nil"/>
              <w:left w:val="nil"/>
              <w:bottom w:val="nil"/>
              <w:right w:val="nil"/>
            </w:tcBorders>
            <w:shd w:val="clear" w:color="auto" w:fill="auto"/>
            <w:noWrap/>
            <w:vAlign w:val="bottom"/>
            <w:hideMark/>
          </w:tcPr>
          <w:p w14:paraId="56F2430F" w14:textId="6BC551B5" w:rsidR="00526E59" w:rsidRPr="003B3E17" w:rsidRDefault="009C1D5E" w:rsidP="003B3E17">
            <w:pPr>
              <w:spacing w:after="0" w:line="240" w:lineRule="auto"/>
              <w:jc w:val="center"/>
              <w:rPr>
                <w:rFonts w:ascii="Calibri" w:eastAsia="Times New Roman" w:hAnsi="Calibri" w:cs="Calibri"/>
                <w:color w:val="000000"/>
              </w:rPr>
            </w:pPr>
            <w:r>
              <w:rPr>
                <w:rFonts w:ascii="Calibri" w:eastAsia="Times New Roman" w:hAnsi="Calibri" w:cs="Calibri"/>
                <w:color w:val="000000"/>
              </w:rPr>
              <w:t>199</w:t>
            </w:r>
          </w:p>
        </w:tc>
      </w:tr>
      <w:tr w:rsidR="00147145" w:rsidRPr="003B3E17" w14:paraId="43B0FF96" w14:textId="77777777" w:rsidTr="00147145">
        <w:trPr>
          <w:trHeight w:val="290"/>
        </w:trPr>
        <w:tc>
          <w:tcPr>
            <w:tcW w:w="1200" w:type="dxa"/>
            <w:tcBorders>
              <w:top w:val="nil"/>
              <w:left w:val="nil"/>
              <w:bottom w:val="single" w:sz="4" w:space="0" w:color="auto"/>
              <w:right w:val="single" w:sz="4" w:space="0" w:color="auto"/>
            </w:tcBorders>
          </w:tcPr>
          <w:p w14:paraId="5F6AF7A5" w14:textId="60CFB415" w:rsidR="00147145" w:rsidRDefault="000871B0" w:rsidP="003B3E17">
            <w:pPr>
              <w:spacing w:after="0" w:line="240" w:lineRule="auto"/>
              <w:jc w:val="center"/>
              <w:rPr>
                <w:rFonts w:ascii="Calibri" w:eastAsia="Times New Roman" w:hAnsi="Calibri" w:cs="Calibri"/>
                <w:color w:val="000000"/>
              </w:rPr>
            </w:pPr>
            <w:proofErr w:type="spellStart"/>
            <w:r>
              <w:rPr>
                <w:rFonts w:ascii="Calibri" w:eastAsia="Times New Roman" w:hAnsi="Calibri" w:cs="Calibri"/>
                <w:color w:val="000000"/>
              </w:rPr>
              <w:t>c</w:t>
            </w:r>
            <w:r w:rsidR="00147145">
              <w:rPr>
                <w:rFonts w:ascii="Calibri" w:eastAsia="Times New Roman" w:hAnsi="Calibri" w:cs="Calibri"/>
                <w:color w:val="000000"/>
              </w:rPr>
              <w:t>PBAL</w:t>
            </w:r>
            <w:proofErr w:type="spellEnd"/>
          </w:p>
        </w:tc>
        <w:tc>
          <w:tcPr>
            <w:tcW w:w="1200" w:type="dxa"/>
            <w:tcBorders>
              <w:top w:val="nil"/>
              <w:left w:val="single" w:sz="4" w:space="0" w:color="auto"/>
              <w:bottom w:val="single" w:sz="4" w:space="0" w:color="auto"/>
              <w:right w:val="nil"/>
            </w:tcBorders>
            <w:shd w:val="clear" w:color="auto" w:fill="auto"/>
            <w:noWrap/>
            <w:vAlign w:val="bottom"/>
          </w:tcPr>
          <w:p w14:paraId="25AB5CB8" w14:textId="4762E919" w:rsidR="00147145" w:rsidRDefault="00E75207" w:rsidP="003B3E17">
            <w:pPr>
              <w:spacing w:after="0" w:line="240" w:lineRule="auto"/>
              <w:jc w:val="center"/>
              <w:rPr>
                <w:rFonts w:ascii="Calibri" w:eastAsia="Times New Roman" w:hAnsi="Calibri" w:cs="Calibri"/>
                <w:color w:val="000000"/>
              </w:rPr>
            </w:pPr>
            <w:r>
              <w:rPr>
                <w:rFonts w:ascii="Calibri" w:eastAsia="Times New Roman" w:hAnsi="Calibri" w:cs="Calibri"/>
                <w:color w:val="000000"/>
              </w:rPr>
              <w:t>135</w:t>
            </w:r>
          </w:p>
        </w:tc>
        <w:tc>
          <w:tcPr>
            <w:tcW w:w="960" w:type="dxa"/>
            <w:tcBorders>
              <w:top w:val="nil"/>
              <w:left w:val="nil"/>
              <w:bottom w:val="single" w:sz="4" w:space="0" w:color="auto"/>
              <w:right w:val="nil"/>
            </w:tcBorders>
            <w:shd w:val="clear" w:color="auto" w:fill="auto"/>
            <w:noWrap/>
            <w:vAlign w:val="bottom"/>
          </w:tcPr>
          <w:p w14:paraId="3A10C846" w14:textId="5A60C7BF" w:rsidR="00147145" w:rsidRDefault="00E75207" w:rsidP="003B3E17">
            <w:pPr>
              <w:spacing w:after="0" w:line="240" w:lineRule="auto"/>
              <w:jc w:val="center"/>
              <w:rPr>
                <w:rFonts w:ascii="Calibri" w:eastAsia="Times New Roman" w:hAnsi="Calibri" w:cs="Calibri"/>
                <w:color w:val="000000"/>
              </w:rPr>
            </w:pPr>
            <w:r>
              <w:rPr>
                <w:rFonts w:ascii="Calibri" w:eastAsia="Times New Roman" w:hAnsi="Calibri" w:cs="Calibri"/>
                <w:color w:val="000000"/>
              </w:rPr>
              <w:t>198</w:t>
            </w:r>
          </w:p>
        </w:tc>
        <w:tc>
          <w:tcPr>
            <w:tcW w:w="960" w:type="dxa"/>
            <w:tcBorders>
              <w:top w:val="nil"/>
              <w:left w:val="nil"/>
              <w:bottom w:val="single" w:sz="4" w:space="0" w:color="auto"/>
              <w:right w:val="nil"/>
            </w:tcBorders>
            <w:shd w:val="clear" w:color="auto" w:fill="auto"/>
            <w:noWrap/>
            <w:vAlign w:val="bottom"/>
          </w:tcPr>
          <w:p w14:paraId="30DFFF92" w14:textId="69ED6C11" w:rsidR="00147145" w:rsidRDefault="00E75207" w:rsidP="003B3E1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101</w:t>
            </w:r>
            <w:r w:rsidRPr="00E75207">
              <w:rPr>
                <w:rFonts w:ascii="Calibri" w:eastAsia="Times New Roman" w:hAnsi="Calibri" w:cs="Calibri"/>
                <w:b/>
                <w:bCs/>
                <w:color w:val="000000"/>
                <w:vertAlign w:val="superscript"/>
              </w:rPr>
              <w:t>b</w:t>
            </w:r>
          </w:p>
        </w:tc>
        <w:tc>
          <w:tcPr>
            <w:tcW w:w="1050" w:type="dxa"/>
            <w:tcBorders>
              <w:top w:val="nil"/>
              <w:left w:val="nil"/>
              <w:bottom w:val="single" w:sz="4" w:space="0" w:color="auto"/>
              <w:right w:val="nil"/>
            </w:tcBorders>
            <w:shd w:val="clear" w:color="auto" w:fill="auto"/>
            <w:noWrap/>
            <w:vAlign w:val="bottom"/>
          </w:tcPr>
          <w:p w14:paraId="1C5C4B39" w14:textId="47E9814B" w:rsidR="00147145" w:rsidRDefault="00E75207" w:rsidP="003B3E17">
            <w:pPr>
              <w:spacing w:after="0" w:line="240" w:lineRule="auto"/>
              <w:jc w:val="center"/>
              <w:rPr>
                <w:rFonts w:ascii="Calibri" w:eastAsia="Times New Roman" w:hAnsi="Calibri" w:cs="Calibri"/>
                <w:color w:val="000000"/>
              </w:rPr>
            </w:pPr>
            <w:r>
              <w:rPr>
                <w:rFonts w:ascii="Calibri" w:eastAsia="Times New Roman" w:hAnsi="Calibri" w:cs="Calibri"/>
                <w:color w:val="000000"/>
              </w:rPr>
              <w:t>184</w:t>
            </w:r>
          </w:p>
        </w:tc>
        <w:tc>
          <w:tcPr>
            <w:tcW w:w="1280" w:type="dxa"/>
            <w:tcBorders>
              <w:top w:val="nil"/>
              <w:left w:val="nil"/>
              <w:bottom w:val="single" w:sz="4" w:space="0" w:color="auto"/>
              <w:right w:val="nil"/>
            </w:tcBorders>
            <w:shd w:val="clear" w:color="auto" w:fill="auto"/>
            <w:noWrap/>
            <w:vAlign w:val="bottom"/>
          </w:tcPr>
          <w:p w14:paraId="1BBE929D" w14:textId="3D6B3BCA" w:rsidR="00147145" w:rsidRDefault="00E75207" w:rsidP="003B3E17">
            <w:pPr>
              <w:spacing w:after="0" w:line="240" w:lineRule="auto"/>
              <w:jc w:val="center"/>
              <w:rPr>
                <w:rFonts w:ascii="Calibri" w:eastAsia="Times New Roman" w:hAnsi="Calibri" w:cs="Calibri"/>
                <w:color w:val="000000"/>
              </w:rPr>
            </w:pPr>
            <w:r>
              <w:rPr>
                <w:rFonts w:ascii="Calibri" w:eastAsia="Times New Roman" w:hAnsi="Calibri" w:cs="Calibri"/>
                <w:color w:val="000000"/>
              </w:rPr>
              <w:t>363</w:t>
            </w:r>
          </w:p>
        </w:tc>
        <w:tc>
          <w:tcPr>
            <w:tcW w:w="1380" w:type="dxa"/>
            <w:tcBorders>
              <w:top w:val="nil"/>
              <w:left w:val="nil"/>
              <w:bottom w:val="single" w:sz="4" w:space="0" w:color="auto"/>
              <w:right w:val="nil"/>
            </w:tcBorders>
            <w:shd w:val="clear" w:color="auto" w:fill="auto"/>
            <w:noWrap/>
            <w:vAlign w:val="bottom"/>
          </w:tcPr>
          <w:p w14:paraId="790B60C1" w14:textId="703129C6" w:rsidR="00147145" w:rsidRDefault="00E75207" w:rsidP="003B3E17">
            <w:pPr>
              <w:spacing w:after="0" w:line="240" w:lineRule="auto"/>
              <w:jc w:val="center"/>
              <w:rPr>
                <w:rFonts w:ascii="Calibri" w:eastAsia="Times New Roman" w:hAnsi="Calibri" w:cs="Calibri"/>
                <w:color w:val="000000"/>
              </w:rPr>
            </w:pPr>
            <w:r>
              <w:rPr>
                <w:rFonts w:ascii="Calibri" w:eastAsia="Times New Roman" w:hAnsi="Calibri" w:cs="Calibri"/>
                <w:color w:val="000000"/>
              </w:rPr>
              <w:t>536</w:t>
            </w:r>
          </w:p>
        </w:tc>
        <w:tc>
          <w:tcPr>
            <w:tcW w:w="960" w:type="dxa"/>
            <w:tcBorders>
              <w:top w:val="nil"/>
              <w:left w:val="nil"/>
              <w:bottom w:val="single" w:sz="4" w:space="0" w:color="auto"/>
              <w:right w:val="nil"/>
            </w:tcBorders>
            <w:shd w:val="clear" w:color="auto" w:fill="auto"/>
            <w:noWrap/>
            <w:vAlign w:val="bottom"/>
          </w:tcPr>
          <w:p w14:paraId="448BD682" w14:textId="1B821F09" w:rsidR="00147145" w:rsidRDefault="00E75207" w:rsidP="003B3E17">
            <w:pPr>
              <w:spacing w:after="0" w:line="240" w:lineRule="auto"/>
              <w:jc w:val="center"/>
              <w:rPr>
                <w:rFonts w:ascii="Calibri" w:eastAsia="Times New Roman" w:hAnsi="Calibri" w:cs="Calibri"/>
                <w:color w:val="000000"/>
              </w:rPr>
            </w:pPr>
            <w:r>
              <w:rPr>
                <w:rFonts w:ascii="Calibri" w:eastAsia="Times New Roman" w:hAnsi="Calibri" w:cs="Calibri"/>
                <w:color w:val="000000"/>
              </w:rPr>
              <w:t>434</w:t>
            </w:r>
          </w:p>
        </w:tc>
      </w:tr>
    </w:tbl>
    <w:p w14:paraId="3BBA090B" w14:textId="7E7B89B9" w:rsidR="003B3E17" w:rsidRDefault="00526E59" w:rsidP="00E05B96">
      <w:pPr>
        <w:spacing w:after="0" w:line="240" w:lineRule="auto"/>
        <w:rPr>
          <w:rFonts w:cs="Arial"/>
          <w:i/>
          <w:iCs/>
        </w:rPr>
      </w:pPr>
      <w:r>
        <w:rPr>
          <w:rFonts w:cs="Arial"/>
          <w:i/>
          <w:iCs/>
        </w:rPr>
        <w:t xml:space="preserve">[a] </w:t>
      </w:r>
      <w:r w:rsidR="009558F1" w:rsidRPr="009558F1">
        <w:rPr>
          <w:rFonts w:cs="Arial"/>
          <w:i/>
          <w:iCs/>
        </w:rPr>
        <w:t xml:space="preserve">Minimum SWAL, </w:t>
      </w:r>
      <w:r w:rsidR="00B60BE4">
        <w:rPr>
          <w:rFonts w:cs="Arial"/>
          <w:i/>
          <w:iCs/>
        </w:rPr>
        <w:t xml:space="preserve">lowered to 20 ng/L to correspond with MassDEP MCL for PFAS in </w:t>
      </w:r>
      <w:r w:rsidR="00B60BE4" w:rsidRPr="00EC4C98">
        <w:rPr>
          <w:rFonts w:cs="Arial"/>
          <w:i/>
          <w:iCs/>
        </w:rPr>
        <w:t>drinking water (MassDEP, 202</w:t>
      </w:r>
      <w:r w:rsidR="00EC4C98" w:rsidRPr="00EC4C98">
        <w:rPr>
          <w:rFonts w:cs="Arial"/>
          <w:i/>
          <w:iCs/>
        </w:rPr>
        <w:t>3</w:t>
      </w:r>
      <w:r w:rsidR="00B60BE4" w:rsidRPr="00EC4C98">
        <w:rPr>
          <w:rFonts w:cs="Arial"/>
          <w:i/>
          <w:iCs/>
        </w:rPr>
        <w:t>)</w:t>
      </w:r>
    </w:p>
    <w:p w14:paraId="3C42A8D8" w14:textId="018576D0" w:rsidR="00526E59" w:rsidRPr="009558F1" w:rsidRDefault="00526E59" w:rsidP="00E05B96">
      <w:pPr>
        <w:spacing w:after="0" w:line="240" w:lineRule="auto"/>
        <w:rPr>
          <w:rFonts w:cs="Arial"/>
          <w:i/>
          <w:iCs/>
        </w:rPr>
      </w:pPr>
      <w:r>
        <w:rPr>
          <w:rFonts w:cs="Arial"/>
          <w:i/>
          <w:iCs/>
        </w:rPr>
        <w:t>[b] Minimum PBAL, lowered to 90 ng/L to correspond with MassDEP Imminent Hazard Level for PFAS</w:t>
      </w:r>
      <w:r w:rsidR="00AF4DD7">
        <w:rPr>
          <w:rFonts w:cs="Arial"/>
          <w:i/>
          <w:iCs/>
        </w:rPr>
        <w:t xml:space="preserve"> in drinking water</w:t>
      </w:r>
      <w:r>
        <w:rPr>
          <w:rFonts w:cs="Arial"/>
          <w:i/>
          <w:iCs/>
        </w:rPr>
        <w:t xml:space="preserve"> (MassDEP, 2022)</w:t>
      </w:r>
    </w:p>
    <w:p w14:paraId="46016E6D" w14:textId="77777777" w:rsidR="009558F1" w:rsidRPr="00984C85" w:rsidRDefault="009558F1" w:rsidP="00E05B96">
      <w:pPr>
        <w:spacing w:after="0" w:line="240" w:lineRule="auto"/>
        <w:rPr>
          <w:rFonts w:cs="Arial"/>
          <w:sz w:val="24"/>
          <w:szCs w:val="24"/>
        </w:rPr>
      </w:pPr>
    </w:p>
    <w:p w14:paraId="58353D77" w14:textId="768E4DA7" w:rsidR="009558F1" w:rsidRPr="009558F1" w:rsidRDefault="009558F1" w:rsidP="009558F1">
      <w:pPr>
        <w:spacing w:after="0" w:line="240" w:lineRule="auto"/>
        <w:rPr>
          <w:rFonts w:cs="Arial"/>
          <w:b/>
          <w:bCs/>
          <w:sz w:val="24"/>
          <w:szCs w:val="24"/>
        </w:rPr>
      </w:pPr>
      <w:r w:rsidRPr="009558F1">
        <w:rPr>
          <w:rFonts w:cs="Arial"/>
          <w:b/>
          <w:bCs/>
          <w:sz w:val="24"/>
          <w:szCs w:val="24"/>
        </w:rPr>
        <w:t>Table A.</w:t>
      </w:r>
      <w:r w:rsidR="00526E59">
        <w:rPr>
          <w:rFonts w:cs="Arial"/>
          <w:b/>
          <w:bCs/>
          <w:sz w:val="24"/>
          <w:szCs w:val="24"/>
        </w:rPr>
        <w:t>8</w:t>
      </w:r>
      <w:r w:rsidR="006B3ECA">
        <w:rPr>
          <w:rFonts w:cs="Arial"/>
          <w:b/>
          <w:bCs/>
          <w:sz w:val="24"/>
          <w:szCs w:val="24"/>
        </w:rPr>
        <w:t xml:space="preserve">. </w:t>
      </w:r>
      <w:r w:rsidRPr="009558F1">
        <w:rPr>
          <w:rFonts w:cs="Arial"/>
          <w:b/>
          <w:bCs/>
          <w:sz w:val="24"/>
          <w:szCs w:val="24"/>
        </w:rPr>
        <w:t xml:space="preserve"> Action Levels</w:t>
      </w:r>
      <w:r>
        <w:rPr>
          <w:rFonts w:cs="Arial"/>
          <w:b/>
          <w:bCs/>
          <w:sz w:val="24"/>
          <w:szCs w:val="24"/>
        </w:rPr>
        <w:t xml:space="preserve"> </w:t>
      </w:r>
      <w:r w:rsidR="00526E59">
        <w:rPr>
          <w:rFonts w:cs="Arial"/>
          <w:b/>
          <w:bCs/>
          <w:sz w:val="24"/>
          <w:szCs w:val="24"/>
        </w:rPr>
        <w:t xml:space="preserve">for Recreational Waterbodies </w:t>
      </w:r>
      <w:r>
        <w:rPr>
          <w:rFonts w:cs="Arial"/>
          <w:b/>
          <w:bCs/>
          <w:sz w:val="24"/>
          <w:szCs w:val="24"/>
        </w:rPr>
        <w:t>(ng/L), MCP-Based</w:t>
      </w:r>
    </w:p>
    <w:tbl>
      <w:tblPr>
        <w:tblW w:w="4050" w:type="dxa"/>
        <w:tblBorders>
          <w:top w:val="single" w:sz="4" w:space="0" w:color="auto"/>
          <w:bottom w:val="single" w:sz="4" w:space="0" w:color="auto"/>
          <w:insideH w:val="double" w:sz="6" w:space="0" w:color="auto"/>
        </w:tblBorders>
        <w:tblLook w:val="04A0" w:firstRow="1" w:lastRow="0" w:firstColumn="1" w:lastColumn="0" w:noHBand="0" w:noVBand="1"/>
      </w:tblPr>
      <w:tblGrid>
        <w:gridCol w:w="960"/>
        <w:gridCol w:w="960"/>
        <w:gridCol w:w="960"/>
        <w:gridCol w:w="1170"/>
      </w:tblGrid>
      <w:tr w:rsidR="00147145" w:rsidRPr="003B3E17" w14:paraId="09ABA3F0" w14:textId="77777777" w:rsidTr="00147145">
        <w:trPr>
          <w:trHeight w:val="300"/>
        </w:trPr>
        <w:tc>
          <w:tcPr>
            <w:tcW w:w="960" w:type="dxa"/>
            <w:tcBorders>
              <w:top w:val="single" w:sz="4" w:space="0" w:color="auto"/>
              <w:bottom w:val="double" w:sz="6" w:space="0" w:color="auto"/>
              <w:right w:val="single" w:sz="4" w:space="0" w:color="auto"/>
            </w:tcBorders>
            <w:shd w:val="clear" w:color="auto" w:fill="DBE5F1" w:themeFill="accent1" w:themeFillTint="33"/>
          </w:tcPr>
          <w:p w14:paraId="1ED74E5F" w14:textId="77777777" w:rsidR="00147145" w:rsidRPr="003B3E17" w:rsidRDefault="00147145" w:rsidP="003B3E17">
            <w:pPr>
              <w:spacing w:after="0" w:line="240" w:lineRule="auto"/>
              <w:jc w:val="center"/>
              <w:rPr>
                <w:rFonts w:ascii="Calibri" w:eastAsia="Times New Roman" w:hAnsi="Calibri" w:cs="Calibri"/>
                <w:b/>
                <w:bCs/>
                <w:color w:val="000000"/>
              </w:rPr>
            </w:pPr>
          </w:p>
        </w:tc>
        <w:tc>
          <w:tcPr>
            <w:tcW w:w="960" w:type="dxa"/>
            <w:tcBorders>
              <w:left w:val="single" w:sz="4" w:space="0" w:color="auto"/>
              <w:bottom w:val="double" w:sz="6" w:space="0" w:color="auto"/>
            </w:tcBorders>
            <w:shd w:val="clear" w:color="auto" w:fill="DBE5F1" w:themeFill="accent1" w:themeFillTint="33"/>
            <w:noWrap/>
            <w:vAlign w:val="bottom"/>
            <w:hideMark/>
          </w:tcPr>
          <w:p w14:paraId="31A12B79" w14:textId="5E528579" w:rsidR="00147145" w:rsidRPr="003B3E17" w:rsidRDefault="00147145" w:rsidP="003B3E17">
            <w:pPr>
              <w:spacing w:after="0" w:line="240" w:lineRule="auto"/>
              <w:jc w:val="center"/>
              <w:rPr>
                <w:rFonts w:ascii="Calibri" w:eastAsia="Times New Roman" w:hAnsi="Calibri" w:cs="Calibri"/>
                <w:b/>
                <w:bCs/>
                <w:color w:val="000000"/>
              </w:rPr>
            </w:pPr>
            <w:r w:rsidRPr="003B3E17">
              <w:rPr>
                <w:rFonts w:ascii="Calibri" w:eastAsia="Times New Roman" w:hAnsi="Calibri" w:cs="Calibri"/>
                <w:b/>
                <w:bCs/>
                <w:color w:val="000000"/>
              </w:rPr>
              <w:t>1 to &lt;8</w:t>
            </w:r>
          </w:p>
        </w:tc>
        <w:tc>
          <w:tcPr>
            <w:tcW w:w="960" w:type="dxa"/>
            <w:tcBorders>
              <w:bottom w:val="double" w:sz="6" w:space="0" w:color="auto"/>
            </w:tcBorders>
            <w:shd w:val="clear" w:color="auto" w:fill="DBE5F1" w:themeFill="accent1" w:themeFillTint="33"/>
            <w:noWrap/>
            <w:vAlign w:val="bottom"/>
            <w:hideMark/>
          </w:tcPr>
          <w:p w14:paraId="0F0D9614" w14:textId="77777777" w:rsidR="00147145" w:rsidRPr="003B3E17" w:rsidRDefault="00147145" w:rsidP="003B3E17">
            <w:pPr>
              <w:spacing w:after="0" w:line="240" w:lineRule="auto"/>
              <w:jc w:val="center"/>
              <w:rPr>
                <w:rFonts w:ascii="Calibri" w:eastAsia="Times New Roman" w:hAnsi="Calibri" w:cs="Calibri"/>
                <w:b/>
                <w:bCs/>
                <w:color w:val="000000"/>
              </w:rPr>
            </w:pPr>
            <w:r w:rsidRPr="003B3E17">
              <w:rPr>
                <w:rFonts w:ascii="Calibri" w:eastAsia="Times New Roman" w:hAnsi="Calibri" w:cs="Calibri"/>
                <w:b/>
                <w:bCs/>
                <w:color w:val="000000"/>
              </w:rPr>
              <w:t>8 to &lt;15</w:t>
            </w:r>
          </w:p>
        </w:tc>
        <w:tc>
          <w:tcPr>
            <w:tcW w:w="1170" w:type="dxa"/>
            <w:tcBorders>
              <w:bottom w:val="double" w:sz="6" w:space="0" w:color="auto"/>
            </w:tcBorders>
            <w:shd w:val="clear" w:color="auto" w:fill="DBE5F1" w:themeFill="accent1" w:themeFillTint="33"/>
            <w:noWrap/>
            <w:vAlign w:val="bottom"/>
            <w:hideMark/>
          </w:tcPr>
          <w:p w14:paraId="17433DEE" w14:textId="77777777" w:rsidR="00147145" w:rsidRPr="003B3E17" w:rsidRDefault="00147145" w:rsidP="003B3E17">
            <w:pPr>
              <w:spacing w:after="0" w:line="240" w:lineRule="auto"/>
              <w:jc w:val="center"/>
              <w:rPr>
                <w:rFonts w:ascii="Calibri" w:eastAsia="Times New Roman" w:hAnsi="Calibri" w:cs="Calibri"/>
                <w:b/>
                <w:bCs/>
                <w:color w:val="000000"/>
              </w:rPr>
            </w:pPr>
            <w:r w:rsidRPr="003B3E17">
              <w:rPr>
                <w:rFonts w:ascii="Calibri" w:eastAsia="Times New Roman" w:hAnsi="Calibri" w:cs="Calibri"/>
                <w:b/>
                <w:bCs/>
                <w:color w:val="000000"/>
              </w:rPr>
              <w:t>15 to &lt;31</w:t>
            </w:r>
          </w:p>
        </w:tc>
      </w:tr>
      <w:tr w:rsidR="00147145" w:rsidRPr="003B3E17" w14:paraId="61F74622" w14:textId="77777777" w:rsidTr="00147145">
        <w:trPr>
          <w:trHeight w:val="300"/>
        </w:trPr>
        <w:tc>
          <w:tcPr>
            <w:tcW w:w="960" w:type="dxa"/>
            <w:tcBorders>
              <w:top w:val="double" w:sz="6" w:space="0" w:color="auto"/>
              <w:bottom w:val="nil"/>
              <w:right w:val="single" w:sz="4" w:space="0" w:color="auto"/>
            </w:tcBorders>
          </w:tcPr>
          <w:p w14:paraId="548D24C0" w14:textId="23826BAA" w:rsidR="00147145" w:rsidRDefault="000871B0" w:rsidP="00147145">
            <w:pPr>
              <w:spacing w:after="0" w:line="240" w:lineRule="auto"/>
              <w:jc w:val="center"/>
              <w:rPr>
                <w:rFonts w:ascii="Calibri" w:eastAsia="Times New Roman" w:hAnsi="Calibri" w:cs="Calibri"/>
                <w:color w:val="000000"/>
              </w:rPr>
            </w:pPr>
            <w:proofErr w:type="spellStart"/>
            <w:r>
              <w:rPr>
                <w:rFonts w:ascii="Calibri" w:eastAsia="Times New Roman" w:hAnsi="Calibri" w:cs="Calibri"/>
                <w:color w:val="000000"/>
              </w:rPr>
              <w:t>c</w:t>
            </w:r>
            <w:r w:rsidR="00147145">
              <w:rPr>
                <w:rFonts w:ascii="Calibri" w:eastAsia="Times New Roman" w:hAnsi="Calibri" w:cs="Calibri"/>
                <w:color w:val="000000"/>
              </w:rPr>
              <w:t>SWAL</w:t>
            </w:r>
            <w:proofErr w:type="spellEnd"/>
          </w:p>
        </w:tc>
        <w:tc>
          <w:tcPr>
            <w:tcW w:w="960" w:type="dxa"/>
            <w:tcBorders>
              <w:top w:val="double" w:sz="6" w:space="0" w:color="auto"/>
              <w:left w:val="single" w:sz="4" w:space="0" w:color="auto"/>
              <w:bottom w:val="nil"/>
            </w:tcBorders>
            <w:shd w:val="clear" w:color="auto" w:fill="auto"/>
            <w:noWrap/>
            <w:vAlign w:val="bottom"/>
            <w:hideMark/>
          </w:tcPr>
          <w:p w14:paraId="21A2C300" w14:textId="44E65D11" w:rsidR="00147145" w:rsidRPr="003B3E17" w:rsidRDefault="00147145" w:rsidP="00147145">
            <w:pPr>
              <w:spacing w:after="0" w:line="240" w:lineRule="auto"/>
              <w:jc w:val="center"/>
              <w:rPr>
                <w:rFonts w:ascii="Calibri" w:eastAsia="Times New Roman" w:hAnsi="Calibri" w:cs="Calibri"/>
                <w:color w:val="000000"/>
              </w:rPr>
            </w:pPr>
            <w:r>
              <w:rPr>
                <w:rFonts w:ascii="Calibri" w:eastAsia="Times New Roman" w:hAnsi="Calibri" w:cs="Calibri"/>
                <w:color w:val="000000"/>
              </w:rPr>
              <w:t>38</w:t>
            </w:r>
          </w:p>
        </w:tc>
        <w:tc>
          <w:tcPr>
            <w:tcW w:w="960" w:type="dxa"/>
            <w:tcBorders>
              <w:top w:val="double" w:sz="6" w:space="0" w:color="auto"/>
              <w:bottom w:val="nil"/>
            </w:tcBorders>
            <w:shd w:val="clear" w:color="auto" w:fill="auto"/>
            <w:noWrap/>
            <w:vAlign w:val="bottom"/>
            <w:hideMark/>
          </w:tcPr>
          <w:p w14:paraId="7C1F9CC1" w14:textId="584A8B46" w:rsidR="00147145" w:rsidRPr="003B3E17" w:rsidRDefault="00147145" w:rsidP="00147145">
            <w:pPr>
              <w:spacing w:after="0" w:line="240" w:lineRule="auto"/>
              <w:jc w:val="center"/>
              <w:rPr>
                <w:rFonts w:ascii="Calibri" w:eastAsia="Times New Roman" w:hAnsi="Calibri" w:cs="Calibri"/>
                <w:color w:val="000000"/>
              </w:rPr>
            </w:pPr>
            <w:r>
              <w:rPr>
                <w:rFonts w:ascii="Calibri" w:eastAsia="Times New Roman" w:hAnsi="Calibri" w:cs="Calibri"/>
                <w:color w:val="000000"/>
              </w:rPr>
              <w:t>89</w:t>
            </w:r>
          </w:p>
        </w:tc>
        <w:tc>
          <w:tcPr>
            <w:tcW w:w="1170" w:type="dxa"/>
            <w:tcBorders>
              <w:top w:val="double" w:sz="6" w:space="0" w:color="auto"/>
              <w:bottom w:val="nil"/>
            </w:tcBorders>
            <w:shd w:val="clear" w:color="auto" w:fill="auto"/>
            <w:noWrap/>
            <w:vAlign w:val="bottom"/>
            <w:hideMark/>
          </w:tcPr>
          <w:p w14:paraId="63CD9C6F" w14:textId="39986A7D" w:rsidR="00147145" w:rsidRPr="003B3E17" w:rsidRDefault="00147145" w:rsidP="00147145">
            <w:pPr>
              <w:spacing w:after="0" w:line="240" w:lineRule="auto"/>
              <w:jc w:val="center"/>
              <w:rPr>
                <w:rFonts w:ascii="Calibri" w:eastAsia="Times New Roman" w:hAnsi="Calibri" w:cs="Calibri"/>
                <w:color w:val="000000"/>
              </w:rPr>
            </w:pPr>
            <w:r>
              <w:rPr>
                <w:rFonts w:ascii="Calibri" w:eastAsia="Times New Roman" w:hAnsi="Calibri" w:cs="Calibri"/>
                <w:color w:val="000000"/>
              </w:rPr>
              <w:t>132</w:t>
            </w:r>
          </w:p>
        </w:tc>
      </w:tr>
      <w:tr w:rsidR="00147145" w:rsidRPr="003B3E17" w14:paraId="53C5EB3C" w14:textId="77777777" w:rsidTr="00147145">
        <w:trPr>
          <w:trHeight w:val="300"/>
        </w:trPr>
        <w:tc>
          <w:tcPr>
            <w:tcW w:w="960" w:type="dxa"/>
            <w:tcBorders>
              <w:top w:val="nil"/>
              <w:bottom w:val="single" w:sz="4" w:space="0" w:color="auto"/>
              <w:right w:val="single" w:sz="4" w:space="0" w:color="auto"/>
            </w:tcBorders>
          </w:tcPr>
          <w:p w14:paraId="0C959DAE" w14:textId="3DB330B0" w:rsidR="00147145" w:rsidRDefault="000871B0" w:rsidP="00147145">
            <w:pPr>
              <w:spacing w:after="0" w:line="240" w:lineRule="auto"/>
              <w:jc w:val="center"/>
              <w:rPr>
                <w:rFonts w:ascii="Calibri" w:eastAsia="Times New Roman" w:hAnsi="Calibri" w:cs="Calibri"/>
                <w:color w:val="000000"/>
              </w:rPr>
            </w:pPr>
            <w:proofErr w:type="spellStart"/>
            <w:r>
              <w:rPr>
                <w:rFonts w:ascii="Calibri" w:eastAsia="Times New Roman" w:hAnsi="Calibri" w:cs="Calibri"/>
                <w:color w:val="000000"/>
              </w:rPr>
              <w:t>c</w:t>
            </w:r>
            <w:r w:rsidR="00147145">
              <w:rPr>
                <w:rFonts w:ascii="Calibri" w:eastAsia="Times New Roman" w:hAnsi="Calibri" w:cs="Calibri"/>
                <w:color w:val="000000"/>
              </w:rPr>
              <w:t>PBAL</w:t>
            </w:r>
            <w:proofErr w:type="spellEnd"/>
          </w:p>
        </w:tc>
        <w:tc>
          <w:tcPr>
            <w:tcW w:w="960" w:type="dxa"/>
            <w:tcBorders>
              <w:top w:val="nil"/>
              <w:left w:val="single" w:sz="4" w:space="0" w:color="auto"/>
              <w:bottom w:val="single" w:sz="4" w:space="0" w:color="auto"/>
            </w:tcBorders>
            <w:shd w:val="clear" w:color="auto" w:fill="auto"/>
            <w:noWrap/>
            <w:vAlign w:val="bottom"/>
          </w:tcPr>
          <w:p w14:paraId="62CECA37" w14:textId="5B386EFA" w:rsidR="00147145" w:rsidRDefault="00E75207" w:rsidP="00147145">
            <w:pPr>
              <w:spacing w:after="0" w:line="240" w:lineRule="auto"/>
              <w:jc w:val="center"/>
              <w:rPr>
                <w:rFonts w:ascii="Calibri" w:eastAsia="Times New Roman" w:hAnsi="Calibri" w:cs="Calibri"/>
                <w:color w:val="000000"/>
              </w:rPr>
            </w:pPr>
            <w:r>
              <w:rPr>
                <w:rFonts w:ascii="Calibri" w:eastAsia="Times New Roman" w:hAnsi="Calibri" w:cs="Calibri"/>
                <w:color w:val="000000"/>
              </w:rPr>
              <w:t>410</w:t>
            </w:r>
          </w:p>
        </w:tc>
        <w:tc>
          <w:tcPr>
            <w:tcW w:w="960" w:type="dxa"/>
            <w:tcBorders>
              <w:top w:val="nil"/>
              <w:bottom w:val="single" w:sz="4" w:space="0" w:color="auto"/>
            </w:tcBorders>
            <w:shd w:val="clear" w:color="auto" w:fill="auto"/>
            <w:noWrap/>
            <w:vAlign w:val="bottom"/>
          </w:tcPr>
          <w:p w14:paraId="32308E0D" w14:textId="33A9BC49" w:rsidR="00147145" w:rsidRDefault="00E75207" w:rsidP="00147145">
            <w:pPr>
              <w:spacing w:after="0" w:line="240" w:lineRule="auto"/>
              <w:jc w:val="center"/>
              <w:rPr>
                <w:rFonts w:ascii="Calibri" w:eastAsia="Times New Roman" w:hAnsi="Calibri" w:cs="Calibri"/>
                <w:color w:val="000000"/>
              </w:rPr>
            </w:pPr>
            <w:r>
              <w:rPr>
                <w:rFonts w:ascii="Calibri" w:eastAsia="Times New Roman" w:hAnsi="Calibri" w:cs="Calibri"/>
                <w:color w:val="000000"/>
              </w:rPr>
              <w:t>965</w:t>
            </w:r>
          </w:p>
        </w:tc>
        <w:tc>
          <w:tcPr>
            <w:tcW w:w="1170" w:type="dxa"/>
            <w:tcBorders>
              <w:top w:val="nil"/>
              <w:bottom w:val="single" w:sz="4" w:space="0" w:color="auto"/>
            </w:tcBorders>
            <w:shd w:val="clear" w:color="auto" w:fill="auto"/>
            <w:noWrap/>
            <w:vAlign w:val="bottom"/>
          </w:tcPr>
          <w:p w14:paraId="0BC65C0C" w14:textId="38C283A8" w:rsidR="00147145" w:rsidRDefault="00E75207" w:rsidP="00147145">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C1D5E">
              <w:rPr>
                <w:rFonts w:ascii="Calibri" w:eastAsia="Times New Roman" w:hAnsi="Calibri" w:cs="Calibri"/>
                <w:color w:val="000000"/>
              </w:rPr>
              <w:t>,</w:t>
            </w:r>
            <w:r>
              <w:rPr>
                <w:rFonts w:ascii="Calibri" w:eastAsia="Times New Roman" w:hAnsi="Calibri" w:cs="Calibri"/>
                <w:color w:val="000000"/>
              </w:rPr>
              <w:t>415</w:t>
            </w:r>
          </w:p>
        </w:tc>
      </w:tr>
    </w:tbl>
    <w:p w14:paraId="718C16E0" w14:textId="78D7EA3C" w:rsidR="003B3E17" w:rsidRDefault="003B3E17" w:rsidP="00E05B96">
      <w:pPr>
        <w:spacing w:after="0" w:line="240" w:lineRule="auto"/>
        <w:rPr>
          <w:rFonts w:cs="Arial"/>
          <w:sz w:val="24"/>
          <w:szCs w:val="24"/>
        </w:rPr>
      </w:pPr>
    </w:p>
    <w:p w14:paraId="270AF684" w14:textId="77777777" w:rsidR="00FD553E" w:rsidRDefault="00FD553E">
      <w:pPr>
        <w:rPr>
          <w:b/>
          <w:bCs/>
          <w:sz w:val="28"/>
          <w:szCs w:val="28"/>
        </w:rPr>
      </w:pPr>
      <w:r>
        <w:rPr>
          <w:b/>
          <w:bCs/>
          <w:sz w:val="28"/>
          <w:szCs w:val="28"/>
        </w:rPr>
        <w:br w:type="page"/>
      </w:r>
    </w:p>
    <w:p w14:paraId="7A37BBF2" w14:textId="4AD38F0D" w:rsidR="00FA6918" w:rsidRPr="00FA6918" w:rsidRDefault="00FA6918" w:rsidP="00FA6918">
      <w:pPr>
        <w:rPr>
          <w:b/>
          <w:bCs/>
          <w:sz w:val="32"/>
          <w:szCs w:val="32"/>
        </w:rPr>
      </w:pPr>
      <w:r>
        <w:rPr>
          <w:b/>
          <w:bCs/>
          <w:sz w:val="32"/>
          <w:szCs w:val="32"/>
        </w:rPr>
        <w:lastRenderedPageBreak/>
        <w:t xml:space="preserve">APPENDIX A - </w:t>
      </w:r>
      <w:r w:rsidRPr="00FA6918">
        <w:rPr>
          <w:b/>
          <w:bCs/>
          <w:sz w:val="32"/>
          <w:szCs w:val="32"/>
        </w:rPr>
        <w:t>REFERENCES</w:t>
      </w:r>
    </w:p>
    <w:p w14:paraId="0E500CC6" w14:textId="0313636C" w:rsidR="00975173" w:rsidRPr="00C66995" w:rsidRDefault="00975173" w:rsidP="009916DF">
      <w:pPr>
        <w:spacing w:after="0" w:line="240" w:lineRule="auto"/>
        <w:rPr>
          <w:rFonts w:cstheme="minorHAnsi"/>
          <w:sz w:val="24"/>
          <w:szCs w:val="24"/>
        </w:rPr>
      </w:pPr>
      <w:r w:rsidRPr="00C66995">
        <w:rPr>
          <w:rFonts w:cstheme="minorHAnsi"/>
          <w:sz w:val="24"/>
          <w:szCs w:val="24"/>
        </w:rPr>
        <w:t>Agency for Toxic Substances and Disease Registry (ATSDR). 2016a. Exposure Dose Guidance for Determining Life Expectancy and Exposure Factor. Atlanta, GA: U.S. Department of Health and Human Services, Public Health Service, October 26</w:t>
      </w:r>
      <w:r w:rsidR="00F571F3">
        <w:rPr>
          <w:rFonts w:cstheme="minorHAnsi"/>
          <w:sz w:val="24"/>
          <w:szCs w:val="24"/>
        </w:rPr>
        <w:t>.</w:t>
      </w:r>
      <w:r w:rsidRPr="00C66995">
        <w:rPr>
          <w:rFonts w:cstheme="minorHAnsi"/>
          <w:sz w:val="24"/>
          <w:szCs w:val="24"/>
        </w:rPr>
        <w:t xml:space="preserve"> </w:t>
      </w:r>
    </w:p>
    <w:p w14:paraId="49C85E89" w14:textId="77777777" w:rsidR="000D3483" w:rsidRPr="00C66995" w:rsidRDefault="000D3483" w:rsidP="009916DF">
      <w:pPr>
        <w:spacing w:after="0" w:line="240" w:lineRule="auto"/>
        <w:rPr>
          <w:rFonts w:cstheme="minorHAnsi"/>
          <w:sz w:val="24"/>
          <w:szCs w:val="24"/>
        </w:rPr>
      </w:pPr>
    </w:p>
    <w:p w14:paraId="1EC8B15D" w14:textId="1E752E6D" w:rsidR="006D2D97" w:rsidRPr="00C66995" w:rsidRDefault="006D2D97" w:rsidP="009916DF">
      <w:pPr>
        <w:spacing w:after="0" w:line="240" w:lineRule="auto"/>
        <w:rPr>
          <w:rFonts w:cstheme="minorHAnsi"/>
          <w:sz w:val="24"/>
          <w:szCs w:val="24"/>
        </w:rPr>
      </w:pPr>
      <w:r w:rsidRPr="00C66995">
        <w:rPr>
          <w:rFonts w:cstheme="minorHAnsi"/>
          <w:sz w:val="24"/>
          <w:szCs w:val="24"/>
        </w:rPr>
        <w:t>Agency for Toxic Substances and Disease Registry (ATSDR). 2016b. Exposure Dose Guidance for Body Weight. Atlanta, GA: U.S. Department of Health and Human Services, Public Health Service, October 26</w:t>
      </w:r>
      <w:r w:rsidR="00F571F3">
        <w:rPr>
          <w:rFonts w:cstheme="minorHAnsi"/>
          <w:sz w:val="24"/>
          <w:szCs w:val="24"/>
        </w:rPr>
        <w:t>.</w:t>
      </w:r>
      <w:r w:rsidRPr="00C66995">
        <w:rPr>
          <w:rFonts w:cstheme="minorHAnsi"/>
          <w:sz w:val="24"/>
          <w:szCs w:val="24"/>
        </w:rPr>
        <w:t xml:space="preserve"> </w:t>
      </w:r>
    </w:p>
    <w:p w14:paraId="36F0E534" w14:textId="025750B8" w:rsidR="000D3483" w:rsidRPr="00C66995" w:rsidRDefault="000D3483" w:rsidP="009916DF">
      <w:pPr>
        <w:spacing w:after="0" w:line="240" w:lineRule="auto"/>
        <w:rPr>
          <w:rFonts w:cstheme="minorHAnsi"/>
          <w:sz w:val="24"/>
          <w:szCs w:val="24"/>
        </w:rPr>
      </w:pPr>
    </w:p>
    <w:p w14:paraId="186AB6A5" w14:textId="3AE9121E" w:rsidR="0012214A" w:rsidRPr="00C66995" w:rsidRDefault="0012214A" w:rsidP="009916DF">
      <w:pPr>
        <w:spacing w:after="0" w:line="240" w:lineRule="auto"/>
        <w:rPr>
          <w:rFonts w:cstheme="minorHAnsi"/>
          <w:sz w:val="24"/>
          <w:szCs w:val="24"/>
        </w:rPr>
      </w:pPr>
      <w:r w:rsidRPr="00C66995">
        <w:rPr>
          <w:rFonts w:cstheme="minorHAnsi"/>
          <w:sz w:val="24"/>
          <w:szCs w:val="24"/>
        </w:rPr>
        <w:t xml:space="preserve">Agency for Toxic Substances and Disease Registry (ATSDR). 2021. </w:t>
      </w:r>
      <w:r w:rsidR="00755603" w:rsidRPr="00C66995">
        <w:rPr>
          <w:rFonts w:cstheme="minorHAnsi"/>
          <w:sz w:val="24"/>
          <w:szCs w:val="24"/>
        </w:rPr>
        <w:t>Toxicological Profile for Perfluoroalkyls. May.</w:t>
      </w:r>
    </w:p>
    <w:p w14:paraId="1ACE6796" w14:textId="6FE9BFC4" w:rsidR="0012214A" w:rsidRPr="00C66995" w:rsidRDefault="0012214A" w:rsidP="009916DF">
      <w:pPr>
        <w:spacing w:after="0" w:line="240" w:lineRule="auto"/>
        <w:rPr>
          <w:rFonts w:cstheme="minorHAnsi"/>
          <w:sz w:val="24"/>
          <w:szCs w:val="24"/>
        </w:rPr>
      </w:pPr>
    </w:p>
    <w:p w14:paraId="31FD2407" w14:textId="106CF863" w:rsidR="004C6B3C" w:rsidRDefault="00C66995" w:rsidP="009916DF">
      <w:pPr>
        <w:spacing w:after="0" w:line="240" w:lineRule="auto"/>
        <w:rPr>
          <w:rStyle w:val="eop"/>
          <w:rFonts w:ascii="Calibri" w:hAnsi="Calibri" w:cs="Calibri"/>
          <w:color w:val="000000"/>
          <w:sz w:val="24"/>
          <w:szCs w:val="24"/>
          <w:shd w:val="clear" w:color="auto" w:fill="FFFFFF"/>
        </w:rPr>
      </w:pPr>
      <w:r w:rsidRPr="00C66995">
        <w:rPr>
          <w:rStyle w:val="normaltextrun"/>
          <w:rFonts w:ascii="Calibri" w:hAnsi="Calibri" w:cs="Calibri"/>
          <w:color w:val="000000"/>
          <w:sz w:val="24"/>
          <w:szCs w:val="24"/>
          <w:shd w:val="clear" w:color="auto" w:fill="FFFFFF"/>
        </w:rPr>
        <w:t>U</w:t>
      </w:r>
      <w:r w:rsidR="00C1660C">
        <w:rPr>
          <w:rStyle w:val="normaltextrun"/>
          <w:rFonts w:ascii="Calibri" w:hAnsi="Calibri" w:cs="Calibri"/>
          <w:color w:val="000000"/>
          <w:sz w:val="24"/>
          <w:szCs w:val="24"/>
          <w:shd w:val="clear" w:color="auto" w:fill="FFFFFF"/>
        </w:rPr>
        <w:t>.</w:t>
      </w:r>
      <w:r w:rsidRPr="00C66995">
        <w:rPr>
          <w:rStyle w:val="normaltextrun"/>
          <w:rFonts w:ascii="Calibri" w:hAnsi="Calibri" w:cs="Calibri"/>
          <w:color w:val="000000"/>
          <w:sz w:val="24"/>
          <w:szCs w:val="24"/>
          <w:shd w:val="clear" w:color="auto" w:fill="FFFFFF"/>
        </w:rPr>
        <w:t>S</w:t>
      </w:r>
      <w:r w:rsidR="00C1660C">
        <w:rPr>
          <w:rStyle w:val="normaltextrun"/>
          <w:rFonts w:ascii="Calibri" w:hAnsi="Calibri" w:cs="Calibri"/>
          <w:color w:val="000000"/>
          <w:sz w:val="24"/>
          <w:szCs w:val="24"/>
          <w:shd w:val="clear" w:color="auto" w:fill="FFFFFF"/>
        </w:rPr>
        <w:t>.</w:t>
      </w:r>
      <w:r w:rsidRPr="00C66995">
        <w:rPr>
          <w:rStyle w:val="normaltextrun"/>
          <w:rFonts w:ascii="Calibri" w:hAnsi="Calibri" w:cs="Calibri"/>
          <w:color w:val="000000"/>
          <w:sz w:val="24"/>
          <w:szCs w:val="24"/>
          <w:shd w:val="clear" w:color="auto" w:fill="FFFFFF"/>
        </w:rPr>
        <w:t xml:space="preserve"> Center</w:t>
      </w:r>
      <w:r w:rsidR="00C1660C">
        <w:rPr>
          <w:rStyle w:val="normaltextrun"/>
          <w:rFonts w:ascii="Calibri" w:hAnsi="Calibri" w:cs="Calibri"/>
          <w:color w:val="000000"/>
          <w:sz w:val="24"/>
          <w:szCs w:val="24"/>
          <w:shd w:val="clear" w:color="auto" w:fill="FFFFFF"/>
        </w:rPr>
        <w:t>s</w:t>
      </w:r>
      <w:r w:rsidRPr="00C66995">
        <w:rPr>
          <w:rStyle w:val="normaltextrun"/>
          <w:rFonts w:ascii="Calibri" w:hAnsi="Calibri" w:cs="Calibri"/>
          <w:color w:val="000000"/>
          <w:sz w:val="24"/>
          <w:szCs w:val="24"/>
          <w:shd w:val="clear" w:color="auto" w:fill="FFFFFF"/>
        </w:rPr>
        <w:t xml:space="preserve"> for Disease Control and Prevention (CDC).</w:t>
      </w:r>
      <w:r w:rsidR="00000DD0" w:rsidRPr="00C66995">
        <w:rPr>
          <w:rStyle w:val="normaltextrun"/>
          <w:rFonts w:ascii="Calibri" w:hAnsi="Calibri" w:cs="Calibri"/>
          <w:color w:val="000000"/>
          <w:sz w:val="24"/>
          <w:szCs w:val="24"/>
          <w:shd w:val="clear" w:color="auto" w:fill="FFFFFF"/>
        </w:rPr>
        <w:t xml:space="preserve"> 2022</w:t>
      </w:r>
      <w:r w:rsidR="004C6B3C">
        <w:rPr>
          <w:rStyle w:val="normaltextrun"/>
          <w:rFonts w:ascii="Calibri" w:hAnsi="Calibri" w:cs="Calibri"/>
          <w:color w:val="000000"/>
          <w:sz w:val="24"/>
          <w:szCs w:val="24"/>
          <w:shd w:val="clear" w:color="auto" w:fill="FFFFFF"/>
        </w:rPr>
        <w:t>a</w:t>
      </w:r>
      <w:r w:rsidRPr="00C66995">
        <w:rPr>
          <w:rStyle w:val="normaltextrun"/>
          <w:rFonts w:ascii="Calibri" w:hAnsi="Calibri" w:cs="Calibri"/>
          <w:color w:val="000000"/>
          <w:sz w:val="24"/>
          <w:szCs w:val="24"/>
          <w:shd w:val="clear" w:color="auto" w:fill="FFFFFF"/>
        </w:rPr>
        <w:t>.</w:t>
      </w:r>
      <w:r w:rsidR="00000DD0" w:rsidRPr="00C66995">
        <w:rPr>
          <w:rStyle w:val="normaltextrun"/>
          <w:rFonts w:ascii="Calibri" w:hAnsi="Calibri" w:cs="Calibri"/>
          <w:color w:val="000000"/>
          <w:sz w:val="24"/>
          <w:szCs w:val="24"/>
          <w:shd w:val="clear" w:color="auto" w:fill="FFFFFF"/>
        </w:rPr>
        <w:t xml:space="preserve"> Biomonitoring Tables </w:t>
      </w:r>
      <w:hyperlink r:id="rId42" w:tgtFrame="_blank" w:history="1">
        <w:r w:rsidR="00000DD0" w:rsidRPr="00C66995">
          <w:rPr>
            <w:rStyle w:val="normaltextrun"/>
            <w:rFonts w:ascii="Calibri" w:hAnsi="Calibri" w:cs="Calibri"/>
            <w:color w:val="0000FF"/>
            <w:sz w:val="24"/>
            <w:szCs w:val="24"/>
            <w:u w:val="single"/>
            <w:shd w:val="clear" w:color="auto" w:fill="FFFFFF"/>
          </w:rPr>
          <w:t>https://www.cdc.gov/exposurereport/report/pdf/Perfluoroalkyl%20and%20Polyfluoroalkyl%20Substances%20--%20Surfactants%20NHANES-p.pdf</w:t>
        </w:r>
      </w:hyperlink>
      <w:r w:rsidR="00000DD0" w:rsidRPr="00C66995">
        <w:rPr>
          <w:rStyle w:val="eop"/>
          <w:rFonts w:ascii="Calibri" w:hAnsi="Calibri" w:cs="Calibri"/>
          <w:color w:val="000000"/>
          <w:sz w:val="24"/>
          <w:szCs w:val="24"/>
          <w:shd w:val="clear" w:color="auto" w:fill="FFFFFF"/>
        </w:rPr>
        <w:t> </w:t>
      </w:r>
    </w:p>
    <w:p w14:paraId="0E0B92E9" w14:textId="77777777" w:rsidR="004C6B3C" w:rsidRDefault="004C6B3C" w:rsidP="009916DF">
      <w:pPr>
        <w:spacing w:after="0" w:line="240" w:lineRule="auto"/>
        <w:rPr>
          <w:rStyle w:val="eop"/>
          <w:rFonts w:ascii="Calibri" w:hAnsi="Calibri" w:cs="Calibri"/>
          <w:color w:val="000000"/>
          <w:sz w:val="24"/>
          <w:szCs w:val="24"/>
          <w:shd w:val="clear" w:color="auto" w:fill="FFFFFF"/>
        </w:rPr>
      </w:pPr>
    </w:p>
    <w:p w14:paraId="4B3FB04D" w14:textId="10A000D3" w:rsidR="004C6B3C" w:rsidRPr="004C6B3C" w:rsidRDefault="004C6B3C" w:rsidP="009916DF">
      <w:pPr>
        <w:spacing w:after="0" w:line="240" w:lineRule="auto"/>
        <w:rPr>
          <w:rStyle w:val="eop"/>
          <w:rFonts w:ascii="Calibri" w:hAnsi="Calibri" w:cs="Calibri"/>
          <w:color w:val="000000"/>
          <w:sz w:val="24"/>
          <w:szCs w:val="24"/>
          <w:shd w:val="clear" w:color="auto" w:fill="FFFFFF"/>
        </w:rPr>
      </w:pPr>
      <w:r w:rsidRPr="00C66995">
        <w:rPr>
          <w:rStyle w:val="normaltextrun"/>
          <w:rFonts w:ascii="Calibri" w:hAnsi="Calibri" w:cs="Calibri"/>
          <w:color w:val="000000"/>
          <w:sz w:val="24"/>
          <w:szCs w:val="24"/>
          <w:shd w:val="clear" w:color="auto" w:fill="FFFFFF"/>
        </w:rPr>
        <w:t>U</w:t>
      </w:r>
      <w:r>
        <w:rPr>
          <w:rStyle w:val="normaltextrun"/>
          <w:rFonts w:ascii="Calibri" w:hAnsi="Calibri" w:cs="Calibri"/>
          <w:color w:val="000000"/>
          <w:sz w:val="24"/>
          <w:szCs w:val="24"/>
          <w:shd w:val="clear" w:color="auto" w:fill="FFFFFF"/>
        </w:rPr>
        <w:t>.</w:t>
      </w:r>
      <w:r w:rsidRPr="00C66995">
        <w:rPr>
          <w:rStyle w:val="normaltextrun"/>
          <w:rFonts w:ascii="Calibri" w:hAnsi="Calibri" w:cs="Calibri"/>
          <w:color w:val="000000"/>
          <w:sz w:val="24"/>
          <w:szCs w:val="24"/>
          <w:shd w:val="clear" w:color="auto" w:fill="FFFFFF"/>
        </w:rPr>
        <w:t>S</w:t>
      </w:r>
      <w:r>
        <w:rPr>
          <w:rStyle w:val="normaltextrun"/>
          <w:rFonts w:ascii="Calibri" w:hAnsi="Calibri" w:cs="Calibri"/>
          <w:color w:val="000000"/>
          <w:sz w:val="24"/>
          <w:szCs w:val="24"/>
          <w:shd w:val="clear" w:color="auto" w:fill="FFFFFF"/>
        </w:rPr>
        <w:t>.</w:t>
      </w:r>
      <w:r w:rsidRPr="00C66995">
        <w:rPr>
          <w:rStyle w:val="normaltextrun"/>
          <w:rFonts w:ascii="Calibri" w:hAnsi="Calibri" w:cs="Calibri"/>
          <w:color w:val="000000"/>
          <w:sz w:val="24"/>
          <w:szCs w:val="24"/>
          <w:shd w:val="clear" w:color="auto" w:fill="FFFFFF"/>
        </w:rPr>
        <w:t xml:space="preserve"> Center</w:t>
      </w:r>
      <w:r>
        <w:rPr>
          <w:rStyle w:val="normaltextrun"/>
          <w:rFonts w:ascii="Calibri" w:hAnsi="Calibri" w:cs="Calibri"/>
          <w:color w:val="000000"/>
          <w:sz w:val="24"/>
          <w:szCs w:val="24"/>
          <w:shd w:val="clear" w:color="auto" w:fill="FFFFFF"/>
        </w:rPr>
        <w:t>s</w:t>
      </w:r>
      <w:r w:rsidRPr="00C66995">
        <w:rPr>
          <w:rStyle w:val="normaltextrun"/>
          <w:rFonts w:ascii="Calibri" w:hAnsi="Calibri" w:cs="Calibri"/>
          <w:color w:val="000000"/>
          <w:sz w:val="24"/>
          <w:szCs w:val="24"/>
          <w:shd w:val="clear" w:color="auto" w:fill="FFFFFF"/>
        </w:rPr>
        <w:t xml:space="preserve"> for Disease Control and Prevention (CDC). </w:t>
      </w:r>
      <w:r w:rsidRPr="004C6B3C">
        <w:rPr>
          <w:rStyle w:val="normaltextrun"/>
          <w:rFonts w:ascii="Calibri" w:hAnsi="Calibri" w:cs="Calibri"/>
          <w:color w:val="000000"/>
          <w:sz w:val="24"/>
          <w:szCs w:val="24"/>
          <w:shd w:val="clear" w:color="auto" w:fill="FFFFFF"/>
        </w:rPr>
        <w:t xml:space="preserve"> 2022b: Overview of the National Report on Human Exposure to Environmental Chemicals. </w:t>
      </w:r>
      <w:hyperlink r:id="rId43" w:tgtFrame="_blank" w:history="1">
        <w:r w:rsidRPr="004C6B3C">
          <w:rPr>
            <w:rStyle w:val="normaltextrun"/>
            <w:rFonts w:ascii="Calibri" w:hAnsi="Calibri" w:cs="Calibri"/>
            <w:color w:val="0000FF"/>
            <w:sz w:val="24"/>
            <w:szCs w:val="24"/>
            <w:u w:val="single"/>
            <w:shd w:val="clear" w:color="auto" w:fill="FFFFFF"/>
          </w:rPr>
          <w:t>Overview of the National Report on Human Exposure to Environmental Chemicals | CDC</w:t>
        </w:r>
      </w:hyperlink>
      <w:r w:rsidRPr="004C6B3C">
        <w:rPr>
          <w:rStyle w:val="eop"/>
          <w:rFonts w:ascii="Calibri" w:hAnsi="Calibri" w:cs="Calibri"/>
          <w:color w:val="000000"/>
          <w:sz w:val="24"/>
          <w:szCs w:val="24"/>
          <w:shd w:val="clear" w:color="auto" w:fill="FFFFFF"/>
        </w:rPr>
        <w:t> </w:t>
      </w:r>
    </w:p>
    <w:p w14:paraId="61C0A30D" w14:textId="77777777" w:rsidR="0012214A" w:rsidRPr="00C66995" w:rsidRDefault="0012214A" w:rsidP="009916DF">
      <w:pPr>
        <w:spacing w:after="0" w:line="240" w:lineRule="auto"/>
        <w:rPr>
          <w:rFonts w:cstheme="minorHAnsi"/>
          <w:sz w:val="24"/>
          <w:szCs w:val="24"/>
        </w:rPr>
      </w:pPr>
    </w:p>
    <w:p w14:paraId="4D4ECA4E" w14:textId="2384C11B" w:rsidR="008F636C" w:rsidRPr="00C66995" w:rsidRDefault="008F636C" w:rsidP="009916DF">
      <w:pPr>
        <w:spacing w:after="0" w:line="240" w:lineRule="auto"/>
        <w:rPr>
          <w:rFonts w:cstheme="minorHAnsi"/>
          <w:sz w:val="24"/>
          <w:szCs w:val="24"/>
        </w:rPr>
      </w:pPr>
      <w:r w:rsidRPr="00C66995">
        <w:rPr>
          <w:rFonts w:cstheme="minorHAnsi"/>
          <w:sz w:val="24"/>
          <w:szCs w:val="24"/>
        </w:rPr>
        <w:t xml:space="preserve">Dufour, AP, TD </w:t>
      </w:r>
      <w:proofErr w:type="spellStart"/>
      <w:r w:rsidRPr="00C66995">
        <w:rPr>
          <w:rFonts w:cstheme="minorHAnsi"/>
          <w:sz w:val="24"/>
          <w:szCs w:val="24"/>
        </w:rPr>
        <w:t>Beyhmer</w:t>
      </w:r>
      <w:proofErr w:type="spellEnd"/>
      <w:r w:rsidRPr="00C66995">
        <w:rPr>
          <w:rFonts w:cstheme="minorHAnsi"/>
          <w:sz w:val="24"/>
          <w:szCs w:val="24"/>
        </w:rPr>
        <w:t>, R Cantu, M Magnuson, LJ Wymer. 2017. Ingestion of swimming pool water by recreational swimmers. J Water Health. 15(3):429-437.</w:t>
      </w:r>
    </w:p>
    <w:p w14:paraId="69A2BEF6" w14:textId="77777777" w:rsidR="000D3483" w:rsidRPr="00C66995" w:rsidRDefault="000D3483" w:rsidP="009916DF">
      <w:pPr>
        <w:spacing w:after="0" w:line="240" w:lineRule="auto"/>
        <w:rPr>
          <w:rFonts w:cstheme="minorHAnsi"/>
          <w:sz w:val="24"/>
          <w:szCs w:val="24"/>
        </w:rPr>
      </w:pPr>
    </w:p>
    <w:p w14:paraId="553ED8DD" w14:textId="06449A75" w:rsidR="00932058" w:rsidRPr="00C66995" w:rsidRDefault="00932058" w:rsidP="009916DF">
      <w:pPr>
        <w:spacing w:after="0" w:line="240" w:lineRule="auto"/>
        <w:rPr>
          <w:rFonts w:cstheme="minorHAnsi"/>
          <w:sz w:val="24"/>
          <w:szCs w:val="24"/>
        </w:rPr>
      </w:pPr>
      <w:r w:rsidRPr="00C66995">
        <w:rPr>
          <w:rFonts w:cstheme="minorHAnsi"/>
          <w:sz w:val="24"/>
          <w:szCs w:val="24"/>
        </w:rPr>
        <w:t xml:space="preserve">Massachusetts Department of Environmental Protection (MassDEP). 2015. Residential Shortforms for Human Health Risk Assessment Under the MCP. </w:t>
      </w:r>
      <w:r w:rsidR="00E21588" w:rsidRPr="00C66995">
        <w:rPr>
          <w:rFonts w:cstheme="minorHAnsi"/>
          <w:sz w:val="24"/>
          <w:szCs w:val="24"/>
        </w:rPr>
        <w:t xml:space="preserve">Available online at: </w:t>
      </w:r>
      <w:hyperlink r:id="rId44" w:anchor="technical-updates---human-health-risk-assessment-" w:history="1">
        <w:r w:rsidRPr="00C66995">
          <w:rPr>
            <w:rStyle w:val="Hyperlink"/>
            <w:rFonts w:cstheme="minorHAnsi"/>
            <w:sz w:val="24"/>
            <w:szCs w:val="24"/>
          </w:rPr>
          <w:t>https://www.mass.gov/lists/risk-assessment-information#technical-updates---human-health-risk-assessment-</w:t>
        </w:r>
      </w:hyperlink>
    </w:p>
    <w:p w14:paraId="6339222A" w14:textId="77777777" w:rsidR="000D3483" w:rsidRPr="00C66995" w:rsidRDefault="000D3483" w:rsidP="009916DF">
      <w:pPr>
        <w:pStyle w:val="NormalWeb"/>
        <w:rPr>
          <w:rFonts w:asciiTheme="minorHAnsi" w:hAnsiTheme="minorHAnsi" w:cstheme="minorHAnsi"/>
          <w:color w:val="000000"/>
        </w:rPr>
      </w:pPr>
    </w:p>
    <w:p w14:paraId="1ECB2041" w14:textId="6979081D" w:rsidR="00577FC2" w:rsidRPr="00C66995" w:rsidRDefault="00577FC2" w:rsidP="009916DF">
      <w:pPr>
        <w:pStyle w:val="NormalWeb"/>
        <w:rPr>
          <w:rFonts w:asciiTheme="minorHAnsi" w:hAnsiTheme="minorHAnsi" w:cstheme="minorHAnsi"/>
          <w:color w:val="000000"/>
        </w:rPr>
      </w:pPr>
      <w:r w:rsidRPr="00C66995">
        <w:rPr>
          <w:rFonts w:asciiTheme="minorHAnsi" w:hAnsiTheme="minorHAnsi" w:cstheme="minorHAnsi"/>
          <w:color w:val="000000"/>
        </w:rPr>
        <w:t>Massachusetts Department of Environmental Protection (MassDEP). 2019. Technical Support Document, Per- and Polyfluoroalkyl Substances (PFAS): An Updated Subgroup Approach to Groundwater and Drinking Water Values. Office of Research and Standards. December 26.</w:t>
      </w:r>
    </w:p>
    <w:p w14:paraId="405E26E1" w14:textId="33116FCC" w:rsidR="000D3483" w:rsidRPr="00C66995" w:rsidRDefault="000D3483" w:rsidP="009916DF">
      <w:pPr>
        <w:spacing w:after="0" w:line="240" w:lineRule="auto"/>
        <w:rPr>
          <w:rFonts w:cstheme="minorHAnsi"/>
          <w:sz w:val="24"/>
          <w:szCs w:val="24"/>
        </w:rPr>
      </w:pPr>
    </w:p>
    <w:p w14:paraId="3EFAAB64" w14:textId="58535BFB" w:rsidR="00147145" w:rsidRPr="00C66995" w:rsidRDefault="00147145" w:rsidP="009916DF">
      <w:pPr>
        <w:spacing w:after="0" w:line="240" w:lineRule="auto"/>
        <w:rPr>
          <w:rFonts w:cstheme="minorHAnsi"/>
          <w:color w:val="000000"/>
          <w:sz w:val="24"/>
          <w:szCs w:val="24"/>
        </w:rPr>
      </w:pPr>
      <w:r w:rsidRPr="00C66995">
        <w:rPr>
          <w:rFonts w:cstheme="minorHAnsi"/>
          <w:color w:val="000000"/>
          <w:sz w:val="24"/>
          <w:szCs w:val="24"/>
        </w:rPr>
        <w:t xml:space="preserve">Massachusetts Department of Environmental Protection (MassDEP). 2022. </w:t>
      </w:r>
      <w:r w:rsidR="00EC4C98" w:rsidRPr="00C66995">
        <w:rPr>
          <w:rFonts w:cstheme="minorHAnsi"/>
          <w:color w:val="000000"/>
          <w:sz w:val="24"/>
          <w:szCs w:val="24"/>
        </w:rPr>
        <w:t>Drinking Water Standards and Guidelines</w:t>
      </w:r>
      <w:r w:rsidRPr="00C66995">
        <w:rPr>
          <w:rFonts w:cstheme="minorHAnsi"/>
          <w:color w:val="000000"/>
          <w:sz w:val="24"/>
          <w:szCs w:val="24"/>
        </w:rPr>
        <w:t>. Updated March 31, 2022.</w:t>
      </w:r>
    </w:p>
    <w:p w14:paraId="43C19EF6" w14:textId="5B6136B5" w:rsidR="00EC4C98" w:rsidRPr="00C66995" w:rsidRDefault="00EC4C98" w:rsidP="009916DF">
      <w:pPr>
        <w:spacing w:after="0" w:line="240" w:lineRule="auto"/>
        <w:rPr>
          <w:rFonts w:cstheme="minorHAnsi"/>
          <w:color w:val="000000"/>
          <w:sz w:val="24"/>
          <w:szCs w:val="24"/>
        </w:rPr>
      </w:pPr>
    </w:p>
    <w:p w14:paraId="3B43EB33" w14:textId="69660B1C" w:rsidR="00EC4C98" w:rsidRPr="00C66995" w:rsidRDefault="00EC4C98" w:rsidP="00EC4C98">
      <w:pPr>
        <w:spacing w:after="0" w:line="240" w:lineRule="auto"/>
        <w:rPr>
          <w:rFonts w:cstheme="minorHAnsi"/>
          <w:sz w:val="24"/>
          <w:szCs w:val="24"/>
        </w:rPr>
      </w:pPr>
      <w:r w:rsidRPr="00C66995">
        <w:rPr>
          <w:rFonts w:cstheme="minorHAnsi"/>
          <w:color w:val="000000"/>
          <w:sz w:val="24"/>
          <w:szCs w:val="24"/>
        </w:rPr>
        <w:t xml:space="preserve">Massachusetts Department of Environmental Protection (MassDEP). 2023. Frequently Asked Questions about the MassDEP Private Wells PFAS Sampling Program. Available online at: </w:t>
      </w:r>
      <w:hyperlink r:id="rId45" w:history="1">
        <w:r w:rsidRPr="00C66995">
          <w:rPr>
            <w:rStyle w:val="Hyperlink"/>
            <w:sz w:val="24"/>
            <w:szCs w:val="24"/>
          </w:rPr>
          <w:t>https://www.mass.gov/guides/drinking-water-standards-and-guidelines</w:t>
        </w:r>
      </w:hyperlink>
    </w:p>
    <w:p w14:paraId="76258B8D" w14:textId="77777777" w:rsidR="000D3483" w:rsidRPr="00C66995" w:rsidRDefault="000D3483" w:rsidP="009916DF">
      <w:pPr>
        <w:spacing w:after="0" w:line="240" w:lineRule="auto"/>
        <w:rPr>
          <w:rFonts w:cstheme="minorHAnsi"/>
          <w:sz w:val="24"/>
          <w:szCs w:val="24"/>
        </w:rPr>
      </w:pPr>
    </w:p>
    <w:p w14:paraId="06BA0816" w14:textId="27097125" w:rsidR="009D2BFC" w:rsidRPr="00C66995" w:rsidRDefault="009D2BFC" w:rsidP="009916DF">
      <w:pPr>
        <w:spacing w:after="0" w:line="240" w:lineRule="auto"/>
        <w:rPr>
          <w:rFonts w:cstheme="minorHAnsi"/>
          <w:sz w:val="24"/>
          <w:szCs w:val="24"/>
        </w:rPr>
      </w:pPr>
      <w:r w:rsidRPr="00C66995">
        <w:rPr>
          <w:rFonts w:cstheme="minorHAnsi"/>
          <w:sz w:val="24"/>
          <w:szCs w:val="24"/>
        </w:rPr>
        <w:t>U</w:t>
      </w:r>
      <w:r w:rsidR="00C1660C">
        <w:rPr>
          <w:rFonts w:cstheme="minorHAnsi"/>
          <w:sz w:val="24"/>
          <w:szCs w:val="24"/>
        </w:rPr>
        <w:t>.</w:t>
      </w:r>
      <w:r w:rsidRPr="00C66995">
        <w:rPr>
          <w:rFonts w:cstheme="minorHAnsi"/>
          <w:sz w:val="24"/>
          <w:szCs w:val="24"/>
        </w:rPr>
        <w:t>S</w:t>
      </w:r>
      <w:r w:rsidR="00C1660C">
        <w:rPr>
          <w:rFonts w:cstheme="minorHAnsi"/>
          <w:sz w:val="24"/>
          <w:szCs w:val="24"/>
        </w:rPr>
        <w:t>.</w:t>
      </w:r>
      <w:r w:rsidRPr="00C66995">
        <w:rPr>
          <w:rFonts w:cstheme="minorHAnsi"/>
          <w:sz w:val="24"/>
          <w:szCs w:val="24"/>
        </w:rPr>
        <w:t xml:space="preserve"> Environmental Protection Agency (US EPA). 1989. Risk Assessment Guidance for Superfund Volume I, Human Health Evaluation Manual (Part A), Interim Final. Office of Emergency and Remedial Response, Washington, DC. EPA/540/1-89/002. December. </w:t>
      </w:r>
    </w:p>
    <w:p w14:paraId="379F060D" w14:textId="77777777" w:rsidR="000D3483" w:rsidRPr="00C66995" w:rsidRDefault="000D3483" w:rsidP="009916DF">
      <w:pPr>
        <w:spacing w:after="0" w:line="240" w:lineRule="auto"/>
        <w:rPr>
          <w:rFonts w:cstheme="minorHAnsi"/>
          <w:sz w:val="24"/>
          <w:szCs w:val="24"/>
        </w:rPr>
      </w:pPr>
    </w:p>
    <w:p w14:paraId="72A9F8A0" w14:textId="6D476A45" w:rsidR="006D2D97" w:rsidRPr="00C66995" w:rsidRDefault="006D2D97" w:rsidP="00A86F2F">
      <w:pPr>
        <w:spacing w:after="120" w:line="240" w:lineRule="auto"/>
        <w:rPr>
          <w:rFonts w:cstheme="minorHAnsi"/>
          <w:sz w:val="24"/>
          <w:szCs w:val="24"/>
        </w:rPr>
      </w:pPr>
      <w:r w:rsidRPr="00C66995">
        <w:rPr>
          <w:rFonts w:cstheme="minorHAnsi"/>
          <w:sz w:val="24"/>
          <w:szCs w:val="24"/>
        </w:rPr>
        <w:t>U</w:t>
      </w:r>
      <w:r w:rsidR="00C1660C">
        <w:rPr>
          <w:rFonts w:cstheme="minorHAnsi"/>
          <w:sz w:val="24"/>
          <w:szCs w:val="24"/>
        </w:rPr>
        <w:t>.</w:t>
      </w:r>
      <w:r w:rsidRPr="00C66995">
        <w:rPr>
          <w:rFonts w:cstheme="minorHAnsi"/>
          <w:sz w:val="24"/>
          <w:szCs w:val="24"/>
        </w:rPr>
        <w:t>S</w:t>
      </w:r>
      <w:r w:rsidR="00C1660C">
        <w:rPr>
          <w:rFonts w:cstheme="minorHAnsi"/>
          <w:sz w:val="24"/>
          <w:szCs w:val="24"/>
        </w:rPr>
        <w:t>.</w:t>
      </w:r>
      <w:r w:rsidRPr="00C66995">
        <w:rPr>
          <w:rFonts w:cstheme="minorHAnsi"/>
          <w:sz w:val="24"/>
          <w:szCs w:val="24"/>
        </w:rPr>
        <w:t xml:space="preserve"> Environmental Protection Agency (US EPA). 1996. Descriptive Statistics Tables from a Detailed Analysis of the National Human Activity Pattern Survey (NHAPS) Data. Office of Research and Development, Washington, DC. EPA/600/R-96/148. July. </w:t>
      </w:r>
    </w:p>
    <w:p w14:paraId="09C3A461" w14:textId="3F81A9D5" w:rsidR="00577FC2" w:rsidRPr="00C66995" w:rsidRDefault="00577FC2" w:rsidP="009916DF">
      <w:pPr>
        <w:spacing w:after="0" w:line="240" w:lineRule="auto"/>
        <w:rPr>
          <w:rFonts w:cstheme="minorHAnsi"/>
          <w:sz w:val="24"/>
          <w:szCs w:val="24"/>
        </w:rPr>
      </w:pPr>
      <w:r w:rsidRPr="00C66995">
        <w:rPr>
          <w:rFonts w:cstheme="minorHAnsi"/>
          <w:sz w:val="24"/>
          <w:szCs w:val="24"/>
        </w:rPr>
        <w:lastRenderedPageBreak/>
        <w:t>U</w:t>
      </w:r>
      <w:r w:rsidR="00C1660C">
        <w:rPr>
          <w:rFonts w:cstheme="minorHAnsi"/>
          <w:sz w:val="24"/>
          <w:szCs w:val="24"/>
        </w:rPr>
        <w:t>.</w:t>
      </w:r>
      <w:r w:rsidRPr="00C66995">
        <w:rPr>
          <w:rFonts w:cstheme="minorHAnsi"/>
          <w:sz w:val="24"/>
          <w:szCs w:val="24"/>
        </w:rPr>
        <w:t>S</w:t>
      </w:r>
      <w:r w:rsidR="00C1660C">
        <w:rPr>
          <w:rFonts w:cstheme="minorHAnsi"/>
          <w:sz w:val="24"/>
          <w:szCs w:val="24"/>
        </w:rPr>
        <w:t>.</w:t>
      </w:r>
      <w:r w:rsidRPr="00C66995">
        <w:rPr>
          <w:rFonts w:cstheme="minorHAnsi"/>
          <w:sz w:val="24"/>
          <w:szCs w:val="24"/>
        </w:rPr>
        <w:t xml:space="preserve"> Environmental Protection Agency (US EPA). 2000. Methodology for Deriving Ambient Water Quality Criteria for the Protection of Human Health (2000). EPA-822-B-00-004. October</w:t>
      </w:r>
      <w:r w:rsidR="00E21588" w:rsidRPr="00C66995">
        <w:rPr>
          <w:rFonts w:cstheme="minorHAnsi"/>
          <w:sz w:val="24"/>
          <w:szCs w:val="24"/>
        </w:rPr>
        <w:t xml:space="preserve">. </w:t>
      </w:r>
      <w:r w:rsidR="004616F1" w:rsidRPr="00C66995">
        <w:rPr>
          <w:rFonts w:cstheme="minorHAnsi"/>
          <w:sz w:val="24"/>
          <w:szCs w:val="24"/>
        </w:rPr>
        <w:t>Available</w:t>
      </w:r>
      <w:r w:rsidRPr="00C66995">
        <w:rPr>
          <w:rFonts w:cstheme="minorHAnsi"/>
          <w:sz w:val="24"/>
          <w:szCs w:val="24"/>
        </w:rPr>
        <w:t xml:space="preserve"> online at</w:t>
      </w:r>
      <w:r w:rsidR="00E21588" w:rsidRPr="00C66995">
        <w:rPr>
          <w:rFonts w:cstheme="minorHAnsi"/>
          <w:sz w:val="24"/>
          <w:szCs w:val="24"/>
        </w:rPr>
        <w:t xml:space="preserve">: </w:t>
      </w:r>
      <w:hyperlink r:id="rId46" w:history="1">
        <w:r w:rsidR="00E21588" w:rsidRPr="00C66995">
          <w:rPr>
            <w:rStyle w:val="Hyperlink"/>
            <w:rFonts w:cstheme="minorHAnsi"/>
            <w:sz w:val="24"/>
            <w:szCs w:val="24"/>
          </w:rPr>
          <w:t>https://www.epa.gov/sites/production/files/2018-10/documents/methodology-wqc-protection-hh-2000.pdf</w:t>
        </w:r>
      </w:hyperlink>
    </w:p>
    <w:p w14:paraId="2FA111A6" w14:textId="77777777" w:rsidR="000D3483" w:rsidRPr="00C66995" w:rsidRDefault="000D3483" w:rsidP="009916DF">
      <w:pPr>
        <w:spacing w:after="0" w:line="240" w:lineRule="auto"/>
        <w:rPr>
          <w:rFonts w:cstheme="minorHAnsi"/>
          <w:sz w:val="24"/>
          <w:szCs w:val="24"/>
        </w:rPr>
      </w:pPr>
    </w:p>
    <w:p w14:paraId="2B2D5178" w14:textId="38504ADA" w:rsidR="006D2D97" w:rsidRPr="00C66995" w:rsidRDefault="006D2D97" w:rsidP="009916DF">
      <w:pPr>
        <w:spacing w:after="0" w:line="240" w:lineRule="auto"/>
        <w:rPr>
          <w:rFonts w:cstheme="minorHAnsi"/>
          <w:sz w:val="24"/>
          <w:szCs w:val="24"/>
        </w:rPr>
      </w:pPr>
      <w:r w:rsidRPr="00C66995">
        <w:rPr>
          <w:rFonts w:cstheme="minorHAnsi"/>
          <w:sz w:val="24"/>
          <w:szCs w:val="24"/>
        </w:rPr>
        <w:t>U</w:t>
      </w:r>
      <w:r w:rsidR="00C1660C">
        <w:rPr>
          <w:rFonts w:cstheme="minorHAnsi"/>
          <w:sz w:val="24"/>
          <w:szCs w:val="24"/>
        </w:rPr>
        <w:t>.</w:t>
      </w:r>
      <w:r w:rsidRPr="00C66995">
        <w:rPr>
          <w:rFonts w:cstheme="minorHAnsi"/>
          <w:sz w:val="24"/>
          <w:szCs w:val="24"/>
        </w:rPr>
        <w:t>S</w:t>
      </w:r>
      <w:r w:rsidR="00C1660C">
        <w:rPr>
          <w:rFonts w:cstheme="minorHAnsi"/>
          <w:sz w:val="24"/>
          <w:szCs w:val="24"/>
        </w:rPr>
        <w:t>.</w:t>
      </w:r>
      <w:r w:rsidRPr="00C66995">
        <w:rPr>
          <w:rFonts w:cstheme="minorHAnsi"/>
          <w:sz w:val="24"/>
          <w:szCs w:val="24"/>
        </w:rPr>
        <w:t xml:space="preserve"> Environmental Protection Agency (US EPA). 2011. Exposure Factors Handbook: 2011 Final. Washington DC. National Center for Environmental Assessment, Washington, DC. EPA/600/R-090/052A. Available online at</w:t>
      </w:r>
      <w:r w:rsidR="00E21588" w:rsidRPr="00C66995">
        <w:rPr>
          <w:rFonts w:cstheme="minorHAnsi"/>
          <w:sz w:val="24"/>
          <w:szCs w:val="24"/>
        </w:rPr>
        <w:t>:</w:t>
      </w:r>
      <w:r w:rsidRPr="00C66995">
        <w:rPr>
          <w:rFonts w:cstheme="minorHAnsi"/>
          <w:sz w:val="24"/>
          <w:szCs w:val="24"/>
        </w:rPr>
        <w:t xml:space="preserve"> </w:t>
      </w:r>
      <w:hyperlink r:id="rId47" w:history="1">
        <w:r w:rsidRPr="00C66995">
          <w:rPr>
            <w:rStyle w:val="Hyperlink"/>
            <w:rFonts w:cstheme="minorHAnsi"/>
            <w:sz w:val="24"/>
            <w:szCs w:val="24"/>
          </w:rPr>
          <w:t>https://cfpub.epa.gov/ncea/risk/recordisplay.cfm?deid=236252</w:t>
        </w:r>
      </w:hyperlink>
      <w:r w:rsidRPr="00C66995">
        <w:rPr>
          <w:rFonts w:cstheme="minorHAnsi"/>
          <w:sz w:val="24"/>
          <w:szCs w:val="24"/>
        </w:rPr>
        <w:t xml:space="preserve"> </w:t>
      </w:r>
    </w:p>
    <w:p w14:paraId="0DD0FA5A" w14:textId="77777777" w:rsidR="000D3483" w:rsidRPr="00C66995" w:rsidRDefault="000D3483" w:rsidP="009916DF">
      <w:pPr>
        <w:pStyle w:val="NormalWeb"/>
        <w:rPr>
          <w:rFonts w:asciiTheme="minorHAnsi" w:hAnsiTheme="minorHAnsi" w:cstheme="minorHAnsi"/>
          <w:color w:val="000000"/>
        </w:rPr>
      </w:pPr>
    </w:p>
    <w:p w14:paraId="44757A2A" w14:textId="58B1AEE2" w:rsidR="00A62D4C" w:rsidRPr="00C66995" w:rsidRDefault="006D2D97" w:rsidP="009916DF">
      <w:pPr>
        <w:spacing w:after="0" w:line="240" w:lineRule="auto"/>
        <w:rPr>
          <w:rFonts w:cstheme="minorHAnsi"/>
          <w:b/>
          <w:sz w:val="24"/>
          <w:szCs w:val="24"/>
        </w:rPr>
        <w:sectPr w:rsidR="00A62D4C" w:rsidRPr="00C66995" w:rsidSect="000750D0">
          <w:headerReference w:type="default" r:id="rId48"/>
          <w:headerReference w:type="first" r:id="rId49"/>
          <w:pgSz w:w="12240" w:h="15840" w:code="1"/>
          <w:pgMar w:top="720" w:right="720" w:bottom="720" w:left="720" w:header="720" w:footer="720" w:gutter="0"/>
          <w:cols w:space="720"/>
          <w:docGrid w:linePitch="360"/>
        </w:sectPr>
      </w:pPr>
      <w:r w:rsidRPr="00C66995">
        <w:rPr>
          <w:rFonts w:cstheme="minorHAnsi"/>
          <w:sz w:val="24"/>
          <w:szCs w:val="24"/>
        </w:rPr>
        <w:t>U</w:t>
      </w:r>
      <w:r w:rsidR="00C1660C">
        <w:rPr>
          <w:rFonts w:cstheme="minorHAnsi"/>
          <w:sz w:val="24"/>
          <w:szCs w:val="24"/>
        </w:rPr>
        <w:t>.</w:t>
      </w:r>
      <w:r w:rsidRPr="00C66995">
        <w:rPr>
          <w:rFonts w:cstheme="minorHAnsi"/>
          <w:sz w:val="24"/>
          <w:szCs w:val="24"/>
        </w:rPr>
        <w:t>S</w:t>
      </w:r>
      <w:r w:rsidR="00C1660C">
        <w:rPr>
          <w:rFonts w:cstheme="minorHAnsi"/>
          <w:sz w:val="24"/>
          <w:szCs w:val="24"/>
        </w:rPr>
        <w:t>.</w:t>
      </w:r>
      <w:r w:rsidRPr="00C66995">
        <w:rPr>
          <w:rFonts w:cstheme="minorHAnsi"/>
          <w:sz w:val="24"/>
          <w:szCs w:val="24"/>
        </w:rPr>
        <w:t xml:space="preserve"> Environmental Protection Agency (US EPA). 2019. Update for Chapter 3 of the Exposure Factors Handbook – Ingestion of Water and Other Select Liquids. National Center for Environmental Assessment, Office of Research and Development, Washington, DC. EPA/600/R-18/259F. Februa</w:t>
      </w:r>
      <w:r w:rsidR="00E404A9" w:rsidRPr="00C66995">
        <w:rPr>
          <w:rFonts w:cstheme="minorHAnsi"/>
          <w:sz w:val="24"/>
          <w:szCs w:val="24"/>
        </w:rPr>
        <w:t>ry.</w:t>
      </w:r>
    </w:p>
    <w:p w14:paraId="7DCB2C57" w14:textId="1D47A30B" w:rsidR="00AE2E6E" w:rsidRPr="00AE2E6E" w:rsidRDefault="00776FA8" w:rsidP="00E10CDD">
      <w:pPr>
        <w:pStyle w:val="Heading2"/>
      </w:pPr>
      <w:bookmarkStart w:id="24" w:name="_Toc162620798"/>
      <w:r w:rsidRPr="00AE2E6E">
        <w:lastRenderedPageBreak/>
        <w:t>A</w:t>
      </w:r>
      <w:r>
        <w:t>ppendix</w:t>
      </w:r>
      <w:r w:rsidRPr="00AE2E6E">
        <w:t xml:space="preserve"> </w:t>
      </w:r>
      <w:r w:rsidR="00E404A9">
        <w:t>B</w:t>
      </w:r>
      <w:r>
        <w:t xml:space="preserve"> - </w:t>
      </w:r>
      <w:r w:rsidR="00AE2E6E" w:rsidRPr="00AE2E6E">
        <w:t>F</w:t>
      </w:r>
      <w:r>
        <w:t>ish</w:t>
      </w:r>
      <w:r w:rsidR="00AE2E6E" w:rsidRPr="00AE2E6E">
        <w:t xml:space="preserve"> </w:t>
      </w:r>
      <w:r w:rsidRPr="00AE2E6E">
        <w:t>C</w:t>
      </w:r>
      <w:r>
        <w:t>onsumption</w:t>
      </w:r>
      <w:r w:rsidRPr="00AE2E6E">
        <w:t xml:space="preserve"> A</w:t>
      </w:r>
      <w:r>
        <w:t>dvisories</w:t>
      </w:r>
      <w:r w:rsidRPr="00AE2E6E">
        <w:t xml:space="preserve"> S</w:t>
      </w:r>
      <w:r>
        <w:t>upporting</w:t>
      </w:r>
      <w:r w:rsidRPr="00AE2E6E">
        <w:t xml:space="preserve"> I</w:t>
      </w:r>
      <w:r>
        <w:t>nformation</w:t>
      </w:r>
      <w:bookmarkEnd w:id="24"/>
    </w:p>
    <w:p w14:paraId="03774F1B" w14:textId="77777777" w:rsidR="00AA6FDD" w:rsidRDefault="00AA6FDD" w:rsidP="00657CF0"/>
    <w:p w14:paraId="6118016E" w14:textId="70FBB5B8" w:rsidR="00AA6FDD" w:rsidRDefault="00AA6FDD" w:rsidP="00657CF0">
      <w:pPr>
        <w:sectPr w:rsidR="00AA6FDD" w:rsidSect="000750D0">
          <w:headerReference w:type="default" r:id="rId50"/>
          <w:footerReference w:type="default" r:id="rId51"/>
          <w:headerReference w:type="first" r:id="rId52"/>
          <w:pgSz w:w="12240" w:h="15840" w:code="1"/>
          <w:pgMar w:top="720" w:right="720" w:bottom="720" w:left="720" w:header="720" w:footer="720" w:gutter="0"/>
          <w:cols w:space="720"/>
          <w:docGrid w:linePitch="360"/>
        </w:sectPr>
      </w:pPr>
    </w:p>
    <w:p w14:paraId="162584FD" w14:textId="263761F3" w:rsidR="006110E2" w:rsidRPr="00AA6FDD" w:rsidRDefault="00AA6FDD" w:rsidP="00AA6FDD">
      <w:pPr>
        <w:spacing w:after="0"/>
        <w:rPr>
          <w:b/>
          <w:bCs/>
          <w:sz w:val="24"/>
          <w:szCs w:val="24"/>
        </w:rPr>
      </w:pPr>
      <w:r w:rsidRPr="00AA6FDD">
        <w:rPr>
          <w:b/>
          <w:bCs/>
          <w:sz w:val="24"/>
          <w:szCs w:val="24"/>
        </w:rPr>
        <w:lastRenderedPageBreak/>
        <w:t xml:space="preserve">Table </w:t>
      </w:r>
      <w:r w:rsidR="00E02749">
        <w:rPr>
          <w:b/>
          <w:bCs/>
          <w:sz w:val="24"/>
          <w:szCs w:val="24"/>
        </w:rPr>
        <w:t>B</w:t>
      </w:r>
      <w:r w:rsidRPr="00AA6FDD">
        <w:rPr>
          <w:b/>
          <w:bCs/>
          <w:sz w:val="24"/>
          <w:szCs w:val="24"/>
        </w:rPr>
        <w:t xml:space="preserve">.1 </w:t>
      </w:r>
      <w:r w:rsidR="000D3483">
        <w:rPr>
          <w:b/>
          <w:bCs/>
          <w:sz w:val="24"/>
          <w:szCs w:val="24"/>
        </w:rPr>
        <w:t xml:space="preserve">Comparison of </w:t>
      </w:r>
      <w:r w:rsidRPr="00AA6FDD">
        <w:rPr>
          <w:b/>
          <w:bCs/>
          <w:sz w:val="24"/>
          <w:szCs w:val="24"/>
        </w:rPr>
        <w:t>PFOS Screening Values for Consumption</w:t>
      </w:r>
      <w:r w:rsidR="000D3483">
        <w:rPr>
          <w:b/>
          <w:bCs/>
          <w:sz w:val="24"/>
          <w:szCs w:val="24"/>
        </w:rPr>
        <w:t xml:space="preserve"> of Fish</w:t>
      </w:r>
    </w:p>
    <w:tbl>
      <w:tblPr>
        <w:tblW w:w="13595" w:type="dxa"/>
        <w:tblLook w:val="04A0" w:firstRow="1" w:lastRow="0" w:firstColumn="1" w:lastColumn="0" w:noHBand="0" w:noVBand="1"/>
      </w:tblPr>
      <w:tblGrid>
        <w:gridCol w:w="1620"/>
        <w:gridCol w:w="957"/>
        <w:gridCol w:w="1890"/>
        <w:gridCol w:w="1640"/>
        <w:gridCol w:w="1558"/>
        <w:gridCol w:w="1653"/>
        <w:gridCol w:w="1529"/>
        <w:gridCol w:w="2187"/>
        <w:gridCol w:w="561"/>
      </w:tblGrid>
      <w:tr w:rsidR="00F46821" w:rsidRPr="00AA6FDD" w14:paraId="2B8B8703" w14:textId="77777777" w:rsidTr="00F46821">
        <w:trPr>
          <w:trHeight w:val="559"/>
        </w:trPr>
        <w:tc>
          <w:tcPr>
            <w:tcW w:w="1620" w:type="dxa"/>
            <w:tcBorders>
              <w:top w:val="single" w:sz="4" w:space="0" w:color="auto"/>
              <w:left w:val="nil"/>
              <w:bottom w:val="double" w:sz="6" w:space="0" w:color="auto"/>
              <w:right w:val="nil"/>
            </w:tcBorders>
            <w:shd w:val="clear" w:color="auto" w:fill="DBE5F1" w:themeFill="accent1" w:themeFillTint="33"/>
            <w:noWrap/>
            <w:vAlign w:val="center"/>
            <w:hideMark/>
          </w:tcPr>
          <w:p w14:paraId="554E6D9A" w14:textId="77777777"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Agency</w:t>
            </w:r>
          </w:p>
        </w:tc>
        <w:tc>
          <w:tcPr>
            <w:tcW w:w="900" w:type="dxa"/>
            <w:tcBorders>
              <w:top w:val="single" w:sz="4" w:space="0" w:color="auto"/>
              <w:left w:val="nil"/>
              <w:bottom w:val="double" w:sz="6" w:space="0" w:color="auto"/>
              <w:right w:val="nil"/>
            </w:tcBorders>
            <w:shd w:val="clear" w:color="auto" w:fill="DBE5F1" w:themeFill="accent1" w:themeFillTint="33"/>
            <w:vAlign w:val="center"/>
            <w:hideMark/>
          </w:tcPr>
          <w:p w14:paraId="3CCF8330" w14:textId="1E99AE63"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SV</w:t>
            </w:r>
            <w:r w:rsidRPr="00AA6FDD">
              <w:rPr>
                <w:rFonts w:ascii="Calibri" w:eastAsia="Times New Roman" w:hAnsi="Calibri" w:cs="Calibri"/>
                <w:b/>
                <w:bCs/>
                <w:color w:val="000000"/>
              </w:rPr>
              <w:br/>
              <w:t>(µg/kg)</w:t>
            </w:r>
            <w:r w:rsidR="004E084D" w:rsidRPr="004E084D">
              <w:rPr>
                <w:rFonts w:ascii="Calibri" w:eastAsia="Times New Roman" w:hAnsi="Calibri" w:cs="Calibri"/>
                <w:b/>
                <w:bCs/>
                <w:color w:val="000000"/>
                <w:vertAlign w:val="superscript"/>
              </w:rPr>
              <w:t>1</w:t>
            </w:r>
          </w:p>
        </w:tc>
        <w:tc>
          <w:tcPr>
            <w:tcW w:w="1890" w:type="dxa"/>
            <w:tcBorders>
              <w:top w:val="single" w:sz="4" w:space="0" w:color="auto"/>
              <w:left w:val="nil"/>
              <w:bottom w:val="double" w:sz="6" w:space="0" w:color="auto"/>
              <w:right w:val="nil"/>
            </w:tcBorders>
            <w:shd w:val="clear" w:color="auto" w:fill="DBE5F1" w:themeFill="accent1" w:themeFillTint="33"/>
            <w:noWrap/>
            <w:vAlign w:val="center"/>
            <w:hideMark/>
          </w:tcPr>
          <w:p w14:paraId="7FE8A4E5" w14:textId="77777777"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Population</w:t>
            </w:r>
          </w:p>
        </w:tc>
        <w:tc>
          <w:tcPr>
            <w:tcW w:w="1640" w:type="dxa"/>
            <w:tcBorders>
              <w:top w:val="single" w:sz="4" w:space="0" w:color="auto"/>
              <w:left w:val="nil"/>
              <w:bottom w:val="double" w:sz="6" w:space="0" w:color="auto"/>
              <w:right w:val="nil"/>
            </w:tcBorders>
            <w:shd w:val="clear" w:color="auto" w:fill="DBE5F1" w:themeFill="accent1" w:themeFillTint="33"/>
            <w:vAlign w:val="center"/>
            <w:hideMark/>
          </w:tcPr>
          <w:p w14:paraId="0CE3DBDF" w14:textId="77777777" w:rsidR="00F46821" w:rsidRPr="00AA6FDD" w:rsidRDefault="00F46821" w:rsidP="00AA6FDD">
            <w:pPr>
              <w:spacing w:after="0" w:line="240" w:lineRule="auto"/>
              <w:jc w:val="center"/>
              <w:rPr>
                <w:rFonts w:ascii="Calibri" w:eastAsia="Times New Roman" w:hAnsi="Calibri" w:cs="Calibri"/>
                <w:b/>
                <w:bCs/>
                <w:color w:val="000000"/>
              </w:rPr>
            </w:pPr>
            <w:proofErr w:type="spellStart"/>
            <w:r w:rsidRPr="00AA6FDD">
              <w:rPr>
                <w:rFonts w:ascii="Calibri" w:eastAsia="Times New Roman" w:hAnsi="Calibri" w:cs="Calibri"/>
                <w:b/>
                <w:bCs/>
                <w:color w:val="000000"/>
              </w:rPr>
              <w:t>RfD</w:t>
            </w:r>
            <w:proofErr w:type="spellEnd"/>
            <w:r w:rsidRPr="00AA6FDD">
              <w:rPr>
                <w:rFonts w:ascii="Calibri" w:eastAsia="Times New Roman" w:hAnsi="Calibri" w:cs="Calibri"/>
                <w:b/>
                <w:bCs/>
                <w:color w:val="000000"/>
              </w:rPr>
              <w:t xml:space="preserve"> or MRL </w:t>
            </w:r>
            <w:r w:rsidRPr="00AA6FDD">
              <w:rPr>
                <w:rFonts w:ascii="Calibri" w:eastAsia="Times New Roman" w:hAnsi="Calibri" w:cs="Calibri"/>
                <w:b/>
                <w:bCs/>
                <w:color w:val="000000"/>
              </w:rPr>
              <w:br/>
              <w:t>(ng/kg-day)</w:t>
            </w:r>
          </w:p>
        </w:tc>
        <w:tc>
          <w:tcPr>
            <w:tcW w:w="1558" w:type="dxa"/>
            <w:tcBorders>
              <w:top w:val="single" w:sz="4" w:space="0" w:color="auto"/>
              <w:left w:val="nil"/>
              <w:bottom w:val="double" w:sz="6" w:space="0" w:color="auto"/>
              <w:right w:val="nil"/>
            </w:tcBorders>
            <w:shd w:val="clear" w:color="auto" w:fill="DBE5F1" w:themeFill="accent1" w:themeFillTint="33"/>
            <w:vAlign w:val="center"/>
            <w:hideMark/>
          </w:tcPr>
          <w:p w14:paraId="1C76B5F5" w14:textId="5AE65AF3" w:rsidR="00F46821" w:rsidRPr="00AA6FDD" w:rsidRDefault="0074228E" w:rsidP="00AA6FDD">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Meal Size</w:t>
            </w:r>
            <w:r w:rsidR="00F46821" w:rsidRPr="00AA6FDD">
              <w:rPr>
                <w:rFonts w:ascii="Calibri" w:eastAsia="Times New Roman" w:hAnsi="Calibri" w:cs="Calibri"/>
                <w:b/>
                <w:bCs/>
                <w:color w:val="000000"/>
              </w:rPr>
              <w:br/>
              <w:t>(g/</w:t>
            </w:r>
            <w:r w:rsidR="00F46821">
              <w:rPr>
                <w:rFonts w:ascii="Calibri" w:eastAsia="Times New Roman" w:hAnsi="Calibri" w:cs="Calibri"/>
                <w:b/>
                <w:bCs/>
                <w:color w:val="000000"/>
              </w:rPr>
              <w:t>meal</w:t>
            </w:r>
            <w:r w:rsidR="00F46821" w:rsidRPr="00AA6FDD">
              <w:rPr>
                <w:rFonts w:ascii="Calibri" w:eastAsia="Times New Roman" w:hAnsi="Calibri" w:cs="Calibri"/>
                <w:b/>
                <w:bCs/>
                <w:color w:val="000000"/>
              </w:rPr>
              <w:t>)</w:t>
            </w:r>
          </w:p>
        </w:tc>
        <w:tc>
          <w:tcPr>
            <w:tcW w:w="1710" w:type="dxa"/>
            <w:tcBorders>
              <w:top w:val="single" w:sz="4" w:space="0" w:color="auto"/>
              <w:left w:val="nil"/>
              <w:bottom w:val="double" w:sz="6" w:space="0" w:color="auto"/>
              <w:right w:val="nil"/>
            </w:tcBorders>
            <w:shd w:val="clear" w:color="auto" w:fill="DBE5F1" w:themeFill="accent1" w:themeFillTint="33"/>
            <w:vAlign w:val="center"/>
            <w:hideMark/>
          </w:tcPr>
          <w:p w14:paraId="5B6FCAA9" w14:textId="0EC18687"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Meals/month</w:t>
            </w:r>
          </w:p>
        </w:tc>
        <w:tc>
          <w:tcPr>
            <w:tcW w:w="1529" w:type="dxa"/>
            <w:tcBorders>
              <w:top w:val="single" w:sz="4" w:space="0" w:color="auto"/>
              <w:left w:val="nil"/>
              <w:bottom w:val="double" w:sz="6" w:space="0" w:color="auto"/>
              <w:right w:val="nil"/>
            </w:tcBorders>
            <w:shd w:val="clear" w:color="auto" w:fill="DBE5F1" w:themeFill="accent1" w:themeFillTint="33"/>
            <w:vAlign w:val="center"/>
            <w:hideMark/>
          </w:tcPr>
          <w:p w14:paraId="6ABEADF4" w14:textId="77777777"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Body Weight</w:t>
            </w:r>
            <w:r w:rsidRPr="00AA6FDD">
              <w:rPr>
                <w:rFonts w:ascii="Calibri" w:eastAsia="Times New Roman" w:hAnsi="Calibri" w:cs="Calibri"/>
                <w:b/>
                <w:bCs/>
                <w:color w:val="000000"/>
              </w:rPr>
              <w:br/>
              <w:t>(kg)</w:t>
            </w:r>
          </w:p>
        </w:tc>
        <w:tc>
          <w:tcPr>
            <w:tcW w:w="2187" w:type="dxa"/>
            <w:tcBorders>
              <w:top w:val="single" w:sz="4" w:space="0" w:color="auto"/>
              <w:left w:val="nil"/>
              <w:bottom w:val="double" w:sz="6" w:space="0" w:color="auto"/>
              <w:right w:val="nil"/>
            </w:tcBorders>
            <w:shd w:val="clear" w:color="auto" w:fill="DBE5F1" w:themeFill="accent1" w:themeFillTint="33"/>
            <w:vAlign w:val="center"/>
            <w:hideMark/>
          </w:tcPr>
          <w:p w14:paraId="30244D72" w14:textId="61348347" w:rsidR="00F46821" w:rsidRPr="00AA6FDD" w:rsidRDefault="0074228E" w:rsidP="00AA6FDD">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Meal</w:t>
            </w:r>
            <w:r w:rsidRPr="00AA6FDD">
              <w:rPr>
                <w:rFonts w:ascii="Calibri" w:eastAsia="Times New Roman" w:hAnsi="Calibri" w:cs="Calibri"/>
                <w:b/>
                <w:bCs/>
                <w:color w:val="000000"/>
              </w:rPr>
              <w:t xml:space="preserve"> </w:t>
            </w:r>
            <w:r w:rsidR="00F46821" w:rsidRPr="00AA6FDD">
              <w:rPr>
                <w:rFonts w:ascii="Calibri" w:eastAsia="Times New Roman" w:hAnsi="Calibri" w:cs="Calibri"/>
                <w:b/>
                <w:bCs/>
                <w:color w:val="000000"/>
              </w:rPr>
              <w:t>Frequency</w:t>
            </w:r>
            <w:r w:rsidR="00F46821" w:rsidRPr="00AA6FDD">
              <w:rPr>
                <w:rFonts w:ascii="Calibri" w:eastAsia="Times New Roman" w:hAnsi="Calibri" w:cs="Calibri"/>
                <w:b/>
                <w:bCs/>
                <w:color w:val="000000"/>
              </w:rPr>
              <w:br/>
              <w:t>(days/</w:t>
            </w:r>
            <w:proofErr w:type="spellStart"/>
            <w:r w:rsidR="00F46821" w:rsidRPr="00AA6FDD">
              <w:rPr>
                <w:rFonts w:ascii="Calibri" w:eastAsia="Times New Roman" w:hAnsi="Calibri" w:cs="Calibri"/>
                <w:b/>
                <w:bCs/>
                <w:color w:val="000000"/>
              </w:rPr>
              <w:t>yr</w:t>
            </w:r>
            <w:proofErr w:type="spellEnd"/>
            <w:r w:rsidR="00F46821" w:rsidRPr="00AA6FDD">
              <w:rPr>
                <w:rFonts w:ascii="Calibri" w:eastAsia="Times New Roman" w:hAnsi="Calibri" w:cs="Calibri"/>
                <w:b/>
                <w:bCs/>
                <w:color w:val="000000"/>
              </w:rPr>
              <w:t>)</w:t>
            </w:r>
          </w:p>
        </w:tc>
        <w:tc>
          <w:tcPr>
            <w:tcW w:w="561" w:type="dxa"/>
            <w:tcBorders>
              <w:top w:val="single" w:sz="4" w:space="0" w:color="auto"/>
              <w:left w:val="nil"/>
              <w:bottom w:val="double" w:sz="6" w:space="0" w:color="auto"/>
              <w:right w:val="nil"/>
            </w:tcBorders>
            <w:shd w:val="clear" w:color="auto" w:fill="DBE5F1" w:themeFill="accent1" w:themeFillTint="33"/>
            <w:noWrap/>
            <w:vAlign w:val="center"/>
            <w:hideMark/>
          </w:tcPr>
          <w:p w14:paraId="72795AE7" w14:textId="77777777"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RSC</w:t>
            </w:r>
          </w:p>
        </w:tc>
      </w:tr>
      <w:tr w:rsidR="00F46821" w:rsidRPr="00AA6FDD" w14:paraId="56704A48" w14:textId="77777777" w:rsidTr="00513157">
        <w:trPr>
          <w:trHeight w:val="547"/>
        </w:trPr>
        <w:tc>
          <w:tcPr>
            <w:tcW w:w="1620" w:type="dxa"/>
            <w:tcBorders>
              <w:top w:val="nil"/>
              <w:left w:val="nil"/>
              <w:bottom w:val="nil"/>
              <w:right w:val="nil"/>
            </w:tcBorders>
            <w:shd w:val="clear" w:color="auto" w:fill="D9D9D9" w:themeFill="background1" w:themeFillShade="D9"/>
            <w:noWrap/>
            <w:vAlign w:val="center"/>
            <w:hideMark/>
          </w:tcPr>
          <w:p w14:paraId="6A9C3989" w14:textId="77777777"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MDPH</w:t>
            </w:r>
          </w:p>
        </w:tc>
        <w:tc>
          <w:tcPr>
            <w:tcW w:w="900" w:type="dxa"/>
            <w:tcBorders>
              <w:top w:val="nil"/>
              <w:left w:val="nil"/>
              <w:bottom w:val="nil"/>
              <w:right w:val="nil"/>
            </w:tcBorders>
            <w:shd w:val="clear" w:color="auto" w:fill="D9D9D9" w:themeFill="background1" w:themeFillShade="D9"/>
            <w:noWrap/>
            <w:vAlign w:val="center"/>
            <w:hideMark/>
          </w:tcPr>
          <w:p w14:paraId="065825E6" w14:textId="77777777"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0.22</w:t>
            </w:r>
          </w:p>
        </w:tc>
        <w:tc>
          <w:tcPr>
            <w:tcW w:w="1890" w:type="dxa"/>
            <w:tcBorders>
              <w:top w:val="nil"/>
              <w:left w:val="nil"/>
              <w:bottom w:val="nil"/>
              <w:right w:val="nil"/>
            </w:tcBorders>
            <w:shd w:val="clear" w:color="auto" w:fill="D9D9D9" w:themeFill="background1" w:themeFillShade="D9"/>
            <w:vAlign w:val="center"/>
            <w:hideMark/>
          </w:tcPr>
          <w:p w14:paraId="7EB295F5" w14:textId="77777777"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Child</w:t>
            </w:r>
            <w:r w:rsidRPr="00AA6FDD">
              <w:rPr>
                <w:rFonts w:ascii="Calibri" w:eastAsia="Times New Roman" w:hAnsi="Calibri" w:cs="Calibri"/>
                <w:b/>
                <w:bCs/>
                <w:color w:val="000000"/>
              </w:rPr>
              <w:br/>
              <w:t>(1 - 3 years)</w:t>
            </w:r>
          </w:p>
        </w:tc>
        <w:tc>
          <w:tcPr>
            <w:tcW w:w="1640" w:type="dxa"/>
            <w:tcBorders>
              <w:top w:val="nil"/>
              <w:left w:val="nil"/>
              <w:bottom w:val="nil"/>
              <w:right w:val="nil"/>
            </w:tcBorders>
            <w:shd w:val="clear" w:color="auto" w:fill="D9D9D9" w:themeFill="background1" w:themeFillShade="D9"/>
            <w:noWrap/>
            <w:vAlign w:val="center"/>
            <w:hideMark/>
          </w:tcPr>
          <w:p w14:paraId="5AF37616" w14:textId="77777777"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2</w:t>
            </w:r>
          </w:p>
        </w:tc>
        <w:tc>
          <w:tcPr>
            <w:tcW w:w="1558" w:type="dxa"/>
            <w:tcBorders>
              <w:top w:val="nil"/>
              <w:left w:val="nil"/>
              <w:bottom w:val="nil"/>
              <w:right w:val="nil"/>
            </w:tcBorders>
            <w:shd w:val="clear" w:color="auto" w:fill="D9D9D9" w:themeFill="background1" w:themeFillShade="D9"/>
            <w:noWrap/>
            <w:vAlign w:val="center"/>
            <w:hideMark/>
          </w:tcPr>
          <w:p w14:paraId="49060734" w14:textId="77777777"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113.4</w:t>
            </w:r>
          </w:p>
        </w:tc>
        <w:tc>
          <w:tcPr>
            <w:tcW w:w="1710" w:type="dxa"/>
            <w:tcBorders>
              <w:top w:val="nil"/>
              <w:left w:val="nil"/>
              <w:bottom w:val="nil"/>
              <w:right w:val="nil"/>
            </w:tcBorders>
            <w:shd w:val="clear" w:color="auto" w:fill="D9D9D9" w:themeFill="background1" w:themeFillShade="D9"/>
            <w:vAlign w:val="center"/>
            <w:hideMark/>
          </w:tcPr>
          <w:p w14:paraId="03AD6D32" w14:textId="0C766126"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30.</w:t>
            </w:r>
            <w:r>
              <w:rPr>
                <w:rFonts w:ascii="Calibri" w:eastAsia="Times New Roman" w:hAnsi="Calibri" w:cs="Calibri"/>
                <w:b/>
                <w:bCs/>
                <w:color w:val="000000"/>
              </w:rPr>
              <w:t>4</w:t>
            </w:r>
          </w:p>
        </w:tc>
        <w:tc>
          <w:tcPr>
            <w:tcW w:w="1529" w:type="dxa"/>
            <w:tcBorders>
              <w:top w:val="nil"/>
              <w:left w:val="nil"/>
              <w:bottom w:val="nil"/>
              <w:right w:val="nil"/>
            </w:tcBorders>
            <w:shd w:val="clear" w:color="auto" w:fill="D9D9D9" w:themeFill="background1" w:themeFillShade="D9"/>
            <w:noWrap/>
            <w:vAlign w:val="center"/>
            <w:hideMark/>
          </w:tcPr>
          <w:p w14:paraId="2F42CFE3" w14:textId="77777777"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12.6</w:t>
            </w:r>
          </w:p>
        </w:tc>
        <w:tc>
          <w:tcPr>
            <w:tcW w:w="2187" w:type="dxa"/>
            <w:tcBorders>
              <w:top w:val="nil"/>
              <w:left w:val="nil"/>
              <w:bottom w:val="nil"/>
              <w:right w:val="nil"/>
            </w:tcBorders>
            <w:shd w:val="clear" w:color="auto" w:fill="D9D9D9" w:themeFill="background1" w:themeFillShade="D9"/>
            <w:noWrap/>
            <w:vAlign w:val="center"/>
            <w:hideMark/>
          </w:tcPr>
          <w:p w14:paraId="312DFE33" w14:textId="77777777"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365</w:t>
            </w:r>
          </w:p>
        </w:tc>
        <w:tc>
          <w:tcPr>
            <w:tcW w:w="561" w:type="dxa"/>
            <w:tcBorders>
              <w:top w:val="nil"/>
              <w:left w:val="nil"/>
              <w:bottom w:val="nil"/>
              <w:right w:val="nil"/>
            </w:tcBorders>
            <w:shd w:val="clear" w:color="auto" w:fill="D9D9D9" w:themeFill="background1" w:themeFillShade="D9"/>
            <w:noWrap/>
            <w:vAlign w:val="center"/>
            <w:hideMark/>
          </w:tcPr>
          <w:p w14:paraId="0CD53F00" w14:textId="77777777" w:rsidR="00F46821" w:rsidRPr="00AA6FDD" w:rsidRDefault="00F46821" w:rsidP="00AA6FDD">
            <w:pPr>
              <w:spacing w:after="0" w:line="240" w:lineRule="auto"/>
              <w:jc w:val="center"/>
              <w:rPr>
                <w:rFonts w:ascii="Calibri" w:eastAsia="Times New Roman" w:hAnsi="Calibri" w:cs="Calibri"/>
                <w:b/>
                <w:bCs/>
                <w:color w:val="000000"/>
              </w:rPr>
            </w:pPr>
            <w:r w:rsidRPr="00AA6FDD">
              <w:rPr>
                <w:rFonts w:ascii="Calibri" w:eastAsia="Times New Roman" w:hAnsi="Calibri" w:cs="Calibri"/>
                <w:b/>
                <w:bCs/>
                <w:color w:val="000000"/>
              </w:rPr>
              <w:t>1</w:t>
            </w:r>
          </w:p>
        </w:tc>
      </w:tr>
      <w:tr w:rsidR="00F46821" w:rsidRPr="00AA6FDD" w14:paraId="37E3B2C7" w14:textId="77777777" w:rsidTr="00513157">
        <w:trPr>
          <w:trHeight w:val="547"/>
        </w:trPr>
        <w:tc>
          <w:tcPr>
            <w:tcW w:w="1620" w:type="dxa"/>
            <w:tcBorders>
              <w:top w:val="nil"/>
              <w:left w:val="nil"/>
              <w:bottom w:val="nil"/>
              <w:right w:val="nil"/>
            </w:tcBorders>
            <w:shd w:val="clear" w:color="auto" w:fill="auto"/>
            <w:noWrap/>
            <w:vAlign w:val="center"/>
            <w:hideMark/>
          </w:tcPr>
          <w:p w14:paraId="1427679C" w14:textId="5C092BB4" w:rsidR="00F46821" w:rsidRPr="00AA6FDD" w:rsidRDefault="00F46821" w:rsidP="009C5279">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NHDES</w:t>
            </w:r>
            <w:r w:rsidR="007A1405" w:rsidRPr="007A1405">
              <w:rPr>
                <w:rFonts w:ascii="Calibri" w:eastAsia="Times New Roman" w:hAnsi="Calibri" w:cs="Calibri"/>
                <w:color w:val="000000"/>
                <w:vertAlign w:val="superscript"/>
              </w:rPr>
              <w:t>2</w:t>
            </w:r>
          </w:p>
        </w:tc>
        <w:tc>
          <w:tcPr>
            <w:tcW w:w="900" w:type="dxa"/>
            <w:tcBorders>
              <w:top w:val="nil"/>
              <w:left w:val="nil"/>
              <w:bottom w:val="nil"/>
              <w:right w:val="nil"/>
            </w:tcBorders>
            <w:shd w:val="clear" w:color="auto" w:fill="auto"/>
            <w:noWrap/>
            <w:vAlign w:val="center"/>
            <w:hideMark/>
          </w:tcPr>
          <w:p w14:paraId="46BE86B7" w14:textId="0C619A04" w:rsidR="00F46821" w:rsidRPr="00AA6FDD" w:rsidRDefault="00F46821" w:rsidP="009C5279">
            <w:pPr>
              <w:spacing w:after="0" w:line="240" w:lineRule="auto"/>
              <w:jc w:val="center"/>
              <w:rPr>
                <w:rFonts w:ascii="Calibri" w:eastAsia="Times New Roman" w:hAnsi="Calibri" w:cs="Calibri"/>
                <w:color w:val="000000"/>
              </w:rPr>
            </w:pPr>
            <w:r w:rsidRPr="11C90A92">
              <w:rPr>
                <w:rFonts w:ascii="Calibri" w:eastAsia="Times New Roman" w:hAnsi="Calibri" w:cs="Calibri"/>
                <w:color w:val="000000" w:themeColor="text1"/>
              </w:rPr>
              <w:t>0.36</w:t>
            </w:r>
          </w:p>
        </w:tc>
        <w:tc>
          <w:tcPr>
            <w:tcW w:w="1890" w:type="dxa"/>
            <w:tcBorders>
              <w:top w:val="nil"/>
              <w:left w:val="nil"/>
              <w:bottom w:val="nil"/>
              <w:right w:val="nil"/>
            </w:tcBorders>
            <w:shd w:val="clear" w:color="auto" w:fill="auto"/>
            <w:vAlign w:val="center"/>
            <w:hideMark/>
          </w:tcPr>
          <w:p w14:paraId="1642F96B" w14:textId="5F0C4E4C" w:rsidR="00F46821" w:rsidRPr="007B0D10" w:rsidRDefault="00F46821" w:rsidP="009C5279">
            <w:pPr>
              <w:spacing w:after="0" w:line="240" w:lineRule="auto"/>
              <w:jc w:val="center"/>
              <w:rPr>
                <w:rFonts w:ascii="Calibri" w:eastAsia="Times New Roman" w:hAnsi="Calibri" w:cs="Calibri"/>
                <w:color w:val="000000"/>
              </w:rPr>
            </w:pPr>
            <w:r w:rsidRPr="007B0D10">
              <w:rPr>
                <w:rFonts w:ascii="Calibri" w:eastAsia="Times New Roman" w:hAnsi="Calibri" w:cs="Calibri"/>
                <w:color w:val="000000"/>
              </w:rPr>
              <w:t>Child</w:t>
            </w:r>
            <w:r w:rsidRPr="007B0D10">
              <w:rPr>
                <w:rFonts w:ascii="Calibri" w:eastAsia="Times New Roman" w:hAnsi="Calibri" w:cs="Calibri"/>
                <w:color w:val="000000"/>
              </w:rPr>
              <w:br/>
              <w:t>(1 - 6 years)</w:t>
            </w:r>
          </w:p>
        </w:tc>
        <w:tc>
          <w:tcPr>
            <w:tcW w:w="1640" w:type="dxa"/>
            <w:tcBorders>
              <w:top w:val="nil"/>
              <w:left w:val="nil"/>
              <w:bottom w:val="nil"/>
              <w:right w:val="nil"/>
            </w:tcBorders>
            <w:shd w:val="clear" w:color="auto" w:fill="auto"/>
            <w:noWrap/>
            <w:vAlign w:val="center"/>
            <w:hideMark/>
          </w:tcPr>
          <w:p w14:paraId="6CA90BD2" w14:textId="77777777" w:rsidR="00F46821" w:rsidRPr="00AA6FDD" w:rsidRDefault="00F46821" w:rsidP="009C5279">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3</w:t>
            </w:r>
          </w:p>
        </w:tc>
        <w:tc>
          <w:tcPr>
            <w:tcW w:w="1558" w:type="dxa"/>
            <w:tcBorders>
              <w:top w:val="nil"/>
              <w:left w:val="nil"/>
              <w:bottom w:val="nil"/>
              <w:right w:val="nil"/>
            </w:tcBorders>
            <w:shd w:val="clear" w:color="auto" w:fill="auto"/>
            <w:noWrap/>
            <w:vAlign w:val="center"/>
            <w:hideMark/>
          </w:tcPr>
          <w:p w14:paraId="2C375EFE" w14:textId="66F39A27" w:rsidR="00F46821" w:rsidRPr="00AA6FDD" w:rsidRDefault="00F46821" w:rsidP="009C5279">
            <w:pPr>
              <w:spacing w:after="0" w:line="240" w:lineRule="auto"/>
              <w:jc w:val="center"/>
              <w:rPr>
                <w:rFonts w:ascii="Calibri" w:eastAsia="Times New Roman" w:hAnsi="Calibri" w:cs="Calibri"/>
                <w:color w:val="000000"/>
              </w:rPr>
            </w:pPr>
            <w:r>
              <w:rPr>
                <w:rFonts w:ascii="Calibri" w:eastAsia="Times New Roman" w:hAnsi="Calibri" w:cs="Calibri"/>
                <w:color w:val="000000"/>
              </w:rPr>
              <w:t>113.4</w:t>
            </w:r>
          </w:p>
        </w:tc>
        <w:tc>
          <w:tcPr>
            <w:tcW w:w="1710" w:type="dxa"/>
            <w:tcBorders>
              <w:top w:val="nil"/>
              <w:left w:val="nil"/>
              <w:bottom w:val="nil"/>
              <w:right w:val="nil"/>
            </w:tcBorders>
            <w:shd w:val="clear" w:color="auto" w:fill="auto"/>
            <w:vAlign w:val="center"/>
            <w:hideMark/>
          </w:tcPr>
          <w:p w14:paraId="41AA228F" w14:textId="2287B453" w:rsidR="00F46821" w:rsidRPr="00AA6FDD" w:rsidRDefault="00F46821" w:rsidP="009C5279">
            <w:pPr>
              <w:spacing w:after="0" w:line="240" w:lineRule="auto"/>
              <w:jc w:val="center"/>
              <w:rPr>
                <w:rFonts w:ascii="Calibri" w:eastAsia="Times New Roman" w:hAnsi="Calibri" w:cs="Calibri"/>
                <w:color w:val="000000"/>
              </w:rPr>
            </w:pPr>
            <w:r>
              <w:rPr>
                <w:rFonts w:ascii="Calibri" w:eastAsia="Times New Roman" w:hAnsi="Calibri" w:cs="Calibri"/>
                <w:color w:val="000000"/>
              </w:rPr>
              <w:t>30.4</w:t>
            </w:r>
          </w:p>
        </w:tc>
        <w:tc>
          <w:tcPr>
            <w:tcW w:w="1529" w:type="dxa"/>
            <w:tcBorders>
              <w:top w:val="nil"/>
              <w:left w:val="nil"/>
              <w:bottom w:val="nil"/>
              <w:right w:val="nil"/>
            </w:tcBorders>
            <w:shd w:val="clear" w:color="auto" w:fill="auto"/>
            <w:noWrap/>
            <w:vAlign w:val="center"/>
            <w:hideMark/>
          </w:tcPr>
          <w:p w14:paraId="36FC8EC2" w14:textId="78C2B783" w:rsidR="00F46821" w:rsidRPr="00AA6FDD" w:rsidRDefault="00F46821" w:rsidP="009C5279">
            <w:pPr>
              <w:spacing w:after="0" w:line="240" w:lineRule="auto"/>
              <w:jc w:val="center"/>
              <w:rPr>
                <w:rFonts w:ascii="Calibri" w:eastAsia="Times New Roman" w:hAnsi="Calibri" w:cs="Calibri"/>
                <w:color w:val="000000"/>
              </w:rPr>
            </w:pPr>
            <w:r w:rsidRPr="11C90A92">
              <w:rPr>
                <w:rFonts w:ascii="Calibri" w:eastAsia="Times New Roman" w:hAnsi="Calibri" w:cs="Calibri"/>
                <w:color w:val="000000" w:themeColor="text1"/>
              </w:rPr>
              <w:t>16.9</w:t>
            </w:r>
          </w:p>
        </w:tc>
        <w:tc>
          <w:tcPr>
            <w:tcW w:w="2187" w:type="dxa"/>
            <w:tcBorders>
              <w:top w:val="nil"/>
              <w:left w:val="nil"/>
              <w:bottom w:val="nil"/>
              <w:right w:val="nil"/>
            </w:tcBorders>
            <w:shd w:val="clear" w:color="auto" w:fill="auto"/>
            <w:noWrap/>
            <w:vAlign w:val="center"/>
            <w:hideMark/>
          </w:tcPr>
          <w:p w14:paraId="11FD74E8" w14:textId="2CF96B0B" w:rsidR="00F46821" w:rsidRPr="00AA6FDD" w:rsidRDefault="00F46821" w:rsidP="009C5279">
            <w:pPr>
              <w:spacing w:after="0" w:line="240" w:lineRule="auto"/>
              <w:jc w:val="center"/>
              <w:rPr>
                <w:rFonts w:ascii="Calibri" w:eastAsia="Times New Roman" w:hAnsi="Calibri" w:cs="Calibri"/>
                <w:color w:val="000000"/>
              </w:rPr>
            </w:pPr>
            <w:r>
              <w:rPr>
                <w:rFonts w:ascii="Calibri" w:eastAsia="Times New Roman" w:hAnsi="Calibri" w:cs="Calibri"/>
                <w:color w:val="000000"/>
              </w:rPr>
              <w:t>365</w:t>
            </w:r>
          </w:p>
        </w:tc>
        <w:tc>
          <w:tcPr>
            <w:tcW w:w="561" w:type="dxa"/>
            <w:tcBorders>
              <w:top w:val="nil"/>
              <w:left w:val="nil"/>
              <w:bottom w:val="nil"/>
              <w:right w:val="nil"/>
            </w:tcBorders>
            <w:shd w:val="clear" w:color="auto" w:fill="auto"/>
            <w:noWrap/>
            <w:vAlign w:val="center"/>
            <w:hideMark/>
          </w:tcPr>
          <w:p w14:paraId="5348A10B" w14:textId="455C5E49" w:rsidR="00F46821" w:rsidRPr="00AA6FDD" w:rsidRDefault="00F46821" w:rsidP="009C5279">
            <w:pPr>
              <w:spacing w:after="0" w:line="240" w:lineRule="auto"/>
              <w:jc w:val="center"/>
              <w:rPr>
                <w:rFonts w:ascii="Calibri" w:eastAsia="Times New Roman" w:hAnsi="Calibri" w:cs="Calibri"/>
                <w:color w:val="000000"/>
              </w:rPr>
            </w:pPr>
            <w:r>
              <w:rPr>
                <w:rFonts w:ascii="Calibri" w:eastAsia="Times New Roman" w:hAnsi="Calibri" w:cs="Calibri"/>
                <w:color w:val="000000"/>
              </w:rPr>
              <w:t>0.8</w:t>
            </w:r>
          </w:p>
        </w:tc>
      </w:tr>
      <w:tr w:rsidR="00F46821" w:rsidRPr="00AA6FDD" w14:paraId="5A750620" w14:textId="77777777" w:rsidTr="00513157">
        <w:trPr>
          <w:trHeight w:val="547"/>
        </w:trPr>
        <w:tc>
          <w:tcPr>
            <w:tcW w:w="1620" w:type="dxa"/>
            <w:tcBorders>
              <w:top w:val="nil"/>
              <w:left w:val="nil"/>
              <w:bottom w:val="nil"/>
              <w:right w:val="nil"/>
            </w:tcBorders>
            <w:shd w:val="clear" w:color="auto" w:fill="auto"/>
            <w:noWrap/>
            <w:vAlign w:val="center"/>
          </w:tcPr>
          <w:p w14:paraId="6827DBD2" w14:textId="65715D02"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NJDEP</w:t>
            </w:r>
          </w:p>
        </w:tc>
        <w:tc>
          <w:tcPr>
            <w:tcW w:w="900" w:type="dxa"/>
            <w:tcBorders>
              <w:top w:val="nil"/>
              <w:left w:val="nil"/>
              <w:bottom w:val="nil"/>
              <w:right w:val="nil"/>
            </w:tcBorders>
            <w:shd w:val="clear" w:color="auto" w:fill="auto"/>
            <w:noWrap/>
            <w:vAlign w:val="center"/>
          </w:tcPr>
          <w:p w14:paraId="5C28E433" w14:textId="4909FC74" w:rsidR="00F46821"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0.56</w:t>
            </w:r>
          </w:p>
        </w:tc>
        <w:tc>
          <w:tcPr>
            <w:tcW w:w="1890" w:type="dxa"/>
            <w:tcBorders>
              <w:top w:val="nil"/>
              <w:left w:val="nil"/>
              <w:bottom w:val="nil"/>
              <w:right w:val="nil"/>
            </w:tcBorders>
            <w:shd w:val="clear" w:color="auto" w:fill="auto"/>
            <w:noWrap/>
            <w:vAlign w:val="center"/>
          </w:tcPr>
          <w:p w14:paraId="27C75B5C" w14:textId="065E2829" w:rsidR="00F46821" w:rsidRDefault="000D4F28"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Adult</w:t>
            </w:r>
            <w:r>
              <w:rPr>
                <w:rFonts w:ascii="Calibri" w:eastAsia="Times New Roman" w:hAnsi="Calibri" w:cs="Calibri"/>
                <w:i/>
                <w:iCs/>
                <w:color w:val="000000"/>
                <w:vertAlign w:val="superscript"/>
              </w:rPr>
              <w:t>3</w:t>
            </w:r>
          </w:p>
        </w:tc>
        <w:tc>
          <w:tcPr>
            <w:tcW w:w="1640" w:type="dxa"/>
            <w:tcBorders>
              <w:top w:val="nil"/>
              <w:left w:val="nil"/>
              <w:bottom w:val="nil"/>
              <w:right w:val="nil"/>
            </w:tcBorders>
            <w:shd w:val="clear" w:color="auto" w:fill="auto"/>
            <w:noWrap/>
            <w:vAlign w:val="center"/>
          </w:tcPr>
          <w:p w14:paraId="3447418F" w14:textId="7E51144E"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1.8</w:t>
            </w:r>
          </w:p>
        </w:tc>
        <w:tc>
          <w:tcPr>
            <w:tcW w:w="1558" w:type="dxa"/>
            <w:tcBorders>
              <w:top w:val="nil"/>
              <w:left w:val="nil"/>
              <w:right w:val="nil"/>
            </w:tcBorders>
            <w:shd w:val="clear" w:color="auto" w:fill="auto"/>
            <w:noWrap/>
            <w:vAlign w:val="center"/>
          </w:tcPr>
          <w:p w14:paraId="2CAADFC5" w14:textId="0784EE8C" w:rsidR="00F46821"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227</w:t>
            </w:r>
          </w:p>
        </w:tc>
        <w:tc>
          <w:tcPr>
            <w:tcW w:w="1710" w:type="dxa"/>
            <w:tcBorders>
              <w:top w:val="nil"/>
              <w:left w:val="nil"/>
              <w:bottom w:val="nil"/>
              <w:right w:val="nil"/>
            </w:tcBorders>
            <w:shd w:val="clear" w:color="auto" w:fill="auto"/>
            <w:vAlign w:val="center"/>
          </w:tcPr>
          <w:p w14:paraId="5B339ACD" w14:textId="14BA37D9" w:rsidR="00F46821"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color w:val="000000"/>
              </w:rPr>
              <w:t>30.4</w:t>
            </w:r>
          </w:p>
        </w:tc>
        <w:tc>
          <w:tcPr>
            <w:tcW w:w="1529" w:type="dxa"/>
            <w:tcBorders>
              <w:top w:val="nil"/>
              <w:left w:val="nil"/>
              <w:bottom w:val="nil"/>
              <w:right w:val="nil"/>
            </w:tcBorders>
            <w:shd w:val="clear" w:color="auto" w:fill="auto"/>
            <w:noWrap/>
            <w:vAlign w:val="center"/>
          </w:tcPr>
          <w:p w14:paraId="65C685F5" w14:textId="46FD2BF7" w:rsidR="00F46821"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70</w:t>
            </w:r>
          </w:p>
        </w:tc>
        <w:tc>
          <w:tcPr>
            <w:tcW w:w="2187" w:type="dxa"/>
            <w:tcBorders>
              <w:top w:val="nil"/>
              <w:left w:val="nil"/>
              <w:bottom w:val="nil"/>
              <w:right w:val="nil"/>
            </w:tcBorders>
            <w:shd w:val="clear" w:color="auto" w:fill="auto"/>
            <w:noWrap/>
            <w:vAlign w:val="center"/>
          </w:tcPr>
          <w:p w14:paraId="0C0DFFE5" w14:textId="798C7C0B" w:rsidR="00F46821"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365</w:t>
            </w:r>
          </w:p>
        </w:tc>
        <w:tc>
          <w:tcPr>
            <w:tcW w:w="561" w:type="dxa"/>
            <w:tcBorders>
              <w:top w:val="nil"/>
              <w:left w:val="nil"/>
              <w:bottom w:val="nil"/>
              <w:right w:val="nil"/>
            </w:tcBorders>
            <w:shd w:val="clear" w:color="auto" w:fill="auto"/>
            <w:noWrap/>
            <w:vAlign w:val="center"/>
          </w:tcPr>
          <w:p w14:paraId="101E9949" w14:textId="1D7F9F9E" w:rsidR="00F46821"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1</w:t>
            </w:r>
          </w:p>
        </w:tc>
      </w:tr>
      <w:tr w:rsidR="00F46821" w:rsidRPr="00AA6FDD" w14:paraId="004A0F05" w14:textId="77777777" w:rsidTr="00513157">
        <w:trPr>
          <w:trHeight w:val="547"/>
        </w:trPr>
        <w:tc>
          <w:tcPr>
            <w:tcW w:w="1620" w:type="dxa"/>
            <w:tcBorders>
              <w:top w:val="nil"/>
              <w:left w:val="nil"/>
              <w:bottom w:val="nil"/>
              <w:right w:val="nil"/>
            </w:tcBorders>
            <w:shd w:val="clear" w:color="auto" w:fill="auto"/>
            <w:noWrap/>
            <w:vAlign w:val="center"/>
          </w:tcPr>
          <w:p w14:paraId="6367F6AD" w14:textId="04D3ADAF" w:rsidR="00F46821" w:rsidRPr="00AA6FDD" w:rsidRDefault="007A1405"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NHDES</w:t>
            </w:r>
            <w:r w:rsidRPr="004A4DDD">
              <w:rPr>
                <w:rFonts w:ascii="Calibri" w:eastAsia="Times New Roman" w:hAnsi="Calibri" w:cs="Calibri"/>
                <w:color w:val="000000"/>
                <w:vertAlign w:val="superscript"/>
              </w:rPr>
              <w:t>2</w:t>
            </w:r>
          </w:p>
        </w:tc>
        <w:tc>
          <w:tcPr>
            <w:tcW w:w="900" w:type="dxa"/>
            <w:tcBorders>
              <w:top w:val="nil"/>
              <w:left w:val="nil"/>
              <w:bottom w:val="nil"/>
              <w:right w:val="nil"/>
            </w:tcBorders>
            <w:shd w:val="clear" w:color="auto" w:fill="auto"/>
            <w:noWrap/>
            <w:vAlign w:val="center"/>
          </w:tcPr>
          <w:p w14:paraId="266F2DAE" w14:textId="59326564" w:rsidR="00F46821" w:rsidRPr="00AA6FDD"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color w:val="000000"/>
              </w:rPr>
              <w:t>0.64</w:t>
            </w:r>
          </w:p>
        </w:tc>
        <w:tc>
          <w:tcPr>
            <w:tcW w:w="1890" w:type="dxa"/>
            <w:tcBorders>
              <w:top w:val="nil"/>
              <w:left w:val="nil"/>
              <w:bottom w:val="nil"/>
              <w:right w:val="nil"/>
            </w:tcBorders>
            <w:shd w:val="clear" w:color="auto" w:fill="auto"/>
            <w:noWrap/>
            <w:vAlign w:val="center"/>
          </w:tcPr>
          <w:p w14:paraId="5ED75CC8" w14:textId="77777777" w:rsidR="00F46821"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Person of </w:t>
            </w:r>
          </w:p>
          <w:p w14:paraId="12383618" w14:textId="249E0FF8" w:rsidR="00F46821" w:rsidRPr="007B0D10"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color w:val="000000"/>
              </w:rPr>
              <w:t>Child-Bearing Age</w:t>
            </w:r>
          </w:p>
        </w:tc>
        <w:tc>
          <w:tcPr>
            <w:tcW w:w="1640" w:type="dxa"/>
            <w:tcBorders>
              <w:top w:val="nil"/>
              <w:left w:val="nil"/>
              <w:bottom w:val="nil"/>
              <w:right w:val="nil"/>
            </w:tcBorders>
            <w:shd w:val="clear" w:color="auto" w:fill="auto"/>
            <w:noWrap/>
            <w:vAlign w:val="center"/>
          </w:tcPr>
          <w:p w14:paraId="73D80B5E" w14:textId="17278C81"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3</w:t>
            </w:r>
          </w:p>
        </w:tc>
        <w:tc>
          <w:tcPr>
            <w:tcW w:w="1558" w:type="dxa"/>
            <w:tcBorders>
              <w:top w:val="nil"/>
              <w:left w:val="nil"/>
              <w:right w:val="nil"/>
            </w:tcBorders>
            <w:shd w:val="clear" w:color="auto" w:fill="auto"/>
            <w:noWrap/>
            <w:vAlign w:val="center"/>
          </w:tcPr>
          <w:p w14:paraId="423906AA" w14:textId="3CD8F2E7" w:rsidR="00F46821" w:rsidRPr="00AA6FDD"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color w:val="000000"/>
              </w:rPr>
              <w:t>227</w:t>
            </w:r>
          </w:p>
        </w:tc>
        <w:tc>
          <w:tcPr>
            <w:tcW w:w="1710" w:type="dxa"/>
            <w:tcBorders>
              <w:top w:val="nil"/>
              <w:left w:val="nil"/>
              <w:bottom w:val="nil"/>
              <w:right w:val="nil"/>
            </w:tcBorders>
            <w:shd w:val="clear" w:color="auto" w:fill="auto"/>
            <w:vAlign w:val="center"/>
          </w:tcPr>
          <w:p w14:paraId="3BA98FD7" w14:textId="7EE87BC6" w:rsidR="00F46821" w:rsidRPr="00AA6FDD"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color w:val="000000"/>
              </w:rPr>
              <w:t>30.4</w:t>
            </w:r>
          </w:p>
        </w:tc>
        <w:tc>
          <w:tcPr>
            <w:tcW w:w="1529" w:type="dxa"/>
            <w:tcBorders>
              <w:top w:val="nil"/>
              <w:left w:val="nil"/>
              <w:bottom w:val="nil"/>
              <w:right w:val="nil"/>
            </w:tcBorders>
            <w:shd w:val="clear" w:color="auto" w:fill="auto"/>
            <w:noWrap/>
            <w:vAlign w:val="center"/>
          </w:tcPr>
          <w:p w14:paraId="72FFF881" w14:textId="65597C93" w:rsidR="00F46821" w:rsidRPr="00AA6FDD"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color w:val="000000"/>
              </w:rPr>
              <w:t>61</w:t>
            </w:r>
          </w:p>
        </w:tc>
        <w:tc>
          <w:tcPr>
            <w:tcW w:w="2187" w:type="dxa"/>
            <w:tcBorders>
              <w:top w:val="nil"/>
              <w:left w:val="nil"/>
              <w:bottom w:val="nil"/>
              <w:right w:val="nil"/>
            </w:tcBorders>
            <w:shd w:val="clear" w:color="auto" w:fill="auto"/>
            <w:noWrap/>
            <w:vAlign w:val="center"/>
          </w:tcPr>
          <w:p w14:paraId="60ED5F0D" w14:textId="701E7FD5" w:rsidR="00F46821" w:rsidRPr="00AA6FDD"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color w:val="000000"/>
              </w:rPr>
              <w:t>365</w:t>
            </w:r>
          </w:p>
        </w:tc>
        <w:tc>
          <w:tcPr>
            <w:tcW w:w="561" w:type="dxa"/>
            <w:tcBorders>
              <w:top w:val="nil"/>
              <w:left w:val="nil"/>
              <w:bottom w:val="nil"/>
              <w:right w:val="nil"/>
            </w:tcBorders>
            <w:shd w:val="clear" w:color="auto" w:fill="auto"/>
            <w:noWrap/>
            <w:vAlign w:val="center"/>
          </w:tcPr>
          <w:p w14:paraId="0D646F09" w14:textId="4B73741D" w:rsidR="00F46821" w:rsidRPr="00AA6FDD"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color w:val="000000"/>
              </w:rPr>
              <w:t>0.8</w:t>
            </w:r>
          </w:p>
        </w:tc>
      </w:tr>
      <w:tr w:rsidR="00F46821" w:rsidRPr="00AA6FDD" w14:paraId="7B757575" w14:textId="77777777" w:rsidTr="00513157">
        <w:trPr>
          <w:trHeight w:val="547"/>
        </w:trPr>
        <w:tc>
          <w:tcPr>
            <w:tcW w:w="1620" w:type="dxa"/>
            <w:tcBorders>
              <w:top w:val="nil"/>
              <w:left w:val="nil"/>
              <w:bottom w:val="nil"/>
              <w:right w:val="nil"/>
            </w:tcBorders>
            <w:shd w:val="clear" w:color="auto" w:fill="auto"/>
            <w:noWrap/>
            <w:vAlign w:val="center"/>
            <w:hideMark/>
          </w:tcPr>
          <w:p w14:paraId="354E4DBE" w14:textId="7135D7AD"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NHDES</w:t>
            </w:r>
            <w:r w:rsidR="007A1405" w:rsidRPr="007A1405">
              <w:rPr>
                <w:rFonts w:ascii="Calibri" w:eastAsia="Times New Roman" w:hAnsi="Calibri" w:cs="Calibri"/>
                <w:color w:val="000000"/>
                <w:vertAlign w:val="superscript"/>
              </w:rPr>
              <w:t>2</w:t>
            </w:r>
          </w:p>
        </w:tc>
        <w:tc>
          <w:tcPr>
            <w:tcW w:w="900" w:type="dxa"/>
            <w:tcBorders>
              <w:top w:val="nil"/>
              <w:left w:val="nil"/>
              <w:bottom w:val="nil"/>
              <w:right w:val="nil"/>
            </w:tcBorders>
            <w:shd w:val="clear" w:color="auto" w:fill="auto"/>
            <w:noWrap/>
            <w:vAlign w:val="center"/>
            <w:hideMark/>
          </w:tcPr>
          <w:p w14:paraId="18093683" w14:textId="10660A78" w:rsidR="00F46821" w:rsidRPr="00AA6FDD" w:rsidRDefault="00F46821" w:rsidP="0054393D">
            <w:pPr>
              <w:spacing w:after="0" w:line="240" w:lineRule="auto"/>
              <w:jc w:val="center"/>
              <w:rPr>
                <w:rFonts w:ascii="Calibri" w:eastAsia="Times New Roman" w:hAnsi="Calibri" w:cs="Calibri"/>
                <w:color w:val="000000"/>
              </w:rPr>
            </w:pPr>
            <w:r w:rsidRPr="11C90A92">
              <w:rPr>
                <w:rFonts w:ascii="Calibri" w:eastAsia="Times New Roman" w:hAnsi="Calibri" w:cs="Calibri"/>
                <w:color w:val="000000" w:themeColor="text1"/>
              </w:rPr>
              <w:t>0.85</w:t>
            </w:r>
          </w:p>
        </w:tc>
        <w:tc>
          <w:tcPr>
            <w:tcW w:w="1890" w:type="dxa"/>
            <w:tcBorders>
              <w:top w:val="nil"/>
              <w:left w:val="nil"/>
              <w:bottom w:val="nil"/>
              <w:right w:val="nil"/>
            </w:tcBorders>
            <w:shd w:val="clear" w:color="auto" w:fill="auto"/>
            <w:noWrap/>
            <w:vAlign w:val="center"/>
            <w:hideMark/>
          </w:tcPr>
          <w:p w14:paraId="347CF3D1" w14:textId="77777777" w:rsidR="00F46821" w:rsidRPr="007B0D10" w:rsidRDefault="00F46821" w:rsidP="0054393D">
            <w:pPr>
              <w:spacing w:after="0" w:line="240" w:lineRule="auto"/>
              <w:jc w:val="center"/>
              <w:rPr>
                <w:rFonts w:ascii="Calibri" w:eastAsia="Times New Roman" w:hAnsi="Calibri" w:cs="Calibri"/>
                <w:color w:val="000000"/>
              </w:rPr>
            </w:pPr>
            <w:r w:rsidRPr="007B0D10">
              <w:rPr>
                <w:rFonts w:ascii="Calibri" w:eastAsia="Times New Roman" w:hAnsi="Calibri" w:cs="Calibri"/>
                <w:color w:val="000000"/>
              </w:rPr>
              <w:t>Adult</w:t>
            </w:r>
          </w:p>
        </w:tc>
        <w:tc>
          <w:tcPr>
            <w:tcW w:w="1640" w:type="dxa"/>
            <w:tcBorders>
              <w:top w:val="nil"/>
              <w:left w:val="nil"/>
              <w:bottom w:val="nil"/>
              <w:right w:val="nil"/>
            </w:tcBorders>
            <w:shd w:val="clear" w:color="auto" w:fill="auto"/>
            <w:noWrap/>
            <w:vAlign w:val="center"/>
            <w:hideMark/>
          </w:tcPr>
          <w:p w14:paraId="48D21521" w14:textId="77777777"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3</w:t>
            </w:r>
          </w:p>
        </w:tc>
        <w:tc>
          <w:tcPr>
            <w:tcW w:w="1558" w:type="dxa"/>
            <w:tcBorders>
              <w:left w:val="nil"/>
              <w:bottom w:val="nil"/>
              <w:right w:val="nil"/>
            </w:tcBorders>
            <w:shd w:val="clear" w:color="auto" w:fill="auto"/>
            <w:noWrap/>
            <w:vAlign w:val="center"/>
            <w:hideMark/>
          </w:tcPr>
          <w:p w14:paraId="3E8164F6" w14:textId="1BC3FC10" w:rsidR="00F46821" w:rsidRPr="00AA6FDD"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color w:val="000000"/>
              </w:rPr>
              <w:t>227</w:t>
            </w:r>
          </w:p>
        </w:tc>
        <w:tc>
          <w:tcPr>
            <w:tcW w:w="1710" w:type="dxa"/>
            <w:tcBorders>
              <w:top w:val="nil"/>
              <w:left w:val="nil"/>
              <w:bottom w:val="nil"/>
              <w:right w:val="nil"/>
            </w:tcBorders>
            <w:shd w:val="clear" w:color="auto" w:fill="auto"/>
            <w:vAlign w:val="center"/>
            <w:hideMark/>
          </w:tcPr>
          <w:p w14:paraId="121614CF" w14:textId="78B8A840" w:rsidR="00F46821" w:rsidRPr="00AA6FDD"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color w:val="000000"/>
              </w:rPr>
              <w:t>30.4</w:t>
            </w:r>
          </w:p>
        </w:tc>
        <w:tc>
          <w:tcPr>
            <w:tcW w:w="1529" w:type="dxa"/>
            <w:tcBorders>
              <w:top w:val="nil"/>
              <w:left w:val="nil"/>
              <w:bottom w:val="nil"/>
              <w:right w:val="nil"/>
            </w:tcBorders>
            <w:shd w:val="clear" w:color="auto" w:fill="auto"/>
            <w:noWrap/>
            <w:vAlign w:val="center"/>
            <w:hideMark/>
          </w:tcPr>
          <w:p w14:paraId="74291673" w14:textId="77777777"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80</w:t>
            </w:r>
          </w:p>
        </w:tc>
        <w:tc>
          <w:tcPr>
            <w:tcW w:w="2187" w:type="dxa"/>
            <w:tcBorders>
              <w:top w:val="nil"/>
              <w:left w:val="nil"/>
              <w:bottom w:val="nil"/>
              <w:right w:val="nil"/>
            </w:tcBorders>
            <w:shd w:val="clear" w:color="auto" w:fill="auto"/>
            <w:noWrap/>
            <w:vAlign w:val="center"/>
            <w:hideMark/>
          </w:tcPr>
          <w:p w14:paraId="674F1E08" w14:textId="319D6DBA" w:rsidR="00F46821" w:rsidRPr="00AA6FDD"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color w:val="000000"/>
              </w:rPr>
              <w:t>365</w:t>
            </w:r>
          </w:p>
        </w:tc>
        <w:tc>
          <w:tcPr>
            <w:tcW w:w="561" w:type="dxa"/>
            <w:tcBorders>
              <w:top w:val="nil"/>
              <w:left w:val="nil"/>
              <w:bottom w:val="nil"/>
              <w:right w:val="nil"/>
            </w:tcBorders>
            <w:shd w:val="clear" w:color="auto" w:fill="auto"/>
            <w:noWrap/>
            <w:vAlign w:val="center"/>
            <w:hideMark/>
          </w:tcPr>
          <w:p w14:paraId="6D89D878" w14:textId="6DDE22E1" w:rsidR="00F46821" w:rsidRPr="00AA6FDD" w:rsidRDefault="00F46821" w:rsidP="0054393D">
            <w:pPr>
              <w:spacing w:after="0" w:line="240" w:lineRule="auto"/>
              <w:jc w:val="center"/>
              <w:rPr>
                <w:rFonts w:ascii="Calibri" w:eastAsia="Times New Roman" w:hAnsi="Calibri" w:cs="Calibri"/>
                <w:color w:val="000000"/>
              </w:rPr>
            </w:pPr>
            <w:r w:rsidRPr="11C90A92">
              <w:rPr>
                <w:rFonts w:ascii="Calibri" w:eastAsia="Times New Roman" w:hAnsi="Calibri" w:cs="Calibri"/>
                <w:color w:val="000000" w:themeColor="text1"/>
              </w:rPr>
              <w:t>0.8</w:t>
            </w:r>
          </w:p>
        </w:tc>
      </w:tr>
      <w:tr w:rsidR="00F46821" w:rsidRPr="00AA6FDD" w14:paraId="0C078BF7" w14:textId="77777777" w:rsidTr="00513157">
        <w:trPr>
          <w:trHeight w:val="547"/>
        </w:trPr>
        <w:tc>
          <w:tcPr>
            <w:tcW w:w="1620" w:type="dxa"/>
            <w:tcBorders>
              <w:top w:val="nil"/>
              <w:left w:val="nil"/>
              <w:bottom w:val="nil"/>
              <w:right w:val="nil"/>
            </w:tcBorders>
            <w:shd w:val="clear" w:color="auto" w:fill="auto"/>
            <w:noWrap/>
            <w:vAlign w:val="center"/>
          </w:tcPr>
          <w:p w14:paraId="309CE68D" w14:textId="3397E126" w:rsidR="00F46821" w:rsidRPr="00AA6FDD" w:rsidRDefault="00F46821" w:rsidP="0054393D">
            <w:pPr>
              <w:spacing w:after="0" w:line="240" w:lineRule="auto"/>
              <w:jc w:val="center"/>
              <w:rPr>
                <w:rFonts w:ascii="Calibri" w:eastAsia="Times New Roman" w:hAnsi="Calibri" w:cs="Calibri"/>
                <w:color w:val="000000"/>
              </w:rPr>
            </w:pPr>
            <w:r w:rsidRPr="00310290">
              <w:rPr>
                <w:rFonts w:ascii="Calibri" w:eastAsia="Times New Roman" w:hAnsi="Calibri" w:cs="Calibri"/>
              </w:rPr>
              <w:t>OHA</w:t>
            </w:r>
          </w:p>
        </w:tc>
        <w:tc>
          <w:tcPr>
            <w:tcW w:w="900" w:type="dxa"/>
            <w:tcBorders>
              <w:top w:val="nil"/>
              <w:left w:val="nil"/>
              <w:bottom w:val="nil"/>
              <w:right w:val="nil"/>
            </w:tcBorders>
            <w:shd w:val="clear" w:color="auto" w:fill="auto"/>
            <w:noWrap/>
            <w:vAlign w:val="center"/>
          </w:tcPr>
          <w:p w14:paraId="0E458013" w14:textId="21433A32" w:rsidR="00F46821" w:rsidRPr="00AA6FDD"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rPr>
              <w:t>2</w:t>
            </w:r>
          </w:p>
        </w:tc>
        <w:tc>
          <w:tcPr>
            <w:tcW w:w="1890" w:type="dxa"/>
            <w:tcBorders>
              <w:top w:val="nil"/>
              <w:left w:val="nil"/>
              <w:bottom w:val="nil"/>
              <w:right w:val="nil"/>
            </w:tcBorders>
            <w:shd w:val="clear" w:color="auto" w:fill="auto"/>
            <w:noWrap/>
            <w:vAlign w:val="center"/>
          </w:tcPr>
          <w:p w14:paraId="1B4F0C02" w14:textId="34E927B7" w:rsidR="00F46821" w:rsidRPr="00AA6FDD" w:rsidRDefault="00F46821" w:rsidP="0054393D">
            <w:pPr>
              <w:spacing w:after="0" w:line="240" w:lineRule="auto"/>
              <w:jc w:val="center"/>
              <w:rPr>
                <w:rFonts w:ascii="Calibri" w:eastAsia="Times New Roman" w:hAnsi="Calibri" w:cs="Calibri"/>
                <w:color w:val="000000"/>
              </w:rPr>
            </w:pPr>
            <w:r w:rsidRPr="00487044">
              <w:rPr>
                <w:rFonts w:ascii="Calibri" w:eastAsia="Times New Roman" w:hAnsi="Calibri" w:cs="Calibri"/>
              </w:rPr>
              <w:t>Adult</w:t>
            </w:r>
          </w:p>
        </w:tc>
        <w:tc>
          <w:tcPr>
            <w:tcW w:w="1640" w:type="dxa"/>
            <w:tcBorders>
              <w:top w:val="nil"/>
              <w:left w:val="nil"/>
              <w:bottom w:val="nil"/>
              <w:right w:val="nil"/>
            </w:tcBorders>
            <w:shd w:val="clear" w:color="auto" w:fill="auto"/>
            <w:noWrap/>
            <w:vAlign w:val="center"/>
          </w:tcPr>
          <w:p w14:paraId="1D07D095" w14:textId="6336F131" w:rsidR="00F46821" w:rsidRPr="00AA6FDD" w:rsidRDefault="00F46821" w:rsidP="0054393D">
            <w:pPr>
              <w:spacing w:after="0" w:line="240" w:lineRule="auto"/>
              <w:jc w:val="center"/>
              <w:rPr>
                <w:rFonts w:ascii="Calibri" w:eastAsia="Times New Roman" w:hAnsi="Calibri" w:cs="Calibri"/>
                <w:color w:val="000000"/>
              </w:rPr>
            </w:pPr>
            <w:r w:rsidRPr="00487044">
              <w:rPr>
                <w:rFonts w:ascii="Calibri" w:eastAsia="Times New Roman" w:hAnsi="Calibri" w:cs="Calibri"/>
              </w:rPr>
              <w:t>4.1</w:t>
            </w:r>
          </w:p>
        </w:tc>
        <w:tc>
          <w:tcPr>
            <w:tcW w:w="1558" w:type="dxa"/>
            <w:tcBorders>
              <w:top w:val="nil"/>
              <w:left w:val="nil"/>
              <w:bottom w:val="nil"/>
              <w:right w:val="nil"/>
            </w:tcBorders>
            <w:shd w:val="clear" w:color="auto" w:fill="auto"/>
            <w:noWrap/>
            <w:vAlign w:val="center"/>
          </w:tcPr>
          <w:p w14:paraId="4FD9B07B" w14:textId="1CF8A6FA" w:rsidR="00F46821" w:rsidRPr="00AA6FDD" w:rsidRDefault="00C30FDF" w:rsidP="0054393D">
            <w:pPr>
              <w:spacing w:after="0" w:line="240" w:lineRule="auto"/>
              <w:jc w:val="center"/>
              <w:rPr>
                <w:rFonts w:ascii="Calibri" w:eastAsia="Times New Roman" w:hAnsi="Calibri" w:cs="Calibri"/>
                <w:color w:val="000000"/>
              </w:rPr>
            </w:pPr>
            <w:r>
              <w:rPr>
                <w:rFonts w:ascii="Calibri" w:eastAsia="Times New Roman" w:hAnsi="Calibri" w:cs="Calibri"/>
              </w:rPr>
              <w:t>227</w:t>
            </w:r>
          </w:p>
        </w:tc>
        <w:tc>
          <w:tcPr>
            <w:tcW w:w="1710" w:type="dxa"/>
            <w:tcBorders>
              <w:top w:val="nil"/>
              <w:left w:val="nil"/>
              <w:bottom w:val="nil"/>
              <w:right w:val="nil"/>
            </w:tcBorders>
            <w:shd w:val="clear" w:color="auto" w:fill="auto"/>
            <w:vAlign w:val="center"/>
          </w:tcPr>
          <w:p w14:paraId="53905846" w14:textId="321CF4CC" w:rsidR="00F46821" w:rsidRPr="00AA6FDD"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rPr>
              <w:t>23</w:t>
            </w:r>
          </w:p>
        </w:tc>
        <w:tc>
          <w:tcPr>
            <w:tcW w:w="1529" w:type="dxa"/>
            <w:tcBorders>
              <w:top w:val="nil"/>
              <w:left w:val="nil"/>
              <w:bottom w:val="nil"/>
              <w:right w:val="nil"/>
            </w:tcBorders>
            <w:shd w:val="clear" w:color="auto" w:fill="auto"/>
            <w:noWrap/>
            <w:vAlign w:val="center"/>
          </w:tcPr>
          <w:p w14:paraId="63974D05" w14:textId="560C32DE" w:rsidR="00F46821" w:rsidRPr="00AA6FDD" w:rsidRDefault="00F46821" w:rsidP="0054393D">
            <w:pPr>
              <w:spacing w:after="0" w:line="240" w:lineRule="auto"/>
              <w:jc w:val="center"/>
              <w:rPr>
                <w:rFonts w:ascii="Calibri" w:eastAsia="Times New Roman" w:hAnsi="Calibri" w:cs="Calibri"/>
                <w:color w:val="000000"/>
              </w:rPr>
            </w:pPr>
            <w:r w:rsidRPr="00487044">
              <w:rPr>
                <w:rFonts w:ascii="Calibri" w:eastAsia="Times New Roman" w:hAnsi="Calibri" w:cs="Calibri"/>
              </w:rPr>
              <w:t>70</w:t>
            </w:r>
          </w:p>
        </w:tc>
        <w:tc>
          <w:tcPr>
            <w:tcW w:w="2187" w:type="dxa"/>
            <w:tcBorders>
              <w:top w:val="nil"/>
              <w:left w:val="nil"/>
              <w:bottom w:val="nil"/>
              <w:right w:val="nil"/>
            </w:tcBorders>
            <w:shd w:val="clear" w:color="auto" w:fill="auto"/>
            <w:noWrap/>
            <w:vAlign w:val="center"/>
          </w:tcPr>
          <w:p w14:paraId="3E729F9E" w14:textId="7D58B6AE" w:rsidR="00F46821" w:rsidRPr="00AA6FDD" w:rsidRDefault="6F2F44D4" w:rsidP="0054393D">
            <w:pPr>
              <w:spacing w:after="0" w:line="240" w:lineRule="auto"/>
              <w:jc w:val="center"/>
              <w:rPr>
                <w:rFonts w:ascii="Calibri" w:eastAsia="Times New Roman" w:hAnsi="Calibri" w:cs="Calibri"/>
                <w:color w:val="000000"/>
              </w:rPr>
            </w:pPr>
            <w:r w:rsidRPr="11C90A92">
              <w:rPr>
                <w:rFonts w:ascii="Calibri" w:eastAsia="Times New Roman" w:hAnsi="Calibri" w:cs="Calibri"/>
              </w:rPr>
              <w:t>276</w:t>
            </w:r>
          </w:p>
        </w:tc>
        <w:tc>
          <w:tcPr>
            <w:tcW w:w="561" w:type="dxa"/>
            <w:tcBorders>
              <w:top w:val="nil"/>
              <w:left w:val="nil"/>
              <w:bottom w:val="nil"/>
              <w:right w:val="nil"/>
            </w:tcBorders>
            <w:shd w:val="clear" w:color="auto" w:fill="auto"/>
            <w:noWrap/>
            <w:vAlign w:val="center"/>
          </w:tcPr>
          <w:p w14:paraId="4E625254" w14:textId="7FC7CEEC" w:rsidR="00F46821" w:rsidRPr="004B1519" w:rsidRDefault="00F46821" w:rsidP="0054393D">
            <w:pPr>
              <w:spacing w:after="0" w:line="240" w:lineRule="auto"/>
              <w:jc w:val="center"/>
              <w:rPr>
                <w:rFonts w:ascii="Calibri" w:eastAsia="Times New Roman" w:hAnsi="Calibri" w:cs="Calibri"/>
                <w:color w:val="000000"/>
              </w:rPr>
            </w:pPr>
            <w:r w:rsidRPr="11C90A92">
              <w:rPr>
                <w:rFonts w:ascii="Calibri" w:eastAsia="Times New Roman" w:hAnsi="Calibri" w:cs="Calibri"/>
                <w:color w:val="000000" w:themeColor="text1"/>
              </w:rPr>
              <w:t>1</w:t>
            </w:r>
          </w:p>
        </w:tc>
      </w:tr>
      <w:tr w:rsidR="00F46821" w:rsidRPr="00AA6FDD" w14:paraId="1ABA1E2B" w14:textId="77777777" w:rsidTr="00513157">
        <w:trPr>
          <w:trHeight w:val="547"/>
        </w:trPr>
        <w:tc>
          <w:tcPr>
            <w:tcW w:w="1620" w:type="dxa"/>
            <w:tcBorders>
              <w:top w:val="nil"/>
              <w:left w:val="nil"/>
              <w:bottom w:val="nil"/>
              <w:right w:val="nil"/>
            </w:tcBorders>
            <w:shd w:val="clear" w:color="auto" w:fill="auto"/>
            <w:noWrap/>
            <w:vAlign w:val="center"/>
          </w:tcPr>
          <w:p w14:paraId="2C0F57D5" w14:textId="777EFCBD" w:rsidR="00F46821" w:rsidRPr="00AA6FDD" w:rsidRDefault="00F46821" w:rsidP="0054393D">
            <w:pPr>
              <w:spacing w:after="0" w:line="240" w:lineRule="auto"/>
              <w:jc w:val="center"/>
              <w:rPr>
                <w:rFonts w:ascii="Calibri" w:eastAsia="Times New Roman" w:hAnsi="Calibri" w:cs="Calibri"/>
                <w:color w:val="000000"/>
              </w:rPr>
            </w:pPr>
            <w:r w:rsidRPr="00452437">
              <w:rPr>
                <w:rFonts w:ascii="Calibri" w:eastAsia="Times New Roman" w:hAnsi="Calibri" w:cs="Calibri"/>
              </w:rPr>
              <w:t>ME CDC</w:t>
            </w:r>
            <w:r w:rsidR="00C91C11" w:rsidRPr="00C91C11">
              <w:rPr>
                <w:rFonts w:ascii="Calibri" w:eastAsia="Times New Roman" w:hAnsi="Calibri" w:cs="Calibri"/>
                <w:vertAlign w:val="superscript"/>
              </w:rPr>
              <w:t>4</w:t>
            </w:r>
          </w:p>
        </w:tc>
        <w:tc>
          <w:tcPr>
            <w:tcW w:w="900" w:type="dxa"/>
            <w:tcBorders>
              <w:top w:val="nil"/>
              <w:left w:val="nil"/>
              <w:bottom w:val="nil"/>
              <w:right w:val="nil"/>
            </w:tcBorders>
            <w:shd w:val="clear" w:color="auto" w:fill="auto"/>
            <w:noWrap/>
            <w:vAlign w:val="center"/>
          </w:tcPr>
          <w:p w14:paraId="63A9476A" w14:textId="7D4C232C" w:rsidR="00F46821" w:rsidRPr="00AA6FDD" w:rsidRDefault="00F46821" w:rsidP="0054393D">
            <w:pPr>
              <w:spacing w:after="0" w:line="240" w:lineRule="auto"/>
              <w:jc w:val="center"/>
              <w:rPr>
                <w:rFonts w:ascii="Calibri" w:eastAsia="Times New Roman" w:hAnsi="Calibri" w:cs="Calibri"/>
                <w:color w:val="000000"/>
              </w:rPr>
            </w:pPr>
            <w:r w:rsidRPr="002820C3">
              <w:rPr>
                <w:rFonts w:ascii="Calibri" w:eastAsia="Times New Roman" w:hAnsi="Calibri" w:cs="Calibri"/>
                <w:color w:val="000000"/>
              </w:rPr>
              <w:t>3.5</w:t>
            </w:r>
          </w:p>
        </w:tc>
        <w:tc>
          <w:tcPr>
            <w:tcW w:w="1890" w:type="dxa"/>
            <w:tcBorders>
              <w:top w:val="nil"/>
              <w:left w:val="nil"/>
              <w:bottom w:val="nil"/>
              <w:right w:val="nil"/>
            </w:tcBorders>
            <w:shd w:val="clear" w:color="auto" w:fill="auto"/>
            <w:vAlign w:val="center"/>
          </w:tcPr>
          <w:p w14:paraId="7025A0D2" w14:textId="028BE0A7" w:rsidR="00F46821" w:rsidRPr="00AA6FDD" w:rsidRDefault="00F46821" w:rsidP="0054393D">
            <w:pPr>
              <w:spacing w:after="0" w:line="240" w:lineRule="auto"/>
              <w:jc w:val="center"/>
              <w:rPr>
                <w:rFonts w:ascii="Calibri" w:eastAsia="Times New Roman" w:hAnsi="Calibri" w:cs="Calibri"/>
                <w:color w:val="000000"/>
              </w:rPr>
            </w:pPr>
            <w:r w:rsidRPr="00C91C11">
              <w:rPr>
                <w:rFonts w:ascii="Calibri" w:eastAsia="Times New Roman" w:hAnsi="Calibri" w:cs="Calibri"/>
                <w:color w:val="000000"/>
              </w:rPr>
              <w:t>Adult</w:t>
            </w:r>
            <w:r w:rsidR="0027278B" w:rsidRPr="00C91C11">
              <w:rPr>
                <w:rFonts w:ascii="Calibri" w:eastAsia="Times New Roman" w:hAnsi="Calibri" w:cs="Calibri"/>
                <w:i/>
                <w:iCs/>
                <w:color w:val="000000"/>
                <w:vertAlign w:val="superscript"/>
              </w:rPr>
              <w:t>3</w:t>
            </w:r>
          </w:p>
        </w:tc>
        <w:tc>
          <w:tcPr>
            <w:tcW w:w="1640" w:type="dxa"/>
            <w:tcBorders>
              <w:top w:val="nil"/>
              <w:left w:val="nil"/>
              <w:bottom w:val="nil"/>
              <w:right w:val="nil"/>
            </w:tcBorders>
            <w:shd w:val="clear" w:color="auto" w:fill="auto"/>
            <w:noWrap/>
            <w:vAlign w:val="center"/>
          </w:tcPr>
          <w:p w14:paraId="462429BA" w14:textId="4A9E7940" w:rsidR="00F46821" w:rsidRPr="00AA6FDD" w:rsidRDefault="00F46821" w:rsidP="0054393D">
            <w:pPr>
              <w:spacing w:after="0" w:line="240" w:lineRule="auto"/>
              <w:jc w:val="center"/>
              <w:rPr>
                <w:rFonts w:ascii="Calibri" w:eastAsia="Times New Roman" w:hAnsi="Calibri" w:cs="Calibri"/>
                <w:color w:val="000000"/>
              </w:rPr>
            </w:pPr>
            <w:r w:rsidRPr="00665816">
              <w:rPr>
                <w:rFonts w:ascii="Calibri" w:eastAsia="Times New Roman" w:hAnsi="Calibri" w:cs="Calibri"/>
                <w:color w:val="000000"/>
              </w:rPr>
              <w:t>2</w:t>
            </w:r>
          </w:p>
        </w:tc>
        <w:tc>
          <w:tcPr>
            <w:tcW w:w="1558" w:type="dxa"/>
            <w:tcBorders>
              <w:top w:val="nil"/>
              <w:left w:val="nil"/>
              <w:bottom w:val="nil"/>
              <w:right w:val="nil"/>
            </w:tcBorders>
            <w:shd w:val="clear" w:color="auto" w:fill="auto"/>
            <w:noWrap/>
            <w:vAlign w:val="center"/>
          </w:tcPr>
          <w:p w14:paraId="7461AD18" w14:textId="59F932CC" w:rsidR="00F46821" w:rsidRPr="00AA6FDD" w:rsidRDefault="00C30FDF" w:rsidP="0054393D">
            <w:pPr>
              <w:spacing w:after="0" w:line="240" w:lineRule="auto"/>
              <w:jc w:val="center"/>
              <w:rPr>
                <w:rFonts w:ascii="Calibri" w:eastAsia="Times New Roman" w:hAnsi="Calibri" w:cs="Calibri"/>
                <w:color w:val="000000"/>
              </w:rPr>
            </w:pPr>
            <w:r>
              <w:rPr>
                <w:rFonts w:ascii="Calibri" w:eastAsia="Times New Roman" w:hAnsi="Calibri" w:cs="Calibri"/>
              </w:rPr>
              <w:t>227</w:t>
            </w:r>
          </w:p>
        </w:tc>
        <w:tc>
          <w:tcPr>
            <w:tcW w:w="1710" w:type="dxa"/>
            <w:tcBorders>
              <w:top w:val="nil"/>
              <w:left w:val="nil"/>
              <w:bottom w:val="nil"/>
              <w:right w:val="nil"/>
            </w:tcBorders>
            <w:shd w:val="clear" w:color="auto" w:fill="auto"/>
            <w:vAlign w:val="center"/>
          </w:tcPr>
          <w:p w14:paraId="73AD8508" w14:textId="0B2A097D" w:rsidR="00F46821" w:rsidRPr="00AA6FDD" w:rsidRDefault="00F46821" w:rsidP="0054393D">
            <w:pPr>
              <w:spacing w:after="0" w:line="240" w:lineRule="auto"/>
              <w:jc w:val="center"/>
              <w:rPr>
                <w:rFonts w:ascii="Calibri" w:eastAsia="Times New Roman" w:hAnsi="Calibri" w:cs="Calibri"/>
                <w:color w:val="000000"/>
              </w:rPr>
            </w:pPr>
            <w:r w:rsidRPr="00F13531">
              <w:rPr>
                <w:rFonts w:ascii="Calibri" w:eastAsia="Times New Roman" w:hAnsi="Calibri" w:cs="Calibri"/>
                <w:color w:val="000000"/>
              </w:rPr>
              <w:t>4</w:t>
            </w:r>
            <w:r>
              <w:rPr>
                <w:rFonts w:ascii="Calibri" w:eastAsia="Times New Roman" w:hAnsi="Calibri" w:cs="Calibri"/>
                <w:color w:val="000000"/>
              </w:rPr>
              <w:t>.3</w:t>
            </w:r>
          </w:p>
        </w:tc>
        <w:tc>
          <w:tcPr>
            <w:tcW w:w="1529" w:type="dxa"/>
            <w:tcBorders>
              <w:top w:val="nil"/>
              <w:left w:val="nil"/>
              <w:bottom w:val="nil"/>
              <w:right w:val="nil"/>
            </w:tcBorders>
            <w:shd w:val="clear" w:color="auto" w:fill="auto"/>
            <w:noWrap/>
            <w:vAlign w:val="center"/>
          </w:tcPr>
          <w:p w14:paraId="62D58322" w14:textId="66BAC7F7" w:rsidR="00F46821" w:rsidRPr="00AA6FDD" w:rsidRDefault="00F46821" w:rsidP="0054393D">
            <w:pPr>
              <w:spacing w:after="0" w:line="240" w:lineRule="auto"/>
              <w:jc w:val="center"/>
              <w:rPr>
                <w:rFonts w:ascii="Calibri" w:eastAsia="Times New Roman" w:hAnsi="Calibri" w:cs="Calibri"/>
                <w:color w:val="000000"/>
              </w:rPr>
            </w:pPr>
            <w:r w:rsidRPr="00F13531">
              <w:rPr>
                <w:rFonts w:ascii="Calibri" w:eastAsia="Times New Roman" w:hAnsi="Calibri" w:cs="Calibri"/>
                <w:color w:val="000000"/>
              </w:rPr>
              <w:t>80</w:t>
            </w:r>
          </w:p>
        </w:tc>
        <w:tc>
          <w:tcPr>
            <w:tcW w:w="2187" w:type="dxa"/>
            <w:tcBorders>
              <w:top w:val="nil"/>
              <w:left w:val="nil"/>
              <w:bottom w:val="nil"/>
              <w:right w:val="nil"/>
            </w:tcBorders>
            <w:shd w:val="clear" w:color="auto" w:fill="auto"/>
            <w:noWrap/>
            <w:vAlign w:val="center"/>
          </w:tcPr>
          <w:p w14:paraId="341499AD" w14:textId="0E345255" w:rsidR="00F46821" w:rsidRPr="00AA6FDD" w:rsidRDefault="4933DD9F" w:rsidP="0054393D">
            <w:pPr>
              <w:spacing w:after="0" w:line="240" w:lineRule="auto"/>
              <w:jc w:val="center"/>
              <w:rPr>
                <w:rFonts w:ascii="Calibri" w:eastAsia="Times New Roman" w:hAnsi="Calibri" w:cs="Calibri"/>
                <w:color w:val="000000"/>
              </w:rPr>
            </w:pPr>
            <w:r w:rsidRPr="11C90A92">
              <w:rPr>
                <w:rFonts w:ascii="Calibri" w:eastAsia="Times New Roman" w:hAnsi="Calibri" w:cs="Calibri"/>
                <w:color w:val="000000" w:themeColor="text1"/>
              </w:rPr>
              <w:t>52.1</w:t>
            </w:r>
          </w:p>
        </w:tc>
        <w:tc>
          <w:tcPr>
            <w:tcW w:w="561" w:type="dxa"/>
            <w:tcBorders>
              <w:top w:val="nil"/>
              <w:left w:val="nil"/>
              <w:bottom w:val="nil"/>
              <w:right w:val="nil"/>
            </w:tcBorders>
            <w:shd w:val="clear" w:color="auto" w:fill="auto"/>
            <w:noWrap/>
            <w:vAlign w:val="center"/>
          </w:tcPr>
          <w:p w14:paraId="15585206" w14:textId="6C4E3BCD" w:rsidR="00F46821" w:rsidRPr="00AA6FDD" w:rsidRDefault="00F46821" w:rsidP="0054393D">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Pr="005C4791">
              <w:rPr>
                <w:rFonts w:ascii="Calibri" w:eastAsia="Times New Roman" w:hAnsi="Calibri" w:cs="Calibri"/>
                <w:color w:val="000000"/>
              </w:rPr>
              <w:t>.7</w:t>
            </w:r>
          </w:p>
        </w:tc>
      </w:tr>
      <w:tr w:rsidR="00F46821" w:rsidRPr="00AA6FDD" w14:paraId="4F02B98D" w14:textId="77777777" w:rsidTr="00513157">
        <w:trPr>
          <w:trHeight w:val="547"/>
        </w:trPr>
        <w:tc>
          <w:tcPr>
            <w:tcW w:w="1620" w:type="dxa"/>
            <w:tcBorders>
              <w:top w:val="nil"/>
              <w:left w:val="nil"/>
              <w:right w:val="nil"/>
            </w:tcBorders>
            <w:shd w:val="clear" w:color="auto" w:fill="auto"/>
            <w:noWrap/>
            <w:vAlign w:val="center"/>
            <w:hideMark/>
          </w:tcPr>
          <w:p w14:paraId="29ACBF8E" w14:textId="5AA5993A"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M</w:t>
            </w:r>
            <w:r>
              <w:rPr>
                <w:rFonts w:ascii="Calibri" w:eastAsia="Times New Roman" w:hAnsi="Calibri" w:cs="Calibri"/>
                <w:color w:val="000000"/>
              </w:rPr>
              <w:t>DHHS</w:t>
            </w:r>
          </w:p>
        </w:tc>
        <w:tc>
          <w:tcPr>
            <w:tcW w:w="900" w:type="dxa"/>
            <w:tcBorders>
              <w:top w:val="nil"/>
              <w:left w:val="nil"/>
              <w:right w:val="nil"/>
            </w:tcBorders>
            <w:shd w:val="clear" w:color="auto" w:fill="auto"/>
            <w:noWrap/>
            <w:vAlign w:val="center"/>
            <w:hideMark/>
          </w:tcPr>
          <w:p w14:paraId="633D7630" w14:textId="77777777"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9</w:t>
            </w:r>
          </w:p>
        </w:tc>
        <w:tc>
          <w:tcPr>
            <w:tcW w:w="1890" w:type="dxa"/>
            <w:tcBorders>
              <w:top w:val="nil"/>
              <w:left w:val="nil"/>
              <w:right w:val="nil"/>
            </w:tcBorders>
            <w:shd w:val="clear" w:color="auto" w:fill="auto"/>
            <w:noWrap/>
            <w:vAlign w:val="center"/>
            <w:hideMark/>
          </w:tcPr>
          <w:p w14:paraId="47EBF3D7" w14:textId="77777777"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Adult</w:t>
            </w:r>
          </w:p>
        </w:tc>
        <w:tc>
          <w:tcPr>
            <w:tcW w:w="1640" w:type="dxa"/>
            <w:tcBorders>
              <w:top w:val="nil"/>
              <w:left w:val="nil"/>
              <w:right w:val="nil"/>
            </w:tcBorders>
            <w:shd w:val="clear" w:color="auto" w:fill="auto"/>
            <w:noWrap/>
            <w:vAlign w:val="center"/>
            <w:hideMark/>
          </w:tcPr>
          <w:p w14:paraId="25097335" w14:textId="77777777"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14</w:t>
            </w:r>
          </w:p>
        </w:tc>
        <w:tc>
          <w:tcPr>
            <w:tcW w:w="1558" w:type="dxa"/>
            <w:tcBorders>
              <w:top w:val="nil"/>
              <w:left w:val="nil"/>
              <w:right w:val="nil"/>
            </w:tcBorders>
            <w:shd w:val="clear" w:color="auto" w:fill="auto"/>
            <w:noWrap/>
            <w:vAlign w:val="center"/>
            <w:hideMark/>
          </w:tcPr>
          <w:p w14:paraId="76956E93" w14:textId="5AF33264" w:rsidR="00F46821" w:rsidRPr="00AA6FDD" w:rsidRDefault="00C30FDF" w:rsidP="0054393D">
            <w:pPr>
              <w:spacing w:after="0" w:line="240" w:lineRule="auto"/>
              <w:jc w:val="center"/>
              <w:rPr>
                <w:rFonts w:ascii="Calibri" w:eastAsia="Times New Roman" w:hAnsi="Calibri" w:cs="Calibri"/>
                <w:color w:val="000000"/>
              </w:rPr>
            </w:pPr>
            <w:r>
              <w:rPr>
                <w:rFonts w:ascii="Calibri" w:eastAsia="Times New Roman" w:hAnsi="Calibri" w:cs="Calibri"/>
              </w:rPr>
              <w:t>227</w:t>
            </w:r>
          </w:p>
        </w:tc>
        <w:tc>
          <w:tcPr>
            <w:tcW w:w="1710" w:type="dxa"/>
            <w:tcBorders>
              <w:top w:val="nil"/>
              <w:left w:val="nil"/>
              <w:right w:val="nil"/>
            </w:tcBorders>
            <w:shd w:val="clear" w:color="auto" w:fill="auto"/>
            <w:vAlign w:val="center"/>
            <w:hideMark/>
          </w:tcPr>
          <w:p w14:paraId="27A7E98C" w14:textId="4872B124"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16</w:t>
            </w:r>
          </w:p>
        </w:tc>
        <w:tc>
          <w:tcPr>
            <w:tcW w:w="1529" w:type="dxa"/>
            <w:tcBorders>
              <w:top w:val="nil"/>
              <w:left w:val="nil"/>
              <w:right w:val="nil"/>
            </w:tcBorders>
            <w:shd w:val="clear" w:color="auto" w:fill="auto"/>
            <w:noWrap/>
            <w:vAlign w:val="center"/>
            <w:hideMark/>
          </w:tcPr>
          <w:p w14:paraId="6FB755F4" w14:textId="77777777"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80</w:t>
            </w:r>
          </w:p>
        </w:tc>
        <w:tc>
          <w:tcPr>
            <w:tcW w:w="2187" w:type="dxa"/>
            <w:tcBorders>
              <w:top w:val="nil"/>
              <w:left w:val="nil"/>
              <w:right w:val="nil"/>
            </w:tcBorders>
            <w:shd w:val="clear" w:color="auto" w:fill="auto"/>
            <w:noWrap/>
            <w:vAlign w:val="center"/>
            <w:hideMark/>
          </w:tcPr>
          <w:p w14:paraId="67697763" w14:textId="617F0602" w:rsidR="00F46821" w:rsidRPr="00AA6FDD" w:rsidRDefault="308A5FA3" w:rsidP="0054393D">
            <w:pPr>
              <w:spacing w:after="0" w:line="240" w:lineRule="auto"/>
              <w:jc w:val="center"/>
              <w:rPr>
                <w:rFonts w:ascii="Calibri" w:eastAsia="Times New Roman" w:hAnsi="Calibri" w:cs="Calibri"/>
                <w:color w:val="000000"/>
              </w:rPr>
            </w:pPr>
            <w:r w:rsidRPr="11C90A92">
              <w:rPr>
                <w:rFonts w:ascii="Calibri" w:eastAsia="Times New Roman" w:hAnsi="Calibri" w:cs="Calibri"/>
                <w:color w:val="000000" w:themeColor="text1"/>
              </w:rPr>
              <w:t>192</w:t>
            </w:r>
          </w:p>
        </w:tc>
        <w:tc>
          <w:tcPr>
            <w:tcW w:w="561" w:type="dxa"/>
            <w:tcBorders>
              <w:top w:val="nil"/>
              <w:left w:val="nil"/>
              <w:right w:val="nil"/>
            </w:tcBorders>
            <w:shd w:val="clear" w:color="auto" w:fill="auto"/>
            <w:noWrap/>
            <w:vAlign w:val="center"/>
            <w:hideMark/>
          </w:tcPr>
          <w:p w14:paraId="6930E33F" w14:textId="77777777"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1</w:t>
            </w:r>
          </w:p>
        </w:tc>
      </w:tr>
      <w:tr w:rsidR="00F46821" w:rsidRPr="00AA6FDD" w14:paraId="1ACE4DD8" w14:textId="77777777" w:rsidTr="00513157">
        <w:trPr>
          <w:trHeight w:val="547"/>
        </w:trPr>
        <w:tc>
          <w:tcPr>
            <w:tcW w:w="1620" w:type="dxa"/>
            <w:tcBorders>
              <w:left w:val="nil"/>
              <w:right w:val="nil"/>
            </w:tcBorders>
            <w:shd w:val="clear" w:color="auto" w:fill="auto"/>
            <w:noWrap/>
            <w:vAlign w:val="center"/>
          </w:tcPr>
          <w:p w14:paraId="5983B5B2" w14:textId="3950E22D"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Great Lakes Consortium</w:t>
            </w:r>
            <w:r w:rsidR="00C91C11">
              <w:rPr>
                <w:rFonts w:ascii="Calibri" w:eastAsia="Times New Roman" w:hAnsi="Calibri" w:cs="Calibri"/>
                <w:i/>
                <w:iCs/>
                <w:color w:val="000000"/>
                <w:vertAlign w:val="superscript"/>
              </w:rPr>
              <w:t>5</w:t>
            </w:r>
          </w:p>
        </w:tc>
        <w:tc>
          <w:tcPr>
            <w:tcW w:w="900" w:type="dxa"/>
            <w:tcBorders>
              <w:left w:val="nil"/>
              <w:right w:val="nil"/>
            </w:tcBorders>
            <w:shd w:val="clear" w:color="auto" w:fill="auto"/>
            <w:noWrap/>
            <w:vAlign w:val="center"/>
          </w:tcPr>
          <w:p w14:paraId="2CDE4D33" w14:textId="697E3D6F"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10</w:t>
            </w:r>
          </w:p>
        </w:tc>
        <w:tc>
          <w:tcPr>
            <w:tcW w:w="1890" w:type="dxa"/>
            <w:tcBorders>
              <w:left w:val="nil"/>
              <w:right w:val="nil"/>
            </w:tcBorders>
            <w:shd w:val="clear" w:color="auto" w:fill="auto"/>
            <w:noWrap/>
            <w:vAlign w:val="center"/>
          </w:tcPr>
          <w:p w14:paraId="674467B4" w14:textId="2B07B486"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Adult</w:t>
            </w:r>
          </w:p>
        </w:tc>
        <w:tc>
          <w:tcPr>
            <w:tcW w:w="1640" w:type="dxa"/>
            <w:tcBorders>
              <w:left w:val="nil"/>
              <w:right w:val="nil"/>
            </w:tcBorders>
            <w:shd w:val="clear" w:color="auto" w:fill="auto"/>
            <w:noWrap/>
            <w:vAlign w:val="center"/>
          </w:tcPr>
          <w:p w14:paraId="545C3887" w14:textId="1E7E0870"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20</w:t>
            </w:r>
          </w:p>
        </w:tc>
        <w:tc>
          <w:tcPr>
            <w:tcW w:w="1558" w:type="dxa"/>
            <w:tcBorders>
              <w:left w:val="nil"/>
              <w:right w:val="nil"/>
            </w:tcBorders>
            <w:shd w:val="clear" w:color="auto" w:fill="auto"/>
            <w:noWrap/>
            <w:vAlign w:val="center"/>
          </w:tcPr>
          <w:p w14:paraId="70F1860E" w14:textId="7343C557" w:rsidR="00F46821" w:rsidRPr="00AA6FDD" w:rsidRDefault="00C30FDF" w:rsidP="0054393D">
            <w:pPr>
              <w:spacing w:after="0" w:line="240" w:lineRule="auto"/>
              <w:jc w:val="center"/>
              <w:rPr>
                <w:rFonts w:ascii="Calibri" w:eastAsia="Times New Roman" w:hAnsi="Calibri" w:cs="Calibri"/>
                <w:color w:val="000000"/>
              </w:rPr>
            </w:pPr>
            <w:r>
              <w:rPr>
                <w:rFonts w:ascii="Calibri" w:eastAsia="Times New Roman" w:hAnsi="Calibri" w:cs="Calibri"/>
              </w:rPr>
              <w:t>227</w:t>
            </w:r>
          </w:p>
        </w:tc>
        <w:tc>
          <w:tcPr>
            <w:tcW w:w="1710" w:type="dxa"/>
            <w:tcBorders>
              <w:left w:val="nil"/>
              <w:right w:val="nil"/>
            </w:tcBorders>
            <w:shd w:val="clear" w:color="auto" w:fill="auto"/>
            <w:vAlign w:val="center"/>
          </w:tcPr>
          <w:p w14:paraId="23CEDFBC" w14:textId="372A48B5"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18.8</w:t>
            </w:r>
          </w:p>
        </w:tc>
        <w:tc>
          <w:tcPr>
            <w:tcW w:w="1529" w:type="dxa"/>
            <w:tcBorders>
              <w:left w:val="nil"/>
              <w:right w:val="nil"/>
            </w:tcBorders>
            <w:shd w:val="clear" w:color="auto" w:fill="auto"/>
            <w:noWrap/>
            <w:vAlign w:val="center"/>
          </w:tcPr>
          <w:p w14:paraId="5269EFF6" w14:textId="6C342902"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70</w:t>
            </w:r>
          </w:p>
        </w:tc>
        <w:tc>
          <w:tcPr>
            <w:tcW w:w="2187" w:type="dxa"/>
            <w:tcBorders>
              <w:left w:val="nil"/>
              <w:right w:val="nil"/>
            </w:tcBorders>
            <w:shd w:val="clear" w:color="auto" w:fill="auto"/>
            <w:noWrap/>
            <w:vAlign w:val="center"/>
          </w:tcPr>
          <w:p w14:paraId="452780D7" w14:textId="5F294FC7" w:rsidR="00F46821" w:rsidRPr="00AA6FDD" w:rsidRDefault="442E1BB0" w:rsidP="0054393D">
            <w:pPr>
              <w:spacing w:after="0" w:line="240" w:lineRule="auto"/>
              <w:jc w:val="center"/>
              <w:rPr>
                <w:rFonts w:ascii="Calibri" w:eastAsia="Calibri" w:hAnsi="Calibri" w:cs="Calibri"/>
              </w:rPr>
            </w:pPr>
            <w:r w:rsidRPr="11C90A92">
              <w:rPr>
                <w:rFonts w:ascii="Calibri" w:eastAsia="Times New Roman" w:hAnsi="Calibri" w:cs="Calibri"/>
                <w:color w:val="000000" w:themeColor="text1"/>
              </w:rPr>
              <w:t>225</w:t>
            </w:r>
          </w:p>
        </w:tc>
        <w:tc>
          <w:tcPr>
            <w:tcW w:w="561" w:type="dxa"/>
            <w:tcBorders>
              <w:left w:val="nil"/>
              <w:right w:val="nil"/>
            </w:tcBorders>
            <w:shd w:val="clear" w:color="auto" w:fill="auto"/>
            <w:noWrap/>
            <w:vAlign w:val="center"/>
          </w:tcPr>
          <w:p w14:paraId="21127D28" w14:textId="443E8783"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1</w:t>
            </w:r>
          </w:p>
        </w:tc>
      </w:tr>
      <w:tr w:rsidR="00F46821" w:rsidRPr="00AA6FDD" w14:paraId="7AE0BA89" w14:textId="77777777" w:rsidTr="00513157">
        <w:trPr>
          <w:trHeight w:val="547"/>
        </w:trPr>
        <w:tc>
          <w:tcPr>
            <w:tcW w:w="1620" w:type="dxa"/>
            <w:tcBorders>
              <w:top w:val="nil"/>
              <w:left w:val="nil"/>
              <w:bottom w:val="single" w:sz="4" w:space="0" w:color="auto"/>
              <w:right w:val="nil"/>
            </w:tcBorders>
            <w:shd w:val="clear" w:color="auto" w:fill="auto"/>
            <w:noWrap/>
            <w:vAlign w:val="center"/>
            <w:hideMark/>
          </w:tcPr>
          <w:p w14:paraId="5E02252C" w14:textId="44596D4A" w:rsidR="00F46821" w:rsidRPr="00AA6FDD" w:rsidRDefault="00F46821" w:rsidP="0054393D">
            <w:pPr>
              <w:spacing w:after="0" w:line="240" w:lineRule="auto"/>
              <w:jc w:val="center"/>
              <w:rPr>
                <w:rFonts w:ascii="Calibri" w:eastAsia="Times New Roman" w:hAnsi="Calibri" w:cs="Calibri"/>
                <w:color w:val="000000"/>
              </w:rPr>
            </w:pPr>
            <w:r w:rsidRPr="11C90A92">
              <w:rPr>
                <w:rFonts w:ascii="Calibri" w:eastAsia="Times New Roman" w:hAnsi="Calibri" w:cs="Calibri"/>
                <w:color w:val="000000" w:themeColor="text1"/>
              </w:rPr>
              <w:t>CTDPH</w:t>
            </w:r>
            <w:r w:rsidR="5E9B23E6" w:rsidRPr="004C1E8B">
              <w:rPr>
                <w:rFonts w:ascii="Calibri" w:eastAsia="Times New Roman" w:hAnsi="Calibri" w:cs="Calibri"/>
                <w:color w:val="000000" w:themeColor="text1"/>
                <w:vertAlign w:val="superscript"/>
              </w:rPr>
              <w:t>6</w:t>
            </w:r>
          </w:p>
        </w:tc>
        <w:tc>
          <w:tcPr>
            <w:tcW w:w="900" w:type="dxa"/>
            <w:tcBorders>
              <w:top w:val="nil"/>
              <w:left w:val="nil"/>
              <w:bottom w:val="single" w:sz="4" w:space="0" w:color="auto"/>
              <w:right w:val="nil"/>
            </w:tcBorders>
            <w:shd w:val="clear" w:color="auto" w:fill="auto"/>
            <w:noWrap/>
            <w:vAlign w:val="center"/>
            <w:hideMark/>
          </w:tcPr>
          <w:p w14:paraId="1358EEF7" w14:textId="77777777"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20</w:t>
            </w:r>
          </w:p>
        </w:tc>
        <w:tc>
          <w:tcPr>
            <w:tcW w:w="1890" w:type="dxa"/>
            <w:tcBorders>
              <w:top w:val="nil"/>
              <w:left w:val="nil"/>
              <w:bottom w:val="single" w:sz="4" w:space="0" w:color="auto"/>
              <w:right w:val="nil"/>
            </w:tcBorders>
            <w:shd w:val="clear" w:color="auto" w:fill="auto"/>
            <w:noWrap/>
            <w:vAlign w:val="center"/>
            <w:hideMark/>
          </w:tcPr>
          <w:p w14:paraId="55D4355F" w14:textId="77777777"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Adult</w:t>
            </w:r>
          </w:p>
        </w:tc>
        <w:tc>
          <w:tcPr>
            <w:tcW w:w="1640" w:type="dxa"/>
            <w:tcBorders>
              <w:top w:val="nil"/>
              <w:left w:val="nil"/>
              <w:bottom w:val="single" w:sz="4" w:space="0" w:color="auto"/>
              <w:right w:val="nil"/>
            </w:tcBorders>
            <w:shd w:val="clear" w:color="auto" w:fill="auto"/>
            <w:noWrap/>
            <w:vAlign w:val="center"/>
            <w:hideMark/>
          </w:tcPr>
          <w:p w14:paraId="16524292" w14:textId="77777777"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20</w:t>
            </w:r>
          </w:p>
        </w:tc>
        <w:tc>
          <w:tcPr>
            <w:tcW w:w="1558" w:type="dxa"/>
            <w:tcBorders>
              <w:top w:val="nil"/>
              <w:left w:val="nil"/>
              <w:bottom w:val="single" w:sz="4" w:space="0" w:color="auto"/>
              <w:right w:val="nil"/>
            </w:tcBorders>
            <w:shd w:val="clear" w:color="auto" w:fill="auto"/>
            <w:noWrap/>
            <w:vAlign w:val="center"/>
            <w:hideMark/>
          </w:tcPr>
          <w:p w14:paraId="6CD0ABBC" w14:textId="180D726D" w:rsidR="00F46821" w:rsidRPr="00AA6FDD" w:rsidRDefault="00C30FDF" w:rsidP="0054393D">
            <w:pPr>
              <w:spacing w:after="0" w:line="240" w:lineRule="auto"/>
              <w:jc w:val="center"/>
              <w:rPr>
                <w:rFonts w:ascii="Calibri" w:eastAsia="Times New Roman" w:hAnsi="Calibri" w:cs="Calibri"/>
                <w:color w:val="000000"/>
              </w:rPr>
            </w:pPr>
            <w:r>
              <w:rPr>
                <w:rFonts w:ascii="Calibri" w:eastAsia="Times New Roman" w:hAnsi="Calibri" w:cs="Calibri"/>
              </w:rPr>
              <w:t>227</w:t>
            </w:r>
          </w:p>
        </w:tc>
        <w:tc>
          <w:tcPr>
            <w:tcW w:w="1710" w:type="dxa"/>
            <w:tcBorders>
              <w:top w:val="nil"/>
              <w:left w:val="nil"/>
              <w:bottom w:val="single" w:sz="4" w:space="0" w:color="auto"/>
              <w:right w:val="nil"/>
            </w:tcBorders>
            <w:shd w:val="clear" w:color="auto" w:fill="auto"/>
            <w:vAlign w:val="center"/>
            <w:hideMark/>
          </w:tcPr>
          <w:p w14:paraId="268D37E0" w14:textId="77777777"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8.3</w:t>
            </w:r>
          </w:p>
        </w:tc>
        <w:tc>
          <w:tcPr>
            <w:tcW w:w="1529" w:type="dxa"/>
            <w:tcBorders>
              <w:top w:val="nil"/>
              <w:left w:val="nil"/>
              <w:bottom w:val="single" w:sz="4" w:space="0" w:color="auto"/>
              <w:right w:val="nil"/>
            </w:tcBorders>
            <w:shd w:val="clear" w:color="auto" w:fill="auto"/>
            <w:noWrap/>
            <w:vAlign w:val="center"/>
            <w:hideMark/>
          </w:tcPr>
          <w:p w14:paraId="12A55343" w14:textId="77777777"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62</w:t>
            </w:r>
          </w:p>
        </w:tc>
        <w:tc>
          <w:tcPr>
            <w:tcW w:w="2187" w:type="dxa"/>
            <w:tcBorders>
              <w:top w:val="nil"/>
              <w:left w:val="nil"/>
              <w:bottom w:val="single" w:sz="4" w:space="0" w:color="auto"/>
              <w:right w:val="nil"/>
            </w:tcBorders>
            <w:shd w:val="clear" w:color="auto" w:fill="auto"/>
            <w:noWrap/>
            <w:vAlign w:val="center"/>
            <w:hideMark/>
          </w:tcPr>
          <w:p w14:paraId="6B77DE5F" w14:textId="5F713AE5" w:rsidR="00F46821" w:rsidRPr="00AA6FDD" w:rsidRDefault="5219349D" w:rsidP="0054393D">
            <w:pPr>
              <w:spacing w:after="0" w:line="240" w:lineRule="auto"/>
              <w:jc w:val="center"/>
              <w:rPr>
                <w:rFonts w:ascii="Calibri" w:eastAsia="Calibri" w:hAnsi="Calibri" w:cs="Calibri"/>
              </w:rPr>
            </w:pPr>
            <w:r w:rsidRPr="11C90A92">
              <w:rPr>
                <w:rFonts w:ascii="Calibri" w:eastAsia="Times New Roman" w:hAnsi="Calibri" w:cs="Calibri"/>
                <w:color w:val="000000" w:themeColor="text1"/>
              </w:rPr>
              <w:t>99.8</w:t>
            </w:r>
          </w:p>
        </w:tc>
        <w:tc>
          <w:tcPr>
            <w:tcW w:w="561" w:type="dxa"/>
            <w:tcBorders>
              <w:top w:val="nil"/>
              <w:left w:val="nil"/>
              <w:bottom w:val="single" w:sz="4" w:space="0" w:color="auto"/>
              <w:right w:val="nil"/>
            </w:tcBorders>
            <w:shd w:val="clear" w:color="auto" w:fill="auto"/>
            <w:noWrap/>
            <w:vAlign w:val="center"/>
            <w:hideMark/>
          </w:tcPr>
          <w:p w14:paraId="7C2CEF5F" w14:textId="77777777" w:rsidR="00F46821" w:rsidRPr="00AA6FDD" w:rsidRDefault="00F46821" w:rsidP="0054393D">
            <w:pPr>
              <w:spacing w:after="0" w:line="240" w:lineRule="auto"/>
              <w:jc w:val="center"/>
              <w:rPr>
                <w:rFonts w:ascii="Calibri" w:eastAsia="Times New Roman" w:hAnsi="Calibri" w:cs="Calibri"/>
                <w:color w:val="000000"/>
              </w:rPr>
            </w:pPr>
            <w:r w:rsidRPr="00AA6FDD">
              <w:rPr>
                <w:rFonts w:ascii="Calibri" w:eastAsia="Times New Roman" w:hAnsi="Calibri" w:cs="Calibri"/>
                <w:color w:val="000000"/>
              </w:rPr>
              <w:t>1</w:t>
            </w:r>
          </w:p>
        </w:tc>
      </w:tr>
    </w:tbl>
    <w:p w14:paraId="38210F02" w14:textId="4A2A89A0" w:rsidR="0008284C" w:rsidRPr="008D6B27" w:rsidRDefault="00C302C4" w:rsidP="0008284C">
      <w:pPr>
        <w:spacing w:after="0" w:line="240" w:lineRule="auto"/>
        <w:rPr>
          <w:rFonts w:ascii="Calibri" w:eastAsia="Times New Roman" w:hAnsi="Calibri" w:cs="Calibri"/>
          <w:i/>
          <w:iCs/>
          <w:color w:val="000000"/>
          <w:sz w:val="20"/>
          <w:szCs w:val="20"/>
        </w:rPr>
      </w:pPr>
      <w:r w:rsidRPr="008D6B27">
        <w:rPr>
          <w:rFonts w:ascii="Calibri" w:eastAsia="Times New Roman" w:hAnsi="Calibri" w:cs="Calibri"/>
          <w:i/>
          <w:iCs/>
          <w:color w:val="000000"/>
          <w:sz w:val="20"/>
          <w:szCs w:val="20"/>
        </w:rPr>
        <w:t xml:space="preserve">CTDPH </w:t>
      </w:r>
      <w:r w:rsidR="00BE097B" w:rsidRPr="008D6B27">
        <w:rPr>
          <w:rFonts w:ascii="Calibri" w:eastAsia="Times New Roman" w:hAnsi="Calibri" w:cs="Calibri"/>
          <w:i/>
          <w:iCs/>
          <w:color w:val="000000"/>
          <w:sz w:val="20"/>
          <w:szCs w:val="20"/>
        </w:rPr>
        <w:t>–</w:t>
      </w:r>
      <w:r w:rsidRPr="008D6B27">
        <w:rPr>
          <w:rFonts w:ascii="Calibri" w:eastAsia="Times New Roman" w:hAnsi="Calibri" w:cs="Calibri"/>
          <w:i/>
          <w:iCs/>
          <w:color w:val="000000"/>
          <w:sz w:val="20"/>
          <w:szCs w:val="20"/>
        </w:rPr>
        <w:t xml:space="preserve"> </w:t>
      </w:r>
      <w:r w:rsidR="00BE097B" w:rsidRPr="008D6B27">
        <w:rPr>
          <w:rFonts w:ascii="Calibri" w:eastAsia="Times New Roman" w:hAnsi="Calibri" w:cs="Calibri"/>
          <w:i/>
          <w:iCs/>
          <w:color w:val="000000"/>
          <w:sz w:val="20"/>
          <w:szCs w:val="20"/>
        </w:rPr>
        <w:t>Connecticut Department of Public Health</w:t>
      </w:r>
      <w:r w:rsidRPr="008D6B27">
        <w:rPr>
          <w:rFonts w:ascii="Calibri" w:eastAsia="Times New Roman" w:hAnsi="Calibri" w:cs="Calibri"/>
          <w:i/>
          <w:iCs/>
          <w:color w:val="000000"/>
          <w:sz w:val="20"/>
          <w:szCs w:val="20"/>
        </w:rPr>
        <w:t xml:space="preserve">; </w:t>
      </w:r>
      <w:r w:rsidR="00A47277" w:rsidRPr="008D6B27">
        <w:rPr>
          <w:rFonts w:ascii="Calibri" w:eastAsia="Times New Roman" w:hAnsi="Calibri" w:cs="Calibri"/>
          <w:i/>
          <w:iCs/>
          <w:color w:val="000000"/>
          <w:sz w:val="20"/>
          <w:szCs w:val="20"/>
        </w:rPr>
        <w:t xml:space="preserve">MDHHS </w:t>
      </w:r>
      <w:r w:rsidR="00124B85" w:rsidRPr="008D6B27">
        <w:rPr>
          <w:rFonts w:ascii="Calibri" w:eastAsia="Times New Roman" w:hAnsi="Calibri" w:cs="Calibri"/>
          <w:i/>
          <w:iCs/>
          <w:color w:val="000000"/>
          <w:sz w:val="20"/>
          <w:szCs w:val="20"/>
        </w:rPr>
        <w:t>–</w:t>
      </w:r>
      <w:r w:rsidR="00A47277" w:rsidRPr="008D6B27">
        <w:rPr>
          <w:rFonts w:ascii="Calibri" w:eastAsia="Times New Roman" w:hAnsi="Calibri" w:cs="Calibri"/>
          <w:i/>
          <w:iCs/>
          <w:color w:val="000000"/>
          <w:sz w:val="20"/>
          <w:szCs w:val="20"/>
        </w:rPr>
        <w:t xml:space="preserve"> </w:t>
      </w:r>
      <w:r w:rsidR="00124B85" w:rsidRPr="008D6B27">
        <w:rPr>
          <w:rFonts w:ascii="Calibri" w:eastAsia="Times New Roman" w:hAnsi="Calibri" w:cs="Calibri"/>
          <w:i/>
          <w:iCs/>
          <w:color w:val="000000"/>
          <w:sz w:val="20"/>
          <w:szCs w:val="20"/>
        </w:rPr>
        <w:t>Michigan Department of Health and Human Service</w:t>
      </w:r>
      <w:r w:rsidR="0093061E" w:rsidRPr="008D6B27">
        <w:rPr>
          <w:rFonts w:ascii="Calibri" w:eastAsia="Times New Roman" w:hAnsi="Calibri" w:cs="Calibri"/>
          <w:i/>
          <w:iCs/>
          <w:color w:val="000000"/>
          <w:sz w:val="20"/>
          <w:szCs w:val="20"/>
        </w:rPr>
        <w:t>s</w:t>
      </w:r>
      <w:r w:rsidR="00A47277" w:rsidRPr="008D6B27">
        <w:rPr>
          <w:rFonts w:ascii="Calibri" w:eastAsia="Times New Roman" w:hAnsi="Calibri" w:cs="Calibri"/>
          <w:i/>
          <w:iCs/>
          <w:color w:val="000000"/>
          <w:sz w:val="20"/>
          <w:szCs w:val="20"/>
        </w:rPr>
        <w:t xml:space="preserve">; MDPH </w:t>
      </w:r>
      <w:r w:rsidR="0093061E" w:rsidRPr="008D6B27">
        <w:rPr>
          <w:rFonts w:ascii="Calibri" w:eastAsia="Times New Roman" w:hAnsi="Calibri" w:cs="Calibri"/>
          <w:i/>
          <w:iCs/>
          <w:color w:val="000000"/>
          <w:sz w:val="20"/>
          <w:szCs w:val="20"/>
        </w:rPr>
        <w:t>– Massachusetts Department of Public Health</w:t>
      </w:r>
      <w:r w:rsidRPr="008D6B27">
        <w:rPr>
          <w:rFonts w:ascii="Calibri" w:eastAsia="Times New Roman" w:hAnsi="Calibri" w:cs="Calibri"/>
          <w:i/>
          <w:iCs/>
          <w:color w:val="000000"/>
          <w:sz w:val="20"/>
          <w:szCs w:val="20"/>
        </w:rPr>
        <w:t xml:space="preserve">; ME CDC – </w:t>
      </w:r>
      <w:r w:rsidR="00EE7144" w:rsidRPr="008D6B27">
        <w:rPr>
          <w:rFonts w:ascii="Calibri" w:eastAsia="Times New Roman" w:hAnsi="Calibri" w:cs="Calibri"/>
          <w:i/>
          <w:iCs/>
          <w:color w:val="000000"/>
          <w:sz w:val="20"/>
          <w:szCs w:val="20"/>
        </w:rPr>
        <w:t xml:space="preserve">Maine Center for Disease </w:t>
      </w:r>
      <w:r w:rsidR="00B90708" w:rsidRPr="008D6B27">
        <w:rPr>
          <w:rFonts w:ascii="Calibri" w:eastAsia="Times New Roman" w:hAnsi="Calibri" w:cs="Calibri"/>
          <w:i/>
          <w:iCs/>
          <w:color w:val="000000"/>
          <w:sz w:val="20"/>
          <w:szCs w:val="20"/>
        </w:rPr>
        <w:t>and Control Prevention</w:t>
      </w:r>
      <w:r w:rsidRPr="008D6B27">
        <w:rPr>
          <w:rFonts w:ascii="Calibri" w:eastAsia="Times New Roman" w:hAnsi="Calibri" w:cs="Calibri"/>
          <w:i/>
          <w:iCs/>
          <w:color w:val="000000"/>
          <w:sz w:val="20"/>
          <w:szCs w:val="20"/>
        </w:rPr>
        <w:t xml:space="preserve">; </w:t>
      </w:r>
      <w:r w:rsidR="005B67D7" w:rsidRPr="008D6B27">
        <w:rPr>
          <w:rFonts w:ascii="Calibri" w:eastAsia="Times New Roman" w:hAnsi="Calibri" w:cs="Calibri"/>
          <w:i/>
          <w:iCs/>
          <w:color w:val="000000"/>
          <w:sz w:val="20"/>
          <w:szCs w:val="20"/>
        </w:rPr>
        <w:t xml:space="preserve">MRL – Minimal Risk Level; </w:t>
      </w:r>
      <w:r w:rsidRPr="008D6B27">
        <w:rPr>
          <w:rFonts w:ascii="Calibri" w:eastAsia="Times New Roman" w:hAnsi="Calibri" w:cs="Calibri"/>
          <w:i/>
          <w:iCs/>
          <w:color w:val="000000"/>
          <w:sz w:val="20"/>
          <w:szCs w:val="20"/>
        </w:rPr>
        <w:t xml:space="preserve">NHDES </w:t>
      </w:r>
      <w:r w:rsidR="0048431D" w:rsidRPr="008D6B27">
        <w:rPr>
          <w:rFonts w:ascii="Calibri" w:eastAsia="Times New Roman" w:hAnsi="Calibri" w:cs="Calibri"/>
          <w:i/>
          <w:iCs/>
          <w:color w:val="000000"/>
          <w:sz w:val="20"/>
          <w:szCs w:val="20"/>
        </w:rPr>
        <w:t>–</w:t>
      </w:r>
      <w:r w:rsidRPr="008D6B27">
        <w:rPr>
          <w:rFonts w:ascii="Calibri" w:eastAsia="Times New Roman" w:hAnsi="Calibri" w:cs="Calibri"/>
          <w:i/>
          <w:iCs/>
          <w:color w:val="000000"/>
          <w:sz w:val="20"/>
          <w:szCs w:val="20"/>
        </w:rPr>
        <w:t xml:space="preserve"> </w:t>
      </w:r>
      <w:r w:rsidR="0048431D" w:rsidRPr="008D6B27">
        <w:rPr>
          <w:rFonts w:ascii="Calibri" w:eastAsia="Times New Roman" w:hAnsi="Calibri" w:cs="Calibri"/>
          <w:i/>
          <w:iCs/>
          <w:color w:val="000000"/>
          <w:sz w:val="20"/>
          <w:szCs w:val="20"/>
        </w:rPr>
        <w:t>New Hampshire Department of Environmental Services</w:t>
      </w:r>
      <w:r w:rsidRPr="008D6B27">
        <w:rPr>
          <w:rFonts w:ascii="Calibri" w:eastAsia="Times New Roman" w:hAnsi="Calibri" w:cs="Calibri"/>
          <w:i/>
          <w:iCs/>
          <w:color w:val="000000"/>
          <w:sz w:val="20"/>
          <w:szCs w:val="20"/>
        </w:rPr>
        <w:t xml:space="preserve">; NJDEP </w:t>
      </w:r>
      <w:r w:rsidR="00A61824" w:rsidRPr="008D6B27">
        <w:rPr>
          <w:rFonts w:ascii="Calibri" w:eastAsia="Times New Roman" w:hAnsi="Calibri" w:cs="Calibri"/>
          <w:i/>
          <w:iCs/>
          <w:color w:val="000000"/>
          <w:sz w:val="20"/>
          <w:szCs w:val="20"/>
        </w:rPr>
        <w:t>–</w:t>
      </w:r>
      <w:r w:rsidRPr="008D6B27">
        <w:rPr>
          <w:rFonts w:ascii="Calibri" w:eastAsia="Times New Roman" w:hAnsi="Calibri" w:cs="Calibri"/>
          <w:i/>
          <w:iCs/>
          <w:color w:val="000000"/>
          <w:sz w:val="20"/>
          <w:szCs w:val="20"/>
        </w:rPr>
        <w:t xml:space="preserve"> </w:t>
      </w:r>
      <w:r w:rsidR="00A61824" w:rsidRPr="008D6B27">
        <w:rPr>
          <w:rFonts w:ascii="Calibri" w:eastAsia="Times New Roman" w:hAnsi="Calibri" w:cs="Calibri"/>
          <w:i/>
          <w:iCs/>
          <w:color w:val="000000"/>
          <w:sz w:val="20"/>
          <w:szCs w:val="20"/>
        </w:rPr>
        <w:t>New Jersey Department of Environmental Protection</w:t>
      </w:r>
      <w:r w:rsidRPr="008D6B27">
        <w:rPr>
          <w:rFonts w:ascii="Calibri" w:eastAsia="Times New Roman" w:hAnsi="Calibri" w:cs="Calibri"/>
          <w:i/>
          <w:iCs/>
          <w:color w:val="000000"/>
          <w:sz w:val="20"/>
          <w:szCs w:val="20"/>
        </w:rPr>
        <w:t>;</w:t>
      </w:r>
      <w:r w:rsidR="00F92F48" w:rsidRPr="008D6B27">
        <w:rPr>
          <w:rFonts w:ascii="Calibri" w:eastAsia="Times New Roman" w:hAnsi="Calibri" w:cs="Calibri"/>
          <w:i/>
          <w:iCs/>
          <w:color w:val="000000"/>
          <w:sz w:val="20"/>
          <w:szCs w:val="20"/>
        </w:rPr>
        <w:t xml:space="preserve"> </w:t>
      </w:r>
      <w:r w:rsidRPr="008D6B27">
        <w:rPr>
          <w:rFonts w:ascii="Calibri" w:eastAsia="Times New Roman" w:hAnsi="Calibri" w:cs="Calibri"/>
          <w:i/>
          <w:iCs/>
          <w:color w:val="000000"/>
          <w:sz w:val="20"/>
          <w:szCs w:val="20"/>
        </w:rPr>
        <w:t xml:space="preserve">OHA </w:t>
      </w:r>
      <w:r w:rsidR="00FE6A13" w:rsidRPr="008D6B27">
        <w:rPr>
          <w:rFonts w:ascii="Calibri" w:eastAsia="Times New Roman" w:hAnsi="Calibri" w:cs="Calibri"/>
          <w:i/>
          <w:iCs/>
          <w:color w:val="000000"/>
          <w:sz w:val="20"/>
          <w:szCs w:val="20"/>
        </w:rPr>
        <w:t>–</w:t>
      </w:r>
      <w:r w:rsidRPr="008D6B27">
        <w:rPr>
          <w:rFonts w:ascii="Calibri" w:eastAsia="Times New Roman" w:hAnsi="Calibri" w:cs="Calibri"/>
          <w:i/>
          <w:iCs/>
          <w:color w:val="000000"/>
          <w:sz w:val="20"/>
          <w:szCs w:val="20"/>
        </w:rPr>
        <w:t xml:space="preserve"> </w:t>
      </w:r>
      <w:r w:rsidR="00FE6A13" w:rsidRPr="008D6B27">
        <w:rPr>
          <w:rFonts w:ascii="Calibri" w:eastAsia="Times New Roman" w:hAnsi="Calibri" w:cs="Calibri"/>
          <w:i/>
          <w:iCs/>
          <w:color w:val="000000"/>
          <w:sz w:val="20"/>
          <w:szCs w:val="20"/>
        </w:rPr>
        <w:t>Oregon Health Authority</w:t>
      </w:r>
      <w:r w:rsidRPr="008D6B27">
        <w:rPr>
          <w:rFonts w:ascii="Calibri" w:eastAsia="Times New Roman" w:hAnsi="Calibri" w:cs="Calibri"/>
          <w:i/>
          <w:iCs/>
          <w:color w:val="000000"/>
          <w:sz w:val="20"/>
          <w:szCs w:val="20"/>
        </w:rPr>
        <w:t xml:space="preserve">; </w:t>
      </w:r>
      <w:proofErr w:type="spellStart"/>
      <w:r w:rsidR="00BB0BC9" w:rsidRPr="008D6B27">
        <w:rPr>
          <w:rFonts w:ascii="Calibri" w:eastAsia="Times New Roman" w:hAnsi="Calibri" w:cs="Calibri"/>
          <w:i/>
          <w:iCs/>
          <w:color w:val="000000"/>
          <w:sz w:val="20"/>
          <w:szCs w:val="20"/>
        </w:rPr>
        <w:t>RfD</w:t>
      </w:r>
      <w:proofErr w:type="spellEnd"/>
      <w:r w:rsidR="00BB0BC9" w:rsidRPr="008D6B27">
        <w:rPr>
          <w:rFonts w:ascii="Calibri" w:eastAsia="Times New Roman" w:hAnsi="Calibri" w:cs="Calibri"/>
          <w:i/>
          <w:iCs/>
          <w:color w:val="000000"/>
          <w:sz w:val="20"/>
          <w:szCs w:val="20"/>
        </w:rPr>
        <w:t xml:space="preserve"> – Reference Dose; </w:t>
      </w:r>
      <w:r w:rsidR="008D6B27" w:rsidRPr="008D6B27">
        <w:rPr>
          <w:rFonts w:ascii="Calibri" w:eastAsia="Times New Roman" w:hAnsi="Calibri" w:cs="Calibri"/>
          <w:i/>
          <w:iCs/>
          <w:color w:val="000000"/>
          <w:sz w:val="20"/>
          <w:szCs w:val="20"/>
        </w:rPr>
        <w:t xml:space="preserve">RSC – Relative Source Contribution; </w:t>
      </w:r>
      <w:r w:rsidR="00FE6A13" w:rsidRPr="008D6B27">
        <w:rPr>
          <w:rFonts w:ascii="Calibri" w:eastAsia="Times New Roman" w:hAnsi="Calibri" w:cs="Calibri"/>
          <w:i/>
          <w:iCs/>
          <w:color w:val="000000"/>
          <w:sz w:val="20"/>
          <w:szCs w:val="20"/>
        </w:rPr>
        <w:t xml:space="preserve">SV </w:t>
      </w:r>
      <w:r w:rsidR="007C11FC" w:rsidRPr="008D6B27">
        <w:rPr>
          <w:rFonts w:ascii="Calibri" w:eastAsia="Times New Roman" w:hAnsi="Calibri" w:cs="Calibri"/>
          <w:i/>
          <w:iCs/>
          <w:color w:val="000000"/>
          <w:sz w:val="20"/>
          <w:szCs w:val="20"/>
        </w:rPr>
        <w:t>–</w:t>
      </w:r>
      <w:r w:rsidR="00FE6A13" w:rsidRPr="008D6B27">
        <w:rPr>
          <w:rFonts w:ascii="Calibri" w:eastAsia="Times New Roman" w:hAnsi="Calibri" w:cs="Calibri"/>
          <w:i/>
          <w:iCs/>
          <w:color w:val="000000"/>
          <w:sz w:val="20"/>
          <w:szCs w:val="20"/>
        </w:rPr>
        <w:t xml:space="preserve"> Scr</w:t>
      </w:r>
      <w:r w:rsidR="007C11FC" w:rsidRPr="008D6B27">
        <w:rPr>
          <w:rFonts w:ascii="Calibri" w:eastAsia="Times New Roman" w:hAnsi="Calibri" w:cs="Calibri"/>
          <w:i/>
          <w:iCs/>
          <w:color w:val="000000"/>
          <w:sz w:val="20"/>
          <w:szCs w:val="20"/>
        </w:rPr>
        <w:t>eening Value</w:t>
      </w:r>
    </w:p>
    <w:p w14:paraId="0A95ED9A" w14:textId="34EE8761" w:rsidR="00AA6FDD" w:rsidRDefault="0008284C" w:rsidP="0008284C">
      <w:pPr>
        <w:spacing w:after="0" w:line="240" w:lineRule="auto"/>
        <w:rPr>
          <w:rFonts w:ascii="Calibri" w:eastAsia="Times New Roman" w:hAnsi="Calibri" w:cs="Calibri"/>
          <w:i/>
          <w:iCs/>
          <w:color w:val="000000"/>
          <w:sz w:val="20"/>
          <w:szCs w:val="20"/>
        </w:rPr>
      </w:pPr>
      <w:r w:rsidRPr="00AA6FDD">
        <w:rPr>
          <w:rFonts w:ascii="Calibri" w:eastAsia="Times New Roman" w:hAnsi="Calibri" w:cs="Calibri"/>
          <w:i/>
          <w:iCs/>
          <w:color w:val="000000"/>
          <w:sz w:val="20"/>
          <w:szCs w:val="20"/>
        </w:rPr>
        <w:t>[</w:t>
      </w:r>
      <w:r w:rsidR="004E084D">
        <w:rPr>
          <w:rFonts w:ascii="Calibri" w:eastAsia="Times New Roman" w:hAnsi="Calibri" w:cs="Calibri"/>
          <w:i/>
          <w:iCs/>
          <w:color w:val="000000"/>
          <w:sz w:val="20"/>
          <w:szCs w:val="20"/>
        </w:rPr>
        <w:t>1</w:t>
      </w:r>
      <w:r w:rsidRPr="00AA6FDD">
        <w:rPr>
          <w:rFonts w:ascii="Calibri" w:eastAsia="Times New Roman" w:hAnsi="Calibri" w:cs="Calibri"/>
          <w:i/>
          <w:iCs/>
          <w:color w:val="000000"/>
          <w:sz w:val="20"/>
          <w:szCs w:val="20"/>
        </w:rPr>
        <w:t xml:space="preserve">] </w:t>
      </w:r>
      <w:r w:rsidR="004E084D">
        <w:rPr>
          <w:rFonts w:ascii="Calibri" w:eastAsia="Times New Roman" w:hAnsi="Calibri" w:cs="Calibri"/>
          <w:i/>
          <w:iCs/>
          <w:color w:val="000000"/>
          <w:sz w:val="20"/>
          <w:szCs w:val="20"/>
        </w:rPr>
        <w:t xml:space="preserve">SV = </w:t>
      </w:r>
      <w:r w:rsidR="00731698">
        <w:rPr>
          <w:rFonts w:ascii="Calibri" w:eastAsia="Times New Roman" w:hAnsi="Calibri" w:cs="Calibri"/>
          <w:i/>
          <w:iCs/>
          <w:color w:val="000000"/>
          <w:sz w:val="20"/>
          <w:szCs w:val="20"/>
        </w:rPr>
        <w:t>[{</w:t>
      </w:r>
      <w:proofErr w:type="spellStart"/>
      <w:r w:rsidR="00CA794C">
        <w:rPr>
          <w:rFonts w:ascii="Calibri" w:eastAsia="Times New Roman" w:hAnsi="Calibri" w:cs="Calibri"/>
          <w:i/>
          <w:iCs/>
          <w:color w:val="000000"/>
          <w:sz w:val="20"/>
          <w:szCs w:val="20"/>
        </w:rPr>
        <w:t>RfD</w:t>
      </w:r>
      <w:proofErr w:type="spellEnd"/>
      <w:r w:rsidR="00CA794C">
        <w:rPr>
          <w:rFonts w:ascii="Calibri" w:eastAsia="Times New Roman" w:hAnsi="Calibri" w:cs="Calibri"/>
          <w:i/>
          <w:iCs/>
          <w:color w:val="000000"/>
          <w:sz w:val="20"/>
          <w:szCs w:val="20"/>
        </w:rPr>
        <w:t xml:space="preserve"> or MRL} x </w:t>
      </w:r>
      <w:r w:rsidR="00B7052A">
        <w:rPr>
          <w:rFonts w:ascii="Calibri" w:eastAsia="Times New Roman" w:hAnsi="Calibri" w:cs="Calibri"/>
          <w:i/>
          <w:iCs/>
          <w:color w:val="000000"/>
          <w:sz w:val="20"/>
          <w:szCs w:val="20"/>
        </w:rPr>
        <w:t>BW x 365 (days/year)</w:t>
      </w:r>
      <w:r w:rsidR="004E4AF8">
        <w:rPr>
          <w:rFonts w:ascii="Calibri" w:eastAsia="Times New Roman" w:hAnsi="Calibri" w:cs="Calibri"/>
          <w:i/>
          <w:iCs/>
          <w:color w:val="000000"/>
          <w:sz w:val="20"/>
          <w:szCs w:val="20"/>
        </w:rPr>
        <w:t xml:space="preserve"> x RSC</w:t>
      </w:r>
      <w:r w:rsidR="00AA36B4">
        <w:rPr>
          <w:rFonts w:ascii="Calibri" w:eastAsia="Times New Roman" w:hAnsi="Calibri" w:cs="Calibri"/>
          <w:i/>
          <w:iCs/>
          <w:color w:val="000000"/>
          <w:sz w:val="20"/>
          <w:szCs w:val="20"/>
        </w:rPr>
        <w:t>]/</w:t>
      </w:r>
      <w:r w:rsidR="008B1188">
        <w:rPr>
          <w:rFonts w:ascii="Calibri" w:eastAsia="Times New Roman" w:hAnsi="Calibri" w:cs="Calibri"/>
          <w:i/>
          <w:iCs/>
          <w:color w:val="000000"/>
          <w:sz w:val="20"/>
          <w:szCs w:val="20"/>
        </w:rPr>
        <w:t xml:space="preserve">[Meal Size x </w:t>
      </w:r>
      <w:r w:rsidR="0074228E">
        <w:rPr>
          <w:rFonts w:ascii="Calibri" w:eastAsia="Times New Roman" w:hAnsi="Calibri" w:cs="Calibri"/>
          <w:i/>
          <w:iCs/>
          <w:color w:val="000000"/>
          <w:sz w:val="20"/>
          <w:szCs w:val="20"/>
        </w:rPr>
        <w:t>Meal Frequency</w:t>
      </w:r>
      <w:r w:rsidR="008B1188">
        <w:rPr>
          <w:rFonts w:ascii="Calibri" w:eastAsia="Times New Roman" w:hAnsi="Calibri" w:cs="Calibri"/>
          <w:i/>
          <w:iCs/>
          <w:color w:val="000000"/>
          <w:sz w:val="20"/>
          <w:szCs w:val="20"/>
        </w:rPr>
        <w:t>]</w:t>
      </w:r>
    </w:p>
    <w:p w14:paraId="68EE0195" w14:textId="44BC1D46" w:rsidR="007A1405" w:rsidRDefault="007A1405" w:rsidP="007A1405">
      <w:pPr>
        <w:spacing w:after="0" w:line="240" w:lineRule="auto"/>
        <w:rPr>
          <w:rFonts w:ascii="Calibri" w:eastAsia="Times New Roman" w:hAnsi="Calibri" w:cs="Calibri"/>
          <w:i/>
          <w:iCs/>
          <w:color w:val="000000"/>
          <w:sz w:val="20"/>
          <w:szCs w:val="20"/>
        </w:rPr>
      </w:pPr>
      <w:r w:rsidRPr="11C90A92">
        <w:rPr>
          <w:rFonts w:ascii="Calibri" w:eastAsia="Times New Roman" w:hAnsi="Calibri" w:cs="Calibri"/>
          <w:i/>
          <w:color w:val="000000" w:themeColor="text1"/>
          <w:sz w:val="20"/>
          <w:szCs w:val="20"/>
        </w:rPr>
        <w:t xml:space="preserve">[2] </w:t>
      </w:r>
      <w:r w:rsidR="001D34D1" w:rsidRPr="11C90A92">
        <w:rPr>
          <w:rFonts w:ascii="Calibri" w:eastAsia="Times New Roman" w:hAnsi="Calibri" w:cs="Calibri"/>
          <w:i/>
          <w:color w:val="000000" w:themeColor="text1"/>
          <w:sz w:val="20"/>
          <w:szCs w:val="20"/>
        </w:rPr>
        <w:t xml:space="preserve">SV calculated based on NHDES inputs for </w:t>
      </w:r>
      <w:proofErr w:type="spellStart"/>
      <w:r w:rsidR="001D34D1" w:rsidRPr="11C90A92">
        <w:rPr>
          <w:rFonts w:ascii="Calibri" w:eastAsia="Times New Roman" w:hAnsi="Calibri" w:cs="Calibri"/>
          <w:i/>
          <w:color w:val="000000" w:themeColor="text1"/>
          <w:sz w:val="20"/>
          <w:szCs w:val="20"/>
        </w:rPr>
        <w:t>RfD</w:t>
      </w:r>
      <w:proofErr w:type="spellEnd"/>
      <w:r w:rsidR="003F1391" w:rsidRPr="11C90A92">
        <w:rPr>
          <w:rFonts w:ascii="Calibri" w:eastAsia="Times New Roman" w:hAnsi="Calibri" w:cs="Calibri"/>
          <w:i/>
          <w:color w:val="000000" w:themeColor="text1"/>
          <w:sz w:val="20"/>
          <w:szCs w:val="20"/>
        </w:rPr>
        <w:t>, meal size, body weight</w:t>
      </w:r>
      <w:r w:rsidR="000D4F28" w:rsidRPr="11C90A92">
        <w:rPr>
          <w:rFonts w:ascii="Calibri" w:eastAsia="Times New Roman" w:hAnsi="Calibri" w:cs="Calibri"/>
          <w:i/>
          <w:color w:val="000000" w:themeColor="text1"/>
          <w:sz w:val="20"/>
          <w:szCs w:val="20"/>
        </w:rPr>
        <w:t xml:space="preserve">, and RSC, assuming daily consumption (30.4 </w:t>
      </w:r>
      <w:r w:rsidR="787A829D" w:rsidRPr="11C90A92">
        <w:rPr>
          <w:rFonts w:ascii="Calibri" w:eastAsia="Times New Roman" w:hAnsi="Calibri" w:cs="Calibri"/>
          <w:i/>
          <w:iCs/>
          <w:color w:val="000000" w:themeColor="text1"/>
          <w:sz w:val="20"/>
          <w:szCs w:val="20"/>
        </w:rPr>
        <w:t>meals/month</w:t>
      </w:r>
      <w:r w:rsidR="000D4F28" w:rsidRPr="11C90A92">
        <w:rPr>
          <w:rFonts w:ascii="Calibri" w:eastAsia="Times New Roman" w:hAnsi="Calibri" w:cs="Calibri"/>
          <w:i/>
          <w:color w:val="000000" w:themeColor="text1"/>
          <w:sz w:val="20"/>
          <w:szCs w:val="20"/>
        </w:rPr>
        <w:t>)</w:t>
      </w:r>
    </w:p>
    <w:p w14:paraId="390D50C7" w14:textId="24C91EB5" w:rsidR="0008284C" w:rsidRDefault="0008284C" w:rsidP="0008284C">
      <w:pPr>
        <w:spacing w:after="0" w:line="240" w:lineRule="auto"/>
        <w:rPr>
          <w:rFonts w:ascii="Calibri" w:eastAsia="Times New Roman" w:hAnsi="Calibri" w:cs="Calibri"/>
          <w:i/>
          <w:iCs/>
          <w:color w:val="000000"/>
          <w:sz w:val="20"/>
          <w:szCs w:val="20"/>
        </w:rPr>
      </w:pPr>
      <w:r w:rsidRPr="00AA6FDD">
        <w:rPr>
          <w:rFonts w:ascii="Calibri" w:eastAsia="Times New Roman" w:hAnsi="Calibri" w:cs="Calibri"/>
          <w:i/>
          <w:iCs/>
          <w:color w:val="000000"/>
          <w:sz w:val="20"/>
          <w:szCs w:val="20"/>
        </w:rPr>
        <w:t>[</w:t>
      </w:r>
      <w:r w:rsidR="000D4F28">
        <w:rPr>
          <w:rFonts w:ascii="Calibri" w:eastAsia="Times New Roman" w:hAnsi="Calibri" w:cs="Calibri"/>
          <w:i/>
          <w:iCs/>
          <w:color w:val="000000"/>
          <w:sz w:val="20"/>
          <w:szCs w:val="20"/>
        </w:rPr>
        <w:t>3</w:t>
      </w:r>
      <w:r w:rsidRPr="00AA6FDD">
        <w:rPr>
          <w:rFonts w:ascii="Calibri" w:eastAsia="Times New Roman" w:hAnsi="Calibri" w:cs="Calibri"/>
          <w:i/>
          <w:iCs/>
          <w:color w:val="000000"/>
          <w:sz w:val="20"/>
          <w:szCs w:val="20"/>
        </w:rPr>
        <w:t>] Applies to both general and high</w:t>
      </w:r>
      <w:r w:rsidR="00306B09">
        <w:rPr>
          <w:rFonts w:ascii="Calibri" w:eastAsia="Times New Roman" w:hAnsi="Calibri" w:cs="Calibri"/>
          <w:i/>
          <w:iCs/>
          <w:color w:val="000000"/>
          <w:sz w:val="20"/>
          <w:szCs w:val="20"/>
        </w:rPr>
        <w:t>er</w:t>
      </w:r>
      <w:r w:rsidRPr="00AA6FDD">
        <w:rPr>
          <w:rFonts w:ascii="Calibri" w:eastAsia="Times New Roman" w:hAnsi="Calibri" w:cs="Calibri"/>
          <w:i/>
          <w:iCs/>
          <w:color w:val="000000"/>
          <w:sz w:val="20"/>
          <w:szCs w:val="20"/>
        </w:rPr>
        <w:t>-risk populations</w:t>
      </w:r>
      <w:r w:rsidR="00306B09">
        <w:rPr>
          <w:rFonts w:ascii="Calibri" w:eastAsia="Times New Roman" w:hAnsi="Calibri" w:cs="Calibri"/>
          <w:i/>
          <w:iCs/>
          <w:color w:val="000000"/>
          <w:sz w:val="20"/>
          <w:szCs w:val="20"/>
        </w:rPr>
        <w:t xml:space="preserve"> (e.</w:t>
      </w:r>
      <w:r w:rsidR="00727A82">
        <w:rPr>
          <w:rFonts w:ascii="Calibri" w:eastAsia="Times New Roman" w:hAnsi="Calibri" w:cs="Calibri"/>
          <w:i/>
          <w:iCs/>
          <w:color w:val="000000"/>
          <w:sz w:val="20"/>
          <w:szCs w:val="20"/>
        </w:rPr>
        <w:t>g., children)</w:t>
      </w:r>
    </w:p>
    <w:p w14:paraId="7CA855E2" w14:textId="0F21A62A" w:rsidR="006864FC" w:rsidRDefault="0043707E" w:rsidP="0008284C">
      <w:pPr>
        <w:spacing w:after="0" w:line="240" w:lineRule="auto"/>
        <w:rPr>
          <w:rFonts w:ascii="Calibri" w:eastAsia="Times New Roman" w:hAnsi="Calibri" w:cs="Calibri"/>
          <w:i/>
          <w:iCs/>
          <w:color w:val="000000"/>
          <w:sz w:val="20"/>
          <w:szCs w:val="20"/>
        </w:rPr>
      </w:pPr>
      <w:r>
        <w:rPr>
          <w:rFonts w:ascii="Calibri" w:eastAsia="Times New Roman" w:hAnsi="Calibri" w:cs="Calibri"/>
          <w:i/>
          <w:iCs/>
          <w:color w:val="000000"/>
          <w:sz w:val="20"/>
          <w:szCs w:val="20"/>
        </w:rPr>
        <w:t>[4]</w:t>
      </w:r>
      <w:r w:rsidR="00762C6B">
        <w:rPr>
          <w:rFonts w:ascii="Calibri" w:eastAsia="Times New Roman" w:hAnsi="Calibri" w:cs="Calibri"/>
          <w:i/>
          <w:iCs/>
          <w:color w:val="000000"/>
          <w:sz w:val="20"/>
          <w:szCs w:val="20"/>
        </w:rPr>
        <w:t xml:space="preserve"> ME CDC assumes consumption rate of </w:t>
      </w:r>
      <w:r w:rsidR="00F14B94">
        <w:rPr>
          <w:rFonts w:ascii="Calibri" w:eastAsia="Times New Roman" w:hAnsi="Calibri" w:cs="Calibri"/>
          <w:i/>
          <w:iCs/>
          <w:color w:val="000000"/>
          <w:sz w:val="20"/>
          <w:szCs w:val="20"/>
        </w:rPr>
        <w:t>227 g</w:t>
      </w:r>
      <w:r w:rsidR="00834BFA">
        <w:rPr>
          <w:rFonts w:ascii="Calibri" w:eastAsia="Times New Roman" w:hAnsi="Calibri" w:cs="Calibri"/>
          <w:i/>
          <w:iCs/>
          <w:color w:val="000000"/>
          <w:sz w:val="20"/>
          <w:szCs w:val="20"/>
        </w:rPr>
        <w:t>/</w:t>
      </w:r>
      <w:proofErr w:type="gramStart"/>
      <w:r w:rsidR="00834BFA">
        <w:rPr>
          <w:rFonts w:ascii="Calibri" w:eastAsia="Times New Roman" w:hAnsi="Calibri" w:cs="Calibri"/>
          <w:i/>
          <w:iCs/>
          <w:color w:val="000000"/>
          <w:sz w:val="20"/>
          <w:szCs w:val="20"/>
        </w:rPr>
        <w:t>week</w:t>
      </w:r>
      <w:proofErr w:type="gramEnd"/>
    </w:p>
    <w:p w14:paraId="69A6E556" w14:textId="66E8D615" w:rsidR="0008284C" w:rsidRDefault="0008284C" w:rsidP="0008284C">
      <w:pPr>
        <w:spacing w:after="0" w:line="240" w:lineRule="auto"/>
        <w:rPr>
          <w:rFonts w:ascii="Calibri" w:eastAsia="Times New Roman" w:hAnsi="Calibri" w:cs="Calibri"/>
          <w:i/>
          <w:iCs/>
          <w:color w:val="000000"/>
          <w:sz w:val="20"/>
          <w:szCs w:val="20"/>
        </w:rPr>
      </w:pPr>
      <w:r w:rsidRPr="007B0D10">
        <w:rPr>
          <w:rFonts w:ascii="Calibri" w:eastAsia="Times New Roman" w:hAnsi="Calibri" w:cs="Calibri"/>
          <w:i/>
          <w:iCs/>
          <w:color w:val="000000"/>
          <w:sz w:val="20"/>
          <w:szCs w:val="20"/>
        </w:rPr>
        <w:t>[</w:t>
      </w:r>
      <w:r w:rsidR="00C91C11">
        <w:rPr>
          <w:rFonts w:ascii="Calibri" w:eastAsia="Times New Roman" w:hAnsi="Calibri" w:cs="Calibri"/>
          <w:i/>
          <w:iCs/>
          <w:color w:val="000000"/>
          <w:sz w:val="20"/>
          <w:szCs w:val="20"/>
        </w:rPr>
        <w:t>5</w:t>
      </w:r>
      <w:r w:rsidRPr="007B0D10">
        <w:rPr>
          <w:rFonts w:ascii="Calibri" w:eastAsia="Times New Roman" w:hAnsi="Calibri" w:cs="Calibri"/>
          <w:i/>
          <w:iCs/>
          <w:color w:val="000000"/>
          <w:sz w:val="20"/>
          <w:szCs w:val="20"/>
        </w:rPr>
        <w:t>] Includes Illinois, Indiana, Michigan, Minnesota, New York, Ohio, Pennsylvania, Wisconsin</w:t>
      </w:r>
      <w:r w:rsidR="00C91C11">
        <w:rPr>
          <w:rFonts w:ascii="Calibri" w:eastAsia="Times New Roman" w:hAnsi="Calibri" w:cs="Calibri"/>
          <w:i/>
          <w:iCs/>
          <w:color w:val="000000"/>
          <w:sz w:val="20"/>
          <w:szCs w:val="20"/>
        </w:rPr>
        <w:t xml:space="preserve">; meals/month </w:t>
      </w:r>
      <w:proofErr w:type="gramStart"/>
      <w:r w:rsidR="00C91C11">
        <w:rPr>
          <w:rFonts w:ascii="Calibri" w:eastAsia="Times New Roman" w:hAnsi="Calibri" w:cs="Calibri"/>
          <w:i/>
          <w:iCs/>
          <w:color w:val="000000"/>
          <w:sz w:val="20"/>
          <w:szCs w:val="20"/>
        </w:rPr>
        <w:t>back-calculated</w:t>
      </w:r>
      <w:proofErr w:type="gramEnd"/>
      <w:r w:rsidR="00C91C11">
        <w:rPr>
          <w:rFonts w:ascii="Calibri" w:eastAsia="Times New Roman" w:hAnsi="Calibri" w:cs="Calibri"/>
          <w:i/>
          <w:iCs/>
          <w:color w:val="000000"/>
          <w:sz w:val="20"/>
          <w:szCs w:val="20"/>
        </w:rPr>
        <w:t xml:space="preserve"> from SV</w:t>
      </w:r>
    </w:p>
    <w:p w14:paraId="44D1F730" w14:textId="47544D1E" w:rsidR="00C91C11" w:rsidRPr="00AA2360" w:rsidRDefault="00C91966" w:rsidP="0008284C">
      <w:pPr>
        <w:spacing w:after="0" w:line="240" w:lineRule="auto"/>
        <w:rPr>
          <w:rFonts w:ascii="Calibri" w:eastAsia="Times New Roman" w:hAnsi="Calibri" w:cs="Calibri"/>
          <w:i/>
          <w:iCs/>
          <w:color w:val="000000"/>
          <w:sz w:val="20"/>
          <w:szCs w:val="20"/>
        </w:rPr>
      </w:pPr>
      <w:r>
        <w:rPr>
          <w:rFonts w:ascii="Calibri" w:eastAsia="Times New Roman" w:hAnsi="Calibri" w:cs="Calibri"/>
          <w:i/>
          <w:iCs/>
          <w:color w:val="000000"/>
          <w:sz w:val="20"/>
          <w:szCs w:val="20"/>
        </w:rPr>
        <w:t xml:space="preserve">[6] </w:t>
      </w:r>
      <w:r w:rsidR="00BE097B">
        <w:rPr>
          <w:rFonts w:ascii="Calibri" w:eastAsia="Times New Roman" w:hAnsi="Calibri" w:cs="Calibri"/>
          <w:i/>
          <w:iCs/>
          <w:color w:val="000000"/>
          <w:sz w:val="20"/>
          <w:szCs w:val="20"/>
        </w:rPr>
        <w:t xml:space="preserve">Meals/month </w:t>
      </w:r>
      <w:proofErr w:type="gramStart"/>
      <w:r w:rsidR="00BE097B">
        <w:rPr>
          <w:rFonts w:ascii="Calibri" w:eastAsia="Times New Roman" w:hAnsi="Calibri" w:cs="Calibri"/>
          <w:i/>
          <w:iCs/>
          <w:color w:val="000000"/>
          <w:sz w:val="20"/>
          <w:szCs w:val="20"/>
        </w:rPr>
        <w:t>back-calculated</w:t>
      </w:r>
      <w:proofErr w:type="gramEnd"/>
      <w:r w:rsidR="00BE097B">
        <w:rPr>
          <w:rFonts w:ascii="Calibri" w:eastAsia="Times New Roman" w:hAnsi="Calibri" w:cs="Calibri"/>
          <w:i/>
          <w:iCs/>
          <w:color w:val="000000"/>
          <w:sz w:val="20"/>
          <w:szCs w:val="20"/>
        </w:rPr>
        <w:t xml:space="preserve"> from SV</w:t>
      </w:r>
    </w:p>
    <w:p w14:paraId="58D9F4CD" w14:textId="2C9BA21C" w:rsidR="0008284C" w:rsidRDefault="0008284C" w:rsidP="00AA6FDD">
      <w:pPr>
        <w:sectPr w:rsidR="0008284C" w:rsidSect="000750D0">
          <w:headerReference w:type="default" r:id="rId53"/>
          <w:footerReference w:type="default" r:id="rId54"/>
          <w:headerReference w:type="first" r:id="rId55"/>
          <w:pgSz w:w="15840" w:h="12240" w:orient="landscape" w:code="1"/>
          <w:pgMar w:top="1440" w:right="1440" w:bottom="1440" w:left="1440" w:header="720" w:footer="720" w:gutter="0"/>
          <w:cols w:space="720"/>
          <w:docGrid w:linePitch="360"/>
        </w:sectPr>
      </w:pPr>
    </w:p>
    <w:p w14:paraId="44E2F8B0" w14:textId="2A67D6EE" w:rsidR="00FA6918" w:rsidRPr="00FA6918" w:rsidRDefault="00FA6918" w:rsidP="00FA6918">
      <w:pPr>
        <w:rPr>
          <w:b/>
          <w:bCs/>
          <w:sz w:val="32"/>
          <w:szCs w:val="32"/>
        </w:rPr>
      </w:pPr>
      <w:r>
        <w:rPr>
          <w:b/>
          <w:bCs/>
          <w:sz w:val="32"/>
          <w:szCs w:val="32"/>
        </w:rPr>
        <w:lastRenderedPageBreak/>
        <w:t xml:space="preserve">APPENDIX </w:t>
      </w:r>
      <w:r w:rsidR="00E404A9">
        <w:rPr>
          <w:b/>
          <w:bCs/>
          <w:sz w:val="32"/>
          <w:szCs w:val="32"/>
        </w:rPr>
        <w:t>B</w:t>
      </w:r>
      <w:r>
        <w:rPr>
          <w:b/>
          <w:bCs/>
          <w:sz w:val="32"/>
          <w:szCs w:val="32"/>
        </w:rPr>
        <w:t xml:space="preserve"> - </w:t>
      </w:r>
      <w:r w:rsidRPr="00FA6918">
        <w:rPr>
          <w:b/>
          <w:bCs/>
          <w:sz w:val="32"/>
          <w:szCs w:val="32"/>
        </w:rPr>
        <w:t>REFERENCES</w:t>
      </w:r>
    </w:p>
    <w:p w14:paraId="6D387141" w14:textId="77777777" w:rsidR="003B551E" w:rsidRPr="000D3483" w:rsidRDefault="003B551E" w:rsidP="009916DF">
      <w:pPr>
        <w:spacing w:after="0" w:line="240" w:lineRule="auto"/>
        <w:rPr>
          <w:sz w:val="24"/>
          <w:szCs w:val="24"/>
        </w:rPr>
      </w:pPr>
      <w:r w:rsidRPr="000D3483">
        <w:rPr>
          <w:sz w:val="24"/>
          <w:szCs w:val="24"/>
        </w:rPr>
        <w:t xml:space="preserve">Connecticut Department of Public Health (CTDPH). 2018. Health Consultation, Public Health Evaluation of Fish Tissue from O’Sullivan’s Island Site, Derby, CT. Prepared under Cooperative Agreement with Agency for Toxic Substances and Disease Registry. January 23. Available online at:  </w:t>
      </w:r>
      <w:hyperlink r:id="rId56" w:history="1">
        <w:r w:rsidRPr="000D3483">
          <w:rPr>
            <w:rStyle w:val="Hyperlink"/>
            <w:sz w:val="24"/>
            <w:szCs w:val="24"/>
          </w:rPr>
          <w:t>https://portal.ct.gov/-/media/Departments-and-Agencies/DPH/dph/environmental_health/eoha/ATSDR/OSullivans-Island-PCBs-and-PFAS-in-fish.pdf?la=en</w:t>
        </w:r>
      </w:hyperlink>
    </w:p>
    <w:p w14:paraId="007C4519" w14:textId="77777777" w:rsidR="000D3483" w:rsidRPr="000D3483" w:rsidRDefault="000D3483" w:rsidP="009916DF">
      <w:pPr>
        <w:spacing w:after="0" w:line="240" w:lineRule="auto"/>
        <w:rPr>
          <w:sz w:val="24"/>
          <w:szCs w:val="24"/>
        </w:rPr>
      </w:pPr>
    </w:p>
    <w:p w14:paraId="4E15535B" w14:textId="1B0F1A6F" w:rsidR="003B551E" w:rsidRDefault="003B551E" w:rsidP="009916DF">
      <w:pPr>
        <w:spacing w:after="0" w:line="240" w:lineRule="auto"/>
        <w:rPr>
          <w:rStyle w:val="Hyperlink"/>
          <w:sz w:val="24"/>
          <w:szCs w:val="24"/>
        </w:rPr>
      </w:pPr>
      <w:r w:rsidRPr="000D3483">
        <w:rPr>
          <w:sz w:val="24"/>
          <w:szCs w:val="24"/>
        </w:rPr>
        <w:t xml:space="preserve">Great Lakes Consortium for Fish Consumption Advisories (Great Lakes Consortium). 2018. Best Practice for </w:t>
      </w:r>
      <w:proofErr w:type="spellStart"/>
      <w:r w:rsidRPr="000D3483">
        <w:rPr>
          <w:sz w:val="24"/>
          <w:szCs w:val="24"/>
        </w:rPr>
        <w:t>Perfluorooctane</w:t>
      </w:r>
      <w:proofErr w:type="spellEnd"/>
      <w:r w:rsidRPr="000D3483">
        <w:rPr>
          <w:sz w:val="24"/>
          <w:szCs w:val="24"/>
        </w:rPr>
        <w:t xml:space="preserve"> Sulfonate (PFOS) Guidelines. November. Available online at: </w:t>
      </w:r>
      <w:hyperlink r:id="rId57" w:history="1">
        <w:r w:rsidRPr="000D3483">
          <w:rPr>
            <w:rStyle w:val="Hyperlink"/>
            <w:sz w:val="24"/>
            <w:szCs w:val="24"/>
          </w:rPr>
          <w:t>https://www.health.state.mn.us/communities/environment/fish/docs/consortium/bestpracticepfos.pdf</w:t>
        </w:r>
      </w:hyperlink>
    </w:p>
    <w:p w14:paraId="2D75C255" w14:textId="09D7CA53" w:rsidR="009D7C1E" w:rsidRDefault="009D7C1E" w:rsidP="009916DF">
      <w:pPr>
        <w:spacing w:after="0" w:line="240" w:lineRule="auto"/>
        <w:rPr>
          <w:rStyle w:val="Hyperlink"/>
          <w:sz w:val="24"/>
          <w:szCs w:val="24"/>
        </w:rPr>
      </w:pPr>
    </w:p>
    <w:p w14:paraId="3679967D" w14:textId="52075487" w:rsidR="009D7C1E" w:rsidRDefault="009D7C1E" w:rsidP="009916DF">
      <w:pPr>
        <w:spacing w:after="0" w:line="240" w:lineRule="auto"/>
        <w:rPr>
          <w:rStyle w:val="Hyperlink"/>
          <w:sz w:val="24"/>
          <w:szCs w:val="24"/>
        </w:rPr>
      </w:pPr>
      <w:r w:rsidRPr="00AE0CD7">
        <w:rPr>
          <w:rStyle w:val="Hyperlink"/>
          <w:color w:val="auto"/>
          <w:sz w:val="24"/>
          <w:szCs w:val="24"/>
          <w:u w:val="none"/>
        </w:rPr>
        <w:t xml:space="preserve">Maine </w:t>
      </w:r>
      <w:r w:rsidRPr="00BC6F96">
        <w:rPr>
          <w:sz w:val="24"/>
          <w:szCs w:val="24"/>
        </w:rPr>
        <w:t>Center for Disease Control and Prevention</w:t>
      </w:r>
      <w:r w:rsidRPr="00AE0CD7">
        <w:rPr>
          <w:rStyle w:val="Hyperlink"/>
          <w:color w:val="auto"/>
          <w:sz w:val="24"/>
          <w:szCs w:val="24"/>
          <w:u w:val="none"/>
        </w:rPr>
        <w:t>. 2022. Maine CDC Scientific Brief: PFOS Fish Consumption Advisory. May 5. Available online at:</w:t>
      </w:r>
    </w:p>
    <w:p w14:paraId="6D2979CD" w14:textId="7A8797B9" w:rsidR="009D7C1E" w:rsidRPr="000D3483" w:rsidRDefault="00FD30E8" w:rsidP="009916DF">
      <w:pPr>
        <w:spacing w:after="0" w:line="240" w:lineRule="auto"/>
        <w:rPr>
          <w:sz w:val="24"/>
          <w:szCs w:val="24"/>
        </w:rPr>
      </w:pPr>
      <w:hyperlink r:id="rId58" w:history="1">
        <w:r w:rsidR="009D7C1E" w:rsidRPr="00B13F33">
          <w:rPr>
            <w:rStyle w:val="Hyperlink"/>
            <w:sz w:val="24"/>
            <w:szCs w:val="24"/>
          </w:rPr>
          <w:t>https://www.maine.gov/dhhs/mecdc/environmental-health/eohp/fish/documents/pfas-fish-science-brief-05052022.pdf</w:t>
        </w:r>
      </w:hyperlink>
      <w:r w:rsidR="009D7C1E">
        <w:rPr>
          <w:rStyle w:val="Hyperlink"/>
          <w:sz w:val="24"/>
          <w:szCs w:val="24"/>
        </w:rPr>
        <w:t xml:space="preserve"> </w:t>
      </w:r>
    </w:p>
    <w:p w14:paraId="7B9C415A" w14:textId="77777777" w:rsidR="000D3483" w:rsidRPr="000D3483" w:rsidRDefault="000D3483" w:rsidP="009916DF">
      <w:pPr>
        <w:spacing w:after="0" w:line="240" w:lineRule="auto"/>
        <w:rPr>
          <w:rFonts w:cs="Arial"/>
          <w:sz w:val="24"/>
          <w:szCs w:val="24"/>
        </w:rPr>
      </w:pPr>
    </w:p>
    <w:p w14:paraId="1867CBA5" w14:textId="3A737D57" w:rsidR="00AA6FDD" w:rsidRPr="000D3483" w:rsidRDefault="003B551E" w:rsidP="009916DF">
      <w:pPr>
        <w:spacing w:after="0" w:line="240" w:lineRule="auto"/>
        <w:rPr>
          <w:rStyle w:val="Hyperlink"/>
          <w:rFonts w:cs="Arial"/>
          <w:sz w:val="24"/>
          <w:szCs w:val="24"/>
        </w:rPr>
      </w:pPr>
      <w:r w:rsidRPr="000D3483">
        <w:rPr>
          <w:rFonts w:cs="Arial"/>
          <w:sz w:val="24"/>
          <w:szCs w:val="24"/>
        </w:rPr>
        <w:t xml:space="preserve">Michigan Department of Health and Human Services (MDHHS). 2016. Michigan Fish Consumption Advisory Program Guidance Document. September 14. </w:t>
      </w:r>
      <w:r w:rsidRPr="000D3483">
        <w:rPr>
          <w:sz w:val="24"/>
          <w:szCs w:val="24"/>
        </w:rPr>
        <w:t xml:space="preserve">Available online at: </w:t>
      </w:r>
      <w:hyperlink r:id="rId59" w:history="1">
        <w:r w:rsidRPr="000D3483">
          <w:rPr>
            <w:rStyle w:val="Hyperlink"/>
            <w:rFonts w:cs="Arial"/>
            <w:sz w:val="24"/>
            <w:szCs w:val="24"/>
          </w:rPr>
          <w:t>https://www.michigan.gov/documents/mdch/MFCAP_Guidance_Document_500546_7.pdf</w:t>
        </w:r>
      </w:hyperlink>
    </w:p>
    <w:p w14:paraId="76D25E63" w14:textId="1E77B58D" w:rsidR="009148E8" w:rsidRDefault="009148E8" w:rsidP="00253DBE">
      <w:pPr>
        <w:tabs>
          <w:tab w:val="left" w:pos="6190"/>
        </w:tabs>
        <w:spacing w:after="0" w:line="240" w:lineRule="auto"/>
        <w:rPr>
          <w:rStyle w:val="Hyperlink"/>
          <w:sz w:val="24"/>
          <w:szCs w:val="24"/>
        </w:rPr>
      </w:pPr>
    </w:p>
    <w:p w14:paraId="7FDE77D2" w14:textId="517C447A" w:rsidR="00443D29" w:rsidRPr="009A3986" w:rsidRDefault="00443D29" w:rsidP="009916DF">
      <w:pPr>
        <w:spacing w:after="0" w:line="240" w:lineRule="auto"/>
        <w:rPr>
          <w:rStyle w:val="Hyperlink"/>
          <w:sz w:val="24"/>
          <w:szCs w:val="24"/>
        </w:rPr>
      </w:pPr>
      <w:r w:rsidRPr="009A3986">
        <w:rPr>
          <w:rStyle w:val="Hyperlink"/>
          <w:rFonts w:cs="Arial"/>
          <w:color w:val="auto"/>
          <w:sz w:val="24"/>
          <w:szCs w:val="24"/>
          <w:u w:val="none"/>
        </w:rPr>
        <w:t>New Hampshire Department of Environmental Services (NHDES). 20</w:t>
      </w:r>
      <w:r>
        <w:rPr>
          <w:rStyle w:val="Hyperlink"/>
          <w:rFonts w:cs="Arial"/>
          <w:color w:val="auto"/>
          <w:sz w:val="24"/>
          <w:szCs w:val="24"/>
          <w:u w:val="none"/>
        </w:rPr>
        <w:t>20. Human Health Risk Assessment of Fish Consumption and Detected PFAS at Squam Lake.</w:t>
      </w:r>
      <w:r w:rsidR="007C1CAC">
        <w:rPr>
          <w:rStyle w:val="Hyperlink"/>
          <w:rFonts w:cs="Arial"/>
          <w:color w:val="auto"/>
          <w:sz w:val="24"/>
          <w:szCs w:val="24"/>
          <w:u w:val="none"/>
        </w:rPr>
        <w:t xml:space="preserve"> Available online at: </w:t>
      </w:r>
      <w:r w:rsidR="00253DBE" w:rsidRPr="00253DBE">
        <w:rPr>
          <w:rStyle w:val="Hyperlink"/>
          <w:rFonts w:cs="Arial"/>
          <w:color w:val="auto"/>
          <w:sz w:val="24"/>
          <w:szCs w:val="24"/>
          <w:u w:val="none"/>
        </w:rPr>
        <w:t>https://www.des.nh.gov/sites/g/files/ehbemt341/files/documents/20200413-squam-lake-advisory.pdf</w:t>
      </w:r>
    </w:p>
    <w:p w14:paraId="742C3CEF" w14:textId="77777777" w:rsidR="0001289A" w:rsidRDefault="0001289A" w:rsidP="009916DF">
      <w:pPr>
        <w:spacing w:after="0" w:line="240" w:lineRule="auto"/>
        <w:rPr>
          <w:sz w:val="24"/>
          <w:szCs w:val="24"/>
        </w:rPr>
      </w:pPr>
    </w:p>
    <w:p w14:paraId="47B82290" w14:textId="7EDF644F" w:rsidR="003B551E" w:rsidRDefault="003B551E" w:rsidP="009916DF">
      <w:pPr>
        <w:spacing w:after="0" w:line="240" w:lineRule="auto"/>
        <w:rPr>
          <w:rStyle w:val="Hyperlink"/>
          <w:sz w:val="24"/>
          <w:szCs w:val="24"/>
        </w:rPr>
      </w:pPr>
      <w:r w:rsidRPr="000D3483">
        <w:rPr>
          <w:sz w:val="24"/>
          <w:szCs w:val="24"/>
        </w:rPr>
        <w:t>New Jersey Department of Environmental Protection (NJDEP). 2018. Investigation of Levels of Perfluorinated Compounds in New Jersey Fish, Surface Water, and Sediment. June 18. Available online at</w:t>
      </w:r>
      <w:r w:rsidR="00E76286">
        <w:rPr>
          <w:sz w:val="24"/>
          <w:szCs w:val="24"/>
        </w:rPr>
        <w:t xml:space="preserve">: </w:t>
      </w:r>
      <w:hyperlink r:id="rId60" w:history="1">
        <w:r w:rsidR="00E76286" w:rsidRPr="00E76286">
          <w:rPr>
            <w:rStyle w:val="Hyperlink"/>
            <w:sz w:val="24"/>
            <w:szCs w:val="24"/>
          </w:rPr>
          <w:t>https://www.nj.gov/dep/dsr/publications/Investigation%20of%20Levels%20of%20Perfluorinated%20Compounds%20in%20New%20Jersey%20Fish,%20Surface%20Water,%20and%20Sediment.pdf</w:t>
        </w:r>
      </w:hyperlink>
    </w:p>
    <w:p w14:paraId="02384327" w14:textId="47996AF1" w:rsidR="009D7C1E" w:rsidRDefault="009D7C1E" w:rsidP="009916DF">
      <w:pPr>
        <w:spacing w:after="0" w:line="240" w:lineRule="auto"/>
        <w:rPr>
          <w:rStyle w:val="Hyperlink"/>
          <w:sz w:val="24"/>
          <w:szCs w:val="24"/>
        </w:rPr>
      </w:pPr>
    </w:p>
    <w:p w14:paraId="63A88A66" w14:textId="3676225F" w:rsidR="009D7C1E" w:rsidRPr="000D3483" w:rsidRDefault="009D7C1E" w:rsidP="009916DF">
      <w:pPr>
        <w:spacing w:after="0" w:line="240" w:lineRule="auto"/>
        <w:rPr>
          <w:sz w:val="24"/>
          <w:szCs w:val="24"/>
        </w:rPr>
      </w:pPr>
      <w:r w:rsidRPr="004B1519">
        <w:rPr>
          <w:sz w:val="24"/>
          <w:szCs w:val="24"/>
        </w:rPr>
        <w:t>Oregon Health Authority (OHA). 2022. Fish Consumption Advisory Standard Operating Guidance Oregon Health Authority Fish Advisory Program. Available online at:</w:t>
      </w:r>
      <w:r w:rsidRPr="009D7C1E">
        <w:rPr>
          <w:sz w:val="24"/>
          <w:szCs w:val="24"/>
        </w:rPr>
        <w:t xml:space="preserve"> </w:t>
      </w:r>
      <w:hyperlink r:id="rId61" w:history="1">
        <w:r w:rsidRPr="009B3F73">
          <w:rPr>
            <w:rStyle w:val="Hyperlink"/>
            <w:sz w:val="24"/>
            <w:szCs w:val="24"/>
          </w:rPr>
          <w:t>https://www.oregon.gov/oha/PH/HEALTHYENVIRONMENTS/RECREATION/FISHCONSUMPTION/SiteAssets/Pages/fishadvisories/Fish%20Consumption%20Advisory%20SOG%20Final-May2022.pdf</w:t>
        </w:r>
      </w:hyperlink>
      <w:r>
        <w:rPr>
          <w:sz w:val="24"/>
          <w:szCs w:val="24"/>
        </w:rPr>
        <w:t xml:space="preserve"> </w:t>
      </w:r>
    </w:p>
    <w:p w14:paraId="6F2CDC92" w14:textId="77777777" w:rsidR="000D3483" w:rsidRPr="000D3483" w:rsidRDefault="000D3483" w:rsidP="009916DF">
      <w:pPr>
        <w:spacing w:after="0" w:line="240" w:lineRule="auto"/>
        <w:rPr>
          <w:sz w:val="24"/>
          <w:szCs w:val="24"/>
        </w:rPr>
      </w:pPr>
    </w:p>
    <w:p w14:paraId="5C3B6E82" w14:textId="06E2134C" w:rsidR="005C1083" w:rsidRPr="000D3483" w:rsidRDefault="005C1083" w:rsidP="009916DF">
      <w:pPr>
        <w:spacing w:after="0" w:line="240" w:lineRule="auto"/>
        <w:rPr>
          <w:sz w:val="24"/>
          <w:szCs w:val="24"/>
        </w:rPr>
      </w:pPr>
    </w:p>
    <w:sectPr w:rsidR="005C1083" w:rsidRPr="000D3483" w:rsidSect="000750D0">
      <w:headerReference w:type="default" r:id="rId62"/>
      <w:headerReference w:type="first" r:id="rId6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2ECA1" w14:textId="77777777" w:rsidR="0048437D" w:rsidRDefault="0048437D" w:rsidP="007F3847">
      <w:pPr>
        <w:spacing w:after="0" w:line="240" w:lineRule="auto"/>
      </w:pPr>
      <w:r>
        <w:separator/>
      </w:r>
    </w:p>
  </w:endnote>
  <w:endnote w:type="continuationSeparator" w:id="0">
    <w:p w14:paraId="28F5039A" w14:textId="77777777" w:rsidR="0048437D" w:rsidRDefault="0048437D" w:rsidP="007F3847">
      <w:pPr>
        <w:spacing w:after="0" w:line="240" w:lineRule="auto"/>
      </w:pPr>
      <w:r>
        <w:continuationSeparator/>
      </w:r>
    </w:p>
  </w:endnote>
  <w:endnote w:type="continuationNotice" w:id="1">
    <w:p w14:paraId="1410AF4D" w14:textId="77777777" w:rsidR="0048437D" w:rsidRDefault="00484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65B2" w14:textId="575845E0" w:rsidR="00EA359A" w:rsidRDefault="00EA359A" w:rsidP="00EA359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0"/>
      <w:gridCol w:w="3150"/>
      <w:gridCol w:w="3150"/>
    </w:tblGrid>
    <w:tr w:rsidR="300B9443" w14:paraId="15F194EA" w14:textId="77777777" w:rsidTr="006C3953">
      <w:trPr>
        <w:trHeight w:val="300"/>
      </w:trPr>
      <w:tc>
        <w:tcPr>
          <w:tcW w:w="3150" w:type="dxa"/>
        </w:tcPr>
        <w:p w14:paraId="22CF7899" w14:textId="393D901C" w:rsidR="300B9443" w:rsidRDefault="300B9443" w:rsidP="006C3953">
          <w:pPr>
            <w:pStyle w:val="Header"/>
            <w:ind w:left="-115"/>
          </w:pPr>
        </w:p>
      </w:tc>
      <w:tc>
        <w:tcPr>
          <w:tcW w:w="3150" w:type="dxa"/>
        </w:tcPr>
        <w:p w14:paraId="34F1B354" w14:textId="394BC255" w:rsidR="300B9443" w:rsidRDefault="300B9443" w:rsidP="006C3953">
          <w:pPr>
            <w:pStyle w:val="Header"/>
            <w:jc w:val="center"/>
          </w:pPr>
        </w:p>
      </w:tc>
      <w:tc>
        <w:tcPr>
          <w:tcW w:w="3150" w:type="dxa"/>
        </w:tcPr>
        <w:p w14:paraId="64CA563D" w14:textId="3FA77373" w:rsidR="300B9443" w:rsidRDefault="300B9443" w:rsidP="006C3953">
          <w:pPr>
            <w:pStyle w:val="Header"/>
            <w:ind w:right="-115"/>
            <w:jc w:val="right"/>
          </w:pPr>
        </w:p>
      </w:tc>
    </w:tr>
  </w:tbl>
  <w:p w14:paraId="1E960473" w14:textId="3A7A5879" w:rsidR="300B9443" w:rsidRDefault="300B9443" w:rsidP="006C3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936788"/>
      <w:docPartObj>
        <w:docPartGallery w:val="Page Numbers (Bottom of Page)"/>
        <w:docPartUnique/>
      </w:docPartObj>
    </w:sdtPr>
    <w:sdtEndPr>
      <w:rPr>
        <w:noProof/>
      </w:rPr>
    </w:sdtEndPr>
    <w:sdtContent>
      <w:p w14:paraId="643C0D30" w14:textId="24153C7F" w:rsidR="00EA359A" w:rsidRDefault="00733892" w:rsidP="007338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52D1" w14:textId="5221E976" w:rsidR="00EA359A" w:rsidRDefault="00EA359A" w:rsidP="0073389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63AEF" w14:textId="688FAADE" w:rsidR="00733892" w:rsidRDefault="00733892" w:rsidP="00733892">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654544"/>
      <w:docPartObj>
        <w:docPartGallery w:val="Page Numbers (Bottom of Page)"/>
        <w:docPartUnique/>
      </w:docPartObj>
    </w:sdtPr>
    <w:sdtEndPr>
      <w:rPr>
        <w:noProof/>
      </w:rPr>
    </w:sdtEndPr>
    <w:sdtContent>
      <w:p w14:paraId="14B5C53D" w14:textId="205504D2" w:rsidR="00733892" w:rsidRDefault="007338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C85BC7" w14:textId="77777777" w:rsidR="009500B2" w:rsidRPr="00F75182" w:rsidRDefault="009500B2" w:rsidP="00F75182">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801639"/>
      <w:docPartObj>
        <w:docPartGallery w:val="Page Numbers (Bottom of Page)"/>
        <w:docPartUnique/>
      </w:docPartObj>
    </w:sdtPr>
    <w:sdtEndPr>
      <w:rPr>
        <w:noProof/>
      </w:rPr>
    </w:sdtEndPr>
    <w:sdtContent>
      <w:p w14:paraId="7AAF8BFB" w14:textId="4EDA7ECA" w:rsidR="009500B2" w:rsidRDefault="009500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B0B8D5" w14:textId="77777777" w:rsidR="009500B2" w:rsidRPr="00F75182" w:rsidRDefault="009500B2" w:rsidP="00F7518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9FD25" w14:textId="77777777" w:rsidR="0048437D" w:rsidRDefault="0048437D" w:rsidP="007F3847">
      <w:pPr>
        <w:spacing w:after="0" w:line="240" w:lineRule="auto"/>
      </w:pPr>
      <w:r>
        <w:separator/>
      </w:r>
    </w:p>
  </w:footnote>
  <w:footnote w:type="continuationSeparator" w:id="0">
    <w:p w14:paraId="4F265C90" w14:textId="77777777" w:rsidR="0048437D" w:rsidRDefault="0048437D" w:rsidP="007F3847">
      <w:pPr>
        <w:spacing w:after="0" w:line="240" w:lineRule="auto"/>
      </w:pPr>
      <w:r>
        <w:continuationSeparator/>
      </w:r>
    </w:p>
  </w:footnote>
  <w:footnote w:type="continuationNotice" w:id="1">
    <w:p w14:paraId="2D68E20D" w14:textId="77777777" w:rsidR="0048437D" w:rsidRDefault="0048437D">
      <w:pPr>
        <w:spacing w:after="0" w:line="240" w:lineRule="auto"/>
      </w:pPr>
    </w:p>
  </w:footnote>
  <w:footnote w:id="2">
    <w:p w14:paraId="25777D10" w14:textId="390117EB" w:rsidR="00421FC9" w:rsidRDefault="00421FC9">
      <w:pPr>
        <w:pStyle w:val="FootnoteText"/>
      </w:pPr>
      <w:r>
        <w:rPr>
          <w:rStyle w:val="FootnoteReference"/>
        </w:rPr>
        <w:footnoteRef/>
      </w:r>
      <w:r>
        <w:t xml:space="preserve"> These action levels were developed to evaluated data collected by DPH at recreational waterbodies in 2022.</w:t>
      </w:r>
      <w:r w:rsidR="00B34D31">
        <w:t xml:space="preserve"> As new information becomes available regarding PFAS toxicity, these action levels will be updated accordingly.</w:t>
      </w:r>
    </w:p>
  </w:footnote>
  <w:footnote w:id="3">
    <w:p w14:paraId="08505DAC" w14:textId="29AE70FF" w:rsidR="00FF3273" w:rsidRDefault="00FF3273">
      <w:pPr>
        <w:pStyle w:val="FootnoteText"/>
      </w:pPr>
      <w:r>
        <w:rPr>
          <w:rStyle w:val="FootnoteReference"/>
        </w:rPr>
        <w:footnoteRef/>
      </w:r>
      <w:r>
        <w:t xml:space="preserve"> Sensitive individuals include individuals who may have greater exposure to a contaminant, and who may be more susceptible to experiencing health effects from exposure to the contaminant.</w:t>
      </w:r>
    </w:p>
  </w:footnote>
  <w:footnote w:id="4">
    <w:p w14:paraId="627B88C7" w14:textId="0908CA59" w:rsidR="009A60C9" w:rsidRDefault="009A60C9">
      <w:pPr>
        <w:pStyle w:val="FootnoteText"/>
      </w:pPr>
      <w:r>
        <w:rPr>
          <w:rStyle w:val="FootnoteReference"/>
        </w:rPr>
        <w:footnoteRef/>
      </w:r>
      <w:r>
        <w:t xml:space="preserve"> </w:t>
      </w:r>
      <w:r w:rsidR="00B247EA">
        <w:t xml:space="preserve">Includes </w:t>
      </w:r>
      <w:r w:rsidR="009C6BBE" w:rsidRPr="00C57AF0">
        <w:t>perfluorohexane sulfonic acid</w:t>
      </w:r>
      <w:r w:rsidR="009C6BBE" w:rsidRPr="00C57AF0" w:rsidDel="009C6BBE">
        <w:t xml:space="preserve"> </w:t>
      </w:r>
      <w:r w:rsidR="00426548" w:rsidRPr="00C57AF0">
        <w:t xml:space="preserve">(PFHxS), </w:t>
      </w:r>
      <w:r w:rsidR="002E2354" w:rsidRPr="00C57AF0">
        <w:t xml:space="preserve">perfluoroheptanoic acid (PFHpA), </w:t>
      </w:r>
      <w:r w:rsidR="009D4F22" w:rsidRPr="00C57AF0">
        <w:t xml:space="preserve">perfluorooctanoic acid (PFOA), </w:t>
      </w:r>
      <w:r w:rsidR="003F1BE9" w:rsidRPr="00C57AF0">
        <w:t xml:space="preserve">perfluorooctane sulfonic acid (PFOS), </w:t>
      </w:r>
      <w:r w:rsidR="006C105F" w:rsidRPr="00C57AF0">
        <w:t xml:space="preserve">perfluorononanoic acid (PFNA), and </w:t>
      </w:r>
      <w:r w:rsidR="00C57AF0" w:rsidRPr="00C57AF0">
        <w:t>perfluorodecanoic acid (PFDA)</w:t>
      </w:r>
    </w:p>
  </w:footnote>
  <w:footnote w:id="5">
    <w:p w14:paraId="359D4927" w14:textId="012A547F" w:rsidR="00710885" w:rsidRDefault="00710885">
      <w:pPr>
        <w:pStyle w:val="FootnoteText"/>
      </w:pPr>
      <w:r>
        <w:rPr>
          <w:rStyle w:val="FootnoteReference"/>
        </w:rPr>
        <w:footnoteRef/>
      </w:r>
      <w:r>
        <w:t xml:space="preserve"> Calculated value of 23 ng/L adjusted down to 20 ng/L, to harmonize with Massachusetts Maximum Contaminant Level for PFAS in drinking water of 20 ng/L.</w:t>
      </w:r>
      <w:r w:rsidR="00FF039C">
        <w:t xml:space="preserve"> The last term in the equation accounts for additivity of PFOS and PFNA.</w:t>
      </w:r>
    </w:p>
  </w:footnote>
  <w:footnote w:id="6">
    <w:p w14:paraId="00887741" w14:textId="1CF056BD" w:rsidR="00710885" w:rsidRDefault="00710885">
      <w:pPr>
        <w:pStyle w:val="FootnoteText"/>
      </w:pPr>
      <w:r>
        <w:rPr>
          <w:rStyle w:val="FootnoteReference"/>
        </w:rPr>
        <w:footnoteRef/>
      </w:r>
      <w:r>
        <w:t xml:space="preserve"> Calculated value of 101 ng/L adjusted down to </w:t>
      </w:r>
      <w:r w:rsidR="009F520A">
        <w:t>9</w:t>
      </w:r>
      <w:r>
        <w:t>0 ng/L, to harmonize with Massachusetts Imminent Hazard Level for PFAS in drinking water of 90 ng/L.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0"/>
      <w:gridCol w:w="3150"/>
      <w:gridCol w:w="3150"/>
    </w:tblGrid>
    <w:tr w:rsidR="300B9443" w14:paraId="2D28A607" w14:textId="77777777" w:rsidTr="00FD3B6D">
      <w:trPr>
        <w:trHeight w:val="300"/>
      </w:trPr>
      <w:tc>
        <w:tcPr>
          <w:tcW w:w="3150" w:type="dxa"/>
        </w:tcPr>
        <w:p w14:paraId="65294AE1" w14:textId="1E8D21AD" w:rsidR="300B9443" w:rsidRDefault="300B9443" w:rsidP="00FD3B6D">
          <w:pPr>
            <w:pStyle w:val="Header"/>
            <w:ind w:left="-115"/>
          </w:pPr>
        </w:p>
      </w:tc>
      <w:tc>
        <w:tcPr>
          <w:tcW w:w="3150" w:type="dxa"/>
        </w:tcPr>
        <w:p w14:paraId="07034C2E" w14:textId="2A076445" w:rsidR="300B9443" w:rsidRDefault="300B9443" w:rsidP="00FD3B6D">
          <w:pPr>
            <w:pStyle w:val="Header"/>
            <w:jc w:val="center"/>
          </w:pPr>
        </w:p>
      </w:tc>
      <w:tc>
        <w:tcPr>
          <w:tcW w:w="3150" w:type="dxa"/>
        </w:tcPr>
        <w:p w14:paraId="799AAADA" w14:textId="0E147B93" w:rsidR="300B9443" w:rsidRDefault="300B9443" w:rsidP="00FD3B6D">
          <w:pPr>
            <w:pStyle w:val="Header"/>
            <w:ind w:right="-115"/>
            <w:jc w:val="right"/>
          </w:pPr>
        </w:p>
      </w:tc>
    </w:tr>
  </w:tbl>
  <w:p w14:paraId="7E0C39CD" w14:textId="090C23C4" w:rsidR="300B9443" w:rsidRDefault="300B9443" w:rsidP="00FD3B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0"/>
      <w:gridCol w:w="3150"/>
      <w:gridCol w:w="3150"/>
    </w:tblGrid>
    <w:tr w:rsidR="300B9443" w14:paraId="7D2A0726" w14:textId="77777777" w:rsidTr="004527D0">
      <w:trPr>
        <w:trHeight w:val="300"/>
      </w:trPr>
      <w:tc>
        <w:tcPr>
          <w:tcW w:w="3150" w:type="dxa"/>
        </w:tcPr>
        <w:p w14:paraId="7039C1ED" w14:textId="119C1E39" w:rsidR="300B9443" w:rsidRDefault="300B9443" w:rsidP="004527D0">
          <w:pPr>
            <w:pStyle w:val="Header"/>
            <w:ind w:left="-115"/>
          </w:pPr>
        </w:p>
      </w:tc>
      <w:tc>
        <w:tcPr>
          <w:tcW w:w="3150" w:type="dxa"/>
        </w:tcPr>
        <w:p w14:paraId="0941D36A" w14:textId="6119AA88" w:rsidR="300B9443" w:rsidRDefault="300B9443" w:rsidP="004527D0">
          <w:pPr>
            <w:pStyle w:val="Header"/>
            <w:jc w:val="center"/>
          </w:pPr>
        </w:p>
      </w:tc>
      <w:tc>
        <w:tcPr>
          <w:tcW w:w="3150" w:type="dxa"/>
        </w:tcPr>
        <w:p w14:paraId="41DE6E99" w14:textId="7930BFA9" w:rsidR="300B9443" w:rsidRDefault="300B9443" w:rsidP="004527D0">
          <w:pPr>
            <w:pStyle w:val="Header"/>
            <w:ind w:right="-115"/>
            <w:jc w:val="right"/>
          </w:pPr>
        </w:p>
      </w:tc>
    </w:tr>
  </w:tbl>
  <w:p w14:paraId="6ABE05ED" w14:textId="6F80B0C0" w:rsidR="300B9443" w:rsidRDefault="300B9443" w:rsidP="004527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FA52" w14:textId="366D1BC7" w:rsidR="009500B2" w:rsidRPr="00E05B96" w:rsidRDefault="009500B2" w:rsidP="00E404A9">
    <w:pPr>
      <w:pStyle w:val="Header"/>
      <w:tabs>
        <w:tab w:val="clear" w:pos="9360"/>
        <w:tab w:val="right" w:pos="10800"/>
        <w:tab w:val="left" w:pos="11070"/>
      </w:tabs>
      <w:rPr>
        <w:rFonts w:ascii="Tahoma" w:hAnsi="Tahoma" w:cs="Tahoma"/>
        <w:sz w:val="18"/>
      </w:rPr>
    </w:pPr>
    <w:r w:rsidRPr="00E05B96">
      <w:rPr>
        <w:rFonts w:ascii="Tahoma" w:hAnsi="Tahoma" w:cs="Tahoma"/>
        <w:sz w:val="18"/>
      </w:rPr>
      <w:t>ENVIRONMENTAL TOXICOLOGY PROGRAM</w:t>
    </w:r>
    <w:r w:rsidRPr="00E05B96">
      <w:rPr>
        <w:rFonts w:ascii="Tahoma" w:hAnsi="Tahoma" w:cs="Tahoma"/>
        <w:sz w:val="18"/>
      </w:rPr>
      <w:tab/>
    </w:r>
    <w:r w:rsidRPr="00E05B96">
      <w:rPr>
        <w:rFonts w:ascii="Tahoma" w:hAnsi="Tahoma" w:cs="Tahoma"/>
        <w:sz w:val="18"/>
      </w:rPr>
      <w:tab/>
    </w:r>
    <w:r>
      <w:rPr>
        <w:rFonts w:ascii="Tahoma" w:hAnsi="Tahoma" w:cs="Tahoma"/>
        <w:sz w:val="18"/>
      </w:rPr>
      <w:tab/>
      <w:t>PFAS Waterbody Evaluation – Appendix A</w:t>
    </w:r>
  </w:p>
  <w:p w14:paraId="0A04EF43" w14:textId="710EA593" w:rsidR="009500B2" w:rsidRPr="0063087F" w:rsidRDefault="009500B2" w:rsidP="0063087F">
    <w:pPr>
      <w:pStyle w:val="Header"/>
      <w:tabs>
        <w:tab w:val="clear" w:pos="9360"/>
        <w:tab w:val="right" w:pos="14400"/>
      </w:tabs>
      <w:rPr>
        <w:rFonts w:ascii="Tahoma" w:hAnsi="Tahoma" w:cs="Tahoma"/>
        <w:b/>
        <w:bCs/>
        <w:sz w:val="18"/>
      </w:rPr>
    </w:pPr>
    <w:r w:rsidRPr="00E05B96">
      <w:rPr>
        <w:rFonts w:ascii="Tahoma" w:hAnsi="Tahoma" w:cs="Tahoma"/>
        <w:sz w:val="18"/>
      </w:rPr>
      <w:tab/>
    </w:r>
    <w:r w:rsidRPr="00E05B96">
      <w:rPr>
        <w:rFonts w:ascii="Tahoma" w:hAnsi="Tahoma" w:cs="Tahoma"/>
        <w:sz w:val="18"/>
      </w:rPr>
      <w:tab/>
    </w:r>
    <w:r w:rsidRPr="0063087F">
      <w:rPr>
        <w:rFonts w:ascii="Tahoma" w:hAnsi="Tahoma" w:cs="Tahoma"/>
        <w:b/>
        <w:bCs/>
        <w:sz w:val="18"/>
      </w:rPr>
      <w:t>DRAFT</w:t>
    </w:r>
  </w:p>
  <w:p w14:paraId="7A5B9E26" w14:textId="77777777" w:rsidR="009500B2" w:rsidRPr="00E05B96" w:rsidRDefault="009500B2" w:rsidP="00986A8F">
    <w:pPr>
      <w:pStyle w:val="Header"/>
      <w:tabs>
        <w:tab w:val="clear" w:pos="9360"/>
        <w:tab w:val="right" w:pos="10800"/>
      </w:tabs>
      <w:rPr>
        <w:rFonts w:ascii="Tahoma" w:hAnsi="Tahoma" w:cs="Tahoma"/>
        <w:sz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300B9443" w14:paraId="57469E11" w14:textId="77777777" w:rsidTr="00FC12E8">
      <w:trPr>
        <w:trHeight w:val="300"/>
      </w:trPr>
      <w:tc>
        <w:tcPr>
          <w:tcW w:w="4800" w:type="dxa"/>
        </w:tcPr>
        <w:p w14:paraId="7AF15F3B" w14:textId="1FC17465" w:rsidR="300B9443" w:rsidRDefault="300B9443" w:rsidP="00FC12E8">
          <w:pPr>
            <w:pStyle w:val="Header"/>
            <w:ind w:left="-115"/>
          </w:pPr>
        </w:p>
      </w:tc>
      <w:tc>
        <w:tcPr>
          <w:tcW w:w="4800" w:type="dxa"/>
        </w:tcPr>
        <w:p w14:paraId="47985A55" w14:textId="022E5C70" w:rsidR="300B9443" w:rsidRDefault="300B9443" w:rsidP="00FC12E8">
          <w:pPr>
            <w:pStyle w:val="Header"/>
            <w:jc w:val="center"/>
          </w:pPr>
        </w:p>
      </w:tc>
      <w:tc>
        <w:tcPr>
          <w:tcW w:w="4800" w:type="dxa"/>
        </w:tcPr>
        <w:p w14:paraId="17C1C7F7" w14:textId="508DB953" w:rsidR="300B9443" w:rsidRDefault="300B9443" w:rsidP="00FC12E8">
          <w:pPr>
            <w:pStyle w:val="Header"/>
            <w:ind w:right="-115"/>
            <w:jc w:val="right"/>
          </w:pPr>
        </w:p>
      </w:tc>
    </w:tr>
  </w:tbl>
  <w:p w14:paraId="45DA139F" w14:textId="00E0FB3F" w:rsidR="300B9443" w:rsidRDefault="300B9443" w:rsidP="00FC12E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7D7D" w14:textId="5134130A" w:rsidR="009500B2" w:rsidRPr="00E05B96" w:rsidRDefault="009500B2" w:rsidP="00E404A9">
    <w:pPr>
      <w:pStyle w:val="Header"/>
      <w:tabs>
        <w:tab w:val="clear" w:pos="9360"/>
        <w:tab w:val="right" w:pos="10800"/>
      </w:tabs>
      <w:jc w:val="both"/>
      <w:rPr>
        <w:rFonts w:ascii="Tahoma" w:hAnsi="Tahoma" w:cs="Tahoma"/>
        <w:sz w:val="18"/>
      </w:rPr>
    </w:pPr>
    <w:r w:rsidRPr="00E05B96">
      <w:rPr>
        <w:rFonts w:ascii="Tahoma" w:hAnsi="Tahoma" w:cs="Tahoma"/>
        <w:sz w:val="18"/>
      </w:rPr>
      <w:t>ENVIRONMENTAL TOXICOLOGY PROGRAM</w:t>
    </w:r>
    <w:r w:rsidRPr="00E05B96">
      <w:rPr>
        <w:rFonts w:ascii="Tahoma" w:hAnsi="Tahoma" w:cs="Tahoma"/>
        <w:sz w:val="18"/>
      </w:rPr>
      <w:tab/>
    </w:r>
    <w:r w:rsidRPr="00E05B96">
      <w:rPr>
        <w:rFonts w:ascii="Tahoma" w:hAnsi="Tahoma" w:cs="Tahoma"/>
        <w:sz w:val="18"/>
      </w:rPr>
      <w:tab/>
    </w:r>
    <w:r>
      <w:rPr>
        <w:rFonts w:ascii="Tahoma" w:hAnsi="Tahoma" w:cs="Tahoma"/>
        <w:sz w:val="18"/>
      </w:rPr>
      <w:t xml:space="preserve"> PFAS Waterbody Evaluation – Appendix A</w:t>
    </w:r>
  </w:p>
  <w:p w14:paraId="50F8CA9F" w14:textId="64C55CCC" w:rsidR="009500B2" w:rsidRPr="0063087F" w:rsidRDefault="009500B2" w:rsidP="00986A8F">
    <w:pPr>
      <w:pStyle w:val="Header"/>
      <w:tabs>
        <w:tab w:val="clear" w:pos="9360"/>
        <w:tab w:val="right" w:pos="10800"/>
      </w:tabs>
      <w:rPr>
        <w:rFonts w:ascii="Tahoma" w:hAnsi="Tahoma" w:cs="Tahoma"/>
        <w:b/>
        <w:bCs/>
        <w:sz w:val="18"/>
      </w:rPr>
    </w:pPr>
    <w:r w:rsidRPr="00E05B96">
      <w:rPr>
        <w:rFonts w:ascii="Tahoma" w:hAnsi="Tahoma" w:cs="Tahoma"/>
        <w:sz w:val="18"/>
      </w:rPr>
      <w:tab/>
    </w:r>
    <w:r w:rsidRPr="00E05B96">
      <w:rPr>
        <w:rFonts w:ascii="Tahoma" w:hAnsi="Tahoma" w:cs="Tahoma"/>
        <w:sz w:val="18"/>
      </w:rPr>
      <w:tab/>
    </w:r>
    <w:r w:rsidRPr="0063087F">
      <w:rPr>
        <w:rFonts w:ascii="Tahoma" w:hAnsi="Tahoma" w:cs="Tahoma"/>
        <w:b/>
        <w:bCs/>
        <w:sz w:val="18"/>
      </w:rPr>
      <w:t>DRAFT</w:t>
    </w:r>
  </w:p>
  <w:p w14:paraId="73822807" w14:textId="77777777" w:rsidR="009500B2" w:rsidRPr="00E05B96" w:rsidRDefault="009500B2" w:rsidP="00986A8F">
    <w:pPr>
      <w:pStyle w:val="Header"/>
      <w:tabs>
        <w:tab w:val="clear" w:pos="9360"/>
        <w:tab w:val="right" w:pos="10800"/>
      </w:tabs>
      <w:rPr>
        <w:rFonts w:ascii="Tahoma" w:hAnsi="Tahoma" w:cs="Tahoma"/>
        <w:sz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300B9443" w14:paraId="33B76B17" w14:textId="77777777" w:rsidTr="00FC12E8">
      <w:trPr>
        <w:trHeight w:val="300"/>
      </w:trPr>
      <w:tc>
        <w:tcPr>
          <w:tcW w:w="4800" w:type="dxa"/>
        </w:tcPr>
        <w:p w14:paraId="05AF981D" w14:textId="018DE070" w:rsidR="300B9443" w:rsidRDefault="300B9443" w:rsidP="00FC12E8">
          <w:pPr>
            <w:pStyle w:val="Header"/>
            <w:ind w:left="-115"/>
          </w:pPr>
        </w:p>
      </w:tc>
      <w:tc>
        <w:tcPr>
          <w:tcW w:w="4800" w:type="dxa"/>
        </w:tcPr>
        <w:p w14:paraId="640A5872" w14:textId="7500DF9B" w:rsidR="300B9443" w:rsidRDefault="300B9443" w:rsidP="00FC12E8">
          <w:pPr>
            <w:pStyle w:val="Header"/>
            <w:jc w:val="center"/>
          </w:pPr>
        </w:p>
      </w:tc>
      <w:tc>
        <w:tcPr>
          <w:tcW w:w="4800" w:type="dxa"/>
        </w:tcPr>
        <w:p w14:paraId="096EAB27" w14:textId="118C01F0" w:rsidR="300B9443" w:rsidRDefault="300B9443" w:rsidP="00FC12E8">
          <w:pPr>
            <w:pStyle w:val="Header"/>
            <w:ind w:right="-115"/>
            <w:jc w:val="right"/>
          </w:pPr>
        </w:p>
      </w:tc>
    </w:tr>
  </w:tbl>
  <w:p w14:paraId="6CAA771A" w14:textId="015FD33C" w:rsidR="300B9443" w:rsidRDefault="300B9443" w:rsidP="00FC12E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6F4F" w14:textId="77777777" w:rsidR="009500B2" w:rsidRPr="00E05B96" w:rsidRDefault="009500B2" w:rsidP="00E404A9">
    <w:pPr>
      <w:pStyle w:val="Header"/>
      <w:tabs>
        <w:tab w:val="clear" w:pos="9360"/>
        <w:tab w:val="right" w:pos="10800"/>
      </w:tabs>
      <w:jc w:val="both"/>
      <w:rPr>
        <w:rFonts w:ascii="Tahoma" w:hAnsi="Tahoma" w:cs="Tahoma"/>
        <w:sz w:val="18"/>
      </w:rPr>
    </w:pPr>
    <w:r w:rsidRPr="00E05B96">
      <w:rPr>
        <w:rFonts w:ascii="Tahoma" w:hAnsi="Tahoma" w:cs="Tahoma"/>
        <w:sz w:val="18"/>
      </w:rPr>
      <w:t>ENVIRONMENTAL TOXICOLOGY PROGRAM</w:t>
    </w:r>
    <w:r w:rsidRPr="00E05B96">
      <w:rPr>
        <w:rFonts w:ascii="Tahoma" w:hAnsi="Tahoma" w:cs="Tahoma"/>
        <w:sz w:val="18"/>
      </w:rPr>
      <w:tab/>
    </w:r>
    <w:r w:rsidRPr="00E05B96">
      <w:rPr>
        <w:rFonts w:ascii="Tahoma" w:hAnsi="Tahoma" w:cs="Tahoma"/>
        <w:sz w:val="18"/>
      </w:rPr>
      <w:tab/>
    </w:r>
    <w:r>
      <w:rPr>
        <w:rFonts w:ascii="Tahoma" w:hAnsi="Tahoma" w:cs="Tahoma"/>
        <w:sz w:val="18"/>
      </w:rPr>
      <w:t xml:space="preserve"> </w:t>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t>PFAS Waterbody Evaluation – Appendix A</w:t>
    </w:r>
  </w:p>
  <w:p w14:paraId="6C0EF5C0" w14:textId="62130453" w:rsidR="009500B2" w:rsidRPr="0063087F" w:rsidRDefault="009500B2" w:rsidP="0063087F">
    <w:pPr>
      <w:pStyle w:val="Header"/>
      <w:tabs>
        <w:tab w:val="clear" w:pos="9360"/>
        <w:tab w:val="right" w:pos="17730"/>
      </w:tabs>
      <w:rPr>
        <w:rFonts w:ascii="Tahoma" w:hAnsi="Tahoma" w:cs="Tahoma"/>
        <w:b/>
        <w:bCs/>
        <w:sz w:val="18"/>
      </w:rPr>
    </w:pPr>
    <w:r w:rsidRPr="00E05B96">
      <w:rPr>
        <w:rFonts w:ascii="Tahoma" w:hAnsi="Tahoma" w:cs="Tahoma"/>
        <w:sz w:val="18"/>
      </w:rPr>
      <w:tab/>
    </w:r>
    <w:r w:rsidRPr="00E05B96">
      <w:rPr>
        <w:rFonts w:ascii="Tahoma" w:hAnsi="Tahoma" w:cs="Tahoma"/>
        <w:sz w:val="18"/>
      </w:rPr>
      <w:tab/>
    </w:r>
    <w:r w:rsidRPr="0063087F">
      <w:rPr>
        <w:rFonts w:ascii="Tahoma" w:hAnsi="Tahoma" w:cs="Tahoma"/>
        <w:b/>
        <w:bCs/>
        <w:sz w:val="18"/>
      </w:rPr>
      <w:t>DRAFT</w:t>
    </w:r>
  </w:p>
  <w:p w14:paraId="14F6AE9B" w14:textId="77777777" w:rsidR="009500B2" w:rsidRPr="00E05B96" w:rsidRDefault="009500B2" w:rsidP="00986A8F">
    <w:pPr>
      <w:pStyle w:val="Header"/>
      <w:tabs>
        <w:tab w:val="clear" w:pos="9360"/>
        <w:tab w:val="right" w:pos="10800"/>
      </w:tabs>
      <w:rPr>
        <w:rFonts w:ascii="Tahoma" w:hAnsi="Tahoma" w:cs="Tahoma"/>
        <w:sz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6240"/>
      <w:gridCol w:w="6240"/>
      <w:gridCol w:w="6240"/>
    </w:tblGrid>
    <w:tr w:rsidR="300B9443" w14:paraId="7015950B" w14:textId="77777777" w:rsidTr="00FC12E8">
      <w:trPr>
        <w:trHeight w:val="300"/>
      </w:trPr>
      <w:tc>
        <w:tcPr>
          <w:tcW w:w="6240" w:type="dxa"/>
        </w:tcPr>
        <w:p w14:paraId="1258872E" w14:textId="4AC73E51" w:rsidR="300B9443" w:rsidRDefault="300B9443" w:rsidP="00FC12E8">
          <w:pPr>
            <w:pStyle w:val="Header"/>
            <w:ind w:left="-115"/>
          </w:pPr>
        </w:p>
      </w:tc>
      <w:tc>
        <w:tcPr>
          <w:tcW w:w="6240" w:type="dxa"/>
        </w:tcPr>
        <w:p w14:paraId="0F4311A1" w14:textId="45A9DEAF" w:rsidR="300B9443" w:rsidRDefault="300B9443" w:rsidP="00FC12E8">
          <w:pPr>
            <w:pStyle w:val="Header"/>
            <w:jc w:val="center"/>
          </w:pPr>
        </w:p>
      </w:tc>
      <w:tc>
        <w:tcPr>
          <w:tcW w:w="6240" w:type="dxa"/>
        </w:tcPr>
        <w:p w14:paraId="3A944A18" w14:textId="3C993CE6" w:rsidR="300B9443" w:rsidRDefault="300B9443" w:rsidP="00FC12E8">
          <w:pPr>
            <w:pStyle w:val="Header"/>
            <w:ind w:right="-115"/>
            <w:jc w:val="right"/>
          </w:pPr>
        </w:p>
      </w:tc>
    </w:tr>
  </w:tbl>
  <w:p w14:paraId="0CE1EE34" w14:textId="00C6C64C" w:rsidR="300B9443" w:rsidRDefault="300B9443" w:rsidP="00FC12E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BA41" w14:textId="77777777" w:rsidR="009500B2" w:rsidRPr="00E05B96" w:rsidRDefault="009500B2" w:rsidP="00986A8F">
    <w:pPr>
      <w:pStyle w:val="Header"/>
      <w:tabs>
        <w:tab w:val="clear" w:pos="9360"/>
        <w:tab w:val="right" w:pos="10800"/>
      </w:tabs>
      <w:rPr>
        <w:rFonts w:ascii="Tahoma" w:hAnsi="Tahoma" w:cs="Tahoma"/>
        <w:sz w:val="18"/>
      </w:rPr>
    </w:pPr>
    <w:r w:rsidRPr="00E05B96">
      <w:rPr>
        <w:rFonts w:ascii="Tahoma" w:hAnsi="Tahoma" w:cs="Tahoma"/>
        <w:sz w:val="18"/>
      </w:rPr>
      <w:t>ENVIRONMENTAL TOXICOLOGY PROGRAM</w:t>
    </w:r>
    <w:r w:rsidRPr="00E05B96">
      <w:rPr>
        <w:rFonts w:ascii="Tahoma" w:hAnsi="Tahoma" w:cs="Tahoma"/>
        <w:sz w:val="18"/>
      </w:rPr>
      <w:tab/>
    </w:r>
    <w:r w:rsidRPr="00E05B96">
      <w:rPr>
        <w:rFonts w:ascii="Tahoma" w:hAnsi="Tahoma" w:cs="Tahoma"/>
        <w:sz w:val="18"/>
      </w:rPr>
      <w:tab/>
    </w:r>
    <w:r>
      <w:rPr>
        <w:rFonts w:ascii="Tahoma" w:hAnsi="Tahoma" w:cs="Tahoma"/>
        <w:sz w:val="18"/>
      </w:rPr>
      <w:t xml:space="preserve"> PFAS Waterbody Evaluation – Appendix A</w:t>
    </w:r>
  </w:p>
  <w:p w14:paraId="72504399" w14:textId="19406EB2" w:rsidR="009500B2" w:rsidRPr="0063087F" w:rsidRDefault="009500B2" w:rsidP="00986A8F">
    <w:pPr>
      <w:pStyle w:val="Header"/>
      <w:tabs>
        <w:tab w:val="clear" w:pos="9360"/>
        <w:tab w:val="right" w:pos="10800"/>
      </w:tabs>
      <w:rPr>
        <w:rFonts w:ascii="Tahoma" w:hAnsi="Tahoma" w:cs="Tahoma"/>
        <w:b/>
        <w:bCs/>
        <w:sz w:val="18"/>
      </w:rPr>
    </w:pPr>
    <w:r w:rsidRPr="00E05B96">
      <w:rPr>
        <w:rFonts w:ascii="Tahoma" w:hAnsi="Tahoma" w:cs="Tahoma"/>
        <w:sz w:val="18"/>
      </w:rPr>
      <w:tab/>
    </w:r>
    <w:r w:rsidRPr="00E05B96">
      <w:rPr>
        <w:rFonts w:ascii="Tahoma" w:hAnsi="Tahoma" w:cs="Tahoma"/>
        <w:sz w:val="18"/>
      </w:rPr>
      <w:tab/>
    </w:r>
    <w:r w:rsidRPr="0063087F">
      <w:rPr>
        <w:rFonts w:ascii="Tahoma" w:hAnsi="Tahoma" w:cs="Tahoma"/>
        <w:b/>
        <w:bCs/>
        <w:sz w:val="18"/>
      </w:rPr>
      <w:t>DRAFT</w:t>
    </w:r>
  </w:p>
  <w:p w14:paraId="0C3E4BAE" w14:textId="77777777" w:rsidR="009500B2" w:rsidRPr="00E05B96" w:rsidRDefault="009500B2" w:rsidP="00986A8F">
    <w:pPr>
      <w:pStyle w:val="Header"/>
      <w:tabs>
        <w:tab w:val="clear" w:pos="9360"/>
        <w:tab w:val="right" w:pos="10800"/>
      </w:tabs>
      <w:rPr>
        <w:rFonts w:ascii="Tahoma" w:hAnsi="Tahoma" w:cs="Tahoma"/>
        <w:sz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00B9443" w14:paraId="6755C528" w14:textId="77777777" w:rsidTr="00FC12E8">
      <w:trPr>
        <w:trHeight w:val="300"/>
      </w:trPr>
      <w:tc>
        <w:tcPr>
          <w:tcW w:w="3600" w:type="dxa"/>
        </w:tcPr>
        <w:p w14:paraId="485C40B9" w14:textId="453B4ED4" w:rsidR="300B9443" w:rsidRDefault="300B9443" w:rsidP="00FC12E8">
          <w:pPr>
            <w:pStyle w:val="Header"/>
            <w:ind w:left="-115"/>
          </w:pPr>
        </w:p>
      </w:tc>
      <w:tc>
        <w:tcPr>
          <w:tcW w:w="3600" w:type="dxa"/>
        </w:tcPr>
        <w:p w14:paraId="3A559FD1" w14:textId="795676A8" w:rsidR="300B9443" w:rsidRDefault="300B9443" w:rsidP="00FC12E8">
          <w:pPr>
            <w:pStyle w:val="Header"/>
            <w:jc w:val="center"/>
          </w:pPr>
        </w:p>
      </w:tc>
      <w:tc>
        <w:tcPr>
          <w:tcW w:w="3600" w:type="dxa"/>
        </w:tcPr>
        <w:p w14:paraId="707D03BC" w14:textId="746281A6" w:rsidR="300B9443" w:rsidRDefault="300B9443" w:rsidP="00FC12E8">
          <w:pPr>
            <w:pStyle w:val="Header"/>
            <w:ind w:right="-115"/>
            <w:jc w:val="right"/>
          </w:pPr>
        </w:p>
      </w:tc>
    </w:tr>
  </w:tbl>
  <w:p w14:paraId="71F1B081" w14:textId="2A8EA43D" w:rsidR="300B9443" w:rsidRDefault="300B9443" w:rsidP="00FC12E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89650" w14:textId="77777777" w:rsidR="009500B2" w:rsidRDefault="009500B2" w:rsidP="0063087F">
    <w:pPr>
      <w:pStyle w:val="Header"/>
      <w:tabs>
        <w:tab w:val="clear" w:pos="9360"/>
      </w:tabs>
      <w:ind w:left="4320" w:hanging="4320"/>
      <w:jc w:val="both"/>
    </w:pPr>
    <w:r>
      <w:t>ENVIRONMENTAL TOXICOLOGY PROGRAM</w:t>
    </w:r>
    <w:r>
      <w:tab/>
    </w:r>
    <w:r>
      <w:tab/>
    </w:r>
    <w:r>
      <w:tab/>
    </w:r>
    <w:r>
      <w:tab/>
      <w:t xml:space="preserve">PFAS WATERBODY EVALUATION – APPENDIX B </w:t>
    </w:r>
  </w:p>
  <w:p w14:paraId="46055391" w14:textId="63DF338F" w:rsidR="009500B2" w:rsidRPr="0063087F" w:rsidRDefault="009500B2" w:rsidP="0063087F">
    <w:pPr>
      <w:pStyle w:val="Header"/>
      <w:tabs>
        <w:tab w:val="clear" w:pos="9360"/>
      </w:tabs>
      <w:ind w:left="4320" w:hanging="4320"/>
      <w:jc w:val="both"/>
      <w:rPr>
        <w:b/>
        <w:bCs/>
      </w:rPr>
    </w:pPr>
    <w:r>
      <w:tab/>
    </w:r>
    <w:r>
      <w:tab/>
    </w:r>
    <w:r>
      <w:tab/>
    </w:r>
    <w:r>
      <w:tab/>
    </w:r>
    <w:r>
      <w:tab/>
    </w:r>
    <w:r>
      <w:tab/>
    </w:r>
    <w:r>
      <w:tab/>
    </w:r>
    <w:r>
      <w:tab/>
    </w:r>
    <w:r>
      <w:tab/>
    </w:r>
    <w:r w:rsidRPr="0063087F">
      <w:rPr>
        <w:b/>
        <w:bCs/>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0"/>
      <w:gridCol w:w="3150"/>
      <w:gridCol w:w="3150"/>
    </w:tblGrid>
    <w:tr w:rsidR="300B9443" w14:paraId="426F5DD4" w14:textId="77777777" w:rsidTr="006C3953">
      <w:trPr>
        <w:trHeight w:val="300"/>
      </w:trPr>
      <w:tc>
        <w:tcPr>
          <w:tcW w:w="3150" w:type="dxa"/>
        </w:tcPr>
        <w:p w14:paraId="3874ACB1" w14:textId="4D5D8B6E" w:rsidR="300B9443" w:rsidRDefault="300B9443" w:rsidP="006C3953">
          <w:pPr>
            <w:pStyle w:val="Header"/>
            <w:ind w:left="-115"/>
          </w:pPr>
        </w:p>
      </w:tc>
      <w:tc>
        <w:tcPr>
          <w:tcW w:w="3150" w:type="dxa"/>
        </w:tcPr>
        <w:p w14:paraId="1A3FCDC9" w14:textId="12464977" w:rsidR="300B9443" w:rsidRDefault="300B9443" w:rsidP="006C3953">
          <w:pPr>
            <w:pStyle w:val="Header"/>
            <w:jc w:val="center"/>
          </w:pPr>
        </w:p>
      </w:tc>
      <w:tc>
        <w:tcPr>
          <w:tcW w:w="3150" w:type="dxa"/>
        </w:tcPr>
        <w:p w14:paraId="6371F360" w14:textId="0ADA7652" w:rsidR="300B9443" w:rsidRDefault="300B9443" w:rsidP="006C3953">
          <w:pPr>
            <w:pStyle w:val="Header"/>
            <w:ind w:right="-115"/>
            <w:jc w:val="right"/>
          </w:pPr>
        </w:p>
      </w:tc>
    </w:tr>
  </w:tbl>
  <w:p w14:paraId="76019A27" w14:textId="1A882E08" w:rsidR="300B9443" w:rsidRDefault="300B9443" w:rsidP="006C395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00B9443" w14:paraId="45288B81" w14:textId="77777777" w:rsidTr="00FC12E8">
      <w:trPr>
        <w:trHeight w:val="300"/>
      </w:trPr>
      <w:tc>
        <w:tcPr>
          <w:tcW w:w="3600" w:type="dxa"/>
        </w:tcPr>
        <w:p w14:paraId="40A32C55" w14:textId="2472DF44" w:rsidR="300B9443" w:rsidRDefault="300B9443" w:rsidP="00FC12E8">
          <w:pPr>
            <w:pStyle w:val="Header"/>
            <w:ind w:left="-115"/>
          </w:pPr>
        </w:p>
      </w:tc>
      <w:tc>
        <w:tcPr>
          <w:tcW w:w="3600" w:type="dxa"/>
        </w:tcPr>
        <w:p w14:paraId="44E5042A" w14:textId="3A0A6617" w:rsidR="300B9443" w:rsidRDefault="300B9443" w:rsidP="00FC12E8">
          <w:pPr>
            <w:pStyle w:val="Header"/>
            <w:jc w:val="center"/>
          </w:pPr>
        </w:p>
      </w:tc>
      <w:tc>
        <w:tcPr>
          <w:tcW w:w="3600" w:type="dxa"/>
        </w:tcPr>
        <w:p w14:paraId="75C91580" w14:textId="624AA530" w:rsidR="300B9443" w:rsidRDefault="300B9443" w:rsidP="00FC12E8">
          <w:pPr>
            <w:pStyle w:val="Header"/>
            <w:ind w:right="-115"/>
            <w:jc w:val="right"/>
          </w:pPr>
        </w:p>
      </w:tc>
    </w:tr>
  </w:tbl>
  <w:p w14:paraId="45281D04" w14:textId="10416EE1" w:rsidR="300B9443" w:rsidRDefault="300B9443" w:rsidP="00FC12E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14B95" w14:textId="61D61DF2" w:rsidR="009500B2" w:rsidRDefault="009500B2" w:rsidP="00310D94">
    <w:pPr>
      <w:pStyle w:val="Header"/>
      <w:tabs>
        <w:tab w:val="clear" w:pos="9360"/>
      </w:tabs>
      <w:jc w:val="both"/>
    </w:pPr>
    <w:r>
      <w:t>ENVIRONMENTAL TOXICOLOGY PROGRAM</w:t>
    </w:r>
    <w:r>
      <w:tab/>
    </w:r>
    <w:r>
      <w:tab/>
    </w:r>
    <w:r>
      <w:tab/>
    </w:r>
    <w:r>
      <w:tab/>
    </w:r>
    <w:r>
      <w:tab/>
    </w:r>
    <w:r>
      <w:tab/>
    </w:r>
    <w:r>
      <w:tab/>
    </w:r>
    <w:r>
      <w:tab/>
    </w:r>
    <w:r>
      <w:tab/>
    </w:r>
    <w:r>
      <w:tab/>
    </w:r>
    <w:r>
      <w:tab/>
    </w:r>
    <w:r>
      <w:tab/>
    </w:r>
    <w:r>
      <w:tab/>
    </w:r>
    <w:r>
      <w:tab/>
    </w:r>
    <w:r>
      <w:tab/>
    </w:r>
    <w:r>
      <w:tab/>
    </w:r>
    <w:r>
      <w:tab/>
    </w:r>
    <w:r>
      <w:tab/>
    </w:r>
    <w:r>
      <w:tab/>
      <w:t xml:space="preserve">PFAS WATERBODY EVALUATION – APPENDIX B </w:t>
    </w:r>
  </w:p>
  <w:p w14:paraId="73631D0D" w14:textId="2536090C" w:rsidR="009500B2" w:rsidRPr="0063087F" w:rsidRDefault="009500B2" w:rsidP="0063087F">
    <w:pPr>
      <w:pStyle w:val="Header"/>
      <w:tabs>
        <w:tab w:val="clear" w:pos="9360"/>
      </w:tabs>
      <w:jc w:val="both"/>
      <w:rPr>
        <w:b/>
        <w:bCs/>
      </w:rPr>
    </w:pPr>
    <w:r>
      <w:tab/>
    </w:r>
    <w:r>
      <w:tab/>
    </w:r>
    <w:r>
      <w:tab/>
    </w:r>
    <w:r>
      <w:tab/>
    </w:r>
    <w:r>
      <w:tab/>
    </w:r>
    <w:r>
      <w:tab/>
    </w:r>
    <w:r>
      <w:tab/>
    </w:r>
    <w:r>
      <w:tab/>
    </w:r>
    <w:r>
      <w:tab/>
    </w:r>
    <w:r>
      <w:tab/>
    </w:r>
    <w:r>
      <w:tab/>
    </w:r>
    <w:r>
      <w:tab/>
    </w:r>
    <w:r>
      <w:tab/>
    </w:r>
    <w:r>
      <w:tab/>
    </w:r>
    <w:r>
      <w:tab/>
    </w:r>
    <w:r>
      <w:tab/>
    </w:r>
    <w:r>
      <w:tab/>
    </w:r>
    <w:r>
      <w:tab/>
    </w:r>
    <w:r>
      <w:tab/>
    </w:r>
    <w:r>
      <w:tab/>
    </w:r>
    <w:r>
      <w:tab/>
    </w:r>
    <w:r>
      <w:tab/>
    </w:r>
    <w:r>
      <w:tab/>
    </w:r>
    <w:r>
      <w:tab/>
    </w:r>
    <w:r w:rsidRPr="0063087F">
      <w:rPr>
        <w:b/>
        <w:bCs/>
      </w:rPr>
      <w:t>DRAFT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7200"/>
      <w:gridCol w:w="7200"/>
      <w:gridCol w:w="7200"/>
    </w:tblGrid>
    <w:tr w:rsidR="300B9443" w14:paraId="0FB0804E" w14:textId="77777777" w:rsidTr="00FC12E8">
      <w:trPr>
        <w:trHeight w:val="300"/>
      </w:trPr>
      <w:tc>
        <w:tcPr>
          <w:tcW w:w="7200" w:type="dxa"/>
        </w:tcPr>
        <w:p w14:paraId="095D1D7D" w14:textId="12C4B029" w:rsidR="300B9443" w:rsidRDefault="300B9443" w:rsidP="00FC12E8">
          <w:pPr>
            <w:pStyle w:val="Header"/>
            <w:ind w:left="-115"/>
          </w:pPr>
        </w:p>
      </w:tc>
      <w:tc>
        <w:tcPr>
          <w:tcW w:w="7200" w:type="dxa"/>
        </w:tcPr>
        <w:p w14:paraId="29F342FE" w14:textId="70A00F3A" w:rsidR="300B9443" w:rsidRDefault="300B9443" w:rsidP="00FC12E8">
          <w:pPr>
            <w:pStyle w:val="Header"/>
            <w:jc w:val="center"/>
          </w:pPr>
        </w:p>
      </w:tc>
      <w:tc>
        <w:tcPr>
          <w:tcW w:w="7200" w:type="dxa"/>
        </w:tcPr>
        <w:p w14:paraId="110CE322" w14:textId="7BE50C37" w:rsidR="300B9443" w:rsidRDefault="300B9443" w:rsidP="00FC12E8">
          <w:pPr>
            <w:pStyle w:val="Header"/>
            <w:ind w:right="-115"/>
            <w:jc w:val="right"/>
          </w:pPr>
        </w:p>
      </w:tc>
    </w:tr>
  </w:tbl>
  <w:p w14:paraId="74F0BED5" w14:textId="15450209" w:rsidR="300B9443" w:rsidRDefault="300B9443" w:rsidP="00FC12E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176C5" w14:textId="549B8E75" w:rsidR="009500B2" w:rsidRDefault="009500B2" w:rsidP="0008284C">
    <w:pPr>
      <w:pStyle w:val="Header"/>
      <w:tabs>
        <w:tab w:val="clear" w:pos="9360"/>
      </w:tabs>
      <w:ind w:right="-180"/>
      <w:jc w:val="both"/>
    </w:pPr>
    <w:r>
      <w:t>ENVIRONMENTAL TOXICOLOGY PROGRAM</w:t>
    </w:r>
    <w:r>
      <w:tab/>
    </w:r>
    <w:r>
      <w:tab/>
      <w:t>PFAS WATERBODY EVALUATION – APPENDIX B</w:t>
    </w:r>
  </w:p>
  <w:p w14:paraId="02D63CCF" w14:textId="32848F19" w:rsidR="009500B2" w:rsidRPr="0063087F" w:rsidRDefault="009500B2" w:rsidP="00AB7ABC">
    <w:pPr>
      <w:pStyle w:val="Header"/>
      <w:tabs>
        <w:tab w:val="clear" w:pos="4680"/>
        <w:tab w:val="clear" w:pos="9360"/>
        <w:tab w:val="center" w:pos="3600"/>
        <w:tab w:val="left" w:pos="3960"/>
      </w:tabs>
      <w:jc w:val="both"/>
      <w:rPr>
        <w:b/>
        <w:bCs/>
      </w:rPr>
    </w:pPr>
    <w:r>
      <w:tab/>
    </w:r>
    <w:r>
      <w:tab/>
    </w:r>
    <w:r>
      <w:tab/>
    </w:r>
    <w:r>
      <w:tab/>
    </w:r>
    <w:r>
      <w:tab/>
    </w:r>
    <w:r>
      <w:tab/>
    </w:r>
    <w:r>
      <w:tab/>
    </w:r>
    <w:r>
      <w:tab/>
    </w:r>
    <w:r>
      <w:tab/>
    </w:r>
    <w:r w:rsidRPr="0063087F">
      <w:rPr>
        <w:b/>
        <w:bCs/>
      </w:rPr>
      <w:t>DRAFT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00B9443" w14:paraId="7E8F1853" w14:textId="77777777" w:rsidTr="00FC12E8">
      <w:trPr>
        <w:trHeight w:val="300"/>
      </w:trPr>
      <w:tc>
        <w:tcPr>
          <w:tcW w:w="3120" w:type="dxa"/>
        </w:tcPr>
        <w:p w14:paraId="41A18FFA" w14:textId="07160A71" w:rsidR="300B9443" w:rsidRDefault="300B9443" w:rsidP="00FC12E8">
          <w:pPr>
            <w:pStyle w:val="Header"/>
            <w:ind w:left="-115"/>
          </w:pPr>
        </w:p>
      </w:tc>
      <w:tc>
        <w:tcPr>
          <w:tcW w:w="3120" w:type="dxa"/>
        </w:tcPr>
        <w:p w14:paraId="1B4EEFCE" w14:textId="7481382A" w:rsidR="300B9443" w:rsidRDefault="300B9443" w:rsidP="00FC12E8">
          <w:pPr>
            <w:pStyle w:val="Header"/>
            <w:jc w:val="center"/>
          </w:pPr>
        </w:p>
      </w:tc>
      <w:tc>
        <w:tcPr>
          <w:tcW w:w="3120" w:type="dxa"/>
        </w:tcPr>
        <w:p w14:paraId="088F162F" w14:textId="60294A08" w:rsidR="300B9443" w:rsidRDefault="300B9443" w:rsidP="00FC12E8">
          <w:pPr>
            <w:pStyle w:val="Header"/>
            <w:ind w:right="-115"/>
            <w:jc w:val="right"/>
          </w:pPr>
        </w:p>
      </w:tc>
    </w:tr>
  </w:tbl>
  <w:p w14:paraId="2DB022C1" w14:textId="54BBF2A8" w:rsidR="300B9443" w:rsidRDefault="300B9443" w:rsidP="00FC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0"/>
      <w:gridCol w:w="3150"/>
      <w:gridCol w:w="3150"/>
    </w:tblGrid>
    <w:tr w:rsidR="300B9443" w14:paraId="0B226705" w14:textId="77777777" w:rsidTr="00CF062D">
      <w:trPr>
        <w:trHeight w:val="300"/>
      </w:trPr>
      <w:tc>
        <w:tcPr>
          <w:tcW w:w="3150" w:type="dxa"/>
        </w:tcPr>
        <w:p w14:paraId="780B8E80" w14:textId="70BA0C07" w:rsidR="300B9443" w:rsidRDefault="300B9443" w:rsidP="00CF062D">
          <w:pPr>
            <w:pStyle w:val="Header"/>
            <w:ind w:left="-115"/>
          </w:pPr>
        </w:p>
      </w:tc>
      <w:tc>
        <w:tcPr>
          <w:tcW w:w="3150" w:type="dxa"/>
        </w:tcPr>
        <w:p w14:paraId="1169AAC7" w14:textId="7F4892D9" w:rsidR="300B9443" w:rsidRDefault="300B9443" w:rsidP="00CF062D">
          <w:pPr>
            <w:pStyle w:val="Header"/>
            <w:jc w:val="center"/>
          </w:pPr>
        </w:p>
      </w:tc>
      <w:tc>
        <w:tcPr>
          <w:tcW w:w="3150" w:type="dxa"/>
        </w:tcPr>
        <w:p w14:paraId="02CF8F74" w14:textId="143477A6" w:rsidR="300B9443" w:rsidRDefault="300B9443" w:rsidP="00CF062D">
          <w:pPr>
            <w:pStyle w:val="Header"/>
            <w:ind w:right="-115"/>
            <w:jc w:val="right"/>
          </w:pPr>
        </w:p>
      </w:tc>
    </w:tr>
  </w:tbl>
  <w:p w14:paraId="4B686EE4" w14:textId="2E40C591" w:rsidR="300B9443" w:rsidRDefault="300B9443" w:rsidP="00CF06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0"/>
      <w:gridCol w:w="3150"/>
      <w:gridCol w:w="3150"/>
    </w:tblGrid>
    <w:tr w:rsidR="300B9443" w14:paraId="69168C52" w14:textId="77777777" w:rsidTr="00FC12E8">
      <w:trPr>
        <w:trHeight w:val="300"/>
      </w:trPr>
      <w:tc>
        <w:tcPr>
          <w:tcW w:w="3150" w:type="dxa"/>
        </w:tcPr>
        <w:p w14:paraId="5A543FBA" w14:textId="5A3523D3" w:rsidR="300B9443" w:rsidRDefault="300B9443" w:rsidP="00FC12E8">
          <w:pPr>
            <w:pStyle w:val="Header"/>
            <w:ind w:left="-115"/>
          </w:pPr>
        </w:p>
      </w:tc>
      <w:tc>
        <w:tcPr>
          <w:tcW w:w="3150" w:type="dxa"/>
        </w:tcPr>
        <w:p w14:paraId="73C4BD1F" w14:textId="44E5CF23" w:rsidR="300B9443" w:rsidRDefault="300B9443" w:rsidP="00FC12E8">
          <w:pPr>
            <w:pStyle w:val="Header"/>
            <w:jc w:val="center"/>
          </w:pPr>
        </w:p>
      </w:tc>
      <w:tc>
        <w:tcPr>
          <w:tcW w:w="3150" w:type="dxa"/>
        </w:tcPr>
        <w:p w14:paraId="6269F06E" w14:textId="797D6116" w:rsidR="300B9443" w:rsidRDefault="300B9443" w:rsidP="00FC12E8">
          <w:pPr>
            <w:pStyle w:val="Header"/>
            <w:ind w:right="-115"/>
            <w:jc w:val="right"/>
          </w:pPr>
        </w:p>
      </w:tc>
    </w:tr>
  </w:tbl>
  <w:p w14:paraId="0E5B50B4" w14:textId="5004B6E2" w:rsidR="300B9443" w:rsidRDefault="300B9443" w:rsidP="00FC12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300B9443" w14:paraId="1DFD65BC" w14:textId="77777777" w:rsidTr="005B0983">
      <w:trPr>
        <w:trHeight w:val="300"/>
      </w:trPr>
      <w:tc>
        <w:tcPr>
          <w:tcW w:w="4800" w:type="dxa"/>
        </w:tcPr>
        <w:p w14:paraId="3349EE7D" w14:textId="30367B3D" w:rsidR="300B9443" w:rsidRDefault="300B9443" w:rsidP="005B0983">
          <w:pPr>
            <w:pStyle w:val="Header"/>
            <w:ind w:left="-115"/>
          </w:pPr>
        </w:p>
      </w:tc>
      <w:tc>
        <w:tcPr>
          <w:tcW w:w="4800" w:type="dxa"/>
        </w:tcPr>
        <w:p w14:paraId="30E4BE78" w14:textId="25DBEF5D" w:rsidR="300B9443" w:rsidRDefault="300B9443" w:rsidP="005B0983">
          <w:pPr>
            <w:pStyle w:val="Header"/>
            <w:jc w:val="center"/>
          </w:pPr>
        </w:p>
      </w:tc>
      <w:tc>
        <w:tcPr>
          <w:tcW w:w="4800" w:type="dxa"/>
        </w:tcPr>
        <w:p w14:paraId="0F259A64" w14:textId="325BF84C" w:rsidR="300B9443" w:rsidRDefault="300B9443" w:rsidP="005B0983">
          <w:pPr>
            <w:pStyle w:val="Header"/>
            <w:ind w:right="-115"/>
            <w:jc w:val="right"/>
          </w:pPr>
        </w:p>
      </w:tc>
    </w:tr>
  </w:tbl>
  <w:p w14:paraId="544ACF63" w14:textId="5E78BDBB" w:rsidR="300B9443" w:rsidRDefault="300B9443" w:rsidP="005B09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300B9443" w14:paraId="26DE7DC3" w14:textId="77777777" w:rsidTr="00FC12E8">
      <w:trPr>
        <w:trHeight w:val="300"/>
      </w:trPr>
      <w:tc>
        <w:tcPr>
          <w:tcW w:w="4800" w:type="dxa"/>
        </w:tcPr>
        <w:p w14:paraId="3BBFBE09" w14:textId="0059B83B" w:rsidR="300B9443" w:rsidRDefault="300B9443" w:rsidP="00FC12E8">
          <w:pPr>
            <w:pStyle w:val="Header"/>
            <w:ind w:left="-115"/>
          </w:pPr>
        </w:p>
      </w:tc>
      <w:tc>
        <w:tcPr>
          <w:tcW w:w="4800" w:type="dxa"/>
        </w:tcPr>
        <w:p w14:paraId="05A7F095" w14:textId="5B005A23" w:rsidR="300B9443" w:rsidRDefault="300B9443" w:rsidP="00FC12E8">
          <w:pPr>
            <w:pStyle w:val="Header"/>
            <w:jc w:val="center"/>
          </w:pPr>
        </w:p>
      </w:tc>
      <w:tc>
        <w:tcPr>
          <w:tcW w:w="4800" w:type="dxa"/>
        </w:tcPr>
        <w:p w14:paraId="1405C48E" w14:textId="773F45D5" w:rsidR="300B9443" w:rsidRDefault="300B9443" w:rsidP="00FC12E8">
          <w:pPr>
            <w:pStyle w:val="Header"/>
            <w:ind w:right="-115"/>
            <w:jc w:val="right"/>
          </w:pPr>
        </w:p>
      </w:tc>
    </w:tr>
  </w:tbl>
  <w:p w14:paraId="556443A8" w14:textId="61C97986" w:rsidR="300B9443" w:rsidRDefault="300B9443" w:rsidP="00FC12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0"/>
      <w:gridCol w:w="3150"/>
      <w:gridCol w:w="3150"/>
    </w:tblGrid>
    <w:tr w:rsidR="300B9443" w14:paraId="0E492554" w14:textId="77777777" w:rsidTr="005B0983">
      <w:trPr>
        <w:trHeight w:val="300"/>
      </w:trPr>
      <w:tc>
        <w:tcPr>
          <w:tcW w:w="3150" w:type="dxa"/>
        </w:tcPr>
        <w:p w14:paraId="2513D0DB" w14:textId="469DCFDC" w:rsidR="300B9443" w:rsidRDefault="300B9443" w:rsidP="005B0983">
          <w:pPr>
            <w:pStyle w:val="Header"/>
            <w:ind w:left="-115"/>
          </w:pPr>
        </w:p>
      </w:tc>
      <w:tc>
        <w:tcPr>
          <w:tcW w:w="3150" w:type="dxa"/>
        </w:tcPr>
        <w:p w14:paraId="5D418683" w14:textId="28A1BABE" w:rsidR="300B9443" w:rsidRDefault="300B9443" w:rsidP="005B0983">
          <w:pPr>
            <w:pStyle w:val="Header"/>
            <w:jc w:val="center"/>
          </w:pPr>
        </w:p>
      </w:tc>
      <w:tc>
        <w:tcPr>
          <w:tcW w:w="3150" w:type="dxa"/>
        </w:tcPr>
        <w:p w14:paraId="0F2BC1AD" w14:textId="6CCB8C24" w:rsidR="300B9443" w:rsidRDefault="300B9443" w:rsidP="005B0983">
          <w:pPr>
            <w:pStyle w:val="Header"/>
            <w:ind w:right="-115"/>
            <w:jc w:val="right"/>
          </w:pPr>
        </w:p>
      </w:tc>
    </w:tr>
  </w:tbl>
  <w:p w14:paraId="2B815F1C" w14:textId="53B15A65" w:rsidR="300B9443" w:rsidRDefault="300B9443" w:rsidP="005B09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0"/>
      <w:gridCol w:w="3150"/>
      <w:gridCol w:w="3150"/>
    </w:tblGrid>
    <w:tr w:rsidR="300B9443" w14:paraId="0C66A50D" w14:textId="77777777" w:rsidTr="00FC12E8">
      <w:trPr>
        <w:trHeight w:val="300"/>
      </w:trPr>
      <w:tc>
        <w:tcPr>
          <w:tcW w:w="3150" w:type="dxa"/>
        </w:tcPr>
        <w:p w14:paraId="57FE8B04" w14:textId="6095D876" w:rsidR="300B9443" w:rsidRDefault="300B9443" w:rsidP="00FC12E8">
          <w:pPr>
            <w:pStyle w:val="Header"/>
            <w:ind w:left="-115"/>
          </w:pPr>
        </w:p>
      </w:tc>
      <w:tc>
        <w:tcPr>
          <w:tcW w:w="3150" w:type="dxa"/>
        </w:tcPr>
        <w:p w14:paraId="6B8DA560" w14:textId="60883460" w:rsidR="300B9443" w:rsidRDefault="300B9443" w:rsidP="00FC12E8">
          <w:pPr>
            <w:pStyle w:val="Header"/>
            <w:jc w:val="center"/>
          </w:pPr>
        </w:p>
      </w:tc>
      <w:tc>
        <w:tcPr>
          <w:tcW w:w="3150" w:type="dxa"/>
        </w:tcPr>
        <w:p w14:paraId="646CE10C" w14:textId="4308904B" w:rsidR="300B9443" w:rsidRDefault="300B9443" w:rsidP="00FC12E8">
          <w:pPr>
            <w:pStyle w:val="Header"/>
            <w:ind w:right="-115"/>
            <w:jc w:val="right"/>
          </w:pPr>
        </w:p>
      </w:tc>
    </w:tr>
  </w:tbl>
  <w:p w14:paraId="676EFAE9" w14:textId="158D8444" w:rsidR="300B9443" w:rsidRDefault="300B9443" w:rsidP="00FC12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FC10" w14:textId="77777777" w:rsidR="009500B2" w:rsidRPr="00E05B96" w:rsidRDefault="009500B2" w:rsidP="00986A8F">
    <w:pPr>
      <w:pStyle w:val="Header"/>
      <w:tabs>
        <w:tab w:val="clear" w:pos="9360"/>
        <w:tab w:val="right" w:pos="10800"/>
      </w:tabs>
      <w:rPr>
        <w:rFonts w:ascii="Tahoma" w:hAnsi="Tahoma" w:cs="Tahoma"/>
        <w:sz w:val="18"/>
      </w:rPr>
    </w:pPr>
    <w:r w:rsidRPr="00E05B96">
      <w:rPr>
        <w:rFonts w:ascii="Tahoma" w:hAnsi="Tahoma" w:cs="Tahoma"/>
        <w:sz w:val="18"/>
      </w:rPr>
      <w:t>ENVIRONMENTAL TOXICOLOGY PROGRAM</w:t>
    </w:r>
    <w:r w:rsidRPr="00E05B96">
      <w:rPr>
        <w:rFonts w:ascii="Tahoma" w:hAnsi="Tahoma" w:cs="Tahoma"/>
        <w:sz w:val="18"/>
      </w:rPr>
      <w:tab/>
    </w:r>
    <w:r w:rsidRPr="00E05B96">
      <w:rPr>
        <w:rFonts w:ascii="Tahoma" w:hAnsi="Tahoma" w:cs="Tahoma"/>
        <w:sz w:val="18"/>
      </w:rPr>
      <w:tab/>
    </w:r>
    <w:r>
      <w:rPr>
        <w:rFonts w:ascii="Tahoma" w:hAnsi="Tahoma" w:cs="Tahoma"/>
        <w:sz w:val="18"/>
      </w:rPr>
      <w:t>PFAS Waterbody Evaluation – Appendix A</w:t>
    </w:r>
  </w:p>
  <w:p w14:paraId="4EDECA61" w14:textId="0392A422" w:rsidR="009500B2" w:rsidRDefault="009500B2" w:rsidP="00986A8F">
    <w:pPr>
      <w:pStyle w:val="Header"/>
      <w:tabs>
        <w:tab w:val="clear" w:pos="9360"/>
        <w:tab w:val="right" w:pos="10800"/>
      </w:tabs>
      <w:rPr>
        <w:rFonts w:ascii="Tahoma" w:hAnsi="Tahoma" w:cs="Tahoma"/>
        <w:sz w:val="18"/>
      </w:rPr>
    </w:pPr>
    <w:r w:rsidRPr="00E05B96">
      <w:rPr>
        <w:rFonts w:ascii="Tahoma" w:hAnsi="Tahoma" w:cs="Tahoma"/>
        <w:sz w:val="18"/>
      </w:rPr>
      <w:tab/>
    </w:r>
    <w:r w:rsidRPr="00E05B96">
      <w:rPr>
        <w:rFonts w:ascii="Tahoma" w:hAnsi="Tahoma" w:cs="Tahoma"/>
        <w:sz w:val="18"/>
      </w:rPr>
      <w:tab/>
    </w:r>
    <w:r w:rsidRPr="0063087F">
      <w:rPr>
        <w:rFonts w:ascii="Tahoma" w:hAnsi="Tahoma" w:cs="Tahoma"/>
        <w:b/>
        <w:bCs/>
        <w:sz w:val="18"/>
      </w:rPr>
      <w:t>DRAFT</w:t>
    </w:r>
  </w:p>
  <w:p w14:paraId="5406B98A" w14:textId="77777777" w:rsidR="009500B2" w:rsidRPr="00E05B96" w:rsidRDefault="009500B2" w:rsidP="00986A8F">
    <w:pPr>
      <w:pStyle w:val="Header"/>
      <w:tabs>
        <w:tab w:val="clear" w:pos="9360"/>
        <w:tab w:val="right" w:pos="10800"/>
      </w:tabs>
      <w:rPr>
        <w:rFonts w:ascii="Tahoma" w:hAnsi="Tahoma" w:cs="Tahom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610F"/>
    <w:multiLevelType w:val="hybridMultilevel"/>
    <w:tmpl w:val="819E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F0D3E"/>
    <w:multiLevelType w:val="hybridMultilevel"/>
    <w:tmpl w:val="4A8A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1DF"/>
    <w:multiLevelType w:val="hybridMultilevel"/>
    <w:tmpl w:val="CF20B0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815B3"/>
    <w:multiLevelType w:val="hybridMultilevel"/>
    <w:tmpl w:val="5A1AF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66F94"/>
    <w:multiLevelType w:val="hybridMultilevel"/>
    <w:tmpl w:val="5210C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2D45D7"/>
    <w:multiLevelType w:val="hybridMultilevel"/>
    <w:tmpl w:val="E458AC9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D5165"/>
    <w:multiLevelType w:val="hybridMultilevel"/>
    <w:tmpl w:val="9DF2D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5731D"/>
    <w:multiLevelType w:val="hybridMultilevel"/>
    <w:tmpl w:val="FD9A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B73A1"/>
    <w:multiLevelType w:val="multilevel"/>
    <w:tmpl w:val="380C6FCE"/>
    <w:lvl w:ilvl="0">
      <w:start w:val="2"/>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4E3D44"/>
    <w:multiLevelType w:val="hybridMultilevel"/>
    <w:tmpl w:val="87E85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013FE"/>
    <w:multiLevelType w:val="multilevel"/>
    <w:tmpl w:val="7A2C65F8"/>
    <w:lvl w:ilvl="0">
      <w:start w:val="1"/>
      <w:numFmt w:val="decimal"/>
      <w:lvlText w:val="%1.0"/>
      <w:lvlJc w:val="left"/>
      <w:pPr>
        <w:ind w:left="171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3985B00"/>
    <w:multiLevelType w:val="hybridMultilevel"/>
    <w:tmpl w:val="0EEE0CB2"/>
    <w:lvl w:ilvl="0" w:tplc="33E66C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6491896"/>
    <w:multiLevelType w:val="hybridMultilevel"/>
    <w:tmpl w:val="63DA2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A3B78C6"/>
    <w:multiLevelType w:val="hybridMultilevel"/>
    <w:tmpl w:val="0870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E737D"/>
    <w:multiLevelType w:val="hybridMultilevel"/>
    <w:tmpl w:val="9062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90110"/>
    <w:multiLevelType w:val="hybridMultilevel"/>
    <w:tmpl w:val="C4660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DD51371"/>
    <w:multiLevelType w:val="multilevel"/>
    <w:tmpl w:val="231AEFA8"/>
    <w:lvl w:ilvl="0">
      <w:start w:val="1"/>
      <w:numFmt w:val="decimal"/>
      <w:pStyle w:val="Heading1"/>
      <w:lvlText w:val="%1."/>
      <w:lvlJc w:val="left"/>
      <w:pPr>
        <w:ind w:left="288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0FC6E39"/>
    <w:multiLevelType w:val="hybridMultilevel"/>
    <w:tmpl w:val="86061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EB6C7C"/>
    <w:multiLevelType w:val="hybridMultilevel"/>
    <w:tmpl w:val="432693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A7F7D"/>
    <w:multiLevelType w:val="hybridMultilevel"/>
    <w:tmpl w:val="66A8A17A"/>
    <w:lvl w:ilvl="0" w:tplc="1F508D40">
      <w:start w:val="1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F73D8"/>
    <w:multiLevelType w:val="hybridMultilevel"/>
    <w:tmpl w:val="E98E9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A450C7"/>
    <w:multiLevelType w:val="hybridMultilevel"/>
    <w:tmpl w:val="6824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F5446"/>
    <w:multiLevelType w:val="hybridMultilevel"/>
    <w:tmpl w:val="FFFFFFFF"/>
    <w:lvl w:ilvl="0" w:tplc="00B0E250">
      <w:start w:val="1"/>
      <w:numFmt w:val="decimal"/>
      <w:lvlText w:val="%1."/>
      <w:lvlJc w:val="left"/>
      <w:pPr>
        <w:ind w:left="720" w:hanging="360"/>
      </w:pPr>
    </w:lvl>
    <w:lvl w:ilvl="1" w:tplc="9F72812C">
      <w:start w:val="1"/>
      <w:numFmt w:val="lowerLetter"/>
      <w:lvlText w:val="%2."/>
      <w:lvlJc w:val="left"/>
      <w:pPr>
        <w:ind w:left="1440" w:hanging="360"/>
      </w:pPr>
    </w:lvl>
    <w:lvl w:ilvl="2" w:tplc="DD849562">
      <w:start w:val="1"/>
      <w:numFmt w:val="lowerRoman"/>
      <w:lvlText w:val="%3."/>
      <w:lvlJc w:val="right"/>
      <w:pPr>
        <w:ind w:left="2160" w:hanging="180"/>
      </w:pPr>
    </w:lvl>
    <w:lvl w:ilvl="3" w:tplc="74185856">
      <w:start w:val="1"/>
      <w:numFmt w:val="decimal"/>
      <w:lvlText w:val="%4."/>
      <w:lvlJc w:val="left"/>
      <w:pPr>
        <w:ind w:left="2880" w:hanging="360"/>
      </w:pPr>
    </w:lvl>
    <w:lvl w:ilvl="4" w:tplc="3350D81E">
      <w:start w:val="1"/>
      <w:numFmt w:val="lowerLetter"/>
      <w:lvlText w:val="%5."/>
      <w:lvlJc w:val="left"/>
      <w:pPr>
        <w:ind w:left="3600" w:hanging="360"/>
      </w:pPr>
    </w:lvl>
    <w:lvl w:ilvl="5" w:tplc="A4C6DBDC">
      <w:start w:val="1"/>
      <w:numFmt w:val="lowerRoman"/>
      <w:lvlText w:val="%6."/>
      <w:lvlJc w:val="right"/>
      <w:pPr>
        <w:ind w:left="4320" w:hanging="180"/>
      </w:pPr>
    </w:lvl>
    <w:lvl w:ilvl="6" w:tplc="1082B044">
      <w:start w:val="1"/>
      <w:numFmt w:val="decimal"/>
      <w:lvlText w:val="%7."/>
      <w:lvlJc w:val="left"/>
      <w:pPr>
        <w:ind w:left="5040" w:hanging="360"/>
      </w:pPr>
    </w:lvl>
    <w:lvl w:ilvl="7" w:tplc="8C3E8D04">
      <w:start w:val="1"/>
      <w:numFmt w:val="lowerLetter"/>
      <w:lvlText w:val="%8."/>
      <w:lvlJc w:val="left"/>
      <w:pPr>
        <w:ind w:left="5760" w:hanging="360"/>
      </w:pPr>
    </w:lvl>
    <w:lvl w:ilvl="8" w:tplc="6F72FD1E">
      <w:start w:val="1"/>
      <w:numFmt w:val="lowerRoman"/>
      <w:lvlText w:val="%9."/>
      <w:lvlJc w:val="right"/>
      <w:pPr>
        <w:ind w:left="6480" w:hanging="180"/>
      </w:pPr>
    </w:lvl>
  </w:abstractNum>
  <w:abstractNum w:abstractNumId="23" w15:restartNumberingAfterBreak="0">
    <w:nsid w:val="49A45935"/>
    <w:multiLevelType w:val="hybridMultilevel"/>
    <w:tmpl w:val="2156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81737"/>
    <w:multiLevelType w:val="hybridMultilevel"/>
    <w:tmpl w:val="08B4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B061E"/>
    <w:multiLevelType w:val="hybridMultilevel"/>
    <w:tmpl w:val="9FCAA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025BE9"/>
    <w:multiLevelType w:val="hybridMultilevel"/>
    <w:tmpl w:val="1168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01356"/>
    <w:multiLevelType w:val="hybridMultilevel"/>
    <w:tmpl w:val="F0CA3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81F4D"/>
    <w:multiLevelType w:val="hybridMultilevel"/>
    <w:tmpl w:val="06AAE6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5D235E"/>
    <w:multiLevelType w:val="hybridMultilevel"/>
    <w:tmpl w:val="8A9CE3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9B63FFE"/>
    <w:multiLevelType w:val="multilevel"/>
    <w:tmpl w:val="D32E46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8E69D0"/>
    <w:multiLevelType w:val="hybridMultilevel"/>
    <w:tmpl w:val="6132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E0FA0"/>
    <w:multiLevelType w:val="hybridMultilevel"/>
    <w:tmpl w:val="63DA2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6A44F5D"/>
    <w:multiLevelType w:val="hybridMultilevel"/>
    <w:tmpl w:val="BCE2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074B5"/>
    <w:multiLevelType w:val="hybridMultilevel"/>
    <w:tmpl w:val="A7D8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1563"/>
    <w:multiLevelType w:val="hybridMultilevel"/>
    <w:tmpl w:val="BDD2C616"/>
    <w:lvl w:ilvl="0" w:tplc="D02E103A">
      <w:start w:val="2"/>
      <w:numFmt w:val="decimal"/>
      <w:lvlText w:val="%1"/>
      <w:lvlJc w:val="left"/>
      <w:pPr>
        <w:ind w:left="720" w:hanging="360"/>
      </w:pPr>
      <w:rPr>
        <w:rFonts w:ascii="Calibri" w:eastAsia="Times New Roman" w:hAnsi="Calibri" w:cs="Calibri"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419628">
    <w:abstractNumId w:val="22"/>
  </w:num>
  <w:num w:numId="2" w16cid:durableId="1581138773">
    <w:abstractNumId w:val="4"/>
  </w:num>
  <w:num w:numId="3" w16cid:durableId="1166749122">
    <w:abstractNumId w:val="0"/>
  </w:num>
  <w:num w:numId="4" w16cid:durableId="1997028677">
    <w:abstractNumId w:val="2"/>
  </w:num>
  <w:num w:numId="5" w16cid:durableId="1101147570">
    <w:abstractNumId w:val="28"/>
  </w:num>
  <w:num w:numId="6" w16cid:durableId="928537783">
    <w:abstractNumId w:val="17"/>
  </w:num>
  <w:num w:numId="7" w16cid:durableId="457532167">
    <w:abstractNumId w:val="20"/>
  </w:num>
  <w:num w:numId="8" w16cid:durableId="765999979">
    <w:abstractNumId w:val="6"/>
  </w:num>
  <w:num w:numId="9" w16cid:durableId="845245700">
    <w:abstractNumId w:val="10"/>
  </w:num>
  <w:num w:numId="10" w16cid:durableId="683433793">
    <w:abstractNumId w:val="34"/>
  </w:num>
  <w:num w:numId="11" w16cid:durableId="1216821326">
    <w:abstractNumId w:val="23"/>
  </w:num>
  <w:num w:numId="12" w16cid:durableId="1474327270">
    <w:abstractNumId w:val="30"/>
  </w:num>
  <w:num w:numId="13" w16cid:durableId="1026561885">
    <w:abstractNumId w:val="5"/>
  </w:num>
  <w:num w:numId="14" w16cid:durableId="2024743602">
    <w:abstractNumId w:val="16"/>
  </w:num>
  <w:num w:numId="15" w16cid:durableId="1731920761">
    <w:abstractNumId w:val="25"/>
  </w:num>
  <w:num w:numId="16" w16cid:durableId="1265576227">
    <w:abstractNumId w:val="33"/>
  </w:num>
  <w:num w:numId="17" w16cid:durableId="1377240149">
    <w:abstractNumId w:val="7"/>
  </w:num>
  <w:num w:numId="18" w16cid:durableId="65298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70311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4700863">
    <w:abstractNumId w:val="15"/>
  </w:num>
  <w:num w:numId="21" w16cid:durableId="483862814">
    <w:abstractNumId w:val="13"/>
  </w:num>
  <w:num w:numId="22" w16cid:durableId="1379931880">
    <w:abstractNumId w:val="8"/>
  </w:num>
  <w:num w:numId="23" w16cid:durableId="12282286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4263135">
    <w:abstractNumId w:val="12"/>
  </w:num>
  <w:num w:numId="25" w16cid:durableId="1748189416">
    <w:abstractNumId w:val="3"/>
  </w:num>
  <w:num w:numId="26" w16cid:durableId="1564023075">
    <w:abstractNumId w:val="31"/>
  </w:num>
  <w:num w:numId="27" w16cid:durableId="1483892126">
    <w:abstractNumId w:val="29"/>
  </w:num>
  <w:num w:numId="28" w16cid:durableId="671643856">
    <w:abstractNumId w:val="35"/>
  </w:num>
  <w:num w:numId="29" w16cid:durableId="377628099">
    <w:abstractNumId w:val="24"/>
  </w:num>
  <w:num w:numId="30" w16cid:durableId="566233743">
    <w:abstractNumId w:val="14"/>
  </w:num>
  <w:num w:numId="31" w16cid:durableId="274946693">
    <w:abstractNumId w:val="9"/>
  </w:num>
  <w:num w:numId="32" w16cid:durableId="1905489298">
    <w:abstractNumId w:val="21"/>
  </w:num>
  <w:num w:numId="33" w16cid:durableId="1967538170">
    <w:abstractNumId w:val="27"/>
  </w:num>
  <w:num w:numId="34" w16cid:durableId="1708022517">
    <w:abstractNumId w:val="26"/>
  </w:num>
  <w:num w:numId="35" w16cid:durableId="1945529686">
    <w:abstractNumId w:val="1"/>
  </w:num>
  <w:num w:numId="36" w16cid:durableId="1506893329">
    <w:abstractNumId w:val="11"/>
  </w:num>
  <w:num w:numId="37" w16cid:durableId="843977089">
    <w:abstractNumId w:val="18"/>
  </w:num>
  <w:num w:numId="38" w16cid:durableId="6623984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D3"/>
    <w:rsid w:val="000004B6"/>
    <w:rsid w:val="00000DD0"/>
    <w:rsid w:val="00001D69"/>
    <w:rsid w:val="00004A6B"/>
    <w:rsid w:val="000068DC"/>
    <w:rsid w:val="00007155"/>
    <w:rsid w:val="00007E06"/>
    <w:rsid w:val="00010430"/>
    <w:rsid w:val="00012741"/>
    <w:rsid w:val="0001289A"/>
    <w:rsid w:val="0001329E"/>
    <w:rsid w:val="0001339E"/>
    <w:rsid w:val="0001475B"/>
    <w:rsid w:val="00021AA3"/>
    <w:rsid w:val="00022405"/>
    <w:rsid w:val="00023DD3"/>
    <w:rsid w:val="000261DD"/>
    <w:rsid w:val="000264B4"/>
    <w:rsid w:val="00026E3A"/>
    <w:rsid w:val="00027D51"/>
    <w:rsid w:val="00030712"/>
    <w:rsid w:val="00030CBB"/>
    <w:rsid w:val="00031772"/>
    <w:rsid w:val="0003269A"/>
    <w:rsid w:val="00032A22"/>
    <w:rsid w:val="00033FFA"/>
    <w:rsid w:val="00035776"/>
    <w:rsid w:val="00036179"/>
    <w:rsid w:val="0003699C"/>
    <w:rsid w:val="00037C35"/>
    <w:rsid w:val="00040A9E"/>
    <w:rsid w:val="00041E5D"/>
    <w:rsid w:val="0004215E"/>
    <w:rsid w:val="00043BCC"/>
    <w:rsid w:val="00043C48"/>
    <w:rsid w:val="00044B78"/>
    <w:rsid w:val="00045F6E"/>
    <w:rsid w:val="000515E2"/>
    <w:rsid w:val="000533C4"/>
    <w:rsid w:val="00054079"/>
    <w:rsid w:val="0005743C"/>
    <w:rsid w:val="000578D0"/>
    <w:rsid w:val="00060148"/>
    <w:rsid w:val="000601E3"/>
    <w:rsid w:val="00061DA0"/>
    <w:rsid w:val="000633A9"/>
    <w:rsid w:val="0006596A"/>
    <w:rsid w:val="00065D3D"/>
    <w:rsid w:val="00070ACB"/>
    <w:rsid w:val="0007246B"/>
    <w:rsid w:val="00072C32"/>
    <w:rsid w:val="00074A25"/>
    <w:rsid w:val="000750D0"/>
    <w:rsid w:val="0007636D"/>
    <w:rsid w:val="00077534"/>
    <w:rsid w:val="00077BB5"/>
    <w:rsid w:val="00080C4A"/>
    <w:rsid w:val="0008284C"/>
    <w:rsid w:val="000830F4"/>
    <w:rsid w:val="00083EFB"/>
    <w:rsid w:val="000843C8"/>
    <w:rsid w:val="00085A54"/>
    <w:rsid w:val="000871B0"/>
    <w:rsid w:val="00087BC3"/>
    <w:rsid w:val="00090F3F"/>
    <w:rsid w:val="000A114D"/>
    <w:rsid w:val="000A1527"/>
    <w:rsid w:val="000A1D3F"/>
    <w:rsid w:val="000A47B8"/>
    <w:rsid w:val="000A656F"/>
    <w:rsid w:val="000A6E6D"/>
    <w:rsid w:val="000B0974"/>
    <w:rsid w:val="000B22E7"/>
    <w:rsid w:val="000B24AF"/>
    <w:rsid w:val="000B4565"/>
    <w:rsid w:val="000B5D45"/>
    <w:rsid w:val="000B64AA"/>
    <w:rsid w:val="000B71DA"/>
    <w:rsid w:val="000C169B"/>
    <w:rsid w:val="000C4014"/>
    <w:rsid w:val="000C4678"/>
    <w:rsid w:val="000C5817"/>
    <w:rsid w:val="000D046E"/>
    <w:rsid w:val="000D1C15"/>
    <w:rsid w:val="000D3483"/>
    <w:rsid w:val="000D3B05"/>
    <w:rsid w:val="000D4F28"/>
    <w:rsid w:val="000D643B"/>
    <w:rsid w:val="000D7FBF"/>
    <w:rsid w:val="000E378E"/>
    <w:rsid w:val="000E53C4"/>
    <w:rsid w:val="000E5723"/>
    <w:rsid w:val="000E5A67"/>
    <w:rsid w:val="000E70FE"/>
    <w:rsid w:val="000F1121"/>
    <w:rsid w:val="000F2174"/>
    <w:rsid w:val="000F467D"/>
    <w:rsid w:val="000F5AE6"/>
    <w:rsid w:val="000F76E5"/>
    <w:rsid w:val="00100BF9"/>
    <w:rsid w:val="0010132C"/>
    <w:rsid w:val="001020BC"/>
    <w:rsid w:val="001024CF"/>
    <w:rsid w:val="00102E98"/>
    <w:rsid w:val="00103D43"/>
    <w:rsid w:val="00103E71"/>
    <w:rsid w:val="00103F5A"/>
    <w:rsid w:val="001041BB"/>
    <w:rsid w:val="001102CB"/>
    <w:rsid w:val="001109C6"/>
    <w:rsid w:val="001134B9"/>
    <w:rsid w:val="00116109"/>
    <w:rsid w:val="0011702C"/>
    <w:rsid w:val="00120856"/>
    <w:rsid w:val="00120C87"/>
    <w:rsid w:val="00121081"/>
    <w:rsid w:val="00121511"/>
    <w:rsid w:val="00121D7F"/>
    <w:rsid w:val="0012214A"/>
    <w:rsid w:val="001225E1"/>
    <w:rsid w:val="001226A0"/>
    <w:rsid w:val="00122B97"/>
    <w:rsid w:val="001246E1"/>
    <w:rsid w:val="001247C7"/>
    <w:rsid w:val="00124B85"/>
    <w:rsid w:val="0013137D"/>
    <w:rsid w:val="0013181E"/>
    <w:rsid w:val="00131A40"/>
    <w:rsid w:val="0013215E"/>
    <w:rsid w:val="00133A32"/>
    <w:rsid w:val="00135E23"/>
    <w:rsid w:val="001363C1"/>
    <w:rsid w:val="00136C66"/>
    <w:rsid w:val="00136DEE"/>
    <w:rsid w:val="00141881"/>
    <w:rsid w:val="00141981"/>
    <w:rsid w:val="00141BAC"/>
    <w:rsid w:val="001424CA"/>
    <w:rsid w:val="00142B2A"/>
    <w:rsid w:val="00142F11"/>
    <w:rsid w:val="00143159"/>
    <w:rsid w:val="00143AFF"/>
    <w:rsid w:val="00144B26"/>
    <w:rsid w:val="00145AF8"/>
    <w:rsid w:val="00147145"/>
    <w:rsid w:val="001517E0"/>
    <w:rsid w:val="00151CEE"/>
    <w:rsid w:val="00152807"/>
    <w:rsid w:val="001541A6"/>
    <w:rsid w:val="001552CA"/>
    <w:rsid w:val="001741B0"/>
    <w:rsid w:val="0017507E"/>
    <w:rsid w:val="00175B65"/>
    <w:rsid w:val="00175F05"/>
    <w:rsid w:val="00176C0F"/>
    <w:rsid w:val="0017775A"/>
    <w:rsid w:val="001806B9"/>
    <w:rsid w:val="00187A67"/>
    <w:rsid w:val="00190094"/>
    <w:rsid w:val="00192AC2"/>
    <w:rsid w:val="001934C5"/>
    <w:rsid w:val="001934ED"/>
    <w:rsid w:val="00194709"/>
    <w:rsid w:val="0019502E"/>
    <w:rsid w:val="0019512B"/>
    <w:rsid w:val="0019551A"/>
    <w:rsid w:val="001A54A9"/>
    <w:rsid w:val="001A66CA"/>
    <w:rsid w:val="001A7520"/>
    <w:rsid w:val="001B0871"/>
    <w:rsid w:val="001B1354"/>
    <w:rsid w:val="001B3115"/>
    <w:rsid w:val="001C0529"/>
    <w:rsid w:val="001C092B"/>
    <w:rsid w:val="001C0B76"/>
    <w:rsid w:val="001C30F8"/>
    <w:rsid w:val="001C3C06"/>
    <w:rsid w:val="001C5415"/>
    <w:rsid w:val="001C5534"/>
    <w:rsid w:val="001C620B"/>
    <w:rsid w:val="001C62C8"/>
    <w:rsid w:val="001C7478"/>
    <w:rsid w:val="001C7620"/>
    <w:rsid w:val="001D0A99"/>
    <w:rsid w:val="001D1286"/>
    <w:rsid w:val="001D1A56"/>
    <w:rsid w:val="001D200F"/>
    <w:rsid w:val="001D2349"/>
    <w:rsid w:val="001D34D1"/>
    <w:rsid w:val="001D3A76"/>
    <w:rsid w:val="001D5AC0"/>
    <w:rsid w:val="001D5D3A"/>
    <w:rsid w:val="001D610E"/>
    <w:rsid w:val="001E0232"/>
    <w:rsid w:val="001E07E1"/>
    <w:rsid w:val="001E3D7E"/>
    <w:rsid w:val="001E45F5"/>
    <w:rsid w:val="001E54AD"/>
    <w:rsid w:val="001E79B6"/>
    <w:rsid w:val="001F0F5D"/>
    <w:rsid w:val="001F1159"/>
    <w:rsid w:val="001F1DE2"/>
    <w:rsid w:val="001F1E4E"/>
    <w:rsid w:val="001F5785"/>
    <w:rsid w:val="001F5FA0"/>
    <w:rsid w:val="001F764C"/>
    <w:rsid w:val="001F7CEA"/>
    <w:rsid w:val="00201D8E"/>
    <w:rsid w:val="00201F80"/>
    <w:rsid w:val="00202D03"/>
    <w:rsid w:val="00203103"/>
    <w:rsid w:val="00203179"/>
    <w:rsid w:val="0020448E"/>
    <w:rsid w:val="002046A3"/>
    <w:rsid w:val="0020536B"/>
    <w:rsid w:val="002071B9"/>
    <w:rsid w:val="0021083B"/>
    <w:rsid w:val="00211F02"/>
    <w:rsid w:val="00212860"/>
    <w:rsid w:val="00216747"/>
    <w:rsid w:val="00220151"/>
    <w:rsid w:val="00220886"/>
    <w:rsid w:val="00220B59"/>
    <w:rsid w:val="00220C1C"/>
    <w:rsid w:val="00224FA7"/>
    <w:rsid w:val="002261CB"/>
    <w:rsid w:val="0022762C"/>
    <w:rsid w:val="0023152F"/>
    <w:rsid w:val="00231A7C"/>
    <w:rsid w:val="00231E15"/>
    <w:rsid w:val="002323BC"/>
    <w:rsid w:val="00234614"/>
    <w:rsid w:val="00234C95"/>
    <w:rsid w:val="002358EB"/>
    <w:rsid w:val="00236547"/>
    <w:rsid w:val="00237903"/>
    <w:rsid w:val="00237A20"/>
    <w:rsid w:val="002421FD"/>
    <w:rsid w:val="0024290A"/>
    <w:rsid w:val="00242BFE"/>
    <w:rsid w:val="00244B9E"/>
    <w:rsid w:val="002450EC"/>
    <w:rsid w:val="00245B3B"/>
    <w:rsid w:val="00246241"/>
    <w:rsid w:val="0025343C"/>
    <w:rsid w:val="002538EC"/>
    <w:rsid w:val="00253A6C"/>
    <w:rsid w:val="00253DBE"/>
    <w:rsid w:val="00256AEC"/>
    <w:rsid w:val="00262580"/>
    <w:rsid w:val="00264542"/>
    <w:rsid w:val="00264AAE"/>
    <w:rsid w:val="002710C6"/>
    <w:rsid w:val="00271B22"/>
    <w:rsid w:val="00271BC9"/>
    <w:rsid w:val="00271CCB"/>
    <w:rsid w:val="0027278B"/>
    <w:rsid w:val="002730DE"/>
    <w:rsid w:val="0027719B"/>
    <w:rsid w:val="00280722"/>
    <w:rsid w:val="002823DA"/>
    <w:rsid w:val="0028284F"/>
    <w:rsid w:val="002830EA"/>
    <w:rsid w:val="00286AC2"/>
    <w:rsid w:val="002920D9"/>
    <w:rsid w:val="0029237F"/>
    <w:rsid w:val="00295070"/>
    <w:rsid w:val="00295266"/>
    <w:rsid w:val="002A0C1A"/>
    <w:rsid w:val="002A10BD"/>
    <w:rsid w:val="002A32B1"/>
    <w:rsid w:val="002A3455"/>
    <w:rsid w:val="002A3EB0"/>
    <w:rsid w:val="002A3EB8"/>
    <w:rsid w:val="002A6CC4"/>
    <w:rsid w:val="002B077E"/>
    <w:rsid w:val="002B11EF"/>
    <w:rsid w:val="002B22BA"/>
    <w:rsid w:val="002B38C8"/>
    <w:rsid w:val="002B47F4"/>
    <w:rsid w:val="002B484E"/>
    <w:rsid w:val="002B5E1E"/>
    <w:rsid w:val="002B6518"/>
    <w:rsid w:val="002B66A1"/>
    <w:rsid w:val="002B7AD7"/>
    <w:rsid w:val="002C031D"/>
    <w:rsid w:val="002C0613"/>
    <w:rsid w:val="002C0D44"/>
    <w:rsid w:val="002C1057"/>
    <w:rsid w:val="002C16A2"/>
    <w:rsid w:val="002C22E7"/>
    <w:rsid w:val="002C2961"/>
    <w:rsid w:val="002C47EB"/>
    <w:rsid w:val="002C6149"/>
    <w:rsid w:val="002C69A4"/>
    <w:rsid w:val="002D0B30"/>
    <w:rsid w:val="002D17A9"/>
    <w:rsid w:val="002D2247"/>
    <w:rsid w:val="002D23AA"/>
    <w:rsid w:val="002D3B81"/>
    <w:rsid w:val="002D48AC"/>
    <w:rsid w:val="002D5402"/>
    <w:rsid w:val="002D6596"/>
    <w:rsid w:val="002D67FA"/>
    <w:rsid w:val="002D6A5E"/>
    <w:rsid w:val="002E0906"/>
    <w:rsid w:val="002E1C59"/>
    <w:rsid w:val="002E2354"/>
    <w:rsid w:val="002E2945"/>
    <w:rsid w:val="002E2ED1"/>
    <w:rsid w:val="002E410E"/>
    <w:rsid w:val="002E4839"/>
    <w:rsid w:val="002E5AB0"/>
    <w:rsid w:val="002E5EC8"/>
    <w:rsid w:val="002E62DE"/>
    <w:rsid w:val="002E7268"/>
    <w:rsid w:val="002F03D9"/>
    <w:rsid w:val="002F0427"/>
    <w:rsid w:val="002F16B3"/>
    <w:rsid w:val="002F4427"/>
    <w:rsid w:val="002F68EA"/>
    <w:rsid w:val="002F79C2"/>
    <w:rsid w:val="00300420"/>
    <w:rsid w:val="00301342"/>
    <w:rsid w:val="00301639"/>
    <w:rsid w:val="003021E6"/>
    <w:rsid w:val="00302ADF"/>
    <w:rsid w:val="00304037"/>
    <w:rsid w:val="00305AEE"/>
    <w:rsid w:val="00305D2A"/>
    <w:rsid w:val="00306B09"/>
    <w:rsid w:val="00306C08"/>
    <w:rsid w:val="00307CAF"/>
    <w:rsid w:val="00310D94"/>
    <w:rsid w:val="00312527"/>
    <w:rsid w:val="0031308B"/>
    <w:rsid w:val="00314A16"/>
    <w:rsid w:val="003159A8"/>
    <w:rsid w:val="0031694E"/>
    <w:rsid w:val="00316EF5"/>
    <w:rsid w:val="00320582"/>
    <w:rsid w:val="003206A5"/>
    <w:rsid w:val="00320E3D"/>
    <w:rsid w:val="00324FA0"/>
    <w:rsid w:val="003273C7"/>
    <w:rsid w:val="0033493B"/>
    <w:rsid w:val="00337393"/>
    <w:rsid w:val="00337BFF"/>
    <w:rsid w:val="003422B7"/>
    <w:rsid w:val="00345964"/>
    <w:rsid w:val="003469AF"/>
    <w:rsid w:val="00347D7F"/>
    <w:rsid w:val="003510D8"/>
    <w:rsid w:val="003526C0"/>
    <w:rsid w:val="0035385D"/>
    <w:rsid w:val="00354A73"/>
    <w:rsid w:val="0035652D"/>
    <w:rsid w:val="0036011E"/>
    <w:rsid w:val="00360362"/>
    <w:rsid w:val="00365B26"/>
    <w:rsid w:val="003674A7"/>
    <w:rsid w:val="00371F30"/>
    <w:rsid w:val="00371F4B"/>
    <w:rsid w:val="003724B6"/>
    <w:rsid w:val="0037353D"/>
    <w:rsid w:val="00373E6C"/>
    <w:rsid w:val="00373ECC"/>
    <w:rsid w:val="00374C7C"/>
    <w:rsid w:val="003773CB"/>
    <w:rsid w:val="0037742F"/>
    <w:rsid w:val="00380216"/>
    <w:rsid w:val="00380A05"/>
    <w:rsid w:val="00381D4A"/>
    <w:rsid w:val="00384365"/>
    <w:rsid w:val="00385441"/>
    <w:rsid w:val="00385B14"/>
    <w:rsid w:val="00390799"/>
    <w:rsid w:val="00391742"/>
    <w:rsid w:val="00392D0E"/>
    <w:rsid w:val="00393A0B"/>
    <w:rsid w:val="0039592D"/>
    <w:rsid w:val="00395EA5"/>
    <w:rsid w:val="0039678A"/>
    <w:rsid w:val="003A0A16"/>
    <w:rsid w:val="003A0EC1"/>
    <w:rsid w:val="003A1A91"/>
    <w:rsid w:val="003A3710"/>
    <w:rsid w:val="003A38A6"/>
    <w:rsid w:val="003A76BF"/>
    <w:rsid w:val="003B00FE"/>
    <w:rsid w:val="003B3E17"/>
    <w:rsid w:val="003B524A"/>
    <w:rsid w:val="003B551E"/>
    <w:rsid w:val="003C0A70"/>
    <w:rsid w:val="003C1B25"/>
    <w:rsid w:val="003C3FD4"/>
    <w:rsid w:val="003C40EE"/>
    <w:rsid w:val="003C6B7B"/>
    <w:rsid w:val="003D1378"/>
    <w:rsid w:val="003D18A4"/>
    <w:rsid w:val="003D48EF"/>
    <w:rsid w:val="003D53BB"/>
    <w:rsid w:val="003E0A8F"/>
    <w:rsid w:val="003E2358"/>
    <w:rsid w:val="003E387A"/>
    <w:rsid w:val="003E5E95"/>
    <w:rsid w:val="003E6CCD"/>
    <w:rsid w:val="003E7075"/>
    <w:rsid w:val="003E7ED8"/>
    <w:rsid w:val="003F0FF9"/>
    <w:rsid w:val="003F1391"/>
    <w:rsid w:val="003F1601"/>
    <w:rsid w:val="003F1BE9"/>
    <w:rsid w:val="003F1C2A"/>
    <w:rsid w:val="003F232C"/>
    <w:rsid w:val="003F3345"/>
    <w:rsid w:val="003F4CFF"/>
    <w:rsid w:val="004014A1"/>
    <w:rsid w:val="0040591D"/>
    <w:rsid w:val="00406206"/>
    <w:rsid w:val="00406CC4"/>
    <w:rsid w:val="004106C5"/>
    <w:rsid w:val="00410D7B"/>
    <w:rsid w:val="00411C04"/>
    <w:rsid w:val="0041218A"/>
    <w:rsid w:val="0041354E"/>
    <w:rsid w:val="00415816"/>
    <w:rsid w:val="00415DA9"/>
    <w:rsid w:val="00421ECA"/>
    <w:rsid w:val="00421FC9"/>
    <w:rsid w:val="00422928"/>
    <w:rsid w:val="00423052"/>
    <w:rsid w:val="00423C8A"/>
    <w:rsid w:val="00424F48"/>
    <w:rsid w:val="004259BB"/>
    <w:rsid w:val="00426548"/>
    <w:rsid w:val="004310AB"/>
    <w:rsid w:val="004320AA"/>
    <w:rsid w:val="004353DD"/>
    <w:rsid w:val="004357A2"/>
    <w:rsid w:val="00437056"/>
    <w:rsid w:val="0043707E"/>
    <w:rsid w:val="00440032"/>
    <w:rsid w:val="00443D29"/>
    <w:rsid w:val="004454CC"/>
    <w:rsid w:val="0044579F"/>
    <w:rsid w:val="00450787"/>
    <w:rsid w:val="00450874"/>
    <w:rsid w:val="0045127B"/>
    <w:rsid w:val="004518C3"/>
    <w:rsid w:val="00451E35"/>
    <w:rsid w:val="00452437"/>
    <w:rsid w:val="004527D0"/>
    <w:rsid w:val="00454368"/>
    <w:rsid w:val="0045453F"/>
    <w:rsid w:val="004562AC"/>
    <w:rsid w:val="00457917"/>
    <w:rsid w:val="004604B0"/>
    <w:rsid w:val="004616F1"/>
    <w:rsid w:val="00461FFC"/>
    <w:rsid w:val="00463DD7"/>
    <w:rsid w:val="00465A81"/>
    <w:rsid w:val="00465C3D"/>
    <w:rsid w:val="00470389"/>
    <w:rsid w:val="00470AB7"/>
    <w:rsid w:val="00470BD4"/>
    <w:rsid w:val="0047239A"/>
    <w:rsid w:val="00472D7E"/>
    <w:rsid w:val="00473D3A"/>
    <w:rsid w:val="00473F2D"/>
    <w:rsid w:val="00476064"/>
    <w:rsid w:val="00476D7B"/>
    <w:rsid w:val="00481CCF"/>
    <w:rsid w:val="0048431D"/>
    <w:rsid w:val="0048437D"/>
    <w:rsid w:val="00484738"/>
    <w:rsid w:val="00484870"/>
    <w:rsid w:val="00484C94"/>
    <w:rsid w:val="00485805"/>
    <w:rsid w:val="004868B2"/>
    <w:rsid w:val="0049026A"/>
    <w:rsid w:val="00491395"/>
    <w:rsid w:val="00491688"/>
    <w:rsid w:val="00491E2D"/>
    <w:rsid w:val="0049339C"/>
    <w:rsid w:val="004946CE"/>
    <w:rsid w:val="004961BF"/>
    <w:rsid w:val="00497206"/>
    <w:rsid w:val="00497673"/>
    <w:rsid w:val="004A006B"/>
    <w:rsid w:val="004A4412"/>
    <w:rsid w:val="004A4A58"/>
    <w:rsid w:val="004A4B2C"/>
    <w:rsid w:val="004A4E7F"/>
    <w:rsid w:val="004A5FA5"/>
    <w:rsid w:val="004A653B"/>
    <w:rsid w:val="004A7E50"/>
    <w:rsid w:val="004B1519"/>
    <w:rsid w:val="004B1A7C"/>
    <w:rsid w:val="004B2E4C"/>
    <w:rsid w:val="004B3F51"/>
    <w:rsid w:val="004B5DC0"/>
    <w:rsid w:val="004B79B9"/>
    <w:rsid w:val="004C1E8B"/>
    <w:rsid w:val="004C3498"/>
    <w:rsid w:val="004C350F"/>
    <w:rsid w:val="004C4677"/>
    <w:rsid w:val="004C4CB5"/>
    <w:rsid w:val="004C5D09"/>
    <w:rsid w:val="004C5FBA"/>
    <w:rsid w:val="004C6643"/>
    <w:rsid w:val="004C6B3C"/>
    <w:rsid w:val="004D01EF"/>
    <w:rsid w:val="004D153E"/>
    <w:rsid w:val="004D27F0"/>
    <w:rsid w:val="004D3381"/>
    <w:rsid w:val="004D4027"/>
    <w:rsid w:val="004D471B"/>
    <w:rsid w:val="004D7570"/>
    <w:rsid w:val="004D790B"/>
    <w:rsid w:val="004E084D"/>
    <w:rsid w:val="004E1CEF"/>
    <w:rsid w:val="004E2CD2"/>
    <w:rsid w:val="004E3A2A"/>
    <w:rsid w:val="004E42FB"/>
    <w:rsid w:val="004E4AF8"/>
    <w:rsid w:val="004E7F12"/>
    <w:rsid w:val="004F0497"/>
    <w:rsid w:val="004F1266"/>
    <w:rsid w:val="004F28F5"/>
    <w:rsid w:val="004F3CB5"/>
    <w:rsid w:val="004F40C7"/>
    <w:rsid w:val="004F5097"/>
    <w:rsid w:val="004F51B1"/>
    <w:rsid w:val="004F53F9"/>
    <w:rsid w:val="004F670E"/>
    <w:rsid w:val="004F72AF"/>
    <w:rsid w:val="00500269"/>
    <w:rsid w:val="005009D1"/>
    <w:rsid w:val="00500AB0"/>
    <w:rsid w:val="00502F72"/>
    <w:rsid w:val="00503FDF"/>
    <w:rsid w:val="005049C4"/>
    <w:rsid w:val="00506583"/>
    <w:rsid w:val="00506F46"/>
    <w:rsid w:val="005104E6"/>
    <w:rsid w:val="005129AC"/>
    <w:rsid w:val="00513157"/>
    <w:rsid w:val="00517453"/>
    <w:rsid w:val="00520649"/>
    <w:rsid w:val="005211EB"/>
    <w:rsid w:val="00521ED9"/>
    <w:rsid w:val="00522C00"/>
    <w:rsid w:val="005238F3"/>
    <w:rsid w:val="00524306"/>
    <w:rsid w:val="00526E59"/>
    <w:rsid w:val="005271A1"/>
    <w:rsid w:val="00533DE8"/>
    <w:rsid w:val="00535CEF"/>
    <w:rsid w:val="00537FFA"/>
    <w:rsid w:val="00540204"/>
    <w:rsid w:val="00542221"/>
    <w:rsid w:val="0054393D"/>
    <w:rsid w:val="00543F1C"/>
    <w:rsid w:val="00544EF5"/>
    <w:rsid w:val="005468DF"/>
    <w:rsid w:val="0054791A"/>
    <w:rsid w:val="005501F7"/>
    <w:rsid w:val="00551FAC"/>
    <w:rsid w:val="00555180"/>
    <w:rsid w:val="00555B62"/>
    <w:rsid w:val="00557AFE"/>
    <w:rsid w:val="00560737"/>
    <w:rsid w:val="00562009"/>
    <w:rsid w:val="00563157"/>
    <w:rsid w:val="00564CA4"/>
    <w:rsid w:val="00567519"/>
    <w:rsid w:val="005725A1"/>
    <w:rsid w:val="00573A98"/>
    <w:rsid w:val="00574050"/>
    <w:rsid w:val="00575866"/>
    <w:rsid w:val="00576418"/>
    <w:rsid w:val="00577FC2"/>
    <w:rsid w:val="00580AB1"/>
    <w:rsid w:val="005812F7"/>
    <w:rsid w:val="00581DC8"/>
    <w:rsid w:val="00582627"/>
    <w:rsid w:val="005844CC"/>
    <w:rsid w:val="00585550"/>
    <w:rsid w:val="00587D23"/>
    <w:rsid w:val="00592650"/>
    <w:rsid w:val="0059270F"/>
    <w:rsid w:val="0059343B"/>
    <w:rsid w:val="005975E6"/>
    <w:rsid w:val="005A076F"/>
    <w:rsid w:val="005A159E"/>
    <w:rsid w:val="005A2252"/>
    <w:rsid w:val="005A3A0D"/>
    <w:rsid w:val="005A6B33"/>
    <w:rsid w:val="005B03D3"/>
    <w:rsid w:val="005B0983"/>
    <w:rsid w:val="005B1B07"/>
    <w:rsid w:val="005B4A38"/>
    <w:rsid w:val="005B516D"/>
    <w:rsid w:val="005B56E6"/>
    <w:rsid w:val="005B67D7"/>
    <w:rsid w:val="005B7469"/>
    <w:rsid w:val="005B7478"/>
    <w:rsid w:val="005C1083"/>
    <w:rsid w:val="005C25E6"/>
    <w:rsid w:val="005D0932"/>
    <w:rsid w:val="005D451D"/>
    <w:rsid w:val="005D73B0"/>
    <w:rsid w:val="005E01E8"/>
    <w:rsid w:val="005E063F"/>
    <w:rsid w:val="005E197A"/>
    <w:rsid w:val="005E23B8"/>
    <w:rsid w:val="005E3A41"/>
    <w:rsid w:val="005E56F4"/>
    <w:rsid w:val="005E6034"/>
    <w:rsid w:val="005E62A4"/>
    <w:rsid w:val="005E72FC"/>
    <w:rsid w:val="005E74EA"/>
    <w:rsid w:val="005F2DF9"/>
    <w:rsid w:val="005F73C5"/>
    <w:rsid w:val="00601957"/>
    <w:rsid w:val="006031AD"/>
    <w:rsid w:val="006035C5"/>
    <w:rsid w:val="0060473F"/>
    <w:rsid w:val="00604892"/>
    <w:rsid w:val="006062A4"/>
    <w:rsid w:val="00606BD3"/>
    <w:rsid w:val="00607A93"/>
    <w:rsid w:val="006110E2"/>
    <w:rsid w:val="006114F4"/>
    <w:rsid w:val="00612479"/>
    <w:rsid w:val="006128A7"/>
    <w:rsid w:val="0061294C"/>
    <w:rsid w:val="0061438E"/>
    <w:rsid w:val="0061704F"/>
    <w:rsid w:val="006219EE"/>
    <w:rsid w:val="00622598"/>
    <w:rsid w:val="00622828"/>
    <w:rsid w:val="00622E1B"/>
    <w:rsid w:val="00622F9D"/>
    <w:rsid w:val="00624436"/>
    <w:rsid w:val="00625DD3"/>
    <w:rsid w:val="0063087F"/>
    <w:rsid w:val="006334EA"/>
    <w:rsid w:val="00633633"/>
    <w:rsid w:val="00634BB9"/>
    <w:rsid w:val="00637308"/>
    <w:rsid w:val="006442F8"/>
    <w:rsid w:val="006458DD"/>
    <w:rsid w:val="00646233"/>
    <w:rsid w:val="0064635D"/>
    <w:rsid w:val="00646A21"/>
    <w:rsid w:val="00646BEA"/>
    <w:rsid w:val="00647382"/>
    <w:rsid w:val="006504C7"/>
    <w:rsid w:val="0065067A"/>
    <w:rsid w:val="006547E2"/>
    <w:rsid w:val="0065575C"/>
    <w:rsid w:val="00657CF0"/>
    <w:rsid w:val="006605EE"/>
    <w:rsid w:val="00660D3E"/>
    <w:rsid w:val="0066107C"/>
    <w:rsid w:val="00662A37"/>
    <w:rsid w:val="00666729"/>
    <w:rsid w:val="00666BA0"/>
    <w:rsid w:val="0067016D"/>
    <w:rsid w:val="00671DC9"/>
    <w:rsid w:val="006737D7"/>
    <w:rsid w:val="00674CE5"/>
    <w:rsid w:val="00674E8D"/>
    <w:rsid w:val="00675878"/>
    <w:rsid w:val="00676517"/>
    <w:rsid w:val="00676684"/>
    <w:rsid w:val="00676B0C"/>
    <w:rsid w:val="00682F16"/>
    <w:rsid w:val="006833B1"/>
    <w:rsid w:val="00683AA9"/>
    <w:rsid w:val="00685467"/>
    <w:rsid w:val="00685D98"/>
    <w:rsid w:val="006864FC"/>
    <w:rsid w:val="006928C2"/>
    <w:rsid w:val="0069317E"/>
    <w:rsid w:val="00693A9F"/>
    <w:rsid w:val="00695EC0"/>
    <w:rsid w:val="00696722"/>
    <w:rsid w:val="0069698F"/>
    <w:rsid w:val="00697CB4"/>
    <w:rsid w:val="006A0F90"/>
    <w:rsid w:val="006A27A8"/>
    <w:rsid w:val="006A3412"/>
    <w:rsid w:val="006A4676"/>
    <w:rsid w:val="006A5EEE"/>
    <w:rsid w:val="006B083C"/>
    <w:rsid w:val="006B204B"/>
    <w:rsid w:val="006B20A1"/>
    <w:rsid w:val="006B38D0"/>
    <w:rsid w:val="006B3ECA"/>
    <w:rsid w:val="006B551F"/>
    <w:rsid w:val="006B787E"/>
    <w:rsid w:val="006C00FC"/>
    <w:rsid w:val="006C023C"/>
    <w:rsid w:val="006C02BA"/>
    <w:rsid w:val="006C0389"/>
    <w:rsid w:val="006C105F"/>
    <w:rsid w:val="006C3757"/>
    <w:rsid w:val="006C3953"/>
    <w:rsid w:val="006C3D68"/>
    <w:rsid w:val="006C3ECD"/>
    <w:rsid w:val="006C60E0"/>
    <w:rsid w:val="006D0CE1"/>
    <w:rsid w:val="006D17E4"/>
    <w:rsid w:val="006D2B0E"/>
    <w:rsid w:val="006D2D97"/>
    <w:rsid w:val="006D5335"/>
    <w:rsid w:val="006D7CA5"/>
    <w:rsid w:val="006E03CB"/>
    <w:rsid w:val="006E104E"/>
    <w:rsid w:val="006E2D35"/>
    <w:rsid w:val="006E3001"/>
    <w:rsid w:val="006E3B97"/>
    <w:rsid w:val="006E3DF1"/>
    <w:rsid w:val="006E4074"/>
    <w:rsid w:val="006F3BB7"/>
    <w:rsid w:val="006F56DA"/>
    <w:rsid w:val="006F6206"/>
    <w:rsid w:val="006F63B6"/>
    <w:rsid w:val="006F792B"/>
    <w:rsid w:val="006F7B2F"/>
    <w:rsid w:val="00701418"/>
    <w:rsid w:val="00705130"/>
    <w:rsid w:val="00707812"/>
    <w:rsid w:val="00710885"/>
    <w:rsid w:val="00711186"/>
    <w:rsid w:val="00711730"/>
    <w:rsid w:val="0071237D"/>
    <w:rsid w:val="00713622"/>
    <w:rsid w:val="0072087E"/>
    <w:rsid w:val="00722069"/>
    <w:rsid w:val="007253F3"/>
    <w:rsid w:val="00726623"/>
    <w:rsid w:val="00727A82"/>
    <w:rsid w:val="00731698"/>
    <w:rsid w:val="00733892"/>
    <w:rsid w:val="00734CD5"/>
    <w:rsid w:val="00734EB0"/>
    <w:rsid w:val="0074228E"/>
    <w:rsid w:val="00742993"/>
    <w:rsid w:val="00743B79"/>
    <w:rsid w:val="00751ECE"/>
    <w:rsid w:val="007523EB"/>
    <w:rsid w:val="00753772"/>
    <w:rsid w:val="00755603"/>
    <w:rsid w:val="00755CC4"/>
    <w:rsid w:val="00756C76"/>
    <w:rsid w:val="00757E66"/>
    <w:rsid w:val="00757EEC"/>
    <w:rsid w:val="0076151F"/>
    <w:rsid w:val="0076216B"/>
    <w:rsid w:val="00762C6B"/>
    <w:rsid w:val="00762F38"/>
    <w:rsid w:val="00764B20"/>
    <w:rsid w:val="00764CC1"/>
    <w:rsid w:val="007654F2"/>
    <w:rsid w:val="00767CA6"/>
    <w:rsid w:val="00776054"/>
    <w:rsid w:val="00776FA8"/>
    <w:rsid w:val="00777DC1"/>
    <w:rsid w:val="007802EB"/>
    <w:rsid w:val="007821BD"/>
    <w:rsid w:val="00782A17"/>
    <w:rsid w:val="007842F2"/>
    <w:rsid w:val="007866B9"/>
    <w:rsid w:val="00786AAA"/>
    <w:rsid w:val="00786BD5"/>
    <w:rsid w:val="00786E2C"/>
    <w:rsid w:val="0079099E"/>
    <w:rsid w:val="0079137E"/>
    <w:rsid w:val="0079439E"/>
    <w:rsid w:val="00794D82"/>
    <w:rsid w:val="00795030"/>
    <w:rsid w:val="00796525"/>
    <w:rsid w:val="0079712C"/>
    <w:rsid w:val="007A1405"/>
    <w:rsid w:val="007A27DE"/>
    <w:rsid w:val="007A2902"/>
    <w:rsid w:val="007A3F16"/>
    <w:rsid w:val="007A4197"/>
    <w:rsid w:val="007A45C5"/>
    <w:rsid w:val="007A51C1"/>
    <w:rsid w:val="007A6625"/>
    <w:rsid w:val="007B05BD"/>
    <w:rsid w:val="007B0D10"/>
    <w:rsid w:val="007B16CC"/>
    <w:rsid w:val="007B2F7B"/>
    <w:rsid w:val="007B33C1"/>
    <w:rsid w:val="007B4CDA"/>
    <w:rsid w:val="007B5451"/>
    <w:rsid w:val="007B5B66"/>
    <w:rsid w:val="007B69B1"/>
    <w:rsid w:val="007B6D19"/>
    <w:rsid w:val="007B7536"/>
    <w:rsid w:val="007B7FF1"/>
    <w:rsid w:val="007C11FC"/>
    <w:rsid w:val="007C1330"/>
    <w:rsid w:val="007C1CAC"/>
    <w:rsid w:val="007C4F44"/>
    <w:rsid w:val="007C6B03"/>
    <w:rsid w:val="007D0F47"/>
    <w:rsid w:val="007D435B"/>
    <w:rsid w:val="007D4715"/>
    <w:rsid w:val="007D51A9"/>
    <w:rsid w:val="007D643A"/>
    <w:rsid w:val="007D661D"/>
    <w:rsid w:val="007D6ABB"/>
    <w:rsid w:val="007D7183"/>
    <w:rsid w:val="007E1B82"/>
    <w:rsid w:val="007E3264"/>
    <w:rsid w:val="007E32E2"/>
    <w:rsid w:val="007E5C10"/>
    <w:rsid w:val="007F051D"/>
    <w:rsid w:val="007F1B9D"/>
    <w:rsid w:val="007F1DF7"/>
    <w:rsid w:val="007F22CC"/>
    <w:rsid w:val="007F2D65"/>
    <w:rsid w:val="007F3847"/>
    <w:rsid w:val="007F4519"/>
    <w:rsid w:val="007F4794"/>
    <w:rsid w:val="007F724C"/>
    <w:rsid w:val="00801103"/>
    <w:rsid w:val="008013B4"/>
    <w:rsid w:val="008020B4"/>
    <w:rsid w:val="00802ED4"/>
    <w:rsid w:val="00803527"/>
    <w:rsid w:val="00803A07"/>
    <w:rsid w:val="00804240"/>
    <w:rsid w:val="0080546F"/>
    <w:rsid w:val="00810272"/>
    <w:rsid w:val="00811E08"/>
    <w:rsid w:val="008140A8"/>
    <w:rsid w:val="00820534"/>
    <w:rsid w:val="00822328"/>
    <w:rsid w:val="00822660"/>
    <w:rsid w:val="00824A80"/>
    <w:rsid w:val="00825283"/>
    <w:rsid w:val="00825821"/>
    <w:rsid w:val="0082601E"/>
    <w:rsid w:val="0082627D"/>
    <w:rsid w:val="00826345"/>
    <w:rsid w:val="00827FAF"/>
    <w:rsid w:val="008318CD"/>
    <w:rsid w:val="00831E91"/>
    <w:rsid w:val="00832782"/>
    <w:rsid w:val="008327B6"/>
    <w:rsid w:val="00832FAD"/>
    <w:rsid w:val="0083424A"/>
    <w:rsid w:val="0083449C"/>
    <w:rsid w:val="00834878"/>
    <w:rsid w:val="00834BFA"/>
    <w:rsid w:val="00835073"/>
    <w:rsid w:val="0083521F"/>
    <w:rsid w:val="00840F1D"/>
    <w:rsid w:val="00840FC8"/>
    <w:rsid w:val="008459CF"/>
    <w:rsid w:val="00846B34"/>
    <w:rsid w:val="00846EC1"/>
    <w:rsid w:val="00847220"/>
    <w:rsid w:val="00850A12"/>
    <w:rsid w:val="008510CD"/>
    <w:rsid w:val="00852070"/>
    <w:rsid w:val="00852655"/>
    <w:rsid w:val="00852811"/>
    <w:rsid w:val="00852CD4"/>
    <w:rsid w:val="00855B9D"/>
    <w:rsid w:val="0085673A"/>
    <w:rsid w:val="008602D6"/>
    <w:rsid w:val="00860FA7"/>
    <w:rsid w:val="00863101"/>
    <w:rsid w:val="008633F5"/>
    <w:rsid w:val="008648E7"/>
    <w:rsid w:val="00865AE3"/>
    <w:rsid w:val="0087062A"/>
    <w:rsid w:val="00871569"/>
    <w:rsid w:val="008739D2"/>
    <w:rsid w:val="00874351"/>
    <w:rsid w:val="00874BA4"/>
    <w:rsid w:val="0087660A"/>
    <w:rsid w:val="008777A8"/>
    <w:rsid w:val="008819E6"/>
    <w:rsid w:val="00891068"/>
    <w:rsid w:val="008926D8"/>
    <w:rsid w:val="00892966"/>
    <w:rsid w:val="00892AEE"/>
    <w:rsid w:val="00893096"/>
    <w:rsid w:val="00893131"/>
    <w:rsid w:val="00893659"/>
    <w:rsid w:val="00896A26"/>
    <w:rsid w:val="00896EB6"/>
    <w:rsid w:val="008A18D3"/>
    <w:rsid w:val="008A2103"/>
    <w:rsid w:val="008A49C4"/>
    <w:rsid w:val="008A4E51"/>
    <w:rsid w:val="008A5495"/>
    <w:rsid w:val="008A71F6"/>
    <w:rsid w:val="008B1188"/>
    <w:rsid w:val="008B1D9B"/>
    <w:rsid w:val="008B2200"/>
    <w:rsid w:val="008B2F03"/>
    <w:rsid w:val="008B35CA"/>
    <w:rsid w:val="008B390E"/>
    <w:rsid w:val="008B4139"/>
    <w:rsid w:val="008B51A4"/>
    <w:rsid w:val="008B70C2"/>
    <w:rsid w:val="008B71DD"/>
    <w:rsid w:val="008B7361"/>
    <w:rsid w:val="008B78EF"/>
    <w:rsid w:val="008C0F97"/>
    <w:rsid w:val="008C1B09"/>
    <w:rsid w:val="008C2716"/>
    <w:rsid w:val="008C6C1B"/>
    <w:rsid w:val="008C7D9E"/>
    <w:rsid w:val="008D002A"/>
    <w:rsid w:val="008D04E1"/>
    <w:rsid w:val="008D236F"/>
    <w:rsid w:val="008D4038"/>
    <w:rsid w:val="008D415A"/>
    <w:rsid w:val="008D4F08"/>
    <w:rsid w:val="008D6B27"/>
    <w:rsid w:val="008E514A"/>
    <w:rsid w:val="008E63B1"/>
    <w:rsid w:val="008E6672"/>
    <w:rsid w:val="008E751D"/>
    <w:rsid w:val="008F16B3"/>
    <w:rsid w:val="008F2F86"/>
    <w:rsid w:val="008F5C31"/>
    <w:rsid w:val="008F636C"/>
    <w:rsid w:val="008F6C82"/>
    <w:rsid w:val="008F7AD0"/>
    <w:rsid w:val="00901405"/>
    <w:rsid w:val="00902256"/>
    <w:rsid w:val="009023A4"/>
    <w:rsid w:val="00902A61"/>
    <w:rsid w:val="0091045D"/>
    <w:rsid w:val="009114A7"/>
    <w:rsid w:val="00913458"/>
    <w:rsid w:val="009148E8"/>
    <w:rsid w:val="0091537F"/>
    <w:rsid w:val="00915DF6"/>
    <w:rsid w:val="00917501"/>
    <w:rsid w:val="00917529"/>
    <w:rsid w:val="00920AE9"/>
    <w:rsid w:val="00920D9B"/>
    <w:rsid w:val="00930267"/>
    <w:rsid w:val="0093061E"/>
    <w:rsid w:val="00932058"/>
    <w:rsid w:val="009324A6"/>
    <w:rsid w:val="00934436"/>
    <w:rsid w:val="009362A1"/>
    <w:rsid w:val="00936FAA"/>
    <w:rsid w:val="009409FF"/>
    <w:rsid w:val="0094299E"/>
    <w:rsid w:val="0094486A"/>
    <w:rsid w:val="0094497B"/>
    <w:rsid w:val="009500B2"/>
    <w:rsid w:val="00950340"/>
    <w:rsid w:val="00951165"/>
    <w:rsid w:val="00951DF8"/>
    <w:rsid w:val="00954CB5"/>
    <w:rsid w:val="00954E01"/>
    <w:rsid w:val="0095515D"/>
    <w:rsid w:val="009558F1"/>
    <w:rsid w:val="00960C88"/>
    <w:rsid w:val="009623D9"/>
    <w:rsid w:val="009650E0"/>
    <w:rsid w:val="00965C39"/>
    <w:rsid w:val="00966686"/>
    <w:rsid w:val="00966A24"/>
    <w:rsid w:val="00967804"/>
    <w:rsid w:val="00970DA0"/>
    <w:rsid w:val="00975173"/>
    <w:rsid w:val="009760FC"/>
    <w:rsid w:val="00977A8A"/>
    <w:rsid w:val="00977FED"/>
    <w:rsid w:val="00980531"/>
    <w:rsid w:val="00980EA4"/>
    <w:rsid w:val="00982D6B"/>
    <w:rsid w:val="009835C1"/>
    <w:rsid w:val="0098378C"/>
    <w:rsid w:val="00984C85"/>
    <w:rsid w:val="009854C4"/>
    <w:rsid w:val="0098561F"/>
    <w:rsid w:val="00986A8F"/>
    <w:rsid w:val="00990BFC"/>
    <w:rsid w:val="009916DF"/>
    <w:rsid w:val="00991D8F"/>
    <w:rsid w:val="00992C13"/>
    <w:rsid w:val="00995987"/>
    <w:rsid w:val="00995B57"/>
    <w:rsid w:val="00996332"/>
    <w:rsid w:val="009A0A72"/>
    <w:rsid w:val="009A1310"/>
    <w:rsid w:val="009A24A5"/>
    <w:rsid w:val="009A2FFD"/>
    <w:rsid w:val="009A3034"/>
    <w:rsid w:val="009A3986"/>
    <w:rsid w:val="009A60C9"/>
    <w:rsid w:val="009A75B1"/>
    <w:rsid w:val="009B0A4B"/>
    <w:rsid w:val="009B0F75"/>
    <w:rsid w:val="009B13A6"/>
    <w:rsid w:val="009B3371"/>
    <w:rsid w:val="009B4A41"/>
    <w:rsid w:val="009B564B"/>
    <w:rsid w:val="009B63F1"/>
    <w:rsid w:val="009B67FF"/>
    <w:rsid w:val="009B7111"/>
    <w:rsid w:val="009C05A3"/>
    <w:rsid w:val="009C104E"/>
    <w:rsid w:val="009C1D5E"/>
    <w:rsid w:val="009C2398"/>
    <w:rsid w:val="009C2825"/>
    <w:rsid w:val="009C361C"/>
    <w:rsid w:val="009C3CF9"/>
    <w:rsid w:val="009C5279"/>
    <w:rsid w:val="009C60F2"/>
    <w:rsid w:val="009C6BBE"/>
    <w:rsid w:val="009D0459"/>
    <w:rsid w:val="009D2BFC"/>
    <w:rsid w:val="009D4628"/>
    <w:rsid w:val="009D4AA4"/>
    <w:rsid w:val="009D4F22"/>
    <w:rsid w:val="009D69F5"/>
    <w:rsid w:val="009D7C1E"/>
    <w:rsid w:val="009E0074"/>
    <w:rsid w:val="009E1AE5"/>
    <w:rsid w:val="009E210F"/>
    <w:rsid w:val="009E2C10"/>
    <w:rsid w:val="009E445F"/>
    <w:rsid w:val="009E4856"/>
    <w:rsid w:val="009E6C8D"/>
    <w:rsid w:val="009E75E3"/>
    <w:rsid w:val="009F15D9"/>
    <w:rsid w:val="009F16FF"/>
    <w:rsid w:val="009F2611"/>
    <w:rsid w:val="009F2796"/>
    <w:rsid w:val="009F2C82"/>
    <w:rsid w:val="009F3B94"/>
    <w:rsid w:val="009F520A"/>
    <w:rsid w:val="009F62FF"/>
    <w:rsid w:val="00A0005F"/>
    <w:rsid w:val="00A032B9"/>
    <w:rsid w:val="00A03C9A"/>
    <w:rsid w:val="00A06C0A"/>
    <w:rsid w:val="00A10779"/>
    <w:rsid w:val="00A107DB"/>
    <w:rsid w:val="00A13574"/>
    <w:rsid w:val="00A14356"/>
    <w:rsid w:val="00A14A2A"/>
    <w:rsid w:val="00A16382"/>
    <w:rsid w:val="00A169A9"/>
    <w:rsid w:val="00A16D31"/>
    <w:rsid w:val="00A21693"/>
    <w:rsid w:val="00A22A98"/>
    <w:rsid w:val="00A2511E"/>
    <w:rsid w:val="00A30CA3"/>
    <w:rsid w:val="00A31DD5"/>
    <w:rsid w:val="00A31F7C"/>
    <w:rsid w:val="00A32330"/>
    <w:rsid w:val="00A32B44"/>
    <w:rsid w:val="00A34A85"/>
    <w:rsid w:val="00A36400"/>
    <w:rsid w:val="00A40BBD"/>
    <w:rsid w:val="00A41B9B"/>
    <w:rsid w:val="00A41C36"/>
    <w:rsid w:val="00A421A2"/>
    <w:rsid w:val="00A426A5"/>
    <w:rsid w:val="00A43AF6"/>
    <w:rsid w:val="00A43D7D"/>
    <w:rsid w:val="00A462D3"/>
    <w:rsid w:val="00A465A4"/>
    <w:rsid w:val="00A47277"/>
    <w:rsid w:val="00A50E8E"/>
    <w:rsid w:val="00A51A49"/>
    <w:rsid w:val="00A532BA"/>
    <w:rsid w:val="00A53967"/>
    <w:rsid w:val="00A53DBF"/>
    <w:rsid w:val="00A5595C"/>
    <w:rsid w:val="00A61824"/>
    <w:rsid w:val="00A61ABB"/>
    <w:rsid w:val="00A62CE6"/>
    <w:rsid w:val="00A62D4C"/>
    <w:rsid w:val="00A63D4C"/>
    <w:rsid w:val="00A63DEE"/>
    <w:rsid w:val="00A6438B"/>
    <w:rsid w:val="00A64B6B"/>
    <w:rsid w:val="00A6663A"/>
    <w:rsid w:val="00A673C2"/>
    <w:rsid w:val="00A67A9E"/>
    <w:rsid w:val="00A67AD2"/>
    <w:rsid w:val="00A67F91"/>
    <w:rsid w:val="00A72D61"/>
    <w:rsid w:val="00A76354"/>
    <w:rsid w:val="00A76357"/>
    <w:rsid w:val="00A77047"/>
    <w:rsid w:val="00A77A9A"/>
    <w:rsid w:val="00A806C9"/>
    <w:rsid w:val="00A80DFA"/>
    <w:rsid w:val="00A81C1E"/>
    <w:rsid w:val="00A836BC"/>
    <w:rsid w:val="00A83718"/>
    <w:rsid w:val="00A849C6"/>
    <w:rsid w:val="00A85F01"/>
    <w:rsid w:val="00A85F0D"/>
    <w:rsid w:val="00A86E63"/>
    <w:rsid w:val="00A86F2F"/>
    <w:rsid w:val="00A87232"/>
    <w:rsid w:val="00A911B0"/>
    <w:rsid w:val="00A913C6"/>
    <w:rsid w:val="00A91685"/>
    <w:rsid w:val="00A91A5A"/>
    <w:rsid w:val="00A9508C"/>
    <w:rsid w:val="00A950E6"/>
    <w:rsid w:val="00A95E0D"/>
    <w:rsid w:val="00A96248"/>
    <w:rsid w:val="00A964B3"/>
    <w:rsid w:val="00A97316"/>
    <w:rsid w:val="00A97476"/>
    <w:rsid w:val="00AA1DF4"/>
    <w:rsid w:val="00AA2360"/>
    <w:rsid w:val="00AA24DA"/>
    <w:rsid w:val="00AA36B4"/>
    <w:rsid w:val="00AA3AC5"/>
    <w:rsid w:val="00AA6FDD"/>
    <w:rsid w:val="00AB19D4"/>
    <w:rsid w:val="00AB2F69"/>
    <w:rsid w:val="00AB470C"/>
    <w:rsid w:val="00AB49C5"/>
    <w:rsid w:val="00AB6DEB"/>
    <w:rsid w:val="00AB7ABC"/>
    <w:rsid w:val="00AC0B25"/>
    <w:rsid w:val="00AC2B73"/>
    <w:rsid w:val="00AC3233"/>
    <w:rsid w:val="00AC47CA"/>
    <w:rsid w:val="00AC4919"/>
    <w:rsid w:val="00AC56D2"/>
    <w:rsid w:val="00AC57C5"/>
    <w:rsid w:val="00AC6323"/>
    <w:rsid w:val="00AD0351"/>
    <w:rsid w:val="00AD07A1"/>
    <w:rsid w:val="00AD1AA0"/>
    <w:rsid w:val="00AD610F"/>
    <w:rsid w:val="00AD65F8"/>
    <w:rsid w:val="00AE0C27"/>
    <w:rsid w:val="00AE144D"/>
    <w:rsid w:val="00AE2E6E"/>
    <w:rsid w:val="00AE300F"/>
    <w:rsid w:val="00AE4EE4"/>
    <w:rsid w:val="00AF4DD7"/>
    <w:rsid w:val="00AF5E33"/>
    <w:rsid w:val="00AF6123"/>
    <w:rsid w:val="00B00013"/>
    <w:rsid w:val="00B0022E"/>
    <w:rsid w:val="00B00254"/>
    <w:rsid w:val="00B01BCD"/>
    <w:rsid w:val="00B01E17"/>
    <w:rsid w:val="00B0411D"/>
    <w:rsid w:val="00B045BE"/>
    <w:rsid w:val="00B04C2F"/>
    <w:rsid w:val="00B053F8"/>
    <w:rsid w:val="00B06B13"/>
    <w:rsid w:val="00B06E22"/>
    <w:rsid w:val="00B11D25"/>
    <w:rsid w:val="00B12011"/>
    <w:rsid w:val="00B120CB"/>
    <w:rsid w:val="00B122A8"/>
    <w:rsid w:val="00B122D3"/>
    <w:rsid w:val="00B12FDA"/>
    <w:rsid w:val="00B13BF7"/>
    <w:rsid w:val="00B149FB"/>
    <w:rsid w:val="00B16192"/>
    <w:rsid w:val="00B22B1E"/>
    <w:rsid w:val="00B247EA"/>
    <w:rsid w:val="00B25507"/>
    <w:rsid w:val="00B2588A"/>
    <w:rsid w:val="00B3077A"/>
    <w:rsid w:val="00B310DD"/>
    <w:rsid w:val="00B34D31"/>
    <w:rsid w:val="00B3512E"/>
    <w:rsid w:val="00B35512"/>
    <w:rsid w:val="00B40FE2"/>
    <w:rsid w:val="00B41682"/>
    <w:rsid w:val="00B43BFD"/>
    <w:rsid w:val="00B46F0F"/>
    <w:rsid w:val="00B47905"/>
    <w:rsid w:val="00B513D2"/>
    <w:rsid w:val="00B5287E"/>
    <w:rsid w:val="00B5514C"/>
    <w:rsid w:val="00B572AE"/>
    <w:rsid w:val="00B57D5F"/>
    <w:rsid w:val="00B60BE4"/>
    <w:rsid w:val="00B617B8"/>
    <w:rsid w:val="00B61A91"/>
    <w:rsid w:val="00B63AFC"/>
    <w:rsid w:val="00B64379"/>
    <w:rsid w:val="00B70072"/>
    <w:rsid w:val="00B7052A"/>
    <w:rsid w:val="00B718A1"/>
    <w:rsid w:val="00B7236E"/>
    <w:rsid w:val="00B72683"/>
    <w:rsid w:val="00B73483"/>
    <w:rsid w:val="00B752E0"/>
    <w:rsid w:val="00B8481F"/>
    <w:rsid w:val="00B850CB"/>
    <w:rsid w:val="00B851D3"/>
    <w:rsid w:val="00B85712"/>
    <w:rsid w:val="00B90708"/>
    <w:rsid w:val="00B91047"/>
    <w:rsid w:val="00B91757"/>
    <w:rsid w:val="00B9210B"/>
    <w:rsid w:val="00B94A9F"/>
    <w:rsid w:val="00BA0EE2"/>
    <w:rsid w:val="00BA2635"/>
    <w:rsid w:val="00BA5301"/>
    <w:rsid w:val="00BA6817"/>
    <w:rsid w:val="00BA7762"/>
    <w:rsid w:val="00BA7BD0"/>
    <w:rsid w:val="00BB0BC9"/>
    <w:rsid w:val="00BB4AC8"/>
    <w:rsid w:val="00BB5172"/>
    <w:rsid w:val="00BB5853"/>
    <w:rsid w:val="00BB73DF"/>
    <w:rsid w:val="00BC1127"/>
    <w:rsid w:val="00BC4281"/>
    <w:rsid w:val="00BC4688"/>
    <w:rsid w:val="00BC6274"/>
    <w:rsid w:val="00BC69DC"/>
    <w:rsid w:val="00BC7A12"/>
    <w:rsid w:val="00BD0572"/>
    <w:rsid w:val="00BD07F4"/>
    <w:rsid w:val="00BD147D"/>
    <w:rsid w:val="00BD2243"/>
    <w:rsid w:val="00BD33A9"/>
    <w:rsid w:val="00BD3B94"/>
    <w:rsid w:val="00BD3F49"/>
    <w:rsid w:val="00BD4CEE"/>
    <w:rsid w:val="00BD6660"/>
    <w:rsid w:val="00BD6C6C"/>
    <w:rsid w:val="00BD6D8D"/>
    <w:rsid w:val="00BD7062"/>
    <w:rsid w:val="00BE097B"/>
    <w:rsid w:val="00BE18DD"/>
    <w:rsid w:val="00BE2FF0"/>
    <w:rsid w:val="00BE6AD8"/>
    <w:rsid w:val="00BE6C27"/>
    <w:rsid w:val="00BF20CD"/>
    <w:rsid w:val="00BF3301"/>
    <w:rsid w:val="00BF4243"/>
    <w:rsid w:val="00BF4687"/>
    <w:rsid w:val="00BF4907"/>
    <w:rsid w:val="00BF4D71"/>
    <w:rsid w:val="00BF53E0"/>
    <w:rsid w:val="00BF5815"/>
    <w:rsid w:val="00BF6085"/>
    <w:rsid w:val="00BF6F9A"/>
    <w:rsid w:val="00C01566"/>
    <w:rsid w:val="00C0231E"/>
    <w:rsid w:val="00C04858"/>
    <w:rsid w:val="00C07953"/>
    <w:rsid w:val="00C10A67"/>
    <w:rsid w:val="00C158FA"/>
    <w:rsid w:val="00C15F58"/>
    <w:rsid w:val="00C1660C"/>
    <w:rsid w:val="00C23248"/>
    <w:rsid w:val="00C302C4"/>
    <w:rsid w:val="00C30FDF"/>
    <w:rsid w:val="00C314CD"/>
    <w:rsid w:val="00C32356"/>
    <w:rsid w:val="00C375C3"/>
    <w:rsid w:val="00C406AE"/>
    <w:rsid w:val="00C43B7C"/>
    <w:rsid w:val="00C43CAB"/>
    <w:rsid w:val="00C44A7C"/>
    <w:rsid w:val="00C46CD5"/>
    <w:rsid w:val="00C51F0E"/>
    <w:rsid w:val="00C52420"/>
    <w:rsid w:val="00C52E5B"/>
    <w:rsid w:val="00C53E58"/>
    <w:rsid w:val="00C57AF0"/>
    <w:rsid w:val="00C60021"/>
    <w:rsid w:val="00C60EBB"/>
    <w:rsid w:val="00C61077"/>
    <w:rsid w:val="00C61EA6"/>
    <w:rsid w:val="00C61FB4"/>
    <w:rsid w:val="00C65CA3"/>
    <w:rsid w:val="00C6642F"/>
    <w:rsid w:val="00C66995"/>
    <w:rsid w:val="00C754E2"/>
    <w:rsid w:val="00C75E5F"/>
    <w:rsid w:val="00C7668A"/>
    <w:rsid w:val="00C77633"/>
    <w:rsid w:val="00C820B1"/>
    <w:rsid w:val="00C91966"/>
    <w:rsid w:val="00C91C11"/>
    <w:rsid w:val="00C92926"/>
    <w:rsid w:val="00C94740"/>
    <w:rsid w:val="00C948FA"/>
    <w:rsid w:val="00C954C1"/>
    <w:rsid w:val="00C9697E"/>
    <w:rsid w:val="00C974EB"/>
    <w:rsid w:val="00CA18C1"/>
    <w:rsid w:val="00CA1A89"/>
    <w:rsid w:val="00CA60AC"/>
    <w:rsid w:val="00CA6E46"/>
    <w:rsid w:val="00CA794C"/>
    <w:rsid w:val="00CA7E3A"/>
    <w:rsid w:val="00CB0A5B"/>
    <w:rsid w:val="00CB0D6C"/>
    <w:rsid w:val="00CB25E8"/>
    <w:rsid w:val="00CB2915"/>
    <w:rsid w:val="00CB2E04"/>
    <w:rsid w:val="00CB2E3B"/>
    <w:rsid w:val="00CB5678"/>
    <w:rsid w:val="00CB5E76"/>
    <w:rsid w:val="00CB6BF8"/>
    <w:rsid w:val="00CB6EA8"/>
    <w:rsid w:val="00CC4CF0"/>
    <w:rsid w:val="00CC5278"/>
    <w:rsid w:val="00CC605E"/>
    <w:rsid w:val="00CC6D15"/>
    <w:rsid w:val="00CD3150"/>
    <w:rsid w:val="00CD4887"/>
    <w:rsid w:val="00CD54E3"/>
    <w:rsid w:val="00CD79B6"/>
    <w:rsid w:val="00CE12A5"/>
    <w:rsid w:val="00CE1B6D"/>
    <w:rsid w:val="00CE1E3F"/>
    <w:rsid w:val="00CE58C1"/>
    <w:rsid w:val="00CF0600"/>
    <w:rsid w:val="00CF062D"/>
    <w:rsid w:val="00CF0E59"/>
    <w:rsid w:val="00CF2538"/>
    <w:rsid w:val="00CF3254"/>
    <w:rsid w:val="00CF3A08"/>
    <w:rsid w:val="00CF3E49"/>
    <w:rsid w:val="00CF49E2"/>
    <w:rsid w:val="00CF51ED"/>
    <w:rsid w:val="00CF6B29"/>
    <w:rsid w:val="00CF7DC8"/>
    <w:rsid w:val="00D00B7E"/>
    <w:rsid w:val="00D00DA1"/>
    <w:rsid w:val="00D025A9"/>
    <w:rsid w:val="00D02B60"/>
    <w:rsid w:val="00D036C1"/>
    <w:rsid w:val="00D04DC2"/>
    <w:rsid w:val="00D06970"/>
    <w:rsid w:val="00D076C4"/>
    <w:rsid w:val="00D103E9"/>
    <w:rsid w:val="00D1135A"/>
    <w:rsid w:val="00D118A1"/>
    <w:rsid w:val="00D124D4"/>
    <w:rsid w:val="00D14172"/>
    <w:rsid w:val="00D1425A"/>
    <w:rsid w:val="00D1575A"/>
    <w:rsid w:val="00D15C8A"/>
    <w:rsid w:val="00D20877"/>
    <w:rsid w:val="00D208DA"/>
    <w:rsid w:val="00D2099F"/>
    <w:rsid w:val="00D233A5"/>
    <w:rsid w:val="00D23DFA"/>
    <w:rsid w:val="00D257C4"/>
    <w:rsid w:val="00D274ED"/>
    <w:rsid w:val="00D30723"/>
    <w:rsid w:val="00D32800"/>
    <w:rsid w:val="00D34913"/>
    <w:rsid w:val="00D35580"/>
    <w:rsid w:val="00D3795C"/>
    <w:rsid w:val="00D37A51"/>
    <w:rsid w:val="00D37D1A"/>
    <w:rsid w:val="00D40165"/>
    <w:rsid w:val="00D4138C"/>
    <w:rsid w:val="00D42917"/>
    <w:rsid w:val="00D4356D"/>
    <w:rsid w:val="00D43ABE"/>
    <w:rsid w:val="00D50A7C"/>
    <w:rsid w:val="00D50CCB"/>
    <w:rsid w:val="00D51290"/>
    <w:rsid w:val="00D512BD"/>
    <w:rsid w:val="00D51771"/>
    <w:rsid w:val="00D52187"/>
    <w:rsid w:val="00D528CA"/>
    <w:rsid w:val="00D52AF6"/>
    <w:rsid w:val="00D535D1"/>
    <w:rsid w:val="00D551D1"/>
    <w:rsid w:val="00D557C6"/>
    <w:rsid w:val="00D5693E"/>
    <w:rsid w:val="00D63BAC"/>
    <w:rsid w:val="00D64C7D"/>
    <w:rsid w:val="00D66073"/>
    <w:rsid w:val="00D674C2"/>
    <w:rsid w:val="00D674FF"/>
    <w:rsid w:val="00D7005F"/>
    <w:rsid w:val="00D706A6"/>
    <w:rsid w:val="00D7225D"/>
    <w:rsid w:val="00D74E71"/>
    <w:rsid w:val="00D77566"/>
    <w:rsid w:val="00D81B39"/>
    <w:rsid w:val="00D81CD7"/>
    <w:rsid w:val="00D85B12"/>
    <w:rsid w:val="00D876D7"/>
    <w:rsid w:val="00D87888"/>
    <w:rsid w:val="00D901B5"/>
    <w:rsid w:val="00D918C9"/>
    <w:rsid w:val="00D95DDE"/>
    <w:rsid w:val="00D97A12"/>
    <w:rsid w:val="00DA1E91"/>
    <w:rsid w:val="00DA2684"/>
    <w:rsid w:val="00DA528E"/>
    <w:rsid w:val="00DB0244"/>
    <w:rsid w:val="00DB14B8"/>
    <w:rsid w:val="00DB23BC"/>
    <w:rsid w:val="00DB2ECE"/>
    <w:rsid w:val="00DB3612"/>
    <w:rsid w:val="00DB472B"/>
    <w:rsid w:val="00DB4FE8"/>
    <w:rsid w:val="00DB6EA4"/>
    <w:rsid w:val="00DB797B"/>
    <w:rsid w:val="00DB7983"/>
    <w:rsid w:val="00DB7D5A"/>
    <w:rsid w:val="00DC01A4"/>
    <w:rsid w:val="00DC0E45"/>
    <w:rsid w:val="00DC14F8"/>
    <w:rsid w:val="00DC1B2E"/>
    <w:rsid w:val="00DC1CCE"/>
    <w:rsid w:val="00DC24A7"/>
    <w:rsid w:val="00DC3BB3"/>
    <w:rsid w:val="00DC6757"/>
    <w:rsid w:val="00DC6AE2"/>
    <w:rsid w:val="00DC74B2"/>
    <w:rsid w:val="00DC7FC5"/>
    <w:rsid w:val="00DD0C69"/>
    <w:rsid w:val="00DD109C"/>
    <w:rsid w:val="00DD20BF"/>
    <w:rsid w:val="00DD359D"/>
    <w:rsid w:val="00DD743F"/>
    <w:rsid w:val="00DE0324"/>
    <w:rsid w:val="00DE2AB2"/>
    <w:rsid w:val="00DE2AF2"/>
    <w:rsid w:val="00DE2B66"/>
    <w:rsid w:val="00DE5749"/>
    <w:rsid w:val="00DE5DE6"/>
    <w:rsid w:val="00DF0221"/>
    <w:rsid w:val="00DF02BF"/>
    <w:rsid w:val="00DF2856"/>
    <w:rsid w:val="00DF431D"/>
    <w:rsid w:val="00DF46D9"/>
    <w:rsid w:val="00DF4D51"/>
    <w:rsid w:val="00DF66A4"/>
    <w:rsid w:val="00E00E37"/>
    <w:rsid w:val="00E01EE8"/>
    <w:rsid w:val="00E02749"/>
    <w:rsid w:val="00E037AB"/>
    <w:rsid w:val="00E05B96"/>
    <w:rsid w:val="00E077F3"/>
    <w:rsid w:val="00E07962"/>
    <w:rsid w:val="00E10CDD"/>
    <w:rsid w:val="00E1140A"/>
    <w:rsid w:val="00E12334"/>
    <w:rsid w:val="00E128E0"/>
    <w:rsid w:val="00E15268"/>
    <w:rsid w:val="00E17643"/>
    <w:rsid w:val="00E205CB"/>
    <w:rsid w:val="00E210EF"/>
    <w:rsid w:val="00E21588"/>
    <w:rsid w:val="00E242A7"/>
    <w:rsid w:val="00E24794"/>
    <w:rsid w:val="00E2595B"/>
    <w:rsid w:val="00E27AD1"/>
    <w:rsid w:val="00E349CB"/>
    <w:rsid w:val="00E36239"/>
    <w:rsid w:val="00E37C27"/>
    <w:rsid w:val="00E404A9"/>
    <w:rsid w:val="00E41056"/>
    <w:rsid w:val="00E44012"/>
    <w:rsid w:val="00E446F5"/>
    <w:rsid w:val="00E50904"/>
    <w:rsid w:val="00E512CC"/>
    <w:rsid w:val="00E5485C"/>
    <w:rsid w:val="00E5702C"/>
    <w:rsid w:val="00E57E78"/>
    <w:rsid w:val="00E6060D"/>
    <w:rsid w:val="00E61211"/>
    <w:rsid w:val="00E61533"/>
    <w:rsid w:val="00E61C28"/>
    <w:rsid w:val="00E63A22"/>
    <w:rsid w:val="00E640EF"/>
    <w:rsid w:val="00E643FC"/>
    <w:rsid w:val="00E65551"/>
    <w:rsid w:val="00E6621F"/>
    <w:rsid w:val="00E66BA3"/>
    <w:rsid w:val="00E66D2F"/>
    <w:rsid w:val="00E75207"/>
    <w:rsid w:val="00E76286"/>
    <w:rsid w:val="00E777C0"/>
    <w:rsid w:val="00E77E37"/>
    <w:rsid w:val="00E80D12"/>
    <w:rsid w:val="00E82256"/>
    <w:rsid w:val="00E837BD"/>
    <w:rsid w:val="00E85309"/>
    <w:rsid w:val="00E86D20"/>
    <w:rsid w:val="00E877D9"/>
    <w:rsid w:val="00E877E6"/>
    <w:rsid w:val="00E901EB"/>
    <w:rsid w:val="00E9136E"/>
    <w:rsid w:val="00E9305B"/>
    <w:rsid w:val="00EA07F3"/>
    <w:rsid w:val="00EA0909"/>
    <w:rsid w:val="00EA0AD1"/>
    <w:rsid w:val="00EA159C"/>
    <w:rsid w:val="00EA16A1"/>
    <w:rsid w:val="00EA1866"/>
    <w:rsid w:val="00EA1DBF"/>
    <w:rsid w:val="00EA359A"/>
    <w:rsid w:val="00EA3770"/>
    <w:rsid w:val="00EA48FB"/>
    <w:rsid w:val="00EA557C"/>
    <w:rsid w:val="00EA59AA"/>
    <w:rsid w:val="00EB0F88"/>
    <w:rsid w:val="00EB1724"/>
    <w:rsid w:val="00EB27F1"/>
    <w:rsid w:val="00EB31D1"/>
    <w:rsid w:val="00EB49BA"/>
    <w:rsid w:val="00EB4AB0"/>
    <w:rsid w:val="00EB4CD2"/>
    <w:rsid w:val="00EB5E88"/>
    <w:rsid w:val="00EB7797"/>
    <w:rsid w:val="00EC01CA"/>
    <w:rsid w:val="00EC0251"/>
    <w:rsid w:val="00EC1AFF"/>
    <w:rsid w:val="00EC1D69"/>
    <w:rsid w:val="00EC2C3D"/>
    <w:rsid w:val="00EC4821"/>
    <w:rsid w:val="00EC4C98"/>
    <w:rsid w:val="00EC57AA"/>
    <w:rsid w:val="00EC5BDC"/>
    <w:rsid w:val="00EC75DB"/>
    <w:rsid w:val="00EC7B9A"/>
    <w:rsid w:val="00EC7BAB"/>
    <w:rsid w:val="00ED070D"/>
    <w:rsid w:val="00ED14DC"/>
    <w:rsid w:val="00ED1C74"/>
    <w:rsid w:val="00ED3216"/>
    <w:rsid w:val="00ED6640"/>
    <w:rsid w:val="00EE0DEA"/>
    <w:rsid w:val="00EE1D4A"/>
    <w:rsid w:val="00EE20B7"/>
    <w:rsid w:val="00EE20C4"/>
    <w:rsid w:val="00EE21F5"/>
    <w:rsid w:val="00EE3913"/>
    <w:rsid w:val="00EE4F55"/>
    <w:rsid w:val="00EE66C9"/>
    <w:rsid w:val="00EE6C42"/>
    <w:rsid w:val="00EE7144"/>
    <w:rsid w:val="00EF06B4"/>
    <w:rsid w:val="00EF0788"/>
    <w:rsid w:val="00EF38AC"/>
    <w:rsid w:val="00EF5158"/>
    <w:rsid w:val="00EF69D9"/>
    <w:rsid w:val="00EF71F6"/>
    <w:rsid w:val="00EF7C62"/>
    <w:rsid w:val="00EF7DB9"/>
    <w:rsid w:val="00F006EC"/>
    <w:rsid w:val="00F01079"/>
    <w:rsid w:val="00F025F3"/>
    <w:rsid w:val="00F03016"/>
    <w:rsid w:val="00F03125"/>
    <w:rsid w:val="00F07830"/>
    <w:rsid w:val="00F130E6"/>
    <w:rsid w:val="00F13D73"/>
    <w:rsid w:val="00F141C8"/>
    <w:rsid w:val="00F14B94"/>
    <w:rsid w:val="00F15235"/>
    <w:rsid w:val="00F16FC4"/>
    <w:rsid w:val="00F17D00"/>
    <w:rsid w:val="00F21C80"/>
    <w:rsid w:val="00F23403"/>
    <w:rsid w:val="00F24BC3"/>
    <w:rsid w:val="00F24E59"/>
    <w:rsid w:val="00F25AA5"/>
    <w:rsid w:val="00F25B91"/>
    <w:rsid w:val="00F25E61"/>
    <w:rsid w:val="00F2639F"/>
    <w:rsid w:val="00F266A5"/>
    <w:rsid w:val="00F271F3"/>
    <w:rsid w:val="00F27D56"/>
    <w:rsid w:val="00F27D78"/>
    <w:rsid w:val="00F336B5"/>
    <w:rsid w:val="00F36B73"/>
    <w:rsid w:val="00F40B04"/>
    <w:rsid w:val="00F41144"/>
    <w:rsid w:val="00F41E26"/>
    <w:rsid w:val="00F427E7"/>
    <w:rsid w:val="00F42E3D"/>
    <w:rsid w:val="00F42F5E"/>
    <w:rsid w:val="00F4305D"/>
    <w:rsid w:val="00F46113"/>
    <w:rsid w:val="00F46821"/>
    <w:rsid w:val="00F47B2D"/>
    <w:rsid w:val="00F53D9D"/>
    <w:rsid w:val="00F53EB7"/>
    <w:rsid w:val="00F55AD4"/>
    <w:rsid w:val="00F571F3"/>
    <w:rsid w:val="00F6238C"/>
    <w:rsid w:val="00F64321"/>
    <w:rsid w:val="00F66827"/>
    <w:rsid w:val="00F679C4"/>
    <w:rsid w:val="00F71229"/>
    <w:rsid w:val="00F7173F"/>
    <w:rsid w:val="00F75182"/>
    <w:rsid w:val="00F75C73"/>
    <w:rsid w:val="00F816CB"/>
    <w:rsid w:val="00F83D04"/>
    <w:rsid w:val="00F86156"/>
    <w:rsid w:val="00F87854"/>
    <w:rsid w:val="00F900F0"/>
    <w:rsid w:val="00F90480"/>
    <w:rsid w:val="00F909A3"/>
    <w:rsid w:val="00F90F20"/>
    <w:rsid w:val="00F921ED"/>
    <w:rsid w:val="00F9269A"/>
    <w:rsid w:val="00F92B24"/>
    <w:rsid w:val="00F92F48"/>
    <w:rsid w:val="00F93348"/>
    <w:rsid w:val="00F947C0"/>
    <w:rsid w:val="00F94FE3"/>
    <w:rsid w:val="00F955BE"/>
    <w:rsid w:val="00FA0943"/>
    <w:rsid w:val="00FA2870"/>
    <w:rsid w:val="00FA37B0"/>
    <w:rsid w:val="00FA3E42"/>
    <w:rsid w:val="00FA4558"/>
    <w:rsid w:val="00FA5A30"/>
    <w:rsid w:val="00FA6918"/>
    <w:rsid w:val="00FA6D0E"/>
    <w:rsid w:val="00FA74EE"/>
    <w:rsid w:val="00FB1EC0"/>
    <w:rsid w:val="00FB2B40"/>
    <w:rsid w:val="00FB4304"/>
    <w:rsid w:val="00FB763C"/>
    <w:rsid w:val="00FB7BED"/>
    <w:rsid w:val="00FC00F9"/>
    <w:rsid w:val="00FC08A8"/>
    <w:rsid w:val="00FC12E8"/>
    <w:rsid w:val="00FC2412"/>
    <w:rsid w:val="00FC3A79"/>
    <w:rsid w:val="00FC41C8"/>
    <w:rsid w:val="00FC4778"/>
    <w:rsid w:val="00FC48E8"/>
    <w:rsid w:val="00FC790F"/>
    <w:rsid w:val="00FD30E8"/>
    <w:rsid w:val="00FD3B6D"/>
    <w:rsid w:val="00FD51F2"/>
    <w:rsid w:val="00FD553E"/>
    <w:rsid w:val="00FD7814"/>
    <w:rsid w:val="00FE09F5"/>
    <w:rsid w:val="00FE501C"/>
    <w:rsid w:val="00FE581C"/>
    <w:rsid w:val="00FE6040"/>
    <w:rsid w:val="00FE6A13"/>
    <w:rsid w:val="00FF039C"/>
    <w:rsid w:val="00FF3273"/>
    <w:rsid w:val="00FF3673"/>
    <w:rsid w:val="00FF3C6C"/>
    <w:rsid w:val="00FF4752"/>
    <w:rsid w:val="00FF638D"/>
    <w:rsid w:val="012E69DC"/>
    <w:rsid w:val="01F24E11"/>
    <w:rsid w:val="028F2F88"/>
    <w:rsid w:val="02AF6ACA"/>
    <w:rsid w:val="02F1B879"/>
    <w:rsid w:val="03D4E38D"/>
    <w:rsid w:val="05C6D04A"/>
    <w:rsid w:val="095AC579"/>
    <w:rsid w:val="09D568F8"/>
    <w:rsid w:val="0A59C46A"/>
    <w:rsid w:val="0AD8C18E"/>
    <w:rsid w:val="0B65DA6B"/>
    <w:rsid w:val="0C810C22"/>
    <w:rsid w:val="0CC6A45A"/>
    <w:rsid w:val="0DC0E5C4"/>
    <w:rsid w:val="0E1D4E23"/>
    <w:rsid w:val="0F7B9352"/>
    <w:rsid w:val="104C1CD1"/>
    <w:rsid w:val="11C90A92"/>
    <w:rsid w:val="12105F61"/>
    <w:rsid w:val="13E25534"/>
    <w:rsid w:val="149556C5"/>
    <w:rsid w:val="15480023"/>
    <w:rsid w:val="1C434BF3"/>
    <w:rsid w:val="1CA4B720"/>
    <w:rsid w:val="1E81CABD"/>
    <w:rsid w:val="1EE5EFAD"/>
    <w:rsid w:val="2046AA54"/>
    <w:rsid w:val="20E9AD4B"/>
    <w:rsid w:val="22748CCB"/>
    <w:rsid w:val="22DC7310"/>
    <w:rsid w:val="230B154A"/>
    <w:rsid w:val="245A2F5B"/>
    <w:rsid w:val="24CB0860"/>
    <w:rsid w:val="250EA621"/>
    <w:rsid w:val="251A9473"/>
    <w:rsid w:val="27734A47"/>
    <w:rsid w:val="27813DFD"/>
    <w:rsid w:val="289E3B04"/>
    <w:rsid w:val="296BA4E2"/>
    <w:rsid w:val="29E28354"/>
    <w:rsid w:val="2D44E17E"/>
    <w:rsid w:val="2D66CA8C"/>
    <w:rsid w:val="2E4000DD"/>
    <w:rsid w:val="2F91DDB1"/>
    <w:rsid w:val="300B9443"/>
    <w:rsid w:val="308A5FA3"/>
    <w:rsid w:val="32C97E73"/>
    <w:rsid w:val="32EAFFB1"/>
    <w:rsid w:val="34CCAF7F"/>
    <w:rsid w:val="355F800D"/>
    <w:rsid w:val="3A04375C"/>
    <w:rsid w:val="3A82F06A"/>
    <w:rsid w:val="3A988936"/>
    <w:rsid w:val="3B4DBD5B"/>
    <w:rsid w:val="3B96C9F1"/>
    <w:rsid w:val="3BC5AA3B"/>
    <w:rsid w:val="3C206D24"/>
    <w:rsid w:val="3D6B4400"/>
    <w:rsid w:val="3DFA2911"/>
    <w:rsid w:val="3F57ACFC"/>
    <w:rsid w:val="42E78FC3"/>
    <w:rsid w:val="42FE4939"/>
    <w:rsid w:val="43BC00DF"/>
    <w:rsid w:val="442E1BB0"/>
    <w:rsid w:val="44851748"/>
    <w:rsid w:val="44DFEC17"/>
    <w:rsid w:val="45B8F841"/>
    <w:rsid w:val="45CB8C45"/>
    <w:rsid w:val="461F3085"/>
    <w:rsid w:val="4649FBF7"/>
    <w:rsid w:val="472B6092"/>
    <w:rsid w:val="47BCD545"/>
    <w:rsid w:val="47EB7B05"/>
    <w:rsid w:val="48A268EC"/>
    <w:rsid w:val="4914BA14"/>
    <w:rsid w:val="4933DD9F"/>
    <w:rsid w:val="4C298BC3"/>
    <w:rsid w:val="4D6FC751"/>
    <w:rsid w:val="4FBA8A52"/>
    <w:rsid w:val="50FC768E"/>
    <w:rsid w:val="5208562C"/>
    <w:rsid w:val="5219349D"/>
    <w:rsid w:val="5283F360"/>
    <w:rsid w:val="5375D055"/>
    <w:rsid w:val="55E55E01"/>
    <w:rsid w:val="583B9566"/>
    <w:rsid w:val="5B111E53"/>
    <w:rsid w:val="5B3F0039"/>
    <w:rsid w:val="5BEFCB99"/>
    <w:rsid w:val="5C452B13"/>
    <w:rsid w:val="5C6CB66E"/>
    <w:rsid w:val="5C7FB3CA"/>
    <w:rsid w:val="5C872378"/>
    <w:rsid w:val="5E9B23E6"/>
    <w:rsid w:val="5EDF9FED"/>
    <w:rsid w:val="5F5E27F2"/>
    <w:rsid w:val="5FE2B153"/>
    <w:rsid w:val="60C57963"/>
    <w:rsid w:val="61054F5F"/>
    <w:rsid w:val="6223C026"/>
    <w:rsid w:val="62E8CBA4"/>
    <w:rsid w:val="64727C1C"/>
    <w:rsid w:val="64DE3DF5"/>
    <w:rsid w:val="650C33AB"/>
    <w:rsid w:val="664E8C63"/>
    <w:rsid w:val="66AB6D92"/>
    <w:rsid w:val="67140AA6"/>
    <w:rsid w:val="674CBB66"/>
    <w:rsid w:val="68BF7429"/>
    <w:rsid w:val="68BFB0A1"/>
    <w:rsid w:val="68C63ADC"/>
    <w:rsid w:val="68EECF8B"/>
    <w:rsid w:val="69104D1B"/>
    <w:rsid w:val="6A88368F"/>
    <w:rsid w:val="6B2F2FA3"/>
    <w:rsid w:val="6B970AF3"/>
    <w:rsid w:val="6BE7E070"/>
    <w:rsid w:val="6F2F44D4"/>
    <w:rsid w:val="72FFB6A7"/>
    <w:rsid w:val="7317A4BE"/>
    <w:rsid w:val="73EF63F5"/>
    <w:rsid w:val="747CB27F"/>
    <w:rsid w:val="74D30F74"/>
    <w:rsid w:val="752860EC"/>
    <w:rsid w:val="787A829D"/>
    <w:rsid w:val="7A48CB88"/>
    <w:rsid w:val="7A6F7394"/>
    <w:rsid w:val="7AEBF403"/>
    <w:rsid w:val="7B5F522A"/>
    <w:rsid w:val="7B75CBE6"/>
    <w:rsid w:val="7B79A8AA"/>
    <w:rsid w:val="7BB08948"/>
    <w:rsid w:val="7C1562B3"/>
    <w:rsid w:val="7C2C7814"/>
    <w:rsid w:val="7D0780F0"/>
    <w:rsid w:val="7D31EBAC"/>
    <w:rsid w:val="7EBAAD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F525C"/>
  <w15:docId w15:val="{629CF748-21FB-4E50-A643-9FD63FBA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CD5"/>
    <w:pPr>
      <w:numPr>
        <w:numId w:val="14"/>
      </w:numPr>
      <w:spacing w:after="60" w:line="240" w:lineRule="auto"/>
      <w:ind w:left="360"/>
      <w:contextualSpacing/>
      <w:outlineLvl w:val="0"/>
    </w:pPr>
    <w:rPr>
      <w:b/>
      <w:sz w:val="32"/>
      <w:szCs w:val="32"/>
    </w:rPr>
  </w:style>
  <w:style w:type="paragraph" w:styleId="Heading2">
    <w:name w:val="heading 2"/>
    <w:basedOn w:val="Heading1"/>
    <w:next w:val="Normal"/>
    <w:link w:val="Heading2Char"/>
    <w:autoRedefine/>
    <w:uiPriority w:val="9"/>
    <w:unhideWhenUsed/>
    <w:qFormat/>
    <w:rsid w:val="00E10CDD"/>
    <w:pPr>
      <w:keepNext/>
      <w:numPr>
        <w:numId w:val="0"/>
      </w:numPr>
      <w:spacing w:before="360"/>
      <w:jc w:val="center"/>
      <w:outlineLvl w:val="1"/>
    </w:pPr>
    <w:rPr>
      <w:rFonts w:cs="Arial"/>
      <w:bCs/>
      <w:sz w:val="28"/>
      <w:szCs w:val="28"/>
    </w:rPr>
  </w:style>
  <w:style w:type="paragraph" w:styleId="Heading3">
    <w:name w:val="heading 3"/>
    <w:basedOn w:val="Normal"/>
    <w:next w:val="Normal"/>
    <w:link w:val="Heading3Char"/>
    <w:uiPriority w:val="9"/>
    <w:unhideWhenUsed/>
    <w:qFormat/>
    <w:rsid w:val="005A3A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07CAF"/>
    <w:pPr>
      <w:keepNext/>
      <w:keepLines/>
      <w:numPr>
        <w:ilvl w:val="3"/>
        <w:numId w:val="9"/>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07CAF"/>
    <w:pPr>
      <w:keepNext/>
      <w:keepLines/>
      <w:numPr>
        <w:ilvl w:val="4"/>
        <w:numId w:val="9"/>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07CAF"/>
    <w:pPr>
      <w:keepNext/>
      <w:keepLines/>
      <w:numPr>
        <w:ilvl w:val="5"/>
        <w:numId w:val="9"/>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07CAF"/>
    <w:pPr>
      <w:keepNext/>
      <w:keepLines/>
      <w:numPr>
        <w:ilvl w:val="6"/>
        <w:numId w:val="9"/>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07CAF"/>
    <w:pPr>
      <w:keepNext/>
      <w:keepLines/>
      <w:numPr>
        <w:ilvl w:val="7"/>
        <w:numId w:val="9"/>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7CAF"/>
    <w:pPr>
      <w:keepNext/>
      <w:keepLines/>
      <w:numPr>
        <w:ilvl w:val="8"/>
        <w:numId w:val="9"/>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1D3"/>
    <w:pPr>
      <w:ind w:left="720"/>
      <w:contextualSpacing/>
    </w:pPr>
  </w:style>
  <w:style w:type="paragraph" w:styleId="Header">
    <w:name w:val="header"/>
    <w:basedOn w:val="Normal"/>
    <w:link w:val="HeaderChar"/>
    <w:uiPriority w:val="99"/>
    <w:unhideWhenUsed/>
    <w:rsid w:val="007F3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847"/>
  </w:style>
  <w:style w:type="paragraph" w:styleId="Footer">
    <w:name w:val="footer"/>
    <w:basedOn w:val="Normal"/>
    <w:link w:val="FooterChar"/>
    <w:uiPriority w:val="99"/>
    <w:unhideWhenUsed/>
    <w:rsid w:val="007F3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847"/>
  </w:style>
  <w:style w:type="table" w:styleId="TableGrid">
    <w:name w:val="Table Grid"/>
    <w:basedOn w:val="TableNormal"/>
    <w:uiPriority w:val="39"/>
    <w:rsid w:val="006B0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B083C"/>
    <w:pPr>
      <w:spacing w:after="0" w:line="240" w:lineRule="auto"/>
    </w:pPr>
  </w:style>
  <w:style w:type="character" w:styleId="CommentReference">
    <w:name w:val="annotation reference"/>
    <w:basedOn w:val="DefaultParagraphFont"/>
    <w:uiPriority w:val="99"/>
    <w:semiHidden/>
    <w:unhideWhenUsed/>
    <w:rsid w:val="00E15268"/>
    <w:rPr>
      <w:sz w:val="16"/>
      <w:szCs w:val="16"/>
    </w:rPr>
  </w:style>
  <w:style w:type="paragraph" w:styleId="CommentText">
    <w:name w:val="annotation text"/>
    <w:basedOn w:val="Normal"/>
    <w:link w:val="CommentTextChar"/>
    <w:uiPriority w:val="99"/>
    <w:unhideWhenUsed/>
    <w:rsid w:val="00E15268"/>
    <w:pPr>
      <w:spacing w:line="240" w:lineRule="auto"/>
    </w:pPr>
    <w:rPr>
      <w:sz w:val="20"/>
      <w:szCs w:val="20"/>
    </w:rPr>
  </w:style>
  <w:style w:type="character" w:customStyle="1" w:styleId="CommentTextChar">
    <w:name w:val="Comment Text Char"/>
    <w:basedOn w:val="DefaultParagraphFont"/>
    <w:link w:val="CommentText"/>
    <w:uiPriority w:val="99"/>
    <w:rsid w:val="00E15268"/>
    <w:rPr>
      <w:sz w:val="20"/>
      <w:szCs w:val="20"/>
    </w:rPr>
  </w:style>
  <w:style w:type="paragraph" w:styleId="CommentSubject">
    <w:name w:val="annotation subject"/>
    <w:basedOn w:val="CommentText"/>
    <w:next w:val="CommentText"/>
    <w:link w:val="CommentSubjectChar"/>
    <w:uiPriority w:val="99"/>
    <w:semiHidden/>
    <w:unhideWhenUsed/>
    <w:rsid w:val="00E15268"/>
    <w:rPr>
      <w:b/>
      <w:bCs/>
    </w:rPr>
  </w:style>
  <w:style w:type="character" w:customStyle="1" w:styleId="CommentSubjectChar">
    <w:name w:val="Comment Subject Char"/>
    <w:basedOn w:val="CommentTextChar"/>
    <w:link w:val="CommentSubject"/>
    <w:uiPriority w:val="99"/>
    <w:semiHidden/>
    <w:rsid w:val="00E15268"/>
    <w:rPr>
      <w:b/>
      <w:bCs/>
      <w:sz w:val="20"/>
      <w:szCs w:val="20"/>
    </w:rPr>
  </w:style>
  <w:style w:type="paragraph" w:styleId="BalloonText">
    <w:name w:val="Balloon Text"/>
    <w:basedOn w:val="Normal"/>
    <w:link w:val="BalloonTextChar"/>
    <w:uiPriority w:val="99"/>
    <w:semiHidden/>
    <w:unhideWhenUsed/>
    <w:rsid w:val="00E15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268"/>
    <w:rPr>
      <w:rFonts w:ascii="Tahoma" w:hAnsi="Tahoma" w:cs="Tahoma"/>
      <w:sz w:val="16"/>
      <w:szCs w:val="16"/>
    </w:rPr>
  </w:style>
  <w:style w:type="paragraph" w:styleId="FootnoteText">
    <w:name w:val="footnote text"/>
    <w:basedOn w:val="Normal"/>
    <w:link w:val="FootnoteTextChar"/>
    <w:uiPriority w:val="99"/>
    <w:unhideWhenUsed/>
    <w:rsid w:val="00307CAF"/>
    <w:pPr>
      <w:spacing w:after="0" w:line="240" w:lineRule="auto"/>
    </w:pPr>
    <w:rPr>
      <w:sz w:val="20"/>
      <w:szCs w:val="20"/>
    </w:rPr>
  </w:style>
  <w:style w:type="character" w:customStyle="1" w:styleId="FootnoteTextChar">
    <w:name w:val="Footnote Text Char"/>
    <w:basedOn w:val="DefaultParagraphFont"/>
    <w:link w:val="FootnoteText"/>
    <w:uiPriority w:val="99"/>
    <w:rsid w:val="00307CAF"/>
    <w:rPr>
      <w:sz w:val="20"/>
      <w:szCs w:val="20"/>
    </w:rPr>
  </w:style>
  <w:style w:type="character" w:styleId="FootnoteReference">
    <w:name w:val="footnote reference"/>
    <w:basedOn w:val="DefaultParagraphFont"/>
    <w:uiPriority w:val="99"/>
    <w:semiHidden/>
    <w:unhideWhenUsed/>
    <w:rsid w:val="00307CAF"/>
    <w:rPr>
      <w:vertAlign w:val="superscript"/>
    </w:rPr>
  </w:style>
  <w:style w:type="character" w:customStyle="1" w:styleId="Heading1Char">
    <w:name w:val="Heading 1 Char"/>
    <w:basedOn w:val="DefaultParagraphFont"/>
    <w:link w:val="Heading1"/>
    <w:uiPriority w:val="9"/>
    <w:rsid w:val="00C46CD5"/>
    <w:rPr>
      <w:b/>
      <w:sz w:val="32"/>
      <w:szCs w:val="32"/>
    </w:rPr>
  </w:style>
  <w:style w:type="character" w:customStyle="1" w:styleId="Heading2Char">
    <w:name w:val="Heading 2 Char"/>
    <w:basedOn w:val="DefaultParagraphFont"/>
    <w:link w:val="Heading2"/>
    <w:uiPriority w:val="9"/>
    <w:rsid w:val="00E10CDD"/>
    <w:rPr>
      <w:rFonts w:cs="Arial"/>
      <w:b/>
      <w:bCs/>
      <w:sz w:val="28"/>
      <w:szCs w:val="28"/>
    </w:rPr>
  </w:style>
  <w:style w:type="character" w:customStyle="1" w:styleId="Heading4Char">
    <w:name w:val="Heading 4 Char"/>
    <w:basedOn w:val="DefaultParagraphFont"/>
    <w:link w:val="Heading4"/>
    <w:uiPriority w:val="9"/>
    <w:rsid w:val="00307C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07C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07C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07C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07C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7CAF"/>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unhideWhenUsed/>
    <w:rsid w:val="00307CAF"/>
    <w:pPr>
      <w:spacing w:after="160" w:line="259" w:lineRule="auto"/>
    </w:pPr>
  </w:style>
  <w:style w:type="character" w:styleId="Hyperlink">
    <w:name w:val="Hyperlink"/>
    <w:basedOn w:val="DefaultParagraphFont"/>
    <w:uiPriority w:val="99"/>
    <w:unhideWhenUsed/>
    <w:rsid w:val="00307CAF"/>
    <w:rPr>
      <w:color w:val="0000FF" w:themeColor="hyperlink"/>
      <w:u w:val="single"/>
    </w:rPr>
  </w:style>
  <w:style w:type="character" w:styleId="FollowedHyperlink">
    <w:name w:val="FollowedHyperlink"/>
    <w:basedOn w:val="DefaultParagraphFont"/>
    <w:uiPriority w:val="99"/>
    <w:semiHidden/>
    <w:unhideWhenUsed/>
    <w:rsid w:val="00301342"/>
    <w:rPr>
      <w:color w:val="800080" w:themeColor="followedHyperlink"/>
      <w:u w:val="single"/>
    </w:rPr>
  </w:style>
  <w:style w:type="paragraph" w:styleId="NormalWeb">
    <w:name w:val="Normal (Web)"/>
    <w:basedOn w:val="Normal"/>
    <w:uiPriority w:val="99"/>
    <w:unhideWhenUsed/>
    <w:rsid w:val="00A6663A"/>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6663A"/>
    <w:rPr>
      <w:b/>
      <w:bCs/>
    </w:rPr>
  </w:style>
  <w:style w:type="character" w:customStyle="1" w:styleId="Heading3Char">
    <w:name w:val="Heading 3 Char"/>
    <w:basedOn w:val="DefaultParagraphFont"/>
    <w:link w:val="Heading3"/>
    <w:uiPriority w:val="9"/>
    <w:rsid w:val="005A3A0D"/>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1F7CEA"/>
    <w:rPr>
      <w:color w:val="808080"/>
    </w:rPr>
  </w:style>
  <w:style w:type="character" w:styleId="UnresolvedMention">
    <w:name w:val="Unresolved Mention"/>
    <w:basedOn w:val="DefaultParagraphFont"/>
    <w:uiPriority w:val="99"/>
    <w:semiHidden/>
    <w:unhideWhenUsed/>
    <w:rsid w:val="00BD33A9"/>
    <w:rPr>
      <w:color w:val="605E5C"/>
      <w:shd w:val="clear" w:color="auto" w:fill="E1DFDD"/>
    </w:rPr>
  </w:style>
  <w:style w:type="character" w:customStyle="1" w:styleId="NoSpacingChar">
    <w:name w:val="No Spacing Char"/>
    <w:basedOn w:val="DefaultParagraphFont"/>
    <w:link w:val="NoSpacing"/>
    <w:uiPriority w:val="1"/>
    <w:rsid w:val="001C0B76"/>
  </w:style>
  <w:style w:type="paragraph" w:styleId="TOCHeading">
    <w:name w:val="TOC Heading"/>
    <w:basedOn w:val="Heading1"/>
    <w:next w:val="Normal"/>
    <w:uiPriority w:val="39"/>
    <w:unhideWhenUsed/>
    <w:qFormat/>
    <w:rsid w:val="001C0B76"/>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FC12E8"/>
    <w:pPr>
      <w:tabs>
        <w:tab w:val="left" w:pos="440"/>
        <w:tab w:val="right" w:leader="dot" w:pos="9440"/>
      </w:tabs>
      <w:spacing w:after="100"/>
    </w:pPr>
  </w:style>
  <w:style w:type="paragraph" w:styleId="TOC2">
    <w:name w:val="toc 2"/>
    <w:basedOn w:val="Normal"/>
    <w:next w:val="Normal"/>
    <w:autoRedefine/>
    <w:uiPriority w:val="39"/>
    <w:unhideWhenUsed/>
    <w:rsid w:val="00AD1AA0"/>
    <w:pPr>
      <w:tabs>
        <w:tab w:val="right" w:leader="dot" w:pos="9440"/>
      </w:tabs>
      <w:spacing w:after="100"/>
      <w:ind w:left="220"/>
    </w:pPr>
  </w:style>
  <w:style w:type="paragraph" w:styleId="TOC3">
    <w:name w:val="toc 3"/>
    <w:basedOn w:val="Normal"/>
    <w:next w:val="Normal"/>
    <w:autoRedefine/>
    <w:uiPriority w:val="39"/>
    <w:unhideWhenUsed/>
    <w:rsid w:val="00B617B8"/>
    <w:pPr>
      <w:tabs>
        <w:tab w:val="left" w:pos="1320"/>
        <w:tab w:val="right" w:leader="dot" w:pos="9440"/>
      </w:tabs>
      <w:spacing w:after="100"/>
      <w:ind w:left="440"/>
    </w:pPr>
  </w:style>
  <w:style w:type="paragraph" w:styleId="Revision">
    <w:name w:val="Revision"/>
    <w:hidden/>
    <w:uiPriority w:val="99"/>
    <w:semiHidden/>
    <w:rsid w:val="00D95DDE"/>
    <w:pPr>
      <w:spacing w:after="0" w:line="240" w:lineRule="auto"/>
    </w:pPr>
  </w:style>
  <w:style w:type="character" w:customStyle="1" w:styleId="eop">
    <w:name w:val="eop"/>
    <w:basedOn w:val="DefaultParagraphFont"/>
    <w:rsid w:val="006A27A8"/>
  </w:style>
  <w:style w:type="character" w:customStyle="1" w:styleId="normaltextrun">
    <w:name w:val="normaltextrun"/>
    <w:basedOn w:val="DefaultParagraphFont"/>
    <w:rsid w:val="0060473F"/>
  </w:style>
  <w:style w:type="character" w:customStyle="1" w:styleId="cf01">
    <w:name w:val="cf01"/>
    <w:basedOn w:val="DefaultParagraphFont"/>
    <w:rsid w:val="009D4AA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179">
      <w:bodyDiv w:val="1"/>
      <w:marLeft w:val="0"/>
      <w:marRight w:val="0"/>
      <w:marTop w:val="0"/>
      <w:marBottom w:val="0"/>
      <w:divBdr>
        <w:top w:val="none" w:sz="0" w:space="0" w:color="auto"/>
        <w:left w:val="none" w:sz="0" w:space="0" w:color="auto"/>
        <w:bottom w:val="none" w:sz="0" w:space="0" w:color="auto"/>
        <w:right w:val="none" w:sz="0" w:space="0" w:color="auto"/>
      </w:divBdr>
    </w:div>
    <w:div w:id="54591877">
      <w:bodyDiv w:val="1"/>
      <w:marLeft w:val="0"/>
      <w:marRight w:val="0"/>
      <w:marTop w:val="0"/>
      <w:marBottom w:val="0"/>
      <w:divBdr>
        <w:top w:val="none" w:sz="0" w:space="0" w:color="auto"/>
        <w:left w:val="none" w:sz="0" w:space="0" w:color="auto"/>
        <w:bottom w:val="none" w:sz="0" w:space="0" w:color="auto"/>
        <w:right w:val="none" w:sz="0" w:space="0" w:color="auto"/>
      </w:divBdr>
    </w:div>
    <w:div w:id="91320092">
      <w:bodyDiv w:val="1"/>
      <w:marLeft w:val="0"/>
      <w:marRight w:val="0"/>
      <w:marTop w:val="0"/>
      <w:marBottom w:val="0"/>
      <w:divBdr>
        <w:top w:val="none" w:sz="0" w:space="0" w:color="auto"/>
        <w:left w:val="none" w:sz="0" w:space="0" w:color="auto"/>
        <w:bottom w:val="none" w:sz="0" w:space="0" w:color="auto"/>
        <w:right w:val="none" w:sz="0" w:space="0" w:color="auto"/>
      </w:divBdr>
    </w:div>
    <w:div w:id="117145245">
      <w:bodyDiv w:val="1"/>
      <w:marLeft w:val="0"/>
      <w:marRight w:val="0"/>
      <w:marTop w:val="0"/>
      <w:marBottom w:val="0"/>
      <w:divBdr>
        <w:top w:val="none" w:sz="0" w:space="0" w:color="auto"/>
        <w:left w:val="none" w:sz="0" w:space="0" w:color="auto"/>
        <w:bottom w:val="none" w:sz="0" w:space="0" w:color="auto"/>
        <w:right w:val="none" w:sz="0" w:space="0" w:color="auto"/>
      </w:divBdr>
    </w:div>
    <w:div w:id="131603277">
      <w:bodyDiv w:val="1"/>
      <w:marLeft w:val="0"/>
      <w:marRight w:val="0"/>
      <w:marTop w:val="0"/>
      <w:marBottom w:val="0"/>
      <w:divBdr>
        <w:top w:val="none" w:sz="0" w:space="0" w:color="auto"/>
        <w:left w:val="none" w:sz="0" w:space="0" w:color="auto"/>
        <w:bottom w:val="none" w:sz="0" w:space="0" w:color="auto"/>
        <w:right w:val="none" w:sz="0" w:space="0" w:color="auto"/>
      </w:divBdr>
    </w:div>
    <w:div w:id="141503933">
      <w:bodyDiv w:val="1"/>
      <w:marLeft w:val="0"/>
      <w:marRight w:val="0"/>
      <w:marTop w:val="0"/>
      <w:marBottom w:val="0"/>
      <w:divBdr>
        <w:top w:val="none" w:sz="0" w:space="0" w:color="auto"/>
        <w:left w:val="none" w:sz="0" w:space="0" w:color="auto"/>
        <w:bottom w:val="none" w:sz="0" w:space="0" w:color="auto"/>
        <w:right w:val="none" w:sz="0" w:space="0" w:color="auto"/>
      </w:divBdr>
    </w:div>
    <w:div w:id="171843752">
      <w:bodyDiv w:val="1"/>
      <w:marLeft w:val="0"/>
      <w:marRight w:val="0"/>
      <w:marTop w:val="0"/>
      <w:marBottom w:val="0"/>
      <w:divBdr>
        <w:top w:val="none" w:sz="0" w:space="0" w:color="auto"/>
        <w:left w:val="none" w:sz="0" w:space="0" w:color="auto"/>
        <w:bottom w:val="none" w:sz="0" w:space="0" w:color="auto"/>
        <w:right w:val="none" w:sz="0" w:space="0" w:color="auto"/>
      </w:divBdr>
    </w:div>
    <w:div w:id="228151087">
      <w:bodyDiv w:val="1"/>
      <w:marLeft w:val="0"/>
      <w:marRight w:val="0"/>
      <w:marTop w:val="0"/>
      <w:marBottom w:val="0"/>
      <w:divBdr>
        <w:top w:val="none" w:sz="0" w:space="0" w:color="auto"/>
        <w:left w:val="none" w:sz="0" w:space="0" w:color="auto"/>
        <w:bottom w:val="none" w:sz="0" w:space="0" w:color="auto"/>
        <w:right w:val="none" w:sz="0" w:space="0" w:color="auto"/>
      </w:divBdr>
    </w:div>
    <w:div w:id="267155959">
      <w:bodyDiv w:val="1"/>
      <w:marLeft w:val="0"/>
      <w:marRight w:val="0"/>
      <w:marTop w:val="0"/>
      <w:marBottom w:val="0"/>
      <w:divBdr>
        <w:top w:val="none" w:sz="0" w:space="0" w:color="auto"/>
        <w:left w:val="none" w:sz="0" w:space="0" w:color="auto"/>
        <w:bottom w:val="none" w:sz="0" w:space="0" w:color="auto"/>
        <w:right w:val="none" w:sz="0" w:space="0" w:color="auto"/>
      </w:divBdr>
    </w:div>
    <w:div w:id="313484649">
      <w:bodyDiv w:val="1"/>
      <w:marLeft w:val="0"/>
      <w:marRight w:val="0"/>
      <w:marTop w:val="0"/>
      <w:marBottom w:val="0"/>
      <w:divBdr>
        <w:top w:val="none" w:sz="0" w:space="0" w:color="auto"/>
        <w:left w:val="none" w:sz="0" w:space="0" w:color="auto"/>
        <w:bottom w:val="none" w:sz="0" w:space="0" w:color="auto"/>
        <w:right w:val="none" w:sz="0" w:space="0" w:color="auto"/>
      </w:divBdr>
    </w:div>
    <w:div w:id="313796596">
      <w:bodyDiv w:val="1"/>
      <w:marLeft w:val="0"/>
      <w:marRight w:val="0"/>
      <w:marTop w:val="0"/>
      <w:marBottom w:val="0"/>
      <w:divBdr>
        <w:top w:val="none" w:sz="0" w:space="0" w:color="auto"/>
        <w:left w:val="none" w:sz="0" w:space="0" w:color="auto"/>
        <w:bottom w:val="none" w:sz="0" w:space="0" w:color="auto"/>
        <w:right w:val="none" w:sz="0" w:space="0" w:color="auto"/>
      </w:divBdr>
    </w:div>
    <w:div w:id="358822390">
      <w:bodyDiv w:val="1"/>
      <w:marLeft w:val="0"/>
      <w:marRight w:val="0"/>
      <w:marTop w:val="0"/>
      <w:marBottom w:val="0"/>
      <w:divBdr>
        <w:top w:val="none" w:sz="0" w:space="0" w:color="auto"/>
        <w:left w:val="none" w:sz="0" w:space="0" w:color="auto"/>
        <w:bottom w:val="none" w:sz="0" w:space="0" w:color="auto"/>
        <w:right w:val="none" w:sz="0" w:space="0" w:color="auto"/>
      </w:divBdr>
    </w:div>
    <w:div w:id="373584308">
      <w:bodyDiv w:val="1"/>
      <w:marLeft w:val="0"/>
      <w:marRight w:val="0"/>
      <w:marTop w:val="0"/>
      <w:marBottom w:val="0"/>
      <w:divBdr>
        <w:top w:val="none" w:sz="0" w:space="0" w:color="auto"/>
        <w:left w:val="none" w:sz="0" w:space="0" w:color="auto"/>
        <w:bottom w:val="none" w:sz="0" w:space="0" w:color="auto"/>
        <w:right w:val="none" w:sz="0" w:space="0" w:color="auto"/>
      </w:divBdr>
    </w:div>
    <w:div w:id="392048906">
      <w:bodyDiv w:val="1"/>
      <w:marLeft w:val="0"/>
      <w:marRight w:val="0"/>
      <w:marTop w:val="0"/>
      <w:marBottom w:val="0"/>
      <w:divBdr>
        <w:top w:val="none" w:sz="0" w:space="0" w:color="auto"/>
        <w:left w:val="none" w:sz="0" w:space="0" w:color="auto"/>
        <w:bottom w:val="none" w:sz="0" w:space="0" w:color="auto"/>
        <w:right w:val="none" w:sz="0" w:space="0" w:color="auto"/>
      </w:divBdr>
    </w:div>
    <w:div w:id="424036048">
      <w:bodyDiv w:val="1"/>
      <w:marLeft w:val="0"/>
      <w:marRight w:val="0"/>
      <w:marTop w:val="0"/>
      <w:marBottom w:val="0"/>
      <w:divBdr>
        <w:top w:val="none" w:sz="0" w:space="0" w:color="auto"/>
        <w:left w:val="none" w:sz="0" w:space="0" w:color="auto"/>
        <w:bottom w:val="none" w:sz="0" w:space="0" w:color="auto"/>
        <w:right w:val="none" w:sz="0" w:space="0" w:color="auto"/>
      </w:divBdr>
    </w:div>
    <w:div w:id="443691412">
      <w:bodyDiv w:val="1"/>
      <w:marLeft w:val="0"/>
      <w:marRight w:val="0"/>
      <w:marTop w:val="0"/>
      <w:marBottom w:val="0"/>
      <w:divBdr>
        <w:top w:val="none" w:sz="0" w:space="0" w:color="auto"/>
        <w:left w:val="none" w:sz="0" w:space="0" w:color="auto"/>
        <w:bottom w:val="none" w:sz="0" w:space="0" w:color="auto"/>
        <w:right w:val="none" w:sz="0" w:space="0" w:color="auto"/>
      </w:divBdr>
    </w:div>
    <w:div w:id="452480063">
      <w:bodyDiv w:val="1"/>
      <w:marLeft w:val="0"/>
      <w:marRight w:val="0"/>
      <w:marTop w:val="0"/>
      <w:marBottom w:val="0"/>
      <w:divBdr>
        <w:top w:val="none" w:sz="0" w:space="0" w:color="auto"/>
        <w:left w:val="none" w:sz="0" w:space="0" w:color="auto"/>
        <w:bottom w:val="none" w:sz="0" w:space="0" w:color="auto"/>
        <w:right w:val="none" w:sz="0" w:space="0" w:color="auto"/>
      </w:divBdr>
    </w:div>
    <w:div w:id="497309222">
      <w:bodyDiv w:val="1"/>
      <w:marLeft w:val="0"/>
      <w:marRight w:val="0"/>
      <w:marTop w:val="0"/>
      <w:marBottom w:val="0"/>
      <w:divBdr>
        <w:top w:val="none" w:sz="0" w:space="0" w:color="auto"/>
        <w:left w:val="none" w:sz="0" w:space="0" w:color="auto"/>
        <w:bottom w:val="none" w:sz="0" w:space="0" w:color="auto"/>
        <w:right w:val="none" w:sz="0" w:space="0" w:color="auto"/>
      </w:divBdr>
    </w:div>
    <w:div w:id="517818615">
      <w:bodyDiv w:val="1"/>
      <w:marLeft w:val="0"/>
      <w:marRight w:val="0"/>
      <w:marTop w:val="0"/>
      <w:marBottom w:val="0"/>
      <w:divBdr>
        <w:top w:val="none" w:sz="0" w:space="0" w:color="auto"/>
        <w:left w:val="none" w:sz="0" w:space="0" w:color="auto"/>
        <w:bottom w:val="none" w:sz="0" w:space="0" w:color="auto"/>
        <w:right w:val="none" w:sz="0" w:space="0" w:color="auto"/>
      </w:divBdr>
    </w:div>
    <w:div w:id="548495560">
      <w:bodyDiv w:val="1"/>
      <w:marLeft w:val="0"/>
      <w:marRight w:val="0"/>
      <w:marTop w:val="0"/>
      <w:marBottom w:val="0"/>
      <w:divBdr>
        <w:top w:val="none" w:sz="0" w:space="0" w:color="auto"/>
        <w:left w:val="none" w:sz="0" w:space="0" w:color="auto"/>
        <w:bottom w:val="none" w:sz="0" w:space="0" w:color="auto"/>
        <w:right w:val="none" w:sz="0" w:space="0" w:color="auto"/>
      </w:divBdr>
    </w:div>
    <w:div w:id="550461704">
      <w:bodyDiv w:val="1"/>
      <w:marLeft w:val="0"/>
      <w:marRight w:val="0"/>
      <w:marTop w:val="0"/>
      <w:marBottom w:val="0"/>
      <w:divBdr>
        <w:top w:val="none" w:sz="0" w:space="0" w:color="auto"/>
        <w:left w:val="none" w:sz="0" w:space="0" w:color="auto"/>
        <w:bottom w:val="none" w:sz="0" w:space="0" w:color="auto"/>
        <w:right w:val="none" w:sz="0" w:space="0" w:color="auto"/>
      </w:divBdr>
    </w:div>
    <w:div w:id="593053920">
      <w:bodyDiv w:val="1"/>
      <w:marLeft w:val="0"/>
      <w:marRight w:val="0"/>
      <w:marTop w:val="0"/>
      <w:marBottom w:val="0"/>
      <w:divBdr>
        <w:top w:val="none" w:sz="0" w:space="0" w:color="auto"/>
        <w:left w:val="none" w:sz="0" w:space="0" w:color="auto"/>
        <w:bottom w:val="none" w:sz="0" w:space="0" w:color="auto"/>
        <w:right w:val="none" w:sz="0" w:space="0" w:color="auto"/>
      </w:divBdr>
    </w:div>
    <w:div w:id="595820145">
      <w:bodyDiv w:val="1"/>
      <w:marLeft w:val="0"/>
      <w:marRight w:val="0"/>
      <w:marTop w:val="0"/>
      <w:marBottom w:val="0"/>
      <w:divBdr>
        <w:top w:val="none" w:sz="0" w:space="0" w:color="auto"/>
        <w:left w:val="none" w:sz="0" w:space="0" w:color="auto"/>
        <w:bottom w:val="none" w:sz="0" w:space="0" w:color="auto"/>
        <w:right w:val="none" w:sz="0" w:space="0" w:color="auto"/>
      </w:divBdr>
    </w:div>
    <w:div w:id="654530394">
      <w:bodyDiv w:val="1"/>
      <w:marLeft w:val="0"/>
      <w:marRight w:val="0"/>
      <w:marTop w:val="0"/>
      <w:marBottom w:val="0"/>
      <w:divBdr>
        <w:top w:val="none" w:sz="0" w:space="0" w:color="auto"/>
        <w:left w:val="none" w:sz="0" w:space="0" w:color="auto"/>
        <w:bottom w:val="none" w:sz="0" w:space="0" w:color="auto"/>
        <w:right w:val="none" w:sz="0" w:space="0" w:color="auto"/>
      </w:divBdr>
    </w:div>
    <w:div w:id="681781495">
      <w:bodyDiv w:val="1"/>
      <w:marLeft w:val="0"/>
      <w:marRight w:val="0"/>
      <w:marTop w:val="0"/>
      <w:marBottom w:val="0"/>
      <w:divBdr>
        <w:top w:val="none" w:sz="0" w:space="0" w:color="auto"/>
        <w:left w:val="none" w:sz="0" w:space="0" w:color="auto"/>
        <w:bottom w:val="none" w:sz="0" w:space="0" w:color="auto"/>
        <w:right w:val="none" w:sz="0" w:space="0" w:color="auto"/>
      </w:divBdr>
    </w:div>
    <w:div w:id="696542368">
      <w:bodyDiv w:val="1"/>
      <w:marLeft w:val="0"/>
      <w:marRight w:val="0"/>
      <w:marTop w:val="0"/>
      <w:marBottom w:val="0"/>
      <w:divBdr>
        <w:top w:val="none" w:sz="0" w:space="0" w:color="auto"/>
        <w:left w:val="none" w:sz="0" w:space="0" w:color="auto"/>
        <w:bottom w:val="none" w:sz="0" w:space="0" w:color="auto"/>
        <w:right w:val="none" w:sz="0" w:space="0" w:color="auto"/>
      </w:divBdr>
    </w:div>
    <w:div w:id="743842700">
      <w:bodyDiv w:val="1"/>
      <w:marLeft w:val="0"/>
      <w:marRight w:val="0"/>
      <w:marTop w:val="0"/>
      <w:marBottom w:val="0"/>
      <w:divBdr>
        <w:top w:val="none" w:sz="0" w:space="0" w:color="auto"/>
        <w:left w:val="none" w:sz="0" w:space="0" w:color="auto"/>
        <w:bottom w:val="none" w:sz="0" w:space="0" w:color="auto"/>
        <w:right w:val="none" w:sz="0" w:space="0" w:color="auto"/>
      </w:divBdr>
    </w:div>
    <w:div w:id="747313803">
      <w:bodyDiv w:val="1"/>
      <w:marLeft w:val="0"/>
      <w:marRight w:val="0"/>
      <w:marTop w:val="0"/>
      <w:marBottom w:val="0"/>
      <w:divBdr>
        <w:top w:val="none" w:sz="0" w:space="0" w:color="auto"/>
        <w:left w:val="none" w:sz="0" w:space="0" w:color="auto"/>
        <w:bottom w:val="none" w:sz="0" w:space="0" w:color="auto"/>
        <w:right w:val="none" w:sz="0" w:space="0" w:color="auto"/>
      </w:divBdr>
    </w:div>
    <w:div w:id="769935192">
      <w:bodyDiv w:val="1"/>
      <w:marLeft w:val="0"/>
      <w:marRight w:val="0"/>
      <w:marTop w:val="0"/>
      <w:marBottom w:val="0"/>
      <w:divBdr>
        <w:top w:val="none" w:sz="0" w:space="0" w:color="auto"/>
        <w:left w:val="none" w:sz="0" w:space="0" w:color="auto"/>
        <w:bottom w:val="none" w:sz="0" w:space="0" w:color="auto"/>
        <w:right w:val="none" w:sz="0" w:space="0" w:color="auto"/>
      </w:divBdr>
    </w:div>
    <w:div w:id="823854922">
      <w:bodyDiv w:val="1"/>
      <w:marLeft w:val="0"/>
      <w:marRight w:val="0"/>
      <w:marTop w:val="0"/>
      <w:marBottom w:val="0"/>
      <w:divBdr>
        <w:top w:val="none" w:sz="0" w:space="0" w:color="auto"/>
        <w:left w:val="none" w:sz="0" w:space="0" w:color="auto"/>
        <w:bottom w:val="none" w:sz="0" w:space="0" w:color="auto"/>
        <w:right w:val="none" w:sz="0" w:space="0" w:color="auto"/>
      </w:divBdr>
    </w:div>
    <w:div w:id="963584487">
      <w:bodyDiv w:val="1"/>
      <w:marLeft w:val="0"/>
      <w:marRight w:val="0"/>
      <w:marTop w:val="0"/>
      <w:marBottom w:val="0"/>
      <w:divBdr>
        <w:top w:val="none" w:sz="0" w:space="0" w:color="auto"/>
        <w:left w:val="none" w:sz="0" w:space="0" w:color="auto"/>
        <w:bottom w:val="none" w:sz="0" w:space="0" w:color="auto"/>
        <w:right w:val="none" w:sz="0" w:space="0" w:color="auto"/>
      </w:divBdr>
    </w:div>
    <w:div w:id="1024748623">
      <w:bodyDiv w:val="1"/>
      <w:marLeft w:val="0"/>
      <w:marRight w:val="0"/>
      <w:marTop w:val="0"/>
      <w:marBottom w:val="0"/>
      <w:divBdr>
        <w:top w:val="none" w:sz="0" w:space="0" w:color="auto"/>
        <w:left w:val="none" w:sz="0" w:space="0" w:color="auto"/>
        <w:bottom w:val="none" w:sz="0" w:space="0" w:color="auto"/>
        <w:right w:val="none" w:sz="0" w:space="0" w:color="auto"/>
      </w:divBdr>
    </w:div>
    <w:div w:id="1074356350">
      <w:bodyDiv w:val="1"/>
      <w:marLeft w:val="0"/>
      <w:marRight w:val="0"/>
      <w:marTop w:val="0"/>
      <w:marBottom w:val="0"/>
      <w:divBdr>
        <w:top w:val="none" w:sz="0" w:space="0" w:color="auto"/>
        <w:left w:val="none" w:sz="0" w:space="0" w:color="auto"/>
        <w:bottom w:val="none" w:sz="0" w:space="0" w:color="auto"/>
        <w:right w:val="none" w:sz="0" w:space="0" w:color="auto"/>
      </w:divBdr>
    </w:div>
    <w:div w:id="1081365970">
      <w:bodyDiv w:val="1"/>
      <w:marLeft w:val="0"/>
      <w:marRight w:val="0"/>
      <w:marTop w:val="0"/>
      <w:marBottom w:val="0"/>
      <w:divBdr>
        <w:top w:val="none" w:sz="0" w:space="0" w:color="auto"/>
        <w:left w:val="none" w:sz="0" w:space="0" w:color="auto"/>
        <w:bottom w:val="none" w:sz="0" w:space="0" w:color="auto"/>
        <w:right w:val="none" w:sz="0" w:space="0" w:color="auto"/>
      </w:divBdr>
    </w:div>
    <w:div w:id="1090539564">
      <w:bodyDiv w:val="1"/>
      <w:marLeft w:val="0"/>
      <w:marRight w:val="0"/>
      <w:marTop w:val="0"/>
      <w:marBottom w:val="0"/>
      <w:divBdr>
        <w:top w:val="none" w:sz="0" w:space="0" w:color="auto"/>
        <w:left w:val="none" w:sz="0" w:space="0" w:color="auto"/>
        <w:bottom w:val="none" w:sz="0" w:space="0" w:color="auto"/>
        <w:right w:val="none" w:sz="0" w:space="0" w:color="auto"/>
      </w:divBdr>
    </w:div>
    <w:div w:id="1104348070">
      <w:bodyDiv w:val="1"/>
      <w:marLeft w:val="0"/>
      <w:marRight w:val="0"/>
      <w:marTop w:val="0"/>
      <w:marBottom w:val="0"/>
      <w:divBdr>
        <w:top w:val="none" w:sz="0" w:space="0" w:color="auto"/>
        <w:left w:val="none" w:sz="0" w:space="0" w:color="auto"/>
        <w:bottom w:val="none" w:sz="0" w:space="0" w:color="auto"/>
        <w:right w:val="none" w:sz="0" w:space="0" w:color="auto"/>
      </w:divBdr>
    </w:div>
    <w:div w:id="1163010177">
      <w:bodyDiv w:val="1"/>
      <w:marLeft w:val="0"/>
      <w:marRight w:val="0"/>
      <w:marTop w:val="0"/>
      <w:marBottom w:val="0"/>
      <w:divBdr>
        <w:top w:val="none" w:sz="0" w:space="0" w:color="auto"/>
        <w:left w:val="none" w:sz="0" w:space="0" w:color="auto"/>
        <w:bottom w:val="none" w:sz="0" w:space="0" w:color="auto"/>
        <w:right w:val="none" w:sz="0" w:space="0" w:color="auto"/>
      </w:divBdr>
    </w:div>
    <w:div w:id="1166629950">
      <w:bodyDiv w:val="1"/>
      <w:marLeft w:val="0"/>
      <w:marRight w:val="0"/>
      <w:marTop w:val="0"/>
      <w:marBottom w:val="0"/>
      <w:divBdr>
        <w:top w:val="none" w:sz="0" w:space="0" w:color="auto"/>
        <w:left w:val="none" w:sz="0" w:space="0" w:color="auto"/>
        <w:bottom w:val="none" w:sz="0" w:space="0" w:color="auto"/>
        <w:right w:val="none" w:sz="0" w:space="0" w:color="auto"/>
      </w:divBdr>
    </w:div>
    <w:div w:id="1181160561">
      <w:bodyDiv w:val="1"/>
      <w:marLeft w:val="0"/>
      <w:marRight w:val="0"/>
      <w:marTop w:val="0"/>
      <w:marBottom w:val="0"/>
      <w:divBdr>
        <w:top w:val="none" w:sz="0" w:space="0" w:color="auto"/>
        <w:left w:val="none" w:sz="0" w:space="0" w:color="auto"/>
        <w:bottom w:val="none" w:sz="0" w:space="0" w:color="auto"/>
        <w:right w:val="none" w:sz="0" w:space="0" w:color="auto"/>
      </w:divBdr>
    </w:div>
    <w:div w:id="1223754227">
      <w:bodyDiv w:val="1"/>
      <w:marLeft w:val="0"/>
      <w:marRight w:val="0"/>
      <w:marTop w:val="0"/>
      <w:marBottom w:val="0"/>
      <w:divBdr>
        <w:top w:val="none" w:sz="0" w:space="0" w:color="auto"/>
        <w:left w:val="none" w:sz="0" w:space="0" w:color="auto"/>
        <w:bottom w:val="none" w:sz="0" w:space="0" w:color="auto"/>
        <w:right w:val="none" w:sz="0" w:space="0" w:color="auto"/>
      </w:divBdr>
    </w:div>
    <w:div w:id="1236820048">
      <w:bodyDiv w:val="1"/>
      <w:marLeft w:val="0"/>
      <w:marRight w:val="0"/>
      <w:marTop w:val="0"/>
      <w:marBottom w:val="0"/>
      <w:divBdr>
        <w:top w:val="none" w:sz="0" w:space="0" w:color="auto"/>
        <w:left w:val="none" w:sz="0" w:space="0" w:color="auto"/>
        <w:bottom w:val="none" w:sz="0" w:space="0" w:color="auto"/>
        <w:right w:val="none" w:sz="0" w:space="0" w:color="auto"/>
      </w:divBdr>
    </w:div>
    <w:div w:id="1282615261">
      <w:bodyDiv w:val="1"/>
      <w:marLeft w:val="0"/>
      <w:marRight w:val="0"/>
      <w:marTop w:val="0"/>
      <w:marBottom w:val="0"/>
      <w:divBdr>
        <w:top w:val="none" w:sz="0" w:space="0" w:color="auto"/>
        <w:left w:val="none" w:sz="0" w:space="0" w:color="auto"/>
        <w:bottom w:val="none" w:sz="0" w:space="0" w:color="auto"/>
        <w:right w:val="none" w:sz="0" w:space="0" w:color="auto"/>
      </w:divBdr>
    </w:div>
    <w:div w:id="1328557765">
      <w:bodyDiv w:val="1"/>
      <w:marLeft w:val="0"/>
      <w:marRight w:val="0"/>
      <w:marTop w:val="0"/>
      <w:marBottom w:val="0"/>
      <w:divBdr>
        <w:top w:val="none" w:sz="0" w:space="0" w:color="auto"/>
        <w:left w:val="none" w:sz="0" w:space="0" w:color="auto"/>
        <w:bottom w:val="none" w:sz="0" w:space="0" w:color="auto"/>
        <w:right w:val="none" w:sz="0" w:space="0" w:color="auto"/>
      </w:divBdr>
    </w:div>
    <w:div w:id="1382636170">
      <w:bodyDiv w:val="1"/>
      <w:marLeft w:val="0"/>
      <w:marRight w:val="0"/>
      <w:marTop w:val="0"/>
      <w:marBottom w:val="0"/>
      <w:divBdr>
        <w:top w:val="none" w:sz="0" w:space="0" w:color="auto"/>
        <w:left w:val="none" w:sz="0" w:space="0" w:color="auto"/>
        <w:bottom w:val="none" w:sz="0" w:space="0" w:color="auto"/>
        <w:right w:val="none" w:sz="0" w:space="0" w:color="auto"/>
      </w:divBdr>
    </w:div>
    <w:div w:id="1392650993">
      <w:bodyDiv w:val="1"/>
      <w:marLeft w:val="0"/>
      <w:marRight w:val="0"/>
      <w:marTop w:val="0"/>
      <w:marBottom w:val="0"/>
      <w:divBdr>
        <w:top w:val="none" w:sz="0" w:space="0" w:color="auto"/>
        <w:left w:val="none" w:sz="0" w:space="0" w:color="auto"/>
        <w:bottom w:val="none" w:sz="0" w:space="0" w:color="auto"/>
        <w:right w:val="none" w:sz="0" w:space="0" w:color="auto"/>
      </w:divBdr>
    </w:div>
    <w:div w:id="1405375645">
      <w:bodyDiv w:val="1"/>
      <w:marLeft w:val="0"/>
      <w:marRight w:val="0"/>
      <w:marTop w:val="0"/>
      <w:marBottom w:val="0"/>
      <w:divBdr>
        <w:top w:val="none" w:sz="0" w:space="0" w:color="auto"/>
        <w:left w:val="none" w:sz="0" w:space="0" w:color="auto"/>
        <w:bottom w:val="none" w:sz="0" w:space="0" w:color="auto"/>
        <w:right w:val="none" w:sz="0" w:space="0" w:color="auto"/>
      </w:divBdr>
    </w:div>
    <w:div w:id="1426415481">
      <w:bodyDiv w:val="1"/>
      <w:marLeft w:val="0"/>
      <w:marRight w:val="0"/>
      <w:marTop w:val="0"/>
      <w:marBottom w:val="0"/>
      <w:divBdr>
        <w:top w:val="none" w:sz="0" w:space="0" w:color="auto"/>
        <w:left w:val="none" w:sz="0" w:space="0" w:color="auto"/>
        <w:bottom w:val="none" w:sz="0" w:space="0" w:color="auto"/>
        <w:right w:val="none" w:sz="0" w:space="0" w:color="auto"/>
      </w:divBdr>
    </w:div>
    <w:div w:id="1453210364">
      <w:bodyDiv w:val="1"/>
      <w:marLeft w:val="0"/>
      <w:marRight w:val="0"/>
      <w:marTop w:val="0"/>
      <w:marBottom w:val="0"/>
      <w:divBdr>
        <w:top w:val="none" w:sz="0" w:space="0" w:color="auto"/>
        <w:left w:val="none" w:sz="0" w:space="0" w:color="auto"/>
        <w:bottom w:val="none" w:sz="0" w:space="0" w:color="auto"/>
        <w:right w:val="none" w:sz="0" w:space="0" w:color="auto"/>
      </w:divBdr>
    </w:div>
    <w:div w:id="1462533228">
      <w:bodyDiv w:val="1"/>
      <w:marLeft w:val="0"/>
      <w:marRight w:val="0"/>
      <w:marTop w:val="0"/>
      <w:marBottom w:val="0"/>
      <w:divBdr>
        <w:top w:val="none" w:sz="0" w:space="0" w:color="auto"/>
        <w:left w:val="none" w:sz="0" w:space="0" w:color="auto"/>
        <w:bottom w:val="none" w:sz="0" w:space="0" w:color="auto"/>
        <w:right w:val="none" w:sz="0" w:space="0" w:color="auto"/>
      </w:divBdr>
    </w:div>
    <w:div w:id="1500540426">
      <w:bodyDiv w:val="1"/>
      <w:marLeft w:val="0"/>
      <w:marRight w:val="0"/>
      <w:marTop w:val="0"/>
      <w:marBottom w:val="0"/>
      <w:divBdr>
        <w:top w:val="none" w:sz="0" w:space="0" w:color="auto"/>
        <w:left w:val="none" w:sz="0" w:space="0" w:color="auto"/>
        <w:bottom w:val="none" w:sz="0" w:space="0" w:color="auto"/>
        <w:right w:val="none" w:sz="0" w:space="0" w:color="auto"/>
      </w:divBdr>
    </w:div>
    <w:div w:id="1526554432">
      <w:bodyDiv w:val="1"/>
      <w:marLeft w:val="0"/>
      <w:marRight w:val="0"/>
      <w:marTop w:val="0"/>
      <w:marBottom w:val="0"/>
      <w:divBdr>
        <w:top w:val="none" w:sz="0" w:space="0" w:color="auto"/>
        <w:left w:val="none" w:sz="0" w:space="0" w:color="auto"/>
        <w:bottom w:val="none" w:sz="0" w:space="0" w:color="auto"/>
        <w:right w:val="none" w:sz="0" w:space="0" w:color="auto"/>
      </w:divBdr>
    </w:div>
    <w:div w:id="1535195315">
      <w:bodyDiv w:val="1"/>
      <w:marLeft w:val="0"/>
      <w:marRight w:val="0"/>
      <w:marTop w:val="0"/>
      <w:marBottom w:val="0"/>
      <w:divBdr>
        <w:top w:val="none" w:sz="0" w:space="0" w:color="auto"/>
        <w:left w:val="none" w:sz="0" w:space="0" w:color="auto"/>
        <w:bottom w:val="none" w:sz="0" w:space="0" w:color="auto"/>
        <w:right w:val="none" w:sz="0" w:space="0" w:color="auto"/>
      </w:divBdr>
    </w:div>
    <w:div w:id="1594508181">
      <w:bodyDiv w:val="1"/>
      <w:marLeft w:val="0"/>
      <w:marRight w:val="0"/>
      <w:marTop w:val="0"/>
      <w:marBottom w:val="0"/>
      <w:divBdr>
        <w:top w:val="none" w:sz="0" w:space="0" w:color="auto"/>
        <w:left w:val="none" w:sz="0" w:space="0" w:color="auto"/>
        <w:bottom w:val="none" w:sz="0" w:space="0" w:color="auto"/>
        <w:right w:val="none" w:sz="0" w:space="0" w:color="auto"/>
      </w:divBdr>
    </w:div>
    <w:div w:id="1596093750">
      <w:bodyDiv w:val="1"/>
      <w:marLeft w:val="0"/>
      <w:marRight w:val="0"/>
      <w:marTop w:val="0"/>
      <w:marBottom w:val="0"/>
      <w:divBdr>
        <w:top w:val="none" w:sz="0" w:space="0" w:color="auto"/>
        <w:left w:val="none" w:sz="0" w:space="0" w:color="auto"/>
        <w:bottom w:val="none" w:sz="0" w:space="0" w:color="auto"/>
        <w:right w:val="none" w:sz="0" w:space="0" w:color="auto"/>
      </w:divBdr>
    </w:div>
    <w:div w:id="1666786771">
      <w:bodyDiv w:val="1"/>
      <w:marLeft w:val="0"/>
      <w:marRight w:val="0"/>
      <w:marTop w:val="0"/>
      <w:marBottom w:val="0"/>
      <w:divBdr>
        <w:top w:val="none" w:sz="0" w:space="0" w:color="auto"/>
        <w:left w:val="none" w:sz="0" w:space="0" w:color="auto"/>
        <w:bottom w:val="none" w:sz="0" w:space="0" w:color="auto"/>
        <w:right w:val="none" w:sz="0" w:space="0" w:color="auto"/>
      </w:divBdr>
    </w:div>
    <w:div w:id="1780831569">
      <w:bodyDiv w:val="1"/>
      <w:marLeft w:val="0"/>
      <w:marRight w:val="0"/>
      <w:marTop w:val="0"/>
      <w:marBottom w:val="0"/>
      <w:divBdr>
        <w:top w:val="none" w:sz="0" w:space="0" w:color="auto"/>
        <w:left w:val="none" w:sz="0" w:space="0" w:color="auto"/>
        <w:bottom w:val="none" w:sz="0" w:space="0" w:color="auto"/>
        <w:right w:val="none" w:sz="0" w:space="0" w:color="auto"/>
      </w:divBdr>
    </w:div>
    <w:div w:id="1842311743">
      <w:bodyDiv w:val="1"/>
      <w:marLeft w:val="0"/>
      <w:marRight w:val="0"/>
      <w:marTop w:val="0"/>
      <w:marBottom w:val="0"/>
      <w:divBdr>
        <w:top w:val="none" w:sz="0" w:space="0" w:color="auto"/>
        <w:left w:val="none" w:sz="0" w:space="0" w:color="auto"/>
        <w:bottom w:val="none" w:sz="0" w:space="0" w:color="auto"/>
        <w:right w:val="none" w:sz="0" w:space="0" w:color="auto"/>
      </w:divBdr>
    </w:div>
    <w:div w:id="1845047089">
      <w:bodyDiv w:val="1"/>
      <w:marLeft w:val="0"/>
      <w:marRight w:val="0"/>
      <w:marTop w:val="0"/>
      <w:marBottom w:val="0"/>
      <w:divBdr>
        <w:top w:val="none" w:sz="0" w:space="0" w:color="auto"/>
        <w:left w:val="none" w:sz="0" w:space="0" w:color="auto"/>
        <w:bottom w:val="none" w:sz="0" w:space="0" w:color="auto"/>
        <w:right w:val="none" w:sz="0" w:space="0" w:color="auto"/>
      </w:divBdr>
    </w:div>
    <w:div w:id="206235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ass.gov/doc/how-to-interpret-my-pfas-laboratory-report/download" TargetMode="External"/><Relationship Id="rId21" Type="http://schemas.openxmlformats.org/officeDocument/2006/relationships/hyperlink" Target="https://portal.ct.gov/-/media/Departments-and-Agencies/DPH/dph/environmental_health/eoha/ATSDR/OSullivans-Island-PCBs-and-PFAS-in-fish.pdf?la=en" TargetMode="External"/><Relationship Id="rId34" Type="http://schemas.openxmlformats.org/officeDocument/2006/relationships/header" Target="header10.xml"/><Relationship Id="rId42" Type="http://schemas.openxmlformats.org/officeDocument/2006/relationships/hyperlink" Target="https://www.cdc.gov/exposurereport/report/pdf/Perfluoroalkyl%20and%20Polyfluoroalkyl%20Substances%20--%20Surfactants%20NHANES-p.pdf" TargetMode="External"/><Relationship Id="rId47" Type="http://schemas.openxmlformats.org/officeDocument/2006/relationships/hyperlink" Target="https://cfpub.epa.gov/ncea/risk/recordisplay.cfm?deid=236252%20" TargetMode="External"/><Relationship Id="rId50" Type="http://schemas.openxmlformats.org/officeDocument/2006/relationships/header" Target="header19.xml"/><Relationship Id="rId55" Type="http://schemas.openxmlformats.org/officeDocument/2006/relationships/header" Target="header22.xml"/><Relationship Id="rId63"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cfpub.epa.gov/ncea/risk/recordisplay.cfm?deid=236252%20" TargetMode="External"/><Relationship Id="rId11" Type="http://schemas.openxmlformats.org/officeDocument/2006/relationships/header" Target="header2.xml"/><Relationship Id="rId24" Type="http://schemas.openxmlformats.org/officeDocument/2006/relationships/hyperlink" Target="https://www.mass.gov/doc/technical-update-default-fish-ingestion-rates-and-exposure-assumptions-for-human-health-risk/download" TargetMode="External"/><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yperlink" Target="https://www.mass.gov/guides/drinking-water-standards-and-guidelines" TargetMode="External"/><Relationship Id="rId53" Type="http://schemas.openxmlformats.org/officeDocument/2006/relationships/header" Target="header21.xml"/><Relationship Id="rId58" Type="http://schemas.openxmlformats.org/officeDocument/2006/relationships/hyperlink" Target="https://www.maine.gov/dhhs/mecdc/environmental-health/eohp/fish/documents/pfas-fish-science-brief-05052022.pdf" TargetMode="External"/><Relationship Id="rId5" Type="http://schemas.openxmlformats.org/officeDocument/2006/relationships/webSettings" Target="webSettings.xml"/><Relationship Id="rId61" Type="http://schemas.openxmlformats.org/officeDocument/2006/relationships/hyperlink" Target="https://www.oregon.gov/oha/PH/HEALTHYENVIRONMENTS/RECREATION/FISHCONSUMPTION/SiteAssets/Pages/fishadvisories/Fish%20Consumption%20Advisory%20SOG%20Final-May2022.pdf" TargetMode="External"/><Relationship Id="rId19" Type="http://schemas.openxmlformats.org/officeDocument/2006/relationships/hyperlink" Target="https://www.atsdr.cdc.gov/ToxProfiles/tp200.pdf" TargetMode="External"/><Relationship Id="rId14" Type="http://schemas.openxmlformats.org/officeDocument/2006/relationships/footer" Target="footer3.xml"/><Relationship Id="rId22" Type="http://schemas.openxmlformats.org/officeDocument/2006/relationships/hyperlink" Target="https://www.health.state.mn.us/communities/environment/fish/docs/consortium/bestpracticepfos.pdf" TargetMode="External"/><Relationship Id="rId27" Type="http://schemas.openxmlformats.org/officeDocument/2006/relationships/hyperlink" Target="https://www.michigan.gov/documents/mdch/MFCAP_Guidance_Document_500546_7.pdf" TargetMode="External"/><Relationship Id="rId30" Type="http://schemas.openxmlformats.org/officeDocument/2006/relationships/hyperlink" Target="https://www.fda.gov/food/consumers/questions-answers-fdaepa-advice-about-eating-fish-women-who-are-or-might-become-pregnant" TargetMode="External"/><Relationship Id="rId35" Type="http://schemas.openxmlformats.org/officeDocument/2006/relationships/footer" Target="footer5.xml"/><Relationship Id="rId43" Type="http://schemas.openxmlformats.org/officeDocument/2006/relationships/hyperlink" Target="https://www.cdc.gov/exposurereport/overview_ner.html" TargetMode="External"/><Relationship Id="rId48" Type="http://schemas.openxmlformats.org/officeDocument/2006/relationships/header" Target="header17.xml"/><Relationship Id="rId56" Type="http://schemas.openxmlformats.org/officeDocument/2006/relationships/hyperlink" Target="https://portal.ct.gov/-/media/Departments-and-Agencies/DPH/dph/environmental_health/eoha/ATSDR/OSullivans-Island-PCBs-and-PFAS-in-fish.pdf?la=en"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mass.gov/info-details/per-and-polyfluoroalkyl-substances-pfas" TargetMode="External"/><Relationship Id="rId33" Type="http://schemas.openxmlformats.org/officeDocument/2006/relationships/header" Target="header9.xml"/><Relationship Id="rId38" Type="http://schemas.openxmlformats.org/officeDocument/2006/relationships/header" Target="header13.xml"/><Relationship Id="rId46" Type="http://schemas.openxmlformats.org/officeDocument/2006/relationships/hyperlink" Target="https://www.epa.gov/sites/production/files/2018-10/documents/methodology-wqc-protection-hh-2000.pdf" TargetMode="External"/><Relationship Id="rId59" Type="http://schemas.openxmlformats.org/officeDocument/2006/relationships/hyperlink" Target="https://www.michigan.gov/documents/mdch/MFCAP_Guidance_Document_500546_7.pdf" TargetMode="External"/><Relationship Id="rId20" Type="http://schemas.openxmlformats.org/officeDocument/2006/relationships/hyperlink" Target="https://www.cdc.gov/exposurereport/report/pdf/Perfluoroalkyl%20and%20Polyfluoroalkyl%20Substances%20--%20Surfactants%20NHANES-p.pdf" TargetMode="External"/><Relationship Id="rId41" Type="http://schemas.openxmlformats.org/officeDocument/2006/relationships/header" Target="header16.xml"/><Relationship Id="rId54" Type="http://schemas.openxmlformats.org/officeDocument/2006/relationships/footer" Target="footer7.xml"/><Relationship Id="rId62"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mass.gov/doc/wscors-95-141-guidance-for-disposal-site-risk-characterization-chapter-7-0/download" TargetMode="External"/><Relationship Id="rId28" Type="http://schemas.openxmlformats.org/officeDocument/2006/relationships/hyperlink" Target="https://www.epa.gov/sites/default/files/2015-06/documents/volume2.pdf" TargetMode="External"/><Relationship Id="rId36" Type="http://schemas.openxmlformats.org/officeDocument/2006/relationships/header" Target="header11.xml"/><Relationship Id="rId49" Type="http://schemas.openxmlformats.org/officeDocument/2006/relationships/header" Target="header18.xml"/><Relationship Id="rId57" Type="http://schemas.openxmlformats.org/officeDocument/2006/relationships/hyperlink" Target="https://www.health.state.mn.us/communities/environment/fish/docs/consortium/bestpracticepfos.pdf" TargetMode="External"/><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hyperlink" Target="https://www.mass.gov/lists/risk-assessment-information" TargetMode="External"/><Relationship Id="rId52" Type="http://schemas.openxmlformats.org/officeDocument/2006/relationships/header" Target="header20.xml"/><Relationship Id="rId60" Type="http://schemas.openxmlformats.org/officeDocument/2006/relationships/hyperlink" Target="https://www.nj.gov/dep/dsr/publications/Investigation%20of%20Levels%20of%20Perfluorinated%20Compounds%20in%20New%20Jersey%20Fish,%20Surface%20Water,%20and%20Sediment.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2B414-A6A0-484E-9236-B16B2215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10678</Words>
  <Characters>60867</Characters>
  <Application>Microsoft Office Word</Application>
  <DocSecurity>0</DocSecurity>
  <Lines>507</Lines>
  <Paragraphs>142</Paragraphs>
  <ScaleCrop>false</ScaleCrop>
  <Company/>
  <LinksUpToDate>false</LinksUpToDate>
  <CharactersWithSpaces>71403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Seeley, Mara (DPH)</cp:lastModifiedBy>
  <cp:revision>3</cp:revision>
  <dcterms:created xsi:type="dcterms:W3CDTF">2024-05-14T14:03:00Z</dcterms:created>
  <dcterms:modified xsi:type="dcterms:W3CDTF">2024-05-14T14:07:00Z</dcterms:modified>
</cp:coreProperties>
</file>