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756F6" w14:textId="78E10C5B" w:rsidR="00772D6D" w:rsidRPr="00FF7603" w:rsidRDefault="00907BD5" w:rsidP="00357625">
      <w:pPr>
        <w:jc w:val="center"/>
        <w:rPr>
          <w:b/>
          <w:color w:val="1F3864" w:themeColor="accent1" w:themeShade="80"/>
          <w:sz w:val="28"/>
          <w:szCs w:val="28"/>
        </w:rPr>
      </w:pPr>
      <w:bookmarkStart w:id="0" w:name="_GoBack"/>
      <w:bookmarkEnd w:id="0"/>
      <w:r>
        <w:rPr>
          <w:b/>
          <w:color w:val="1F3864" w:themeColor="accent1" w:themeShade="80"/>
          <w:sz w:val="28"/>
          <w:szCs w:val="28"/>
        </w:rPr>
        <w:t>Technical Refresh</w:t>
      </w:r>
      <w:r w:rsidR="00865822" w:rsidRPr="00FF7603">
        <w:rPr>
          <w:b/>
          <w:color w:val="1F3864" w:themeColor="accent1" w:themeShade="80"/>
          <w:sz w:val="28"/>
          <w:szCs w:val="28"/>
        </w:rPr>
        <w:t xml:space="preserve"> –</w:t>
      </w:r>
      <w:r w:rsidR="006A6C1D" w:rsidRPr="00FF7603">
        <w:rPr>
          <w:b/>
          <w:color w:val="1F3864" w:themeColor="accent1" w:themeShade="80"/>
          <w:sz w:val="28"/>
          <w:szCs w:val="28"/>
        </w:rPr>
        <w:t xml:space="preserve"> Key Concepts</w:t>
      </w:r>
    </w:p>
    <w:p w14:paraId="4E6D826A" w14:textId="68AE0187" w:rsidR="007C7992" w:rsidRDefault="0090225E" w:rsidP="00CA2866">
      <w:pPr>
        <w:spacing w:after="360"/>
        <w:rPr>
          <w:color w:val="1F3864" w:themeColor="accent1" w:themeShade="80"/>
        </w:rPr>
      </w:pPr>
      <w:r w:rsidRPr="00673D06">
        <w:rPr>
          <w:color w:val="1F3864" w:themeColor="accent1" w:themeShade="80"/>
        </w:rPr>
        <w:t xml:space="preserve">MassHealth will </w:t>
      </w:r>
      <w:r w:rsidR="00FB4C63">
        <w:rPr>
          <w:color w:val="1F3864" w:themeColor="accent1" w:themeShade="80"/>
        </w:rPr>
        <w:t xml:space="preserve">fully </w:t>
      </w:r>
      <w:r w:rsidR="003A5026">
        <w:rPr>
          <w:color w:val="1F3864" w:themeColor="accent1" w:themeShade="80"/>
        </w:rPr>
        <w:t xml:space="preserve">implement phase II of the </w:t>
      </w:r>
      <w:r w:rsidR="00907BD5">
        <w:rPr>
          <w:color w:val="1F3864" w:themeColor="accent1" w:themeShade="80"/>
        </w:rPr>
        <w:t>Technical Refresh</w:t>
      </w:r>
      <w:r w:rsidRPr="00673D06">
        <w:rPr>
          <w:color w:val="1F3864" w:themeColor="accent1" w:themeShade="80"/>
        </w:rPr>
        <w:t xml:space="preserve"> initiative </w:t>
      </w:r>
      <w:r w:rsidR="00197997">
        <w:rPr>
          <w:color w:val="1F3864" w:themeColor="accent1" w:themeShade="80"/>
        </w:rPr>
        <w:t>in</w:t>
      </w:r>
      <w:r w:rsidR="00F12E4D">
        <w:rPr>
          <w:color w:val="1F3864" w:themeColor="accent1" w:themeShade="80"/>
        </w:rPr>
        <w:t xml:space="preserve"> March</w:t>
      </w:r>
      <w:r w:rsidR="00741A07">
        <w:rPr>
          <w:color w:val="1F3864" w:themeColor="accent1" w:themeShade="80"/>
        </w:rPr>
        <w:t>,</w:t>
      </w:r>
      <w:r w:rsidR="00F12E4D">
        <w:rPr>
          <w:color w:val="1F3864" w:themeColor="accent1" w:themeShade="80"/>
        </w:rPr>
        <w:t xml:space="preserve"> 2020</w:t>
      </w:r>
      <w:r w:rsidR="00271030">
        <w:rPr>
          <w:color w:val="1F3864" w:themeColor="accent1" w:themeShade="80"/>
        </w:rPr>
        <w:t xml:space="preserve">. </w:t>
      </w:r>
      <w:r w:rsidR="0018625D">
        <w:rPr>
          <w:color w:val="1F3864" w:themeColor="accent1" w:themeShade="80"/>
        </w:rPr>
        <w:t xml:space="preserve">MassHealth intends to </w:t>
      </w:r>
      <w:r w:rsidR="005B2219">
        <w:rPr>
          <w:color w:val="1F3864" w:themeColor="accent1" w:themeShade="80"/>
        </w:rPr>
        <w:t xml:space="preserve">minimize the impact of </w:t>
      </w:r>
      <w:r w:rsidR="009F1F37">
        <w:rPr>
          <w:color w:val="1F3864" w:themeColor="accent1" w:themeShade="80"/>
        </w:rPr>
        <w:t xml:space="preserve">this transition to </w:t>
      </w:r>
      <w:r w:rsidR="00494122">
        <w:rPr>
          <w:color w:val="1F3864" w:themeColor="accent1" w:themeShade="80"/>
        </w:rPr>
        <w:t xml:space="preserve">its </w:t>
      </w:r>
      <w:r w:rsidR="005B2219">
        <w:rPr>
          <w:color w:val="1F3864" w:themeColor="accent1" w:themeShade="80"/>
        </w:rPr>
        <w:t>trading partners</w:t>
      </w:r>
      <w:r w:rsidR="009E71C8">
        <w:rPr>
          <w:color w:val="1F3864" w:themeColor="accent1" w:themeShade="80"/>
        </w:rPr>
        <w:t xml:space="preserve">.  MassHealth will </w:t>
      </w:r>
      <w:r w:rsidR="0018625D">
        <w:rPr>
          <w:color w:val="1F3864" w:themeColor="accent1" w:themeShade="80"/>
        </w:rPr>
        <w:t>limit the number of required systems changes</w:t>
      </w:r>
      <w:r w:rsidR="009E71C8">
        <w:rPr>
          <w:color w:val="1F3864" w:themeColor="accent1" w:themeShade="80"/>
        </w:rPr>
        <w:t xml:space="preserve"> </w:t>
      </w:r>
      <w:r w:rsidR="00B9617B">
        <w:rPr>
          <w:color w:val="1F3864" w:themeColor="accent1" w:themeShade="80"/>
        </w:rPr>
        <w:t>to the extent possible</w:t>
      </w:r>
      <w:r w:rsidR="0018625D">
        <w:rPr>
          <w:color w:val="1F3864" w:themeColor="accent1" w:themeShade="80"/>
        </w:rPr>
        <w:t xml:space="preserve">.  </w:t>
      </w:r>
      <w:r w:rsidRPr="00673D06">
        <w:rPr>
          <w:color w:val="1F3864" w:themeColor="accent1" w:themeShade="80"/>
        </w:rPr>
        <w:t>The key concepts of this project are noted below</w:t>
      </w:r>
      <w:r w:rsidR="00741A07">
        <w:rPr>
          <w:color w:val="1F3864" w:themeColor="accent1" w:themeShade="80"/>
        </w:rPr>
        <w:t>.</w:t>
      </w:r>
    </w:p>
    <w:p w14:paraId="5A30FA18" w14:textId="01C9541D" w:rsidR="007C7992" w:rsidRDefault="007C7992" w:rsidP="007C7992">
      <w:pPr>
        <w:jc w:val="center"/>
        <w:rPr>
          <w:color w:val="1F3864" w:themeColor="accent1" w:themeShade="80"/>
        </w:rPr>
      </w:pPr>
      <w:r w:rsidRPr="007C7992">
        <w:rPr>
          <w:b/>
          <w:color w:val="1F3864" w:themeColor="accent1" w:themeShade="80"/>
          <w:sz w:val="28"/>
          <w:szCs w:val="28"/>
        </w:rPr>
        <w:t xml:space="preserve">Common Questions about the MassHealth </w:t>
      </w:r>
      <w:r w:rsidR="00907BD5">
        <w:rPr>
          <w:b/>
          <w:color w:val="1F3864" w:themeColor="accent1" w:themeShade="80"/>
          <w:sz w:val="28"/>
          <w:szCs w:val="28"/>
        </w:rPr>
        <w:t>Technical Refresh</w:t>
      </w:r>
      <w:r w:rsidRPr="007C7992">
        <w:rPr>
          <w:b/>
          <w:color w:val="1F3864" w:themeColor="accent1" w:themeShade="80"/>
          <w:sz w:val="28"/>
          <w:szCs w:val="28"/>
        </w:rPr>
        <w:t xml:space="preserve"> Initiative</w:t>
      </w:r>
    </w:p>
    <w:tbl>
      <w:tblPr>
        <w:tblStyle w:val="TableGrid"/>
        <w:tblW w:w="0" w:type="auto"/>
        <w:tblBorders>
          <w:insideH w:val="single" w:sz="6" w:space="0" w:color="auto"/>
          <w:insideV w:val="single" w:sz="6" w:space="0" w:color="auto"/>
        </w:tblBorders>
        <w:tblLook w:val="04A0" w:firstRow="1" w:lastRow="0" w:firstColumn="1" w:lastColumn="0" w:noHBand="0" w:noVBand="1"/>
        <w:tblCaption w:val="Technical Refresh – Key Concepts"/>
        <w:tblDescription w:val="Table provides answers to key questions about the MassHealth Technical Refresh initiative."/>
      </w:tblPr>
      <w:tblGrid>
        <w:gridCol w:w="2605"/>
        <w:gridCol w:w="8185"/>
      </w:tblGrid>
      <w:tr w:rsidR="006A6C1D" w14:paraId="5AADABCA" w14:textId="77777777" w:rsidTr="007C7992">
        <w:trPr>
          <w:cantSplit/>
          <w:tblHeader/>
        </w:trPr>
        <w:tc>
          <w:tcPr>
            <w:tcW w:w="2605" w:type="dxa"/>
            <w:tcBorders>
              <w:top w:val="single" w:sz="6" w:space="0" w:color="auto"/>
              <w:bottom w:val="single" w:sz="6" w:space="0" w:color="auto"/>
            </w:tcBorders>
            <w:shd w:val="clear" w:color="auto" w:fill="002060"/>
          </w:tcPr>
          <w:p w14:paraId="4A027229" w14:textId="2F374817" w:rsidR="006A6C1D" w:rsidRPr="007C7992" w:rsidRDefault="006A6C1D" w:rsidP="00BF639D">
            <w:pPr>
              <w:rPr>
                <w:b/>
                <w:color w:val="FFFFFF" w:themeColor="background1"/>
                <w:sz w:val="20"/>
                <w:szCs w:val="20"/>
              </w:rPr>
            </w:pPr>
            <w:bookmarkStart w:id="1" w:name="_Hlk524582852"/>
            <w:r w:rsidRPr="007C7992">
              <w:rPr>
                <w:b/>
                <w:color w:val="FFFFFF" w:themeColor="background1"/>
                <w:sz w:val="20"/>
                <w:szCs w:val="20"/>
              </w:rPr>
              <w:t xml:space="preserve">What is </w:t>
            </w:r>
            <w:r w:rsidR="00043FD6" w:rsidRPr="007C7992">
              <w:rPr>
                <w:b/>
                <w:color w:val="FFFFFF" w:themeColor="background1"/>
                <w:sz w:val="20"/>
                <w:szCs w:val="20"/>
              </w:rPr>
              <w:t xml:space="preserve">the </w:t>
            </w:r>
            <w:r w:rsidR="00907BD5">
              <w:rPr>
                <w:b/>
                <w:color w:val="FFFFFF" w:themeColor="background1"/>
                <w:sz w:val="20"/>
                <w:szCs w:val="20"/>
              </w:rPr>
              <w:t>Technical Refresh</w:t>
            </w:r>
            <w:r w:rsidRPr="007C7992">
              <w:rPr>
                <w:b/>
                <w:color w:val="FFFFFF" w:themeColor="background1"/>
                <w:sz w:val="20"/>
                <w:szCs w:val="20"/>
              </w:rPr>
              <w:t>?</w:t>
            </w:r>
          </w:p>
        </w:tc>
        <w:tc>
          <w:tcPr>
            <w:tcW w:w="8185" w:type="dxa"/>
          </w:tcPr>
          <w:p w14:paraId="39465813" w14:textId="76308FD3" w:rsidR="00043FD6" w:rsidRPr="00FF7603" w:rsidRDefault="0090225E" w:rsidP="003B7F4A">
            <w:pPr>
              <w:spacing w:after="120"/>
              <w:rPr>
                <w:sz w:val="20"/>
                <w:szCs w:val="20"/>
              </w:rPr>
            </w:pPr>
            <w:r w:rsidRPr="00FF7603">
              <w:rPr>
                <w:sz w:val="20"/>
                <w:szCs w:val="20"/>
              </w:rPr>
              <w:t xml:space="preserve">The </w:t>
            </w:r>
            <w:r w:rsidR="00907BD5">
              <w:rPr>
                <w:sz w:val="20"/>
                <w:szCs w:val="20"/>
              </w:rPr>
              <w:t>Technical Refresh</w:t>
            </w:r>
            <w:r w:rsidRPr="00FF7603">
              <w:rPr>
                <w:sz w:val="20"/>
                <w:szCs w:val="20"/>
              </w:rPr>
              <w:t xml:space="preserve"> project requires that </w:t>
            </w:r>
            <w:r w:rsidR="00043FD6" w:rsidRPr="00FF7603">
              <w:rPr>
                <w:sz w:val="20"/>
                <w:szCs w:val="20"/>
              </w:rPr>
              <w:t xml:space="preserve">MassHealth replace its </w:t>
            </w:r>
            <w:r w:rsidR="00CA223F" w:rsidRPr="00FF7603">
              <w:rPr>
                <w:sz w:val="20"/>
                <w:szCs w:val="20"/>
              </w:rPr>
              <w:t xml:space="preserve">“end of life” </w:t>
            </w:r>
            <w:r w:rsidR="00043FD6" w:rsidRPr="00FF7603">
              <w:rPr>
                <w:sz w:val="20"/>
                <w:szCs w:val="20"/>
              </w:rPr>
              <w:t xml:space="preserve">HIPAA </w:t>
            </w:r>
            <w:r w:rsidR="007C3006" w:rsidRPr="00FF7603">
              <w:rPr>
                <w:sz w:val="20"/>
                <w:szCs w:val="20"/>
              </w:rPr>
              <w:t xml:space="preserve">compliance and </w:t>
            </w:r>
            <w:r w:rsidR="00043FD6" w:rsidRPr="00FF7603">
              <w:rPr>
                <w:sz w:val="20"/>
                <w:szCs w:val="20"/>
              </w:rPr>
              <w:t>translator</w:t>
            </w:r>
            <w:r w:rsidR="007C3006" w:rsidRPr="00FF7603">
              <w:rPr>
                <w:sz w:val="20"/>
                <w:szCs w:val="20"/>
              </w:rPr>
              <w:t xml:space="preserve"> tool</w:t>
            </w:r>
            <w:r w:rsidR="00043FD6" w:rsidRPr="00FF7603">
              <w:rPr>
                <w:sz w:val="20"/>
                <w:szCs w:val="20"/>
              </w:rPr>
              <w:t>. The t</w:t>
            </w:r>
            <w:r w:rsidR="007C3006" w:rsidRPr="00FF7603">
              <w:rPr>
                <w:sz w:val="20"/>
                <w:szCs w:val="20"/>
              </w:rPr>
              <w:t>ool</w:t>
            </w:r>
            <w:r w:rsidR="00043FD6" w:rsidRPr="00FF7603">
              <w:rPr>
                <w:sz w:val="20"/>
                <w:szCs w:val="20"/>
              </w:rPr>
              <w:t xml:space="preserve"> is used to </w:t>
            </w:r>
            <w:r w:rsidR="007C3006" w:rsidRPr="00FF7603">
              <w:rPr>
                <w:sz w:val="20"/>
                <w:szCs w:val="20"/>
              </w:rPr>
              <w:t xml:space="preserve">validate HIPAA compliance and </w:t>
            </w:r>
            <w:r w:rsidR="00043FD6" w:rsidRPr="00FF7603">
              <w:rPr>
                <w:sz w:val="20"/>
                <w:szCs w:val="20"/>
              </w:rPr>
              <w:t xml:space="preserve">translate the HIPAA compliant transactions to </w:t>
            </w:r>
            <w:r w:rsidR="007A6CE6" w:rsidRPr="00FF7603">
              <w:rPr>
                <w:sz w:val="20"/>
                <w:szCs w:val="20"/>
              </w:rPr>
              <w:t xml:space="preserve">an </w:t>
            </w:r>
            <w:r w:rsidR="00043FD6" w:rsidRPr="00FF7603">
              <w:rPr>
                <w:sz w:val="20"/>
                <w:szCs w:val="20"/>
              </w:rPr>
              <w:t xml:space="preserve">XML </w:t>
            </w:r>
            <w:r w:rsidR="007A6CE6" w:rsidRPr="00FF7603">
              <w:rPr>
                <w:sz w:val="20"/>
                <w:szCs w:val="20"/>
              </w:rPr>
              <w:t xml:space="preserve">format </w:t>
            </w:r>
            <w:r w:rsidR="00043FD6" w:rsidRPr="00FF7603">
              <w:rPr>
                <w:sz w:val="20"/>
                <w:szCs w:val="20"/>
              </w:rPr>
              <w:t xml:space="preserve">so that they can be processed </w:t>
            </w:r>
            <w:r w:rsidR="00BF639D" w:rsidRPr="00FF7603">
              <w:rPr>
                <w:sz w:val="20"/>
                <w:szCs w:val="20"/>
              </w:rPr>
              <w:t>with</w:t>
            </w:r>
            <w:r w:rsidR="00043FD6" w:rsidRPr="00FF7603">
              <w:rPr>
                <w:sz w:val="20"/>
                <w:szCs w:val="20"/>
              </w:rPr>
              <w:t xml:space="preserve">in </w:t>
            </w:r>
            <w:proofErr w:type="spellStart"/>
            <w:r w:rsidR="00C65FC7" w:rsidRPr="00FF7603">
              <w:rPr>
                <w:sz w:val="20"/>
                <w:szCs w:val="20"/>
              </w:rPr>
              <w:t>MassHealth’s</w:t>
            </w:r>
            <w:proofErr w:type="spellEnd"/>
            <w:r w:rsidR="00C65FC7" w:rsidRPr="00FF7603">
              <w:rPr>
                <w:sz w:val="20"/>
                <w:szCs w:val="20"/>
              </w:rPr>
              <w:t xml:space="preserve"> Medicaid Management Information System (</w:t>
            </w:r>
            <w:r w:rsidR="00043FD6" w:rsidRPr="00FF7603">
              <w:rPr>
                <w:sz w:val="20"/>
                <w:szCs w:val="20"/>
              </w:rPr>
              <w:t>MMIS</w:t>
            </w:r>
            <w:r w:rsidR="00C65FC7" w:rsidRPr="00FF7603">
              <w:rPr>
                <w:sz w:val="20"/>
                <w:szCs w:val="20"/>
              </w:rPr>
              <w:t>)</w:t>
            </w:r>
            <w:r w:rsidR="00043FD6" w:rsidRPr="00FF7603">
              <w:rPr>
                <w:sz w:val="20"/>
                <w:szCs w:val="20"/>
              </w:rPr>
              <w:t>.</w:t>
            </w:r>
            <w:r w:rsidR="003B7F4A" w:rsidRPr="00FF7603">
              <w:rPr>
                <w:sz w:val="20"/>
                <w:szCs w:val="20"/>
              </w:rPr>
              <w:t xml:space="preserve"> </w:t>
            </w:r>
          </w:p>
        </w:tc>
      </w:tr>
      <w:tr w:rsidR="006A6C1D" w14:paraId="795B96F6" w14:textId="77777777" w:rsidTr="007C7992">
        <w:trPr>
          <w:cantSplit/>
          <w:tblHeader/>
        </w:trPr>
        <w:tc>
          <w:tcPr>
            <w:tcW w:w="2605" w:type="dxa"/>
            <w:tcBorders>
              <w:top w:val="single" w:sz="6" w:space="0" w:color="auto"/>
              <w:bottom w:val="single" w:sz="6" w:space="0" w:color="auto"/>
            </w:tcBorders>
            <w:shd w:val="clear" w:color="auto" w:fill="002060"/>
          </w:tcPr>
          <w:p w14:paraId="53A44AE2" w14:textId="77777777" w:rsidR="006A6C1D" w:rsidRPr="007C7992" w:rsidRDefault="006A6C1D" w:rsidP="00BF639D">
            <w:pPr>
              <w:rPr>
                <w:b/>
                <w:color w:val="FFFFFF" w:themeColor="background1"/>
                <w:sz w:val="20"/>
                <w:szCs w:val="20"/>
              </w:rPr>
            </w:pPr>
            <w:r w:rsidRPr="007C7992">
              <w:rPr>
                <w:b/>
                <w:color w:val="FFFFFF" w:themeColor="background1"/>
                <w:sz w:val="20"/>
                <w:szCs w:val="20"/>
              </w:rPr>
              <w:t xml:space="preserve">What </w:t>
            </w:r>
            <w:r w:rsidR="00F12E4D" w:rsidRPr="007C7992">
              <w:rPr>
                <w:b/>
                <w:color w:val="FFFFFF" w:themeColor="background1"/>
                <w:sz w:val="20"/>
                <w:szCs w:val="20"/>
              </w:rPr>
              <w:t xml:space="preserve">HIPAA </w:t>
            </w:r>
            <w:r w:rsidRPr="007C7992">
              <w:rPr>
                <w:b/>
                <w:color w:val="FFFFFF" w:themeColor="background1"/>
                <w:sz w:val="20"/>
                <w:szCs w:val="20"/>
              </w:rPr>
              <w:t>Transactions are affected?</w:t>
            </w:r>
          </w:p>
        </w:tc>
        <w:tc>
          <w:tcPr>
            <w:tcW w:w="8185" w:type="dxa"/>
          </w:tcPr>
          <w:p w14:paraId="19BC6427" w14:textId="043E137E" w:rsidR="00CA223F" w:rsidRPr="00FF7603" w:rsidRDefault="00BF639D" w:rsidP="003B7F4A">
            <w:pPr>
              <w:spacing w:after="120"/>
              <w:rPr>
                <w:sz w:val="20"/>
                <w:szCs w:val="20"/>
              </w:rPr>
            </w:pPr>
            <w:r w:rsidRPr="00FF7603">
              <w:rPr>
                <w:sz w:val="20"/>
                <w:szCs w:val="20"/>
              </w:rPr>
              <w:t xml:space="preserve">All HIPAA transactions </w:t>
            </w:r>
            <w:r w:rsidR="00AA3484" w:rsidRPr="00FF7603">
              <w:rPr>
                <w:sz w:val="20"/>
                <w:szCs w:val="20"/>
              </w:rPr>
              <w:t xml:space="preserve">(inbound/outbound) processed through </w:t>
            </w:r>
            <w:proofErr w:type="spellStart"/>
            <w:r w:rsidRPr="00FF7603">
              <w:rPr>
                <w:sz w:val="20"/>
                <w:szCs w:val="20"/>
              </w:rPr>
              <w:t>MassHealth</w:t>
            </w:r>
            <w:r w:rsidR="00AA3484" w:rsidRPr="00FF7603">
              <w:rPr>
                <w:sz w:val="20"/>
                <w:szCs w:val="20"/>
              </w:rPr>
              <w:t>’s</w:t>
            </w:r>
            <w:proofErr w:type="spellEnd"/>
            <w:r w:rsidR="00312F33" w:rsidRPr="00FF7603">
              <w:rPr>
                <w:sz w:val="20"/>
                <w:szCs w:val="20"/>
              </w:rPr>
              <w:t xml:space="preserve"> </w:t>
            </w:r>
            <w:r w:rsidR="00AA3484" w:rsidRPr="00FF7603">
              <w:rPr>
                <w:sz w:val="20"/>
                <w:szCs w:val="20"/>
              </w:rPr>
              <w:t>MMIS</w:t>
            </w:r>
            <w:r w:rsidRPr="00FF7603">
              <w:rPr>
                <w:sz w:val="20"/>
                <w:szCs w:val="20"/>
              </w:rPr>
              <w:t xml:space="preserve"> </w:t>
            </w:r>
            <w:r w:rsidR="0090225E" w:rsidRPr="00FF7603">
              <w:rPr>
                <w:sz w:val="20"/>
                <w:szCs w:val="20"/>
              </w:rPr>
              <w:t xml:space="preserve">will </w:t>
            </w:r>
            <w:r w:rsidRPr="00FF7603">
              <w:rPr>
                <w:sz w:val="20"/>
                <w:szCs w:val="20"/>
              </w:rPr>
              <w:t>be affected</w:t>
            </w:r>
            <w:r w:rsidR="0090225E" w:rsidRPr="00FF7603">
              <w:rPr>
                <w:sz w:val="20"/>
                <w:szCs w:val="20"/>
              </w:rPr>
              <w:t xml:space="preserve"> by the </w:t>
            </w:r>
            <w:r w:rsidR="00907BD5">
              <w:rPr>
                <w:sz w:val="20"/>
                <w:szCs w:val="20"/>
              </w:rPr>
              <w:t>Technical Refresh</w:t>
            </w:r>
            <w:r w:rsidR="0090225E" w:rsidRPr="00FF7603">
              <w:rPr>
                <w:sz w:val="20"/>
                <w:szCs w:val="20"/>
              </w:rPr>
              <w:t xml:space="preserve">.  </w:t>
            </w:r>
            <w:r w:rsidR="005511E2" w:rsidRPr="00FF7603">
              <w:rPr>
                <w:sz w:val="20"/>
                <w:szCs w:val="20"/>
              </w:rPr>
              <w:t xml:space="preserve">Direct Data Entry (DDE) and paper submissions are not affected by the </w:t>
            </w:r>
            <w:r w:rsidR="00907BD5">
              <w:rPr>
                <w:sz w:val="20"/>
                <w:szCs w:val="20"/>
              </w:rPr>
              <w:t>Technical Refresh</w:t>
            </w:r>
            <w:r w:rsidR="00884B81" w:rsidRPr="00FF7603">
              <w:rPr>
                <w:sz w:val="20"/>
                <w:szCs w:val="20"/>
              </w:rPr>
              <w:t>.</w:t>
            </w:r>
          </w:p>
          <w:p w14:paraId="1A423799" w14:textId="37284D5D" w:rsidR="005511E2" w:rsidRPr="00FF7603" w:rsidRDefault="00884B81" w:rsidP="003B7F4A">
            <w:pPr>
              <w:spacing w:after="120"/>
              <w:rPr>
                <w:sz w:val="20"/>
                <w:szCs w:val="20"/>
              </w:rPr>
            </w:pPr>
            <w:r w:rsidRPr="00FF7603">
              <w:rPr>
                <w:sz w:val="20"/>
                <w:szCs w:val="20"/>
              </w:rPr>
              <w:t>To date, MassHealth has identified the initial impact</w:t>
            </w:r>
            <w:r w:rsidR="00CA223F" w:rsidRPr="00FF7603">
              <w:rPr>
                <w:sz w:val="20"/>
                <w:szCs w:val="20"/>
              </w:rPr>
              <w:t xml:space="preserve"> of the translator on the HIPAA transactions.</w:t>
            </w:r>
            <w:r w:rsidRPr="00FF7603">
              <w:rPr>
                <w:sz w:val="20"/>
                <w:szCs w:val="20"/>
              </w:rPr>
              <w:t xml:space="preserve">  Once the agency completes internal testing</w:t>
            </w:r>
            <w:r w:rsidR="00324E18" w:rsidRPr="00FF7603">
              <w:rPr>
                <w:sz w:val="20"/>
                <w:szCs w:val="20"/>
              </w:rPr>
              <w:t xml:space="preserve"> </w:t>
            </w:r>
            <w:r w:rsidRPr="00FF7603">
              <w:rPr>
                <w:sz w:val="20"/>
                <w:szCs w:val="20"/>
              </w:rPr>
              <w:t xml:space="preserve">it will issue a final set of transaction impacts. Please review the current, known </w:t>
            </w:r>
            <w:r w:rsidR="00CA223F" w:rsidRPr="00FF7603">
              <w:rPr>
                <w:sz w:val="20"/>
                <w:szCs w:val="20"/>
              </w:rPr>
              <w:t>“</w:t>
            </w:r>
            <w:r w:rsidRPr="00FF7603">
              <w:rPr>
                <w:sz w:val="20"/>
                <w:szCs w:val="20"/>
              </w:rPr>
              <w:t>Impact to MassHealth HIPAA Transactions</w:t>
            </w:r>
            <w:r w:rsidR="00CA223F" w:rsidRPr="00FF7603">
              <w:rPr>
                <w:sz w:val="20"/>
                <w:szCs w:val="20"/>
              </w:rPr>
              <w:t>”</w:t>
            </w:r>
            <w:r w:rsidRPr="00FF7603">
              <w:rPr>
                <w:sz w:val="20"/>
                <w:szCs w:val="20"/>
              </w:rPr>
              <w:t xml:space="preserve"> grid below for additional details.</w:t>
            </w:r>
          </w:p>
        </w:tc>
      </w:tr>
      <w:tr w:rsidR="00F12E4D" w14:paraId="1C0807EB" w14:textId="77777777" w:rsidTr="007C7992">
        <w:trPr>
          <w:cantSplit/>
          <w:tblHeader/>
        </w:trPr>
        <w:tc>
          <w:tcPr>
            <w:tcW w:w="2605" w:type="dxa"/>
            <w:tcBorders>
              <w:top w:val="single" w:sz="6" w:space="0" w:color="auto"/>
              <w:bottom w:val="single" w:sz="6" w:space="0" w:color="auto"/>
            </w:tcBorders>
            <w:shd w:val="clear" w:color="auto" w:fill="002060"/>
          </w:tcPr>
          <w:p w14:paraId="49BB45EA" w14:textId="793B2E65" w:rsidR="00F12E4D" w:rsidRPr="007C7992" w:rsidRDefault="00F12E4D" w:rsidP="00F12E4D">
            <w:pPr>
              <w:rPr>
                <w:b/>
                <w:color w:val="FFFFFF" w:themeColor="background1"/>
                <w:sz w:val="20"/>
                <w:szCs w:val="20"/>
              </w:rPr>
            </w:pPr>
            <w:r w:rsidRPr="007C7992">
              <w:rPr>
                <w:b/>
                <w:color w:val="FFFFFF" w:themeColor="background1"/>
                <w:sz w:val="20"/>
                <w:szCs w:val="20"/>
              </w:rPr>
              <w:t xml:space="preserve">When will the </w:t>
            </w:r>
            <w:r w:rsidR="00907BD5">
              <w:rPr>
                <w:b/>
                <w:color w:val="FFFFFF" w:themeColor="background1"/>
                <w:sz w:val="20"/>
                <w:szCs w:val="20"/>
              </w:rPr>
              <w:t>Technical Refresh</w:t>
            </w:r>
            <w:r w:rsidRPr="007C7992">
              <w:rPr>
                <w:b/>
                <w:color w:val="FFFFFF" w:themeColor="background1"/>
                <w:sz w:val="20"/>
                <w:szCs w:val="20"/>
              </w:rPr>
              <w:t xml:space="preserve"> be implemented?</w:t>
            </w:r>
          </w:p>
        </w:tc>
        <w:tc>
          <w:tcPr>
            <w:tcW w:w="8185" w:type="dxa"/>
          </w:tcPr>
          <w:p w14:paraId="3B0071D9" w14:textId="4B9D797F" w:rsidR="00F12E4D" w:rsidRPr="00FF7603" w:rsidRDefault="00F12E4D" w:rsidP="003B7F4A">
            <w:pPr>
              <w:spacing w:after="120"/>
              <w:rPr>
                <w:sz w:val="20"/>
                <w:szCs w:val="20"/>
              </w:rPr>
            </w:pPr>
            <w:r w:rsidRPr="00FF7603">
              <w:rPr>
                <w:sz w:val="20"/>
                <w:szCs w:val="20"/>
              </w:rPr>
              <w:t>MassHealth will implement the new HIPAA translator in two phases:</w:t>
            </w:r>
          </w:p>
          <w:p w14:paraId="2A674DA9" w14:textId="609C33DE" w:rsidR="00F12E4D" w:rsidRPr="00FF7603" w:rsidRDefault="00F12E4D" w:rsidP="003B7F4A">
            <w:pPr>
              <w:spacing w:after="120"/>
              <w:rPr>
                <w:sz w:val="20"/>
                <w:szCs w:val="20"/>
              </w:rPr>
            </w:pPr>
            <w:r w:rsidRPr="00FF7603">
              <w:rPr>
                <w:sz w:val="20"/>
                <w:szCs w:val="20"/>
              </w:rPr>
              <w:t xml:space="preserve">Phase 1 – </w:t>
            </w:r>
            <w:r w:rsidR="00057CD4">
              <w:rPr>
                <w:sz w:val="20"/>
                <w:szCs w:val="20"/>
              </w:rPr>
              <w:t>October</w:t>
            </w:r>
            <w:r w:rsidR="00057CD4" w:rsidRPr="00FF7603">
              <w:rPr>
                <w:sz w:val="20"/>
                <w:szCs w:val="20"/>
              </w:rPr>
              <w:t xml:space="preserve"> </w:t>
            </w:r>
            <w:r w:rsidRPr="00FF7603">
              <w:rPr>
                <w:sz w:val="20"/>
                <w:szCs w:val="20"/>
              </w:rPr>
              <w:t>2019</w:t>
            </w:r>
            <w:r w:rsidR="00197997" w:rsidRPr="00FF7603">
              <w:rPr>
                <w:sz w:val="20"/>
                <w:szCs w:val="20"/>
              </w:rPr>
              <w:t xml:space="preserve"> </w:t>
            </w:r>
            <w:r w:rsidR="00197997" w:rsidRPr="00FF7603">
              <w:rPr>
                <w:i/>
                <w:sz w:val="20"/>
                <w:szCs w:val="20"/>
              </w:rPr>
              <w:t>(</w:t>
            </w:r>
            <w:r w:rsidRPr="00FF7603">
              <w:rPr>
                <w:i/>
                <w:sz w:val="20"/>
                <w:szCs w:val="20"/>
              </w:rPr>
              <w:t>270/271, 820, 834</w:t>
            </w:r>
            <w:r w:rsidR="00197997" w:rsidRPr="00FF7603">
              <w:rPr>
                <w:i/>
                <w:sz w:val="20"/>
                <w:szCs w:val="20"/>
              </w:rPr>
              <w:t>)</w:t>
            </w:r>
          </w:p>
          <w:p w14:paraId="22BF32AE" w14:textId="558E42BD" w:rsidR="00F12E4D" w:rsidRPr="00FF7603" w:rsidRDefault="00F12E4D" w:rsidP="003B7F4A">
            <w:pPr>
              <w:spacing w:after="120"/>
              <w:rPr>
                <w:sz w:val="20"/>
                <w:szCs w:val="20"/>
              </w:rPr>
            </w:pPr>
            <w:r w:rsidRPr="00FF7603">
              <w:rPr>
                <w:sz w:val="20"/>
                <w:szCs w:val="20"/>
              </w:rPr>
              <w:t>Phase 2 – March 2020</w:t>
            </w:r>
            <w:r w:rsidR="00197997" w:rsidRPr="00FF7603">
              <w:rPr>
                <w:sz w:val="20"/>
                <w:szCs w:val="20"/>
              </w:rPr>
              <w:t xml:space="preserve"> </w:t>
            </w:r>
            <w:r w:rsidR="00197997" w:rsidRPr="00FF7603">
              <w:rPr>
                <w:i/>
                <w:sz w:val="20"/>
                <w:szCs w:val="20"/>
              </w:rPr>
              <w:t>(</w:t>
            </w:r>
            <w:r w:rsidRPr="00FF7603">
              <w:rPr>
                <w:i/>
                <w:sz w:val="20"/>
                <w:szCs w:val="20"/>
              </w:rPr>
              <w:t>837P, 837I, 835, 276/277</w:t>
            </w:r>
            <w:r w:rsidR="00197997" w:rsidRPr="00FF7603">
              <w:rPr>
                <w:i/>
                <w:sz w:val="20"/>
                <w:szCs w:val="20"/>
              </w:rPr>
              <w:t>)</w:t>
            </w:r>
          </w:p>
        </w:tc>
      </w:tr>
      <w:tr w:rsidR="00FD3A0A" w14:paraId="296E4AA5" w14:textId="77777777" w:rsidTr="007C7992">
        <w:trPr>
          <w:cantSplit/>
          <w:tblHeader/>
        </w:trPr>
        <w:tc>
          <w:tcPr>
            <w:tcW w:w="2605" w:type="dxa"/>
            <w:tcBorders>
              <w:top w:val="single" w:sz="6" w:space="0" w:color="auto"/>
              <w:bottom w:val="single" w:sz="6" w:space="0" w:color="auto"/>
            </w:tcBorders>
            <w:shd w:val="clear" w:color="auto" w:fill="002060"/>
          </w:tcPr>
          <w:p w14:paraId="4156B12B" w14:textId="54BDF0E7" w:rsidR="00FD3A0A" w:rsidRPr="007C7992" w:rsidRDefault="00FD3A0A" w:rsidP="00BF639D">
            <w:pPr>
              <w:rPr>
                <w:b/>
                <w:color w:val="FFFFFF" w:themeColor="background1"/>
                <w:sz w:val="20"/>
                <w:szCs w:val="20"/>
              </w:rPr>
            </w:pPr>
            <w:r w:rsidRPr="007C7992">
              <w:rPr>
                <w:b/>
                <w:color w:val="FFFFFF" w:themeColor="background1"/>
                <w:sz w:val="20"/>
                <w:szCs w:val="20"/>
              </w:rPr>
              <w:t>Are pharmacy</w:t>
            </w:r>
            <w:r w:rsidR="00B9565C" w:rsidRPr="007C7992">
              <w:rPr>
                <w:b/>
                <w:color w:val="FFFFFF" w:themeColor="background1"/>
                <w:sz w:val="20"/>
                <w:szCs w:val="20"/>
              </w:rPr>
              <w:t xml:space="preserve"> and </w:t>
            </w:r>
            <w:r w:rsidRPr="007C7992">
              <w:rPr>
                <w:b/>
                <w:color w:val="FFFFFF" w:themeColor="background1"/>
                <w:sz w:val="20"/>
                <w:szCs w:val="20"/>
              </w:rPr>
              <w:t xml:space="preserve">dental, claims affected by the </w:t>
            </w:r>
            <w:r w:rsidR="00907BD5">
              <w:rPr>
                <w:b/>
                <w:color w:val="FFFFFF" w:themeColor="background1"/>
                <w:sz w:val="20"/>
                <w:szCs w:val="20"/>
              </w:rPr>
              <w:t>Technical Refresh</w:t>
            </w:r>
            <w:r w:rsidRPr="007C7992">
              <w:rPr>
                <w:b/>
                <w:color w:val="FFFFFF" w:themeColor="background1"/>
                <w:sz w:val="20"/>
                <w:szCs w:val="20"/>
              </w:rPr>
              <w:t>?</w:t>
            </w:r>
          </w:p>
        </w:tc>
        <w:tc>
          <w:tcPr>
            <w:tcW w:w="8185" w:type="dxa"/>
          </w:tcPr>
          <w:p w14:paraId="35D78DF9" w14:textId="5E855F8E" w:rsidR="00FD3A0A" w:rsidRPr="00FF7603" w:rsidRDefault="00B9565C" w:rsidP="003B7F4A">
            <w:pPr>
              <w:rPr>
                <w:sz w:val="20"/>
                <w:szCs w:val="20"/>
              </w:rPr>
            </w:pPr>
            <w:r w:rsidRPr="00FF7603">
              <w:rPr>
                <w:sz w:val="20"/>
                <w:szCs w:val="20"/>
              </w:rPr>
              <w:t xml:space="preserve">No. Pharmacy and dental </w:t>
            </w:r>
            <w:r w:rsidR="00FD3A0A" w:rsidRPr="00FF7603">
              <w:rPr>
                <w:sz w:val="20"/>
                <w:szCs w:val="20"/>
              </w:rPr>
              <w:t>claims are processed by the Pharmacy Online P</w:t>
            </w:r>
            <w:r w:rsidRPr="00FF7603">
              <w:rPr>
                <w:sz w:val="20"/>
                <w:szCs w:val="20"/>
              </w:rPr>
              <w:t>rocessing Systems (POPS) and</w:t>
            </w:r>
            <w:r w:rsidR="00FD3A0A" w:rsidRPr="00FF7603">
              <w:rPr>
                <w:sz w:val="20"/>
                <w:szCs w:val="20"/>
              </w:rPr>
              <w:t xml:space="preserve"> </w:t>
            </w:r>
            <w:proofErr w:type="spellStart"/>
            <w:r w:rsidR="00FD3A0A" w:rsidRPr="00FF7603">
              <w:rPr>
                <w:sz w:val="20"/>
                <w:szCs w:val="20"/>
              </w:rPr>
              <w:t>DentaQ</w:t>
            </w:r>
            <w:r w:rsidRPr="00FF7603">
              <w:rPr>
                <w:sz w:val="20"/>
                <w:szCs w:val="20"/>
              </w:rPr>
              <w:t>uest</w:t>
            </w:r>
            <w:proofErr w:type="spellEnd"/>
            <w:r w:rsidRPr="00FF7603">
              <w:rPr>
                <w:sz w:val="20"/>
                <w:szCs w:val="20"/>
              </w:rPr>
              <w:t xml:space="preserve"> </w:t>
            </w:r>
            <w:r w:rsidR="00FD3A0A" w:rsidRPr="00FF7603">
              <w:rPr>
                <w:sz w:val="20"/>
                <w:szCs w:val="20"/>
              </w:rPr>
              <w:t>respectively.  T</w:t>
            </w:r>
            <w:r w:rsidR="00ED099B" w:rsidRPr="00FF7603">
              <w:rPr>
                <w:sz w:val="20"/>
                <w:szCs w:val="20"/>
              </w:rPr>
              <w:t xml:space="preserve">ransactions submitted to </w:t>
            </w:r>
            <w:r w:rsidR="002B00D2" w:rsidRPr="00FF7603">
              <w:rPr>
                <w:sz w:val="20"/>
                <w:szCs w:val="20"/>
              </w:rPr>
              <w:t>t</w:t>
            </w:r>
            <w:r w:rsidR="00FD3A0A" w:rsidRPr="00FF7603">
              <w:rPr>
                <w:sz w:val="20"/>
                <w:szCs w:val="20"/>
              </w:rPr>
              <w:t xml:space="preserve">hose systems are not affected by the MassHealth MMIS </w:t>
            </w:r>
            <w:r w:rsidR="00907BD5">
              <w:rPr>
                <w:sz w:val="20"/>
                <w:szCs w:val="20"/>
              </w:rPr>
              <w:t>Technical Refresh</w:t>
            </w:r>
            <w:r w:rsidR="00FD3A0A" w:rsidRPr="00FF7603">
              <w:rPr>
                <w:sz w:val="20"/>
                <w:szCs w:val="20"/>
              </w:rPr>
              <w:t>.</w:t>
            </w:r>
          </w:p>
        </w:tc>
      </w:tr>
      <w:tr w:rsidR="00324E18" w14:paraId="2B7D8AF1" w14:textId="77777777" w:rsidTr="007C7992">
        <w:trPr>
          <w:cantSplit/>
          <w:tblHeader/>
        </w:trPr>
        <w:tc>
          <w:tcPr>
            <w:tcW w:w="2605" w:type="dxa"/>
            <w:tcBorders>
              <w:top w:val="single" w:sz="6" w:space="0" w:color="auto"/>
              <w:bottom w:val="single" w:sz="6" w:space="0" w:color="auto"/>
            </w:tcBorders>
            <w:shd w:val="clear" w:color="auto" w:fill="002060"/>
          </w:tcPr>
          <w:p w14:paraId="72364485" w14:textId="77777777" w:rsidR="00CA2866" w:rsidRDefault="00CA2866" w:rsidP="00BF639D">
            <w:pPr>
              <w:rPr>
                <w:b/>
                <w:color w:val="FFFFFF" w:themeColor="background1"/>
                <w:sz w:val="20"/>
                <w:szCs w:val="20"/>
              </w:rPr>
            </w:pPr>
          </w:p>
          <w:p w14:paraId="073276D5" w14:textId="77777777" w:rsidR="00324E18" w:rsidRPr="007C7992" w:rsidRDefault="00324E18" w:rsidP="00BF639D">
            <w:pPr>
              <w:rPr>
                <w:b/>
                <w:color w:val="FFFFFF" w:themeColor="background1"/>
                <w:sz w:val="20"/>
                <w:szCs w:val="20"/>
              </w:rPr>
            </w:pPr>
            <w:r w:rsidRPr="007C7992">
              <w:rPr>
                <w:b/>
                <w:color w:val="FFFFFF" w:themeColor="background1"/>
                <w:sz w:val="20"/>
                <w:szCs w:val="20"/>
              </w:rPr>
              <w:t>Will MassHealth issue updated Companion Guides?</w:t>
            </w:r>
          </w:p>
        </w:tc>
        <w:tc>
          <w:tcPr>
            <w:tcW w:w="8185" w:type="dxa"/>
          </w:tcPr>
          <w:p w14:paraId="0D797961" w14:textId="2E72A78E" w:rsidR="00E179C1" w:rsidRPr="00FF7603" w:rsidRDefault="00324E18" w:rsidP="003B7F4A">
            <w:pPr>
              <w:spacing w:after="120"/>
              <w:rPr>
                <w:sz w:val="20"/>
                <w:szCs w:val="20"/>
              </w:rPr>
            </w:pPr>
            <w:r w:rsidRPr="00FF7603">
              <w:rPr>
                <w:sz w:val="20"/>
                <w:szCs w:val="20"/>
              </w:rPr>
              <w:t xml:space="preserve">Yes. </w:t>
            </w:r>
            <w:r w:rsidR="000131B4" w:rsidRPr="00FF7603">
              <w:rPr>
                <w:sz w:val="20"/>
                <w:szCs w:val="20"/>
              </w:rPr>
              <w:t>The i</w:t>
            </w:r>
            <w:r w:rsidRPr="00FF7603">
              <w:rPr>
                <w:sz w:val="20"/>
                <w:szCs w:val="20"/>
              </w:rPr>
              <w:t xml:space="preserve">nitial draft </w:t>
            </w:r>
            <w:r w:rsidR="00CA223F" w:rsidRPr="00FF7603">
              <w:rPr>
                <w:sz w:val="20"/>
                <w:szCs w:val="20"/>
              </w:rPr>
              <w:t xml:space="preserve">of the </w:t>
            </w:r>
            <w:r w:rsidR="00624C9B" w:rsidRPr="00FF7603">
              <w:rPr>
                <w:sz w:val="20"/>
                <w:szCs w:val="20"/>
              </w:rPr>
              <w:t xml:space="preserve">updated </w:t>
            </w:r>
            <w:r w:rsidR="00FD6D85" w:rsidRPr="00FF7603">
              <w:rPr>
                <w:sz w:val="20"/>
                <w:szCs w:val="20"/>
              </w:rPr>
              <w:t xml:space="preserve">MassHealth HIPAA </w:t>
            </w:r>
            <w:r w:rsidRPr="00FF7603">
              <w:rPr>
                <w:sz w:val="20"/>
                <w:szCs w:val="20"/>
              </w:rPr>
              <w:t xml:space="preserve">Companion Guides </w:t>
            </w:r>
            <w:r w:rsidR="0090225E" w:rsidRPr="00FF7603">
              <w:rPr>
                <w:sz w:val="20"/>
                <w:szCs w:val="20"/>
              </w:rPr>
              <w:t>for the</w:t>
            </w:r>
            <w:r w:rsidR="002A28B9" w:rsidRPr="00FF7603">
              <w:rPr>
                <w:sz w:val="20"/>
                <w:szCs w:val="20"/>
              </w:rPr>
              <w:t xml:space="preserve"> </w:t>
            </w:r>
            <w:r w:rsidR="0018625D" w:rsidRPr="00FF7603">
              <w:rPr>
                <w:sz w:val="20"/>
                <w:szCs w:val="20"/>
              </w:rPr>
              <w:t>specific</w:t>
            </w:r>
            <w:r w:rsidR="0090225E" w:rsidRPr="00FF7603">
              <w:rPr>
                <w:sz w:val="20"/>
                <w:szCs w:val="20"/>
              </w:rPr>
              <w:t xml:space="preserve"> transactions that require modification</w:t>
            </w:r>
            <w:r w:rsidR="00937178" w:rsidRPr="00FF7603">
              <w:rPr>
                <w:sz w:val="20"/>
                <w:szCs w:val="20"/>
              </w:rPr>
              <w:t xml:space="preserve"> or trading partner awareness</w:t>
            </w:r>
            <w:r w:rsidR="0090225E" w:rsidRPr="00FF7603">
              <w:rPr>
                <w:sz w:val="20"/>
                <w:szCs w:val="20"/>
              </w:rPr>
              <w:t xml:space="preserve"> </w:t>
            </w:r>
            <w:r w:rsidR="00B9565C" w:rsidRPr="00FF7603">
              <w:rPr>
                <w:sz w:val="20"/>
                <w:szCs w:val="20"/>
              </w:rPr>
              <w:t xml:space="preserve">is </w:t>
            </w:r>
            <w:r w:rsidR="000131B4" w:rsidRPr="00FF7603">
              <w:rPr>
                <w:sz w:val="20"/>
                <w:szCs w:val="20"/>
              </w:rPr>
              <w:t>available</w:t>
            </w:r>
            <w:r w:rsidR="00206DB2" w:rsidRPr="00FF7603">
              <w:rPr>
                <w:sz w:val="20"/>
                <w:szCs w:val="20"/>
              </w:rPr>
              <w:t xml:space="preserve"> </w:t>
            </w:r>
            <w:r w:rsidR="000131B4" w:rsidRPr="00FF7603">
              <w:rPr>
                <w:sz w:val="20"/>
                <w:szCs w:val="20"/>
              </w:rPr>
              <w:t>at</w:t>
            </w:r>
            <w:r w:rsidR="00CA2866">
              <w:rPr>
                <w:sz w:val="20"/>
                <w:szCs w:val="20"/>
              </w:rPr>
              <w:t xml:space="preserve"> </w:t>
            </w:r>
            <w:hyperlink r:id="rId8" w:history="1">
              <w:r w:rsidR="000E7567" w:rsidRPr="00DA755E">
                <w:rPr>
                  <w:rStyle w:val="Hyperlink"/>
                  <w:sz w:val="20"/>
                  <w:szCs w:val="20"/>
                </w:rPr>
                <w:t>www.mass.gov/info-details/technical-refresh-companion-guides</w:t>
              </w:r>
            </w:hyperlink>
            <w:r w:rsidR="00CA2866">
              <w:rPr>
                <w:sz w:val="20"/>
                <w:szCs w:val="20"/>
              </w:rPr>
              <w:t xml:space="preserve"> </w:t>
            </w:r>
            <w:r w:rsidR="00C37137" w:rsidRPr="00FF7603">
              <w:rPr>
                <w:sz w:val="20"/>
                <w:szCs w:val="20"/>
              </w:rPr>
              <w:t xml:space="preserve">for review. </w:t>
            </w:r>
            <w:r w:rsidRPr="00FF7603">
              <w:rPr>
                <w:sz w:val="20"/>
                <w:szCs w:val="20"/>
              </w:rPr>
              <w:t xml:space="preserve">Once </w:t>
            </w:r>
            <w:proofErr w:type="spellStart"/>
            <w:r w:rsidRPr="00FF7603">
              <w:rPr>
                <w:sz w:val="20"/>
                <w:szCs w:val="20"/>
              </w:rPr>
              <w:t>M</w:t>
            </w:r>
            <w:r w:rsidR="000131B4" w:rsidRPr="00FF7603">
              <w:rPr>
                <w:sz w:val="20"/>
                <w:szCs w:val="20"/>
              </w:rPr>
              <w:t>assHealth’s</w:t>
            </w:r>
            <w:proofErr w:type="spellEnd"/>
            <w:r w:rsidR="000131B4" w:rsidRPr="00FF7603">
              <w:rPr>
                <w:sz w:val="20"/>
                <w:szCs w:val="20"/>
              </w:rPr>
              <w:t xml:space="preserve"> technical team </w:t>
            </w:r>
            <w:r w:rsidRPr="00FF7603">
              <w:rPr>
                <w:sz w:val="20"/>
                <w:szCs w:val="20"/>
              </w:rPr>
              <w:t xml:space="preserve">completes its internal testing of the new translator, </w:t>
            </w:r>
            <w:r w:rsidR="003567C0" w:rsidRPr="00FF7603">
              <w:rPr>
                <w:sz w:val="20"/>
                <w:szCs w:val="20"/>
              </w:rPr>
              <w:t>MassHealth will confirm if additional modifications are required at that time. M</w:t>
            </w:r>
            <w:r w:rsidRPr="00FF7603">
              <w:rPr>
                <w:sz w:val="20"/>
                <w:szCs w:val="20"/>
              </w:rPr>
              <w:t xml:space="preserve">assHealth will </w:t>
            </w:r>
            <w:r w:rsidR="003567C0" w:rsidRPr="00FF7603">
              <w:rPr>
                <w:sz w:val="20"/>
                <w:szCs w:val="20"/>
              </w:rPr>
              <w:t xml:space="preserve">then </w:t>
            </w:r>
            <w:r w:rsidRPr="00FF7603">
              <w:rPr>
                <w:sz w:val="20"/>
                <w:szCs w:val="20"/>
              </w:rPr>
              <w:t xml:space="preserve">issue the final draft of </w:t>
            </w:r>
            <w:r w:rsidR="0090225E" w:rsidRPr="00FF7603">
              <w:rPr>
                <w:sz w:val="20"/>
                <w:szCs w:val="20"/>
              </w:rPr>
              <w:t xml:space="preserve">the affected </w:t>
            </w:r>
            <w:r w:rsidRPr="00FF7603">
              <w:rPr>
                <w:sz w:val="20"/>
                <w:szCs w:val="20"/>
              </w:rPr>
              <w:t>Companion Guide</w:t>
            </w:r>
            <w:r w:rsidR="00CA223F" w:rsidRPr="00FF7603">
              <w:rPr>
                <w:sz w:val="20"/>
                <w:szCs w:val="20"/>
              </w:rPr>
              <w:t xml:space="preserve">s </w:t>
            </w:r>
            <w:r w:rsidR="003567C0" w:rsidRPr="00FF7603">
              <w:rPr>
                <w:sz w:val="20"/>
                <w:szCs w:val="20"/>
              </w:rPr>
              <w:t>with</w:t>
            </w:r>
            <w:r w:rsidRPr="00FF7603">
              <w:rPr>
                <w:sz w:val="20"/>
                <w:szCs w:val="20"/>
              </w:rPr>
              <w:t xml:space="preserve">in </w:t>
            </w:r>
            <w:r w:rsidR="00460498" w:rsidRPr="00FF7603">
              <w:rPr>
                <w:sz w:val="20"/>
                <w:szCs w:val="20"/>
              </w:rPr>
              <w:t>the</w:t>
            </w:r>
            <w:r w:rsidR="00E179C1" w:rsidRPr="00FF7603">
              <w:rPr>
                <w:sz w:val="20"/>
                <w:szCs w:val="20"/>
              </w:rPr>
              <w:t xml:space="preserve"> following time frames</w:t>
            </w:r>
            <w:r w:rsidR="003567C0" w:rsidRPr="00FF7603">
              <w:rPr>
                <w:sz w:val="20"/>
                <w:szCs w:val="20"/>
              </w:rPr>
              <w:t>:</w:t>
            </w:r>
          </w:p>
          <w:p w14:paraId="08322B59" w14:textId="6DB5E8D5" w:rsidR="00E179C1" w:rsidRPr="00FF7603" w:rsidRDefault="00E179C1" w:rsidP="00BF639D">
            <w:pPr>
              <w:rPr>
                <w:sz w:val="20"/>
                <w:szCs w:val="20"/>
              </w:rPr>
            </w:pPr>
            <w:r w:rsidRPr="00FF7603">
              <w:rPr>
                <w:sz w:val="20"/>
                <w:szCs w:val="20"/>
              </w:rPr>
              <w:t>Phase 1:  June 2019</w:t>
            </w:r>
            <w:r w:rsidR="00206DB2" w:rsidRPr="00FF7603">
              <w:rPr>
                <w:sz w:val="20"/>
                <w:szCs w:val="20"/>
              </w:rPr>
              <w:t xml:space="preserve"> </w:t>
            </w:r>
          </w:p>
          <w:p w14:paraId="611987D9" w14:textId="5B80D9BA" w:rsidR="00324E18" w:rsidRPr="00FF7603" w:rsidRDefault="00E179C1" w:rsidP="003B7F4A">
            <w:pPr>
              <w:spacing w:after="120"/>
              <w:rPr>
                <w:sz w:val="20"/>
                <w:szCs w:val="20"/>
              </w:rPr>
            </w:pPr>
            <w:r w:rsidRPr="00FF7603">
              <w:rPr>
                <w:sz w:val="20"/>
                <w:szCs w:val="20"/>
              </w:rPr>
              <w:t>Phase 2:  November 2019</w:t>
            </w:r>
          </w:p>
        </w:tc>
      </w:tr>
      <w:tr w:rsidR="005511E2" w14:paraId="6AFDE7D4" w14:textId="77777777" w:rsidTr="007C7992">
        <w:trPr>
          <w:cantSplit/>
          <w:tblHeader/>
        </w:trPr>
        <w:tc>
          <w:tcPr>
            <w:tcW w:w="2605" w:type="dxa"/>
            <w:tcBorders>
              <w:top w:val="single" w:sz="6" w:space="0" w:color="auto"/>
              <w:bottom w:val="single" w:sz="6" w:space="0" w:color="auto"/>
            </w:tcBorders>
            <w:shd w:val="clear" w:color="auto" w:fill="002060"/>
          </w:tcPr>
          <w:p w14:paraId="0A4803BD" w14:textId="18E45D03" w:rsidR="005511E2" w:rsidRPr="007C7992" w:rsidRDefault="00265588" w:rsidP="00BF639D">
            <w:pPr>
              <w:rPr>
                <w:b/>
                <w:color w:val="FFFFFF" w:themeColor="background1"/>
                <w:sz w:val="20"/>
                <w:szCs w:val="20"/>
              </w:rPr>
            </w:pPr>
            <w:r w:rsidRPr="007C7992">
              <w:rPr>
                <w:b/>
                <w:color w:val="FFFFFF" w:themeColor="background1"/>
                <w:sz w:val="20"/>
                <w:szCs w:val="20"/>
              </w:rPr>
              <w:t xml:space="preserve">Will Trading Partners Have to </w:t>
            </w:r>
            <w:r w:rsidR="00884B81" w:rsidRPr="007C7992">
              <w:rPr>
                <w:b/>
                <w:color w:val="FFFFFF" w:themeColor="background1"/>
                <w:sz w:val="20"/>
                <w:szCs w:val="20"/>
              </w:rPr>
              <w:t xml:space="preserve">make changes to </w:t>
            </w:r>
            <w:r w:rsidR="00613980" w:rsidRPr="007C7992">
              <w:rPr>
                <w:b/>
                <w:color w:val="FFFFFF" w:themeColor="background1"/>
                <w:sz w:val="20"/>
                <w:szCs w:val="20"/>
              </w:rPr>
              <w:t>their systems</w:t>
            </w:r>
            <w:r w:rsidR="00884B81" w:rsidRPr="007C7992">
              <w:rPr>
                <w:b/>
                <w:color w:val="FFFFFF" w:themeColor="background1"/>
                <w:sz w:val="20"/>
                <w:szCs w:val="20"/>
              </w:rPr>
              <w:t xml:space="preserve"> to accommodate the </w:t>
            </w:r>
            <w:r w:rsidR="00907BD5">
              <w:rPr>
                <w:b/>
                <w:color w:val="FFFFFF" w:themeColor="background1"/>
                <w:sz w:val="20"/>
                <w:szCs w:val="20"/>
              </w:rPr>
              <w:t>Technical Refresh</w:t>
            </w:r>
            <w:r w:rsidR="00884B81" w:rsidRPr="007C7992">
              <w:rPr>
                <w:b/>
                <w:color w:val="FFFFFF" w:themeColor="background1"/>
                <w:sz w:val="20"/>
                <w:szCs w:val="20"/>
              </w:rPr>
              <w:t>?</w:t>
            </w:r>
          </w:p>
        </w:tc>
        <w:tc>
          <w:tcPr>
            <w:tcW w:w="8185" w:type="dxa"/>
          </w:tcPr>
          <w:p w14:paraId="0B4DC5FE" w14:textId="5AFE35A5" w:rsidR="0037493D" w:rsidRPr="00FF7603" w:rsidRDefault="00C92111" w:rsidP="003B7F4A">
            <w:pPr>
              <w:spacing w:after="120"/>
              <w:rPr>
                <w:sz w:val="20"/>
                <w:szCs w:val="20"/>
              </w:rPr>
            </w:pPr>
            <w:r w:rsidRPr="00FF7603">
              <w:rPr>
                <w:sz w:val="20"/>
                <w:szCs w:val="20"/>
              </w:rPr>
              <w:t xml:space="preserve">Trading partners must determine if their systems comply with the updated Companion Guides.   </w:t>
            </w:r>
            <w:r w:rsidR="00CA223F" w:rsidRPr="00FF7603">
              <w:rPr>
                <w:sz w:val="20"/>
                <w:szCs w:val="20"/>
              </w:rPr>
              <w:t>MassHealth</w:t>
            </w:r>
            <w:r w:rsidR="00324E18" w:rsidRPr="00FF7603">
              <w:rPr>
                <w:sz w:val="20"/>
                <w:szCs w:val="20"/>
              </w:rPr>
              <w:t xml:space="preserve"> </w:t>
            </w:r>
            <w:r w:rsidR="00B461A9" w:rsidRPr="00FF7603">
              <w:rPr>
                <w:sz w:val="20"/>
                <w:szCs w:val="20"/>
              </w:rPr>
              <w:t xml:space="preserve">strongly encourages all trading partners </w:t>
            </w:r>
            <w:r w:rsidR="00037941" w:rsidRPr="00FF7603">
              <w:rPr>
                <w:sz w:val="20"/>
                <w:szCs w:val="20"/>
              </w:rPr>
              <w:t xml:space="preserve">that submit or receive transactions to/from MassHealth </w:t>
            </w:r>
            <w:r w:rsidR="00B461A9" w:rsidRPr="00FF7603">
              <w:rPr>
                <w:sz w:val="20"/>
                <w:szCs w:val="20"/>
              </w:rPr>
              <w:t xml:space="preserve">to </w:t>
            </w:r>
            <w:r w:rsidR="00324E18" w:rsidRPr="00FF7603">
              <w:rPr>
                <w:sz w:val="20"/>
                <w:szCs w:val="20"/>
              </w:rPr>
              <w:t xml:space="preserve">review </w:t>
            </w:r>
            <w:r w:rsidR="0080154E" w:rsidRPr="004A0933">
              <w:rPr>
                <w:sz w:val="20"/>
                <w:szCs w:val="20"/>
                <w:u w:val="single"/>
              </w:rPr>
              <w:t>both</w:t>
            </w:r>
            <w:r w:rsidR="00C3293D" w:rsidRPr="004A0933">
              <w:rPr>
                <w:sz w:val="20"/>
                <w:szCs w:val="20"/>
              </w:rPr>
              <w:t xml:space="preserve"> </w:t>
            </w:r>
            <w:r w:rsidR="00CA223F" w:rsidRPr="00FF7603">
              <w:rPr>
                <w:sz w:val="20"/>
                <w:szCs w:val="20"/>
              </w:rPr>
              <w:t xml:space="preserve">iterations </w:t>
            </w:r>
            <w:r w:rsidR="00D414A5" w:rsidRPr="00FF7603">
              <w:rPr>
                <w:sz w:val="20"/>
                <w:szCs w:val="20"/>
              </w:rPr>
              <w:t>(</w:t>
            </w:r>
            <w:r w:rsidR="00D414A5" w:rsidRPr="00FF7603">
              <w:rPr>
                <w:i/>
                <w:sz w:val="20"/>
                <w:szCs w:val="20"/>
              </w:rPr>
              <w:t>see schedule</w:t>
            </w:r>
            <w:r w:rsidR="00D414A5" w:rsidRPr="00FF7603">
              <w:rPr>
                <w:sz w:val="20"/>
                <w:szCs w:val="20"/>
              </w:rPr>
              <w:t xml:space="preserve">) </w:t>
            </w:r>
            <w:r w:rsidR="00CA223F" w:rsidRPr="00FF7603">
              <w:rPr>
                <w:sz w:val="20"/>
                <w:szCs w:val="20"/>
              </w:rPr>
              <w:t xml:space="preserve">of the </w:t>
            </w:r>
            <w:r w:rsidR="00944A5F" w:rsidRPr="00FF7603">
              <w:rPr>
                <w:sz w:val="20"/>
                <w:szCs w:val="20"/>
              </w:rPr>
              <w:t>updated</w:t>
            </w:r>
            <w:r w:rsidR="00324E18" w:rsidRPr="00FF7603">
              <w:rPr>
                <w:sz w:val="20"/>
                <w:szCs w:val="20"/>
              </w:rPr>
              <w:t xml:space="preserve"> Companion Guides</w:t>
            </w:r>
            <w:r w:rsidR="0080154E" w:rsidRPr="00FF7603">
              <w:rPr>
                <w:sz w:val="20"/>
                <w:szCs w:val="20"/>
              </w:rPr>
              <w:t xml:space="preserve"> to determine if there is any impact to their systems</w:t>
            </w:r>
            <w:r w:rsidR="003B7F4A" w:rsidRPr="00FF7603">
              <w:rPr>
                <w:sz w:val="20"/>
                <w:szCs w:val="20"/>
              </w:rPr>
              <w:t>.</w:t>
            </w:r>
          </w:p>
          <w:p w14:paraId="4A5523B3" w14:textId="64FA9664" w:rsidR="003E637C" w:rsidRPr="00FF7603" w:rsidRDefault="007D0792" w:rsidP="003B7F4A">
            <w:pPr>
              <w:spacing w:after="120"/>
              <w:rPr>
                <w:sz w:val="20"/>
                <w:szCs w:val="20"/>
              </w:rPr>
            </w:pPr>
            <w:r w:rsidRPr="00FF7603">
              <w:rPr>
                <w:sz w:val="20"/>
                <w:szCs w:val="20"/>
              </w:rPr>
              <w:t>T</w:t>
            </w:r>
            <w:r w:rsidR="00037941" w:rsidRPr="00FF7603">
              <w:rPr>
                <w:sz w:val="20"/>
                <w:szCs w:val="20"/>
              </w:rPr>
              <w:t>hose t</w:t>
            </w:r>
            <w:r w:rsidRPr="00FF7603">
              <w:rPr>
                <w:sz w:val="20"/>
                <w:szCs w:val="20"/>
              </w:rPr>
              <w:t xml:space="preserve">rading partners should evaluate their systems immediately to confirm that they are aligned with modifications outlined in the </w:t>
            </w:r>
            <w:r w:rsidR="001E5F23" w:rsidRPr="00FF7603">
              <w:rPr>
                <w:sz w:val="20"/>
                <w:szCs w:val="20"/>
              </w:rPr>
              <w:t xml:space="preserve">initial version </w:t>
            </w:r>
            <w:r w:rsidRPr="00FF7603">
              <w:rPr>
                <w:sz w:val="20"/>
                <w:szCs w:val="20"/>
              </w:rPr>
              <w:t>of the updated Companion Guides</w:t>
            </w:r>
            <w:r w:rsidR="0080154E" w:rsidRPr="00FF7603">
              <w:rPr>
                <w:sz w:val="20"/>
                <w:szCs w:val="20"/>
              </w:rPr>
              <w:t xml:space="preserve"> and ensure that systems are modified, as appropriate, to accommodate the changes. </w:t>
            </w:r>
            <w:r w:rsidRPr="00FF7603">
              <w:rPr>
                <w:sz w:val="20"/>
                <w:szCs w:val="20"/>
              </w:rPr>
              <w:t xml:space="preserve">Do not wait until the </w:t>
            </w:r>
            <w:r w:rsidR="001E5F23" w:rsidRPr="00FF7603">
              <w:rPr>
                <w:sz w:val="20"/>
                <w:szCs w:val="20"/>
              </w:rPr>
              <w:t xml:space="preserve">final update of the </w:t>
            </w:r>
            <w:r w:rsidRPr="00FF7603">
              <w:rPr>
                <w:sz w:val="20"/>
                <w:szCs w:val="20"/>
              </w:rPr>
              <w:t xml:space="preserve">Companion Guides </w:t>
            </w:r>
            <w:r w:rsidR="0080154E" w:rsidRPr="00FF7603">
              <w:rPr>
                <w:sz w:val="20"/>
                <w:szCs w:val="20"/>
              </w:rPr>
              <w:t>is</w:t>
            </w:r>
            <w:r w:rsidRPr="00FF7603">
              <w:rPr>
                <w:sz w:val="20"/>
                <w:szCs w:val="20"/>
              </w:rPr>
              <w:t xml:space="preserve"> issued to begin to make any necessary changes.</w:t>
            </w:r>
          </w:p>
          <w:p w14:paraId="3005D660" w14:textId="604B7E82" w:rsidR="005511E2" w:rsidRPr="00FF7603" w:rsidRDefault="00B324CE" w:rsidP="003B7F4A">
            <w:pPr>
              <w:spacing w:after="120"/>
              <w:rPr>
                <w:sz w:val="20"/>
                <w:szCs w:val="20"/>
              </w:rPr>
            </w:pPr>
            <w:r w:rsidRPr="00FF7603">
              <w:rPr>
                <w:sz w:val="20"/>
                <w:szCs w:val="20"/>
              </w:rPr>
              <w:t>If you utilize a billing intermediary, software vendor, or clearinghouse to process HIPAA transactions please outreach to them to confirm their awareness, and readiness plans.</w:t>
            </w:r>
          </w:p>
        </w:tc>
      </w:tr>
      <w:tr w:rsidR="005511E2" w14:paraId="5F9B2503" w14:textId="77777777" w:rsidTr="007C7992">
        <w:trPr>
          <w:cantSplit/>
          <w:trHeight w:val="503"/>
          <w:tblHeader/>
        </w:trPr>
        <w:tc>
          <w:tcPr>
            <w:tcW w:w="2605" w:type="dxa"/>
            <w:tcBorders>
              <w:top w:val="single" w:sz="6" w:space="0" w:color="auto"/>
              <w:bottom w:val="single" w:sz="4" w:space="0" w:color="auto"/>
            </w:tcBorders>
            <w:shd w:val="clear" w:color="auto" w:fill="002060"/>
          </w:tcPr>
          <w:p w14:paraId="29B3B0BE" w14:textId="77777777" w:rsidR="00884B81" w:rsidRPr="007C7992" w:rsidRDefault="0011652D" w:rsidP="00BF639D">
            <w:pPr>
              <w:rPr>
                <w:b/>
                <w:color w:val="FFFFFF" w:themeColor="background1"/>
                <w:sz w:val="20"/>
                <w:szCs w:val="20"/>
              </w:rPr>
            </w:pPr>
            <w:r w:rsidRPr="007C7992">
              <w:rPr>
                <w:b/>
                <w:color w:val="FFFFFF" w:themeColor="background1"/>
                <w:sz w:val="20"/>
                <w:szCs w:val="20"/>
              </w:rPr>
              <w:t>Will Trading Partners have to test the changes with MassHealth before implementation?</w:t>
            </w:r>
          </w:p>
        </w:tc>
        <w:tc>
          <w:tcPr>
            <w:tcW w:w="8185" w:type="dxa"/>
          </w:tcPr>
          <w:p w14:paraId="52BDE5D1" w14:textId="110CB3C7" w:rsidR="006908D8" w:rsidRPr="00FF7603" w:rsidRDefault="00D65850" w:rsidP="003B7F4A">
            <w:pPr>
              <w:spacing w:after="120"/>
              <w:rPr>
                <w:sz w:val="20"/>
                <w:szCs w:val="20"/>
              </w:rPr>
            </w:pPr>
            <w:r w:rsidRPr="00FF7603">
              <w:rPr>
                <w:sz w:val="20"/>
                <w:szCs w:val="20"/>
              </w:rPr>
              <w:t>Yes. MassHealth strongly recommends that all trading partners that submit or receive HIPAA transactions to/from MassHealth test compliance</w:t>
            </w:r>
            <w:r w:rsidR="006908D8" w:rsidRPr="00FF7603">
              <w:rPr>
                <w:sz w:val="20"/>
                <w:szCs w:val="20"/>
              </w:rPr>
              <w:t xml:space="preserve"> for each transaction type utilized during the appropriate testing timeline:</w:t>
            </w:r>
          </w:p>
          <w:p w14:paraId="5A26720B" w14:textId="637EA9E8" w:rsidR="006908D8" w:rsidRPr="00FF7603" w:rsidRDefault="006908D8" w:rsidP="002A28B9">
            <w:pPr>
              <w:rPr>
                <w:sz w:val="20"/>
                <w:szCs w:val="20"/>
              </w:rPr>
            </w:pPr>
            <w:r w:rsidRPr="00FF7603">
              <w:rPr>
                <w:sz w:val="20"/>
                <w:szCs w:val="20"/>
              </w:rPr>
              <w:t xml:space="preserve">Phase 1:  7/29 – </w:t>
            </w:r>
            <w:r w:rsidR="00057CD4">
              <w:rPr>
                <w:sz w:val="20"/>
                <w:szCs w:val="20"/>
              </w:rPr>
              <w:t>10/25/19</w:t>
            </w:r>
          </w:p>
          <w:p w14:paraId="50C98FB6" w14:textId="76155C01" w:rsidR="002A28B9" w:rsidRPr="00FF7603" w:rsidRDefault="006908D8" w:rsidP="003B7F4A">
            <w:pPr>
              <w:spacing w:after="120"/>
              <w:rPr>
                <w:sz w:val="20"/>
                <w:szCs w:val="20"/>
              </w:rPr>
            </w:pPr>
            <w:r w:rsidRPr="00FF7603">
              <w:rPr>
                <w:sz w:val="20"/>
                <w:szCs w:val="20"/>
              </w:rPr>
              <w:t>Phase 2:  1/27 – 3/27/</w:t>
            </w:r>
            <w:r w:rsidR="00F14D5F" w:rsidRPr="00FF7603">
              <w:rPr>
                <w:sz w:val="20"/>
                <w:szCs w:val="20"/>
              </w:rPr>
              <w:t>20</w:t>
            </w:r>
          </w:p>
        </w:tc>
      </w:tr>
    </w:tbl>
    <w:p w14:paraId="50E8F5D9" w14:textId="77777777" w:rsidR="003B7F4A" w:rsidRDefault="003B7F4A"/>
    <w:tbl>
      <w:tblPr>
        <w:tblStyle w:val="TableGrid"/>
        <w:tblW w:w="0" w:type="auto"/>
        <w:tblBorders>
          <w:insideH w:val="single" w:sz="6" w:space="0" w:color="auto"/>
          <w:insideV w:val="single" w:sz="6" w:space="0" w:color="auto"/>
        </w:tblBorders>
        <w:tblLook w:val="04A0" w:firstRow="1" w:lastRow="0" w:firstColumn="1" w:lastColumn="0" w:noHBand="0" w:noVBand="1"/>
        <w:tblCaption w:val="Technical Refresh – Key Concepts"/>
        <w:tblDescription w:val="Table provides answers to key questions about the MassHealth Technical Refresh initiative."/>
      </w:tblPr>
      <w:tblGrid>
        <w:gridCol w:w="2605"/>
        <w:gridCol w:w="8185"/>
      </w:tblGrid>
      <w:tr w:rsidR="00DE1902" w14:paraId="11CA8341" w14:textId="77777777" w:rsidTr="007C7992">
        <w:trPr>
          <w:tblHeader/>
        </w:trPr>
        <w:tc>
          <w:tcPr>
            <w:tcW w:w="2605" w:type="dxa"/>
            <w:tcBorders>
              <w:top w:val="single" w:sz="4" w:space="0" w:color="auto"/>
              <w:bottom w:val="single" w:sz="6" w:space="0" w:color="auto"/>
            </w:tcBorders>
            <w:shd w:val="clear" w:color="auto" w:fill="002060"/>
          </w:tcPr>
          <w:p w14:paraId="5DE7D382" w14:textId="68A8E92D" w:rsidR="00DE1902" w:rsidRPr="007C7992" w:rsidRDefault="00DE1902" w:rsidP="0089352A">
            <w:pPr>
              <w:rPr>
                <w:b/>
                <w:color w:val="FFFFFF" w:themeColor="background1"/>
              </w:rPr>
            </w:pPr>
            <w:r w:rsidRPr="007C7992">
              <w:rPr>
                <w:b/>
                <w:color w:val="FFFFFF" w:themeColor="background1"/>
              </w:rPr>
              <w:lastRenderedPageBreak/>
              <w:t xml:space="preserve">Will the </w:t>
            </w:r>
            <w:r w:rsidR="00907BD5">
              <w:rPr>
                <w:b/>
                <w:color w:val="FFFFFF" w:themeColor="background1"/>
              </w:rPr>
              <w:t>Technical Refresh</w:t>
            </w:r>
            <w:r w:rsidRPr="007C7992">
              <w:rPr>
                <w:b/>
                <w:color w:val="FFFFFF" w:themeColor="background1"/>
              </w:rPr>
              <w:t xml:space="preserve"> </w:t>
            </w:r>
            <w:r w:rsidR="0089352A" w:rsidRPr="007C7992">
              <w:rPr>
                <w:b/>
                <w:color w:val="FFFFFF" w:themeColor="background1"/>
              </w:rPr>
              <w:t>impact file</w:t>
            </w:r>
            <w:r w:rsidRPr="007C7992">
              <w:rPr>
                <w:b/>
                <w:color w:val="FFFFFF" w:themeColor="background1"/>
              </w:rPr>
              <w:t xml:space="preserve"> submission</w:t>
            </w:r>
            <w:r w:rsidR="0089352A" w:rsidRPr="007C7992">
              <w:rPr>
                <w:b/>
                <w:color w:val="FFFFFF" w:themeColor="background1"/>
              </w:rPr>
              <w:t xml:space="preserve"> standards?</w:t>
            </w:r>
          </w:p>
        </w:tc>
        <w:tc>
          <w:tcPr>
            <w:tcW w:w="8185" w:type="dxa"/>
          </w:tcPr>
          <w:p w14:paraId="21A9FFE4" w14:textId="12466206" w:rsidR="00032350" w:rsidRPr="00312F33" w:rsidRDefault="0089352A" w:rsidP="003B7F4A">
            <w:pPr>
              <w:spacing w:after="120"/>
              <w:rPr>
                <w:sz w:val="20"/>
                <w:szCs w:val="20"/>
              </w:rPr>
            </w:pPr>
            <w:r>
              <w:rPr>
                <w:sz w:val="20"/>
                <w:szCs w:val="20"/>
              </w:rPr>
              <w:t xml:space="preserve">Yes. Please review the </w:t>
            </w:r>
            <w:r w:rsidR="00907BD5">
              <w:rPr>
                <w:sz w:val="20"/>
                <w:szCs w:val="20"/>
              </w:rPr>
              <w:t>Technical Refresh</w:t>
            </w:r>
            <w:r>
              <w:rPr>
                <w:sz w:val="20"/>
                <w:szCs w:val="20"/>
              </w:rPr>
              <w:t xml:space="preserve"> Impact chart below</w:t>
            </w:r>
            <w:r w:rsidR="00161D6C">
              <w:rPr>
                <w:sz w:val="20"/>
                <w:szCs w:val="20"/>
              </w:rPr>
              <w:t xml:space="preserve"> and ensure that your systems comply with the changes outlined</w:t>
            </w:r>
            <w:r w:rsidR="002F22D5">
              <w:rPr>
                <w:sz w:val="20"/>
                <w:szCs w:val="20"/>
              </w:rPr>
              <w:t xml:space="preserve"> within the document</w:t>
            </w:r>
            <w:r>
              <w:rPr>
                <w:sz w:val="20"/>
                <w:szCs w:val="20"/>
              </w:rPr>
              <w:t xml:space="preserve">. </w:t>
            </w:r>
            <w:r w:rsidR="00DE1902" w:rsidRPr="0089352A">
              <w:rPr>
                <w:sz w:val="20"/>
                <w:szCs w:val="20"/>
              </w:rPr>
              <w:t xml:space="preserve">MassHealth </w:t>
            </w:r>
            <w:r>
              <w:rPr>
                <w:sz w:val="20"/>
                <w:szCs w:val="20"/>
              </w:rPr>
              <w:t xml:space="preserve">strongly </w:t>
            </w:r>
            <w:r w:rsidR="00DE1902" w:rsidRPr="00312F33">
              <w:rPr>
                <w:sz w:val="20"/>
                <w:szCs w:val="20"/>
              </w:rPr>
              <w:t>encourages all submitters to ensure that redundant or excessive transactions are not submitted</w:t>
            </w:r>
            <w:r>
              <w:rPr>
                <w:sz w:val="20"/>
                <w:szCs w:val="20"/>
              </w:rPr>
              <w:t xml:space="preserve"> for processing</w:t>
            </w:r>
            <w:r w:rsidR="002F22D5">
              <w:rPr>
                <w:sz w:val="20"/>
                <w:szCs w:val="20"/>
              </w:rPr>
              <w:t xml:space="preserve">.  </w:t>
            </w:r>
            <w:r w:rsidR="00DE1902" w:rsidRPr="00312F33">
              <w:rPr>
                <w:sz w:val="20"/>
                <w:szCs w:val="20"/>
              </w:rPr>
              <w:t xml:space="preserve">Transactions should only be submitted to MassHealth to directly support services that have or will be provided </w:t>
            </w:r>
            <w:r w:rsidR="003B7F4A">
              <w:rPr>
                <w:sz w:val="20"/>
                <w:szCs w:val="20"/>
              </w:rPr>
              <w:t>directly to MassHealth members.</w:t>
            </w:r>
          </w:p>
        </w:tc>
      </w:tr>
      <w:tr w:rsidR="0037493D" w14:paraId="490818E8" w14:textId="77777777" w:rsidTr="007C7992">
        <w:trPr>
          <w:tblHeader/>
        </w:trPr>
        <w:tc>
          <w:tcPr>
            <w:tcW w:w="2605" w:type="dxa"/>
            <w:tcBorders>
              <w:top w:val="single" w:sz="6" w:space="0" w:color="auto"/>
              <w:bottom w:val="single" w:sz="6" w:space="0" w:color="auto"/>
            </w:tcBorders>
            <w:shd w:val="clear" w:color="auto" w:fill="002060"/>
          </w:tcPr>
          <w:p w14:paraId="211A1BA6" w14:textId="64EA5D5A" w:rsidR="0037493D" w:rsidRPr="007C7992" w:rsidRDefault="0037493D" w:rsidP="00BF639D">
            <w:pPr>
              <w:rPr>
                <w:b/>
                <w:color w:val="FFFFFF" w:themeColor="background1"/>
              </w:rPr>
            </w:pPr>
            <w:r w:rsidRPr="007C7992">
              <w:rPr>
                <w:b/>
                <w:color w:val="FFFFFF" w:themeColor="background1"/>
              </w:rPr>
              <w:t>How will MassHealth keep trading partners</w:t>
            </w:r>
            <w:r w:rsidR="003A5026" w:rsidRPr="007C7992">
              <w:rPr>
                <w:b/>
                <w:color w:val="FFFFFF" w:themeColor="background1"/>
              </w:rPr>
              <w:t xml:space="preserve"> apprised of the status of the </w:t>
            </w:r>
            <w:r w:rsidR="00907BD5">
              <w:rPr>
                <w:b/>
                <w:color w:val="FFFFFF" w:themeColor="background1"/>
              </w:rPr>
              <w:t>Technical Refresh</w:t>
            </w:r>
            <w:r w:rsidRPr="007C7992">
              <w:rPr>
                <w:b/>
                <w:color w:val="FFFFFF" w:themeColor="background1"/>
              </w:rPr>
              <w:t xml:space="preserve"> project and trading partner testing activities?  </w:t>
            </w:r>
          </w:p>
        </w:tc>
        <w:tc>
          <w:tcPr>
            <w:tcW w:w="8185" w:type="dxa"/>
          </w:tcPr>
          <w:p w14:paraId="7530D765" w14:textId="04DA3D26" w:rsidR="0037493D" w:rsidRDefault="0037493D" w:rsidP="003B7F4A">
            <w:pPr>
              <w:spacing w:after="120"/>
              <w:rPr>
                <w:sz w:val="20"/>
                <w:szCs w:val="20"/>
              </w:rPr>
            </w:pPr>
            <w:r>
              <w:rPr>
                <w:sz w:val="20"/>
                <w:szCs w:val="20"/>
              </w:rPr>
              <w:t xml:space="preserve">MassHealth will keep trading partners informed of the status of the </w:t>
            </w:r>
            <w:r w:rsidR="00907BD5">
              <w:rPr>
                <w:sz w:val="20"/>
                <w:szCs w:val="20"/>
              </w:rPr>
              <w:t>Technical Refresh</w:t>
            </w:r>
            <w:r>
              <w:rPr>
                <w:sz w:val="20"/>
                <w:szCs w:val="20"/>
              </w:rPr>
              <w:t xml:space="preserve"> project and testing timelines and activities via provider bulletin, banner and broadcast messages, information sessions, provider association forums, and trading partner testing forums</w:t>
            </w:r>
            <w:r w:rsidR="00612A3C">
              <w:rPr>
                <w:sz w:val="20"/>
                <w:szCs w:val="20"/>
              </w:rPr>
              <w:t xml:space="preserve"> </w:t>
            </w:r>
            <w:r w:rsidR="00612A3C" w:rsidRPr="00612A3C">
              <w:rPr>
                <w:i/>
                <w:sz w:val="20"/>
                <w:szCs w:val="20"/>
              </w:rPr>
              <w:t xml:space="preserve">(providers, Billing Intermediaries, Software Vendors, </w:t>
            </w:r>
            <w:r w:rsidR="000E77B7">
              <w:rPr>
                <w:i/>
                <w:sz w:val="20"/>
                <w:szCs w:val="20"/>
              </w:rPr>
              <w:t xml:space="preserve">and </w:t>
            </w:r>
            <w:r w:rsidR="00612A3C" w:rsidRPr="00612A3C">
              <w:rPr>
                <w:i/>
                <w:sz w:val="20"/>
                <w:szCs w:val="20"/>
              </w:rPr>
              <w:t>Clearin</w:t>
            </w:r>
            <w:r w:rsidR="006A0F92">
              <w:rPr>
                <w:i/>
                <w:sz w:val="20"/>
                <w:szCs w:val="20"/>
              </w:rPr>
              <w:t>gh</w:t>
            </w:r>
            <w:r w:rsidR="00612A3C" w:rsidRPr="00612A3C">
              <w:rPr>
                <w:i/>
                <w:sz w:val="20"/>
                <w:szCs w:val="20"/>
              </w:rPr>
              <w:t>ouses)</w:t>
            </w:r>
            <w:r w:rsidRPr="00612A3C">
              <w:rPr>
                <w:i/>
                <w:sz w:val="20"/>
                <w:szCs w:val="20"/>
              </w:rPr>
              <w:t>.</w:t>
            </w:r>
          </w:p>
          <w:p w14:paraId="1831C966" w14:textId="6AC435F1" w:rsidR="00032350" w:rsidRPr="00312F33" w:rsidRDefault="0037493D" w:rsidP="003B7F4A">
            <w:pPr>
              <w:spacing w:after="120"/>
              <w:rPr>
                <w:sz w:val="20"/>
                <w:szCs w:val="20"/>
              </w:rPr>
            </w:pPr>
            <w:r>
              <w:rPr>
                <w:sz w:val="20"/>
                <w:szCs w:val="20"/>
              </w:rPr>
              <w:t>Trading partners are strongly encouraged to monitor MassHea</w:t>
            </w:r>
            <w:r w:rsidR="00612A3C">
              <w:rPr>
                <w:sz w:val="20"/>
                <w:szCs w:val="20"/>
              </w:rPr>
              <w:t>l</w:t>
            </w:r>
            <w:r>
              <w:rPr>
                <w:sz w:val="20"/>
                <w:szCs w:val="20"/>
              </w:rPr>
              <w:t>th communications for additional details</w:t>
            </w:r>
            <w:r w:rsidR="00032350">
              <w:rPr>
                <w:sz w:val="20"/>
                <w:szCs w:val="20"/>
              </w:rPr>
              <w:t>.</w:t>
            </w:r>
          </w:p>
        </w:tc>
      </w:tr>
      <w:tr w:rsidR="00884B81" w14:paraId="4181C1DB" w14:textId="77777777" w:rsidTr="007C7992">
        <w:trPr>
          <w:tblHeader/>
        </w:trPr>
        <w:tc>
          <w:tcPr>
            <w:tcW w:w="2605" w:type="dxa"/>
            <w:tcBorders>
              <w:top w:val="single" w:sz="6" w:space="0" w:color="auto"/>
              <w:bottom w:val="single" w:sz="4" w:space="0" w:color="auto"/>
            </w:tcBorders>
            <w:shd w:val="clear" w:color="auto" w:fill="002060"/>
          </w:tcPr>
          <w:p w14:paraId="56B067BA" w14:textId="1D1BB259" w:rsidR="00884B81" w:rsidRPr="007C7992" w:rsidRDefault="00B324CE" w:rsidP="00BF639D">
            <w:pPr>
              <w:rPr>
                <w:b/>
                <w:color w:val="FFFFFF" w:themeColor="background1"/>
              </w:rPr>
            </w:pPr>
            <w:r w:rsidRPr="007C7992">
              <w:rPr>
                <w:b/>
                <w:color w:val="FFFFFF" w:themeColor="background1"/>
              </w:rPr>
              <w:t xml:space="preserve">If I have questions about the </w:t>
            </w:r>
            <w:r w:rsidR="00907BD5">
              <w:rPr>
                <w:b/>
                <w:color w:val="FFFFFF" w:themeColor="background1"/>
              </w:rPr>
              <w:t>Technical Refresh</w:t>
            </w:r>
            <w:r w:rsidRPr="007C7992">
              <w:rPr>
                <w:b/>
                <w:color w:val="FFFFFF" w:themeColor="background1"/>
              </w:rPr>
              <w:t>, who should I contact</w:t>
            </w:r>
            <w:r w:rsidR="00357625" w:rsidRPr="007C7992">
              <w:rPr>
                <w:b/>
                <w:color w:val="FFFFFF" w:themeColor="background1"/>
              </w:rPr>
              <w:t>?</w:t>
            </w:r>
          </w:p>
        </w:tc>
        <w:tc>
          <w:tcPr>
            <w:tcW w:w="8185" w:type="dxa"/>
          </w:tcPr>
          <w:p w14:paraId="2CA14285" w14:textId="6E870231" w:rsidR="00EC7A75" w:rsidRPr="003B7F4A" w:rsidRDefault="00B324CE" w:rsidP="003B7F4A">
            <w:pPr>
              <w:spacing w:after="120"/>
              <w:rPr>
                <w:rFonts w:ascii="Arial" w:hAnsi="Arial" w:cs="Arial"/>
                <w:sz w:val="20"/>
                <w:szCs w:val="20"/>
                <w:lang w:val="de-DE"/>
              </w:rPr>
            </w:pPr>
            <w:r w:rsidRPr="00312F33">
              <w:rPr>
                <w:sz w:val="20"/>
                <w:szCs w:val="20"/>
              </w:rPr>
              <w:t xml:space="preserve">If you have any questions related to the </w:t>
            </w:r>
            <w:r w:rsidR="00907BD5">
              <w:rPr>
                <w:sz w:val="20"/>
                <w:szCs w:val="20"/>
              </w:rPr>
              <w:t>Technical Refresh</w:t>
            </w:r>
            <w:r w:rsidR="00032350">
              <w:rPr>
                <w:sz w:val="20"/>
                <w:szCs w:val="20"/>
              </w:rPr>
              <w:t>,</w:t>
            </w:r>
            <w:r w:rsidRPr="00312F33">
              <w:rPr>
                <w:sz w:val="20"/>
                <w:szCs w:val="20"/>
              </w:rPr>
              <w:t xml:space="preserve"> please contact MassHealth Customer Services </w:t>
            </w:r>
            <w:r w:rsidR="007A6CE6">
              <w:rPr>
                <w:sz w:val="20"/>
                <w:szCs w:val="20"/>
              </w:rPr>
              <w:t>Center’s</w:t>
            </w:r>
            <w:r w:rsidR="00912ADA">
              <w:rPr>
                <w:sz w:val="20"/>
                <w:szCs w:val="20"/>
              </w:rPr>
              <w:t xml:space="preserve"> </w:t>
            </w:r>
            <w:r w:rsidR="009E36C6" w:rsidRPr="00312F33">
              <w:rPr>
                <w:sz w:val="20"/>
                <w:szCs w:val="20"/>
              </w:rPr>
              <w:t xml:space="preserve">EDI team </w:t>
            </w:r>
            <w:r w:rsidRPr="00312F33">
              <w:rPr>
                <w:sz w:val="20"/>
                <w:szCs w:val="20"/>
              </w:rPr>
              <w:t xml:space="preserve">at </w:t>
            </w:r>
            <w:r w:rsidR="00AB6128">
              <w:rPr>
                <w:sz w:val="20"/>
                <w:szCs w:val="20"/>
              </w:rPr>
              <w:t>(</w:t>
            </w:r>
            <w:r w:rsidR="004133F0" w:rsidRPr="00312F33">
              <w:rPr>
                <w:sz w:val="20"/>
                <w:szCs w:val="20"/>
              </w:rPr>
              <w:t>800</w:t>
            </w:r>
            <w:r w:rsidR="00AB6128">
              <w:rPr>
                <w:sz w:val="20"/>
                <w:szCs w:val="20"/>
              </w:rPr>
              <w:t xml:space="preserve">) </w:t>
            </w:r>
            <w:r w:rsidR="004133F0" w:rsidRPr="00312F33">
              <w:rPr>
                <w:sz w:val="20"/>
                <w:szCs w:val="20"/>
              </w:rPr>
              <w:t>841-2900</w:t>
            </w:r>
            <w:r w:rsidRPr="00312F33">
              <w:rPr>
                <w:sz w:val="20"/>
                <w:szCs w:val="20"/>
              </w:rPr>
              <w:t xml:space="preserve"> or </w:t>
            </w:r>
            <w:hyperlink r:id="rId9" w:history="1">
              <w:r w:rsidR="004133F0" w:rsidRPr="001F4E67">
                <w:rPr>
                  <w:rStyle w:val="Hyperlink"/>
                  <w:rFonts w:ascii="Arial" w:hAnsi="Arial" w:cs="Arial"/>
                  <w:sz w:val="20"/>
                  <w:szCs w:val="20"/>
                  <w:lang w:val="de-DE"/>
                </w:rPr>
                <w:t>edi@mahealth.net</w:t>
              </w:r>
            </w:hyperlink>
          </w:p>
        </w:tc>
      </w:tr>
    </w:tbl>
    <w:bookmarkEnd w:id="1"/>
    <w:p w14:paraId="1EFA556B" w14:textId="68FB821C" w:rsidR="0075552E" w:rsidRPr="0075552E" w:rsidRDefault="0075552E" w:rsidP="00AB6128">
      <w:pPr>
        <w:spacing w:before="240"/>
        <w:rPr>
          <w:b/>
          <w:color w:val="1F3864" w:themeColor="accent1" w:themeShade="80"/>
          <w:sz w:val="24"/>
          <w:szCs w:val="28"/>
        </w:rPr>
      </w:pPr>
      <w:r w:rsidRPr="0075552E">
        <w:rPr>
          <w:b/>
          <w:color w:val="1F3864" w:themeColor="accent1" w:themeShade="80"/>
          <w:sz w:val="24"/>
          <w:szCs w:val="28"/>
        </w:rPr>
        <w:t xml:space="preserve">The following chart outlines the </w:t>
      </w:r>
      <w:r w:rsidR="00C92111">
        <w:rPr>
          <w:b/>
          <w:color w:val="1F3864" w:themeColor="accent1" w:themeShade="80"/>
          <w:sz w:val="24"/>
          <w:szCs w:val="28"/>
        </w:rPr>
        <w:t xml:space="preserve">complete provider based testing and implementation </w:t>
      </w:r>
      <w:r w:rsidRPr="0075552E">
        <w:rPr>
          <w:b/>
          <w:color w:val="1F3864" w:themeColor="accent1" w:themeShade="80"/>
          <w:sz w:val="24"/>
          <w:szCs w:val="28"/>
        </w:rPr>
        <w:t xml:space="preserve">schedule for </w:t>
      </w:r>
      <w:r w:rsidR="00597BC1">
        <w:rPr>
          <w:b/>
          <w:color w:val="1F3864" w:themeColor="accent1" w:themeShade="80"/>
          <w:sz w:val="24"/>
          <w:szCs w:val="28"/>
        </w:rPr>
        <w:t xml:space="preserve">the </w:t>
      </w:r>
      <w:r w:rsidR="00907BD5">
        <w:rPr>
          <w:b/>
          <w:color w:val="1F3864" w:themeColor="accent1" w:themeShade="80"/>
          <w:sz w:val="24"/>
          <w:szCs w:val="28"/>
        </w:rPr>
        <w:t>Technical Refresh</w:t>
      </w:r>
      <w:r w:rsidR="00C92111">
        <w:rPr>
          <w:b/>
          <w:color w:val="1F3864" w:themeColor="accent1" w:themeShade="80"/>
          <w:sz w:val="24"/>
          <w:szCs w:val="28"/>
        </w:rPr>
        <w:t xml:space="preserve"> project</w:t>
      </w:r>
    </w:p>
    <w:tbl>
      <w:tblPr>
        <w:tblStyle w:val="TableGrid"/>
        <w:tblpPr w:leftFromText="180" w:rightFromText="180" w:vertAnchor="text" w:horzAnchor="margin" w:tblpY="184"/>
        <w:tblW w:w="0" w:type="auto"/>
        <w:tblLook w:val="04A0" w:firstRow="1" w:lastRow="0" w:firstColumn="1" w:lastColumn="0" w:noHBand="0" w:noVBand="1"/>
        <w:tblCaption w:val="Provider based testing and implementation schedule "/>
        <w:tblDescription w:val="Outlines the implementation schedule. "/>
      </w:tblPr>
      <w:tblGrid>
        <w:gridCol w:w="1034"/>
        <w:gridCol w:w="1856"/>
        <w:gridCol w:w="2033"/>
        <w:gridCol w:w="3254"/>
        <w:gridCol w:w="2641"/>
      </w:tblGrid>
      <w:tr w:rsidR="00C92111" w14:paraId="73D926EF" w14:textId="7879CD0B" w:rsidTr="00B749CA">
        <w:trPr>
          <w:trHeight w:val="803"/>
          <w:tblHeader/>
        </w:trPr>
        <w:tc>
          <w:tcPr>
            <w:tcW w:w="1034" w:type="dxa"/>
            <w:shd w:val="clear" w:color="auto" w:fill="B4C6E7" w:themeFill="accent1" w:themeFillTint="66"/>
            <w:vAlign w:val="center"/>
          </w:tcPr>
          <w:p w14:paraId="3B682F4E" w14:textId="77777777" w:rsidR="00C92111" w:rsidRPr="009205F1" w:rsidRDefault="00C92111" w:rsidP="007C7616">
            <w:pPr>
              <w:jc w:val="center"/>
              <w:rPr>
                <w:b/>
                <w:color w:val="002060"/>
              </w:rPr>
            </w:pPr>
            <w:r w:rsidRPr="009205F1">
              <w:rPr>
                <w:b/>
                <w:color w:val="002060"/>
              </w:rPr>
              <w:t>Phase</w:t>
            </w:r>
          </w:p>
        </w:tc>
        <w:tc>
          <w:tcPr>
            <w:tcW w:w="1856" w:type="dxa"/>
            <w:shd w:val="clear" w:color="auto" w:fill="B4C6E7" w:themeFill="accent1" w:themeFillTint="66"/>
            <w:vAlign w:val="center"/>
          </w:tcPr>
          <w:p w14:paraId="4EC7E8A9" w14:textId="77777777" w:rsidR="00C92111" w:rsidRPr="009205F1" w:rsidRDefault="00C92111" w:rsidP="007C7616">
            <w:pPr>
              <w:jc w:val="center"/>
              <w:rPr>
                <w:b/>
                <w:color w:val="002060"/>
              </w:rPr>
            </w:pPr>
            <w:r w:rsidRPr="009205F1">
              <w:rPr>
                <w:b/>
                <w:color w:val="002060"/>
              </w:rPr>
              <w:t xml:space="preserve">Affected </w:t>
            </w:r>
          </w:p>
          <w:p w14:paraId="26EBA98A" w14:textId="2AC87D04" w:rsidR="00C92111" w:rsidRPr="009205F1" w:rsidRDefault="00C92111" w:rsidP="007C7616">
            <w:pPr>
              <w:jc w:val="center"/>
              <w:rPr>
                <w:b/>
                <w:color w:val="002060"/>
              </w:rPr>
            </w:pPr>
            <w:r w:rsidRPr="009205F1">
              <w:rPr>
                <w:b/>
                <w:color w:val="002060"/>
              </w:rPr>
              <w:t>Transactions</w:t>
            </w:r>
          </w:p>
        </w:tc>
        <w:tc>
          <w:tcPr>
            <w:tcW w:w="2033" w:type="dxa"/>
            <w:shd w:val="clear" w:color="auto" w:fill="B4C6E7" w:themeFill="accent1" w:themeFillTint="66"/>
            <w:vAlign w:val="center"/>
          </w:tcPr>
          <w:p w14:paraId="39D3E3AE" w14:textId="77777777" w:rsidR="00C92111" w:rsidRPr="009205F1" w:rsidRDefault="00C92111" w:rsidP="007C7616">
            <w:pPr>
              <w:jc w:val="center"/>
              <w:rPr>
                <w:b/>
                <w:color w:val="002060"/>
              </w:rPr>
            </w:pPr>
            <w:r w:rsidRPr="009205F1">
              <w:rPr>
                <w:b/>
                <w:color w:val="002060"/>
              </w:rPr>
              <w:t>Updated CG Available (after internal testing)</w:t>
            </w:r>
          </w:p>
        </w:tc>
        <w:tc>
          <w:tcPr>
            <w:tcW w:w="3254" w:type="dxa"/>
            <w:shd w:val="clear" w:color="auto" w:fill="B4C6E7" w:themeFill="accent1" w:themeFillTint="66"/>
            <w:vAlign w:val="center"/>
          </w:tcPr>
          <w:p w14:paraId="10D26E2B" w14:textId="77777777" w:rsidR="00C92111" w:rsidRPr="009205F1" w:rsidRDefault="00C92111" w:rsidP="007C7616">
            <w:pPr>
              <w:jc w:val="center"/>
              <w:rPr>
                <w:b/>
                <w:color w:val="002060"/>
              </w:rPr>
            </w:pPr>
            <w:r w:rsidRPr="009205F1">
              <w:rPr>
                <w:b/>
                <w:color w:val="002060"/>
              </w:rPr>
              <w:t>Trading Partner Testing</w:t>
            </w:r>
          </w:p>
        </w:tc>
        <w:tc>
          <w:tcPr>
            <w:tcW w:w="2641" w:type="dxa"/>
            <w:shd w:val="clear" w:color="auto" w:fill="B4C6E7" w:themeFill="accent1" w:themeFillTint="66"/>
            <w:vAlign w:val="center"/>
          </w:tcPr>
          <w:p w14:paraId="16241EFA" w14:textId="7CF77F59" w:rsidR="00C92111" w:rsidRDefault="00C92111" w:rsidP="00C92111">
            <w:pPr>
              <w:jc w:val="center"/>
              <w:rPr>
                <w:b/>
                <w:color w:val="002060"/>
              </w:rPr>
            </w:pPr>
            <w:r>
              <w:rPr>
                <w:b/>
                <w:color w:val="002060"/>
              </w:rPr>
              <w:t>Implementation</w:t>
            </w:r>
          </w:p>
          <w:p w14:paraId="73BC1288" w14:textId="5BB614CD" w:rsidR="00C92111" w:rsidRPr="009205F1" w:rsidRDefault="00C92111" w:rsidP="007518C0">
            <w:pPr>
              <w:jc w:val="center"/>
              <w:rPr>
                <w:b/>
                <w:color w:val="002060"/>
              </w:rPr>
            </w:pPr>
            <w:r>
              <w:rPr>
                <w:b/>
                <w:color w:val="002060"/>
              </w:rPr>
              <w:t>Date</w:t>
            </w:r>
          </w:p>
        </w:tc>
      </w:tr>
      <w:tr w:rsidR="00C92111" w14:paraId="41EC8E9F" w14:textId="111FEF35" w:rsidTr="00B749CA">
        <w:trPr>
          <w:trHeight w:val="983"/>
        </w:trPr>
        <w:tc>
          <w:tcPr>
            <w:tcW w:w="1034" w:type="dxa"/>
            <w:vAlign w:val="center"/>
          </w:tcPr>
          <w:p w14:paraId="6CB78B51" w14:textId="02C5074F" w:rsidR="00C92111" w:rsidRPr="00FF7603" w:rsidRDefault="00C92111" w:rsidP="007C7616">
            <w:pPr>
              <w:jc w:val="center"/>
              <w:rPr>
                <w:b/>
                <w:color w:val="1F3864" w:themeColor="accent1" w:themeShade="80"/>
              </w:rPr>
            </w:pPr>
            <w:r w:rsidRPr="00FF7603">
              <w:rPr>
                <w:b/>
                <w:color w:val="1F3864" w:themeColor="accent1" w:themeShade="80"/>
              </w:rPr>
              <w:t>1</w:t>
            </w:r>
          </w:p>
        </w:tc>
        <w:tc>
          <w:tcPr>
            <w:tcW w:w="1856" w:type="dxa"/>
            <w:vAlign w:val="center"/>
          </w:tcPr>
          <w:p w14:paraId="5868A33A" w14:textId="77777777" w:rsidR="00C92111" w:rsidRPr="00FF7603" w:rsidRDefault="00C92111" w:rsidP="008416DF">
            <w:pPr>
              <w:jc w:val="center"/>
              <w:rPr>
                <w:b/>
                <w:color w:val="1F3864" w:themeColor="accent1" w:themeShade="80"/>
              </w:rPr>
            </w:pPr>
            <w:r w:rsidRPr="00FF7603">
              <w:rPr>
                <w:b/>
                <w:color w:val="1F3864" w:themeColor="accent1" w:themeShade="80"/>
              </w:rPr>
              <w:t>270/271</w:t>
            </w:r>
          </w:p>
          <w:p w14:paraId="414ACB33" w14:textId="77777777" w:rsidR="00C92111" w:rsidRPr="00FF7603" w:rsidRDefault="00C92111" w:rsidP="008416DF">
            <w:pPr>
              <w:jc w:val="center"/>
              <w:rPr>
                <w:b/>
                <w:color w:val="1F3864" w:themeColor="accent1" w:themeShade="80"/>
              </w:rPr>
            </w:pPr>
            <w:r w:rsidRPr="00FF7603">
              <w:rPr>
                <w:b/>
                <w:color w:val="1F3864" w:themeColor="accent1" w:themeShade="80"/>
              </w:rPr>
              <w:t>820</w:t>
            </w:r>
          </w:p>
          <w:p w14:paraId="6D624947" w14:textId="77777777" w:rsidR="00C92111" w:rsidRPr="00FF7603" w:rsidRDefault="00C92111" w:rsidP="008416DF">
            <w:pPr>
              <w:jc w:val="center"/>
              <w:rPr>
                <w:b/>
                <w:color w:val="1F3864" w:themeColor="accent1" w:themeShade="80"/>
              </w:rPr>
            </w:pPr>
            <w:r w:rsidRPr="00FF7603">
              <w:rPr>
                <w:b/>
                <w:color w:val="1F3864" w:themeColor="accent1" w:themeShade="80"/>
              </w:rPr>
              <w:t>834</w:t>
            </w:r>
          </w:p>
        </w:tc>
        <w:tc>
          <w:tcPr>
            <w:tcW w:w="2033" w:type="dxa"/>
            <w:vAlign w:val="center"/>
          </w:tcPr>
          <w:p w14:paraId="6EA21C41" w14:textId="77777777" w:rsidR="00C92111" w:rsidRPr="00FF7603" w:rsidRDefault="00C92111" w:rsidP="007C7616">
            <w:pPr>
              <w:jc w:val="center"/>
              <w:rPr>
                <w:b/>
                <w:color w:val="1F3864" w:themeColor="accent1" w:themeShade="80"/>
              </w:rPr>
            </w:pPr>
            <w:r w:rsidRPr="00FF7603">
              <w:rPr>
                <w:b/>
                <w:color w:val="1F3864" w:themeColor="accent1" w:themeShade="80"/>
              </w:rPr>
              <w:t>June 2019</w:t>
            </w:r>
          </w:p>
        </w:tc>
        <w:tc>
          <w:tcPr>
            <w:tcW w:w="3254" w:type="dxa"/>
            <w:vAlign w:val="center"/>
          </w:tcPr>
          <w:p w14:paraId="5C22E65E" w14:textId="0E198581" w:rsidR="00C92111" w:rsidRPr="00FF7603" w:rsidRDefault="00C92111" w:rsidP="00050944">
            <w:pPr>
              <w:jc w:val="center"/>
              <w:rPr>
                <w:b/>
                <w:color w:val="1F3864" w:themeColor="accent1" w:themeShade="80"/>
              </w:rPr>
            </w:pPr>
            <w:r w:rsidRPr="00FF7603">
              <w:rPr>
                <w:b/>
                <w:color w:val="1F3864" w:themeColor="accent1" w:themeShade="80"/>
              </w:rPr>
              <w:t xml:space="preserve">July 29 – </w:t>
            </w:r>
            <w:r w:rsidR="00057CD4">
              <w:rPr>
                <w:b/>
                <w:color w:val="1F3864" w:themeColor="accent1" w:themeShade="80"/>
              </w:rPr>
              <w:t>October 25</w:t>
            </w:r>
            <w:r w:rsidRPr="00FF7603">
              <w:rPr>
                <w:b/>
                <w:color w:val="1F3864" w:themeColor="accent1" w:themeShade="80"/>
              </w:rPr>
              <w:t>, 2019</w:t>
            </w:r>
          </w:p>
        </w:tc>
        <w:tc>
          <w:tcPr>
            <w:tcW w:w="2641" w:type="dxa"/>
            <w:vAlign w:val="center"/>
          </w:tcPr>
          <w:p w14:paraId="11288B37" w14:textId="1376B001" w:rsidR="00C92111" w:rsidRPr="00FF7603" w:rsidRDefault="00057CD4" w:rsidP="00057CD4">
            <w:pPr>
              <w:jc w:val="center"/>
              <w:rPr>
                <w:b/>
                <w:color w:val="1F3864" w:themeColor="accent1" w:themeShade="80"/>
              </w:rPr>
            </w:pPr>
            <w:r>
              <w:rPr>
                <w:b/>
                <w:color w:val="1F3864" w:themeColor="accent1" w:themeShade="80"/>
              </w:rPr>
              <w:t>October 27</w:t>
            </w:r>
            <w:r w:rsidR="007518C0" w:rsidRPr="00FF7603">
              <w:rPr>
                <w:b/>
                <w:color w:val="1F3864" w:themeColor="accent1" w:themeShade="80"/>
              </w:rPr>
              <w:t>, 2019</w:t>
            </w:r>
          </w:p>
        </w:tc>
      </w:tr>
      <w:tr w:rsidR="00C92111" w14:paraId="01E40FDD" w14:textId="5B7170FB" w:rsidTr="00B749CA">
        <w:trPr>
          <w:trHeight w:val="1314"/>
        </w:trPr>
        <w:tc>
          <w:tcPr>
            <w:tcW w:w="1034" w:type="dxa"/>
            <w:vAlign w:val="center"/>
          </w:tcPr>
          <w:p w14:paraId="2B2847E0" w14:textId="08CB240A" w:rsidR="00C92111" w:rsidRPr="00FF7603" w:rsidRDefault="00C92111" w:rsidP="007C7616">
            <w:pPr>
              <w:jc w:val="center"/>
              <w:rPr>
                <w:b/>
                <w:color w:val="1F3864" w:themeColor="accent1" w:themeShade="80"/>
              </w:rPr>
            </w:pPr>
            <w:r w:rsidRPr="00FF7603">
              <w:rPr>
                <w:b/>
                <w:color w:val="1F3864" w:themeColor="accent1" w:themeShade="80"/>
              </w:rPr>
              <w:t>2</w:t>
            </w:r>
          </w:p>
        </w:tc>
        <w:tc>
          <w:tcPr>
            <w:tcW w:w="1856" w:type="dxa"/>
            <w:vAlign w:val="center"/>
          </w:tcPr>
          <w:p w14:paraId="435A153F" w14:textId="77777777" w:rsidR="00C92111" w:rsidRPr="00FF7603" w:rsidRDefault="00C92111" w:rsidP="008416DF">
            <w:pPr>
              <w:jc w:val="center"/>
              <w:rPr>
                <w:b/>
                <w:color w:val="1F3864" w:themeColor="accent1" w:themeShade="80"/>
              </w:rPr>
            </w:pPr>
            <w:r w:rsidRPr="00FF7603">
              <w:rPr>
                <w:b/>
                <w:color w:val="1F3864" w:themeColor="accent1" w:themeShade="80"/>
              </w:rPr>
              <w:t>276/277</w:t>
            </w:r>
          </w:p>
          <w:p w14:paraId="71EDE68E" w14:textId="77777777" w:rsidR="00C92111" w:rsidRPr="00FF7603" w:rsidRDefault="00C92111" w:rsidP="008416DF">
            <w:pPr>
              <w:jc w:val="center"/>
              <w:rPr>
                <w:b/>
                <w:color w:val="1F3864" w:themeColor="accent1" w:themeShade="80"/>
              </w:rPr>
            </w:pPr>
            <w:r w:rsidRPr="00FF7603">
              <w:rPr>
                <w:b/>
                <w:color w:val="1F3864" w:themeColor="accent1" w:themeShade="80"/>
              </w:rPr>
              <w:t>835</w:t>
            </w:r>
          </w:p>
          <w:p w14:paraId="4EB2B92A" w14:textId="77777777" w:rsidR="00C92111" w:rsidRPr="00FF7603" w:rsidRDefault="00C92111" w:rsidP="008416DF">
            <w:pPr>
              <w:jc w:val="center"/>
              <w:rPr>
                <w:b/>
                <w:color w:val="1F3864" w:themeColor="accent1" w:themeShade="80"/>
              </w:rPr>
            </w:pPr>
            <w:r w:rsidRPr="00FF7603">
              <w:rPr>
                <w:b/>
                <w:color w:val="1F3864" w:themeColor="accent1" w:themeShade="80"/>
              </w:rPr>
              <w:t>837I</w:t>
            </w:r>
          </w:p>
          <w:p w14:paraId="39766988" w14:textId="77777777" w:rsidR="00C92111" w:rsidRPr="00FF7603" w:rsidRDefault="00C92111" w:rsidP="008416DF">
            <w:pPr>
              <w:jc w:val="center"/>
              <w:rPr>
                <w:b/>
                <w:color w:val="1F3864" w:themeColor="accent1" w:themeShade="80"/>
              </w:rPr>
            </w:pPr>
            <w:r w:rsidRPr="00FF7603">
              <w:rPr>
                <w:b/>
                <w:color w:val="1F3864" w:themeColor="accent1" w:themeShade="80"/>
              </w:rPr>
              <w:t>837P</w:t>
            </w:r>
          </w:p>
        </w:tc>
        <w:tc>
          <w:tcPr>
            <w:tcW w:w="2033" w:type="dxa"/>
            <w:vAlign w:val="center"/>
          </w:tcPr>
          <w:p w14:paraId="0EBB681E" w14:textId="77777777" w:rsidR="00C92111" w:rsidRPr="00FF7603" w:rsidRDefault="00C92111" w:rsidP="007C7616">
            <w:pPr>
              <w:jc w:val="center"/>
              <w:rPr>
                <w:b/>
                <w:color w:val="1F3864" w:themeColor="accent1" w:themeShade="80"/>
              </w:rPr>
            </w:pPr>
            <w:r w:rsidRPr="00FF7603">
              <w:rPr>
                <w:b/>
                <w:color w:val="1F3864" w:themeColor="accent1" w:themeShade="80"/>
              </w:rPr>
              <w:t>November 2019</w:t>
            </w:r>
          </w:p>
        </w:tc>
        <w:tc>
          <w:tcPr>
            <w:tcW w:w="3254" w:type="dxa"/>
            <w:vAlign w:val="center"/>
          </w:tcPr>
          <w:p w14:paraId="4695F4FB" w14:textId="266C145B" w:rsidR="00C92111" w:rsidRPr="00FF7603" w:rsidRDefault="00C92111" w:rsidP="00AE4855">
            <w:pPr>
              <w:jc w:val="center"/>
              <w:rPr>
                <w:b/>
                <w:color w:val="1F3864" w:themeColor="accent1" w:themeShade="80"/>
              </w:rPr>
            </w:pPr>
            <w:r w:rsidRPr="00FF7603">
              <w:rPr>
                <w:b/>
                <w:color w:val="1F3864" w:themeColor="accent1" w:themeShade="80"/>
              </w:rPr>
              <w:t>January 27 – March 27, 2020</w:t>
            </w:r>
          </w:p>
        </w:tc>
        <w:tc>
          <w:tcPr>
            <w:tcW w:w="2641" w:type="dxa"/>
            <w:vAlign w:val="center"/>
          </w:tcPr>
          <w:p w14:paraId="2A082946" w14:textId="408E9F1C" w:rsidR="00C92111" w:rsidRPr="00FF7603" w:rsidRDefault="007518C0" w:rsidP="007518C0">
            <w:pPr>
              <w:jc w:val="center"/>
              <w:rPr>
                <w:b/>
                <w:color w:val="1F3864" w:themeColor="accent1" w:themeShade="80"/>
              </w:rPr>
            </w:pPr>
            <w:r w:rsidRPr="00FF7603">
              <w:rPr>
                <w:b/>
                <w:color w:val="1F3864" w:themeColor="accent1" w:themeShade="80"/>
              </w:rPr>
              <w:t>March 30, 2020</w:t>
            </w:r>
          </w:p>
        </w:tc>
      </w:tr>
    </w:tbl>
    <w:p w14:paraId="756FDBCD" w14:textId="77777777" w:rsidR="00147572" w:rsidRDefault="00161D6C">
      <w:pPr>
        <w:rPr>
          <w:b/>
          <w:color w:val="1F3864" w:themeColor="accent1" w:themeShade="80"/>
          <w:sz w:val="28"/>
          <w:szCs w:val="28"/>
        </w:rPr>
      </w:pPr>
      <w:r>
        <w:rPr>
          <w:b/>
          <w:color w:val="1F3864" w:themeColor="accent1" w:themeShade="80"/>
          <w:sz w:val="28"/>
          <w:szCs w:val="28"/>
        </w:rPr>
        <w:br w:type="page"/>
      </w:r>
    </w:p>
    <w:p w14:paraId="572C0592" w14:textId="77777777" w:rsidR="00673D06" w:rsidRDefault="00673D06" w:rsidP="00FF7603">
      <w:pPr>
        <w:jc w:val="center"/>
        <w:rPr>
          <w:b/>
          <w:color w:val="1F3864" w:themeColor="accent1" w:themeShade="80"/>
          <w:sz w:val="28"/>
          <w:szCs w:val="28"/>
        </w:rPr>
      </w:pPr>
      <w:r>
        <w:rPr>
          <w:b/>
          <w:color w:val="1F3864" w:themeColor="accent1" w:themeShade="80"/>
          <w:sz w:val="28"/>
          <w:szCs w:val="28"/>
        </w:rPr>
        <w:lastRenderedPageBreak/>
        <w:t xml:space="preserve">Current </w:t>
      </w:r>
      <w:r w:rsidR="009F09F3" w:rsidRPr="00673D06">
        <w:rPr>
          <w:b/>
          <w:color w:val="1F3864" w:themeColor="accent1" w:themeShade="80"/>
          <w:sz w:val="28"/>
          <w:szCs w:val="28"/>
        </w:rPr>
        <w:t>I</w:t>
      </w:r>
      <w:r w:rsidR="006A6C1D" w:rsidRPr="00673D06">
        <w:rPr>
          <w:b/>
          <w:color w:val="1F3864" w:themeColor="accent1" w:themeShade="80"/>
          <w:sz w:val="28"/>
          <w:szCs w:val="28"/>
        </w:rPr>
        <w:t>mpact to MassHealth HIPAA Transactions</w:t>
      </w:r>
    </w:p>
    <w:p w14:paraId="4EDE8BE1" w14:textId="77777777" w:rsidR="00772D6D" w:rsidRPr="00FF7603" w:rsidRDefault="00673D06">
      <w:pPr>
        <w:rPr>
          <w:b/>
          <w:color w:val="1F3864" w:themeColor="accent1" w:themeShade="80"/>
          <w:sz w:val="24"/>
          <w:szCs w:val="24"/>
        </w:rPr>
      </w:pPr>
      <w:r w:rsidRPr="00FF7603">
        <w:rPr>
          <w:b/>
          <w:color w:val="1F3864" w:themeColor="accent1" w:themeShade="80"/>
          <w:sz w:val="24"/>
          <w:szCs w:val="24"/>
        </w:rPr>
        <w:t xml:space="preserve">The chart below outlines the high-level impact to the HIPAA transaction.  Please be sure to review the draft Companion Guide for detailed updates for each </w:t>
      </w:r>
      <w:r w:rsidR="00937178" w:rsidRPr="00FF7603">
        <w:rPr>
          <w:b/>
          <w:color w:val="1F3864" w:themeColor="accent1" w:themeShade="80"/>
          <w:sz w:val="24"/>
          <w:szCs w:val="24"/>
        </w:rPr>
        <w:t xml:space="preserve">affected </w:t>
      </w:r>
      <w:r w:rsidRPr="00FF7603">
        <w:rPr>
          <w:b/>
          <w:color w:val="1F3864" w:themeColor="accent1" w:themeShade="80"/>
          <w:sz w:val="24"/>
          <w:szCs w:val="24"/>
        </w:rPr>
        <w:t>transaction.</w:t>
      </w:r>
    </w:p>
    <w:tbl>
      <w:tblPr>
        <w:tblStyle w:val="TableGrid"/>
        <w:tblW w:w="0" w:type="auto"/>
        <w:tblLook w:val="04A0" w:firstRow="1" w:lastRow="0" w:firstColumn="1" w:lastColumn="0" w:noHBand="0" w:noVBand="1"/>
        <w:tblCaption w:val="Current Impact to MassHealth HIPAA Transactions"/>
        <w:tblDescription w:val="High-level impact to HIPAA transactions"/>
      </w:tblPr>
      <w:tblGrid>
        <w:gridCol w:w="2628"/>
        <w:gridCol w:w="2497"/>
        <w:gridCol w:w="653"/>
        <w:gridCol w:w="572"/>
        <w:gridCol w:w="668"/>
        <w:gridCol w:w="617"/>
        <w:gridCol w:w="551"/>
        <w:gridCol w:w="629"/>
        <w:gridCol w:w="653"/>
        <w:gridCol w:w="657"/>
        <w:gridCol w:w="665"/>
      </w:tblGrid>
      <w:tr w:rsidR="008F7503" w14:paraId="45EF36A1" w14:textId="77777777" w:rsidTr="00066B61">
        <w:trPr>
          <w:tblHeader/>
        </w:trPr>
        <w:tc>
          <w:tcPr>
            <w:tcW w:w="2628" w:type="dxa"/>
            <w:shd w:val="clear" w:color="auto" w:fill="8EAADB" w:themeFill="accent1" w:themeFillTint="99"/>
          </w:tcPr>
          <w:p w14:paraId="4AA90869" w14:textId="77777777" w:rsidR="00865822" w:rsidRPr="008F7503" w:rsidRDefault="00865822" w:rsidP="00865822">
            <w:pPr>
              <w:jc w:val="center"/>
              <w:rPr>
                <w:b/>
                <w:color w:val="002060"/>
              </w:rPr>
            </w:pPr>
            <w:r w:rsidRPr="008F7503">
              <w:rPr>
                <w:b/>
                <w:color w:val="002060"/>
              </w:rPr>
              <w:t xml:space="preserve">Known Changes </w:t>
            </w:r>
          </w:p>
          <w:p w14:paraId="51B47D89" w14:textId="77777777" w:rsidR="00865822" w:rsidRPr="008F7503" w:rsidRDefault="00865822" w:rsidP="00865822">
            <w:pPr>
              <w:jc w:val="center"/>
              <w:rPr>
                <w:b/>
                <w:color w:val="002060"/>
              </w:rPr>
            </w:pPr>
            <w:r w:rsidRPr="008F7503">
              <w:rPr>
                <w:b/>
                <w:color w:val="002060"/>
              </w:rPr>
              <w:t>To Date</w:t>
            </w:r>
          </w:p>
        </w:tc>
        <w:tc>
          <w:tcPr>
            <w:tcW w:w="2497" w:type="dxa"/>
            <w:shd w:val="clear" w:color="auto" w:fill="8EAADB" w:themeFill="accent1" w:themeFillTint="99"/>
            <w:vAlign w:val="center"/>
          </w:tcPr>
          <w:p w14:paraId="1440BEFF" w14:textId="77777777" w:rsidR="00865822" w:rsidRPr="008F7503" w:rsidRDefault="00865822" w:rsidP="004F0728">
            <w:pPr>
              <w:jc w:val="center"/>
              <w:rPr>
                <w:b/>
                <w:color w:val="002060"/>
              </w:rPr>
            </w:pPr>
            <w:r w:rsidRPr="008F7503">
              <w:rPr>
                <w:b/>
                <w:color w:val="002060"/>
              </w:rPr>
              <w:t>Provider Impact</w:t>
            </w:r>
          </w:p>
        </w:tc>
        <w:tc>
          <w:tcPr>
            <w:tcW w:w="653" w:type="dxa"/>
            <w:shd w:val="clear" w:color="auto" w:fill="8EAADB" w:themeFill="accent1" w:themeFillTint="99"/>
            <w:vAlign w:val="center"/>
          </w:tcPr>
          <w:p w14:paraId="12EC0864" w14:textId="77777777" w:rsidR="00865822" w:rsidRPr="008F7503" w:rsidRDefault="00865822">
            <w:pPr>
              <w:jc w:val="center"/>
              <w:rPr>
                <w:b/>
                <w:color w:val="002060"/>
              </w:rPr>
            </w:pPr>
            <w:r w:rsidRPr="008F7503">
              <w:rPr>
                <w:b/>
                <w:color w:val="002060"/>
              </w:rPr>
              <w:t>270</w:t>
            </w:r>
          </w:p>
        </w:tc>
        <w:tc>
          <w:tcPr>
            <w:tcW w:w="572" w:type="dxa"/>
            <w:shd w:val="clear" w:color="auto" w:fill="8EAADB" w:themeFill="accent1" w:themeFillTint="99"/>
            <w:vAlign w:val="center"/>
          </w:tcPr>
          <w:p w14:paraId="040AB04F" w14:textId="77777777" w:rsidR="00865822" w:rsidRPr="008F7503" w:rsidRDefault="00865822">
            <w:pPr>
              <w:jc w:val="center"/>
              <w:rPr>
                <w:b/>
                <w:color w:val="002060"/>
              </w:rPr>
            </w:pPr>
            <w:r w:rsidRPr="008F7503">
              <w:rPr>
                <w:b/>
                <w:color w:val="002060"/>
              </w:rPr>
              <w:t>271</w:t>
            </w:r>
          </w:p>
        </w:tc>
        <w:tc>
          <w:tcPr>
            <w:tcW w:w="668" w:type="dxa"/>
            <w:shd w:val="clear" w:color="auto" w:fill="8EAADB" w:themeFill="accent1" w:themeFillTint="99"/>
            <w:vAlign w:val="center"/>
          </w:tcPr>
          <w:p w14:paraId="291A8138" w14:textId="6ED490C1" w:rsidR="00865822" w:rsidRPr="008F7503" w:rsidRDefault="000334D2">
            <w:pPr>
              <w:jc w:val="center"/>
              <w:rPr>
                <w:b/>
                <w:color w:val="002060"/>
              </w:rPr>
            </w:pPr>
            <w:r>
              <w:rPr>
                <w:b/>
                <w:color w:val="002060"/>
              </w:rPr>
              <w:t>837P</w:t>
            </w:r>
          </w:p>
        </w:tc>
        <w:tc>
          <w:tcPr>
            <w:tcW w:w="617" w:type="dxa"/>
            <w:shd w:val="clear" w:color="auto" w:fill="8EAADB" w:themeFill="accent1" w:themeFillTint="99"/>
            <w:vAlign w:val="center"/>
          </w:tcPr>
          <w:p w14:paraId="78DC15DC" w14:textId="77777777" w:rsidR="00865822" w:rsidRPr="008F7503" w:rsidRDefault="00865822">
            <w:pPr>
              <w:jc w:val="center"/>
              <w:rPr>
                <w:b/>
                <w:color w:val="002060"/>
              </w:rPr>
            </w:pPr>
            <w:r w:rsidRPr="008F7503">
              <w:rPr>
                <w:b/>
                <w:color w:val="002060"/>
              </w:rPr>
              <w:t>837I</w:t>
            </w:r>
          </w:p>
        </w:tc>
        <w:tc>
          <w:tcPr>
            <w:tcW w:w="551" w:type="dxa"/>
            <w:shd w:val="clear" w:color="auto" w:fill="8EAADB" w:themeFill="accent1" w:themeFillTint="99"/>
            <w:vAlign w:val="center"/>
          </w:tcPr>
          <w:p w14:paraId="2E3F94EE" w14:textId="77777777" w:rsidR="00865822" w:rsidRPr="008F7503" w:rsidRDefault="00865822">
            <w:pPr>
              <w:jc w:val="center"/>
              <w:rPr>
                <w:b/>
                <w:color w:val="002060"/>
              </w:rPr>
            </w:pPr>
            <w:r w:rsidRPr="008F7503">
              <w:rPr>
                <w:b/>
                <w:color w:val="002060"/>
              </w:rPr>
              <w:t>835</w:t>
            </w:r>
          </w:p>
        </w:tc>
        <w:tc>
          <w:tcPr>
            <w:tcW w:w="629" w:type="dxa"/>
            <w:shd w:val="clear" w:color="auto" w:fill="8EAADB" w:themeFill="accent1" w:themeFillTint="99"/>
            <w:vAlign w:val="center"/>
          </w:tcPr>
          <w:p w14:paraId="594C1CFE" w14:textId="528904E3" w:rsidR="00865822" w:rsidRPr="008F7503" w:rsidRDefault="00865822" w:rsidP="00357625">
            <w:pPr>
              <w:rPr>
                <w:b/>
                <w:color w:val="002060"/>
              </w:rPr>
            </w:pPr>
            <w:r w:rsidRPr="008F7503">
              <w:rPr>
                <w:b/>
                <w:color w:val="002060"/>
              </w:rPr>
              <w:t>276</w:t>
            </w:r>
          </w:p>
        </w:tc>
        <w:tc>
          <w:tcPr>
            <w:tcW w:w="653" w:type="dxa"/>
            <w:shd w:val="clear" w:color="auto" w:fill="8EAADB" w:themeFill="accent1" w:themeFillTint="99"/>
            <w:vAlign w:val="center"/>
          </w:tcPr>
          <w:p w14:paraId="580117C2" w14:textId="77777777" w:rsidR="00865822" w:rsidRPr="008F7503" w:rsidRDefault="00865822" w:rsidP="004F0728">
            <w:pPr>
              <w:jc w:val="center"/>
              <w:rPr>
                <w:b/>
                <w:color w:val="002060"/>
              </w:rPr>
            </w:pPr>
            <w:r w:rsidRPr="008F7503">
              <w:rPr>
                <w:b/>
                <w:color w:val="002060"/>
              </w:rPr>
              <w:t>277</w:t>
            </w:r>
          </w:p>
        </w:tc>
        <w:tc>
          <w:tcPr>
            <w:tcW w:w="657" w:type="dxa"/>
            <w:shd w:val="clear" w:color="auto" w:fill="8EAADB" w:themeFill="accent1" w:themeFillTint="99"/>
            <w:vAlign w:val="center"/>
          </w:tcPr>
          <w:p w14:paraId="3CF9655D" w14:textId="77777777" w:rsidR="00865822" w:rsidRPr="008F7503" w:rsidRDefault="00865822">
            <w:pPr>
              <w:jc w:val="center"/>
              <w:rPr>
                <w:b/>
                <w:color w:val="002060"/>
              </w:rPr>
            </w:pPr>
            <w:r w:rsidRPr="008F7503">
              <w:rPr>
                <w:b/>
                <w:color w:val="002060"/>
              </w:rPr>
              <w:t>834</w:t>
            </w:r>
          </w:p>
        </w:tc>
        <w:tc>
          <w:tcPr>
            <w:tcW w:w="665" w:type="dxa"/>
            <w:shd w:val="clear" w:color="auto" w:fill="8EAADB" w:themeFill="accent1" w:themeFillTint="99"/>
            <w:vAlign w:val="center"/>
          </w:tcPr>
          <w:p w14:paraId="46B26C3D" w14:textId="77777777" w:rsidR="00865822" w:rsidRPr="008F7503" w:rsidRDefault="00865822">
            <w:pPr>
              <w:jc w:val="center"/>
              <w:rPr>
                <w:b/>
                <w:color w:val="002060"/>
              </w:rPr>
            </w:pPr>
            <w:r w:rsidRPr="008F7503">
              <w:rPr>
                <w:b/>
                <w:color w:val="002060"/>
              </w:rPr>
              <w:t>820</w:t>
            </w:r>
          </w:p>
        </w:tc>
      </w:tr>
      <w:tr w:rsidR="00865822" w14:paraId="0B38992D" w14:textId="77777777" w:rsidTr="00066B61">
        <w:tc>
          <w:tcPr>
            <w:tcW w:w="2628" w:type="dxa"/>
            <w:vAlign w:val="center"/>
          </w:tcPr>
          <w:p w14:paraId="050F897F" w14:textId="7A94A714" w:rsidR="003F2C52" w:rsidRPr="00FF7603" w:rsidRDefault="00A346D6" w:rsidP="00C37137">
            <w:pPr>
              <w:spacing w:after="120"/>
              <w:rPr>
                <w:color w:val="002060"/>
                <w:sz w:val="20"/>
                <w:szCs w:val="20"/>
              </w:rPr>
            </w:pPr>
            <w:r w:rsidRPr="00A346D6">
              <w:rPr>
                <w:color w:val="002060"/>
                <w:sz w:val="20"/>
                <w:szCs w:val="20"/>
              </w:rPr>
              <w:t>Files submitted to MassHealth must contain the same ISA/IEA and GS/GE values with the exception of the date/time and control # data elements or the file will fail pre-compliance</w:t>
            </w:r>
            <w:r w:rsidR="005B6545">
              <w:rPr>
                <w:color w:val="002060"/>
                <w:sz w:val="20"/>
                <w:szCs w:val="20"/>
              </w:rPr>
              <w:t>.</w:t>
            </w:r>
          </w:p>
        </w:tc>
        <w:tc>
          <w:tcPr>
            <w:tcW w:w="2497" w:type="dxa"/>
            <w:vAlign w:val="center"/>
          </w:tcPr>
          <w:p w14:paraId="6E241DB5" w14:textId="1D7AED46" w:rsidR="005B6545" w:rsidRPr="00DE5045" w:rsidRDefault="005B6545" w:rsidP="005B6545">
            <w:pPr>
              <w:rPr>
                <w:color w:val="002060"/>
                <w:sz w:val="19"/>
                <w:szCs w:val="19"/>
              </w:rPr>
            </w:pPr>
            <w:r w:rsidRPr="00DE5045">
              <w:rPr>
                <w:color w:val="002060"/>
                <w:sz w:val="19"/>
                <w:szCs w:val="19"/>
              </w:rPr>
              <w:t>Ensure that all ISA/IEA</w:t>
            </w:r>
            <w:r>
              <w:rPr>
                <w:color w:val="002060"/>
                <w:sz w:val="19"/>
                <w:szCs w:val="19"/>
              </w:rPr>
              <w:t xml:space="preserve">  </w:t>
            </w:r>
            <w:r w:rsidRPr="00DE5045">
              <w:rPr>
                <w:color w:val="002060"/>
                <w:sz w:val="19"/>
                <w:szCs w:val="19"/>
              </w:rPr>
              <w:t xml:space="preserve"> </w:t>
            </w:r>
            <w:r>
              <w:rPr>
                <w:color w:val="002060"/>
                <w:sz w:val="19"/>
                <w:szCs w:val="19"/>
              </w:rPr>
              <w:t xml:space="preserve">and GS/GE values </w:t>
            </w:r>
            <w:r w:rsidR="00833E96">
              <w:rPr>
                <w:color w:val="002060"/>
                <w:sz w:val="19"/>
                <w:szCs w:val="19"/>
              </w:rPr>
              <w:t>with the exception of the date/time and control #</w:t>
            </w:r>
            <w:r w:rsidR="00250622">
              <w:rPr>
                <w:color w:val="002060"/>
                <w:sz w:val="19"/>
                <w:szCs w:val="19"/>
              </w:rPr>
              <w:t xml:space="preserve"> data</w:t>
            </w:r>
            <w:r w:rsidR="00833E96">
              <w:rPr>
                <w:color w:val="002060"/>
                <w:sz w:val="19"/>
                <w:szCs w:val="19"/>
              </w:rPr>
              <w:t xml:space="preserve"> elements </w:t>
            </w:r>
            <w:r w:rsidRPr="00DE5045">
              <w:rPr>
                <w:color w:val="002060"/>
                <w:sz w:val="19"/>
                <w:szCs w:val="19"/>
              </w:rPr>
              <w:t>in the same file are consistent or the transaction will be rejected.</w:t>
            </w:r>
          </w:p>
          <w:p w14:paraId="52BF447A" w14:textId="189D85D6" w:rsidR="009F09F3" w:rsidRPr="00FF7603" w:rsidRDefault="009F09F3" w:rsidP="00C37137">
            <w:pPr>
              <w:rPr>
                <w:color w:val="002060"/>
                <w:sz w:val="20"/>
                <w:szCs w:val="20"/>
              </w:rPr>
            </w:pPr>
          </w:p>
        </w:tc>
        <w:tc>
          <w:tcPr>
            <w:tcW w:w="653" w:type="dxa"/>
            <w:vAlign w:val="center"/>
          </w:tcPr>
          <w:p w14:paraId="0EB2CD19" w14:textId="4A678C46" w:rsidR="00865822" w:rsidRPr="004A0933" w:rsidRDefault="004A0933" w:rsidP="00BB5E27">
            <w:pPr>
              <w:jc w:val="center"/>
              <w:rPr>
                <w:color w:val="002060"/>
                <w:szCs w:val="20"/>
              </w:rPr>
            </w:pPr>
            <w:r w:rsidRPr="004A0933">
              <w:rPr>
                <w:color w:val="002060"/>
                <w:szCs w:val="20"/>
              </w:rPr>
              <w:t>X</w:t>
            </w:r>
          </w:p>
        </w:tc>
        <w:tc>
          <w:tcPr>
            <w:tcW w:w="572" w:type="dxa"/>
            <w:vAlign w:val="center"/>
          </w:tcPr>
          <w:p w14:paraId="7C72E436" w14:textId="77777777" w:rsidR="00865822" w:rsidRPr="004A0933" w:rsidRDefault="00865822" w:rsidP="00375EDA">
            <w:pPr>
              <w:jc w:val="center"/>
              <w:rPr>
                <w:color w:val="002060"/>
                <w:szCs w:val="20"/>
              </w:rPr>
            </w:pPr>
          </w:p>
        </w:tc>
        <w:tc>
          <w:tcPr>
            <w:tcW w:w="668" w:type="dxa"/>
            <w:vAlign w:val="center"/>
          </w:tcPr>
          <w:p w14:paraId="5EA9EB4B" w14:textId="77777777" w:rsidR="00865822" w:rsidRPr="004A0933" w:rsidRDefault="004B2833" w:rsidP="00FD6D85">
            <w:pPr>
              <w:jc w:val="center"/>
              <w:rPr>
                <w:color w:val="002060"/>
                <w:szCs w:val="20"/>
              </w:rPr>
            </w:pPr>
            <w:r w:rsidRPr="004A0933">
              <w:rPr>
                <w:color w:val="002060"/>
                <w:szCs w:val="20"/>
              </w:rPr>
              <w:t>X</w:t>
            </w:r>
          </w:p>
        </w:tc>
        <w:tc>
          <w:tcPr>
            <w:tcW w:w="617" w:type="dxa"/>
            <w:vAlign w:val="center"/>
          </w:tcPr>
          <w:p w14:paraId="37B489DE" w14:textId="77777777" w:rsidR="00865822" w:rsidRPr="004A0933" w:rsidRDefault="004B2833" w:rsidP="00FD6D85">
            <w:pPr>
              <w:jc w:val="center"/>
              <w:rPr>
                <w:color w:val="002060"/>
                <w:szCs w:val="20"/>
              </w:rPr>
            </w:pPr>
            <w:r w:rsidRPr="004A0933">
              <w:rPr>
                <w:color w:val="002060"/>
                <w:szCs w:val="20"/>
              </w:rPr>
              <w:t>X</w:t>
            </w:r>
          </w:p>
        </w:tc>
        <w:tc>
          <w:tcPr>
            <w:tcW w:w="551" w:type="dxa"/>
            <w:vAlign w:val="center"/>
          </w:tcPr>
          <w:p w14:paraId="2419D986" w14:textId="77777777" w:rsidR="00865822" w:rsidRPr="004A0933" w:rsidRDefault="00865822">
            <w:pPr>
              <w:jc w:val="center"/>
              <w:rPr>
                <w:color w:val="002060"/>
                <w:szCs w:val="20"/>
              </w:rPr>
            </w:pPr>
          </w:p>
        </w:tc>
        <w:tc>
          <w:tcPr>
            <w:tcW w:w="629" w:type="dxa"/>
            <w:vAlign w:val="center"/>
          </w:tcPr>
          <w:p w14:paraId="0EBAB549" w14:textId="77777777" w:rsidR="00865822" w:rsidRPr="004A0933" w:rsidRDefault="004B2833">
            <w:pPr>
              <w:jc w:val="center"/>
              <w:rPr>
                <w:color w:val="002060"/>
                <w:szCs w:val="20"/>
              </w:rPr>
            </w:pPr>
            <w:r w:rsidRPr="004A0933">
              <w:rPr>
                <w:color w:val="002060"/>
                <w:szCs w:val="20"/>
              </w:rPr>
              <w:t>X</w:t>
            </w:r>
          </w:p>
        </w:tc>
        <w:tc>
          <w:tcPr>
            <w:tcW w:w="653" w:type="dxa"/>
            <w:vAlign w:val="center"/>
          </w:tcPr>
          <w:p w14:paraId="2BC96F90" w14:textId="77777777" w:rsidR="00865822" w:rsidRPr="004A0933" w:rsidRDefault="00865822">
            <w:pPr>
              <w:jc w:val="center"/>
              <w:rPr>
                <w:color w:val="002060"/>
                <w:szCs w:val="20"/>
              </w:rPr>
            </w:pPr>
          </w:p>
        </w:tc>
        <w:tc>
          <w:tcPr>
            <w:tcW w:w="657" w:type="dxa"/>
          </w:tcPr>
          <w:p w14:paraId="69C9AA12" w14:textId="77777777" w:rsidR="00865822" w:rsidRPr="004A0933" w:rsidRDefault="00865822" w:rsidP="00865822">
            <w:pPr>
              <w:jc w:val="center"/>
              <w:rPr>
                <w:color w:val="002060"/>
                <w:szCs w:val="20"/>
              </w:rPr>
            </w:pPr>
          </w:p>
        </w:tc>
        <w:tc>
          <w:tcPr>
            <w:tcW w:w="665" w:type="dxa"/>
          </w:tcPr>
          <w:p w14:paraId="788E6EAB" w14:textId="77777777" w:rsidR="00865822" w:rsidRPr="004A0933" w:rsidRDefault="00865822" w:rsidP="00865822">
            <w:pPr>
              <w:jc w:val="center"/>
              <w:rPr>
                <w:color w:val="002060"/>
                <w:szCs w:val="20"/>
              </w:rPr>
            </w:pPr>
          </w:p>
        </w:tc>
      </w:tr>
      <w:tr w:rsidR="005B6545" w14:paraId="24115609" w14:textId="77777777" w:rsidTr="00066B61">
        <w:tc>
          <w:tcPr>
            <w:tcW w:w="2628" w:type="dxa"/>
          </w:tcPr>
          <w:p w14:paraId="79BC54D0" w14:textId="0A602FD6" w:rsidR="005B6545" w:rsidRPr="00FF7603" w:rsidRDefault="005B6545" w:rsidP="00333165">
            <w:pPr>
              <w:rPr>
                <w:color w:val="002060"/>
                <w:sz w:val="20"/>
                <w:szCs w:val="20"/>
              </w:rPr>
            </w:pPr>
            <w:r w:rsidRPr="00243913">
              <w:rPr>
                <w:color w:val="002060"/>
                <w:sz w:val="19"/>
                <w:szCs w:val="19"/>
              </w:rPr>
              <w:t>A TA1 will be issued</w:t>
            </w:r>
            <w:r w:rsidR="00333165">
              <w:rPr>
                <w:color w:val="002060"/>
                <w:sz w:val="19"/>
                <w:szCs w:val="19"/>
              </w:rPr>
              <w:t xml:space="preserve"> f</w:t>
            </w:r>
            <w:r>
              <w:rPr>
                <w:color w:val="002060"/>
                <w:sz w:val="19"/>
                <w:szCs w:val="19"/>
              </w:rPr>
              <w:t>or each error</w:t>
            </w:r>
            <w:r w:rsidRPr="00243913">
              <w:rPr>
                <w:color w:val="002060"/>
                <w:sz w:val="19"/>
                <w:szCs w:val="19"/>
              </w:rPr>
              <w:t xml:space="preserve"> within the Interchange envelope </w:t>
            </w:r>
          </w:p>
        </w:tc>
        <w:tc>
          <w:tcPr>
            <w:tcW w:w="2497" w:type="dxa"/>
          </w:tcPr>
          <w:p w14:paraId="490EB5AF" w14:textId="700F7BCF" w:rsidR="005B6545" w:rsidRPr="00FF7603" w:rsidRDefault="005B6545" w:rsidP="00C37137">
            <w:pPr>
              <w:rPr>
                <w:color w:val="002060"/>
                <w:sz w:val="20"/>
                <w:szCs w:val="20"/>
              </w:rPr>
            </w:pPr>
            <w:r w:rsidRPr="00DE5045">
              <w:rPr>
                <w:color w:val="002060"/>
                <w:sz w:val="19"/>
                <w:szCs w:val="19"/>
              </w:rPr>
              <w:t>Ensure that no envelope in the file contains an error otherwise the entire transaction is rejected</w:t>
            </w:r>
            <w:r w:rsidR="00E05F09">
              <w:rPr>
                <w:color w:val="002060"/>
                <w:sz w:val="19"/>
                <w:szCs w:val="19"/>
              </w:rPr>
              <w:t>.</w:t>
            </w:r>
          </w:p>
        </w:tc>
        <w:tc>
          <w:tcPr>
            <w:tcW w:w="653" w:type="dxa"/>
            <w:vAlign w:val="center"/>
          </w:tcPr>
          <w:p w14:paraId="545CD9CF" w14:textId="77777777" w:rsidR="005B6545" w:rsidRPr="004A0933" w:rsidRDefault="005B6545" w:rsidP="00BB5E27">
            <w:pPr>
              <w:jc w:val="center"/>
              <w:rPr>
                <w:color w:val="002060"/>
                <w:szCs w:val="20"/>
              </w:rPr>
            </w:pPr>
            <w:r w:rsidRPr="004A0933">
              <w:rPr>
                <w:color w:val="002060"/>
                <w:szCs w:val="20"/>
              </w:rPr>
              <w:t>X</w:t>
            </w:r>
          </w:p>
        </w:tc>
        <w:tc>
          <w:tcPr>
            <w:tcW w:w="572" w:type="dxa"/>
            <w:vAlign w:val="center"/>
          </w:tcPr>
          <w:p w14:paraId="091CAEDF" w14:textId="77777777" w:rsidR="005B6545" w:rsidRPr="004A0933" w:rsidRDefault="005B6545" w:rsidP="00375EDA">
            <w:pPr>
              <w:jc w:val="center"/>
              <w:rPr>
                <w:color w:val="002060"/>
                <w:szCs w:val="20"/>
              </w:rPr>
            </w:pPr>
          </w:p>
        </w:tc>
        <w:tc>
          <w:tcPr>
            <w:tcW w:w="668" w:type="dxa"/>
            <w:vAlign w:val="center"/>
          </w:tcPr>
          <w:p w14:paraId="2C6D5E3B" w14:textId="77777777" w:rsidR="005B6545" w:rsidRPr="004A0933" w:rsidRDefault="005B6545" w:rsidP="00FD6D85">
            <w:pPr>
              <w:jc w:val="center"/>
              <w:rPr>
                <w:color w:val="002060"/>
                <w:szCs w:val="20"/>
              </w:rPr>
            </w:pPr>
            <w:r w:rsidRPr="004A0933">
              <w:rPr>
                <w:color w:val="002060"/>
                <w:szCs w:val="20"/>
              </w:rPr>
              <w:t>X</w:t>
            </w:r>
          </w:p>
        </w:tc>
        <w:tc>
          <w:tcPr>
            <w:tcW w:w="617" w:type="dxa"/>
            <w:vAlign w:val="center"/>
          </w:tcPr>
          <w:p w14:paraId="7AC4C044" w14:textId="77777777" w:rsidR="005B6545" w:rsidRPr="004A0933" w:rsidRDefault="005B6545" w:rsidP="00FD6D85">
            <w:pPr>
              <w:jc w:val="center"/>
              <w:rPr>
                <w:color w:val="002060"/>
                <w:szCs w:val="20"/>
              </w:rPr>
            </w:pPr>
            <w:r w:rsidRPr="004A0933">
              <w:rPr>
                <w:color w:val="002060"/>
                <w:szCs w:val="20"/>
              </w:rPr>
              <w:t>X</w:t>
            </w:r>
          </w:p>
        </w:tc>
        <w:tc>
          <w:tcPr>
            <w:tcW w:w="551" w:type="dxa"/>
            <w:vAlign w:val="center"/>
          </w:tcPr>
          <w:p w14:paraId="6910F1CD" w14:textId="77777777" w:rsidR="005B6545" w:rsidRPr="004A0933" w:rsidRDefault="005B6545">
            <w:pPr>
              <w:jc w:val="center"/>
              <w:rPr>
                <w:color w:val="002060"/>
                <w:szCs w:val="20"/>
              </w:rPr>
            </w:pPr>
          </w:p>
        </w:tc>
        <w:tc>
          <w:tcPr>
            <w:tcW w:w="629" w:type="dxa"/>
            <w:vAlign w:val="center"/>
          </w:tcPr>
          <w:p w14:paraId="4A19447A" w14:textId="77777777" w:rsidR="005B6545" w:rsidRPr="004A0933" w:rsidRDefault="005B6545">
            <w:pPr>
              <w:jc w:val="center"/>
              <w:rPr>
                <w:color w:val="002060"/>
                <w:szCs w:val="20"/>
              </w:rPr>
            </w:pPr>
            <w:r w:rsidRPr="004A0933">
              <w:rPr>
                <w:color w:val="002060"/>
                <w:szCs w:val="20"/>
              </w:rPr>
              <w:t>X</w:t>
            </w:r>
          </w:p>
        </w:tc>
        <w:tc>
          <w:tcPr>
            <w:tcW w:w="653" w:type="dxa"/>
            <w:vAlign w:val="center"/>
          </w:tcPr>
          <w:p w14:paraId="4664D197" w14:textId="77777777" w:rsidR="005B6545" w:rsidRPr="004A0933" w:rsidRDefault="005B6545">
            <w:pPr>
              <w:jc w:val="center"/>
              <w:rPr>
                <w:color w:val="002060"/>
                <w:szCs w:val="20"/>
              </w:rPr>
            </w:pPr>
          </w:p>
        </w:tc>
        <w:tc>
          <w:tcPr>
            <w:tcW w:w="657" w:type="dxa"/>
          </w:tcPr>
          <w:p w14:paraId="24C95C75" w14:textId="77777777" w:rsidR="005B6545" w:rsidRPr="004A0933" w:rsidRDefault="005B6545" w:rsidP="00865822">
            <w:pPr>
              <w:jc w:val="center"/>
              <w:rPr>
                <w:color w:val="002060"/>
                <w:szCs w:val="20"/>
              </w:rPr>
            </w:pPr>
          </w:p>
        </w:tc>
        <w:tc>
          <w:tcPr>
            <w:tcW w:w="665" w:type="dxa"/>
          </w:tcPr>
          <w:p w14:paraId="5BECBCBC" w14:textId="77777777" w:rsidR="005B6545" w:rsidRPr="004A0933" w:rsidRDefault="005B6545" w:rsidP="00865822">
            <w:pPr>
              <w:jc w:val="center"/>
              <w:rPr>
                <w:color w:val="002060"/>
                <w:szCs w:val="20"/>
              </w:rPr>
            </w:pPr>
          </w:p>
        </w:tc>
      </w:tr>
      <w:tr w:rsidR="00EE2ECD" w14:paraId="37ECD14A" w14:textId="77777777" w:rsidTr="00066B61">
        <w:tc>
          <w:tcPr>
            <w:tcW w:w="2628" w:type="dxa"/>
            <w:vAlign w:val="center"/>
          </w:tcPr>
          <w:p w14:paraId="481E53A9" w14:textId="6AF0A287" w:rsidR="00EE2ECD" w:rsidRPr="00FF7603" w:rsidRDefault="00D30BF9" w:rsidP="00C37137">
            <w:pPr>
              <w:rPr>
                <w:color w:val="002060"/>
                <w:sz w:val="20"/>
                <w:szCs w:val="20"/>
              </w:rPr>
            </w:pPr>
            <w:r w:rsidRPr="00D30BF9">
              <w:rPr>
                <w:color w:val="002060"/>
                <w:sz w:val="20"/>
                <w:szCs w:val="20"/>
              </w:rPr>
              <w:t>A TA1 will no longer be issued for authorization failures.</w:t>
            </w:r>
          </w:p>
        </w:tc>
        <w:tc>
          <w:tcPr>
            <w:tcW w:w="2497" w:type="dxa"/>
            <w:vAlign w:val="center"/>
          </w:tcPr>
          <w:p w14:paraId="4E7C63AB" w14:textId="68CE95DD" w:rsidR="009F09F3" w:rsidRPr="00FF7603" w:rsidRDefault="00D30BF9" w:rsidP="00C37137">
            <w:pPr>
              <w:rPr>
                <w:color w:val="002060"/>
                <w:sz w:val="20"/>
                <w:szCs w:val="20"/>
              </w:rPr>
            </w:pPr>
            <w:r w:rsidRPr="00D30BF9">
              <w:rPr>
                <w:color w:val="002060"/>
                <w:sz w:val="20"/>
                <w:szCs w:val="20"/>
              </w:rPr>
              <w:t>MassHealth will outreach to the submitter to notify them of the failure; will provide file correction and resubmission instructions.</w:t>
            </w:r>
          </w:p>
        </w:tc>
        <w:tc>
          <w:tcPr>
            <w:tcW w:w="653" w:type="dxa"/>
            <w:vAlign w:val="center"/>
          </w:tcPr>
          <w:p w14:paraId="150878D5" w14:textId="77777777" w:rsidR="00EE2ECD" w:rsidRPr="004A0933" w:rsidRDefault="00EE2ECD" w:rsidP="00BB5E27">
            <w:pPr>
              <w:jc w:val="center"/>
              <w:rPr>
                <w:color w:val="002060"/>
                <w:szCs w:val="20"/>
              </w:rPr>
            </w:pPr>
            <w:r w:rsidRPr="004A0933">
              <w:rPr>
                <w:color w:val="002060"/>
                <w:szCs w:val="20"/>
              </w:rPr>
              <w:t>X</w:t>
            </w:r>
          </w:p>
        </w:tc>
        <w:tc>
          <w:tcPr>
            <w:tcW w:w="572" w:type="dxa"/>
            <w:vAlign w:val="center"/>
          </w:tcPr>
          <w:p w14:paraId="01103177" w14:textId="77777777" w:rsidR="00EE2ECD" w:rsidRPr="004A0933" w:rsidRDefault="00EE2ECD" w:rsidP="00375EDA">
            <w:pPr>
              <w:jc w:val="center"/>
              <w:rPr>
                <w:color w:val="002060"/>
                <w:szCs w:val="20"/>
              </w:rPr>
            </w:pPr>
          </w:p>
        </w:tc>
        <w:tc>
          <w:tcPr>
            <w:tcW w:w="668" w:type="dxa"/>
            <w:vAlign w:val="center"/>
          </w:tcPr>
          <w:p w14:paraId="65464A8A" w14:textId="77777777" w:rsidR="00EE2ECD" w:rsidRPr="004A0933" w:rsidRDefault="00EE2ECD" w:rsidP="00FD6D85">
            <w:pPr>
              <w:jc w:val="center"/>
              <w:rPr>
                <w:color w:val="002060"/>
                <w:szCs w:val="20"/>
              </w:rPr>
            </w:pPr>
            <w:r w:rsidRPr="004A0933">
              <w:rPr>
                <w:color w:val="002060"/>
                <w:szCs w:val="20"/>
              </w:rPr>
              <w:t>X</w:t>
            </w:r>
          </w:p>
        </w:tc>
        <w:tc>
          <w:tcPr>
            <w:tcW w:w="617" w:type="dxa"/>
            <w:vAlign w:val="center"/>
          </w:tcPr>
          <w:p w14:paraId="54A685B2" w14:textId="77777777" w:rsidR="00EE2ECD" w:rsidRPr="004A0933" w:rsidRDefault="00EE2ECD" w:rsidP="00FD6D85">
            <w:pPr>
              <w:jc w:val="center"/>
              <w:rPr>
                <w:color w:val="002060"/>
                <w:szCs w:val="20"/>
              </w:rPr>
            </w:pPr>
            <w:r w:rsidRPr="004A0933">
              <w:rPr>
                <w:color w:val="002060"/>
                <w:szCs w:val="20"/>
              </w:rPr>
              <w:t>X</w:t>
            </w:r>
          </w:p>
        </w:tc>
        <w:tc>
          <w:tcPr>
            <w:tcW w:w="551" w:type="dxa"/>
            <w:vAlign w:val="center"/>
          </w:tcPr>
          <w:p w14:paraId="1363E2BF" w14:textId="77777777" w:rsidR="00EE2ECD" w:rsidRPr="004A0933" w:rsidRDefault="00EE2ECD">
            <w:pPr>
              <w:jc w:val="center"/>
              <w:rPr>
                <w:color w:val="002060"/>
                <w:szCs w:val="20"/>
              </w:rPr>
            </w:pPr>
          </w:p>
        </w:tc>
        <w:tc>
          <w:tcPr>
            <w:tcW w:w="629" w:type="dxa"/>
            <w:vAlign w:val="center"/>
          </w:tcPr>
          <w:p w14:paraId="79FE6E22" w14:textId="77777777" w:rsidR="00EE2ECD" w:rsidRPr="004A0933" w:rsidRDefault="00EE2ECD">
            <w:pPr>
              <w:jc w:val="center"/>
              <w:rPr>
                <w:color w:val="002060"/>
                <w:szCs w:val="20"/>
              </w:rPr>
            </w:pPr>
            <w:r w:rsidRPr="004A0933">
              <w:rPr>
                <w:color w:val="002060"/>
                <w:szCs w:val="20"/>
              </w:rPr>
              <w:t>X</w:t>
            </w:r>
          </w:p>
        </w:tc>
        <w:tc>
          <w:tcPr>
            <w:tcW w:w="653" w:type="dxa"/>
            <w:vAlign w:val="center"/>
          </w:tcPr>
          <w:p w14:paraId="30D409C2" w14:textId="77777777" w:rsidR="00EE2ECD" w:rsidRPr="004A0933" w:rsidRDefault="00EE2ECD">
            <w:pPr>
              <w:jc w:val="center"/>
              <w:rPr>
                <w:color w:val="002060"/>
                <w:szCs w:val="20"/>
              </w:rPr>
            </w:pPr>
          </w:p>
        </w:tc>
        <w:tc>
          <w:tcPr>
            <w:tcW w:w="657" w:type="dxa"/>
          </w:tcPr>
          <w:p w14:paraId="5187379C" w14:textId="77777777" w:rsidR="00EE2ECD" w:rsidRPr="004A0933" w:rsidRDefault="00EE2ECD" w:rsidP="00EE2ECD">
            <w:pPr>
              <w:jc w:val="center"/>
              <w:rPr>
                <w:color w:val="002060"/>
                <w:szCs w:val="20"/>
              </w:rPr>
            </w:pPr>
          </w:p>
        </w:tc>
        <w:tc>
          <w:tcPr>
            <w:tcW w:w="665" w:type="dxa"/>
          </w:tcPr>
          <w:p w14:paraId="4B6D373C" w14:textId="77777777" w:rsidR="00EE2ECD" w:rsidRPr="004A0933" w:rsidRDefault="00EE2ECD" w:rsidP="00EE2ECD">
            <w:pPr>
              <w:jc w:val="center"/>
              <w:rPr>
                <w:color w:val="002060"/>
                <w:szCs w:val="20"/>
              </w:rPr>
            </w:pPr>
          </w:p>
        </w:tc>
      </w:tr>
      <w:tr w:rsidR="00B35415" w14:paraId="477781A6" w14:textId="77777777" w:rsidTr="00066B61">
        <w:tc>
          <w:tcPr>
            <w:tcW w:w="2628" w:type="dxa"/>
            <w:vAlign w:val="center"/>
          </w:tcPr>
          <w:p w14:paraId="1325CB38" w14:textId="4B3FC269" w:rsidR="00B35415" w:rsidRPr="00FF7603" w:rsidRDefault="00D30BF9" w:rsidP="00C37137">
            <w:pPr>
              <w:spacing w:after="120"/>
              <w:rPr>
                <w:color w:val="002060"/>
                <w:sz w:val="20"/>
                <w:szCs w:val="20"/>
              </w:rPr>
            </w:pPr>
            <w:r w:rsidRPr="00D30BF9">
              <w:rPr>
                <w:color w:val="002060"/>
                <w:sz w:val="20"/>
                <w:szCs w:val="20"/>
              </w:rPr>
              <w:t>All Transaction Set Control Numbers (ST02) in transactions submitted to MassHealth must be unique across all envelopes within a file.</w:t>
            </w:r>
          </w:p>
        </w:tc>
        <w:tc>
          <w:tcPr>
            <w:tcW w:w="2497" w:type="dxa"/>
            <w:vAlign w:val="center"/>
          </w:tcPr>
          <w:p w14:paraId="2BF1D3D3" w14:textId="21FB2787" w:rsidR="007F347C" w:rsidRPr="00FF7603" w:rsidRDefault="00D30BF9" w:rsidP="00C37137">
            <w:pPr>
              <w:rPr>
                <w:color w:val="002060"/>
                <w:sz w:val="20"/>
                <w:szCs w:val="20"/>
              </w:rPr>
            </w:pPr>
            <w:r w:rsidRPr="00D30BF9">
              <w:rPr>
                <w:color w:val="002060"/>
                <w:sz w:val="20"/>
                <w:szCs w:val="20"/>
              </w:rPr>
              <w:t>Ensure that all ST02 segments are unique or the transaction will be rejected.</w:t>
            </w:r>
          </w:p>
        </w:tc>
        <w:tc>
          <w:tcPr>
            <w:tcW w:w="653" w:type="dxa"/>
            <w:vAlign w:val="center"/>
          </w:tcPr>
          <w:p w14:paraId="77580D22" w14:textId="77777777" w:rsidR="00B35415" w:rsidRPr="004A0933" w:rsidRDefault="00B35415" w:rsidP="00BB5E27">
            <w:pPr>
              <w:jc w:val="center"/>
              <w:rPr>
                <w:color w:val="002060"/>
                <w:szCs w:val="20"/>
              </w:rPr>
            </w:pPr>
            <w:r w:rsidRPr="004A0933">
              <w:rPr>
                <w:color w:val="002060"/>
                <w:szCs w:val="20"/>
              </w:rPr>
              <w:t>X</w:t>
            </w:r>
          </w:p>
        </w:tc>
        <w:tc>
          <w:tcPr>
            <w:tcW w:w="572" w:type="dxa"/>
            <w:vAlign w:val="center"/>
          </w:tcPr>
          <w:p w14:paraId="07FCB622" w14:textId="77777777" w:rsidR="00B35415" w:rsidRPr="004A0933" w:rsidRDefault="00B35415" w:rsidP="00375EDA">
            <w:pPr>
              <w:jc w:val="center"/>
              <w:rPr>
                <w:color w:val="002060"/>
                <w:szCs w:val="20"/>
              </w:rPr>
            </w:pPr>
          </w:p>
        </w:tc>
        <w:tc>
          <w:tcPr>
            <w:tcW w:w="668" w:type="dxa"/>
            <w:vAlign w:val="center"/>
          </w:tcPr>
          <w:p w14:paraId="04E3F5AB" w14:textId="77777777" w:rsidR="00B35415" w:rsidRPr="004A0933" w:rsidRDefault="00B35415" w:rsidP="00FD6D85">
            <w:pPr>
              <w:jc w:val="center"/>
              <w:rPr>
                <w:color w:val="002060"/>
                <w:szCs w:val="20"/>
              </w:rPr>
            </w:pPr>
            <w:r w:rsidRPr="004A0933">
              <w:rPr>
                <w:color w:val="002060"/>
                <w:szCs w:val="20"/>
              </w:rPr>
              <w:t>X</w:t>
            </w:r>
          </w:p>
        </w:tc>
        <w:tc>
          <w:tcPr>
            <w:tcW w:w="617" w:type="dxa"/>
            <w:vAlign w:val="center"/>
          </w:tcPr>
          <w:p w14:paraId="38546741" w14:textId="77777777" w:rsidR="00B35415" w:rsidRPr="004A0933" w:rsidRDefault="00B35415" w:rsidP="00FD6D85">
            <w:pPr>
              <w:jc w:val="center"/>
              <w:rPr>
                <w:color w:val="002060"/>
                <w:szCs w:val="20"/>
              </w:rPr>
            </w:pPr>
            <w:r w:rsidRPr="004A0933">
              <w:rPr>
                <w:color w:val="002060"/>
                <w:szCs w:val="20"/>
              </w:rPr>
              <w:t>X</w:t>
            </w:r>
          </w:p>
        </w:tc>
        <w:tc>
          <w:tcPr>
            <w:tcW w:w="551" w:type="dxa"/>
            <w:vAlign w:val="center"/>
          </w:tcPr>
          <w:p w14:paraId="190A030E" w14:textId="77777777" w:rsidR="00B35415" w:rsidRPr="004A0933" w:rsidRDefault="00B35415">
            <w:pPr>
              <w:jc w:val="center"/>
              <w:rPr>
                <w:color w:val="002060"/>
                <w:szCs w:val="20"/>
              </w:rPr>
            </w:pPr>
          </w:p>
        </w:tc>
        <w:tc>
          <w:tcPr>
            <w:tcW w:w="629" w:type="dxa"/>
            <w:vAlign w:val="center"/>
          </w:tcPr>
          <w:p w14:paraId="3023ECC7" w14:textId="77777777" w:rsidR="00B35415" w:rsidRPr="004A0933" w:rsidRDefault="00B35415">
            <w:pPr>
              <w:jc w:val="center"/>
              <w:rPr>
                <w:color w:val="002060"/>
                <w:szCs w:val="20"/>
              </w:rPr>
            </w:pPr>
            <w:r w:rsidRPr="004A0933">
              <w:rPr>
                <w:color w:val="002060"/>
                <w:szCs w:val="20"/>
              </w:rPr>
              <w:t>X</w:t>
            </w:r>
          </w:p>
        </w:tc>
        <w:tc>
          <w:tcPr>
            <w:tcW w:w="653" w:type="dxa"/>
            <w:vAlign w:val="center"/>
          </w:tcPr>
          <w:p w14:paraId="6D3F6D13" w14:textId="77777777" w:rsidR="00B35415" w:rsidRPr="004A0933" w:rsidRDefault="00B35415">
            <w:pPr>
              <w:jc w:val="center"/>
              <w:rPr>
                <w:color w:val="002060"/>
                <w:szCs w:val="20"/>
              </w:rPr>
            </w:pPr>
          </w:p>
        </w:tc>
        <w:tc>
          <w:tcPr>
            <w:tcW w:w="657" w:type="dxa"/>
          </w:tcPr>
          <w:p w14:paraId="3548697D" w14:textId="77777777" w:rsidR="00B35415" w:rsidRPr="004A0933" w:rsidRDefault="00B35415" w:rsidP="00B35415">
            <w:pPr>
              <w:jc w:val="center"/>
              <w:rPr>
                <w:color w:val="002060"/>
                <w:szCs w:val="20"/>
              </w:rPr>
            </w:pPr>
          </w:p>
        </w:tc>
        <w:tc>
          <w:tcPr>
            <w:tcW w:w="665" w:type="dxa"/>
          </w:tcPr>
          <w:p w14:paraId="3603B65B" w14:textId="77777777" w:rsidR="00B35415" w:rsidRPr="004A0933" w:rsidRDefault="00B35415" w:rsidP="00B35415">
            <w:pPr>
              <w:jc w:val="center"/>
              <w:rPr>
                <w:color w:val="002060"/>
                <w:szCs w:val="20"/>
              </w:rPr>
            </w:pPr>
          </w:p>
        </w:tc>
      </w:tr>
      <w:tr w:rsidR="00865822" w14:paraId="1E834A50" w14:textId="77777777" w:rsidTr="00066B61">
        <w:tc>
          <w:tcPr>
            <w:tcW w:w="2628" w:type="dxa"/>
            <w:vAlign w:val="center"/>
          </w:tcPr>
          <w:p w14:paraId="48A35DC3" w14:textId="3EEC0A2C" w:rsidR="00865822" w:rsidRPr="00FF7603" w:rsidRDefault="00D30BF9" w:rsidP="00C37137">
            <w:pPr>
              <w:spacing w:after="120"/>
              <w:rPr>
                <w:color w:val="002060"/>
                <w:sz w:val="20"/>
                <w:szCs w:val="20"/>
              </w:rPr>
            </w:pPr>
            <w:r w:rsidRPr="00D30BF9">
              <w:rPr>
                <w:color w:val="002060"/>
                <w:sz w:val="20"/>
                <w:szCs w:val="20"/>
              </w:rPr>
              <w:t>ST/SE segments within transactions submitted to MassHealth must not contain more than 5,000 claims; segments that contain more than 5,000 claims will be rejected.</w:t>
            </w:r>
          </w:p>
        </w:tc>
        <w:tc>
          <w:tcPr>
            <w:tcW w:w="2497" w:type="dxa"/>
            <w:vAlign w:val="center"/>
          </w:tcPr>
          <w:p w14:paraId="3E50CB1F" w14:textId="74747C3F" w:rsidR="00865822" w:rsidRPr="00FF7603" w:rsidRDefault="00D30BF9" w:rsidP="00C37137">
            <w:pPr>
              <w:rPr>
                <w:color w:val="002060"/>
                <w:sz w:val="20"/>
                <w:szCs w:val="20"/>
              </w:rPr>
            </w:pPr>
            <w:r w:rsidRPr="00D30BF9">
              <w:rPr>
                <w:color w:val="002060"/>
                <w:sz w:val="20"/>
                <w:szCs w:val="20"/>
              </w:rPr>
              <w:t>Large submitters, billing intermediaries, clearinghouses, and software vendors must ensure that transaction sets do not include more than 5,000 claims per ST/SE segment.</w:t>
            </w:r>
          </w:p>
        </w:tc>
        <w:tc>
          <w:tcPr>
            <w:tcW w:w="653" w:type="dxa"/>
            <w:vAlign w:val="center"/>
          </w:tcPr>
          <w:p w14:paraId="3C8D3077" w14:textId="77777777" w:rsidR="00865822" w:rsidRPr="004A0933" w:rsidRDefault="00865822" w:rsidP="00BB5E27">
            <w:pPr>
              <w:jc w:val="center"/>
              <w:rPr>
                <w:color w:val="002060"/>
                <w:szCs w:val="20"/>
              </w:rPr>
            </w:pPr>
          </w:p>
        </w:tc>
        <w:tc>
          <w:tcPr>
            <w:tcW w:w="572" w:type="dxa"/>
            <w:vAlign w:val="center"/>
          </w:tcPr>
          <w:p w14:paraId="0F8914A8" w14:textId="77777777" w:rsidR="00865822" w:rsidRPr="004A0933" w:rsidRDefault="00865822" w:rsidP="00375EDA">
            <w:pPr>
              <w:jc w:val="center"/>
              <w:rPr>
                <w:color w:val="002060"/>
                <w:szCs w:val="20"/>
              </w:rPr>
            </w:pPr>
          </w:p>
        </w:tc>
        <w:tc>
          <w:tcPr>
            <w:tcW w:w="668" w:type="dxa"/>
            <w:vAlign w:val="center"/>
          </w:tcPr>
          <w:p w14:paraId="18EA3931" w14:textId="77777777" w:rsidR="00865822" w:rsidRPr="004A0933" w:rsidRDefault="004B2833" w:rsidP="00FD6D85">
            <w:pPr>
              <w:jc w:val="center"/>
              <w:rPr>
                <w:color w:val="002060"/>
                <w:szCs w:val="20"/>
              </w:rPr>
            </w:pPr>
            <w:r w:rsidRPr="004A0933">
              <w:rPr>
                <w:color w:val="002060"/>
                <w:szCs w:val="20"/>
              </w:rPr>
              <w:t>X</w:t>
            </w:r>
          </w:p>
        </w:tc>
        <w:tc>
          <w:tcPr>
            <w:tcW w:w="617" w:type="dxa"/>
            <w:vAlign w:val="center"/>
          </w:tcPr>
          <w:p w14:paraId="6CA0BD34" w14:textId="77777777" w:rsidR="00865822" w:rsidRPr="004A0933" w:rsidRDefault="004B2833" w:rsidP="00FD6D85">
            <w:pPr>
              <w:jc w:val="center"/>
              <w:rPr>
                <w:color w:val="002060"/>
                <w:szCs w:val="20"/>
              </w:rPr>
            </w:pPr>
            <w:r w:rsidRPr="004A0933">
              <w:rPr>
                <w:color w:val="002060"/>
                <w:szCs w:val="20"/>
              </w:rPr>
              <w:t>X</w:t>
            </w:r>
          </w:p>
        </w:tc>
        <w:tc>
          <w:tcPr>
            <w:tcW w:w="551" w:type="dxa"/>
            <w:vAlign w:val="center"/>
          </w:tcPr>
          <w:p w14:paraId="6D875AC4" w14:textId="77777777" w:rsidR="00865822" w:rsidRPr="004A0933" w:rsidRDefault="00865822">
            <w:pPr>
              <w:jc w:val="center"/>
              <w:rPr>
                <w:color w:val="002060"/>
                <w:szCs w:val="20"/>
              </w:rPr>
            </w:pPr>
          </w:p>
        </w:tc>
        <w:tc>
          <w:tcPr>
            <w:tcW w:w="629" w:type="dxa"/>
            <w:vAlign w:val="center"/>
          </w:tcPr>
          <w:p w14:paraId="7CB1FA2D" w14:textId="77777777" w:rsidR="00865822" w:rsidRPr="004A0933" w:rsidRDefault="00865822">
            <w:pPr>
              <w:jc w:val="center"/>
              <w:rPr>
                <w:color w:val="002060"/>
                <w:szCs w:val="20"/>
              </w:rPr>
            </w:pPr>
          </w:p>
        </w:tc>
        <w:tc>
          <w:tcPr>
            <w:tcW w:w="653" w:type="dxa"/>
            <w:vAlign w:val="center"/>
          </w:tcPr>
          <w:p w14:paraId="52D77C9E" w14:textId="77777777" w:rsidR="00865822" w:rsidRPr="004A0933" w:rsidRDefault="00865822">
            <w:pPr>
              <w:jc w:val="center"/>
              <w:rPr>
                <w:color w:val="002060"/>
                <w:szCs w:val="20"/>
              </w:rPr>
            </w:pPr>
          </w:p>
        </w:tc>
        <w:tc>
          <w:tcPr>
            <w:tcW w:w="657" w:type="dxa"/>
          </w:tcPr>
          <w:p w14:paraId="2FD4A55F" w14:textId="77777777" w:rsidR="00865822" w:rsidRPr="004A0933" w:rsidRDefault="00865822" w:rsidP="00865822">
            <w:pPr>
              <w:jc w:val="center"/>
              <w:rPr>
                <w:color w:val="002060"/>
                <w:szCs w:val="20"/>
              </w:rPr>
            </w:pPr>
          </w:p>
        </w:tc>
        <w:tc>
          <w:tcPr>
            <w:tcW w:w="665" w:type="dxa"/>
          </w:tcPr>
          <w:p w14:paraId="0BD8FD8A" w14:textId="77777777" w:rsidR="00865822" w:rsidRPr="004A0933" w:rsidRDefault="00865822" w:rsidP="00865822">
            <w:pPr>
              <w:jc w:val="center"/>
              <w:rPr>
                <w:color w:val="002060"/>
                <w:szCs w:val="20"/>
              </w:rPr>
            </w:pPr>
          </w:p>
        </w:tc>
      </w:tr>
      <w:tr w:rsidR="001908D9" w14:paraId="12FA8856" w14:textId="77777777" w:rsidTr="00066B61">
        <w:tc>
          <w:tcPr>
            <w:tcW w:w="2628" w:type="dxa"/>
            <w:vAlign w:val="center"/>
          </w:tcPr>
          <w:p w14:paraId="2DC694DD" w14:textId="30BA839A" w:rsidR="001908D9" w:rsidRPr="00FF7603" w:rsidRDefault="00D30BF9" w:rsidP="00C37137">
            <w:pPr>
              <w:spacing w:after="120"/>
              <w:rPr>
                <w:color w:val="002060"/>
                <w:sz w:val="20"/>
                <w:szCs w:val="20"/>
              </w:rPr>
            </w:pPr>
            <w:r w:rsidRPr="00D30BF9">
              <w:rPr>
                <w:color w:val="002060"/>
                <w:sz w:val="20"/>
                <w:szCs w:val="20"/>
              </w:rPr>
              <w:t xml:space="preserve">Any file submitted to MassHealth greater than 16MB will be rejected in accordance with </w:t>
            </w:r>
            <w:proofErr w:type="spellStart"/>
            <w:r w:rsidRPr="00D30BF9">
              <w:rPr>
                <w:color w:val="002060"/>
                <w:sz w:val="20"/>
                <w:szCs w:val="20"/>
              </w:rPr>
              <w:t>MassHealth’s</w:t>
            </w:r>
            <w:proofErr w:type="spellEnd"/>
            <w:r w:rsidRPr="00D30BF9">
              <w:rPr>
                <w:color w:val="002060"/>
                <w:sz w:val="20"/>
                <w:szCs w:val="20"/>
              </w:rPr>
              <w:t xml:space="preserve"> submission policy.</w:t>
            </w:r>
          </w:p>
        </w:tc>
        <w:tc>
          <w:tcPr>
            <w:tcW w:w="2497" w:type="dxa"/>
            <w:vAlign w:val="center"/>
          </w:tcPr>
          <w:p w14:paraId="3649A5CC" w14:textId="09C56E8E" w:rsidR="001908D9" w:rsidRPr="00FF7603" w:rsidRDefault="00D30BF9" w:rsidP="00C37137">
            <w:pPr>
              <w:rPr>
                <w:color w:val="002060"/>
                <w:sz w:val="20"/>
                <w:szCs w:val="20"/>
              </w:rPr>
            </w:pPr>
            <w:r w:rsidRPr="00D30BF9">
              <w:rPr>
                <w:color w:val="002060"/>
                <w:sz w:val="20"/>
                <w:szCs w:val="20"/>
              </w:rPr>
              <w:t>Continue to ensure that the files submitted to MassHealth are not larger than 16MB.</w:t>
            </w:r>
          </w:p>
        </w:tc>
        <w:tc>
          <w:tcPr>
            <w:tcW w:w="653" w:type="dxa"/>
            <w:vAlign w:val="center"/>
          </w:tcPr>
          <w:p w14:paraId="426A4FD6" w14:textId="77777777" w:rsidR="001908D9" w:rsidRPr="004A0933" w:rsidRDefault="001908D9" w:rsidP="00BB5E27">
            <w:pPr>
              <w:jc w:val="center"/>
              <w:rPr>
                <w:color w:val="002060"/>
                <w:szCs w:val="20"/>
              </w:rPr>
            </w:pPr>
            <w:r w:rsidRPr="004A0933">
              <w:rPr>
                <w:color w:val="002060"/>
                <w:szCs w:val="20"/>
              </w:rPr>
              <w:t>X</w:t>
            </w:r>
          </w:p>
        </w:tc>
        <w:tc>
          <w:tcPr>
            <w:tcW w:w="572" w:type="dxa"/>
            <w:vAlign w:val="center"/>
          </w:tcPr>
          <w:p w14:paraId="03859E96" w14:textId="77777777" w:rsidR="001908D9" w:rsidRPr="004A0933" w:rsidRDefault="001908D9" w:rsidP="00375EDA">
            <w:pPr>
              <w:jc w:val="center"/>
              <w:rPr>
                <w:color w:val="002060"/>
                <w:szCs w:val="20"/>
              </w:rPr>
            </w:pPr>
          </w:p>
        </w:tc>
        <w:tc>
          <w:tcPr>
            <w:tcW w:w="668" w:type="dxa"/>
            <w:vAlign w:val="center"/>
          </w:tcPr>
          <w:p w14:paraId="38218BCD" w14:textId="77777777" w:rsidR="001908D9" w:rsidRPr="004A0933" w:rsidRDefault="001908D9" w:rsidP="00FD6D85">
            <w:pPr>
              <w:jc w:val="center"/>
              <w:rPr>
                <w:color w:val="002060"/>
                <w:szCs w:val="20"/>
              </w:rPr>
            </w:pPr>
            <w:r w:rsidRPr="004A0933">
              <w:rPr>
                <w:color w:val="002060"/>
                <w:szCs w:val="20"/>
              </w:rPr>
              <w:t>X</w:t>
            </w:r>
          </w:p>
        </w:tc>
        <w:tc>
          <w:tcPr>
            <w:tcW w:w="617" w:type="dxa"/>
            <w:vAlign w:val="center"/>
          </w:tcPr>
          <w:p w14:paraId="79FD10DC" w14:textId="77777777" w:rsidR="001908D9" w:rsidRPr="004A0933" w:rsidRDefault="001908D9" w:rsidP="00FD6D85">
            <w:pPr>
              <w:jc w:val="center"/>
              <w:rPr>
                <w:color w:val="002060"/>
                <w:szCs w:val="20"/>
              </w:rPr>
            </w:pPr>
            <w:r w:rsidRPr="004A0933">
              <w:rPr>
                <w:color w:val="002060"/>
                <w:szCs w:val="20"/>
              </w:rPr>
              <w:t>X</w:t>
            </w:r>
          </w:p>
        </w:tc>
        <w:tc>
          <w:tcPr>
            <w:tcW w:w="551" w:type="dxa"/>
            <w:vAlign w:val="center"/>
          </w:tcPr>
          <w:p w14:paraId="7C7CBC82" w14:textId="77777777" w:rsidR="001908D9" w:rsidRPr="004A0933" w:rsidRDefault="001908D9">
            <w:pPr>
              <w:jc w:val="center"/>
              <w:rPr>
                <w:color w:val="002060"/>
                <w:szCs w:val="20"/>
              </w:rPr>
            </w:pPr>
          </w:p>
        </w:tc>
        <w:tc>
          <w:tcPr>
            <w:tcW w:w="629" w:type="dxa"/>
            <w:vAlign w:val="center"/>
          </w:tcPr>
          <w:p w14:paraId="5858B957" w14:textId="77777777" w:rsidR="001908D9" w:rsidRPr="004A0933" w:rsidRDefault="001908D9">
            <w:pPr>
              <w:jc w:val="center"/>
              <w:rPr>
                <w:color w:val="002060"/>
                <w:szCs w:val="20"/>
              </w:rPr>
            </w:pPr>
            <w:r w:rsidRPr="004A0933">
              <w:rPr>
                <w:color w:val="002060"/>
                <w:szCs w:val="20"/>
              </w:rPr>
              <w:t>X</w:t>
            </w:r>
          </w:p>
        </w:tc>
        <w:tc>
          <w:tcPr>
            <w:tcW w:w="653" w:type="dxa"/>
            <w:vAlign w:val="center"/>
          </w:tcPr>
          <w:p w14:paraId="5ECB3105" w14:textId="77777777" w:rsidR="001908D9" w:rsidRPr="004A0933" w:rsidRDefault="001908D9">
            <w:pPr>
              <w:jc w:val="center"/>
              <w:rPr>
                <w:color w:val="002060"/>
                <w:szCs w:val="20"/>
              </w:rPr>
            </w:pPr>
          </w:p>
        </w:tc>
        <w:tc>
          <w:tcPr>
            <w:tcW w:w="657" w:type="dxa"/>
          </w:tcPr>
          <w:p w14:paraId="342474AB" w14:textId="77777777" w:rsidR="001908D9" w:rsidRPr="004A0933" w:rsidRDefault="001908D9" w:rsidP="001908D9">
            <w:pPr>
              <w:jc w:val="center"/>
              <w:rPr>
                <w:color w:val="002060"/>
                <w:szCs w:val="20"/>
              </w:rPr>
            </w:pPr>
          </w:p>
        </w:tc>
        <w:tc>
          <w:tcPr>
            <w:tcW w:w="665" w:type="dxa"/>
          </w:tcPr>
          <w:p w14:paraId="759C9484" w14:textId="77777777" w:rsidR="001908D9" w:rsidRPr="004A0933" w:rsidRDefault="001908D9" w:rsidP="001908D9">
            <w:pPr>
              <w:jc w:val="center"/>
              <w:rPr>
                <w:color w:val="002060"/>
                <w:szCs w:val="20"/>
              </w:rPr>
            </w:pPr>
          </w:p>
        </w:tc>
      </w:tr>
      <w:tr w:rsidR="00865822" w14:paraId="48F6F009" w14:textId="77777777" w:rsidTr="00066B61">
        <w:tc>
          <w:tcPr>
            <w:tcW w:w="2628" w:type="dxa"/>
            <w:vAlign w:val="center"/>
          </w:tcPr>
          <w:p w14:paraId="304D12CD" w14:textId="0056C8BC" w:rsidR="00865822" w:rsidRPr="00FF7603" w:rsidRDefault="00C54061" w:rsidP="00C37137">
            <w:pPr>
              <w:rPr>
                <w:color w:val="002060"/>
                <w:sz w:val="20"/>
                <w:szCs w:val="20"/>
              </w:rPr>
            </w:pPr>
            <w:r w:rsidRPr="00C54061">
              <w:rPr>
                <w:color w:val="002060"/>
                <w:sz w:val="20"/>
                <w:szCs w:val="20"/>
              </w:rPr>
              <w:t>Updated MassHealth contact information (phone number, URL, etc.) that will be returned on applicable transactions. The coding of the PER segments has changed and one of the segments has been removed.</w:t>
            </w:r>
          </w:p>
        </w:tc>
        <w:tc>
          <w:tcPr>
            <w:tcW w:w="2497" w:type="dxa"/>
            <w:vAlign w:val="center"/>
          </w:tcPr>
          <w:p w14:paraId="17D707DC" w14:textId="0C07FA4D" w:rsidR="00865822" w:rsidRPr="00FF7603" w:rsidRDefault="00D30BF9" w:rsidP="00C37137">
            <w:pPr>
              <w:rPr>
                <w:color w:val="002060"/>
                <w:sz w:val="20"/>
                <w:szCs w:val="20"/>
              </w:rPr>
            </w:pPr>
            <w:r w:rsidRPr="00D30BF9">
              <w:rPr>
                <w:color w:val="002060"/>
                <w:sz w:val="20"/>
                <w:szCs w:val="20"/>
              </w:rPr>
              <w:t>Please ensure that you update downstream systems that receive this information.</w:t>
            </w:r>
          </w:p>
        </w:tc>
        <w:tc>
          <w:tcPr>
            <w:tcW w:w="653" w:type="dxa"/>
            <w:vAlign w:val="center"/>
          </w:tcPr>
          <w:p w14:paraId="2F553E0B" w14:textId="77777777" w:rsidR="00865822" w:rsidRPr="004A0933" w:rsidRDefault="00865822" w:rsidP="00BB5E27">
            <w:pPr>
              <w:jc w:val="center"/>
              <w:rPr>
                <w:color w:val="002060"/>
                <w:szCs w:val="20"/>
              </w:rPr>
            </w:pPr>
          </w:p>
        </w:tc>
        <w:tc>
          <w:tcPr>
            <w:tcW w:w="572" w:type="dxa"/>
            <w:vAlign w:val="center"/>
          </w:tcPr>
          <w:p w14:paraId="7439EB88" w14:textId="77777777" w:rsidR="00865822" w:rsidRPr="004A0933" w:rsidRDefault="00ED4F50" w:rsidP="00375EDA">
            <w:pPr>
              <w:jc w:val="center"/>
              <w:rPr>
                <w:color w:val="002060"/>
                <w:szCs w:val="20"/>
              </w:rPr>
            </w:pPr>
            <w:r w:rsidRPr="004A0933">
              <w:rPr>
                <w:color w:val="002060"/>
                <w:szCs w:val="20"/>
              </w:rPr>
              <w:t>X</w:t>
            </w:r>
          </w:p>
        </w:tc>
        <w:tc>
          <w:tcPr>
            <w:tcW w:w="668" w:type="dxa"/>
            <w:vAlign w:val="center"/>
          </w:tcPr>
          <w:p w14:paraId="6D0DC1CE" w14:textId="77777777" w:rsidR="00865822" w:rsidRPr="004A0933" w:rsidRDefault="00865822" w:rsidP="00FD6D85">
            <w:pPr>
              <w:jc w:val="center"/>
              <w:rPr>
                <w:color w:val="002060"/>
                <w:szCs w:val="20"/>
              </w:rPr>
            </w:pPr>
          </w:p>
        </w:tc>
        <w:tc>
          <w:tcPr>
            <w:tcW w:w="617" w:type="dxa"/>
            <w:vAlign w:val="center"/>
          </w:tcPr>
          <w:p w14:paraId="43D0F059" w14:textId="77777777" w:rsidR="00865822" w:rsidRPr="004A0933" w:rsidRDefault="00865822" w:rsidP="00FD6D85">
            <w:pPr>
              <w:jc w:val="center"/>
              <w:rPr>
                <w:color w:val="002060"/>
                <w:szCs w:val="20"/>
              </w:rPr>
            </w:pPr>
          </w:p>
        </w:tc>
        <w:tc>
          <w:tcPr>
            <w:tcW w:w="551" w:type="dxa"/>
            <w:vAlign w:val="center"/>
          </w:tcPr>
          <w:p w14:paraId="41A1718E" w14:textId="77777777" w:rsidR="00865822" w:rsidRPr="004A0933" w:rsidRDefault="004B2833">
            <w:pPr>
              <w:jc w:val="center"/>
              <w:rPr>
                <w:color w:val="002060"/>
                <w:szCs w:val="20"/>
              </w:rPr>
            </w:pPr>
            <w:r w:rsidRPr="004A0933">
              <w:rPr>
                <w:color w:val="002060"/>
                <w:szCs w:val="20"/>
              </w:rPr>
              <w:t>X</w:t>
            </w:r>
          </w:p>
        </w:tc>
        <w:tc>
          <w:tcPr>
            <w:tcW w:w="629" w:type="dxa"/>
            <w:vAlign w:val="center"/>
          </w:tcPr>
          <w:p w14:paraId="698E2BA7" w14:textId="77777777" w:rsidR="00865822" w:rsidRPr="004A0933" w:rsidRDefault="00865822">
            <w:pPr>
              <w:jc w:val="center"/>
              <w:rPr>
                <w:color w:val="002060"/>
                <w:szCs w:val="20"/>
                <w:highlight w:val="yellow"/>
              </w:rPr>
            </w:pPr>
          </w:p>
        </w:tc>
        <w:tc>
          <w:tcPr>
            <w:tcW w:w="653" w:type="dxa"/>
            <w:vAlign w:val="center"/>
          </w:tcPr>
          <w:p w14:paraId="0E2D820F" w14:textId="77777777" w:rsidR="00865822" w:rsidRPr="004A0933" w:rsidRDefault="00865822">
            <w:pPr>
              <w:jc w:val="center"/>
              <w:rPr>
                <w:color w:val="002060"/>
                <w:szCs w:val="20"/>
                <w:highlight w:val="yellow"/>
              </w:rPr>
            </w:pPr>
          </w:p>
        </w:tc>
        <w:tc>
          <w:tcPr>
            <w:tcW w:w="657" w:type="dxa"/>
          </w:tcPr>
          <w:p w14:paraId="02E32B81" w14:textId="77777777" w:rsidR="00865822" w:rsidRPr="004A0933" w:rsidRDefault="00865822" w:rsidP="00865822">
            <w:pPr>
              <w:jc w:val="center"/>
              <w:rPr>
                <w:color w:val="002060"/>
                <w:szCs w:val="20"/>
                <w:highlight w:val="yellow"/>
              </w:rPr>
            </w:pPr>
          </w:p>
        </w:tc>
        <w:tc>
          <w:tcPr>
            <w:tcW w:w="665" w:type="dxa"/>
          </w:tcPr>
          <w:p w14:paraId="6008B43A" w14:textId="77777777" w:rsidR="00865822" w:rsidRPr="004A0933" w:rsidRDefault="00865822" w:rsidP="00865822">
            <w:pPr>
              <w:jc w:val="center"/>
              <w:rPr>
                <w:color w:val="002060"/>
                <w:szCs w:val="20"/>
                <w:highlight w:val="yellow"/>
              </w:rPr>
            </w:pPr>
          </w:p>
        </w:tc>
      </w:tr>
      <w:tr w:rsidR="00865822" w14:paraId="0EE88ED4" w14:textId="77777777" w:rsidTr="00066B61">
        <w:tc>
          <w:tcPr>
            <w:tcW w:w="2628" w:type="dxa"/>
            <w:vAlign w:val="center"/>
          </w:tcPr>
          <w:p w14:paraId="143D9CE3" w14:textId="7DFA4450" w:rsidR="00865822" w:rsidRPr="00FF7603" w:rsidRDefault="00C54061" w:rsidP="00C37137">
            <w:pPr>
              <w:rPr>
                <w:color w:val="002060"/>
                <w:sz w:val="20"/>
                <w:szCs w:val="20"/>
              </w:rPr>
            </w:pPr>
            <w:r w:rsidRPr="00C54061">
              <w:rPr>
                <w:color w:val="002060"/>
                <w:sz w:val="20"/>
                <w:szCs w:val="20"/>
              </w:rPr>
              <w:t>For Physician Claims, the Type of Bill (TOB) will no longer be returned on the Claim Status response.</w:t>
            </w:r>
          </w:p>
        </w:tc>
        <w:tc>
          <w:tcPr>
            <w:tcW w:w="2497" w:type="dxa"/>
            <w:vAlign w:val="center"/>
          </w:tcPr>
          <w:p w14:paraId="1AB8606C" w14:textId="6ECEA47A" w:rsidR="00865822" w:rsidRPr="00FF7603" w:rsidRDefault="00C54061" w:rsidP="00C37137">
            <w:pPr>
              <w:rPr>
                <w:color w:val="002060"/>
                <w:sz w:val="20"/>
                <w:szCs w:val="20"/>
              </w:rPr>
            </w:pPr>
            <w:r w:rsidRPr="00C54061">
              <w:rPr>
                <w:color w:val="002060"/>
                <w:sz w:val="20"/>
                <w:szCs w:val="20"/>
              </w:rPr>
              <w:t>Please update downstream system processes that utilize this information.</w:t>
            </w:r>
          </w:p>
        </w:tc>
        <w:tc>
          <w:tcPr>
            <w:tcW w:w="653" w:type="dxa"/>
            <w:vAlign w:val="center"/>
          </w:tcPr>
          <w:p w14:paraId="2E57CC4D" w14:textId="77777777" w:rsidR="00865822" w:rsidRPr="004A0933" w:rsidRDefault="00865822" w:rsidP="00BB5E27">
            <w:pPr>
              <w:jc w:val="center"/>
              <w:rPr>
                <w:color w:val="002060"/>
                <w:szCs w:val="20"/>
              </w:rPr>
            </w:pPr>
          </w:p>
        </w:tc>
        <w:tc>
          <w:tcPr>
            <w:tcW w:w="572" w:type="dxa"/>
            <w:vAlign w:val="center"/>
          </w:tcPr>
          <w:p w14:paraId="7945813B" w14:textId="77777777" w:rsidR="00865822" w:rsidRPr="004A0933" w:rsidRDefault="00865822" w:rsidP="00375EDA">
            <w:pPr>
              <w:jc w:val="center"/>
              <w:rPr>
                <w:color w:val="002060"/>
                <w:szCs w:val="20"/>
              </w:rPr>
            </w:pPr>
          </w:p>
        </w:tc>
        <w:tc>
          <w:tcPr>
            <w:tcW w:w="668" w:type="dxa"/>
            <w:vAlign w:val="center"/>
          </w:tcPr>
          <w:p w14:paraId="7A7BBDC6" w14:textId="77777777" w:rsidR="00865822" w:rsidRPr="004A0933" w:rsidRDefault="00865822" w:rsidP="00FD6D85">
            <w:pPr>
              <w:jc w:val="center"/>
              <w:rPr>
                <w:color w:val="002060"/>
                <w:szCs w:val="20"/>
              </w:rPr>
            </w:pPr>
          </w:p>
        </w:tc>
        <w:tc>
          <w:tcPr>
            <w:tcW w:w="617" w:type="dxa"/>
            <w:vAlign w:val="center"/>
          </w:tcPr>
          <w:p w14:paraId="782C532E" w14:textId="77777777" w:rsidR="00865822" w:rsidRPr="004A0933" w:rsidRDefault="00865822" w:rsidP="00FD6D85">
            <w:pPr>
              <w:jc w:val="center"/>
              <w:rPr>
                <w:color w:val="002060"/>
                <w:szCs w:val="20"/>
              </w:rPr>
            </w:pPr>
          </w:p>
        </w:tc>
        <w:tc>
          <w:tcPr>
            <w:tcW w:w="551" w:type="dxa"/>
            <w:vAlign w:val="center"/>
          </w:tcPr>
          <w:p w14:paraId="57800E76" w14:textId="77777777" w:rsidR="00865822" w:rsidRPr="004A0933" w:rsidRDefault="00865822">
            <w:pPr>
              <w:jc w:val="center"/>
              <w:rPr>
                <w:color w:val="002060"/>
                <w:szCs w:val="20"/>
              </w:rPr>
            </w:pPr>
          </w:p>
        </w:tc>
        <w:tc>
          <w:tcPr>
            <w:tcW w:w="629" w:type="dxa"/>
            <w:vAlign w:val="center"/>
          </w:tcPr>
          <w:p w14:paraId="66B79D5B" w14:textId="77777777" w:rsidR="00865822" w:rsidRPr="004A0933" w:rsidRDefault="00865822">
            <w:pPr>
              <w:jc w:val="center"/>
              <w:rPr>
                <w:color w:val="002060"/>
                <w:szCs w:val="20"/>
              </w:rPr>
            </w:pPr>
          </w:p>
        </w:tc>
        <w:tc>
          <w:tcPr>
            <w:tcW w:w="653" w:type="dxa"/>
            <w:vAlign w:val="center"/>
          </w:tcPr>
          <w:p w14:paraId="2D1C99C1" w14:textId="77777777" w:rsidR="00865822" w:rsidRPr="004A0933" w:rsidRDefault="00341048">
            <w:pPr>
              <w:jc w:val="center"/>
              <w:rPr>
                <w:color w:val="002060"/>
                <w:szCs w:val="20"/>
              </w:rPr>
            </w:pPr>
            <w:r w:rsidRPr="004A0933">
              <w:rPr>
                <w:color w:val="002060"/>
                <w:szCs w:val="20"/>
              </w:rPr>
              <w:t>X</w:t>
            </w:r>
          </w:p>
        </w:tc>
        <w:tc>
          <w:tcPr>
            <w:tcW w:w="657" w:type="dxa"/>
          </w:tcPr>
          <w:p w14:paraId="3D4357F5" w14:textId="77777777" w:rsidR="00865822" w:rsidRPr="004A0933" w:rsidRDefault="00865822" w:rsidP="00865822">
            <w:pPr>
              <w:jc w:val="center"/>
              <w:rPr>
                <w:color w:val="002060"/>
                <w:szCs w:val="20"/>
              </w:rPr>
            </w:pPr>
          </w:p>
        </w:tc>
        <w:tc>
          <w:tcPr>
            <w:tcW w:w="665" w:type="dxa"/>
          </w:tcPr>
          <w:p w14:paraId="5B92197C" w14:textId="77777777" w:rsidR="00865822" w:rsidRPr="004A0933" w:rsidRDefault="00865822" w:rsidP="00865822">
            <w:pPr>
              <w:jc w:val="center"/>
              <w:rPr>
                <w:color w:val="002060"/>
                <w:szCs w:val="20"/>
              </w:rPr>
            </w:pPr>
          </w:p>
        </w:tc>
      </w:tr>
    </w:tbl>
    <w:p w14:paraId="0ABC1A42" w14:textId="77777777" w:rsidR="004B2833" w:rsidRDefault="004B2833" w:rsidP="00937178"/>
    <w:sectPr w:rsidR="004B2833" w:rsidSect="00CA2866">
      <w:footerReference w:type="default" r:id="rId10"/>
      <w:pgSz w:w="12240" w:h="15840"/>
      <w:pgMar w:top="360" w:right="720" w:bottom="576" w:left="720"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71CB3" w14:textId="77777777" w:rsidR="006402F5" w:rsidRDefault="006402F5" w:rsidP="006A6C1D">
      <w:pPr>
        <w:spacing w:after="0" w:line="240" w:lineRule="auto"/>
      </w:pPr>
      <w:r>
        <w:separator/>
      </w:r>
    </w:p>
  </w:endnote>
  <w:endnote w:type="continuationSeparator" w:id="0">
    <w:p w14:paraId="7D82FC36" w14:textId="77777777" w:rsidR="006402F5" w:rsidRDefault="006402F5" w:rsidP="006A6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342" w:type="pct"/>
      <w:jc w:val="right"/>
      <w:tblCellMar>
        <w:top w:w="115" w:type="dxa"/>
        <w:left w:w="115" w:type="dxa"/>
        <w:bottom w:w="115" w:type="dxa"/>
        <w:right w:w="115" w:type="dxa"/>
      </w:tblCellMar>
      <w:tblLook w:val="04A0" w:firstRow="1" w:lastRow="0" w:firstColumn="1" w:lastColumn="0" w:noHBand="0" w:noVBand="1"/>
    </w:tblPr>
    <w:tblGrid>
      <w:gridCol w:w="9099"/>
      <w:gridCol w:w="479"/>
    </w:tblGrid>
    <w:tr w:rsidR="00256D84" w14:paraId="75B4C598" w14:textId="77777777" w:rsidTr="00CA2866">
      <w:trPr>
        <w:trHeight w:val="358"/>
        <w:jc w:val="right"/>
      </w:trPr>
      <w:tc>
        <w:tcPr>
          <w:tcW w:w="9100" w:type="dxa"/>
          <w:vAlign w:val="center"/>
        </w:tcPr>
        <w:sdt>
          <w:sdtPr>
            <w:rPr>
              <w:i/>
              <w:caps/>
              <w:color w:val="000000" w:themeColor="text1"/>
              <w:sz w:val="18"/>
              <w:szCs w:val="18"/>
            </w:rPr>
            <w:alias w:val="Author"/>
            <w:tag w:val=""/>
            <w:id w:val="1534539408"/>
            <w:placeholder>
              <w:docPart w:val="0A51097557D348329CC13FDFC9DC959D"/>
            </w:placeholder>
            <w:dataBinding w:prefixMappings="xmlns:ns0='http://purl.org/dc/elements/1.1/' xmlns:ns1='http://schemas.openxmlformats.org/package/2006/metadata/core-properties' " w:xpath="/ns1:coreProperties[1]/ns0:creator[1]" w:storeItemID="{6C3C8BC8-F283-45AE-878A-BAB7291924A1}"/>
            <w:text/>
          </w:sdtPr>
          <w:sdtEndPr/>
          <w:sdtContent>
            <w:p w14:paraId="0980815C" w14:textId="77777777" w:rsidR="00256D84" w:rsidRDefault="009C7B0A" w:rsidP="009C7B0A">
              <w:pPr>
                <w:pStyle w:val="Header"/>
                <w:jc w:val="right"/>
                <w:rPr>
                  <w:caps/>
                  <w:color w:val="000000" w:themeColor="text1"/>
                </w:rPr>
              </w:pPr>
              <w:r>
                <w:rPr>
                  <w:i/>
                  <w:caps/>
                  <w:color w:val="000000" w:themeColor="text1"/>
                  <w:sz w:val="18"/>
                  <w:szCs w:val="18"/>
                </w:rPr>
                <w:t>1</w:t>
              </w:r>
              <w:r w:rsidR="0037493D">
                <w:rPr>
                  <w:i/>
                  <w:caps/>
                  <w:color w:val="000000" w:themeColor="text1"/>
                  <w:sz w:val="18"/>
                  <w:szCs w:val="18"/>
                </w:rPr>
                <w:t>/7/19</w:t>
              </w:r>
            </w:p>
          </w:sdtContent>
        </w:sdt>
      </w:tc>
      <w:tc>
        <w:tcPr>
          <w:tcW w:w="479" w:type="dxa"/>
          <w:shd w:val="clear" w:color="auto" w:fill="002060"/>
          <w:vAlign w:val="center"/>
        </w:tcPr>
        <w:p w14:paraId="21EF55A1" w14:textId="77777777" w:rsidR="00256D84" w:rsidRDefault="00256D84">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517F55">
            <w:rPr>
              <w:noProof/>
              <w:color w:val="FFFFFF" w:themeColor="background1"/>
            </w:rPr>
            <w:t>1</w:t>
          </w:r>
          <w:r>
            <w:rPr>
              <w:noProof/>
              <w:color w:val="FFFFFF" w:themeColor="background1"/>
            </w:rPr>
            <w:fldChar w:fldCharType="end"/>
          </w:r>
        </w:p>
      </w:tc>
    </w:tr>
  </w:tbl>
  <w:p w14:paraId="330D5CB1" w14:textId="77777777" w:rsidR="00256D84" w:rsidRDefault="00256D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01A74" w14:textId="77777777" w:rsidR="006402F5" w:rsidRDefault="006402F5" w:rsidP="006A6C1D">
      <w:pPr>
        <w:spacing w:after="0" w:line="240" w:lineRule="auto"/>
      </w:pPr>
      <w:r>
        <w:separator/>
      </w:r>
    </w:p>
  </w:footnote>
  <w:footnote w:type="continuationSeparator" w:id="0">
    <w:p w14:paraId="0B3281FB" w14:textId="77777777" w:rsidR="006402F5" w:rsidRDefault="006402F5" w:rsidP="006A6C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459"/>
    <w:multiLevelType w:val="hybridMultilevel"/>
    <w:tmpl w:val="EFD8E9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0795742"/>
    <w:multiLevelType w:val="hybridMultilevel"/>
    <w:tmpl w:val="77E61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D6D"/>
    <w:rsid w:val="000131B4"/>
    <w:rsid w:val="0002665B"/>
    <w:rsid w:val="00032350"/>
    <w:rsid w:val="000334D2"/>
    <w:rsid w:val="00037941"/>
    <w:rsid w:val="000423C1"/>
    <w:rsid w:val="00043BB3"/>
    <w:rsid w:val="00043FD6"/>
    <w:rsid w:val="00050944"/>
    <w:rsid w:val="00052955"/>
    <w:rsid w:val="00057CD4"/>
    <w:rsid w:val="00066B61"/>
    <w:rsid w:val="000717CA"/>
    <w:rsid w:val="000E0E8E"/>
    <w:rsid w:val="000E7567"/>
    <w:rsid w:val="000E77B7"/>
    <w:rsid w:val="0011652D"/>
    <w:rsid w:val="00147572"/>
    <w:rsid w:val="00161D6C"/>
    <w:rsid w:val="00167A6C"/>
    <w:rsid w:val="0018625D"/>
    <w:rsid w:val="001908D9"/>
    <w:rsid w:val="00197997"/>
    <w:rsid w:val="001C3588"/>
    <w:rsid w:val="001E5F23"/>
    <w:rsid w:val="001F4E67"/>
    <w:rsid w:val="001F507F"/>
    <w:rsid w:val="00206DB2"/>
    <w:rsid w:val="00215D70"/>
    <w:rsid w:val="00224BDB"/>
    <w:rsid w:val="002258DC"/>
    <w:rsid w:val="00250622"/>
    <w:rsid w:val="00256D84"/>
    <w:rsid w:val="0026139D"/>
    <w:rsid w:val="002613E7"/>
    <w:rsid w:val="00265588"/>
    <w:rsid w:val="00271030"/>
    <w:rsid w:val="002A28B9"/>
    <w:rsid w:val="002B00D2"/>
    <w:rsid w:val="002B77DA"/>
    <w:rsid w:val="002E78B8"/>
    <w:rsid w:val="002F22D5"/>
    <w:rsid w:val="00305021"/>
    <w:rsid w:val="00307528"/>
    <w:rsid w:val="00312F33"/>
    <w:rsid w:val="00324E18"/>
    <w:rsid w:val="00333165"/>
    <w:rsid w:val="00341048"/>
    <w:rsid w:val="003567C0"/>
    <w:rsid w:val="00357625"/>
    <w:rsid w:val="0037493D"/>
    <w:rsid w:val="00375EDA"/>
    <w:rsid w:val="003842FA"/>
    <w:rsid w:val="003A5026"/>
    <w:rsid w:val="003B45B0"/>
    <w:rsid w:val="003B7F4A"/>
    <w:rsid w:val="003C64FF"/>
    <w:rsid w:val="003E637C"/>
    <w:rsid w:val="003F2C52"/>
    <w:rsid w:val="004133F0"/>
    <w:rsid w:val="00420084"/>
    <w:rsid w:val="0042485F"/>
    <w:rsid w:val="00426A18"/>
    <w:rsid w:val="004357F6"/>
    <w:rsid w:val="00440297"/>
    <w:rsid w:val="0044154E"/>
    <w:rsid w:val="004556B1"/>
    <w:rsid w:val="00460498"/>
    <w:rsid w:val="00483F8C"/>
    <w:rsid w:val="00493A30"/>
    <w:rsid w:val="00494122"/>
    <w:rsid w:val="004A0933"/>
    <w:rsid w:val="004A52F2"/>
    <w:rsid w:val="004B2833"/>
    <w:rsid w:val="004E5D53"/>
    <w:rsid w:val="004F0728"/>
    <w:rsid w:val="00517F55"/>
    <w:rsid w:val="005365D3"/>
    <w:rsid w:val="005511E2"/>
    <w:rsid w:val="0057296C"/>
    <w:rsid w:val="00576786"/>
    <w:rsid w:val="0059276C"/>
    <w:rsid w:val="00597BC1"/>
    <w:rsid w:val="005B2219"/>
    <w:rsid w:val="005B6545"/>
    <w:rsid w:val="005F5F8A"/>
    <w:rsid w:val="00612A3C"/>
    <w:rsid w:val="00613980"/>
    <w:rsid w:val="00624C9B"/>
    <w:rsid w:val="006402F5"/>
    <w:rsid w:val="00664D5B"/>
    <w:rsid w:val="006708B4"/>
    <w:rsid w:val="00673D06"/>
    <w:rsid w:val="0069050A"/>
    <w:rsid w:val="006908D8"/>
    <w:rsid w:val="006A0F92"/>
    <w:rsid w:val="006A572B"/>
    <w:rsid w:val="006A6C1D"/>
    <w:rsid w:val="006C252E"/>
    <w:rsid w:val="007310B3"/>
    <w:rsid w:val="00741A07"/>
    <w:rsid w:val="007518C0"/>
    <w:rsid w:val="0075552E"/>
    <w:rsid w:val="00772D6D"/>
    <w:rsid w:val="007774C9"/>
    <w:rsid w:val="00787FFE"/>
    <w:rsid w:val="007A6CE6"/>
    <w:rsid w:val="007C3006"/>
    <w:rsid w:val="007C7616"/>
    <w:rsid w:val="007C7992"/>
    <w:rsid w:val="007D0792"/>
    <w:rsid w:val="007F347C"/>
    <w:rsid w:val="0080154E"/>
    <w:rsid w:val="0082200D"/>
    <w:rsid w:val="00833E96"/>
    <w:rsid w:val="008416DF"/>
    <w:rsid w:val="008629BC"/>
    <w:rsid w:val="00865822"/>
    <w:rsid w:val="00884B81"/>
    <w:rsid w:val="0089352A"/>
    <w:rsid w:val="008A3CFE"/>
    <w:rsid w:val="008C6CE9"/>
    <w:rsid w:val="008D3B23"/>
    <w:rsid w:val="008F6FDF"/>
    <w:rsid w:val="008F7503"/>
    <w:rsid w:val="0090225E"/>
    <w:rsid w:val="00907BD5"/>
    <w:rsid w:val="00912ADA"/>
    <w:rsid w:val="00913896"/>
    <w:rsid w:val="009205F1"/>
    <w:rsid w:val="00931E7F"/>
    <w:rsid w:val="00937178"/>
    <w:rsid w:val="00944A5F"/>
    <w:rsid w:val="00945DD6"/>
    <w:rsid w:val="00950C9E"/>
    <w:rsid w:val="00967188"/>
    <w:rsid w:val="00984C9E"/>
    <w:rsid w:val="009B4059"/>
    <w:rsid w:val="009C7B0A"/>
    <w:rsid w:val="009E36C6"/>
    <w:rsid w:val="009E71C8"/>
    <w:rsid w:val="009F09F3"/>
    <w:rsid w:val="009F1F37"/>
    <w:rsid w:val="00A346D6"/>
    <w:rsid w:val="00A72103"/>
    <w:rsid w:val="00AA3484"/>
    <w:rsid w:val="00AB6128"/>
    <w:rsid w:val="00AD39EE"/>
    <w:rsid w:val="00AE4855"/>
    <w:rsid w:val="00AF6CAA"/>
    <w:rsid w:val="00AF780A"/>
    <w:rsid w:val="00B136D9"/>
    <w:rsid w:val="00B324CE"/>
    <w:rsid w:val="00B35415"/>
    <w:rsid w:val="00B461A9"/>
    <w:rsid w:val="00B749CA"/>
    <w:rsid w:val="00B91C2B"/>
    <w:rsid w:val="00B9565C"/>
    <w:rsid w:val="00B9617B"/>
    <w:rsid w:val="00BA021D"/>
    <w:rsid w:val="00BA1694"/>
    <w:rsid w:val="00BA530C"/>
    <w:rsid w:val="00BB5E27"/>
    <w:rsid w:val="00BC30F5"/>
    <w:rsid w:val="00BC67D7"/>
    <w:rsid w:val="00BE2663"/>
    <w:rsid w:val="00BF56E4"/>
    <w:rsid w:val="00BF639D"/>
    <w:rsid w:val="00BF67CC"/>
    <w:rsid w:val="00C13A0B"/>
    <w:rsid w:val="00C3293D"/>
    <w:rsid w:val="00C37137"/>
    <w:rsid w:val="00C54061"/>
    <w:rsid w:val="00C56C88"/>
    <w:rsid w:val="00C65FC7"/>
    <w:rsid w:val="00C845A9"/>
    <w:rsid w:val="00C92111"/>
    <w:rsid w:val="00C97574"/>
    <w:rsid w:val="00CA025E"/>
    <w:rsid w:val="00CA223F"/>
    <w:rsid w:val="00CA2866"/>
    <w:rsid w:val="00CC289D"/>
    <w:rsid w:val="00D30BF9"/>
    <w:rsid w:val="00D414A5"/>
    <w:rsid w:val="00D53F18"/>
    <w:rsid w:val="00D563B4"/>
    <w:rsid w:val="00D622BD"/>
    <w:rsid w:val="00D65850"/>
    <w:rsid w:val="00D67D22"/>
    <w:rsid w:val="00D72FE2"/>
    <w:rsid w:val="00DA51BC"/>
    <w:rsid w:val="00DB1849"/>
    <w:rsid w:val="00DE1902"/>
    <w:rsid w:val="00DF52E6"/>
    <w:rsid w:val="00E05F09"/>
    <w:rsid w:val="00E179C1"/>
    <w:rsid w:val="00E40BB4"/>
    <w:rsid w:val="00E63BA6"/>
    <w:rsid w:val="00E8534F"/>
    <w:rsid w:val="00E94D17"/>
    <w:rsid w:val="00EC7A75"/>
    <w:rsid w:val="00ED099B"/>
    <w:rsid w:val="00ED40BF"/>
    <w:rsid w:val="00ED4F50"/>
    <w:rsid w:val="00EE2ECD"/>
    <w:rsid w:val="00EE4A4A"/>
    <w:rsid w:val="00F107EB"/>
    <w:rsid w:val="00F12E4D"/>
    <w:rsid w:val="00F14D5F"/>
    <w:rsid w:val="00F16B0B"/>
    <w:rsid w:val="00F45CAC"/>
    <w:rsid w:val="00F53508"/>
    <w:rsid w:val="00F74B72"/>
    <w:rsid w:val="00F762DA"/>
    <w:rsid w:val="00FB4ADC"/>
    <w:rsid w:val="00FB4C63"/>
    <w:rsid w:val="00FD3A0A"/>
    <w:rsid w:val="00FD6D85"/>
    <w:rsid w:val="00FF1D45"/>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1C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822"/>
    <w:pPr>
      <w:ind w:left="720"/>
      <w:contextualSpacing/>
    </w:pPr>
  </w:style>
  <w:style w:type="paragraph" w:styleId="Header">
    <w:name w:val="header"/>
    <w:basedOn w:val="Normal"/>
    <w:link w:val="HeaderChar"/>
    <w:unhideWhenUsed/>
    <w:rsid w:val="006A6C1D"/>
    <w:pPr>
      <w:tabs>
        <w:tab w:val="center" w:pos="4680"/>
        <w:tab w:val="right" w:pos="9360"/>
      </w:tabs>
      <w:spacing w:after="0" w:line="240" w:lineRule="auto"/>
    </w:pPr>
  </w:style>
  <w:style w:type="character" w:customStyle="1" w:styleId="HeaderChar">
    <w:name w:val="Header Char"/>
    <w:basedOn w:val="DefaultParagraphFont"/>
    <w:link w:val="Header"/>
    <w:rsid w:val="006A6C1D"/>
  </w:style>
  <w:style w:type="paragraph" w:styleId="Footer">
    <w:name w:val="footer"/>
    <w:basedOn w:val="Normal"/>
    <w:link w:val="FooterChar"/>
    <w:uiPriority w:val="99"/>
    <w:unhideWhenUsed/>
    <w:rsid w:val="006A6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C1D"/>
  </w:style>
  <w:style w:type="paragraph" w:styleId="BalloonText">
    <w:name w:val="Balloon Text"/>
    <w:basedOn w:val="Normal"/>
    <w:link w:val="BalloonTextChar"/>
    <w:uiPriority w:val="99"/>
    <w:semiHidden/>
    <w:unhideWhenUsed/>
    <w:rsid w:val="00413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3F0"/>
    <w:rPr>
      <w:rFonts w:ascii="Tahoma" w:hAnsi="Tahoma" w:cs="Tahoma"/>
      <w:sz w:val="16"/>
      <w:szCs w:val="16"/>
    </w:rPr>
  </w:style>
  <w:style w:type="character" w:styleId="Hyperlink">
    <w:name w:val="Hyperlink"/>
    <w:uiPriority w:val="99"/>
    <w:rsid w:val="004133F0"/>
    <w:rPr>
      <w:color w:val="0000FF"/>
      <w:u w:val="single"/>
    </w:rPr>
  </w:style>
  <w:style w:type="character" w:styleId="CommentReference">
    <w:name w:val="annotation reference"/>
    <w:basedOn w:val="DefaultParagraphFont"/>
    <w:uiPriority w:val="99"/>
    <w:semiHidden/>
    <w:unhideWhenUsed/>
    <w:rsid w:val="00FB4ADC"/>
    <w:rPr>
      <w:sz w:val="16"/>
      <w:szCs w:val="16"/>
    </w:rPr>
  </w:style>
  <w:style w:type="paragraph" w:styleId="CommentText">
    <w:name w:val="annotation text"/>
    <w:basedOn w:val="Normal"/>
    <w:link w:val="CommentTextChar"/>
    <w:uiPriority w:val="99"/>
    <w:semiHidden/>
    <w:unhideWhenUsed/>
    <w:rsid w:val="00FB4ADC"/>
    <w:pPr>
      <w:spacing w:line="240" w:lineRule="auto"/>
    </w:pPr>
    <w:rPr>
      <w:sz w:val="20"/>
      <w:szCs w:val="20"/>
    </w:rPr>
  </w:style>
  <w:style w:type="character" w:customStyle="1" w:styleId="CommentTextChar">
    <w:name w:val="Comment Text Char"/>
    <w:basedOn w:val="DefaultParagraphFont"/>
    <w:link w:val="CommentText"/>
    <w:uiPriority w:val="99"/>
    <w:semiHidden/>
    <w:rsid w:val="00FB4ADC"/>
    <w:rPr>
      <w:sz w:val="20"/>
      <w:szCs w:val="20"/>
    </w:rPr>
  </w:style>
  <w:style w:type="paragraph" w:styleId="CommentSubject">
    <w:name w:val="annotation subject"/>
    <w:basedOn w:val="CommentText"/>
    <w:next w:val="CommentText"/>
    <w:link w:val="CommentSubjectChar"/>
    <w:uiPriority w:val="99"/>
    <w:semiHidden/>
    <w:unhideWhenUsed/>
    <w:rsid w:val="00FB4ADC"/>
    <w:rPr>
      <w:b/>
      <w:bCs/>
    </w:rPr>
  </w:style>
  <w:style w:type="character" w:customStyle="1" w:styleId="CommentSubjectChar">
    <w:name w:val="Comment Subject Char"/>
    <w:basedOn w:val="CommentTextChar"/>
    <w:link w:val="CommentSubject"/>
    <w:uiPriority w:val="99"/>
    <w:semiHidden/>
    <w:rsid w:val="00FB4ADC"/>
    <w:rPr>
      <w:b/>
      <w:bCs/>
      <w:sz w:val="20"/>
      <w:szCs w:val="20"/>
    </w:rPr>
  </w:style>
  <w:style w:type="character" w:styleId="FollowedHyperlink">
    <w:name w:val="FollowedHyperlink"/>
    <w:basedOn w:val="DefaultParagraphFont"/>
    <w:uiPriority w:val="99"/>
    <w:semiHidden/>
    <w:unhideWhenUsed/>
    <w:rsid w:val="00CA286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822"/>
    <w:pPr>
      <w:ind w:left="720"/>
      <w:contextualSpacing/>
    </w:pPr>
  </w:style>
  <w:style w:type="paragraph" w:styleId="Header">
    <w:name w:val="header"/>
    <w:basedOn w:val="Normal"/>
    <w:link w:val="HeaderChar"/>
    <w:unhideWhenUsed/>
    <w:rsid w:val="006A6C1D"/>
    <w:pPr>
      <w:tabs>
        <w:tab w:val="center" w:pos="4680"/>
        <w:tab w:val="right" w:pos="9360"/>
      </w:tabs>
      <w:spacing w:after="0" w:line="240" w:lineRule="auto"/>
    </w:pPr>
  </w:style>
  <w:style w:type="character" w:customStyle="1" w:styleId="HeaderChar">
    <w:name w:val="Header Char"/>
    <w:basedOn w:val="DefaultParagraphFont"/>
    <w:link w:val="Header"/>
    <w:rsid w:val="006A6C1D"/>
  </w:style>
  <w:style w:type="paragraph" w:styleId="Footer">
    <w:name w:val="footer"/>
    <w:basedOn w:val="Normal"/>
    <w:link w:val="FooterChar"/>
    <w:uiPriority w:val="99"/>
    <w:unhideWhenUsed/>
    <w:rsid w:val="006A6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C1D"/>
  </w:style>
  <w:style w:type="paragraph" w:styleId="BalloonText">
    <w:name w:val="Balloon Text"/>
    <w:basedOn w:val="Normal"/>
    <w:link w:val="BalloonTextChar"/>
    <w:uiPriority w:val="99"/>
    <w:semiHidden/>
    <w:unhideWhenUsed/>
    <w:rsid w:val="00413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3F0"/>
    <w:rPr>
      <w:rFonts w:ascii="Tahoma" w:hAnsi="Tahoma" w:cs="Tahoma"/>
      <w:sz w:val="16"/>
      <w:szCs w:val="16"/>
    </w:rPr>
  </w:style>
  <w:style w:type="character" w:styleId="Hyperlink">
    <w:name w:val="Hyperlink"/>
    <w:uiPriority w:val="99"/>
    <w:rsid w:val="004133F0"/>
    <w:rPr>
      <w:color w:val="0000FF"/>
      <w:u w:val="single"/>
    </w:rPr>
  </w:style>
  <w:style w:type="character" w:styleId="CommentReference">
    <w:name w:val="annotation reference"/>
    <w:basedOn w:val="DefaultParagraphFont"/>
    <w:uiPriority w:val="99"/>
    <w:semiHidden/>
    <w:unhideWhenUsed/>
    <w:rsid w:val="00FB4ADC"/>
    <w:rPr>
      <w:sz w:val="16"/>
      <w:szCs w:val="16"/>
    </w:rPr>
  </w:style>
  <w:style w:type="paragraph" w:styleId="CommentText">
    <w:name w:val="annotation text"/>
    <w:basedOn w:val="Normal"/>
    <w:link w:val="CommentTextChar"/>
    <w:uiPriority w:val="99"/>
    <w:semiHidden/>
    <w:unhideWhenUsed/>
    <w:rsid w:val="00FB4ADC"/>
    <w:pPr>
      <w:spacing w:line="240" w:lineRule="auto"/>
    </w:pPr>
    <w:rPr>
      <w:sz w:val="20"/>
      <w:szCs w:val="20"/>
    </w:rPr>
  </w:style>
  <w:style w:type="character" w:customStyle="1" w:styleId="CommentTextChar">
    <w:name w:val="Comment Text Char"/>
    <w:basedOn w:val="DefaultParagraphFont"/>
    <w:link w:val="CommentText"/>
    <w:uiPriority w:val="99"/>
    <w:semiHidden/>
    <w:rsid w:val="00FB4ADC"/>
    <w:rPr>
      <w:sz w:val="20"/>
      <w:szCs w:val="20"/>
    </w:rPr>
  </w:style>
  <w:style w:type="paragraph" w:styleId="CommentSubject">
    <w:name w:val="annotation subject"/>
    <w:basedOn w:val="CommentText"/>
    <w:next w:val="CommentText"/>
    <w:link w:val="CommentSubjectChar"/>
    <w:uiPriority w:val="99"/>
    <w:semiHidden/>
    <w:unhideWhenUsed/>
    <w:rsid w:val="00FB4ADC"/>
    <w:rPr>
      <w:b/>
      <w:bCs/>
    </w:rPr>
  </w:style>
  <w:style w:type="character" w:customStyle="1" w:styleId="CommentSubjectChar">
    <w:name w:val="Comment Subject Char"/>
    <w:basedOn w:val="CommentTextChar"/>
    <w:link w:val="CommentSubject"/>
    <w:uiPriority w:val="99"/>
    <w:semiHidden/>
    <w:rsid w:val="00FB4ADC"/>
    <w:rPr>
      <w:b/>
      <w:bCs/>
      <w:sz w:val="20"/>
      <w:szCs w:val="20"/>
    </w:rPr>
  </w:style>
  <w:style w:type="character" w:styleId="FollowedHyperlink">
    <w:name w:val="FollowedHyperlink"/>
    <w:basedOn w:val="DefaultParagraphFont"/>
    <w:uiPriority w:val="99"/>
    <w:semiHidden/>
    <w:unhideWhenUsed/>
    <w:rsid w:val="00CA28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087518">
      <w:bodyDiv w:val="1"/>
      <w:marLeft w:val="0"/>
      <w:marRight w:val="0"/>
      <w:marTop w:val="0"/>
      <w:marBottom w:val="0"/>
      <w:divBdr>
        <w:top w:val="none" w:sz="0" w:space="0" w:color="auto"/>
        <w:left w:val="none" w:sz="0" w:space="0" w:color="auto"/>
        <w:bottom w:val="none" w:sz="0" w:space="0" w:color="auto"/>
        <w:right w:val="none" w:sz="0" w:space="0" w:color="auto"/>
      </w:divBdr>
    </w:div>
    <w:div w:id="1790082895">
      <w:bodyDiv w:val="1"/>
      <w:marLeft w:val="0"/>
      <w:marRight w:val="0"/>
      <w:marTop w:val="0"/>
      <w:marBottom w:val="0"/>
      <w:divBdr>
        <w:top w:val="none" w:sz="0" w:space="0" w:color="auto"/>
        <w:left w:val="none" w:sz="0" w:space="0" w:color="auto"/>
        <w:bottom w:val="none" w:sz="0" w:space="0" w:color="auto"/>
        <w:right w:val="none" w:sz="0" w:space="0" w:color="auto"/>
      </w:divBdr>
    </w:div>
    <w:div w:id="19957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technical-refresh-companion-guid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i@mahealth.ne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51097557D348329CC13FDFC9DC959D"/>
        <w:category>
          <w:name w:val="General"/>
          <w:gallery w:val="placeholder"/>
        </w:category>
        <w:types>
          <w:type w:val="bbPlcHdr"/>
        </w:types>
        <w:behaviors>
          <w:behavior w:val="content"/>
        </w:behaviors>
        <w:guid w:val="{E4427105-828C-4CBF-826F-35970A17CB15}"/>
      </w:docPartPr>
      <w:docPartBody>
        <w:p w:rsidR="000968B9" w:rsidRDefault="000A6953" w:rsidP="000A6953">
          <w:pPr>
            <w:pStyle w:val="0A51097557D348329CC13FDFC9DC959D"/>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953"/>
    <w:rsid w:val="000968B9"/>
    <w:rsid w:val="000A6953"/>
    <w:rsid w:val="001256DD"/>
    <w:rsid w:val="001626D3"/>
    <w:rsid w:val="00415AA9"/>
    <w:rsid w:val="0051209E"/>
    <w:rsid w:val="006219B6"/>
    <w:rsid w:val="00641332"/>
    <w:rsid w:val="00695487"/>
    <w:rsid w:val="008F781C"/>
    <w:rsid w:val="00B70CDC"/>
    <w:rsid w:val="00BD1F80"/>
    <w:rsid w:val="00BE08FE"/>
    <w:rsid w:val="00C63439"/>
    <w:rsid w:val="00CA5775"/>
    <w:rsid w:val="00CD1147"/>
    <w:rsid w:val="00D868BC"/>
    <w:rsid w:val="00E0475C"/>
    <w:rsid w:val="00F15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51097557D348329CC13FDFC9DC959D">
    <w:name w:val="0A51097557D348329CC13FDFC9DC959D"/>
    <w:rsid w:val="000A695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51097557D348329CC13FDFC9DC959D">
    <w:name w:val="0A51097557D348329CC13FDFC9DC959D"/>
    <w:rsid w:val="000A6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1/7/19</dc:creator>
  <cp:lastModifiedBy>Administrator</cp:lastModifiedBy>
  <cp:revision>2</cp:revision>
  <cp:lastPrinted>2019-01-15T15:04:00Z</cp:lastPrinted>
  <dcterms:created xsi:type="dcterms:W3CDTF">2019-11-25T17:25:00Z</dcterms:created>
  <dcterms:modified xsi:type="dcterms:W3CDTF">2019-11-25T17:25:00Z</dcterms:modified>
</cp:coreProperties>
</file>