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6745C" w14:textId="77777777" w:rsidR="00E332D9" w:rsidRPr="003A4B37" w:rsidRDefault="00E332D9" w:rsidP="00E332D9">
      <w:pPr>
        <w:autoSpaceDE w:val="0"/>
        <w:autoSpaceDN w:val="0"/>
        <w:adjustRightInd w:val="0"/>
        <w:rPr>
          <w:rFonts w:ascii="Arial" w:hAnsi="Arial" w:cs="Arial"/>
          <w:b/>
          <w:color w:val="1F497D" w:themeColor="text2"/>
        </w:rPr>
      </w:pPr>
      <w:r w:rsidRPr="003A4B37">
        <w:rPr>
          <w:rFonts w:ascii="Arial" w:hAnsi="Arial" w:cs="Arial"/>
          <w:b/>
          <w:color w:val="1F497D" w:themeColor="text2"/>
        </w:rPr>
        <w:t>Section 1:</w:t>
      </w:r>
    </w:p>
    <w:p w14:paraId="092AE9BB" w14:textId="77777777" w:rsidR="00E332D9" w:rsidRPr="00AA6B1C" w:rsidRDefault="00E332D9" w:rsidP="00A93DA8">
      <w:pPr>
        <w:pStyle w:val="SurvManHead"/>
      </w:pPr>
      <w:r w:rsidRPr="00AA6B1C">
        <w:t>ABOUT THE DISEASE</w:t>
      </w:r>
    </w:p>
    <w:p w14:paraId="4E556B85" w14:textId="77777777" w:rsidR="00A95025" w:rsidRDefault="00A95025" w:rsidP="00E332D9">
      <w:pPr>
        <w:autoSpaceDE w:val="0"/>
        <w:autoSpaceDN w:val="0"/>
        <w:adjustRightInd w:val="0"/>
        <w:rPr>
          <w:rFonts w:ascii="TradeGothic-BoldCondTwenty" w:hAnsi="TradeGothic-BoldCondTwenty" w:cs="TradeGothic-BoldCondTwenty"/>
          <w:b/>
          <w:bCs/>
          <w:sz w:val="22"/>
          <w:szCs w:val="22"/>
        </w:rPr>
      </w:pPr>
    </w:p>
    <w:p w14:paraId="3E0ABD2F" w14:textId="77777777" w:rsidR="00E332D9" w:rsidRPr="00C23238" w:rsidRDefault="00E332D9" w:rsidP="00E332D9">
      <w:pPr>
        <w:autoSpaceDE w:val="0"/>
        <w:autoSpaceDN w:val="0"/>
        <w:adjustRightInd w:val="0"/>
        <w:rPr>
          <w:rFonts w:ascii="Arial" w:hAnsi="Arial" w:cs="Arial"/>
          <w:b/>
          <w:bCs/>
          <w:sz w:val="22"/>
          <w:szCs w:val="22"/>
        </w:rPr>
      </w:pPr>
      <w:r w:rsidRPr="00C23238">
        <w:rPr>
          <w:rFonts w:ascii="Arial" w:hAnsi="Arial" w:cs="Arial"/>
          <w:b/>
          <w:bCs/>
          <w:sz w:val="22"/>
          <w:szCs w:val="22"/>
        </w:rPr>
        <w:t>A. Etiologic Agent</w:t>
      </w:r>
    </w:p>
    <w:p w14:paraId="3D08952F" w14:textId="77777777" w:rsidR="00A95025" w:rsidRDefault="00A95025" w:rsidP="00E332D9">
      <w:pPr>
        <w:autoSpaceDE w:val="0"/>
        <w:autoSpaceDN w:val="0"/>
        <w:adjustRightInd w:val="0"/>
        <w:rPr>
          <w:rFonts w:ascii="Garamond-BookCondensed" w:hAnsi="Garamond-BookCondensed" w:cs="Garamond-BookCondensed"/>
          <w:sz w:val="20"/>
          <w:szCs w:val="20"/>
        </w:rPr>
      </w:pPr>
    </w:p>
    <w:p w14:paraId="0D4FEF23" w14:textId="07714CF8" w:rsidR="00E332D9" w:rsidRPr="0007633A" w:rsidRDefault="00E332D9" w:rsidP="00E332D9">
      <w:pPr>
        <w:autoSpaceDE w:val="0"/>
        <w:autoSpaceDN w:val="0"/>
        <w:adjustRightInd w:val="0"/>
        <w:rPr>
          <w:rFonts w:asciiTheme="majorHAnsi" w:hAnsiTheme="majorHAnsi" w:cs="Garamond-BookCondensed"/>
          <w:sz w:val="22"/>
          <w:szCs w:val="22"/>
        </w:rPr>
      </w:pPr>
      <w:r w:rsidRPr="0007633A">
        <w:rPr>
          <w:rFonts w:asciiTheme="majorHAnsi" w:hAnsiTheme="majorHAnsi" w:cs="Garamond-BookCondensed"/>
          <w:sz w:val="22"/>
          <w:szCs w:val="22"/>
        </w:rPr>
        <w:t xml:space="preserve">Tetanus is caused by a potent exotoxin produced by </w:t>
      </w:r>
      <w:r w:rsidRPr="0007633A">
        <w:rPr>
          <w:rFonts w:asciiTheme="majorHAnsi" w:hAnsiTheme="majorHAnsi" w:cs="Garamond-BookCondensed"/>
          <w:i/>
          <w:sz w:val="22"/>
          <w:szCs w:val="22"/>
        </w:rPr>
        <w:t>Clostridium tetani</w:t>
      </w:r>
      <w:r w:rsidRPr="0007633A">
        <w:rPr>
          <w:rFonts w:asciiTheme="majorHAnsi" w:hAnsiTheme="majorHAnsi" w:cs="Garamond-BookCondensedItalic"/>
          <w:i/>
          <w:iCs/>
          <w:sz w:val="22"/>
          <w:szCs w:val="22"/>
        </w:rPr>
        <w:t xml:space="preserve">, </w:t>
      </w:r>
      <w:r w:rsidRPr="0007633A">
        <w:rPr>
          <w:rFonts w:asciiTheme="majorHAnsi" w:hAnsiTheme="majorHAnsi" w:cs="Garamond-BookCondensed"/>
          <w:sz w:val="22"/>
          <w:szCs w:val="22"/>
        </w:rPr>
        <w:t>a spore-forming, anaerobic, gram-positive</w:t>
      </w:r>
      <w:r w:rsidR="00A95025"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bacillus.</w:t>
      </w:r>
    </w:p>
    <w:p w14:paraId="4E95DAFF" w14:textId="77777777" w:rsidR="00A95025" w:rsidRPr="00070065" w:rsidRDefault="00A95025" w:rsidP="00E332D9">
      <w:pPr>
        <w:autoSpaceDE w:val="0"/>
        <w:autoSpaceDN w:val="0"/>
        <w:adjustRightInd w:val="0"/>
        <w:rPr>
          <w:rFonts w:ascii="Garamond-BookCondensed" w:hAnsi="Garamond-BookCondensed" w:cs="Garamond-BookCondensed"/>
          <w:sz w:val="20"/>
          <w:szCs w:val="20"/>
        </w:rPr>
      </w:pPr>
    </w:p>
    <w:p w14:paraId="65FF34D6" w14:textId="77777777" w:rsidR="00E332D9" w:rsidRPr="00C23238" w:rsidRDefault="00E332D9" w:rsidP="00E332D9">
      <w:pPr>
        <w:autoSpaceDE w:val="0"/>
        <w:autoSpaceDN w:val="0"/>
        <w:adjustRightInd w:val="0"/>
        <w:rPr>
          <w:rFonts w:ascii="Arial" w:hAnsi="Arial" w:cs="Arial"/>
          <w:b/>
          <w:bCs/>
          <w:sz w:val="22"/>
          <w:szCs w:val="22"/>
        </w:rPr>
      </w:pPr>
      <w:r w:rsidRPr="00C23238">
        <w:rPr>
          <w:rFonts w:ascii="Arial" w:hAnsi="Arial" w:cs="Arial"/>
          <w:b/>
          <w:bCs/>
          <w:sz w:val="22"/>
          <w:szCs w:val="22"/>
        </w:rPr>
        <w:t>B. Clinical Description</w:t>
      </w:r>
    </w:p>
    <w:p w14:paraId="0A9AEB88" w14:textId="77777777" w:rsidR="00A95025" w:rsidRPr="0007633A" w:rsidRDefault="00A95025" w:rsidP="00E332D9">
      <w:pPr>
        <w:autoSpaceDE w:val="0"/>
        <w:autoSpaceDN w:val="0"/>
        <w:adjustRightInd w:val="0"/>
        <w:rPr>
          <w:rFonts w:asciiTheme="majorHAnsi" w:hAnsiTheme="majorHAnsi" w:cs="Garamond-BookCondensed"/>
          <w:sz w:val="22"/>
          <w:szCs w:val="22"/>
        </w:rPr>
      </w:pPr>
    </w:p>
    <w:p w14:paraId="7C7E3496" w14:textId="7356B515" w:rsidR="00E332D9" w:rsidRPr="0007633A" w:rsidRDefault="58883DF3" w:rsidP="6EC97CF5">
      <w:pPr>
        <w:autoSpaceDE w:val="0"/>
        <w:autoSpaceDN w:val="0"/>
        <w:adjustRightInd w:val="0"/>
        <w:rPr>
          <w:rFonts w:asciiTheme="majorHAnsi" w:hAnsiTheme="majorHAnsi" w:cs="Garamond-BookCondensed"/>
          <w:sz w:val="22"/>
          <w:szCs w:val="22"/>
        </w:rPr>
      </w:pPr>
      <w:r w:rsidRPr="6EC97CF5">
        <w:rPr>
          <w:rFonts w:asciiTheme="majorHAnsi" w:hAnsiTheme="majorHAnsi" w:cs="Garamond-BookCondensed"/>
          <w:sz w:val="22"/>
          <w:szCs w:val="22"/>
        </w:rPr>
        <w:t>Generalized tetanus</w:t>
      </w:r>
      <w:r w:rsidR="00A060B1">
        <w:rPr>
          <w:rFonts w:asciiTheme="majorHAnsi" w:hAnsiTheme="majorHAnsi" w:cs="Garamond-BookCondensed"/>
          <w:sz w:val="22"/>
          <w:szCs w:val="22"/>
        </w:rPr>
        <w:t xml:space="preserve"> (or lockjaw)</w:t>
      </w:r>
      <w:r w:rsidRPr="6EC97CF5">
        <w:rPr>
          <w:rFonts w:asciiTheme="majorHAnsi" w:hAnsiTheme="majorHAnsi" w:cs="Garamond-BookCondensed"/>
          <w:sz w:val="22"/>
          <w:szCs w:val="22"/>
        </w:rPr>
        <w:t xml:space="preserve"> is an acute, neurologic disease characterized by painful skeletal muscular</w:t>
      </w:r>
      <w:r w:rsidR="723AEEB0" w:rsidRPr="6EC97CF5">
        <w:rPr>
          <w:rFonts w:asciiTheme="majorHAnsi" w:hAnsiTheme="majorHAnsi" w:cs="Garamond-BookCondensed"/>
          <w:sz w:val="22"/>
          <w:szCs w:val="22"/>
        </w:rPr>
        <w:t xml:space="preserve"> </w:t>
      </w:r>
      <w:r w:rsidRPr="6EC97CF5">
        <w:rPr>
          <w:rFonts w:asciiTheme="majorHAnsi" w:hAnsiTheme="majorHAnsi" w:cs="Garamond-BookCondensed"/>
          <w:sz w:val="22"/>
          <w:szCs w:val="22"/>
        </w:rPr>
        <w:t xml:space="preserve">contractions. </w:t>
      </w:r>
      <w:r w:rsidR="5D6E3E35" w:rsidRPr="6EC97CF5">
        <w:rPr>
          <w:rFonts w:asciiTheme="majorHAnsi" w:hAnsiTheme="majorHAnsi" w:cs="Garamond-BookCondensed"/>
          <w:i/>
          <w:iCs/>
          <w:sz w:val="22"/>
          <w:szCs w:val="22"/>
        </w:rPr>
        <w:t>C. tetani</w:t>
      </w:r>
      <w:r w:rsidR="5D6E3E35" w:rsidRPr="6EC97CF5">
        <w:rPr>
          <w:rFonts w:asciiTheme="majorHAnsi" w:hAnsiTheme="majorHAnsi" w:cs="Garamond-BookCondensedItalic"/>
          <w:i/>
          <w:iCs/>
          <w:sz w:val="22"/>
          <w:szCs w:val="22"/>
        </w:rPr>
        <w:t xml:space="preserve"> </w:t>
      </w:r>
      <w:r w:rsidR="5D6E3E35" w:rsidRPr="6EC97CF5">
        <w:rPr>
          <w:rFonts w:asciiTheme="majorHAnsi" w:hAnsiTheme="majorHAnsi" w:cs="Garamond-BookCondensed"/>
          <w:sz w:val="22"/>
          <w:szCs w:val="22"/>
        </w:rPr>
        <w:t>is a non-invasive wound contaminant</w:t>
      </w:r>
      <w:r w:rsidR="3E0E1A39" w:rsidRPr="6EC97CF5">
        <w:rPr>
          <w:rFonts w:asciiTheme="majorHAnsi" w:hAnsiTheme="majorHAnsi" w:cs="Garamond-BookCondensed"/>
          <w:sz w:val="22"/>
          <w:szCs w:val="22"/>
        </w:rPr>
        <w:t xml:space="preserve"> that</w:t>
      </w:r>
      <w:r w:rsidR="5D6E3E35" w:rsidRPr="6EC97CF5">
        <w:rPr>
          <w:rFonts w:asciiTheme="majorHAnsi" w:hAnsiTheme="majorHAnsi" w:cs="Garamond-BookCondensed"/>
          <w:sz w:val="22"/>
          <w:szCs w:val="22"/>
        </w:rPr>
        <w:t xml:space="preserve"> produces a </w:t>
      </w:r>
      <w:r w:rsidRPr="6EC97CF5">
        <w:rPr>
          <w:rFonts w:asciiTheme="majorHAnsi" w:hAnsiTheme="majorHAnsi" w:cs="Garamond-BookCondensed"/>
          <w:sz w:val="22"/>
          <w:szCs w:val="22"/>
        </w:rPr>
        <w:t>toxin</w:t>
      </w:r>
      <w:r w:rsidR="2A26893C" w:rsidRPr="6EC97CF5">
        <w:rPr>
          <w:rFonts w:asciiTheme="majorHAnsi" w:hAnsiTheme="majorHAnsi" w:cs="Garamond-BookCondensed"/>
          <w:sz w:val="22"/>
          <w:szCs w:val="22"/>
        </w:rPr>
        <w:t xml:space="preserve"> that</w:t>
      </w:r>
      <w:r w:rsidRPr="6EC97CF5">
        <w:rPr>
          <w:rFonts w:asciiTheme="majorHAnsi" w:hAnsiTheme="majorHAnsi" w:cs="Garamond-BookCondensed"/>
          <w:sz w:val="22"/>
          <w:szCs w:val="22"/>
        </w:rPr>
        <w:t xml:space="preserve"> blocks </w:t>
      </w:r>
      <w:r w:rsidR="5442811E" w:rsidRPr="6EC97CF5">
        <w:rPr>
          <w:rFonts w:asciiTheme="majorHAnsi" w:hAnsiTheme="majorHAnsi" w:cs="Garamond-BookCondensed"/>
          <w:sz w:val="22"/>
          <w:szCs w:val="22"/>
        </w:rPr>
        <w:t xml:space="preserve">nerve </w:t>
      </w:r>
      <w:r w:rsidRPr="6EC97CF5">
        <w:rPr>
          <w:rFonts w:asciiTheme="majorHAnsi" w:hAnsiTheme="majorHAnsi" w:cs="Garamond-BookCondensed"/>
          <w:sz w:val="22"/>
          <w:szCs w:val="22"/>
        </w:rPr>
        <w:t xml:space="preserve">signals </w:t>
      </w:r>
      <w:r w:rsidR="0BB22FAE" w:rsidRPr="6EC97CF5">
        <w:rPr>
          <w:rFonts w:asciiTheme="majorHAnsi" w:hAnsiTheme="majorHAnsi" w:cs="Garamond-BookCondensed"/>
          <w:sz w:val="22"/>
          <w:szCs w:val="22"/>
        </w:rPr>
        <w:t>to skeletal</w:t>
      </w:r>
      <w:r w:rsidRPr="6EC97CF5">
        <w:rPr>
          <w:rFonts w:asciiTheme="majorHAnsi" w:hAnsiTheme="majorHAnsi" w:cs="Garamond-BookCondensed"/>
          <w:sz w:val="22"/>
          <w:szCs w:val="22"/>
        </w:rPr>
        <w:t xml:space="preserve"> muscles</w:t>
      </w:r>
      <w:r w:rsidR="24D256E0" w:rsidRPr="6EC97CF5">
        <w:rPr>
          <w:rFonts w:asciiTheme="majorHAnsi" w:hAnsiTheme="majorHAnsi" w:cs="Garamond-BookCondensed"/>
          <w:sz w:val="22"/>
          <w:szCs w:val="22"/>
        </w:rPr>
        <w:t>.</w:t>
      </w:r>
      <w:r w:rsidR="00261C9D">
        <w:rPr>
          <w:rFonts w:asciiTheme="majorHAnsi" w:hAnsiTheme="majorHAnsi" w:cs="Garamond-BookCondensed"/>
          <w:sz w:val="22"/>
          <w:szCs w:val="22"/>
        </w:rPr>
        <w:t xml:space="preserve"> </w:t>
      </w:r>
      <w:r w:rsidRPr="6EC97CF5">
        <w:rPr>
          <w:rFonts w:asciiTheme="majorHAnsi" w:hAnsiTheme="majorHAnsi" w:cs="Garamond-BookCondensed"/>
          <w:sz w:val="22"/>
          <w:szCs w:val="22"/>
        </w:rPr>
        <w:t>The autonomic nervous system may also be affected. Onset is gradual, occurring</w:t>
      </w:r>
      <w:r w:rsidR="723AEEB0" w:rsidRPr="6EC97CF5">
        <w:rPr>
          <w:rFonts w:asciiTheme="majorHAnsi" w:hAnsiTheme="majorHAnsi" w:cs="Garamond-BookCondensed"/>
          <w:sz w:val="22"/>
          <w:szCs w:val="22"/>
        </w:rPr>
        <w:t xml:space="preserve"> </w:t>
      </w:r>
      <w:r w:rsidRPr="6EC97CF5">
        <w:rPr>
          <w:rFonts w:asciiTheme="majorHAnsi" w:hAnsiTheme="majorHAnsi" w:cs="Garamond-BookCondensed"/>
          <w:sz w:val="22"/>
          <w:szCs w:val="22"/>
        </w:rPr>
        <w:t xml:space="preserve">over 1–7 days. </w:t>
      </w:r>
      <w:r w:rsidR="00BF5BE8">
        <w:rPr>
          <w:rFonts w:asciiTheme="majorHAnsi" w:hAnsiTheme="majorHAnsi" w:cs="Garamond-BookCondensed"/>
          <w:sz w:val="22"/>
          <w:szCs w:val="22"/>
        </w:rPr>
        <w:t>Tetanus can be fatal.</w:t>
      </w:r>
    </w:p>
    <w:p w14:paraId="7C66BEEC" w14:textId="01A9023A" w:rsidR="00E332D9" w:rsidRPr="0007633A" w:rsidRDefault="00E332D9" w:rsidP="6EC97CF5">
      <w:pPr>
        <w:autoSpaceDE w:val="0"/>
        <w:autoSpaceDN w:val="0"/>
        <w:adjustRightInd w:val="0"/>
        <w:rPr>
          <w:rFonts w:asciiTheme="majorHAnsi" w:hAnsiTheme="majorHAnsi" w:cs="Garamond-BookCondensed"/>
          <w:sz w:val="22"/>
          <w:szCs w:val="22"/>
        </w:rPr>
      </w:pPr>
    </w:p>
    <w:p w14:paraId="744A888F" w14:textId="1243AE65" w:rsidR="00E332D9" w:rsidRPr="0007633A" w:rsidRDefault="324A6122" w:rsidP="6EC97CF5">
      <w:pPr>
        <w:autoSpaceDE w:val="0"/>
        <w:autoSpaceDN w:val="0"/>
        <w:adjustRightInd w:val="0"/>
        <w:rPr>
          <w:rFonts w:asciiTheme="majorHAnsi" w:hAnsiTheme="majorHAnsi" w:cs="Garamond-BookCondensed"/>
          <w:sz w:val="22"/>
          <w:szCs w:val="22"/>
        </w:rPr>
      </w:pPr>
      <w:r w:rsidRPr="6EC97CF5">
        <w:rPr>
          <w:rFonts w:asciiTheme="majorHAnsi" w:hAnsiTheme="majorHAnsi" w:cs="Garamond-BookCondensed"/>
          <w:sz w:val="22"/>
          <w:szCs w:val="22"/>
        </w:rPr>
        <w:t xml:space="preserve">Generalized tetanus is the most common clinical manifestation. </w:t>
      </w:r>
      <w:r w:rsidR="58883DF3" w:rsidRPr="6EC97CF5">
        <w:rPr>
          <w:rFonts w:asciiTheme="majorHAnsi" w:hAnsiTheme="majorHAnsi" w:cs="Garamond-BookCondensed"/>
          <w:sz w:val="22"/>
          <w:szCs w:val="22"/>
        </w:rPr>
        <w:t>Usually, the muscle stiffness first involves the jaw (lockjaw) and neck, and then progresses to severe</w:t>
      </w:r>
      <w:r w:rsidR="723AEEB0" w:rsidRPr="6EC97CF5">
        <w:rPr>
          <w:rFonts w:asciiTheme="majorHAnsi" w:hAnsiTheme="majorHAnsi" w:cs="Garamond-BookCondensed"/>
          <w:sz w:val="22"/>
          <w:szCs w:val="22"/>
        </w:rPr>
        <w:t xml:space="preserve"> </w:t>
      </w:r>
      <w:r w:rsidR="58883DF3" w:rsidRPr="6EC97CF5">
        <w:rPr>
          <w:rFonts w:asciiTheme="majorHAnsi" w:hAnsiTheme="majorHAnsi" w:cs="Garamond-BookCondensed"/>
          <w:sz w:val="22"/>
          <w:szCs w:val="22"/>
        </w:rPr>
        <w:t xml:space="preserve">generalized muscle spasms, which are frequently aggravated by any external stimulus. </w:t>
      </w:r>
      <w:r w:rsidR="0DEAD155" w:rsidRPr="6EC97CF5">
        <w:rPr>
          <w:rFonts w:asciiTheme="majorHAnsi" w:hAnsiTheme="majorHAnsi" w:cs="Garamond-BookCondensed"/>
          <w:sz w:val="22"/>
          <w:szCs w:val="22"/>
        </w:rPr>
        <w:t xml:space="preserve">Spasms continue for 3 to 4 weeks and complete recovery may take months. </w:t>
      </w:r>
    </w:p>
    <w:p w14:paraId="6A65D314" w14:textId="77777777" w:rsidR="00A95025" w:rsidRPr="0007633A" w:rsidRDefault="00A95025" w:rsidP="00E332D9">
      <w:pPr>
        <w:autoSpaceDE w:val="0"/>
        <w:autoSpaceDN w:val="0"/>
        <w:adjustRightInd w:val="0"/>
        <w:rPr>
          <w:rFonts w:asciiTheme="majorHAnsi" w:hAnsiTheme="majorHAnsi" w:cs="Garamond-BookCondensed"/>
          <w:sz w:val="22"/>
          <w:szCs w:val="22"/>
        </w:rPr>
      </w:pPr>
    </w:p>
    <w:p w14:paraId="1B15614B" w14:textId="35572D43" w:rsidR="00E332D9" w:rsidRPr="0007633A" w:rsidRDefault="58883DF3" w:rsidP="6EC97CF5">
      <w:pPr>
        <w:autoSpaceDE w:val="0"/>
        <w:autoSpaceDN w:val="0"/>
        <w:adjustRightInd w:val="0"/>
        <w:rPr>
          <w:rFonts w:asciiTheme="majorHAnsi" w:hAnsiTheme="majorHAnsi" w:cs="Garamond-BookCondensed"/>
          <w:sz w:val="22"/>
          <w:szCs w:val="22"/>
        </w:rPr>
      </w:pPr>
      <w:r w:rsidRPr="6EC97CF5">
        <w:rPr>
          <w:rFonts w:asciiTheme="majorHAnsi" w:hAnsiTheme="majorHAnsi" w:cs="Garamond-BookCondensed"/>
          <w:sz w:val="22"/>
          <w:szCs w:val="22"/>
        </w:rPr>
        <w:t>Neonatal tetanus, which</w:t>
      </w:r>
      <w:r w:rsidR="55CF4584" w:rsidRPr="6EC97CF5">
        <w:rPr>
          <w:rFonts w:asciiTheme="majorHAnsi" w:hAnsiTheme="majorHAnsi" w:cs="Garamond-BookCondensed"/>
          <w:sz w:val="22"/>
          <w:szCs w:val="22"/>
        </w:rPr>
        <w:t xml:space="preserve"> usually</w:t>
      </w:r>
      <w:r w:rsidRPr="6EC97CF5">
        <w:rPr>
          <w:rFonts w:asciiTheme="majorHAnsi" w:hAnsiTheme="majorHAnsi" w:cs="Garamond-BookCondensed"/>
          <w:sz w:val="22"/>
          <w:szCs w:val="22"/>
        </w:rPr>
        <w:t xml:space="preserve"> arises from contamination of the umbilical stump, is a form of</w:t>
      </w:r>
      <w:r w:rsidR="723AEEB0" w:rsidRPr="6EC97CF5">
        <w:rPr>
          <w:rFonts w:asciiTheme="majorHAnsi" w:hAnsiTheme="majorHAnsi" w:cs="Garamond-BookCondensed"/>
          <w:sz w:val="22"/>
          <w:szCs w:val="22"/>
        </w:rPr>
        <w:t xml:space="preserve"> </w:t>
      </w:r>
      <w:r w:rsidRPr="6EC97CF5">
        <w:rPr>
          <w:rFonts w:asciiTheme="majorHAnsi" w:hAnsiTheme="majorHAnsi" w:cs="Garamond-BookCondensed"/>
          <w:sz w:val="22"/>
          <w:szCs w:val="22"/>
        </w:rPr>
        <w:t>generalized tetanus</w:t>
      </w:r>
      <w:r w:rsidR="698153D6" w:rsidRPr="6EC97CF5">
        <w:rPr>
          <w:rFonts w:asciiTheme="majorHAnsi" w:hAnsiTheme="majorHAnsi" w:cs="Garamond-BookCondensed"/>
          <w:sz w:val="22"/>
          <w:szCs w:val="22"/>
        </w:rPr>
        <w:t xml:space="preserve"> occurring in infants lacking passive immunity because their mothers are not immune</w:t>
      </w:r>
      <w:r w:rsidRPr="6EC97CF5">
        <w:rPr>
          <w:rFonts w:asciiTheme="majorHAnsi" w:hAnsiTheme="majorHAnsi" w:cs="Garamond-BookCondensed"/>
          <w:sz w:val="22"/>
          <w:szCs w:val="22"/>
        </w:rPr>
        <w:t xml:space="preserve">. </w:t>
      </w:r>
      <w:r w:rsidR="1B140063" w:rsidRPr="6EC97CF5">
        <w:rPr>
          <w:rFonts w:asciiTheme="majorHAnsi" w:hAnsiTheme="majorHAnsi" w:cs="Garamond-BookCondensed"/>
          <w:sz w:val="22"/>
          <w:szCs w:val="22"/>
        </w:rPr>
        <w:t>I</w:t>
      </w:r>
      <w:r w:rsidRPr="6EC97CF5">
        <w:rPr>
          <w:rFonts w:asciiTheme="majorHAnsi" w:hAnsiTheme="majorHAnsi" w:cs="Garamond-BookCondensed"/>
          <w:sz w:val="22"/>
          <w:szCs w:val="22"/>
        </w:rPr>
        <w:t xml:space="preserve">nability to nurse is the most common presenting sign. </w:t>
      </w:r>
    </w:p>
    <w:p w14:paraId="078FC412" w14:textId="71A49BA6" w:rsidR="00E332D9" w:rsidRPr="0007633A" w:rsidRDefault="00E332D9" w:rsidP="6EC97CF5">
      <w:pPr>
        <w:autoSpaceDE w:val="0"/>
        <w:autoSpaceDN w:val="0"/>
        <w:adjustRightInd w:val="0"/>
        <w:rPr>
          <w:rFonts w:asciiTheme="majorHAnsi" w:hAnsiTheme="majorHAnsi" w:cs="Garamond-BookCondensed"/>
          <w:sz w:val="22"/>
          <w:szCs w:val="22"/>
        </w:rPr>
      </w:pPr>
    </w:p>
    <w:p w14:paraId="55866584" w14:textId="492D3423" w:rsidR="00E332D9" w:rsidRPr="0007633A" w:rsidRDefault="58883DF3" w:rsidP="6CCBBC13">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Localized tetanus is manifested by local muscle spasms in</w:t>
      </w:r>
      <w:r w:rsidR="723AEEB0"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 xml:space="preserve">areas contiguous to a wound, although history of an injury or an apparent portal of entry may be lacking. </w:t>
      </w:r>
    </w:p>
    <w:p w14:paraId="7B958EF3" w14:textId="55B76A8E" w:rsidR="00E332D9" w:rsidRPr="0007633A" w:rsidRDefault="00E332D9" w:rsidP="6CCBBC13">
      <w:pPr>
        <w:autoSpaceDE w:val="0"/>
        <w:autoSpaceDN w:val="0"/>
        <w:adjustRightInd w:val="0"/>
        <w:rPr>
          <w:rFonts w:asciiTheme="majorHAnsi" w:hAnsiTheme="majorHAnsi" w:cs="Garamond-BookCondensed"/>
          <w:sz w:val="22"/>
          <w:szCs w:val="22"/>
        </w:rPr>
      </w:pPr>
    </w:p>
    <w:p w14:paraId="5F5F8D4A" w14:textId="0DDD85FA" w:rsidR="00E332D9" w:rsidRPr="0007633A" w:rsidRDefault="58883DF3" w:rsidP="6EC97CF5">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Cephalic</w:t>
      </w:r>
      <w:r w:rsidR="723AEEB0"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 xml:space="preserve">tetanus is a rare form of the disease, occasionally occurring with otitis media in which </w:t>
      </w:r>
      <w:r w:rsidRPr="6CCBBC13">
        <w:rPr>
          <w:rFonts w:asciiTheme="majorHAnsi" w:hAnsiTheme="majorHAnsi" w:cs="Garamond-BookCondensedItalic"/>
          <w:i/>
          <w:iCs/>
          <w:sz w:val="22"/>
          <w:szCs w:val="22"/>
        </w:rPr>
        <w:t xml:space="preserve">C. tetani </w:t>
      </w:r>
      <w:r w:rsidRPr="6CCBBC13">
        <w:rPr>
          <w:rFonts w:asciiTheme="majorHAnsi" w:hAnsiTheme="majorHAnsi" w:cs="Garamond-BookCondensed"/>
          <w:sz w:val="22"/>
          <w:szCs w:val="22"/>
        </w:rPr>
        <w:t>is present in the</w:t>
      </w:r>
      <w:r w:rsidR="723AEEB0"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flora of the middle ear or following injuries to the head. There is involvement of the cranial nerves, especially in the</w:t>
      </w:r>
      <w:r w:rsidR="723AEEB0"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facial area</w:t>
      </w:r>
      <w:r w:rsidR="0DEAD155" w:rsidRPr="6CCBBC13">
        <w:rPr>
          <w:rFonts w:asciiTheme="majorHAnsi" w:hAnsiTheme="majorHAnsi" w:cs="Garamond-BookCondensed"/>
          <w:sz w:val="22"/>
          <w:szCs w:val="22"/>
        </w:rPr>
        <w:t>, and often results in flaccid cranial nerve palsies rather than spasms</w:t>
      </w:r>
      <w:r w:rsidRPr="6CCBBC13">
        <w:rPr>
          <w:rFonts w:asciiTheme="majorHAnsi" w:hAnsiTheme="majorHAnsi" w:cs="Garamond-BookCondensed"/>
          <w:sz w:val="22"/>
          <w:szCs w:val="22"/>
        </w:rPr>
        <w:t>.</w:t>
      </w:r>
    </w:p>
    <w:p w14:paraId="6FBC46B7" w14:textId="77777777" w:rsidR="00A95025" w:rsidRPr="0007633A" w:rsidRDefault="00A95025" w:rsidP="00E332D9">
      <w:pPr>
        <w:autoSpaceDE w:val="0"/>
        <w:autoSpaceDN w:val="0"/>
        <w:adjustRightInd w:val="0"/>
        <w:rPr>
          <w:rFonts w:asciiTheme="majorHAnsi" w:hAnsiTheme="majorHAnsi" w:cs="Garamond-BookCondensed"/>
          <w:sz w:val="22"/>
          <w:szCs w:val="22"/>
        </w:rPr>
      </w:pPr>
    </w:p>
    <w:p w14:paraId="24F1DDD5" w14:textId="6C702D71" w:rsidR="00E332D9" w:rsidRPr="0007633A" w:rsidRDefault="00E332D9" w:rsidP="6CCBBC13">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Complications of the disease include laryngospasm (spasm of the vocal cords) and/or spasm of the muscles of</w:t>
      </w:r>
      <w:r w:rsidR="00A95025"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respiration, leading to interference with breathing; fractures of the spine or long bones, which may result from</w:t>
      </w:r>
      <w:r w:rsidR="00A95025"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sustained contractions and convulsions; and hyperactivity of the autonomic nervous system, which may lead to</w:t>
      </w:r>
      <w:r w:rsidR="00A95025"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hypertension and/or an abnormal heart rhythm. Other complications may include increased susceptibility to</w:t>
      </w:r>
      <w:r w:rsidR="00A95025"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 xml:space="preserve">nosocomial infections, pulmonary embolism (particularly in </w:t>
      </w:r>
      <w:r w:rsidR="005B5A44" w:rsidRPr="6CCBBC13">
        <w:rPr>
          <w:rFonts w:asciiTheme="majorHAnsi" w:hAnsiTheme="majorHAnsi" w:cs="Garamond-BookCondensed"/>
          <w:sz w:val="22"/>
          <w:szCs w:val="22"/>
        </w:rPr>
        <w:t>persons who use drugs</w:t>
      </w:r>
      <w:r w:rsidRPr="6CCBBC13">
        <w:rPr>
          <w:rFonts w:asciiTheme="majorHAnsi" w:hAnsiTheme="majorHAnsi" w:cs="Garamond-BookCondensed"/>
          <w:sz w:val="22"/>
          <w:szCs w:val="22"/>
        </w:rPr>
        <w:t xml:space="preserve"> and elderly patients), and aspiration</w:t>
      </w:r>
      <w:r w:rsidR="00A95025"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pneumonia. The case-fatality rate</w:t>
      </w:r>
      <w:r w:rsidR="005B5A44" w:rsidRPr="6CCBBC13">
        <w:rPr>
          <w:rFonts w:asciiTheme="majorHAnsi" w:hAnsiTheme="majorHAnsi" w:cs="Garamond-BookCondensed"/>
          <w:sz w:val="22"/>
          <w:szCs w:val="22"/>
        </w:rPr>
        <w:t xml:space="preserve"> for generalized tetanus</w:t>
      </w:r>
      <w:r w:rsidRPr="6CCBBC13">
        <w:rPr>
          <w:rFonts w:asciiTheme="majorHAnsi" w:hAnsiTheme="majorHAnsi" w:cs="Garamond-BookCondensed"/>
          <w:sz w:val="22"/>
          <w:szCs w:val="22"/>
        </w:rPr>
        <w:t xml:space="preserve"> ranges from 10–</w:t>
      </w:r>
      <w:r w:rsidR="005B5A44" w:rsidRPr="6CCBBC13">
        <w:rPr>
          <w:rFonts w:asciiTheme="majorHAnsi" w:hAnsiTheme="majorHAnsi" w:cs="Garamond-BookCondensed"/>
          <w:sz w:val="22"/>
          <w:szCs w:val="22"/>
        </w:rPr>
        <w:t>20</w:t>
      </w:r>
      <w:r w:rsidRPr="6CCBBC13">
        <w:rPr>
          <w:rFonts w:asciiTheme="majorHAnsi" w:hAnsiTheme="majorHAnsi" w:cs="Garamond-BookCondensed"/>
          <w:sz w:val="22"/>
          <w:szCs w:val="22"/>
        </w:rPr>
        <w:t>%</w:t>
      </w:r>
      <w:r w:rsidR="007A68EC" w:rsidRPr="6CCBBC13">
        <w:rPr>
          <w:rFonts w:asciiTheme="majorHAnsi" w:hAnsiTheme="majorHAnsi" w:cs="Garamond-BookCondensed"/>
          <w:sz w:val="22"/>
          <w:szCs w:val="22"/>
        </w:rPr>
        <w:t xml:space="preserve"> even with modern intensive care</w:t>
      </w:r>
      <w:r w:rsidRPr="6CCBBC13">
        <w:rPr>
          <w:rFonts w:asciiTheme="majorHAnsi" w:hAnsiTheme="majorHAnsi" w:cs="Garamond-BookCondensed"/>
          <w:sz w:val="22"/>
          <w:szCs w:val="22"/>
        </w:rPr>
        <w:t xml:space="preserve">; </w:t>
      </w:r>
      <w:r w:rsidR="00E6470D" w:rsidRPr="6CCBBC13">
        <w:rPr>
          <w:rFonts w:asciiTheme="majorHAnsi" w:hAnsiTheme="majorHAnsi" w:cs="Garamond-BookCondensed"/>
          <w:sz w:val="22"/>
          <w:szCs w:val="22"/>
        </w:rPr>
        <w:t>without healthcare, the case-fatality can reach 90%. Fatality</w:t>
      </w:r>
      <w:r w:rsidRPr="6CCBBC13">
        <w:rPr>
          <w:rFonts w:asciiTheme="majorHAnsi" w:hAnsiTheme="majorHAnsi" w:cs="Garamond-BookCondensed"/>
          <w:sz w:val="22"/>
          <w:szCs w:val="22"/>
        </w:rPr>
        <w:t xml:space="preserve"> is highest in the elderly</w:t>
      </w:r>
      <w:r w:rsidR="00E6470D"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unvaccinated persons</w:t>
      </w:r>
      <w:r w:rsidR="00E6470D" w:rsidRPr="6CCBBC13">
        <w:rPr>
          <w:rFonts w:asciiTheme="majorHAnsi" w:hAnsiTheme="majorHAnsi" w:cs="Garamond-BookCondensed"/>
          <w:sz w:val="22"/>
          <w:szCs w:val="22"/>
        </w:rPr>
        <w:t>, and neonatal cases</w:t>
      </w:r>
      <w:r w:rsidRPr="6CCBBC13">
        <w:rPr>
          <w:rFonts w:asciiTheme="majorHAnsi" w:hAnsiTheme="majorHAnsi" w:cs="Garamond-BookCondensed"/>
          <w:sz w:val="22"/>
          <w:szCs w:val="22"/>
        </w:rPr>
        <w:t>. The</w:t>
      </w:r>
      <w:r w:rsidR="00A95025"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case fatality rate also varies inversely with the length of the incubation period and the availability of experienced</w:t>
      </w:r>
      <w:r w:rsidR="00A95025"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intensive care unit personnel and resources. In about 20% of tetanus deaths, no obvious pathology is identified, and</w:t>
      </w:r>
      <w:r w:rsidR="004D0A46"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death is attributed to the direct effects of tetanus toxin.</w:t>
      </w:r>
    </w:p>
    <w:p w14:paraId="0CB31FA9" w14:textId="77777777" w:rsidR="00FB0A42" w:rsidRDefault="00FB0A42">
      <w:pPr>
        <w:rPr>
          <w:rFonts w:asciiTheme="majorHAnsi" w:hAnsiTheme="majorHAnsi" w:cs="Garamond-BookCondensed"/>
          <w:b/>
          <w:sz w:val="22"/>
          <w:szCs w:val="22"/>
        </w:rPr>
      </w:pPr>
      <w:r>
        <w:rPr>
          <w:rFonts w:asciiTheme="majorHAnsi" w:hAnsiTheme="majorHAnsi" w:cs="Garamond-BookCondensed"/>
          <w:b/>
          <w:sz w:val="22"/>
          <w:szCs w:val="22"/>
        </w:rPr>
        <w:br w:type="page"/>
      </w:r>
    </w:p>
    <w:p w14:paraId="47D3E645"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lastRenderedPageBreak/>
        <w:t>C. Vectors and Reservoirs</w:t>
      </w:r>
    </w:p>
    <w:p w14:paraId="2735BE9C" w14:textId="77777777" w:rsidR="00DD4341" w:rsidRPr="0007633A" w:rsidRDefault="00DD4341" w:rsidP="008B27E4">
      <w:pPr>
        <w:autoSpaceDE w:val="0"/>
        <w:autoSpaceDN w:val="0"/>
        <w:adjustRightInd w:val="0"/>
        <w:rPr>
          <w:rFonts w:asciiTheme="majorHAnsi" w:hAnsiTheme="majorHAnsi" w:cs="Garamond-BookCondensedItalic"/>
          <w:i/>
          <w:iCs/>
          <w:sz w:val="22"/>
          <w:szCs w:val="22"/>
        </w:rPr>
      </w:pPr>
    </w:p>
    <w:p w14:paraId="53DE1C78" w14:textId="5175830E" w:rsidR="008B27E4" w:rsidRPr="0007633A" w:rsidRDefault="008B27E4" w:rsidP="008B27E4">
      <w:pPr>
        <w:autoSpaceDE w:val="0"/>
        <w:autoSpaceDN w:val="0"/>
        <w:adjustRightInd w:val="0"/>
        <w:rPr>
          <w:rFonts w:asciiTheme="majorHAnsi" w:hAnsiTheme="majorHAnsi" w:cs="Garamond-BookCondensed"/>
          <w:sz w:val="22"/>
          <w:szCs w:val="22"/>
        </w:rPr>
      </w:pPr>
      <w:r w:rsidRPr="0007633A">
        <w:rPr>
          <w:rFonts w:asciiTheme="majorHAnsi" w:hAnsiTheme="majorHAnsi" w:cs="Garamond-BookCondensed"/>
          <w:i/>
          <w:iCs/>
          <w:sz w:val="22"/>
          <w:szCs w:val="22"/>
        </w:rPr>
        <w:t>C. tetani</w:t>
      </w:r>
      <w:r w:rsidRPr="0007633A">
        <w:rPr>
          <w:rFonts w:asciiTheme="majorHAnsi" w:hAnsiTheme="majorHAnsi" w:cs="Garamond-BookCondensedItalic"/>
          <w:i/>
          <w:iCs/>
          <w:sz w:val="22"/>
          <w:szCs w:val="22"/>
        </w:rPr>
        <w:t xml:space="preserve"> </w:t>
      </w:r>
      <w:r w:rsidRPr="0007633A">
        <w:rPr>
          <w:rFonts w:asciiTheme="majorHAnsi" w:hAnsiTheme="majorHAnsi" w:cs="Garamond-BookCondensed"/>
          <w:sz w:val="22"/>
          <w:szCs w:val="22"/>
        </w:rPr>
        <w:t>is a normal inhabitant of soil and the intestinal tracts of animals and humans. It is ubiquitous in the</w:t>
      </w:r>
      <w:r w:rsidR="00DD4341"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environment, especially where contamination by excreta is frequent.</w:t>
      </w:r>
    </w:p>
    <w:p w14:paraId="0AF71179" w14:textId="0F155113" w:rsidR="00DD4341" w:rsidRDefault="00DD4341" w:rsidP="008B27E4">
      <w:pPr>
        <w:autoSpaceDE w:val="0"/>
        <w:autoSpaceDN w:val="0"/>
        <w:adjustRightInd w:val="0"/>
        <w:rPr>
          <w:rFonts w:ascii="Garamond-BookCondensed" w:hAnsi="Garamond-BookCondensed" w:cs="Garamond-BookCondensed"/>
          <w:sz w:val="20"/>
          <w:szCs w:val="20"/>
        </w:rPr>
      </w:pPr>
    </w:p>
    <w:p w14:paraId="4365F552"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D. Modes of Transmission</w:t>
      </w:r>
    </w:p>
    <w:p w14:paraId="398124A1" w14:textId="77777777" w:rsidR="00DD4341" w:rsidRDefault="00DD4341" w:rsidP="008B27E4">
      <w:pPr>
        <w:autoSpaceDE w:val="0"/>
        <w:autoSpaceDN w:val="0"/>
        <w:adjustRightInd w:val="0"/>
        <w:rPr>
          <w:rFonts w:ascii="Garamond-BookCondensed" w:hAnsi="Garamond-BookCondensed" w:cs="Garamond-BookCondensed"/>
          <w:sz w:val="20"/>
          <w:szCs w:val="20"/>
        </w:rPr>
      </w:pPr>
    </w:p>
    <w:p w14:paraId="2A670629" w14:textId="2E04698D" w:rsidR="008B27E4" w:rsidRPr="0007633A" w:rsidRDefault="008B27E4" w:rsidP="008B27E4">
      <w:pPr>
        <w:autoSpaceDE w:val="0"/>
        <w:autoSpaceDN w:val="0"/>
        <w:adjustRightInd w:val="0"/>
        <w:rPr>
          <w:rFonts w:asciiTheme="majorHAnsi" w:hAnsiTheme="majorHAnsi" w:cs="Garamond-BookCondensed"/>
          <w:sz w:val="22"/>
          <w:szCs w:val="22"/>
        </w:rPr>
      </w:pPr>
      <w:r w:rsidRPr="0007633A">
        <w:rPr>
          <w:rFonts w:asciiTheme="majorHAnsi" w:hAnsiTheme="majorHAnsi" w:cs="Garamond-BookCondensed"/>
          <w:sz w:val="22"/>
          <w:szCs w:val="22"/>
        </w:rPr>
        <w:t>There is no person-to-person transmission of tetanus. Wounds, both major and minor, recognized or unrecognized,</w:t>
      </w:r>
      <w:r w:rsidR="00DD4341"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are the sites at which the organism enters, multiplies, and produces toxin. Cases of tetanus have followed injuries</w:t>
      </w:r>
      <w:r w:rsidR="00DD4341"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considered too trivial for medical consultation.</w:t>
      </w:r>
      <w:r w:rsidR="00DD4341"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In recent years, a higher proportion of cases have had minor wounds, probably because severe wounds are more</w:t>
      </w:r>
      <w:r w:rsidR="00DD4341"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likely to be properly managed. Tetanus may follow elective surgery, burns, deep</w:t>
      </w:r>
      <w:r w:rsidR="00DD4341"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puncture wounds, crush wounds, otitis</w:t>
      </w:r>
      <w:r w:rsidR="00DD4341"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 xml:space="preserve">media, dental infections, </w:t>
      </w:r>
      <w:r w:rsidR="00A25ABE" w:rsidRPr="0007633A">
        <w:rPr>
          <w:rFonts w:asciiTheme="majorHAnsi" w:hAnsiTheme="majorHAnsi" w:cs="Garamond-BookCondensed"/>
          <w:sz w:val="22"/>
          <w:szCs w:val="22"/>
        </w:rPr>
        <w:t xml:space="preserve">insect and </w:t>
      </w:r>
      <w:r w:rsidRPr="0007633A">
        <w:rPr>
          <w:rFonts w:asciiTheme="majorHAnsi" w:hAnsiTheme="majorHAnsi" w:cs="Garamond-BookCondensed"/>
          <w:sz w:val="22"/>
          <w:szCs w:val="22"/>
        </w:rPr>
        <w:t xml:space="preserve">animal bites, </w:t>
      </w:r>
      <w:r w:rsidR="00A25ABE" w:rsidRPr="0007633A">
        <w:rPr>
          <w:rFonts w:asciiTheme="majorHAnsi" w:hAnsiTheme="majorHAnsi" w:cs="Garamond-BookCondensed"/>
          <w:sz w:val="22"/>
          <w:szCs w:val="22"/>
        </w:rPr>
        <w:t xml:space="preserve">chronic sores and infections, intravenous (IV) drug use, intramuscular injections, </w:t>
      </w:r>
      <w:r w:rsidR="00693D35" w:rsidRPr="0007633A">
        <w:rPr>
          <w:rFonts w:asciiTheme="majorHAnsi" w:hAnsiTheme="majorHAnsi" w:cs="Garamond-BookCondensed"/>
          <w:sz w:val="22"/>
          <w:szCs w:val="22"/>
        </w:rPr>
        <w:t>and unhygienic abortion or childbirth practices</w:t>
      </w:r>
      <w:r w:rsidRPr="0007633A">
        <w:rPr>
          <w:rFonts w:asciiTheme="majorHAnsi" w:hAnsiTheme="majorHAnsi" w:cs="Garamond-BookCondensed"/>
          <w:sz w:val="22"/>
          <w:szCs w:val="22"/>
        </w:rPr>
        <w:t>.</w:t>
      </w:r>
      <w:r w:rsidR="00DD4341" w:rsidRPr="0007633A">
        <w:rPr>
          <w:rFonts w:asciiTheme="majorHAnsi" w:hAnsiTheme="majorHAnsi" w:cs="Garamond-BookCondensed"/>
          <w:sz w:val="22"/>
          <w:szCs w:val="22"/>
        </w:rPr>
        <w:t xml:space="preserve"> </w:t>
      </w:r>
    </w:p>
    <w:p w14:paraId="4D642C49"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1703BABF"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E. Incubation Period</w:t>
      </w:r>
    </w:p>
    <w:p w14:paraId="051FFD25"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373F1A0E" w14:textId="3B5C801F" w:rsidR="008B27E4" w:rsidRPr="0007633A" w:rsidRDefault="00001694" w:rsidP="008B27E4">
      <w:pPr>
        <w:autoSpaceDE w:val="0"/>
        <w:autoSpaceDN w:val="0"/>
        <w:adjustRightInd w:val="0"/>
        <w:rPr>
          <w:rFonts w:asciiTheme="majorHAnsi" w:hAnsiTheme="majorHAnsi" w:cs="Garamond-BookCondensed"/>
          <w:sz w:val="22"/>
          <w:szCs w:val="22"/>
        </w:rPr>
      </w:pPr>
      <w:r w:rsidRPr="0007633A">
        <w:rPr>
          <w:rFonts w:asciiTheme="majorHAnsi" w:hAnsiTheme="majorHAnsi" w:cs="Garamond-BookCondensed"/>
          <w:sz w:val="22"/>
          <w:szCs w:val="22"/>
        </w:rPr>
        <w:t>The incubation period</w:t>
      </w:r>
      <w:r w:rsidR="00A25ABE" w:rsidRPr="0007633A">
        <w:rPr>
          <w:rFonts w:asciiTheme="majorHAnsi" w:hAnsiTheme="majorHAnsi" w:cs="Garamond-BookCondensed"/>
          <w:sz w:val="22"/>
          <w:szCs w:val="22"/>
        </w:rPr>
        <w:t xml:space="preserve"> </w:t>
      </w:r>
      <w:r w:rsidR="005B5A44" w:rsidRPr="0007633A">
        <w:rPr>
          <w:rFonts w:asciiTheme="majorHAnsi" w:hAnsiTheme="majorHAnsi" w:cs="Garamond-BookCondensed"/>
          <w:sz w:val="22"/>
          <w:szCs w:val="22"/>
        </w:rPr>
        <w:t xml:space="preserve">for generalized tetanus </w:t>
      </w:r>
      <w:r w:rsidR="00A25ABE" w:rsidRPr="0007633A">
        <w:rPr>
          <w:rFonts w:asciiTheme="majorHAnsi" w:hAnsiTheme="majorHAnsi" w:cs="Garamond-BookCondensed"/>
          <w:sz w:val="22"/>
          <w:szCs w:val="22"/>
        </w:rPr>
        <w:t>usually</w:t>
      </w:r>
      <w:r w:rsidRPr="0007633A">
        <w:rPr>
          <w:rFonts w:asciiTheme="majorHAnsi" w:hAnsiTheme="majorHAnsi" w:cs="Garamond-BookCondensed"/>
          <w:sz w:val="22"/>
          <w:szCs w:val="22"/>
        </w:rPr>
        <w:t xml:space="preserve"> ranges from 3 to 21 days</w:t>
      </w:r>
      <w:r w:rsidR="00A25ABE"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avera</w:t>
      </w:r>
      <w:r w:rsidR="00A25ABE" w:rsidRPr="0007633A">
        <w:rPr>
          <w:rFonts w:asciiTheme="majorHAnsi" w:hAnsiTheme="majorHAnsi" w:cs="Garamond-BookCondensed"/>
          <w:sz w:val="22"/>
          <w:szCs w:val="22"/>
        </w:rPr>
        <w:t xml:space="preserve">ge </w:t>
      </w:r>
      <w:r w:rsidR="00AA0C9B" w:rsidRPr="0007633A">
        <w:rPr>
          <w:rFonts w:asciiTheme="majorHAnsi" w:hAnsiTheme="majorHAnsi" w:cs="Garamond-BookCondensed"/>
          <w:sz w:val="22"/>
          <w:szCs w:val="22"/>
        </w:rPr>
        <w:t>8-</w:t>
      </w:r>
      <w:r w:rsidRPr="0007633A">
        <w:rPr>
          <w:rFonts w:asciiTheme="majorHAnsi" w:hAnsiTheme="majorHAnsi" w:cs="Garamond-BookCondensed"/>
          <w:sz w:val="22"/>
          <w:szCs w:val="22"/>
        </w:rPr>
        <w:t>10 days</w:t>
      </w:r>
      <w:r w:rsidR="00A25ABE" w:rsidRPr="0007633A">
        <w:rPr>
          <w:rFonts w:asciiTheme="majorHAnsi" w:hAnsiTheme="majorHAnsi" w:cs="Garamond-BookCondensed"/>
          <w:sz w:val="22"/>
          <w:szCs w:val="22"/>
        </w:rPr>
        <w:t>), with most cases occurring within 14 days</w:t>
      </w:r>
      <w:r w:rsidRPr="0007633A">
        <w:rPr>
          <w:rFonts w:asciiTheme="majorHAnsi" w:hAnsiTheme="majorHAnsi" w:cs="Garamond-BookCondensed"/>
          <w:sz w:val="22"/>
          <w:szCs w:val="22"/>
        </w:rPr>
        <w:t xml:space="preserve">. </w:t>
      </w:r>
      <w:r w:rsidR="00A25ABE" w:rsidRPr="0007633A">
        <w:rPr>
          <w:rFonts w:asciiTheme="majorHAnsi" w:hAnsiTheme="majorHAnsi" w:cs="Garamond-BookCondensed"/>
          <w:sz w:val="22"/>
          <w:szCs w:val="22"/>
        </w:rPr>
        <w:t xml:space="preserve">However, it may range from one day to several months, depending on the kind of wound. </w:t>
      </w:r>
      <w:r w:rsidRPr="0007633A">
        <w:rPr>
          <w:rFonts w:asciiTheme="majorHAnsi" w:hAnsiTheme="majorHAnsi" w:cs="Garamond-BookCondensed"/>
          <w:sz w:val="22"/>
          <w:szCs w:val="22"/>
        </w:rPr>
        <w:t>In general, the further the injury site is from the central nervous system, the longer the incubation period.</w:t>
      </w:r>
      <w:r w:rsidR="008B27E4" w:rsidRPr="0007633A">
        <w:rPr>
          <w:rFonts w:asciiTheme="majorHAnsi" w:hAnsiTheme="majorHAnsi" w:cs="Garamond-BookCondensed"/>
          <w:sz w:val="22"/>
          <w:szCs w:val="22"/>
        </w:rPr>
        <w:t xml:space="preserve"> In neonates, the</w:t>
      </w:r>
      <w:r w:rsidR="00DD4341" w:rsidRPr="0007633A">
        <w:rPr>
          <w:rFonts w:asciiTheme="majorHAnsi" w:hAnsiTheme="majorHAnsi" w:cs="Garamond-BookCondensed"/>
          <w:sz w:val="22"/>
          <w:szCs w:val="22"/>
        </w:rPr>
        <w:t xml:space="preserve"> </w:t>
      </w:r>
      <w:r w:rsidR="008B27E4" w:rsidRPr="0007633A">
        <w:rPr>
          <w:rFonts w:asciiTheme="majorHAnsi" w:hAnsiTheme="majorHAnsi" w:cs="Garamond-BookCondensed"/>
          <w:sz w:val="22"/>
          <w:szCs w:val="22"/>
        </w:rPr>
        <w:t xml:space="preserve">incubation period is usually </w:t>
      </w:r>
      <w:r w:rsidRPr="0007633A">
        <w:rPr>
          <w:rFonts w:asciiTheme="majorHAnsi" w:hAnsiTheme="majorHAnsi" w:cs="Garamond-BookCondensed"/>
          <w:sz w:val="22"/>
          <w:szCs w:val="22"/>
        </w:rPr>
        <w:t>4</w:t>
      </w:r>
      <w:r w:rsidR="008B27E4" w:rsidRPr="0007633A">
        <w:rPr>
          <w:rFonts w:asciiTheme="majorHAnsi" w:hAnsiTheme="majorHAnsi" w:cs="Garamond-BookCondensed"/>
          <w:sz w:val="22"/>
          <w:szCs w:val="22"/>
        </w:rPr>
        <w:t>–14 days</w:t>
      </w:r>
      <w:r w:rsidRPr="0007633A">
        <w:rPr>
          <w:rFonts w:asciiTheme="majorHAnsi" w:hAnsiTheme="majorHAnsi" w:cs="Garamond-BookCondensed"/>
          <w:sz w:val="22"/>
          <w:szCs w:val="22"/>
        </w:rPr>
        <w:t xml:space="preserve"> after birth, averaging 7 days</w:t>
      </w:r>
      <w:r w:rsidR="008B27E4" w:rsidRPr="0007633A">
        <w:rPr>
          <w:rFonts w:asciiTheme="majorHAnsi" w:hAnsiTheme="majorHAnsi" w:cs="Garamond-BookCondensed"/>
          <w:sz w:val="22"/>
          <w:szCs w:val="22"/>
        </w:rPr>
        <w:t xml:space="preserve">. </w:t>
      </w:r>
      <w:r w:rsidR="005B5A44" w:rsidRPr="0007633A">
        <w:rPr>
          <w:rFonts w:asciiTheme="majorHAnsi" w:hAnsiTheme="majorHAnsi" w:cs="Garamond-BookCondensed"/>
          <w:sz w:val="22"/>
          <w:szCs w:val="22"/>
        </w:rPr>
        <w:t xml:space="preserve">The incubation period for cephalic tetanus is short, usually 1 to 2 days. </w:t>
      </w:r>
      <w:r w:rsidR="008B27E4" w:rsidRPr="0007633A">
        <w:rPr>
          <w:rFonts w:asciiTheme="majorHAnsi" w:hAnsiTheme="majorHAnsi" w:cs="Garamond-BookCondensed"/>
          <w:sz w:val="22"/>
          <w:szCs w:val="22"/>
        </w:rPr>
        <w:t>In general, shorter incubation periods are associated with more heavily</w:t>
      </w:r>
      <w:r w:rsidR="00DD4341" w:rsidRPr="0007633A">
        <w:rPr>
          <w:rFonts w:asciiTheme="majorHAnsi" w:hAnsiTheme="majorHAnsi" w:cs="Garamond-BookCondensed"/>
          <w:sz w:val="22"/>
          <w:szCs w:val="22"/>
        </w:rPr>
        <w:t xml:space="preserve"> </w:t>
      </w:r>
      <w:r w:rsidR="008B27E4" w:rsidRPr="0007633A">
        <w:rPr>
          <w:rFonts w:asciiTheme="majorHAnsi" w:hAnsiTheme="majorHAnsi" w:cs="Garamond-BookCondensed"/>
          <w:sz w:val="22"/>
          <w:szCs w:val="22"/>
        </w:rPr>
        <w:t>contaminated wounds, more severe disease, and a worse prognosis.</w:t>
      </w:r>
    </w:p>
    <w:p w14:paraId="0AD76BF9"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0555DD9E"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F. Period of Communicability or Infectious Period</w:t>
      </w:r>
    </w:p>
    <w:p w14:paraId="4A23A5AE"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5497CF4A" w14:textId="77777777" w:rsidR="008B27E4" w:rsidRPr="0007633A" w:rsidRDefault="008B27E4" w:rsidP="008B27E4">
      <w:pPr>
        <w:autoSpaceDE w:val="0"/>
        <w:autoSpaceDN w:val="0"/>
        <w:adjustRightInd w:val="0"/>
        <w:rPr>
          <w:rFonts w:asciiTheme="majorHAnsi" w:hAnsiTheme="majorHAnsi" w:cs="Garamond-BookCondensed"/>
          <w:sz w:val="22"/>
          <w:szCs w:val="22"/>
        </w:rPr>
      </w:pPr>
      <w:r w:rsidRPr="0007633A">
        <w:rPr>
          <w:rFonts w:asciiTheme="majorHAnsi" w:hAnsiTheme="majorHAnsi" w:cs="Garamond-BookCondensed"/>
          <w:sz w:val="22"/>
          <w:szCs w:val="22"/>
        </w:rPr>
        <w:t>There is no infectious period as tetanus is not transmitted from person to person. Tetanus is the only vaccine</w:t>
      </w:r>
      <w:r w:rsidR="00DD4341" w:rsidRPr="0007633A">
        <w:rPr>
          <w:rFonts w:asciiTheme="majorHAnsi" w:hAnsiTheme="majorHAnsi" w:cs="Garamond-BookCondensed"/>
          <w:sz w:val="22"/>
          <w:szCs w:val="22"/>
        </w:rPr>
        <w:t>-</w:t>
      </w:r>
      <w:r w:rsidRPr="0007633A">
        <w:rPr>
          <w:rFonts w:asciiTheme="majorHAnsi" w:hAnsiTheme="majorHAnsi" w:cs="Garamond-BookCondensed"/>
          <w:sz w:val="22"/>
          <w:szCs w:val="22"/>
        </w:rPr>
        <w:t>preventable</w:t>
      </w:r>
      <w:r w:rsidR="00DD4341" w:rsidRPr="0007633A">
        <w:rPr>
          <w:rFonts w:asciiTheme="majorHAnsi" w:hAnsiTheme="majorHAnsi" w:cs="Garamond-BookCondensed"/>
          <w:sz w:val="22"/>
          <w:szCs w:val="22"/>
        </w:rPr>
        <w:t xml:space="preserve"> </w:t>
      </w:r>
      <w:r w:rsidRPr="0007633A">
        <w:rPr>
          <w:rFonts w:asciiTheme="majorHAnsi" w:hAnsiTheme="majorHAnsi" w:cs="Garamond-BookCondensed"/>
          <w:sz w:val="22"/>
          <w:szCs w:val="22"/>
        </w:rPr>
        <w:t>disease that is not contagious.</w:t>
      </w:r>
    </w:p>
    <w:p w14:paraId="5EF823DF"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7085019E" w14:textId="77777777" w:rsidR="008B27E4" w:rsidRPr="00BF653C" w:rsidRDefault="008B27E4" w:rsidP="008B27E4">
      <w:pPr>
        <w:autoSpaceDE w:val="0"/>
        <w:autoSpaceDN w:val="0"/>
        <w:adjustRightInd w:val="0"/>
        <w:rPr>
          <w:rFonts w:ascii="Arial" w:hAnsi="Arial" w:cs="Arial"/>
          <w:b/>
          <w:bCs/>
          <w:sz w:val="22"/>
          <w:szCs w:val="22"/>
        </w:rPr>
      </w:pPr>
      <w:r w:rsidRPr="00BF653C">
        <w:rPr>
          <w:rFonts w:ascii="Arial" w:hAnsi="Arial" w:cs="Arial"/>
          <w:b/>
          <w:bCs/>
          <w:sz w:val="22"/>
          <w:szCs w:val="22"/>
        </w:rPr>
        <w:t>G. Epidemiology</w:t>
      </w:r>
    </w:p>
    <w:p w14:paraId="399C01E9"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382D7658" w14:textId="75DAA2B6" w:rsidR="00DD4341" w:rsidRPr="0007633A" w:rsidRDefault="008B27E4" w:rsidP="008B27E4">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 xml:space="preserve">Tetanus occurs worldwide </w:t>
      </w:r>
      <w:r w:rsidR="00057961" w:rsidRPr="6CCBBC13">
        <w:rPr>
          <w:rFonts w:asciiTheme="majorHAnsi" w:hAnsiTheme="majorHAnsi" w:cs="Garamond-BookCondensed"/>
          <w:sz w:val="22"/>
          <w:szCs w:val="22"/>
        </w:rPr>
        <w:t xml:space="preserve">but is most frequently encountered in densely populated regions in hot, damp climates with soil rich in organic matter, particularly </w:t>
      </w:r>
      <w:r w:rsidRPr="6CCBBC13">
        <w:rPr>
          <w:rFonts w:asciiTheme="majorHAnsi" w:hAnsiTheme="majorHAnsi" w:cs="Garamond-BookCondensed"/>
          <w:sz w:val="22"/>
          <w:szCs w:val="22"/>
        </w:rPr>
        <w:t>agricultural areas where contact with</w:t>
      </w:r>
      <w:r w:rsidR="00057961" w:rsidRPr="6CCBBC13">
        <w:rPr>
          <w:rFonts w:asciiTheme="majorHAnsi" w:hAnsiTheme="majorHAnsi" w:cs="Garamond-BookCondensed"/>
          <w:sz w:val="22"/>
          <w:szCs w:val="22"/>
        </w:rPr>
        <w:t xml:space="preserve"> soil and</w:t>
      </w:r>
      <w:r w:rsidRPr="6CCBBC13">
        <w:rPr>
          <w:rFonts w:asciiTheme="majorHAnsi" w:hAnsiTheme="majorHAnsi" w:cs="Garamond-BookCondensed"/>
          <w:sz w:val="22"/>
          <w:szCs w:val="22"/>
        </w:rPr>
        <w:t xml:space="preserve"> animal excreta</w:t>
      </w:r>
      <w:r w:rsidR="00DD4341"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is more likely</w:t>
      </w:r>
      <w:r w:rsidR="00057961" w:rsidRPr="6CCBBC13">
        <w:rPr>
          <w:rStyle w:val="CommentReference"/>
          <w:rFonts w:asciiTheme="majorHAnsi" w:hAnsiTheme="majorHAnsi"/>
          <w:sz w:val="22"/>
          <w:szCs w:val="22"/>
        </w:rPr>
        <w:t>.</w:t>
      </w:r>
      <w:r w:rsidRPr="6CCBBC13">
        <w:rPr>
          <w:rFonts w:asciiTheme="majorHAnsi" w:hAnsiTheme="majorHAnsi" w:cs="Garamond-BookCondensed"/>
          <w:sz w:val="22"/>
          <w:szCs w:val="22"/>
        </w:rPr>
        <w:t xml:space="preserve"> In 20</w:t>
      </w:r>
      <w:r w:rsidR="00621D6B" w:rsidRPr="6CCBBC13">
        <w:rPr>
          <w:rFonts w:asciiTheme="majorHAnsi" w:hAnsiTheme="majorHAnsi" w:cs="Garamond-BookCondensed"/>
          <w:sz w:val="22"/>
          <w:szCs w:val="22"/>
        </w:rPr>
        <w:t>19</w:t>
      </w:r>
      <w:r w:rsidRPr="6CCBBC13">
        <w:rPr>
          <w:rFonts w:asciiTheme="majorHAnsi" w:hAnsiTheme="majorHAnsi" w:cs="Garamond-BookCondensed"/>
          <w:sz w:val="22"/>
          <w:szCs w:val="22"/>
        </w:rPr>
        <w:t xml:space="preserve">, </w:t>
      </w:r>
      <w:r w:rsidR="00621D6B" w:rsidRPr="6CCBBC13">
        <w:rPr>
          <w:rFonts w:asciiTheme="majorHAnsi" w:hAnsiTheme="majorHAnsi" w:cs="Garamond-BookCondensed"/>
          <w:sz w:val="22"/>
          <w:szCs w:val="22"/>
        </w:rPr>
        <w:t>there were an estimated 73,000 tetanus cases</w:t>
      </w:r>
      <w:r w:rsidR="6AF19B0B" w:rsidRPr="6CCBBC13">
        <w:rPr>
          <w:rFonts w:asciiTheme="majorHAnsi" w:hAnsiTheme="majorHAnsi" w:cs="Garamond-BookCondensed"/>
          <w:sz w:val="22"/>
          <w:szCs w:val="22"/>
        </w:rPr>
        <w:t xml:space="preserve"> globally</w:t>
      </w:r>
      <w:r w:rsidR="00621D6B" w:rsidRPr="6CCBBC13">
        <w:rPr>
          <w:rFonts w:asciiTheme="majorHAnsi" w:hAnsiTheme="majorHAnsi" w:cs="Garamond-BookCondensed"/>
          <w:sz w:val="22"/>
          <w:szCs w:val="22"/>
        </w:rPr>
        <w:t xml:space="preserve"> resulting in an estimated 34,700 deaths, mostly in low- and middle-income countries in Africa and Asia. </w:t>
      </w:r>
      <w:r w:rsidRPr="6CCBBC13">
        <w:rPr>
          <w:rFonts w:asciiTheme="majorHAnsi" w:hAnsiTheme="majorHAnsi" w:cs="Garamond-BookCondensed"/>
          <w:sz w:val="22"/>
          <w:szCs w:val="22"/>
        </w:rPr>
        <w:t xml:space="preserve">In tropical </w:t>
      </w:r>
      <w:r w:rsidR="00057961" w:rsidRPr="6CCBBC13">
        <w:rPr>
          <w:rFonts w:asciiTheme="majorHAnsi" w:hAnsiTheme="majorHAnsi" w:cs="Garamond-BookCondensed"/>
          <w:sz w:val="22"/>
          <w:szCs w:val="22"/>
        </w:rPr>
        <w:t>climates and rural areas where immunization is inadequate</w:t>
      </w:r>
      <w:r w:rsidRPr="6CCBBC13">
        <w:rPr>
          <w:rFonts w:asciiTheme="majorHAnsi" w:hAnsiTheme="majorHAnsi" w:cs="Garamond-BookCondensed"/>
          <w:sz w:val="22"/>
          <w:szCs w:val="22"/>
        </w:rPr>
        <w:t>, people are especially at risk, and neonatal</w:t>
      </w:r>
      <w:r w:rsidR="00DD4341"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tetanus is common.</w:t>
      </w:r>
      <w:r w:rsidR="005B5A44" w:rsidRPr="6CCBBC13">
        <w:rPr>
          <w:rFonts w:asciiTheme="majorHAnsi" w:hAnsiTheme="majorHAnsi" w:cs="Garamond-BookCondensed"/>
          <w:sz w:val="22"/>
          <w:szCs w:val="22"/>
        </w:rPr>
        <w:t xml:space="preserve"> </w:t>
      </w:r>
    </w:p>
    <w:p w14:paraId="2ABC0C1A" w14:textId="77777777" w:rsidR="00CC42ED" w:rsidRDefault="00CC42ED" w:rsidP="6CCBBC13">
      <w:pPr>
        <w:autoSpaceDE w:val="0"/>
        <w:autoSpaceDN w:val="0"/>
        <w:adjustRightInd w:val="0"/>
        <w:rPr>
          <w:rFonts w:asciiTheme="majorHAnsi" w:hAnsiTheme="majorHAnsi" w:cs="Garamond-BookCondensed"/>
          <w:sz w:val="22"/>
          <w:szCs w:val="22"/>
        </w:rPr>
      </w:pPr>
    </w:p>
    <w:p w14:paraId="4321D2FA" w14:textId="44988891" w:rsidR="008B27E4" w:rsidRPr="0007633A" w:rsidRDefault="008B27E4" w:rsidP="6CCBBC13">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Tetanus is sporadic and relatively uncommon in the U.S. and in most industrial countries, mostly because of</w:t>
      </w:r>
      <w:r w:rsidR="00DD4341"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 xml:space="preserve">widespread use of tetanus toxoid as part of routine immunization and improved wound management. </w:t>
      </w:r>
      <w:r w:rsidR="00EF74BF" w:rsidRPr="6CCBBC13">
        <w:rPr>
          <w:rFonts w:asciiTheme="majorHAnsi" w:hAnsiTheme="majorHAnsi" w:cs="Garamond-BookCondensed"/>
          <w:sz w:val="22"/>
          <w:szCs w:val="22"/>
        </w:rPr>
        <w:t xml:space="preserve">From 2009–2018, an average of 29 (range 18–37) cases were reported per year in the U.S. Of the 297 cases reported during this 10-year timeframe, there were 19 deaths, all in adults age 55 years or older. </w:t>
      </w:r>
      <w:r w:rsidRPr="00EE0B12">
        <w:rPr>
          <w:rFonts w:asciiTheme="majorHAnsi" w:hAnsiTheme="majorHAnsi" w:cs="Garamond-BookCondensed"/>
          <w:sz w:val="22"/>
          <w:szCs w:val="22"/>
          <w:u w:val="single"/>
        </w:rPr>
        <w:t>Almost all reported cases have occurred in individuals who</w:t>
      </w:r>
      <w:r w:rsidR="00DD4341" w:rsidRPr="00EE0B12">
        <w:rPr>
          <w:rFonts w:asciiTheme="majorHAnsi" w:hAnsiTheme="majorHAnsi" w:cs="Garamond-BookCondensed"/>
          <w:sz w:val="22"/>
          <w:szCs w:val="22"/>
          <w:u w:val="single"/>
        </w:rPr>
        <w:t xml:space="preserve"> </w:t>
      </w:r>
      <w:r w:rsidRPr="00EE0B12">
        <w:rPr>
          <w:rFonts w:asciiTheme="majorHAnsi" w:hAnsiTheme="majorHAnsi" w:cs="Garamond-BookCondensed"/>
          <w:sz w:val="22"/>
          <w:szCs w:val="22"/>
          <w:u w:val="single"/>
        </w:rPr>
        <w:t>had never been vaccinated or who completed a primary series but had not had a booster dose in the preceding ten</w:t>
      </w:r>
      <w:r w:rsidR="00DD4341" w:rsidRPr="00EE0B12">
        <w:rPr>
          <w:rFonts w:asciiTheme="majorHAnsi" w:hAnsiTheme="majorHAnsi" w:cs="Garamond-BookCondensed"/>
          <w:sz w:val="22"/>
          <w:szCs w:val="22"/>
          <w:u w:val="single"/>
        </w:rPr>
        <w:t xml:space="preserve"> </w:t>
      </w:r>
      <w:r w:rsidRPr="00EE0B12">
        <w:rPr>
          <w:rFonts w:asciiTheme="majorHAnsi" w:hAnsiTheme="majorHAnsi" w:cs="Garamond-BookCondensed"/>
          <w:sz w:val="22"/>
          <w:szCs w:val="22"/>
          <w:u w:val="single"/>
        </w:rPr>
        <w:t>years</w:t>
      </w:r>
      <w:r w:rsidRPr="6CCBBC13">
        <w:rPr>
          <w:rFonts w:asciiTheme="majorHAnsi" w:hAnsiTheme="majorHAnsi" w:cs="Garamond-BookCondensed"/>
          <w:sz w:val="22"/>
          <w:szCs w:val="22"/>
        </w:rPr>
        <w:t xml:space="preserve">. </w:t>
      </w:r>
    </w:p>
    <w:p w14:paraId="03A7A5D4"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657389D5" w14:textId="286DDC18" w:rsidR="008B27E4" w:rsidRPr="0007633A" w:rsidRDefault="00132398" w:rsidP="6CCBBC13">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 xml:space="preserve">Diabetes, a history of immunosuppression, and intravenous drug use may be risk factors for tetanus. From 2009 through 2017, diabetes was associated with 13% of all reported tetanus cases, </w:t>
      </w:r>
      <w:r w:rsidRPr="6CCBBC13">
        <w:rPr>
          <w:rFonts w:asciiTheme="majorHAnsi" w:hAnsiTheme="majorHAnsi" w:cs="Garamond-BookCondensed"/>
          <w:sz w:val="22"/>
          <w:szCs w:val="22"/>
        </w:rPr>
        <w:lastRenderedPageBreak/>
        <w:t>and a quarter of all tetanus deaths. Intravenous drug users accounted for 7% of cases from 2009 through 2017.</w:t>
      </w:r>
      <w:r w:rsidR="00621D6B" w:rsidRPr="6CCBBC13">
        <w:rPr>
          <w:rFonts w:asciiTheme="majorHAnsi" w:hAnsiTheme="majorHAnsi" w:cs="Garamond-BookCondensed"/>
          <w:sz w:val="22"/>
          <w:szCs w:val="22"/>
        </w:rPr>
        <w:t xml:space="preserve"> </w:t>
      </w:r>
      <w:r w:rsidR="008B27E4" w:rsidRPr="6CCBBC13">
        <w:rPr>
          <w:rFonts w:asciiTheme="majorHAnsi" w:hAnsiTheme="majorHAnsi" w:cs="Garamond-BookCondensed"/>
          <w:sz w:val="22"/>
          <w:szCs w:val="22"/>
        </w:rPr>
        <w:t>Heroin users, particularly those who inject themselves subcutaneously with quinine-cut heroin, appear to be at high</w:t>
      </w:r>
      <w:r w:rsidR="00DD4341" w:rsidRPr="6CCBBC13">
        <w:rPr>
          <w:rFonts w:asciiTheme="majorHAnsi" w:hAnsiTheme="majorHAnsi" w:cs="Garamond-BookCondensed"/>
          <w:sz w:val="22"/>
          <w:szCs w:val="22"/>
        </w:rPr>
        <w:t xml:space="preserve"> </w:t>
      </w:r>
      <w:r w:rsidR="008B27E4" w:rsidRPr="6CCBBC13">
        <w:rPr>
          <w:rFonts w:asciiTheme="majorHAnsi" w:hAnsiTheme="majorHAnsi" w:cs="Garamond-BookCondensed"/>
          <w:sz w:val="22"/>
          <w:szCs w:val="22"/>
        </w:rPr>
        <w:t xml:space="preserve">risk for tetanus. Quinine is used to dilute heroin and may </w:t>
      </w:r>
      <w:r w:rsidR="55276A5F" w:rsidRPr="6CCBBC13">
        <w:rPr>
          <w:rFonts w:asciiTheme="majorHAnsi" w:hAnsiTheme="majorHAnsi" w:cs="Garamond-BookCondensed"/>
          <w:sz w:val="22"/>
          <w:szCs w:val="22"/>
        </w:rPr>
        <w:t>favor</w:t>
      </w:r>
      <w:r w:rsidR="008B27E4" w:rsidRPr="6CCBBC13">
        <w:rPr>
          <w:rFonts w:asciiTheme="majorHAnsi" w:hAnsiTheme="majorHAnsi" w:cs="Garamond-BookCondensed"/>
          <w:sz w:val="22"/>
          <w:szCs w:val="22"/>
        </w:rPr>
        <w:t xml:space="preserve"> growth of </w:t>
      </w:r>
      <w:r w:rsidR="008B27E4" w:rsidRPr="6CCBBC13">
        <w:rPr>
          <w:rFonts w:asciiTheme="majorHAnsi" w:hAnsiTheme="majorHAnsi" w:cs="Garamond-BookCondensed"/>
          <w:i/>
          <w:iCs/>
          <w:sz w:val="22"/>
          <w:szCs w:val="22"/>
        </w:rPr>
        <w:t>C. tetani</w:t>
      </w:r>
      <w:r w:rsidR="008B27E4" w:rsidRPr="6CCBBC13">
        <w:rPr>
          <w:rFonts w:asciiTheme="majorHAnsi" w:hAnsiTheme="majorHAnsi" w:cs="Garamond-BookCondensed"/>
          <w:sz w:val="22"/>
          <w:szCs w:val="22"/>
        </w:rPr>
        <w:t>.</w:t>
      </w:r>
      <w:r w:rsidR="00107EB5">
        <w:rPr>
          <w:rFonts w:asciiTheme="majorHAnsi" w:hAnsiTheme="majorHAnsi" w:cs="Garamond-BookCondensed"/>
          <w:sz w:val="22"/>
          <w:szCs w:val="22"/>
        </w:rPr>
        <w:t xml:space="preserve"> </w:t>
      </w:r>
      <w:r w:rsidR="008B27E4" w:rsidRPr="6CCBBC13">
        <w:rPr>
          <w:rFonts w:asciiTheme="majorHAnsi" w:hAnsiTheme="majorHAnsi" w:cs="Garamond-BookCondensed"/>
          <w:sz w:val="22"/>
          <w:szCs w:val="22"/>
        </w:rPr>
        <w:t>People employed in certain occupations have an increased risk for puncture</w:t>
      </w:r>
      <w:r w:rsidR="00DD4341" w:rsidRPr="6CCBBC13">
        <w:rPr>
          <w:rFonts w:asciiTheme="majorHAnsi" w:hAnsiTheme="majorHAnsi" w:cs="Garamond-BookCondensed"/>
          <w:sz w:val="22"/>
          <w:szCs w:val="22"/>
        </w:rPr>
        <w:t xml:space="preserve"> </w:t>
      </w:r>
      <w:r w:rsidR="008B27E4" w:rsidRPr="6CCBBC13">
        <w:rPr>
          <w:rFonts w:asciiTheme="majorHAnsi" w:hAnsiTheme="majorHAnsi" w:cs="Garamond-BookCondensed"/>
          <w:sz w:val="22"/>
          <w:szCs w:val="22"/>
        </w:rPr>
        <w:t xml:space="preserve">wounds, lacerations, and abrasions. In addition, tetanus affects primarily older adults. </w:t>
      </w:r>
      <w:r w:rsidR="0048584C" w:rsidRPr="6CCBBC13">
        <w:rPr>
          <w:rFonts w:asciiTheme="majorHAnsi" w:hAnsiTheme="majorHAnsi" w:cs="Garamond-BookCondensed"/>
          <w:sz w:val="22"/>
          <w:szCs w:val="22"/>
        </w:rPr>
        <w:t xml:space="preserve">Neonatal tetanus is rare in the U.S. </w:t>
      </w:r>
    </w:p>
    <w:p w14:paraId="51B8F862" w14:textId="44E8F96F" w:rsidR="008B27E4" w:rsidRPr="0007633A" w:rsidRDefault="008B27E4" w:rsidP="6CCBBC13">
      <w:pPr>
        <w:autoSpaceDE w:val="0"/>
        <w:autoSpaceDN w:val="0"/>
        <w:adjustRightInd w:val="0"/>
        <w:rPr>
          <w:rFonts w:asciiTheme="majorHAnsi" w:hAnsiTheme="majorHAnsi" w:cs="Garamond-BookCondensed"/>
        </w:rPr>
      </w:pPr>
    </w:p>
    <w:p w14:paraId="29FCF71D" w14:textId="6F3ADB46" w:rsidR="008B27E4" w:rsidRPr="0007633A" w:rsidRDefault="00703FF2" w:rsidP="6CCBBC13">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 xml:space="preserve">Three cases of tetanus have been reported in MA from 2019-2021, one of which resulted in the death of an </w:t>
      </w:r>
      <w:r w:rsidR="00E068BF" w:rsidRPr="6CCBBC13">
        <w:rPr>
          <w:rFonts w:asciiTheme="majorHAnsi" w:hAnsiTheme="majorHAnsi" w:cs="Garamond-BookCondensed"/>
          <w:sz w:val="22"/>
          <w:szCs w:val="22"/>
        </w:rPr>
        <w:t>elderly woman</w:t>
      </w:r>
      <w:r w:rsidRPr="6CCBBC13">
        <w:rPr>
          <w:rFonts w:asciiTheme="majorHAnsi" w:hAnsiTheme="majorHAnsi" w:cs="Garamond-BookCondensed"/>
          <w:sz w:val="22"/>
          <w:szCs w:val="22"/>
        </w:rPr>
        <w:t xml:space="preserve">. Prior to this, the most recent case of tetanus in Massachusetts was reported in 1996. </w:t>
      </w:r>
      <w:r w:rsidR="0048584C" w:rsidRPr="6CCBBC13">
        <w:rPr>
          <w:rFonts w:asciiTheme="majorHAnsi" w:hAnsiTheme="majorHAnsi" w:cs="Garamond-BookCondensed"/>
          <w:sz w:val="22"/>
          <w:szCs w:val="22"/>
        </w:rPr>
        <w:t xml:space="preserve">All </w:t>
      </w:r>
      <w:r w:rsidR="00E068BF" w:rsidRPr="6CCBBC13">
        <w:rPr>
          <w:rFonts w:asciiTheme="majorHAnsi" w:hAnsiTheme="majorHAnsi" w:cs="Garamond-BookCondensed"/>
          <w:sz w:val="22"/>
          <w:szCs w:val="22"/>
        </w:rPr>
        <w:t xml:space="preserve">recent </w:t>
      </w:r>
      <w:r w:rsidR="0048584C" w:rsidRPr="6CCBBC13">
        <w:rPr>
          <w:rFonts w:asciiTheme="majorHAnsi" w:hAnsiTheme="majorHAnsi" w:cs="Garamond-BookCondensed"/>
          <w:sz w:val="22"/>
          <w:szCs w:val="22"/>
        </w:rPr>
        <w:t>cases were in adults who were not up to date with the vaccination.</w:t>
      </w:r>
    </w:p>
    <w:p w14:paraId="3EDF21C7" w14:textId="77777777" w:rsidR="008C5AF0" w:rsidRDefault="008C5AF0" w:rsidP="008B27E4">
      <w:pPr>
        <w:autoSpaceDE w:val="0"/>
        <w:autoSpaceDN w:val="0"/>
        <w:adjustRightInd w:val="0"/>
        <w:rPr>
          <w:rFonts w:ascii="Garamond-BookCondensed" w:hAnsi="Garamond-BookCondensed" w:cs="Garamond-BookCondensed"/>
          <w:sz w:val="20"/>
          <w:szCs w:val="20"/>
        </w:rPr>
      </w:pPr>
    </w:p>
    <w:tbl>
      <w:tblPr>
        <w:tblStyle w:val="TableGrid"/>
        <w:tblW w:w="9918" w:type="dxa"/>
        <w:tblInd w:w="0" w:type="dxa"/>
        <w:tblLook w:val="04A0" w:firstRow="1" w:lastRow="0" w:firstColumn="1" w:lastColumn="0" w:noHBand="0" w:noVBand="1"/>
        <w:tblCaption w:val="Tetanus Cases in Massachusetts 2019-2021"/>
        <w:tblDescription w:val="This table shows that two males and one female, ages ranging from the twenties to the eighties, were diagnosed with tetanus during a three year period (2019-2021).  All were not up to date with vaccination.  Two had puncture wounds and one had a laceration, all to their upper extremities.  One of the three cases was fatal."/>
      </w:tblPr>
      <w:tblGrid>
        <w:gridCol w:w="805"/>
        <w:gridCol w:w="990"/>
        <w:gridCol w:w="1260"/>
        <w:gridCol w:w="1980"/>
        <w:gridCol w:w="4020"/>
        <w:gridCol w:w="863"/>
      </w:tblGrid>
      <w:tr w:rsidR="009A376C" w14:paraId="3586D2B6" w14:textId="77777777" w:rsidTr="597304D7">
        <w:tc>
          <w:tcPr>
            <w:tcW w:w="9918" w:type="dxa"/>
            <w:gridSpan w:val="6"/>
          </w:tcPr>
          <w:p w14:paraId="169A38EE" w14:textId="77ABEE57" w:rsidR="009A376C" w:rsidRPr="0007633A" w:rsidRDefault="009A376C" w:rsidP="00FF05DC">
            <w:pPr>
              <w:autoSpaceDE w:val="0"/>
              <w:autoSpaceDN w:val="0"/>
              <w:adjustRightInd w:val="0"/>
              <w:jc w:val="center"/>
              <w:rPr>
                <w:rFonts w:asciiTheme="majorHAnsi" w:hAnsiTheme="majorHAnsi" w:cs="Garamond-BookCondensed"/>
                <w:b/>
                <w:bCs/>
                <w:sz w:val="20"/>
                <w:szCs w:val="20"/>
              </w:rPr>
            </w:pPr>
            <w:r w:rsidRPr="0007633A">
              <w:rPr>
                <w:rFonts w:asciiTheme="majorHAnsi" w:hAnsiTheme="majorHAnsi" w:cs="Garamond-BookCondensed"/>
                <w:b/>
                <w:bCs/>
                <w:sz w:val="20"/>
                <w:szCs w:val="20"/>
              </w:rPr>
              <w:t>Tetanus Cases in Massachusetts 20</w:t>
            </w:r>
            <w:r w:rsidR="00BF653C">
              <w:rPr>
                <w:rFonts w:asciiTheme="majorHAnsi" w:hAnsiTheme="majorHAnsi" w:cs="Garamond-BookCondensed"/>
                <w:b/>
                <w:bCs/>
                <w:sz w:val="20"/>
                <w:szCs w:val="20"/>
              </w:rPr>
              <w:t>19</w:t>
            </w:r>
            <w:r w:rsidRPr="0007633A">
              <w:rPr>
                <w:rFonts w:asciiTheme="majorHAnsi" w:hAnsiTheme="majorHAnsi" w:cs="Garamond-BookCondensed"/>
                <w:b/>
                <w:bCs/>
                <w:sz w:val="20"/>
                <w:szCs w:val="20"/>
              </w:rPr>
              <w:t>-2021</w:t>
            </w:r>
          </w:p>
        </w:tc>
      </w:tr>
      <w:tr w:rsidR="00AA0C9B" w14:paraId="4FA58C90" w14:textId="77777777" w:rsidTr="597304D7">
        <w:tc>
          <w:tcPr>
            <w:tcW w:w="805" w:type="dxa"/>
          </w:tcPr>
          <w:p w14:paraId="104E5834" w14:textId="2F1B07C6" w:rsidR="009A376C" w:rsidRPr="0007633A" w:rsidRDefault="009A376C" w:rsidP="008B27E4">
            <w:pPr>
              <w:autoSpaceDE w:val="0"/>
              <w:autoSpaceDN w:val="0"/>
              <w:adjustRightInd w:val="0"/>
              <w:rPr>
                <w:rFonts w:asciiTheme="majorHAnsi" w:hAnsiTheme="majorHAnsi" w:cs="Garamond-BookCondensed"/>
                <w:b/>
                <w:bCs/>
                <w:sz w:val="20"/>
                <w:szCs w:val="20"/>
              </w:rPr>
            </w:pPr>
            <w:r w:rsidRPr="0007633A">
              <w:rPr>
                <w:rFonts w:asciiTheme="majorHAnsi" w:hAnsiTheme="majorHAnsi" w:cs="Garamond-BookCondensed"/>
                <w:b/>
                <w:bCs/>
                <w:sz w:val="20"/>
                <w:szCs w:val="20"/>
              </w:rPr>
              <w:t>Year</w:t>
            </w:r>
          </w:p>
        </w:tc>
        <w:tc>
          <w:tcPr>
            <w:tcW w:w="990" w:type="dxa"/>
          </w:tcPr>
          <w:p w14:paraId="289A6C54" w14:textId="4397763E" w:rsidR="009A376C" w:rsidRPr="0007633A" w:rsidRDefault="009A376C" w:rsidP="008B27E4">
            <w:pPr>
              <w:autoSpaceDE w:val="0"/>
              <w:autoSpaceDN w:val="0"/>
              <w:adjustRightInd w:val="0"/>
              <w:rPr>
                <w:rFonts w:asciiTheme="majorHAnsi" w:hAnsiTheme="majorHAnsi" w:cs="Garamond-BookCondensed"/>
                <w:b/>
                <w:bCs/>
                <w:sz w:val="20"/>
                <w:szCs w:val="20"/>
              </w:rPr>
            </w:pPr>
            <w:r w:rsidRPr="0007633A">
              <w:rPr>
                <w:rFonts w:asciiTheme="majorHAnsi" w:hAnsiTheme="majorHAnsi" w:cs="Garamond-BookCondensed"/>
                <w:b/>
                <w:bCs/>
                <w:sz w:val="20"/>
                <w:szCs w:val="20"/>
              </w:rPr>
              <w:t>Sex</w:t>
            </w:r>
          </w:p>
        </w:tc>
        <w:tc>
          <w:tcPr>
            <w:tcW w:w="1260" w:type="dxa"/>
          </w:tcPr>
          <w:p w14:paraId="473A9726" w14:textId="2DB38E71" w:rsidR="009A376C" w:rsidRPr="0007633A" w:rsidRDefault="009A376C" w:rsidP="008B27E4">
            <w:pPr>
              <w:autoSpaceDE w:val="0"/>
              <w:autoSpaceDN w:val="0"/>
              <w:adjustRightInd w:val="0"/>
              <w:rPr>
                <w:rFonts w:asciiTheme="majorHAnsi" w:hAnsiTheme="majorHAnsi" w:cs="Garamond-BookCondensed"/>
                <w:b/>
                <w:bCs/>
                <w:sz w:val="20"/>
                <w:szCs w:val="20"/>
              </w:rPr>
            </w:pPr>
            <w:r w:rsidRPr="0007633A">
              <w:rPr>
                <w:rFonts w:asciiTheme="majorHAnsi" w:hAnsiTheme="majorHAnsi" w:cs="Garamond-BookCondensed"/>
                <w:b/>
                <w:bCs/>
                <w:sz w:val="20"/>
                <w:szCs w:val="20"/>
              </w:rPr>
              <w:t>Age</w:t>
            </w:r>
            <w:r w:rsidR="007A68EC" w:rsidRPr="0007633A">
              <w:rPr>
                <w:rFonts w:asciiTheme="majorHAnsi" w:hAnsiTheme="majorHAnsi" w:cs="Garamond-BookCondensed"/>
                <w:b/>
                <w:bCs/>
                <w:sz w:val="20"/>
                <w:szCs w:val="20"/>
              </w:rPr>
              <w:t xml:space="preserve"> Group</w:t>
            </w:r>
          </w:p>
        </w:tc>
        <w:tc>
          <w:tcPr>
            <w:tcW w:w="1980" w:type="dxa"/>
          </w:tcPr>
          <w:p w14:paraId="2DC57555" w14:textId="06BF1097" w:rsidR="009A376C" w:rsidRPr="0007633A" w:rsidRDefault="009A376C" w:rsidP="008B27E4">
            <w:pPr>
              <w:autoSpaceDE w:val="0"/>
              <w:autoSpaceDN w:val="0"/>
              <w:adjustRightInd w:val="0"/>
              <w:rPr>
                <w:rFonts w:asciiTheme="majorHAnsi" w:hAnsiTheme="majorHAnsi" w:cs="Garamond-BookCondensed"/>
                <w:b/>
                <w:bCs/>
                <w:sz w:val="20"/>
                <w:szCs w:val="20"/>
              </w:rPr>
            </w:pPr>
            <w:r w:rsidRPr="0007633A">
              <w:rPr>
                <w:rFonts w:asciiTheme="majorHAnsi" w:hAnsiTheme="majorHAnsi" w:cs="Garamond-BookCondensed"/>
                <w:b/>
                <w:bCs/>
                <w:sz w:val="20"/>
                <w:szCs w:val="20"/>
              </w:rPr>
              <w:t>Vaccination Status</w:t>
            </w:r>
          </w:p>
        </w:tc>
        <w:tc>
          <w:tcPr>
            <w:tcW w:w="4020" w:type="dxa"/>
          </w:tcPr>
          <w:p w14:paraId="0B330045" w14:textId="0BBA58AE" w:rsidR="009A376C" w:rsidRPr="0007633A" w:rsidRDefault="009A376C" w:rsidP="008B27E4">
            <w:pPr>
              <w:autoSpaceDE w:val="0"/>
              <w:autoSpaceDN w:val="0"/>
              <w:adjustRightInd w:val="0"/>
              <w:rPr>
                <w:rFonts w:asciiTheme="majorHAnsi" w:hAnsiTheme="majorHAnsi" w:cs="Garamond-BookCondensed"/>
                <w:b/>
                <w:bCs/>
                <w:sz w:val="20"/>
                <w:szCs w:val="20"/>
              </w:rPr>
            </w:pPr>
            <w:r w:rsidRPr="0007633A">
              <w:rPr>
                <w:rFonts w:asciiTheme="majorHAnsi" w:hAnsiTheme="majorHAnsi" w:cs="Garamond-BookCondensed"/>
                <w:b/>
                <w:bCs/>
                <w:sz w:val="20"/>
                <w:szCs w:val="20"/>
              </w:rPr>
              <w:t>Type of Exposure</w:t>
            </w:r>
          </w:p>
        </w:tc>
        <w:tc>
          <w:tcPr>
            <w:tcW w:w="863" w:type="dxa"/>
          </w:tcPr>
          <w:p w14:paraId="3E9E07FF" w14:textId="4239FEE1" w:rsidR="009A376C" w:rsidRPr="0007633A" w:rsidRDefault="009A376C" w:rsidP="008B27E4">
            <w:pPr>
              <w:autoSpaceDE w:val="0"/>
              <w:autoSpaceDN w:val="0"/>
              <w:adjustRightInd w:val="0"/>
              <w:rPr>
                <w:rFonts w:asciiTheme="majorHAnsi" w:hAnsiTheme="majorHAnsi" w:cs="Garamond-BookCondensed"/>
                <w:b/>
                <w:bCs/>
                <w:sz w:val="20"/>
                <w:szCs w:val="20"/>
              </w:rPr>
            </w:pPr>
            <w:r w:rsidRPr="0007633A">
              <w:rPr>
                <w:rFonts w:asciiTheme="majorHAnsi" w:hAnsiTheme="majorHAnsi" w:cs="Garamond-BookCondensed"/>
                <w:b/>
                <w:bCs/>
                <w:sz w:val="20"/>
                <w:szCs w:val="20"/>
              </w:rPr>
              <w:t>Death</w:t>
            </w:r>
          </w:p>
        </w:tc>
      </w:tr>
      <w:tr w:rsidR="00AA0C9B" w14:paraId="6B5128B7" w14:textId="77777777" w:rsidTr="597304D7">
        <w:tc>
          <w:tcPr>
            <w:tcW w:w="805" w:type="dxa"/>
          </w:tcPr>
          <w:p w14:paraId="1D0E62BB" w14:textId="2301F7A0"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2019</w:t>
            </w:r>
          </w:p>
        </w:tc>
        <w:tc>
          <w:tcPr>
            <w:tcW w:w="990" w:type="dxa"/>
          </w:tcPr>
          <w:p w14:paraId="4BEE616C" w14:textId="42DCD3BD"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Female</w:t>
            </w:r>
          </w:p>
        </w:tc>
        <w:tc>
          <w:tcPr>
            <w:tcW w:w="1260" w:type="dxa"/>
          </w:tcPr>
          <w:p w14:paraId="131C3CA3" w14:textId="716E209C"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8</w:t>
            </w:r>
            <w:r w:rsidR="007A68EC" w:rsidRPr="0007633A">
              <w:rPr>
                <w:rFonts w:asciiTheme="majorHAnsi" w:hAnsiTheme="majorHAnsi" w:cs="Garamond-BookCondensed"/>
                <w:sz w:val="20"/>
                <w:szCs w:val="20"/>
              </w:rPr>
              <w:t>0-85</w:t>
            </w:r>
          </w:p>
        </w:tc>
        <w:tc>
          <w:tcPr>
            <w:tcW w:w="1980" w:type="dxa"/>
          </w:tcPr>
          <w:p w14:paraId="3D4EE8DF" w14:textId="5812B2E0"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Not up to date</w:t>
            </w:r>
          </w:p>
        </w:tc>
        <w:tc>
          <w:tcPr>
            <w:tcW w:w="4020" w:type="dxa"/>
          </w:tcPr>
          <w:p w14:paraId="17487A92" w14:textId="03B4A0CD" w:rsidR="009A376C" w:rsidRPr="0007633A" w:rsidRDefault="00EF5C5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Puncture wound to upper extremity; outside</w:t>
            </w:r>
          </w:p>
        </w:tc>
        <w:tc>
          <w:tcPr>
            <w:tcW w:w="863" w:type="dxa"/>
          </w:tcPr>
          <w:p w14:paraId="5292F86C" w14:textId="6E6C8FB8"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Yes</w:t>
            </w:r>
          </w:p>
        </w:tc>
      </w:tr>
      <w:tr w:rsidR="00AA0C9B" w14:paraId="342A0758" w14:textId="77777777" w:rsidTr="597304D7">
        <w:trPr>
          <w:trHeight w:val="70"/>
        </w:trPr>
        <w:tc>
          <w:tcPr>
            <w:tcW w:w="805" w:type="dxa"/>
          </w:tcPr>
          <w:p w14:paraId="2393DA63" w14:textId="79C9124E"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2020</w:t>
            </w:r>
          </w:p>
        </w:tc>
        <w:tc>
          <w:tcPr>
            <w:tcW w:w="990" w:type="dxa"/>
          </w:tcPr>
          <w:p w14:paraId="7A2DBCA3" w14:textId="3F2BA8FC"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Male</w:t>
            </w:r>
          </w:p>
        </w:tc>
        <w:tc>
          <w:tcPr>
            <w:tcW w:w="1260" w:type="dxa"/>
          </w:tcPr>
          <w:p w14:paraId="47AAADA7" w14:textId="3B83446D"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4</w:t>
            </w:r>
            <w:r w:rsidR="007A68EC" w:rsidRPr="0007633A">
              <w:rPr>
                <w:rFonts w:asciiTheme="majorHAnsi" w:hAnsiTheme="majorHAnsi" w:cs="Garamond-BookCondensed"/>
                <w:sz w:val="20"/>
                <w:szCs w:val="20"/>
              </w:rPr>
              <w:t>5-50</w:t>
            </w:r>
          </w:p>
        </w:tc>
        <w:tc>
          <w:tcPr>
            <w:tcW w:w="1980" w:type="dxa"/>
          </w:tcPr>
          <w:p w14:paraId="79D4C3FE" w14:textId="1741C0D3" w:rsidR="009A376C" w:rsidRPr="0007633A" w:rsidRDefault="00FE553D"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Not up to date</w:t>
            </w:r>
          </w:p>
        </w:tc>
        <w:tc>
          <w:tcPr>
            <w:tcW w:w="4020" w:type="dxa"/>
          </w:tcPr>
          <w:p w14:paraId="726FEFCA" w14:textId="5EADD0E3" w:rsidR="009A376C" w:rsidRPr="0007633A" w:rsidRDefault="00EF5C5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Puncture wound to upper extremity; home</w:t>
            </w:r>
          </w:p>
        </w:tc>
        <w:tc>
          <w:tcPr>
            <w:tcW w:w="863" w:type="dxa"/>
          </w:tcPr>
          <w:p w14:paraId="4B4F16C9" w14:textId="3129143C"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No</w:t>
            </w:r>
          </w:p>
        </w:tc>
      </w:tr>
      <w:tr w:rsidR="00AA0C9B" w14:paraId="4007EC89" w14:textId="77777777" w:rsidTr="597304D7">
        <w:tc>
          <w:tcPr>
            <w:tcW w:w="805" w:type="dxa"/>
          </w:tcPr>
          <w:p w14:paraId="4B688B24" w14:textId="08168CD2" w:rsidR="009A376C" w:rsidRPr="0007633A" w:rsidRDefault="009A376C" w:rsidP="597304D7">
            <w:pPr>
              <w:autoSpaceDE w:val="0"/>
              <w:autoSpaceDN w:val="0"/>
              <w:adjustRightInd w:val="0"/>
              <w:rPr>
                <w:rFonts w:asciiTheme="majorHAnsi" w:hAnsiTheme="majorHAnsi" w:cs="Garamond-BookCondensed"/>
                <w:sz w:val="20"/>
                <w:szCs w:val="20"/>
              </w:rPr>
            </w:pPr>
            <w:r w:rsidRPr="597304D7">
              <w:rPr>
                <w:rFonts w:asciiTheme="majorHAnsi" w:hAnsiTheme="majorHAnsi" w:cs="Garamond-BookCondensed"/>
                <w:sz w:val="20"/>
                <w:szCs w:val="20"/>
              </w:rPr>
              <w:t>2021</w:t>
            </w:r>
          </w:p>
        </w:tc>
        <w:tc>
          <w:tcPr>
            <w:tcW w:w="990" w:type="dxa"/>
          </w:tcPr>
          <w:p w14:paraId="04AECB8F" w14:textId="656B5F5F"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Male</w:t>
            </w:r>
          </w:p>
        </w:tc>
        <w:tc>
          <w:tcPr>
            <w:tcW w:w="1260" w:type="dxa"/>
          </w:tcPr>
          <w:p w14:paraId="40C3DA82" w14:textId="5E24D8AF"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2</w:t>
            </w:r>
            <w:r w:rsidR="007A68EC" w:rsidRPr="0007633A">
              <w:rPr>
                <w:rFonts w:asciiTheme="majorHAnsi" w:hAnsiTheme="majorHAnsi" w:cs="Garamond-BookCondensed"/>
                <w:sz w:val="20"/>
                <w:szCs w:val="20"/>
              </w:rPr>
              <w:t>0-25</w:t>
            </w:r>
          </w:p>
        </w:tc>
        <w:tc>
          <w:tcPr>
            <w:tcW w:w="1980" w:type="dxa"/>
          </w:tcPr>
          <w:p w14:paraId="34A2717D" w14:textId="793FC084"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Not up to date</w:t>
            </w:r>
          </w:p>
        </w:tc>
        <w:tc>
          <w:tcPr>
            <w:tcW w:w="4020" w:type="dxa"/>
          </w:tcPr>
          <w:p w14:paraId="56E88E18" w14:textId="3A840DF0" w:rsidR="009A376C" w:rsidRPr="0007633A" w:rsidRDefault="009A376C" w:rsidP="008B27E4">
            <w:pPr>
              <w:autoSpaceDE w:val="0"/>
              <w:autoSpaceDN w:val="0"/>
              <w:adjustRightInd w:val="0"/>
              <w:rPr>
                <w:rFonts w:asciiTheme="majorHAnsi" w:hAnsiTheme="majorHAnsi" w:cs="Garamond-BookCondensed"/>
                <w:sz w:val="20"/>
                <w:szCs w:val="20"/>
              </w:rPr>
            </w:pPr>
            <w:r w:rsidRPr="0007633A">
              <w:rPr>
                <w:rFonts w:asciiTheme="majorHAnsi" w:hAnsiTheme="majorHAnsi" w:cs="Garamond-BookCondensed"/>
                <w:sz w:val="20"/>
                <w:szCs w:val="20"/>
              </w:rPr>
              <w:t xml:space="preserve">Laceration </w:t>
            </w:r>
            <w:r w:rsidR="00EF5C5C" w:rsidRPr="0007633A">
              <w:rPr>
                <w:rFonts w:asciiTheme="majorHAnsi" w:hAnsiTheme="majorHAnsi" w:cs="Garamond-BookCondensed"/>
                <w:sz w:val="20"/>
                <w:szCs w:val="20"/>
              </w:rPr>
              <w:t>to upper extremity</w:t>
            </w:r>
            <w:r w:rsidRPr="0007633A">
              <w:rPr>
                <w:rFonts w:asciiTheme="majorHAnsi" w:hAnsiTheme="majorHAnsi" w:cs="Garamond-BookCondensed"/>
                <w:sz w:val="20"/>
                <w:szCs w:val="20"/>
              </w:rPr>
              <w:t>; outside</w:t>
            </w:r>
          </w:p>
        </w:tc>
        <w:tc>
          <w:tcPr>
            <w:tcW w:w="863" w:type="dxa"/>
          </w:tcPr>
          <w:p w14:paraId="32A005B6" w14:textId="313C723A" w:rsidR="009A376C" w:rsidRPr="0007633A" w:rsidRDefault="009A376C" w:rsidP="597304D7">
            <w:pPr>
              <w:autoSpaceDE w:val="0"/>
              <w:autoSpaceDN w:val="0"/>
              <w:adjustRightInd w:val="0"/>
              <w:rPr>
                <w:rFonts w:asciiTheme="majorHAnsi" w:hAnsiTheme="majorHAnsi" w:cs="Garamond-BookCondensed"/>
                <w:sz w:val="20"/>
                <w:szCs w:val="20"/>
              </w:rPr>
            </w:pPr>
            <w:r w:rsidRPr="597304D7">
              <w:rPr>
                <w:rFonts w:asciiTheme="majorHAnsi" w:hAnsiTheme="majorHAnsi" w:cs="Garamond-BookCondensed"/>
                <w:sz w:val="20"/>
                <w:szCs w:val="20"/>
              </w:rPr>
              <w:t>No</w:t>
            </w:r>
          </w:p>
        </w:tc>
      </w:tr>
    </w:tbl>
    <w:p w14:paraId="68A0EBA6" w14:textId="77777777" w:rsidR="00DD4341" w:rsidRPr="00070065" w:rsidRDefault="00DD4341" w:rsidP="008B27E4">
      <w:pPr>
        <w:autoSpaceDE w:val="0"/>
        <w:autoSpaceDN w:val="0"/>
        <w:adjustRightInd w:val="0"/>
        <w:rPr>
          <w:rFonts w:ascii="TradeGothic-BoldCondTwenty" w:hAnsi="TradeGothic-BoldCondTwenty" w:cs="TradeGothic-BoldCondTwenty"/>
          <w:sz w:val="20"/>
          <w:szCs w:val="20"/>
        </w:rPr>
      </w:pPr>
    </w:p>
    <w:p w14:paraId="007D3087"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H. Bioterrorist Potential</w:t>
      </w:r>
    </w:p>
    <w:p w14:paraId="5DBB49C3"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7509A9CF" w14:textId="77777777" w:rsidR="008B27E4" w:rsidRDefault="008B27E4" w:rsidP="008B27E4">
      <w:pPr>
        <w:autoSpaceDE w:val="0"/>
        <w:autoSpaceDN w:val="0"/>
        <w:adjustRightInd w:val="0"/>
        <w:rPr>
          <w:rFonts w:ascii="Garamond-BookCondensed" w:hAnsi="Garamond-BookCondensed" w:cs="Garamond-BookCondensed"/>
          <w:sz w:val="20"/>
          <w:szCs w:val="20"/>
        </w:rPr>
      </w:pPr>
      <w:r w:rsidRPr="0007633A">
        <w:rPr>
          <w:rFonts w:asciiTheme="majorHAnsi" w:hAnsiTheme="majorHAnsi" w:cs="Garamond-BookCondensed"/>
          <w:sz w:val="22"/>
          <w:szCs w:val="22"/>
        </w:rPr>
        <w:t>This pathogen is not considered to be of risk for use in bioterrorism.</w:t>
      </w:r>
    </w:p>
    <w:p w14:paraId="0EC46C0E"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20720052" w14:textId="77777777" w:rsidR="008B27E4" w:rsidRPr="00070065" w:rsidRDefault="008B27E4" w:rsidP="008B27E4">
      <w:pPr>
        <w:autoSpaceDE w:val="0"/>
        <w:autoSpaceDN w:val="0"/>
        <w:adjustRightInd w:val="0"/>
        <w:rPr>
          <w:rFonts w:ascii="TradeGothic-CondEighteen" w:hAnsi="TradeGothic-CondEighteen" w:cs="TradeGothic-CondEighteen"/>
          <w:b/>
        </w:rPr>
      </w:pPr>
      <w:r w:rsidRPr="00070065">
        <w:rPr>
          <w:rFonts w:ascii="TradeGothic-CondEighteen" w:hAnsi="TradeGothic-CondEighteen" w:cs="TradeGothic-CondEighteen"/>
          <w:b/>
        </w:rPr>
        <w:t>Section 2:</w:t>
      </w:r>
    </w:p>
    <w:p w14:paraId="50831C36" w14:textId="77777777" w:rsidR="008B27E4" w:rsidRPr="00FE5E8E" w:rsidRDefault="008B27E4" w:rsidP="00797C90">
      <w:pPr>
        <w:pStyle w:val="SurvManHead"/>
        <w:rPr>
          <w:color w:val="4F81BD"/>
        </w:rPr>
      </w:pPr>
      <w:r w:rsidRPr="597304D7">
        <w:t>REPORTING CRITERIA AND LABORATORY TESTING</w:t>
      </w:r>
    </w:p>
    <w:p w14:paraId="50DE15F6" w14:textId="77777777" w:rsidR="00DD4341" w:rsidRDefault="00DD4341" w:rsidP="008B27E4">
      <w:pPr>
        <w:autoSpaceDE w:val="0"/>
        <w:autoSpaceDN w:val="0"/>
        <w:adjustRightInd w:val="0"/>
        <w:rPr>
          <w:rFonts w:ascii="TradeGothic-BoldCondTwenty" w:hAnsi="TradeGothic-BoldCondTwenty" w:cs="TradeGothic-BoldCondTwenty"/>
          <w:b/>
          <w:bCs/>
          <w:sz w:val="22"/>
          <w:szCs w:val="22"/>
        </w:rPr>
      </w:pPr>
    </w:p>
    <w:p w14:paraId="72FD701B"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A. What to Report to the Massachusetts Department of Public Health (MDPH)</w:t>
      </w:r>
    </w:p>
    <w:p w14:paraId="7FC2B1AB"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6B26E2AE" w14:textId="162ED6B6" w:rsidR="008B27E4" w:rsidRPr="0007633A" w:rsidRDefault="008B27E4" w:rsidP="008B27E4">
      <w:pPr>
        <w:autoSpaceDE w:val="0"/>
        <w:autoSpaceDN w:val="0"/>
        <w:adjustRightInd w:val="0"/>
        <w:rPr>
          <w:rFonts w:asciiTheme="majorHAnsi" w:hAnsiTheme="majorHAnsi" w:cs="Garamond-BookCondensed"/>
          <w:sz w:val="22"/>
          <w:szCs w:val="22"/>
        </w:rPr>
      </w:pPr>
      <w:r w:rsidRPr="0007633A">
        <w:rPr>
          <w:rFonts w:asciiTheme="majorHAnsi" w:hAnsiTheme="majorHAnsi" w:cs="Garamond-BookCondensed"/>
          <w:sz w:val="22"/>
          <w:szCs w:val="22"/>
        </w:rPr>
        <w:t xml:space="preserve">Report any suspect or </w:t>
      </w:r>
      <w:r w:rsidR="002876DF" w:rsidRPr="0007633A">
        <w:rPr>
          <w:rFonts w:asciiTheme="majorHAnsi" w:hAnsiTheme="majorHAnsi" w:cs="Garamond-BookCondensed"/>
          <w:sz w:val="22"/>
          <w:szCs w:val="22"/>
        </w:rPr>
        <w:t>probable</w:t>
      </w:r>
      <w:r w:rsidRPr="0007633A">
        <w:rPr>
          <w:rFonts w:asciiTheme="majorHAnsi" w:hAnsiTheme="majorHAnsi" w:cs="Garamond-BookCondensed"/>
          <w:sz w:val="22"/>
          <w:szCs w:val="22"/>
        </w:rPr>
        <w:t xml:space="preserve"> case of tetanus, as diagnosed by a health care professional.</w:t>
      </w:r>
    </w:p>
    <w:p w14:paraId="4DD32D43"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397C4D84" w14:textId="77777777" w:rsidR="008B27E4" w:rsidRPr="0007633A" w:rsidRDefault="008B27E4" w:rsidP="008B27E4">
      <w:pPr>
        <w:autoSpaceDE w:val="0"/>
        <w:autoSpaceDN w:val="0"/>
        <w:adjustRightInd w:val="0"/>
        <w:rPr>
          <w:rFonts w:asciiTheme="majorHAnsi" w:hAnsiTheme="majorHAnsi" w:cs="Garamond-BookCondensed"/>
          <w:i/>
          <w:sz w:val="22"/>
          <w:szCs w:val="22"/>
        </w:rPr>
      </w:pPr>
      <w:r w:rsidRPr="0007633A">
        <w:rPr>
          <w:rFonts w:asciiTheme="majorHAnsi" w:hAnsiTheme="majorHAnsi" w:cs="Garamond-BookCondensed"/>
          <w:i/>
          <w:sz w:val="22"/>
          <w:szCs w:val="22"/>
        </w:rPr>
        <w:t>Note: See Section 3C for information on how to report a case.</w:t>
      </w:r>
    </w:p>
    <w:p w14:paraId="70B68330" w14:textId="77777777" w:rsidR="00DD4341" w:rsidRPr="007770FE" w:rsidRDefault="00DD4341" w:rsidP="008B27E4">
      <w:pPr>
        <w:autoSpaceDE w:val="0"/>
        <w:autoSpaceDN w:val="0"/>
        <w:adjustRightInd w:val="0"/>
        <w:rPr>
          <w:rFonts w:ascii="Garamond-BookCondensed" w:hAnsi="Garamond-BookCondensed" w:cs="Garamond-BookCondensed"/>
          <w:i/>
          <w:sz w:val="20"/>
          <w:szCs w:val="20"/>
        </w:rPr>
      </w:pPr>
    </w:p>
    <w:p w14:paraId="24D3B828"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B. Laboratory Testing Services Available</w:t>
      </w:r>
    </w:p>
    <w:p w14:paraId="694CA9C6"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3D1A0991" w14:textId="77E61E7E" w:rsidR="008B27E4" w:rsidRPr="0007633A" w:rsidRDefault="008B27E4" w:rsidP="6CCBBC13">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There are no laboratory findings characteristic of tetanus, and the diagnosis does not depend on bacteriologic</w:t>
      </w:r>
      <w:r w:rsidR="00DD4341"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confirmation. The diagnosis is entirely clinical by excluding other possibilities, including hypocalcemic tetany,</w:t>
      </w:r>
      <w:r w:rsidR="00DD4341" w:rsidRPr="6CCBBC13">
        <w:rPr>
          <w:rFonts w:asciiTheme="majorHAnsi" w:hAnsiTheme="majorHAnsi" w:cs="Garamond-BookCondensed"/>
          <w:sz w:val="22"/>
          <w:szCs w:val="22"/>
        </w:rPr>
        <w:t xml:space="preserve"> </w:t>
      </w:r>
      <w:r w:rsidR="00040BEC" w:rsidRPr="6CCBBC13">
        <w:rPr>
          <w:rFonts w:asciiTheme="majorHAnsi" w:hAnsiTheme="majorHAnsi" w:cs="Garamond-BookCondensed"/>
          <w:sz w:val="22"/>
          <w:szCs w:val="22"/>
        </w:rPr>
        <w:t xml:space="preserve">prescribed drug interactions, </w:t>
      </w:r>
      <w:r w:rsidRPr="6CCBBC13">
        <w:rPr>
          <w:rFonts w:asciiTheme="majorHAnsi" w:hAnsiTheme="majorHAnsi" w:cs="Garamond-BookCondensed"/>
          <w:sz w:val="22"/>
          <w:szCs w:val="22"/>
        </w:rPr>
        <w:t xml:space="preserve">phenothiazine reaction, strychnine poisoning, and </w:t>
      </w:r>
      <w:r w:rsidR="13B1A620" w:rsidRPr="6CCBBC13">
        <w:rPr>
          <w:rFonts w:asciiTheme="majorHAnsi" w:hAnsiTheme="majorHAnsi" w:cs="Garamond-BookCondensed"/>
          <w:sz w:val="22"/>
          <w:szCs w:val="22"/>
        </w:rPr>
        <w:t>odontogenic infections</w:t>
      </w:r>
      <w:r w:rsidRPr="6CCBBC13">
        <w:rPr>
          <w:rFonts w:asciiTheme="majorHAnsi" w:hAnsiTheme="majorHAnsi" w:cs="Garamond-BookCondensed"/>
          <w:sz w:val="22"/>
          <w:szCs w:val="22"/>
        </w:rPr>
        <w:t xml:space="preserve">. </w:t>
      </w:r>
      <w:r w:rsidRPr="6CCBBC13">
        <w:rPr>
          <w:rFonts w:asciiTheme="majorHAnsi" w:hAnsiTheme="majorHAnsi" w:cs="Garamond-BookCondensed"/>
          <w:i/>
          <w:iCs/>
          <w:sz w:val="22"/>
          <w:szCs w:val="22"/>
        </w:rPr>
        <w:t>C. tetani</w:t>
      </w:r>
      <w:r w:rsidRPr="6CCBBC13">
        <w:rPr>
          <w:rFonts w:asciiTheme="majorHAnsi" w:hAnsiTheme="majorHAnsi" w:cs="Garamond-BookCondensedItalic"/>
          <w:i/>
          <w:iCs/>
          <w:sz w:val="22"/>
          <w:szCs w:val="22"/>
        </w:rPr>
        <w:t xml:space="preserve"> </w:t>
      </w:r>
      <w:r w:rsidRPr="6CCBBC13">
        <w:rPr>
          <w:rFonts w:asciiTheme="majorHAnsi" w:hAnsiTheme="majorHAnsi" w:cs="Garamond-BookCondensed"/>
          <w:sz w:val="22"/>
          <w:szCs w:val="22"/>
        </w:rPr>
        <w:t>is recovered from the wound in only 30% of</w:t>
      </w:r>
      <w:r w:rsidR="00DD4341"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cases, and it is sometimes isolated from patients who do not have tetanus.</w:t>
      </w:r>
    </w:p>
    <w:p w14:paraId="2AEDC416"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7E88539C" w14:textId="3E5169C8" w:rsidR="008B27E4" w:rsidRPr="0007633A" w:rsidRDefault="008B27E4" w:rsidP="6CCBBC13">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sz w:val="22"/>
          <w:szCs w:val="22"/>
        </w:rPr>
        <w:t xml:space="preserve">Sera collected before </w:t>
      </w:r>
      <w:r w:rsidR="5D0297C3" w:rsidRPr="6CCBBC13">
        <w:rPr>
          <w:rFonts w:asciiTheme="majorHAnsi" w:hAnsiTheme="majorHAnsi" w:cs="Garamond-BookCondensed"/>
          <w:sz w:val="22"/>
          <w:szCs w:val="22"/>
        </w:rPr>
        <w:t xml:space="preserve">administration of </w:t>
      </w:r>
      <w:r w:rsidRPr="6CCBBC13">
        <w:rPr>
          <w:rFonts w:asciiTheme="majorHAnsi" w:hAnsiTheme="majorHAnsi" w:cs="Garamond-BookCondensed"/>
          <w:sz w:val="22"/>
          <w:szCs w:val="22"/>
        </w:rPr>
        <w:t>human tetanus immune globulin (TIG) can support the existence of</w:t>
      </w:r>
      <w:r w:rsidR="00DD4341"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susceptibility if the result demonstrates very low or undetectable anti-tetanus antibody levels. However, tetanus can</w:t>
      </w:r>
      <w:r w:rsidR="00DD4341"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occur in the presence of “protective” levels of antitoxin (&gt;0.1 IU by standard enzyme immunoassay [EIA]); therefore</w:t>
      </w:r>
      <w:r w:rsidR="00DD4341"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serology can never exclude the diagnosis of tetanus.</w:t>
      </w:r>
    </w:p>
    <w:p w14:paraId="4EFC7CC9" w14:textId="77777777" w:rsidR="00DD4341" w:rsidRPr="0007633A" w:rsidRDefault="00DD4341" w:rsidP="008B27E4">
      <w:pPr>
        <w:autoSpaceDE w:val="0"/>
        <w:autoSpaceDN w:val="0"/>
        <w:adjustRightInd w:val="0"/>
        <w:rPr>
          <w:rFonts w:asciiTheme="majorHAnsi" w:hAnsiTheme="majorHAnsi" w:cs="Garamond-BookCondensed"/>
          <w:sz w:val="22"/>
          <w:szCs w:val="22"/>
        </w:rPr>
      </w:pPr>
    </w:p>
    <w:p w14:paraId="474C0143" w14:textId="6E217A16" w:rsidR="00107EB5" w:rsidRDefault="008B27E4" w:rsidP="008B27E4">
      <w:pPr>
        <w:autoSpaceDE w:val="0"/>
        <w:autoSpaceDN w:val="0"/>
        <w:adjustRightInd w:val="0"/>
        <w:rPr>
          <w:rFonts w:asciiTheme="majorHAnsi" w:hAnsiTheme="majorHAnsi" w:cs="Garamond-BookCondensed"/>
          <w:sz w:val="22"/>
          <w:szCs w:val="22"/>
        </w:rPr>
      </w:pPr>
      <w:r w:rsidRPr="0007633A">
        <w:rPr>
          <w:rFonts w:asciiTheme="majorHAnsi" w:hAnsiTheme="majorHAnsi" w:cs="Garamond-BookCondensed"/>
          <w:sz w:val="22"/>
          <w:szCs w:val="22"/>
        </w:rPr>
        <w:t>The MDPH State Laboratory Institute (</w:t>
      </w:r>
      <w:r w:rsidR="00040BEC" w:rsidRPr="0007633A">
        <w:rPr>
          <w:rFonts w:asciiTheme="majorHAnsi" w:hAnsiTheme="majorHAnsi" w:cs="Garamond-BookCondensed"/>
          <w:sz w:val="22"/>
          <w:szCs w:val="22"/>
        </w:rPr>
        <w:t>MA SPH</w:t>
      </w:r>
      <w:r w:rsidR="001C1364" w:rsidRPr="0007633A">
        <w:rPr>
          <w:rFonts w:asciiTheme="majorHAnsi" w:hAnsiTheme="majorHAnsi" w:cs="Garamond-BookCondensed"/>
          <w:sz w:val="22"/>
          <w:szCs w:val="22"/>
        </w:rPr>
        <w:t>L</w:t>
      </w:r>
      <w:r w:rsidRPr="0007633A">
        <w:rPr>
          <w:rFonts w:asciiTheme="majorHAnsi" w:hAnsiTheme="majorHAnsi" w:cs="Garamond-BookCondensed"/>
          <w:sz w:val="22"/>
          <w:szCs w:val="22"/>
        </w:rPr>
        <w:t>) does not provide testing services for tetanus diagnosis.</w:t>
      </w:r>
    </w:p>
    <w:p w14:paraId="15558519" w14:textId="77777777" w:rsidR="00107EB5" w:rsidRDefault="00107EB5">
      <w:pPr>
        <w:rPr>
          <w:rFonts w:asciiTheme="majorHAnsi" w:hAnsiTheme="majorHAnsi" w:cs="Garamond-BookCondensed"/>
          <w:sz w:val="22"/>
          <w:szCs w:val="22"/>
        </w:rPr>
      </w:pPr>
      <w:r>
        <w:rPr>
          <w:rFonts w:asciiTheme="majorHAnsi" w:hAnsiTheme="majorHAnsi" w:cs="Garamond-BookCondensed"/>
          <w:sz w:val="22"/>
          <w:szCs w:val="22"/>
        </w:rPr>
        <w:br w:type="page"/>
      </w:r>
    </w:p>
    <w:p w14:paraId="2F0AEEDC" w14:textId="77777777" w:rsidR="008B27E4" w:rsidRPr="00070065" w:rsidRDefault="008B27E4" w:rsidP="008B27E4">
      <w:pPr>
        <w:autoSpaceDE w:val="0"/>
        <w:autoSpaceDN w:val="0"/>
        <w:adjustRightInd w:val="0"/>
        <w:rPr>
          <w:rFonts w:ascii="TradeGothic-CondEighteen" w:hAnsi="TradeGothic-CondEighteen" w:cs="TradeGothic-CondEighteen"/>
          <w:b/>
        </w:rPr>
      </w:pPr>
      <w:r w:rsidRPr="00070065">
        <w:rPr>
          <w:rFonts w:ascii="TradeGothic-CondEighteen" w:hAnsi="TradeGothic-CondEighteen" w:cs="TradeGothic-CondEighteen"/>
          <w:b/>
        </w:rPr>
        <w:lastRenderedPageBreak/>
        <w:t>Section 3:</w:t>
      </w:r>
    </w:p>
    <w:p w14:paraId="517A2A2A" w14:textId="77777777" w:rsidR="008B27E4" w:rsidRPr="00FE5E8E" w:rsidRDefault="008B27E4" w:rsidP="00797C90">
      <w:pPr>
        <w:pStyle w:val="SurvManHead"/>
        <w:rPr>
          <w:color w:val="4F81BD"/>
        </w:rPr>
      </w:pPr>
      <w:r w:rsidRPr="597304D7">
        <w:t xml:space="preserve">REPORTING </w:t>
      </w:r>
      <w:r w:rsidRPr="00F34337">
        <w:t>RESPONSIBILITIES</w:t>
      </w:r>
      <w:r w:rsidRPr="597304D7">
        <w:t xml:space="preserve"> AND CASE INVESTIGATION</w:t>
      </w:r>
    </w:p>
    <w:p w14:paraId="56B06898" w14:textId="77777777" w:rsidR="00DD4341" w:rsidRDefault="00DD4341" w:rsidP="008B27E4">
      <w:pPr>
        <w:autoSpaceDE w:val="0"/>
        <w:autoSpaceDN w:val="0"/>
        <w:adjustRightInd w:val="0"/>
        <w:rPr>
          <w:rFonts w:ascii="TradeGothic-BoldCondTwenty" w:hAnsi="TradeGothic-BoldCondTwenty" w:cs="TradeGothic-BoldCondTwenty"/>
          <w:b/>
          <w:bCs/>
          <w:sz w:val="22"/>
          <w:szCs w:val="22"/>
        </w:rPr>
      </w:pPr>
    </w:p>
    <w:p w14:paraId="48A9792B"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A. Purpose of Surveillance and Reporting</w:t>
      </w:r>
    </w:p>
    <w:p w14:paraId="289A3A51" w14:textId="77777777" w:rsidR="00DD4341" w:rsidRPr="004D5749" w:rsidRDefault="00DD4341" w:rsidP="008B27E4">
      <w:pPr>
        <w:autoSpaceDE w:val="0"/>
        <w:autoSpaceDN w:val="0"/>
        <w:adjustRightInd w:val="0"/>
        <w:rPr>
          <w:rFonts w:asciiTheme="majorHAnsi" w:eastAsia="MS Mincho" w:hAnsiTheme="majorHAnsi" w:cs="MS Mincho"/>
          <w:sz w:val="22"/>
          <w:szCs w:val="22"/>
        </w:rPr>
      </w:pPr>
    </w:p>
    <w:p w14:paraId="3FBC0B25" w14:textId="7AC2672B" w:rsidR="008B27E4" w:rsidRPr="004D5749" w:rsidRDefault="008B27E4" w:rsidP="004D0A46">
      <w:pPr>
        <w:numPr>
          <w:ilvl w:val="0"/>
          <w:numId w:val="1"/>
        </w:num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 xml:space="preserve">To assure early evaluation, and where appropriate, treatment with tetanus-toxoid </w:t>
      </w:r>
      <w:r w:rsidR="00AB443F" w:rsidRPr="004D5749">
        <w:rPr>
          <w:rFonts w:asciiTheme="majorHAnsi" w:hAnsiTheme="majorHAnsi" w:cs="Garamond-BookCondensed"/>
          <w:sz w:val="22"/>
          <w:szCs w:val="22"/>
        </w:rPr>
        <w:t>containing vaccine</w:t>
      </w:r>
      <w:r w:rsidRPr="004D5749">
        <w:rPr>
          <w:rFonts w:asciiTheme="majorHAnsi" w:hAnsiTheme="majorHAnsi" w:cs="Garamond-BookCondensed"/>
          <w:sz w:val="22"/>
          <w:szCs w:val="22"/>
        </w:rPr>
        <w:t xml:space="preserve"> and/or tetanus</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immune globulin (TIG)</w:t>
      </w:r>
      <w:r w:rsidR="00040BEC" w:rsidRPr="004D5749">
        <w:rPr>
          <w:rFonts w:asciiTheme="majorHAnsi" w:hAnsiTheme="majorHAnsi" w:cs="Garamond-BookCondensed"/>
          <w:color w:val="FF0000"/>
          <w:sz w:val="22"/>
          <w:szCs w:val="22"/>
        </w:rPr>
        <w:t xml:space="preserve">, </w:t>
      </w:r>
      <w:r w:rsidR="00040BEC" w:rsidRPr="004D5749">
        <w:rPr>
          <w:rFonts w:asciiTheme="majorHAnsi" w:hAnsiTheme="majorHAnsi" w:cs="Garamond-BookCondensed"/>
          <w:sz w:val="22"/>
          <w:szCs w:val="22"/>
        </w:rPr>
        <w:t>antibiotics</w:t>
      </w:r>
      <w:r w:rsidRPr="004D5749">
        <w:rPr>
          <w:rFonts w:asciiTheme="majorHAnsi" w:hAnsiTheme="majorHAnsi" w:cs="Garamond-BookCondensed"/>
          <w:sz w:val="22"/>
          <w:szCs w:val="22"/>
        </w:rPr>
        <w:t xml:space="preserve"> and hospitalization.</w:t>
      </w:r>
    </w:p>
    <w:p w14:paraId="2C045C7D" w14:textId="77777777" w:rsidR="00DD4341" w:rsidRPr="004D5749" w:rsidRDefault="00DD4341" w:rsidP="008B27E4">
      <w:pPr>
        <w:autoSpaceDE w:val="0"/>
        <w:autoSpaceDN w:val="0"/>
        <w:adjustRightInd w:val="0"/>
        <w:rPr>
          <w:rFonts w:asciiTheme="majorHAnsi" w:hAnsiTheme="majorHAnsi" w:cs="Garamond-BookCondensed"/>
          <w:sz w:val="22"/>
          <w:szCs w:val="22"/>
        </w:rPr>
      </w:pPr>
    </w:p>
    <w:p w14:paraId="3E5CFD47" w14:textId="77777777" w:rsidR="008B27E4" w:rsidRPr="004D5749" w:rsidRDefault="008B27E4" w:rsidP="004D0A46">
      <w:pPr>
        <w:numPr>
          <w:ilvl w:val="0"/>
          <w:numId w:val="1"/>
        </w:num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To identify groups and areas in which risk of disease is highest (due to under-immunization, occupation, other</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practices, etc.) so that prevention efforts can be focused.</w:t>
      </w:r>
    </w:p>
    <w:p w14:paraId="106D6CC8" w14:textId="77777777" w:rsidR="00DD4341" w:rsidRPr="00C23238" w:rsidRDefault="00DD4341" w:rsidP="008B27E4">
      <w:pPr>
        <w:autoSpaceDE w:val="0"/>
        <w:autoSpaceDN w:val="0"/>
        <w:adjustRightInd w:val="0"/>
        <w:rPr>
          <w:rFonts w:ascii="Arial" w:hAnsi="Arial" w:cs="Arial"/>
          <w:sz w:val="20"/>
          <w:szCs w:val="20"/>
        </w:rPr>
      </w:pPr>
    </w:p>
    <w:p w14:paraId="50F2DBEB"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B. Laboratory and Health Care Provider Reporting</w:t>
      </w:r>
    </w:p>
    <w:p w14:paraId="0FEBA71B" w14:textId="77777777" w:rsidR="00DD4341" w:rsidRDefault="00DD4341" w:rsidP="008B27E4">
      <w:pPr>
        <w:autoSpaceDE w:val="0"/>
        <w:autoSpaceDN w:val="0"/>
        <w:adjustRightInd w:val="0"/>
        <w:rPr>
          <w:rFonts w:ascii="Garamond-BookCondensed" w:hAnsi="Garamond-BookCondensed" w:cs="Garamond-BookCondensed"/>
          <w:sz w:val="20"/>
          <w:szCs w:val="20"/>
        </w:rPr>
      </w:pPr>
    </w:p>
    <w:p w14:paraId="5E767D64" w14:textId="2B76B1DA" w:rsidR="008B27E4" w:rsidRPr="004D5749"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Tetanus is reportable to the local board of health (LBOH). The MDPH requests that health care providers immediately</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report by telephone to the LBOH in the community where the case is diagnosed, all </w:t>
      </w:r>
      <w:r w:rsidR="00C6298E" w:rsidRPr="004D5749">
        <w:rPr>
          <w:rFonts w:asciiTheme="majorHAnsi" w:hAnsiTheme="majorHAnsi" w:cs="Garamond-BookCondensed"/>
          <w:sz w:val="22"/>
          <w:szCs w:val="22"/>
        </w:rPr>
        <w:t>probable</w:t>
      </w:r>
      <w:r w:rsidRPr="004D5749">
        <w:rPr>
          <w:rFonts w:asciiTheme="majorHAnsi" w:hAnsiTheme="majorHAnsi" w:cs="Garamond-BookCondensed"/>
          <w:sz w:val="22"/>
          <w:szCs w:val="22"/>
        </w:rPr>
        <w:t xml:space="preserve"> or suspect cases of</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tetanus, as defined by the reporting criteria in Section 2A.</w:t>
      </w:r>
    </w:p>
    <w:p w14:paraId="02B54338" w14:textId="77777777" w:rsidR="00DD4341" w:rsidRPr="00070065" w:rsidRDefault="00DD4341" w:rsidP="008B27E4">
      <w:pPr>
        <w:autoSpaceDE w:val="0"/>
        <w:autoSpaceDN w:val="0"/>
        <w:adjustRightInd w:val="0"/>
        <w:rPr>
          <w:rFonts w:ascii="TradeGothic-BoldCondTwenty" w:hAnsi="TradeGothic-BoldCondTwenty" w:cs="TradeGothic-BoldCondTwenty"/>
          <w:sz w:val="20"/>
          <w:szCs w:val="20"/>
        </w:rPr>
      </w:pPr>
    </w:p>
    <w:p w14:paraId="7EE05F4E" w14:textId="42D0CD23" w:rsidR="008B27E4" w:rsidRPr="004D5749" w:rsidRDefault="008B27E4" w:rsidP="008B27E4">
      <w:pPr>
        <w:autoSpaceDE w:val="0"/>
        <w:autoSpaceDN w:val="0"/>
        <w:adjustRightInd w:val="0"/>
        <w:rPr>
          <w:rFonts w:asciiTheme="majorHAnsi" w:hAnsiTheme="majorHAnsi" w:cs="Garamond-BookCondensed"/>
          <w:b/>
          <w:sz w:val="22"/>
          <w:szCs w:val="22"/>
        </w:rPr>
      </w:pPr>
      <w:r w:rsidRPr="004D5749">
        <w:rPr>
          <w:rFonts w:asciiTheme="majorHAnsi" w:hAnsiTheme="majorHAnsi" w:cs="Garamond-BookCondensed"/>
          <w:b/>
          <w:sz w:val="22"/>
          <w:szCs w:val="22"/>
        </w:rPr>
        <w:t>Due to the potential severity of tetanus, the MDPH requests that information about any case be</w:t>
      </w:r>
      <w:r w:rsidR="00DD4341" w:rsidRPr="004D5749">
        <w:rPr>
          <w:rFonts w:asciiTheme="majorHAnsi" w:hAnsiTheme="majorHAnsi" w:cs="Garamond-BookCondensed"/>
          <w:b/>
          <w:sz w:val="22"/>
          <w:szCs w:val="22"/>
        </w:rPr>
        <w:t xml:space="preserve"> </w:t>
      </w:r>
      <w:r w:rsidRPr="004D5749">
        <w:rPr>
          <w:rFonts w:asciiTheme="majorHAnsi" w:hAnsiTheme="majorHAnsi" w:cs="Garamond-BookCondensed"/>
          <w:b/>
          <w:sz w:val="22"/>
          <w:szCs w:val="22"/>
        </w:rPr>
        <w:t>immediately reported by telephone (24 hours a day, 7 days a week) to a</w:t>
      </w:r>
      <w:r w:rsidR="00FB0A42">
        <w:rPr>
          <w:rFonts w:asciiTheme="majorHAnsi" w:hAnsiTheme="majorHAnsi" w:cs="Garamond-BookCondensed"/>
          <w:b/>
          <w:sz w:val="22"/>
          <w:szCs w:val="22"/>
        </w:rPr>
        <w:t>n</w:t>
      </w:r>
      <w:r w:rsidRPr="004D5749">
        <w:rPr>
          <w:rFonts w:asciiTheme="majorHAnsi" w:hAnsiTheme="majorHAnsi" w:cs="Garamond-BookCondensed"/>
          <w:b/>
          <w:sz w:val="22"/>
          <w:szCs w:val="22"/>
        </w:rPr>
        <w:t xml:space="preserve"> MDPH epidemiologist at the MDPH Division of Epidemiology by calling (617) 983-6800</w:t>
      </w:r>
      <w:r w:rsidR="00B8299B" w:rsidRPr="004D5749">
        <w:rPr>
          <w:rFonts w:asciiTheme="majorHAnsi" w:hAnsiTheme="majorHAnsi" w:cs="Garamond-BookCondensed"/>
          <w:b/>
          <w:sz w:val="22"/>
          <w:szCs w:val="22"/>
        </w:rPr>
        <w:t>.</w:t>
      </w:r>
    </w:p>
    <w:p w14:paraId="00B53ABD" w14:textId="77777777" w:rsidR="00DD4341" w:rsidRPr="004D5749" w:rsidRDefault="00DD4341" w:rsidP="008B27E4">
      <w:pPr>
        <w:autoSpaceDE w:val="0"/>
        <w:autoSpaceDN w:val="0"/>
        <w:adjustRightInd w:val="0"/>
        <w:rPr>
          <w:rFonts w:asciiTheme="majorHAnsi" w:hAnsiTheme="majorHAnsi" w:cs="Garamond-BookCondensed"/>
          <w:b/>
          <w:sz w:val="22"/>
          <w:szCs w:val="22"/>
        </w:rPr>
      </w:pPr>
    </w:p>
    <w:p w14:paraId="439B1164" w14:textId="3C6664A8" w:rsidR="008B27E4" w:rsidRPr="004D5749"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Laboratories performing examinations on any specimens derived from Massachusetts residents that yield evidence of</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i/>
          <w:sz w:val="22"/>
          <w:szCs w:val="22"/>
        </w:rPr>
        <w:t>C. tetani</w:t>
      </w:r>
      <w:r w:rsidRPr="004D5749">
        <w:rPr>
          <w:rFonts w:asciiTheme="majorHAnsi" w:hAnsiTheme="majorHAnsi" w:cs="Garamond-BookCondensedItalic"/>
          <w:i/>
          <w:iCs/>
          <w:sz w:val="22"/>
          <w:szCs w:val="22"/>
        </w:rPr>
        <w:t xml:space="preserve"> </w:t>
      </w:r>
      <w:r w:rsidRPr="004D5749">
        <w:rPr>
          <w:rFonts w:asciiTheme="majorHAnsi" w:hAnsiTheme="majorHAnsi" w:cs="Garamond-BookCondensed"/>
          <w:sz w:val="22"/>
          <w:szCs w:val="22"/>
        </w:rPr>
        <w:t>infection shall immediately report such evidence of infection, directly by phone, to the MDPH Division of</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Epidemiology at (617) 983-6800.</w:t>
      </w:r>
    </w:p>
    <w:p w14:paraId="2EF71407"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57C828A8"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C. Local Board of Health (LBOH) Reporting and Follow-Up Responsibilities</w:t>
      </w:r>
    </w:p>
    <w:p w14:paraId="34CCA640" w14:textId="77777777" w:rsidR="00DD4341" w:rsidRPr="004D5749" w:rsidRDefault="00DD4341" w:rsidP="008B27E4">
      <w:pPr>
        <w:autoSpaceDE w:val="0"/>
        <w:autoSpaceDN w:val="0"/>
        <w:adjustRightInd w:val="0"/>
        <w:rPr>
          <w:rFonts w:asciiTheme="majorHAnsi" w:hAnsiTheme="majorHAnsi" w:cs="TradeGothic-CondEighteenObl"/>
          <w:i/>
          <w:iCs/>
          <w:sz w:val="22"/>
          <w:szCs w:val="22"/>
        </w:rPr>
      </w:pPr>
    </w:p>
    <w:p w14:paraId="2A12AA56" w14:textId="77777777" w:rsidR="008B27E4" w:rsidRPr="004D5749" w:rsidRDefault="008B27E4" w:rsidP="008B27E4">
      <w:pPr>
        <w:autoSpaceDE w:val="0"/>
        <w:autoSpaceDN w:val="0"/>
        <w:adjustRightInd w:val="0"/>
        <w:rPr>
          <w:rFonts w:asciiTheme="majorHAnsi" w:hAnsiTheme="majorHAnsi" w:cs="TradeGothic-CondEighteenObl"/>
          <w:i/>
          <w:iCs/>
          <w:sz w:val="22"/>
          <w:szCs w:val="22"/>
        </w:rPr>
      </w:pPr>
      <w:r w:rsidRPr="004D5749">
        <w:rPr>
          <w:rFonts w:asciiTheme="majorHAnsi" w:hAnsiTheme="majorHAnsi" w:cs="TradeGothic-CondEighteenObl"/>
          <w:i/>
          <w:iCs/>
          <w:sz w:val="22"/>
          <w:szCs w:val="22"/>
        </w:rPr>
        <w:t>Reporting Requirements</w:t>
      </w:r>
    </w:p>
    <w:p w14:paraId="291D6ADA" w14:textId="77777777" w:rsidR="00DD4341" w:rsidRPr="004D5749" w:rsidRDefault="00DD4341" w:rsidP="008B27E4">
      <w:pPr>
        <w:autoSpaceDE w:val="0"/>
        <w:autoSpaceDN w:val="0"/>
        <w:adjustRightInd w:val="0"/>
        <w:rPr>
          <w:rFonts w:asciiTheme="majorHAnsi" w:hAnsiTheme="majorHAnsi" w:cs="TradeGothic-CondEighteenObl"/>
          <w:i/>
          <w:iCs/>
          <w:sz w:val="22"/>
          <w:szCs w:val="22"/>
        </w:rPr>
      </w:pPr>
    </w:p>
    <w:p w14:paraId="6898FD37" w14:textId="2BB01A88" w:rsidR="008B27E4" w:rsidRPr="004D5749"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 xml:space="preserve">MDPH regulations </w:t>
      </w:r>
      <w:r w:rsidRPr="004D5749">
        <w:rPr>
          <w:rFonts w:asciiTheme="majorHAnsi" w:hAnsiTheme="majorHAnsi" w:cs="Garamond-BookCondensedItalic"/>
          <w:i/>
          <w:iCs/>
          <w:sz w:val="22"/>
          <w:szCs w:val="22"/>
        </w:rPr>
        <w:t>(</w:t>
      </w:r>
      <w:r w:rsidRPr="004D5749">
        <w:rPr>
          <w:rFonts w:asciiTheme="majorHAnsi" w:hAnsiTheme="majorHAnsi" w:cs="Garamond-BookCondensed"/>
          <w:i/>
          <w:sz w:val="22"/>
          <w:szCs w:val="22"/>
        </w:rPr>
        <w:t>105 CMR 300.000</w:t>
      </w:r>
      <w:r w:rsidRPr="004D5749">
        <w:rPr>
          <w:rFonts w:asciiTheme="majorHAnsi" w:hAnsiTheme="majorHAnsi" w:cs="Garamond-BookCondensedItalic"/>
          <w:i/>
          <w:iCs/>
          <w:sz w:val="22"/>
          <w:szCs w:val="22"/>
        </w:rPr>
        <w:t xml:space="preserve">) </w:t>
      </w:r>
      <w:r w:rsidRPr="004D5749">
        <w:rPr>
          <w:rFonts w:asciiTheme="majorHAnsi" w:hAnsiTheme="majorHAnsi" w:cs="Garamond-BookCondensed"/>
          <w:sz w:val="22"/>
          <w:szCs w:val="22"/>
        </w:rPr>
        <w:t>stipulate that tetanus is reportable to the LBOH and that each LBOH must</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report any case of tetanus or suspect case of tetanus, as defined by the reporting criteria in Section 2A. Cases should</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be reported as soon as possible (24 hours a day, 7 days a week) to a</w:t>
      </w:r>
      <w:r w:rsidR="00FB0A42">
        <w:rPr>
          <w:rFonts w:asciiTheme="majorHAnsi" w:hAnsiTheme="majorHAnsi" w:cs="Garamond-BookCondensed"/>
          <w:sz w:val="22"/>
          <w:szCs w:val="22"/>
        </w:rPr>
        <w:t>n</w:t>
      </w:r>
      <w:r w:rsidRPr="004D5749">
        <w:rPr>
          <w:rFonts w:asciiTheme="majorHAnsi" w:hAnsiTheme="majorHAnsi" w:cs="Garamond-BookCondensed"/>
          <w:sz w:val="22"/>
          <w:szCs w:val="22"/>
        </w:rPr>
        <w:t xml:space="preserve"> MDPH epidemiologist at the MDPH</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Division of Epidemiology by calling (617) 983-6800</w:t>
      </w:r>
      <w:r w:rsidR="00B8299B" w:rsidRPr="004D5749">
        <w:rPr>
          <w:rFonts w:asciiTheme="majorHAnsi" w:hAnsiTheme="majorHAnsi" w:cs="Garamond-BookCondensed"/>
          <w:sz w:val="22"/>
          <w:szCs w:val="22"/>
        </w:rPr>
        <w:t>.</w:t>
      </w:r>
      <w:r w:rsidRPr="004D5749">
        <w:rPr>
          <w:rFonts w:asciiTheme="majorHAnsi" w:hAnsiTheme="majorHAnsi" w:cs="Garamond-BookCondensed"/>
          <w:sz w:val="22"/>
          <w:szCs w:val="22"/>
        </w:rPr>
        <w:t xml:space="preserve"> A</w:t>
      </w:r>
      <w:r w:rsidR="00FB0A42">
        <w:rPr>
          <w:rFonts w:asciiTheme="majorHAnsi" w:hAnsiTheme="majorHAnsi" w:cs="Garamond-BookCondensed"/>
          <w:sz w:val="22"/>
          <w:szCs w:val="22"/>
        </w:rPr>
        <w:t>n</w:t>
      </w:r>
      <w:r w:rsidRPr="004D5749">
        <w:rPr>
          <w:rFonts w:asciiTheme="majorHAnsi" w:hAnsiTheme="majorHAnsi" w:cs="Garamond-BookCondensed"/>
          <w:sz w:val="22"/>
          <w:szCs w:val="22"/>
        </w:rPr>
        <w:t xml:space="preserve"> MDPH epidemiologist, in collaboration with the LBOH, </w:t>
      </w:r>
      <w:r w:rsidR="00FB0A42">
        <w:rPr>
          <w:rFonts w:asciiTheme="majorHAnsi" w:hAnsiTheme="majorHAnsi" w:cs="Garamond-BookCondensed"/>
          <w:sz w:val="22"/>
          <w:szCs w:val="22"/>
        </w:rPr>
        <w:t>may</w:t>
      </w:r>
      <w:r w:rsidRPr="004D5749">
        <w:rPr>
          <w:rFonts w:asciiTheme="majorHAnsi" w:hAnsiTheme="majorHAnsi" w:cs="Garamond-BookCondensed"/>
          <w:sz w:val="22"/>
          <w:szCs w:val="22"/>
        </w:rPr>
        <w:t xml:space="preserve"> complete the </w:t>
      </w:r>
      <w:r w:rsidR="00FB0A42">
        <w:rPr>
          <w:rFonts w:asciiTheme="majorHAnsi" w:hAnsiTheme="majorHAnsi" w:cs="Garamond-BookCondensed"/>
          <w:sz w:val="22"/>
          <w:szCs w:val="22"/>
        </w:rPr>
        <w:t xml:space="preserve">optional </w:t>
      </w:r>
      <w:r w:rsidRPr="004D5749">
        <w:rPr>
          <w:rFonts w:asciiTheme="majorHAnsi" w:hAnsiTheme="majorHAnsi" w:cs="Garamond-BookCondensed"/>
          <w:sz w:val="22"/>
          <w:szCs w:val="22"/>
        </w:rPr>
        <w:t>Centers for Disease Control and Prevention (CDC)</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i/>
          <w:sz w:val="22"/>
          <w:szCs w:val="22"/>
        </w:rPr>
        <w:t>Tetanus Surveillance Worksheet</w:t>
      </w:r>
      <w:r w:rsidRPr="004D5749">
        <w:rPr>
          <w:rFonts w:asciiTheme="majorHAnsi" w:hAnsiTheme="majorHAnsi" w:cs="Garamond-BookCondensed"/>
          <w:sz w:val="22"/>
          <w:szCs w:val="22"/>
        </w:rPr>
        <w:t xml:space="preserve">. Cases will then be reported to the MDPH </w:t>
      </w:r>
      <w:r w:rsidR="00C6298E" w:rsidRPr="004D5749">
        <w:rPr>
          <w:rFonts w:asciiTheme="majorHAnsi" w:hAnsiTheme="majorHAnsi" w:cs="Garamond-BookCondensed"/>
          <w:sz w:val="22"/>
          <w:szCs w:val="22"/>
        </w:rPr>
        <w:t>Division of Surveillance, Analytics and Informatics (DSAI)</w:t>
      </w:r>
      <w:r w:rsidR="00FB0A42">
        <w:rPr>
          <w:rFonts w:asciiTheme="majorHAnsi" w:hAnsiTheme="majorHAnsi" w:cs="Garamond-BookCondensed"/>
          <w:sz w:val="22"/>
          <w:szCs w:val="22"/>
        </w:rPr>
        <w:t>.</w:t>
      </w:r>
    </w:p>
    <w:p w14:paraId="503726E2" w14:textId="77777777" w:rsidR="00DD4341" w:rsidRPr="004D5749" w:rsidRDefault="00DD4341" w:rsidP="008B27E4">
      <w:pPr>
        <w:autoSpaceDE w:val="0"/>
        <w:autoSpaceDN w:val="0"/>
        <w:adjustRightInd w:val="0"/>
        <w:rPr>
          <w:rFonts w:asciiTheme="majorHAnsi" w:hAnsiTheme="majorHAnsi" w:cs="TradeGothic-CondEighteenObl"/>
          <w:i/>
          <w:iCs/>
          <w:sz w:val="22"/>
          <w:szCs w:val="22"/>
        </w:rPr>
      </w:pPr>
    </w:p>
    <w:p w14:paraId="6EDB8843" w14:textId="1360E44F" w:rsidR="008B27E4" w:rsidRDefault="008B27E4" w:rsidP="3E79739A">
      <w:pPr>
        <w:autoSpaceDE w:val="0"/>
        <w:autoSpaceDN w:val="0"/>
        <w:adjustRightInd w:val="0"/>
        <w:rPr>
          <w:rFonts w:asciiTheme="majorHAnsi" w:hAnsiTheme="majorHAnsi" w:cs="TradeGothic-CondEighteenObl"/>
          <w:i/>
          <w:iCs/>
          <w:sz w:val="22"/>
          <w:szCs w:val="22"/>
        </w:rPr>
      </w:pPr>
      <w:r w:rsidRPr="3E79739A">
        <w:rPr>
          <w:rFonts w:asciiTheme="majorHAnsi" w:hAnsiTheme="majorHAnsi" w:cs="TradeGothic-CondEighteenObl"/>
          <w:i/>
          <w:iCs/>
          <w:sz w:val="22"/>
          <w:szCs w:val="22"/>
        </w:rPr>
        <w:t>Case Investigation</w:t>
      </w:r>
    </w:p>
    <w:p w14:paraId="07236B24" w14:textId="74D1FFA5" w:rsidR="00A73940" w:rsidRDefault="00A73940" w:rsidP="3E79739A">
      <w:pPr>
        <w:autoSpaceDE w:val="0"/>
        <w:autoSpaceDN w:val="0"/>
        <w:adjustRightInd w:val="0"/>
        <w:rPr>
          <w:rFonts w:asciiTheme="majorHAnsi" w:hAnsiTheme="majorHAnsi" w:cs="TradeGothic-CondEighteenObl"/>
          <w:i/>
          <w:iCs/>
          <w:sz w:val="22"/>
          <w:szCs w:val="22"/>
        </w:rPr>
      </w:pPr>
    </w:p>
    <w:p w14:paraId="706976C8" w14:textId="51B1E7B4" w:rsidR="008B27E4" w:rsidRPr="004D5749" w:rsidRDefault="008B27E4" w:rsidP="3E79739A">
      <w:pPr>
        <w:autoSpaceDE w:val="0"/>
        <w:autoSpaceDN w:val="0"/>
        <w:adjustRightInd w:val="0"/>
        <w:rPr>
          <w:rFonts w:asciiTheme="majorHAnsi" w:hAnsiTheme="majorHAnsi" w:cs="Garamond-BookCondensed"/>
          <w:b/>
          <w:bCs/>
          <w:sz w:val="22"/>
          <w:szCs w:val="22"/>
        </w:rPr>
      </w:pPr>
      <w:r w:rsidRPr="3E79739A">
        <w:rPr>
          <w:rFonts w:asciiTheme="majorHAnsi" w:hAnsiTheme="majorHAnsi" w:cs="Garamond-BookCondensed"/>
          <w:b/>
          <w:bCs/>
          <w:sz w:val="22"/>
          <w:szCs w:val="22"/>
        </w:rPr>
        <w:t xml:space="preserve">MDPH will </w:t>
      </w:r>
      <w:r w:rsidR="00FB0A42" w:rsidRPr="3E79739A">
        <w:rPr>
          <w:rFonts w:asciiTheme="majorHAnsi" w:hAnsiTheme="majorHAnsi" w:cs="Garamond-BookCondensed"/>
          <w:b/>
          <w:bCs/>
          <w:sz w:val="22"/>
          <w:szCs w:val="22"/>
        </w:rPr>
        <w:t xml:space="preserve">usually </w:t>
      </w:r>
      <w:r w:rsidRPr="3E79739A">
        <w:rPr>
          <w:rFonts w:asciiTheme="majorHAnsi" w:hAnsiTheme="majorHAnsi" w:cs="Garamond-BookCondensed"/>
          <w:b/>
          <w:bCs/>
          <w:sz w:val="22"/>
          <w:szCs w:val="22"/>
        </w:rPr>
        <w:t>take the lead on tetanus</w:t>
      </w:r>
      <w:r w:rsidR="00DD4341" w:rsidRPr="3E79739A">
        <w:rPr>
          <w:rFonts w:asciiTheme="majorHAnsi" w:hAnsiTheme="majorHAnsi" w:cs="Garamond-BookCondensed"/>
          <w:b/>
          <w:bCs/>
          <w:sz w:val="22"/>
          <w:szCs w:val="22"/>
        </w:rPr>
        <w:t xml:space="preserve"> </w:t>
      </w:r>
      <w:r w:rsidRPr="3E79739A">
        <w:rPr>
          <w:rFonts w:asciiTheme="majorHAnsi" w:hAnsiTheme="majorHAnsi" w:cs="Garamond-BookCondensed"/>
          <w:b/>
          <w:bCs/>
          <w:sz w:val="22"/>
          <w:szCs w:val="22"/>
        </w:rPr>
        <w:t xml:space="preserve">case investigation (including </w:t>
      </w:r>
      <w:r w:rsidR="008B53A0" w:rsidRPr="3E79739A">
        <w:rPr>
          <w:rFonts w:asciiTheme="majorHAnsi" w:hAnsiTheme="majorHAnsi" w:cs="Garamond-BookCondensed"/>
          <w:b/>
          <w:bCs/>
          <w:sz w:val="22"/>
          <w:szCs w:val="22"/>
        </w:rPr>
        <w:t>the case report in M</w:t>
      </w:r>
      <w:r w:rsidR="31736006" w:rsidRPr="3E79739A">
        <w:rPr>
          <w:rFonts w:asciiTheme="majorHAnsi" w:hAnsiTheme="majorHAnsi" w:cs="Garamond-BookCondensed"/>
          <w:b/>
          <w:bCs/>
          <w:sz w:val="22"/>
          <w:szCs w:val="22"/>
        </w:rPr>
        <w:t>AVEN</w:t>
      </w:r>
      <w:r w:rsidRPr="3E79739A">
        <w:rPr>
          <w:rFonts w:asciiTheme="majorHAnsi" w:hAnsiTheme="majorHAnsi" w:cs="Garamond-BookCondensed"/>
          <w:b/>
          <w:bCs/>
          <w:sz w:val="22"/>
          <w:szCs w:val="22"/>
        </w:rPr>
        <w:t>) and case management</w:t>
      </w:r>
      <w:r w:rsidR="00DD4341" w:rsidRPr="3E79739A">
        <w:rPr>
          <w:rFonts w:asciiTheme="majorHAnsi" w:hAnsiTheme="majorHAnsi" w:cs="Garamond-BookCondensed"/>
          <w:b/>
          <w:bCs/>
          <w:sz w:val="22"/>
          <w:szCs w:val="22"/>
        </w:rPr>
        <w:t xml:space="preserve"> </w:t>
      </w:r>
      <w:r w:rsidRPr="3E79739A">
        <w:rPr>
          <w:rFonts w:asciiTheme="majorHAnsi" w:hAnsiTheme="majorHAnsi" w:cs="Garamond-BookCondensed"/>
          <w:b/>
          <w:bCs/>
          <w:sz w:val="22"/>
          <w:szCs w:val="22"/>
        </w:rPr>
        <w:t>recommendations, in collaboration with the LBOH. The MDPH will keep the LBOH informed of all</w:t>
      </w:r>
      <w:r w:rsidR="00DD4341" w:rsidRPr="3E79739A">
        <w:rPr>
          <w:rFonts w:asciiTheme="majorHAnsi" w:hAnsiTheme="majorHAnsi" w:cs="Garamond-BookCondensed"/>
          <w:b/>
          <w:bCs/>
          <w:sz w:val="22"/>
          <w:szCs w:val="22"/>
        </w:rPr>
        <w:t xml:space="preserve"> </w:t>
      </w:r>
      <w:r w:rsidRPr="3E79739A">
        <w:rPr>
          <w:rFonts w:asciiTheme="majorHAnsi" w:hAnsiTheme="majorHAnsi" w:cs="Garamond-BookCondensed"/>
          <w:b/>
          <w:bCs/>
          <w:sz w:val="22"/>
          <w:szCs w:val="22"/>
        </w:rPr>
        <w:t>significant developments and will request the assistance of the LBOH as needed.</w:t>
      </w:r>
    </w:p>
    <w:p w14:paraId="18FEB78B" w14:textId="77777777" w:rsidR="00DD4341" w:rsidRPr="004D5749" w:rsidRDefault="00DD4341" w:rsidP="008B27E4">
      <w:pPr>
        <w:autoSpaceDE w:val="0"/>
        <w:autoSpaceDN w:val="0"/>
        <w:adjustRightInd w:val="0"/>
        <w:rPr>
          <w:rFonts w:asciiTheme="majorHAnsi" w:hAnsiTheme="majorHAnsi" w:cs="TradeGothic-BoldCondTwenty"/>
          <w:sz w:val="22"/>
          <w:szCs w:val="22"/>
        </w:rPr>
      </w:pPr>
    </w:p>
    <w:p w14:paraId="7ED3FDB9" w14:textId="77777777" w:rsidR="008B27E4" w:rsidRPr="004D5749"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In order to assess the likelihood that a suspect case is a true case, the MDPH and/or other public health staff helping in</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the investigation should ask about:</w:t>
      </w:r>
    </w:p>
    <w:p w14:paraId="25B9A52F" w14:textId="77777777" w:rsidR="00DD4341" w:rsidRPr="004D5749" w:rsidRDefault="00DD4341" w:rsidP="008B27E4">
      <w:pPr>
        <w:autoSpaceDE w:val="0"/>
        <w:autoSpaceDN w:val="0"/>
        <w:adjustRightInd w:val="0"/>
        <w:rPr>
          <w:rFonts w:asciiTheme="majorHAnsi" w:hAnsiTheme="majorHAnsi" w:cs="Garamond-BookCondensed"/>
          <w:sz w:val="22"/>
          <w:szCs w:val="22"/>
        </w:rPr>
      </w:pPr>
    </w:p>
    <w:p w14:paraId="5E02C308" w14:textId="467BCD5F" w:rsidR="008B27E4" w:rsidRDefault="008B27E4" w:rsidP="00A73940">
      <w:pPr>
        <w:pStyle w:val="ListParagraph"/>
        <w:numPr>
          <w:ilvl w:val="0"/>
          <w:numId w:val="18"/>
        </w:numPr>
        <w:autoSpaceDE w:val="0"/>
        <w:autoSpaceDN w:val="0"/>
        <w:adjustRightInd w:val="0"/>
        <w:rPr>
          <w:rFonts w:asciiTheme="majorHAnsi" w:hAnsiTheme="majorHAnsi" w:cs="Garamond-BookCondensed"/>
          <w:sz w:val="22"/>
          <w:szCs w:val="22"/>
        </w:rPr>
      </w:pPr>
      <w:r w:rsidRPr="00EE0B12">
        <w:rPr>
          <w:rFonts w:asciiTheme="majorHAnsi" w:hAnsiTheme="majorHAnsi" w:cs="Garamond-BookCondensed"/>
          <w:sz w:val="22"/>
          <w:szCs w:val="22"/>
        </w:rPr>
        <w:lastRenderedPageBreak/>
        <w:t>Clinical presentation</w:t>
      </w:r>
      <w:r w:rsidR="00FB16FB" w:rsidRPr="00EE0B12">
        <w:rPr>
          <w:rFonts w:asciiTheme="majorHAnsi" w:hAnsiTheme="majorHAnsi" w:cs="Garamond-BookCondensed"/>
          <w:sz w:val="22"/>
          <w:szCs w:val="22"/>
        </w:rPr>
        <w:t xml:space="preserve"> (symptoms, hospitalization, complications, pre-existing conditions)</w:t>
      </w:r>
      <w:r w:rsidRPr="00EE0B12">
        <w:rPr>
          <w:rFonts w:asciiTheme="majorHAnsi" w:hAnsiTheme="majorHAnsi" w:cs="Garamond-BookCondensed"/>
          <w:sz w:val="22"/>
          <w:szCs w:val="22"/>
        </w:rPr>
        <w:t>;</w:t>
      </w:r>
    </w:p>
    <w:p w14:paraId="168294E6" w14:textId="77777777" w:rsidR="00CB289E" w:rsidRPr="00750278" w:rsidRDefault="00CB289E" w:rsidP="00CB289E">
      <w:pPr>
        <w:autoSpaceDE w:val="0"/>
        <w:autoSpaceDN w:val="0"/>
        <w:adjustRightInd w:val="0"/>
        <w:rPr>
          <w:rFonts w:asciiTheme="majorHAnsi" w:hAnsiTheme="majorHAnsi" w:cs="Garamond-BookCondensed"/>
          <w:sz w:val="16"/>
          <w:szCs w:val="16"/>
        </w:rPr>
      </w:pPr>
    </w:p>
    <w:p w14:paraId="53F19523" w14:textId="11D758AC" w:rsidR="00FE2F31" w:rsidRPr="00EE0B12" w:rsidRDefault="00AD6B51" w:rsidP="00EE0B12">
      <w:pPr>
        <w:pStyle w:val="ListParagraph"/>
        <w:numPr>
          <w:ilvl w:val="0"/>
          <w:numId w:val="18"/>
        </w:numPr>
        <w:autoSpaceDE w:val="0"/>
        <w:autoSpaceDN w:val="0"/>
        <w:adjustRightInd w:val="0"/>
        <w:rPr>
          <w:rFonts w:asciiTheme="majorHAnsi" w:hAnsiTheme="majorHAnsi" w:cs="Garamond-BookCondensed"/>
          <w:sz w:val="22"/>
          <w:szCs w:val="22"/>
        </w:rPr>
      </w:pPr>
      <w:r w:rsidRPr="00EE0B12">
        <w:rPr>
          <w:rFonts w:asciiTheme="majorHAnsi" w:hAnsiTheme="majorHAnsi" w:cs="Garamond-BookCondensed"/>
          <w:sz w:val="22"/>
          <w:szCs w:val="22"/>
        </w:rPr>
        <w:t>What else is in the differential</w:t>
      </w:r>
      <w:r w:rsidR="0087033C">
        <w:rPr>
          <w:rFonts w:asciiTheme="majorHAnsi" w:hAnsiTheme="majorHAnsi" w:cs="Garamond-BookCondensed"/>
          <w:sz w:val="22"/>
          <w:szCs w:val="22"/>
        </w:rPr>
        <w:t xml:space="preserve"> and h</w:t>
      </w:r>
      <w:r w:rsidR="00CB289E">
        <w:rPr>
          <w:rFonts w:asciiTheme="majorHAnsi" w:hAnsiTheme="majorHAnsi" w:cs="Garamond-BookCondensed"/>
          <w:sz w:val="22"/>
          <w:szCs w:val="22"/>
        </w:rPr>
        <w:t>as anything been ruled out</w:t>
      </w:r>
      <w:r w:rsidR="0087033C">
        <w:rPr>
          <w:rFonts w:asciiTheme="majorHAnsi" w:hAnsiTheme="majorHAnsi" w:cs="Garamond-BookCondensed"/>
          <w:sz w:val="22"/>
          <w:szCs w:val="22"/>
        </w:rPr>
        <w:t>;</w:t>
      </w:r>
    </w:p>
    <w:p w14:paraId="2B00E445" w14:textId="77777777" w:rsidR="00DD4341" w:rsidRPr="00750278" w:rsidRDefault="00DD4341" w:rsidP="008B27E4">
      <w:pPr>
        <w:autoSpaceDE w:val="0"/>
        <w:autoSpaceDN w:val="0"/>
        <w:adjustRightInd w:val="0"/>
        <w:rPr>
          <w:rFonts w:asciiTheme="majorHAnsi" w:hAnsiTheme="majorHAnsi" w:cs="Garamond-BookCondensed"/>
          <w:sz w:val="16"/>
          <w:szCs w:val="16"/>
        </w:rPr>
      </w:pPr>
    </w:p>
    <w:p w14:paraId="5C420727" w14:textId="6208E8A6" w:rsidR="008B27E4" w:rsidRPr="00EE0B12" w:rsidRDefault="008B27E4" w:rsidP="00EE0B12">
      <w:pPr>
        <w:pStyle w:val="ListParagraph"/>
        <w:numPr>
          <w:ilvl w:val="0"/>
          <w:numId w:val="18"/>
        </w:numPr>
        <w:autoSpaceDE w:val="0"/>
        <w:autoSpaceDN w:val="0"/>
        <w:adjustRightInd w:val="0"/>
        <w:rPr>
          <w:rFonts w:asciiTheme="majorHAnsi" w:hAnsiTheme="majorHAnsi" w:cs="Garamond-BookCondensed"/>
          <w:sz w:val="22"/>
          <w:szCs w:val="22"/>
        </w:rPr>
      </w:pPr>
      <w:r w:rsidRPr="00EE0B12">
        <w:rPr>
          <w:rFonts w:asciiTheme="majorHAnsi" w:hAnsiTheme="majorHAnsi" w:cs="Garamond-BookCondensed"/>
          <w:sz w:val="22"/>
          <w:szCs w:val="22"/>
        </w:rPr>
        <w:t>Tetanus immunization history, including date of last booster dose;</w:t>
      </w:r>
    </w:p>
    <w:p w14:paraId="6C194612" w14:textId="77777777" w:rsidR="00DD4341" w:rsidRPr="00750278" w:rsidRDefault="00DD4341" w:rsidP="008B27E4">
      <w:pPr>
        <w:autoSpaceDE w:val="0"/>
        <w:autoSpaceDN w:val="0"/>
        <w:adjustRightInd w:val="0"/>
        <w:rPr>
          <w:rFonts w:asciiTheme="majorHAnsi" w:hAnsiTheme="majorHAnsi" w:cs="Garamond-BookCondensed"/>
          <w:sz w:val="16"/>
          <w:szCs w:val="16"/>
        </w:rPr>
      </w:pPr>
    </w:p>
    <w:p w14:paraId="20A217C1" w14:textId="3775026C" w:rsidR="008B27E4" w:rsidRPr="00EE0B12" w:rsidRDefault="008B27E4" w:rsidP="00EE0B12">
      <w:pPr>
        <w:pStyle w:val="ListParagraph"/>
        <w:numPr>
          <w:ilvl w:val="0"/>
          <w:numId w:val="18"/>
        </w:numPr>
        <w:autoSpaceDE w:val="0"/>
        <w:autoSpaceDN w:val="0"/>
        <w:adjustRightInd w:val="0"/>
        <w:rPr>
          <w:rFonts w:asciiTheme="majorHAnsi" w:hAnsiTheme="majorHAnsi" w:cs="Garamond-BookCondensed"/>
          <w:sz w:val="22"/>
          <w:szCs w:val="22"/>
        </w:rPr>
      </w:pPr>
      <w:r w:rsidRPr="00EE0B12">
        <w:rPr>
          <w:rFonts w:asciiTheme="majorHAnsi" w:hAnsiTheme="majorHAnsi" w:cs="Garamond-BookCondensed"/>
          <w:sz w:val="22"/>
          <w:szCs w:val="22"/>
        </w:rPr>
        <w:t>Country of origin and length of residency in U.S.;</w:t>
      </w:r>
    </w:p>
    <w:p w14:paraId="0575FA4B" w14:textId="77777777" w:rsidR="00DD4341" w:rsidRPr="00750278" w:rsidRDefault="00DD4341" w:rsidP="008B27E4">
      <w:pPr>
        <w:autoSpaceDE w:val="0"/>
        <w:autoSpaceDN w:val="0"/>
        <w:adjustRightInd w:val="0"/>
        <w:rPr>
          <w:rFonts w:asciiTheme="majorHAnsi" w:hAnsiTheme="majorHAnsi" w:cs="Garamond-BookCondensed"/>
          <w:sz w:val="16"/>
          <w:szCs w:val="16"/>
        </w:rPr>
      </w:pPr>
    </w:p>
    <w:p w14:paraId="1A0FC50C" w14:textId="2E254EC4" w:rsidR="008B27E4" w:rsidRPr="00EE0B12" w:rsidRDefault="008B27E4" w:rsidP="00EE0B12">
      <w:pPr>
        <w:pStyle w:val="ListParagraph"/>
        <w:numPr>
          <w:ilvl w:val="0"/>
          <w:numId w:val="18"/>
        </w:numPr>
        <w:autoSpaceDE w:val="0"/>
        <w:autoSpaceDN w:val="0"/>
        <w:adjustRightInd w:val="0"/>
        <w:rPr>
          <w:rFonts w:asciiTheme="majorHAnsi" w:hAnsiTheme="majorHAnsi" w:cs="Garamond-BookCondensed"/>
          <w:sz w:val="22"/>
          <w:szCs w:val="22"/>
        </w:rPr>
      </w:pPr>
      <w:r w:rsidRPr="00EE0B12">
        <w:rPr>
          <w:rFonts w:asciiTheme="majorHAnsi" w:hAnsiTheme="majorHAnsi" w:cs="Garamond-BookCondensed"/>
          <w:sz w:val="22"/>
          <w:szCs w:val="22"/>
        </w:rPr>
        <w:t>Military dates of service (if any);</w:t>
      </w:r>
    </w:p>
    <w:p w14:paraId="6A0720DE" w14:textId="77777777" w:rsidR="00DD4341" w:rsidRPr="00750278" w:rsidRDefault="00DD4341" w:rsidP="008B27E4">
      <w:pPr>
        <w:autoSpaceDE w:val="0"/>
        <w:autoSpaceDN w:val="0"/>
        <w:adjustRightInd w:val="0"/>
        <w:rPr>
          <w:rFonts w:asciiTheme="majorHAnsi" w:hAnsiTheme="majorHAnsi" w:cs="Garamond-BookCondensed"/>
          <w:sz w:val="16"/>
          <w:szCs w:val="16"/>
        </w:rPr>
      </w:pPr>
    </w:p>
    <w:p w14:paraId="2E84D7BD" w14:textId="356AEE4A" w:rsidR="008B27E4" w:rsidRPr="00EE0B12" w:rsidRDefault="008B27E4" w:rsidP="00EE0B12">
      <w:pPr>
        <w:pStyle w:val="ListParagraph"/>
        <w:numPr>
          <w:ilvl w:val="0"/>
          <w:numId w:val="18"/>
        </w:numPr>
        <w:autoSpaceDE w:val="0"/>
        <w:autoSpaceDN w:val="0"/>
        <w:adjustRightInd w:val="0"/>
        <w:rPr>
          <w:rFonts w:asciiTheme="majorHAnsi" w:hAnsiTheme="majorHAnsi" w:cs="Garamond-BookCondensed"/>
          <w:sz w:val="22"/>
          <w:szCs w:val="22"/>
        </w:rPr>
      </w:pPr>
      <w:r w:rsidRPr="00EE0B12">
        <w:rPr>
          <w:rFonts w:asciiTheme="majorHAnsi" w:hAnsiTheme="majorHAnsi" w:cs="Garamond-BookCondensed"/>
          <w:sz w:val="22"/>
          <w:szCs w:val="22"/>
        </w:rPr>
        <w:t>Risk factors for disease, such as history of a wound or injury, chronic wounds (e.g., decubitus ulcer, diabetic</w:t>
      </w:r>
      <w:r w:rsidR="00DD4341" w:rsidRPr="00EE0B12">
        <w:rPr>
          <w:rFonts w:asciiTheme="majorHAnsi" w:hAnsiTheme="majorHAnsi" w:cs="Garamond-BookCondensed"/>
          <w:sz w:val="22"/>
          <w:szCs w:val="22"/>
        </w:rPr>
        <w:t xml:space="preserve"> </w:t>
      </w:r>
      <w:r w:rsidRPr="00EE0B12">
        <w:rPr>
          <w:rFonts w:asciiTheme="majorHAnsi" w:hAnsiTheme="majorHAnsi" w:cs="Garamond-BookCondensed"/>
          <w:sz w:val="22"/>
          <w:szCs w:val="22"/>
        </w:rPr>
        <w:t xml:space="preserve">ulcers), recent injection drug use, </w:t>
      </w:r>
      <w:r w:rsidR="008B53A0" w:rsidRPr="00EE0B12">
        <w:rPr>
          <w:rFonts w:asciiTheme="majorHAnsi" w:hAnsiTheme="majorHAnsi" w:cs="Garamond-BookCondensed"/>
          <w:sz w:val="22"/>
          <w:szCs w:val="22"/>
        </w:rPr>
        <w:t xml:space="preserve">recent prescription history, </w:t>
      </w:r>
      <w:r w:rsidRPr="00EE0B12">
        <w:rPr>
          <w:rFonts w:asciiTheme="majorHAnsi" w:hAnsiTheme="majorHAnsi" w:cs="Garamond-BookCondensed"/>
          <w:sz w:val="22"/>
          <w:szCs w:val="22"/>
        </w:rPr>
        <w:t>tattooing, or body piercing;</w:t>
      </w:r>
    </w:p>
    <w:p w14:paraId="39554780" w14:textId="77777777" w:rsidR="00DD4341" w:rsidRPr="00750278" w:rsidRDefault="00DD4341" w:rsidP="008B27E4">
      <w:pPr>
        <w:autoSpaceDE w:val="0"/>
        <w:autoSpaceDN w:val="0"/>
        <w:adjustRightInd w:val="0"/>
        <w:rPr>
          <w:rFonts w:asciiTheme="majorHAnsi" w:hAnsiTheme="majorHAnsi" w:cs="Garamond-BookCondensed"/>
          <w:sz w:val="16"/>
          <w:szCs w:val="16"/>
        </w:rPr>
      </w:pPr>
    </w:p>
    <w:p w14:paraId="17A4CB2D" w14:textId="751FD922" w:rsidR="008B27E4" w:rsidRPr="00EE0B12" w:rsidRDefault="008B27E4" w:rsidP="00EE0B12">
      <w:pPr>
        <w:pStyle w:val="ListParagraph"/>
        <w:numPr>
          <w:ilvl w:val="0"/>
          <w:numId w:val="18"/>
        </w:numPr>
        <w:autoSpaceDE w:val="0"/>
        <w:autoSpaceDN w:val="0"/>
        <w:adjustRightInd w:val="0"/>
        <w:rPr>
          <w:rFonts w:asciiTheme="majorHAnsi" w:hAnsiTheme="majorHAnsi" w:cs="Garamond-BookCondensed"/>
          <w:sz w:val="22"/>
          <w:szCs w:val="22"/>
        </w:rPr>
      </w:pPr>
      <w:r w:rsidRPr="00EE0B12">
        <w:rPr>
          <w:rFonts w:asciiTheme="majorHAnsi" w:hAnsiTheme="majorHAnsi" w:cs="Garamond-BookCondensed"/>
          <w:sz w:val="22"/>
          <w:szCs w:val="22"/>
        </w:rPr>
        <w:t>Occupations or hobbies involving contact with soil or manure; and</w:t>
      </w:r>
    </w:p>
    <w:p w14:paraId="28133060" w14:textId="77777777" w:rsidR="00DD4341" w:rsidRPr="00596491" w:rsidRDefault="00DD4341" w:rsidP="008B27E4">
      <w:pPr>
        <w:autoSpaceDE w:val="0"/>
        <w:autoSpaceDN w:val="0"/>
        <w:adjustRightInd w:val="0"/>
        <w:rPr>
          <w:rFonts w:asciiTheme="majorHAnsi" w:hAnsiTheme="majorHAnsi" w:cs="Garamond-BookCondensed"/>
          <w:sz w:val="16"/>
          <w:szCs w:val="16"/>
        </w:rPr>
      </w:pPr>
    </w:p>
    <w:p w14:paraId="0333A11B" w14:textId="01A624E3" w:rsidR="008B27E4" w:rsidRPr="00EE0B12" w:rsidRDefault="008B27E4" w:rsidP="00EE0B12">
      <w:pPr>
        <w:pStyle w:val="ListParagraph"/>
        <w:numPr>
          <w:ilvl w:val="0"/>
          <w:numId w:val="18"/>
        </w:numPr>
        <w:autoSpaceDE w:val="0"/>
        <w:autoSpaceDN w:val="0"/>
        <w:adjustRightInd w:val="0"/>
        <w:rPr>
          <w:rFonts w:asciiTheme="majorHAnsi" w:hAnsiTheme="majorHAnsi" w:cs="Garamond-BookCondensed"/>
          <w:sz w:val="22"/>
          <w:szCs w:val="22"/>
        </w:rPr>
      </w:pPr>
      <w:r w:rsidRPr="00EE0B12">
        <w:rPr>
          <w:rFonts w:asciiTheme="majorHAnsi" w:hAnsiTheme="majorHAnsi" w:cs="Garamond-BookCondensed"/>
          <w:sz w:val="22"/>
          <w:szCs w:val="22"/>
        </w:rPr>
        <w:t xml:space="preserve">Treatment/prophylaxis with </w:t>
      </w:r>
      <w:r w:rsidR="00FB16FB" w:rsidRPr="00EE0B12">
        <w:rPr>
          <w:rFonts w:asciiTheme="majorHAnsi" w:hAnsiTheme="majorHAnsi" w:cs="Garamond-BookCondensed"/>
          <w:sz w:val="22"/>
          <w:szCs w:val="22"/>
        </w:rPr>
        <w:t>tetanus toxoid-containing vaccine</w:t>
      </w:r>
      <w:r w:rsidRPr="00EE0B12">
        <w:rPr>
          <w:rFonts w:asciiTheme="majorHAnsi" w:hAnsiTheme="majorHAnsi" w:cs="Garamond-BookCondensed"/>
          <w:sz w:val="22"/>
          <w:szCs w:val="22"/>
        </w:rPr>
        <w:t>, TIG, or antibiotics.</w:t>
      </w:r>
    </w:p>
    <w:p w14:paraId="6EB82E32" w14:textId="77777777" w:rsidR="00DD4341" w:rsidRPr="00596491" w:rsidRDefault="00DD4341" w:rsidP="008B27E4">
      <w:pPr>
        <w:autoSpaceDE w:val="0"/>
        <w:autoSpaceDN w:val="0"/>
        <w:adjustRightInd w:val="0"/>
        <w:rPr>
          <w:rFonts w:asciiTheme="majorHAnsi" w:hAnsiTheme="majorHAnsi" w:cs="Garamond-BookCondensed"/>
          <w:sz w:val="16"/>
          <w:szCs w:val="16"/>
        </w:rPr>
      </w:pPr>
    </w:p>
    <w:p w14:paraId="2AD12682" w14:textId="57811ED3" w:rsidR="00DD4341" w:rsidRPr="004D5749"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For neonatal cases, ask about: a) maternal country of origin; b) number of years of residence in the U.S.</w:t>
      </w:r>
      <w:r w:rsidR="002876DF" w:rsidRPr="004D5749">
        <w:rPr>
          <w:rFonts w:asciiTheme="majorHAnsi" w:hAnsiTheme="majorHAnsi" w:cs="Garamond-BookCondensed"/>
          <w:sz w:val="22"/>
          <w:szCs w:val="22"/>
        </w:rPr>
        <w:t>; and c) maternal vaccination</w:t>
      </w:r>
      <w:r w:rsidR="00DD4341" w:rsidRPr="004D5749">
        <w:rPr>
          <w:rFonts w:asciiTheme="majorHAnsi" w:hAnsiTheme="majorHAnsi" w:cs="Garamond-BookCondensed"/>
          <w:sz w:val="22"/>
          <w:szCs w:val="22"/>
        </w:rPr>
        <w:t xml:space="preserve"> </w:t>
      </w:r>
    </w:p>
    <w:p w14:paraId="34BF1AD3" w14:textId="77777777" w:rsidR="00DD4341" w:rsidRPr="004D5749" w:rsidRDefault="00DD4341" w:rsidP="008B27E4">
      <w:pPr>
        <w:autoSpaceDE w:val="0"/>
        <w:autoSpaceDN w:val="0"/>
        <w:adjustRightInd w:val="0"/>
        <w:rPr>
          <w:rFonts w:asciiTheme="majorHAnsi" w:hAnsiTheme="majorHAnsi" w:cs="Garamond-BookCondensed"/>
          <w:sz w:val="22"/>
          <w:szCs w:val="22"/>
        </w:rPr>
      </w:pPr>
    </w:p>
    <w:p w14:paraId="2AC31526" w14:textId="080488B5" w:rsidR="5A0A8F62" w:rsidRPr="00EE0B12" w:rsidRDefault="5A0A8F62" w:rsidP="3E79739A">
      <w:pPr>
        <w:rPr>
          <w:rFonts w:asciiTheme="majorHAnsi" w:eastAsia="Calibri" w:hAnsiTheme="majorHAnsi" w:cs="Calibri"/>
          <w:color w:val="D13438"/>
          <w:sz w:val="22"/>
          <w:szCs w:val="22"/>
        </w:rPr>
      </w:pPr>
      <w:r w:rsidRPr="00EE0B12">
        <w:rPr>
          <w:rFonts w:asciiTheme="majorHAnsi" w:eastAsia="Calibri" w:hAnsiTheme="majorHAnsi" w:cs="Calibri"/>
          <w:color w:val="D13438"/>
          <w:sz w:val="22"/>
          <w:szCs w:val="22"/>
          <w:u w:val="single"/>
        </w:rPr>
        <w:t>Please note that complete case follow-up includes collection and reporting of ALL demographic data elements found in MAVEN Demographic Question Package including age, gender, sexual orientation, race, ethnicity, disability, occupation, and preferred language.</w:t>
      </w:r>
    </w:p>
    <w:p w14:paraId="490FA6F7" w14:textId="417DAADE" w:rsidR="3E79739A" w:rsidRDefault="3E79739A" w:rsidP="3E79739A">
      <w:pPr>
        <w:rPr>
          <w:rFonts w:asciiTheme="majorHAnsi" w:hAnsiTheme="majorHAnsi" w:cs="Garamond-BookCondensed"/>
          <w:sz w:val="22"/>
          <w:szCs w:val="22"/>
        </w:rPr>
      </w:pPr>
    </w:p>
    <w:p w14:paraId="2274E313" w14:textId="34B7FD09" w:rsidR="008B27E4"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Since tetanus is not transmitted from person to person, there are no routine control measures for a case of tetanus.</w:t>
      </w:r>
    </w:p>
    <w:p w14:paraId="596A398C" w14:textId="77777777" w:rsidR="00721361" w:rsidRDefault="00721361" w:rsidP="00721361">
      <w:pPr>
        <w:autoSpaceDE w:val="0"/>
        <w:autoSpaceDN w:val="0"/>
        <w:adjustRightInd w:val="0"/>
        <w:rPr>
          <w:rFonts w:ascii="Garamond-BookCondensed" w:hAnsi="Garamond-BookCondensed" w:cs="Garamond-BookCondensed"/>
          <w:sz w:val="20"/>
          <w:szCs w:val="20"/>
        </w:rPr>
      </w:pPr>
    </w:p>
    <w:p w14:paraId="5B2E82A7" w14:textId="77777777" w:rsidR="00721361" w:rsidRDefault="00721361" w:rsidP="00721361">
      <w:pPr>
        <w:autoSpaceDE w:val="0"/>
        <w:autoSpaceDN w:val="0"/>
        <w:adjustRightInd w:val="0"/>
        <w:rPr>
          <w:rFonts w:asciiTheme="majorHAnsi" w:hAnsiTheme="majorHAnsi" w:cs="Garamond-BookCondensed"/>
          <w:b/>
          <w:bCs/>
          <w:sz w:val="22"/>
          <w:szCs w:val="22"/>
        </w:rPr>
      </w:pPr>
      <w:r w:rsidRPr="6CCBBC13">
        <w:rPr>
          <w:rFonts w:asciiTheme="majorHAnsi" w:hAnsiTheme="majorHAnsi" w:cs="Garamond-BookCondensed"/>
          <w:b/>
          <w:bCs/>
          <w:sz w:val="22"/>
          <w:szCs w:val="22"/>
        </w:rPr>
        <w:t>Due to the extreme potency of the tetanus toxin, tetanus disease does not result in immunity. Active immunization with tetanus-containing vaccine should begin or continue as soon as the person’s condition has stabilized.</w:t>
      </w:r>
    </w:p>
    <w:p w14:paraId="2785F73A" w14:textId="7459E3D6" w:rsidR="00721361" w:rsidRDefault="00721361" w:rsidP="008B27E4">
      <w:pPr>
        <w:autoSpaceDE w:val="0"/>
        <w:autoSpaceDN w:val="0"/>
        <w:adjustRightInd w:val="0"/>
        <w:rPr>
          <w:rFonts w:asciiTheme="majorHAnsi" w:hAnsiTheme="majorHAnsi" w:cs="Garamond-BookCondensed"/>
          <w:sz w:val="22"/>
          <w:szCs w:val="22"/>
        </w:rPr>
      </w:pPr>
    </w:p>
    <w:p w14:paraId="3BA2F2D8" w14:textId="77777777" w:rsidR="007D13FD" w:rsidRPr="000F5BCB" w:rsidRDefault="007D13FD" w:rsidP="00413EDF">
      <w:pPr>
        <w:pBdr>
          <w:bottom w:val="single" w:sz="2" w:space="1" w:color="BFBFBF"/>
        </w:pBdr>
        <w:autoSpaceDE w:val="0"/>
        <w:autoSpaceDN w:val="0"/>
        <w:adjustRightInd w:val="0"/>
        <w:spacing w:before="120" w:after="120"/>
        <w:rPr>
          <w:rFonts w:ascii="Cambria" w:hAnsi="Cambria" w:cs="Arial"/>
          <w:i/>
          <w:sz w:val="22"/>
          <w:szCs w:val="22"/>
        </w:rPr>
      </w:pPr>
      <w:r w:rsidRPr="000F5BCB">
        <w:rPr>
          <w:rFonts w:ascii="Cambria" w:hAnsi="Cambria" w:cs="Arial"/>
          <w:i/>
          <w:sz w:val="22"/>
          <w:szCs w:val="22"/>
        </w:rPr>
        <w:t>Using MAVEN</w:t>
      </w:r>
      <w:r>
        <w:rPr>
          <w:rFonts w:ascii="Cambria" w:hAnsi="Cambria" w:cs="Arial"/>
          <w:i/>
          <w:sz w:val="22"/>
          <w:szCs w:val="22"/>
        </w:rPr>
        <w:t xml:space="preserve"> (for questions related to MAVEN, please contact MAVENHelp@mass.gov)</w:t>
      </w:r>
    </w:p>
    <w:p w14:paraId="754B180A" w14:textId="77777777" w:rsidR="007D13FD" w:rsidRDefault="007D13FD" w:rsidP="007D13FD">
      <w:pPr>
        <w:autoSpaceDE w:val="0"/>
        <w:autoSpaceDN w:val="0"/>
        <w:adjustRightInd w:val="0"/>
        <w:rPr>
          <w:rFonts w:ascii="Cambria" w:hAnsi="Cambria" w:cs="Arial"/>
          <w:iCs/>
          <w:sz w:val="22"/>
          <w:szCs w:val="22"/>
          <w:u w:val="single"/>
        </w:rPr>
      </w:pPr>
      <w:r w:rsidRPr="000F5BCB">
        <w:rPr>
          <w:rFonts w:ascii="Cambria" w:hAnsi="Cambria" w:cs="Arial"/>
          <w:iCs/>
          <w:sz w:val="22"/>
          <w:szCs w:val="22"/>
          <w:u w:val="single"/>
        </w:rPr>
        <w:t xml:space="preserve">Administrative Question Package </w:t>
      </w:r>
    </w:p>
    <w:p w14:paraId="5CE63416" w14:textId="7A6BAAFF" w:rsidR="007D13FD" w:rsidRDefault="007D13FD" w:rsidP="007D13FD">
      <w:pPr>
        <w:numPr>
          <w:ilvl w:val="0"/>
          <w:numId w:val="14"/>
        </w:numPr>
        <w:autoSpaceDE w:val="0"/>
        <w:autoSpaceDN w:val="0"/>
        <w:adjustRightInd w:val="0"/>
        <w:rPr>
          <w:rFonts w:ascii="Cambria" w:hAnsi="Cambria" w:cs="Garamond-BookCondensed"/>
          <w:sz w:val="22"/>
          <w:szCs w:val="22"/>
        </w:rPr>
      </w:pPr>
      <w:r w:rsidRPr="000F5BCB">
        <w:rPr>
          <w:rFonts w:ascii="Cambria" w:hAnsi="Cambria" w:cs="Garamond-BookCondensed"/>
          <w:sz w:val="22"/>
          <w:szCs w:val="22"/>
        </w:rPr>
        <w:t>Monitor your workflow</w:t>
      </w:r>
      <w:r w:rsidR="00B45E2E">
        <w:rPr>
          <w:rFonts w:ascii="Cambria" w:hAnsi="Cambria" w:cs="Garamond-BookCondensed"/>
          <w:sz w:val="22"/>
          <w:szCs w:val="22"/>
        </w:rPr>
        <w:t>s</w:t>
      </w:r>
      <w:r w:rsidRPr="000F5BCB">
        <w:rPr>
          <w:rFonts w:ascii="Cambria" w:hAnsi="Cambria" w:cs="Garamond-BookCondensed"/>
          <w:sz w:val="22"/>
          <w:szCs w:val="22"/>
        </w:rPr>
        <w:t xml:space="preserve"> in MAVEN for any new cases of  </w:t>
      </w:r>
      <w:r w:rsidR="00B45E2E">
        <w:rPr>
          <w:rFonts w:ascii="Cambria" w:hAnsi="Cambria" w:cs="Garamond-BookCondensed"/>
          <w:sz w:val="22"/>
          <w:szCs w:val="22"/>
        </w:rPr>
        <w:t>tetanus</w:t>
      </w:r>
      <w:r w:rsidRPr="000F5BCB">
        <w:rPr>
          <w:rFonts w:ascii="Cambria" w:hAnsi="Cambria" w:cs="Garamond-BookCondensed"/>
          <w:sz w:val="22"/>
          <w:szCs w:val="22"/>
        </w:rPr>
        <w:t xml:space="preserve">. </w:t>
      </w:r>
    </w:p>
    <w:p w14:paraId="066924F6" w14:textId="77777777" w:rsidR="007D13FD" w:rsidRPr="00570874" w:rsidRDefault="007D13FD" w:rsidP="007D13FD">
      <w:pPr>
        <w:numPr>
          <w:ilvl w:val="0"/>
          <w:numId w:val="14"/>
        </w:numPr>
        <w:autoSpaceDE w:val="0"/>
        <w:autoSpaceDN w:val="0"/>
        <w:adjustRightInd w:val="0"/>
        <w:rPr>
          <w:rFonts w:ascii="Cambria" w:hAnsi="Cambria" w:cs="Garamond-BookCondensed"/>
          <w:sz w:val="22"/>
          <w:szCs w:val="22"/>
        </w:rPr>
      </w:pPr>
      <w:r w:rsidRPr="00570874">
        <w:rPr>
          <w:rFonts w:ascii="Cambria" w:hAnsi="Cambria"/>
          <w:sz w:val="22"/>
          <w:szCs w:val="22"/>
        </w:rPr>
        <w:t>Once a new event appears in this workflow,</w:t>
      </w:r>
      <w:r>
        <w:rPr>
          <w:rFonts w:ascii="Cambria" w:hAnsi="Cambria"/>
          <w:sz w:val="22"/>
          <w:szCs w:val="22"/>
        </w:rPr>
        <w:t xml:space="preserve"> complete the following:</w:t>
      </w:r>
    </w:p>
    <w:p w14:paraId="0ABB933D" w14:textId="77777777" w:rsidR="007D13FD" w:rsidRPr="00491E72" w:rsidRDefault="007D13FD" w:rsidP="007D13FD">
      <w:pPr>
        <w:numPr>
          <w:ilvl w:val="1"/>
          <w:numId w:val="14"/>
        </w:numPr>
        <w:autoSpaceDE w:val="0"/>
        <w:autoSpaceDN w:val="0"/>
        <w:adjustRightInd w:val="0"/>
        <w:rPr>
          <w:rFonts w:ascii="Cambria" w:hAnsi="Cambria"/>
          <w:sz w:val="22"/>
          <w:szCs w:val="22"/>
        </w:rPr>
      </w:pPr>
      <w:r w:rsidRPr="00570874">
        <w:rPr>
          <w:rFonts w:ascii="Cambria" w:hAnsi="Cambria"/>
          <w:sz w:val="22"/>
          <w:szCs w:val="22"/>
        </w:rPr>
        <w:t xml:space="preserve"> </w:t>
      </w:r>
      <w:r w:rsidRPr="00491E72">
        <w:rPr>
          <w:rFonts w:ascii="Cambria" w:hAnsi="Cambria"/>
          <w:sz w:val="22"/>
          <w:szCs w:val="22"/>
        </w:rPr>
        <w:t>In the Administrative Question Package (QP) and under the “Local Health and Investigation” “Step 1 - LBOH acknowledged” by selecting “Yes”.</w:t>
      </w:r>
    </w:p>
    <w:p w14:paraId="590C4288" w14:textId="77777777" w:rsidR="007D13FD" w:rsidRPr="00491E72" w:rsidRDefault="007D13FD" w:rsidP="007D13FD">
      <w:pPr>
        <w:numPr>
          <w:ilvl w:val="1"/>
          <w:numId w:val="14"/>
        </w:numPr>
        <w:autoSpaceDE w:val="0"/>
        <w:autoSpaceDN w:val="0"/>
        <w:adjustRightInd w:val="0"/>
        <w:rPr>
          <w:rFonts w:ascii="Cambria" w:hAnsi="Cambria"/>
          <w:sz w:val="22"/>
          <w:szCs w:val="22"/>
        </w:rPr>
      </w:pPr>
      <w:r w:rsidRPr="00491E72">
        <w:rPr>
          <w:rFonts w:ascii="Cambria" w:hAnsi="Cambria"/>
          <w:sz w:val="22"/>
          <w:szCs w:val="22"/>
        </w:rPr>
        <w:t>The “LBOH acknowledged date” will then auto populate to the current day.</w:t>
      </w:r>
    </w:p>
    <w:p w14:paraId="46613E29" w14:textId="77777777" w:rsidR="007D13FD" w:rsidRPr="00491E72" w:rsidRDefault="007D13FD" w:rsidP="007D13FD">
      <w:pPr>
        <w:numPr>
          <w:ilvl w:val="1"/>
          <w:numId w:val="14"/>
        </w:numPr>
        <w:autoSpaceDE w:val="0"/>
        <w:autoSpaceDN w:val="0"/>
        <w:adjustRightInd w:val="0"/>
        <w:rPr>
          <w:rFonts w:ascii="Cambria" w:hAnsi="Cambria"/>
          <w:sz w:val="22"/>
          <w:szCs w:val="22"/>
        </w:rPr>
      </w:pPr>
      <w:r w:rsidRPr="00491E72">
        <w:rPr>
          <w:rFonts w:ascii="Cambria" w:hAnsi="Cambria"/>
          <w:sz w:val="22"/>
          <w:szCs w:val="22"/>
        </w:rPr>
        <w:t>Completing this first step will move the event out of this workflow and into your</w:t>
      </w:r>
    </w:p>
    <w:p w14:paraId="1B9A942C" w14:textId="77777777" w:rsidR="007D13FD" w:rsidRPr="00491E72" w:rsidRDefault="007D13FD" w:rsidP="007D13FD">
      <w:pPr>
        <w:numPr>
          <w:ilvl w:val="1"/>
          <w:numId w:val="14"/>
        </w:numPr>
        <w:autoSpaceDE w:val="0"/>
        <w:autoSpaceDN w:val="0"/>
        <w:adjustRightInd w:val="0"/>
        <w:rPr>
          <w:rFonts w:ascii="Cambria" w:hAnsi="Cambria"/>
          <w:sz w:val="22"/>
          <w:szCs w:val="22"/>
        </w:rPr>
      </w:pPr>
      <w:r w:rsidRPr="00491E72">
        <w:rPr>
          <w:rFonts w:ascii="Cambria" w:hAnsi="Cambria"/>
          <w:sz w:val="22"/>
          <w:szCs w:val="22"/>
        </w:rPr>
        <w:t>“Online LBOH notified but Case Report Forms (CRF) are pending” workflow.</w:t>
      </w:r>
    </w:p>
    <w:p w14:paraId="14331755" w14:textId="77777777" w:rsidR="007D13FD" w:rsidRPr="00491E72" w:rsidRDefault="007D13FD" w:rsidP="007D13FD">
      <w:pPr>
        <w:numPr>
          <w:ilvl w:val="1"/>
          <w:numId w:val="14"/>
        </w:numPr>
        <w:autoSpaceDE w:val="0"/>
        <w:autoSpaceDN w:val="0"/>
        <w:adjustRightInd w:val="0"/>
        <w:rPr>
          <w:rFonts w:ascii="Cambria" w:hAnsi="Cambria"/>
          <w:sz w:val="22"/>
          <w:szCs w:val="22"/>
        </w:rPr>
      </w:pPr>
      <w:r w:rsidRPr="00491E72">
        <w:rPr>
          <w:rFonts w:ascii="Cambria" w:hAnsi="Cambria"/>
          <w:sz w:val="22"/>
          <w:szCs w:val="22"/>
        </w:rPr>
        <w:t>Note the date you started your investigation by answering “Step 2 – Investigation started” as “Yes” and then note the date where shown.</w:t>
      </w:r>
    </w:p>
    <w:p w14:paraId="0712C5F7" w14:textId="77777777" w:rsidR="007D13FD" w:rsidRPr="00491E72" w:rsidRDefault="007D13FD" w:rsidP="007D13FD">
      <w:pPr>
        <w:numPr>
          <w:ilvl w:val="1"/>
          <w:numId w:val="14"/>
        </w:numPr>
        <w:autoSpaceDE w:val="0"/>
        <w:autoSpaceDN w:val="0"/>
        <w:adjustRightInd w:val="0"/>
        <w:rPr>
          <w:rFonts w:ascii="Cambria" w:hAnsi="Cambria"/>
          <w:sz w:val="22"/>
          <w:szCs w:val="22"/>
        </w:rPr>
      </w:pPr>
      <w:r w:rsidRPr="00491E72">
        <w:rPr>
          <w:rFonts w:ascii="Cambria" w:hAnsi="Cambria"/>
          <w:sz w:val="22"/>
          <w:szCs w:val="22"/>
        </w:rPr>
        <w:t>Record your name, agency, and phone numbers where shown in “Step 3 - LBOH/Agency Investigator.”</w:t>
      </w:r>
    </w:p>
    <w:p w14:paraId="76413D0A" w14:textId="77777777" w:rsidR="007D13FD" w:rsidRPr="009F2D1C" w:rsidRDefault="007D13FD" w:rsidP="007D13FD">
      <w:pPr>
        <w:autoSpaceDE w:val="0"/>
        <w:autoSpaceDN w:val="0"/>
        <w:adjustRightInd w:val="0"/>
        <w:ind w:left="1440"/>
        <w:rPr>
          <w:rFonts w:ascii="Cambria" w:hAnsi="Cambria" w:cs="Garamond-BookCondensed"/>
          <w:sz w:val="22"/>
          <w:szCs w:val="22"/>
        </w:rPr>
      </w:pPr>
    </w:p>
    <w:p w14:paraId="3FCF9E32" w14:textId="77777777" w:rsidR="007D13FD" w:rsidRPr="000F5BCB" w:rsidRDefault="007D13FD" w:rsidP="007D13FD">
      <w:pPr>
        <w:autoSpaceDE w:val="0"/>
        <w:autoSpaceDN w:val="0"/>
        <w:adjustRightInd w:val="0"/>
        <w:rPr>
          <w:rFonts w:ascii="Cambria" w:hAnsi="Cambria" w:cs="Garamond-BookCondensed"/>
          <w:sz w:val="22"/>
          <w:szCs w:val="22"/>
          <w:u w:val="single"/>
        </w:rPr>
      </w:pPr>
      <w:r w:rsidRPr="000F5BCB">
        <w:rPr>
          <w:rFonts w:ascii="Cambria" w:hAnsi="Cambria" w:cs="Garamond-BookCondensed"/>
          <w:sz w:val="22"/>
          <w:szCs w:val="22"/>
          <w:u w:val="single"/>
        </w:rPr>
        <w:t>Demographic Question Package</w:t>
      </w:r>
    </w:p>
    <w:p w14:paraId="1AF4BDDB" w14:textId="77777777" w:rsidR="007D13FD" w:rsidRPr="009F2D1C" w:rsidRDefault="007D13FD" w:rsidP="007D13FD">
      <w:pPr>
        <w:numPr>
          <w:ilvl w:val="0"/>
          <w:numId w:val="15"/>
        </w:numPr>
        <w:autoSpaceDE w:val="0"/>
        <w:autoSpaceDN w:val="0"/>
        <w:adjustRightInd w:val="0"/>
        <w:rPr>
          <w:rFonts w:ascii="Cambria" w:hAnsi="Cambria" w:cs="Garamond-BookCondensed"/>
          <w:b/>
          <w:bCs/>
          <w:sz w:val="22"/>
          <w:szCs w:val="22"/>
        </w:rPr>
      </w:pPr>
      <w:r w:rsidRPr="0023455E">
        <w:rPr>
          <w:rFonts w:ascii="Cambria" w:hAnsi="Cambria" w:cs="Garamond-BookCondensed"/>
          <w:b/>
          <w:sz w:val="22"/>
          <w:szCs w:val="22"/>
        </w:rPr>
        <w:t>Record all</w:t>
      </w:r>
      <w:r w:rsidRPr="000F5BCB">
        <w:rPr>
          <w:rFonts w:ascii="Cambria" w:hAnsi="Cambria" w:cs="Garamond-BookCondensed"/>
          <w:sz w:val="22"/>
          <w:szCs w:val="22"/>
        </w:rPr>
        <w:t xml:space="preserve"> </w:t>
      </w:r>
      <w:r w:rsidRPr="009F2D1C">
        <w:rPr>
          <w:rFonts w:ascii="Cambria" w:hAnsi="Cambria" w:cs="Garamond-BookCondensed"/>
          <w:b/>
          <w:bCs/>
          <w:sz w:val="22"/>
          <w:szCs w:val="22"/>
        </w:rPr>
        <w:t>demographic and employment information.</w:t>
      </w:r>
      <w:r w:rsidRPr="000F5BCB">
        <w:rPr>
          <w:rFonts w:ascii="Cambria" w:hAnsi="Cambria" w:cs="Garamond-BookCondensed"/>
          <w:sz w:val="22"/>
          <w:szCs w:val="22"/>
        </w:rPr>
        <w:t xml:space="preserve"> It is particularly important to complete the </w:t>
      </w:r>
      <w:r w:rsidRPr="009F2D1C">
        <w:rPr>
          <w:rFonts w:ascii="Cambria" w:hAnsi="Cambria" w:cs="Garamond-BookCondensed"/>
          <w:b/>
          <w:bCs/>
          <w:sz w:val="22"/>
          <w:szCs w:val="22"/>
        </w:rPr>
        <w:t>Race/Ethnicity, Place of birth (country), and Occupation questions.</w:t>
      </w:r>
    </w:p>
    <w:p w14:paraId="3A243E4B" w14:textId="77777777" w:rsidR="007D13FD" w:rsidRPr="009F2D1C" w:rsidRDefault="007D13FD" w:rsidP="007D13FD">
      <w:pPr>
        <w:autoSpaceDE w:val="0"/>
        <w:autoSpaceDN w:val="0"/>
        <w:adjustRightInd w:val="0"/>
        <w:rPr>
          <w:rFonts w:ascii="Cambria" w:hAnsi="Cambria" w:cs="Garamond-BookCondensed"/>
          <w:b/>
          <w:bCs/>
          <w:sz w:val="22"/>
          <w:szCs w:val="22"/>
        </w:rPr>
      </w:pPr>
    </w:p>
    <w:p w14:paraId="1B76A4E1" w14:textId="77777777" w:rsidR="007D13FD" w:rsidRDefault="007D13FD" w:rsidP="007D13FD">
      <w:pPr>
        <w:autoSpaceDE w:val="0"/>
        <w:autoSpaceDN w:val="0"/>
        <w:adjustRightInd w:val="0"/>
        <w:rPr>
          <w:rFonts w:ascii="Cambria" w:hAnsi="Cambria" w:cs="Garamond-BookCondensed"/>
          <w:sz w:val="22"/>
          <w:szCs w:val="22"/>
          <w:u w:val="single"/>
        </w:rPr>
      </w:pPr>
      <w:r w:rsidRPr="000F5BCB">
        <w:rPr>
          <w:rFonts w:ascii="Cambria" w:hAnsi="Cambria" w:cs="Garamond-BookCondensed"/>
          <w:sz w:val="22"/>
          <w:szCs w:val="22"/>
          <w:u w:val="single"/>
        </w:rPr>
        <w:lastRenderedPageBreak/>
        <w:t>Clinical Question Package</w:t>
      </w:r>
    </w:p>
    <w:p w14:paraId="31A01937" w14:textId="77777777" w:rsidR="007D13FD" w:rsidRPr="0023455E" w:rsidRDefault="007D13FD" w:rsidP="007D13FD">
      <w:pPr>
        <w:numPr>
          <w:ilvl w:val="0"/>
          <w:numId w:val="15"/>
        </w:numPr>
        <w:autoSpaceDE w:val="0"/>
        <w:autoSpaceDN w:val="0"/>
        <w:adjustRightInd w:val="0"/>
        <w:rPr>
          <w:rFonts w:ascii="Cambria" w:hAnsi="Cambria" w:cs="Garamond-BookCondensed"/>
          <w:sz w:val="22"/>
          <w:szCs w:val="22"/>
        </w:rPr>
      </w:pPr>
      <w:r w:rsidRPr="0023455E">
        <w:rPr>
          <w:rFonts w:ascii="Cambria" w:hAnsi="Cambria" w:cs="Garamond-BookCondensed"/>
          <w:sz w:val="22"/>
          <w:szCs w:val="22"/>
        </w:rPr>
        <w:t>Complete the “Diagnosis/Clinical Information” section, providing the following:</w:t>
      </w:r>
    </w:p>
    <w:p w14:paraId="65F425C6" w14:textId="77777777" w:rsidR="007D13FD" w:rsidRPr="0023455E" w:rsidRDefault="007D13FD" w:rsidP="007D13FD">
      <w:pPr>
        <w:autoSpaceDE w:val="0"/>
        <w:autoSpaceDN w:val="0"/>
        <w:adjustRightInd w:val="0"/>
        <w:ind w:left="720"/>
        <w:rPr>
          <w:rFonts w:ascii="Cambria" w:hAnsi="Cambria" w:cs="Garamond-BookCondensed"/>
          <w:sz w:val="22"/>
          <w:szCs w:val="22"/>
        </w:rPr>
      </w:pPr>
      <w:r w:rsidRPr="0023455E">
        <w:rPr>
          <w:rFonts w:ascii="Cambria" w:hAnsi="Cambria" w:cs="Garamond-BookCondensed"/>
          <w:sz w:val="22"/>
          <w:szCs w:val="22"/>
        </w:rPr>
        <w:t>o</w:t>
      </w:r>
      <w:r w:rsidRPr="0023455E">
        <w:rPr>
          <w:rFonts w:ascii="Cambria" w:hAnsi="Cambria" w:cs="Garamond-BookCondensed"/>
          <w:sz w:val="22"/>
          <w:szCs w:val="22"/>
        </w:rPr>
        <w:tab/>
        <w:t>Diagnosis date</w:t>
      </w:r>
    </w:p>
    <w:p w14:paraId="625A121E" w14:textId="77777777" w:rsidR="007D13FD" w:rsidRPr="0023455E" w:rsidRDefault="007D13FD" w:rsidP="007D13FD">
      <w:pPr>
        <w:autoSpaceDE w:val="0"/>
        <w:autoSpaceDN w:val="0"/>
        <w:adjustRightInd w:val="0"/>
        <w:ind w:left="720"/>
        <w:rPr>
          <w:rFonts w:ascii="Cambria" w:hAnsi="Cambria" w:cs="Garamond-BookCondensed"/>
          <w:sz w:val="22"/>
          <w:szCs w:val="22"/>
        </w:rPr>
      </w:pPr>
      <w:r w:rsidRPr="0023455E">
        <w:rPr>
          <w:rFonts w:ascii="Cambria" w:hAnsi="Cambria" w:cs="Garamond-BookCondensed"/>
          <w:sz w:val="22"/>
          <w:szCs w:val="22"/>
        </w:rPr>
        <w:t>o</w:t>
      </w:r>
      <w:r w:rsidRPr="0023455E">
        <w:rPr>
          <w:rFonts w:ascii="Cambria" w:hAnsi="Cambria" w:cs="Garamond-BookCondensed"/>
          <w:sz w:val="22"/>
          <w:szCs w:val="22"/>
        </w:rPr>
        <w:tab/>
        <w:t>Date of symptom onset</w:t>
      </w:r>
    </w:p>
    <w:p w14:paraId="3475E609" w14:textId="77777777" w:rsidR="007D13FD" w:rsidRDefault="007D13FD" w:rsidP="007D13FD">
      <w:pPr>
        <w:autoSpaceDE w:val="0"/>
        <w:autoSpaceDN w:val="0"/>
        <w:adjustRightInd w:val="0"/>
        <w:rPr>
          <w:rFonts w:ascii="Cambria" w:hAnsi="Cambria" w:cs="Garamond-BookCondensed"/>
          <w:sz w:val="22"/>
          <w:szCs w:val="22"/>
        </w:rPr>
      </w:pPr>
    </w:p>
    <w:p w14:paraId="2A06B8A5" w14:textId="77777777" w:rsidR="007D13FD" w:rsidRPr="000F5BCB" w:rsidRDefault="007D13FD" w:rsidP="007D13FD">
      <w:pPr>
        <w:autoSpaceDE w:val="0"/>
        <w:autoSpaceDN w:val="0"/>
        <w:adjustRightInd w:val="0"/>
        <w:rPr>
          <w:rFonts w:ascii="Cambria" w:hAnsi="Cambria" w:cs="Garamond-BookCondensed"/>
          <w:sz w:val="22"/>
          <w:szCs w:val="22"/>
          <w:u w:val="single"/>
        </w:rPr>
      </w:pPr>
      <w:r w:rsidRPr="000F5BCB">
        <w:rPr>
          <w:rFonts w:ascii="Cambria" w:hAnsi="Cambria" w:cs="Garamond-BookCondensed"/>
          <w:sz w:val="22"/>
          <w:szCs w:val="22"/>
          <w:u w:val="single"/>
        </w:rPr>
        <w:t>Vaccine and IG Information Question Package</w:t>
      </w:r>
    </w:p>
    <w:p w14:paraId="5EE64F75" w14:textId="7C0029E8" w:rsidR="007D13FD" w:rsidRPr="00AA1E6D" w:rsidRDefault="007D13FD" w:rsidP="007D13FD">
      <w:pPr>
        <w:numPr>
          <w:ilvl w:val="0"/>
          <w:numId w:val="14"/>
        </w:numPr>
        <w:autoSpaceDE w:val="0"/>
        <w:autoSpaceDN w:val="0"/>
        <w:adjustRightInd w:val="0"/>
        <w:rPr>
          <w:rFonts w:ascii="Cambria" w:hAnsi="Cambria" w:cs="Garamond-BookCondensed"/>
          <w:sz w:val="22"/>
          <w:szCs w:val="22"/>
        </w:rPr>
      </w:pPr>
      <w:r w:rsidRPr="00AA1E6D">
        <w:rPr>
          <w:rFonts w:ascii="Cambria" w:hAnsi="Cambria" w:cs="Garamond-BookCondensed"/>
          <w:sz w:val="22"/>
          <w:szCs w:val="22"/>
        </w:rPr>
        <w:t xml:space="preserve">Enter vaccine type and date for any documented doses of </w:t>
      </w:r>
      <w:r w:rsidR="00744E14">
        <w:rPr>
          <w:rFonts w:ascii="Cambria" w:hAnsi="Cambria" w:cs="Garamond-BookCondensed"/>
          <w:sz w:val="22"/>
          <w:szCs w:val="22"/>
        </w:rPr>
        <w:t xml:space="preserve">tetanus </w:t>
      </w:r>
      <w:r w:rsidRPr="00AA1E6D">
        <w:rPr>
          <w:rFonts w:ascii="Cambria" w:hAnsi="Cambria" w:cs="Garamond-BookCondensed"/>
          <w:sz w:val="22"/>
          <w:szCs w:val="22"/>
        </w:rPr>
        <w:t>containing vaccine (e.g., DTaP, Tdap).</w:t>
      </w:r>
    </w:p>
    <w:p w14:paraId="44831A37" w14:textId="77D59077" w:rsidR="007D13FD" w:rsidRPr="000F5BCB" w:rsidRDefault="007D13FD" w:rsidP="007D13FD">
      <w:pPr>
        <w:numPr>
          <w:ilvl w:val="0"/>
          <w:numId w:val="16"/>
        </w:numPr>
        <w:autoSpaceDE w:val="0"/>
        <w:autoSpaceDN w:val="0"/>
        <w:adjustRightInd w:val="0"/>
        <w:rPr>
          <w:rFonts w:ascii="Cambria" w:hAnsi="Cambria" w:cs="Garamond-BookCondensed"/>
          <w:sz w:val="22"/>
          <w:szCs w:val="22"/>
        </w:rPr>
      </w:pPr>
      <w:r w:rsidRPr="00AA1E6D">
        <w:rPr>
          <w:rFonts w:ascii="Cambria" w:hAnsi="Cambria" w:cs="Garamond-BookCondensed"/>
          <w:sz w:val="22"/>
          <w:szCs w:val="22"/>
        </w:rPr>
        <w:t xml:space="preserve">If the case has no documentation of </w:t>
      </w:r>
      <w:r w:rsidR="00702E87">
        <w:rPr>
          <w:rFonts w:ascii="Cambria" w:hAnsi="Cambria" w:cs="Garamond-BookCondensed"/>
          <w:sz w:val="22"/>
          <w:szCs w:val="22"/>
        </w:rPr>
        <w:t>tetanus</w:t>
      </w:r>
      <w:r w:rsidRPr="00AA1E6D">
        <w:rPr>
          <w:rFonts w:ascii="Cambria" w:hAnsi="Cambria" w:cs="Garamond-BookCondensed"/>
          <w:sz w:val="22"/>
          <w:szCs w:val="22"/>
        </w:rPr>
        <w:t>-containing vaccines or does not know his or her history</w:t>
      </w:r>
      <w:r w:rsidRPr="009F2D1C">
        <w:rPr>
          <w:rFonts w:ascii="Cambria" w:hAnsi="Cambria" w:cs="Garamond-BookCondensed"/>
          <w:i/>
          <w:iCs/>
          <w:sz w:val="22"/>
          <w:szCs w:val="22"/>
        </w:rPr>
        <w:t>, “Vaccination history unknown</w:t>
      </w:r>
      <w:r w:rsidRPr="00AA1E6D">
        <w:rPr>
          <w:rFonts w:ascii="Cambria" w:hAnsi="Cambria" w:cs="Garamond-BookCondensed"/>
          <w:sz w:val="22"/>
          <w:szCs w:val="22"/>
        </w:rPr>
        <w:t>” should be selected. If the case is known to be unvaccinated, “</w:t>
      </w:r>
      <w:r w:rsidRPr="009F2D1C">
        <w:rPr>
          <w:rFonts w:ascii="Cambria" w:hAnsi="Cambria" w:cs="Garamond-BookCondensed"/>
          <w:i/>
          <w:iCs/>
          <w:sz w:val="22"/>
          <w:szCs w:val="22"/>
        </w:rPr>
        <w:t>No vaccine administered</w:t>
      </w:r>
      <w:r w:rsidRPr="00AA1E6D">
        <w:rPr>
          <w:rFonts w:ascii="Cambria" w:hAnsi="Cambria" w:cs="Garamond-BookCondensed"/>
          <w:sz w:val="22"/>
          <w:szCs w:val="22"/>
        </w:rPr>
        <w:t>” should be selected and an answer to the question “</w:t>
      </w:r>
      <w:r w:rsidRPr="009F2D1C">
        <w:rPr>
          <w:rFonts w:ascii="Cambria" w:hAnsi="Cambria" w:cs="Garamond-BookCondensed"/>
          <w:i/>
          <w:iCs/>
          <w:sz w:val="22"/>
          <w:szCs w:val="22"/>
        </w:rPr>
        <w:t>Reason inadequate doses (or no booster) given</w:t>
      </w:r>
      <w:r w:rsidRPr="00AA1E6D">
        <w:rPr>
          <w:rFonts w:ascii="Cambria" w:hAnsi="Cambria" w:cs="Garamond-BookCondensed"/>
          <w:sz w:val="22"/>
          <w:szCs w:val="22"/>
        </w:rPr>
        <w:t>” should be entered.</w:t>
      </w:r>
    </w:p>
    <w:p w14:paraId="0B160ECF" w14:textId="77777777" w:rsidR="00702E87" w:rsidRDefault="00702E87" w:rsidP="007D13FD">
      <w:pPr>
        <w:autoSpaceDE w:val="0"/>
        <w:autoSpaceDN w:val="0"/>
        <w:adjustRightInd w:val="0"/>
        <w:ind w:left="720" w:hanging="720"/>
        <w:rPr>
          <w:rFonts w:ascii="Cambria" w:hAnsi="Cambria" w:cs="Garamond-BookCondensed"/>
          <w:sz w:val="22"/>
          <w:szCs w:val="22"/>
          <w:u w:val="single"/>
        </w:rPr>
      </w:pPr>
    </w:p>
    <w:p w14:paraId="74917A3B" w14:textId="3B461811" w:rsidR="007D13FD" w:rsidRDefault="007D13FD" w:rsidP="007D13FD">
      <w:pPr>
        <w:autoSpaceDE w:val="0"/>
        <w:autoSpaceDN w:val="0"/>
        <w:adjustRightInd w:val="0"/>
        <w:ind w:left="720" w:hanging="720"/>
        <w:rPr>
          <w:rFonts w:ascii="Cambria" w:hAnsi="Cambria" w:cs="Garamond-BookCondensed"/>
          <w:sz w:val="22"/>
          <w:szCs w:val="22"/>
          <w:u w:val="single"/>
        </w:rPr>
      </w:pPr>
      <w:r w:rsidRPr="000F5BCB">
        <w:rPr>
          <w:rFonts w:ascii="Cambria" w:hAnsi="Cambria" w:cs="Garamond-BookCondensed"/>
          <w:sz w:val="22"/>
          <w:szCs w:val="22"/>
          <w:u w:val="single"/>
        </w:rPr>
        <w:t>Risk/Exposure/Control &amp; Prevention Question Package</w:t>
      </w:r>
      <w:r>
        <w:rPr>
          <w:rFonts w:ascii="Cambria" w:hAnsi="Cambria" w:cs="Garamond-BookCondensed"/>
          <w:sz w:val="22"/>
          <w:szCs w:val="22"/>
          <w:u w:val="single"/>
        </w:rPr>
        <w:t xml:space="preserve"> </w:t>
      </w:r>
    </w:p>
    <w:p w14:paraId="0C0B29DD" w14:textId="77777777" w:rsidR="007D13FD" w:rsidRPr="00AA1E6D" w:rsidRDefault="007D13FD" w:rsidP="007D13FD">
      <w:pPr>
        <w:numPr>
          <w:ilvl w:val="0"/>
          <w:numId w:val="14"/>
        </w:numPr>
        <w:autoSpaceDE w:val="0"/>
        <w:autoSpaceDN w:val="0"/>
        <w:adjustRightInd w:val="0"/>
        <w:rPr>
          <w:rFonts w:ascii="Cambria" w:hAnsi="Cambria"/>
          <w:sz w:val="22"/>
          <w:szCs w:val="22"/>
        </w:rPr>
      </w:pPr>
      <w:r w:rsidRPr="00AA1E6D">
        <w:rPr>
          <w:rFonts w:ascii="Cambria" w:hAnsi="Cambria"/>
          <w:sz w:val="22"/>
          <w:szCs w:val="22"/>
        </w:rPr>
        <w:t>Accurately record all risk questions included in the question package. For the question “Where did this case acquire this illness?” select the most appropriate transmission setting or mark the answer as “Unknown” if no source can be identified.</w:t>
      </w:r>
    </w:p>
    <w:p w14:paraId="12CB9245" w14:textId="77777777" w:rsidR="007D13FD" w:rsidRPr="000F5BCB" w:rsidRDefault="007D13FD" w:rsidP="007D13FD">
      <w:pPr>
        <w:pBdr>
          <w:bottom w:val="single" w:sz="2" w:space="1" w:color="BFBFBF"/>
        </w:pBdr>
        <w:autoSpaceDE w:val="0"/>
        <w:autoSpaceDN w:val="0"/>
        <w:adjustRightInd w:val="0"/>
        <w:spacing w:before="240"/>
        <w:rPr>
          <w:rFonts w:ascii="Cambria" w:hAnsi="Cambria" w:cs="Arial"/>
          <w:i/>
          <w:sz w:val="22"/>
          <w:szCs w:val="22"/>
        </w:rPr>
      </w:pPr>
      <w:r w:rsidRPr="000F5BCB">
        <w:rPr>
          <w:rFonts w:ascii="Cambria" w:hAnsi="Cambria" w:cs="Arial"/>
          <w:i/>
          <w:sz w:val="22"/>
          <w:szCs w:val="22"/>
        </w:rPr>
        <w:t>Completing Your Investigation</w:t>
      </w:r>
    </w:p>
    <w:p w14:paraId="26B7282D" w14:textId="77777777" w:rsidR="007D13FD" w:rsidRDefault="007D13FD" w:rsidP="007D13FD">
      <w:pPr>
        <w:numPr>
          <w:ilvl w:val="0"/>
          <w:numId w:val="17"/>
        </w:numPr>
        <w:autoSpaceDE w:val="0"/>
        <w:autoSpaceDN w:val="0"/>
        <w:adjustRightInd w:val="0"/>
        <w:rPr>
          <w:rFonts w:ascii="Cambria" w:eastAsia="MS Mincho" w:hAnsi="Cambria"/>
          <w:sz w:val="22"/>
          <w:szCs w:val="22"/>
        </w:rPr>
      </w:pPr>
      <w:r w:rsidRPr="00AA1E6D">
        <w:rPr>
          <w:rFonts w:ascii="Cambria" w:eastAsia="MS Mincho" w:hAnsi="Cambria"/>
          <w:sz w:val="22"/>
          <w:szCs w:val="22"/>
        </w:rPr>
        <w:t>If you were able to complete a case investigation and follow-up is complete, mark “Step 4 – Case Report Form Completed” as “Yes” and then choose Local Board of Health (LBOH) –Ready for MDPH review for the Completed by variable.</w:t>
      </w:r>
    </w:p>
    <w:p w14:paraId="5B8D0848" w14:textId="77777777" w:rsidR="007D13FD" w:rsidRPr="00AA1E6D" w:rsidRDefault="007D13FD" w:rsidP="007D13FD">
      <w:pPr>
        <w:autoSpaceDE w:val="0"/>
        <w:autoSpaceDN w:val="0"/>
        <w:adjustRightInd w:val="0"/>
        <w:ind w:left="720"/>
        <w:rPr>
          <w:rFonts w:ascii="Cambria" w:eastAsia="MS Mincho" w:hAnsi="Cambria"/>
          <w:sz w:val="22"/>
          <w:szCs w:val="22"/>
        </w:rPr>
      </w:pPr>
    </w:p>
    <w:p w14:paraId="4C83AC5D" w14:textId="77777777" w:rsidR="007D13FD" w:rsidRPr="00AA1E6D" w:rsidRDefault="007D13FD" w:rsidP="007D13FD">
      <w:pPr>
        <w:numPr>
          <w:ilvl w:val="0"/>
          <w:numId w:val="17"/>
        </w:numPr>
        <w:autoSpaceDE w:val="0"/>
        <w:autoSpaceDN w:val="0"/>
        <w:adjustRightInd w:val="0"/>
        <w:rPr>
          <w:rFonts w:ascii="Cambria" w:eastAsia="MS Mincho" w:hAnsi="Cambria"/>
          <w:sz w:val="22"/>
          <w:szCs w:val="22"/>
        </w:rPr>
      </w:pPr>
      <w:r w:rsidRPr="00AA1E6D">
        <w:rPr>
          <w:rFonts w:ascii="Cambria" w:eastAsia="MS Mincho" w:hAnsi="Cambria"/>
          <w:sz w:val="22"/>
          <w:szCs w:val="22"/>
        </w:rPr>
        <w:t>If you have made several attempts to obtain case information but have been unsuccessful (e.g., the case or health care provider does not return your calls or respond to a letter, or the case refuses to divulge information or is too ill to be interviewed), please fill out the question packages with as much information as you have gathered, and then complete “Step 4 - Case Report Form Completed” as “No” and choose a primary reason why the case investigation was not completed from the choices provided in the primary reason answer variable list.</w:t>
      </w:r>
    </w:p>
    <w:p w14:paraId="72784F70" w14:textId="77777777" w:rsidR="007D13FD" w:rsidRPr="00AA1E6D" w:rsidRDefault="007D13FD" w:rsidP="007D13FD">
      <w:pPr>
        <w:autoSpaceDE w:val="0"/>
        <w:autoSpaceDN w:val="0"/>
        <w:adjustRightInd w:val="0"/>
        <w:rPr>
          <w:rFonts w:ascii="Cambria" w:eastAsia="MS Mincho" w:hAnsi="Cambria"/>
          <w:sz w:val="22"/>
          <w:szCs w:val="22"/>
        </w:rPr>
      </w:pPr>
    </w:p>
    <w:p w14:paraId="0C8C6BDC" w14:textId="398A0AD4" w:rsidR="007D13FD" w:rsidRDefault="007D13FD" w:rsidP="007D13FD">
      <w:pPr>
        <w:numPr>
          <w:ilvl w:val="0"/>
          <w:numId w:val="17"/>
        </w:numPr>
        <w:autoSpaceDE w:val="0"/>
        <w:autoSpaceDN w:val="0"/>
        <w:adjustRightInd w:val="0"/>
        <w:rPr>
          <w:rFonts w:ascii="Cambria" w:eastAsia="MS Mincho" w:hAnsi="Cambria"/>
          <w:sz w:val="22"/>
          <w:szCs w:val="22"/>
        </w:rPr>
      </w:pPr>
      <w:r w:rsidRPr="00AA1E6D">
        <w:rPr>
          <w:rFonts w:ascii="Cambria" w:eastAsia="MS Mincho" w:hAnsi="Cambria"/>
          <w:sz w:val="22"/>
          <w:szCs w:val="22"/>
        </w:rPr>
        <w:t xml:space="preserve">Institution of disease control measures is </w:t>
      </w:r>
      <w:r w:rsidR="005E473F">
        <w:rPr>
          <w:rFonts w:ascii="Cambria" w:eastAsia="MS Mincho" w:hAnsi="Cambria"/>
          <w:sz w:val="22"/>
          <w:szCs w:val="22"/>
        </w:rPr>
        <w:t xml:space="preserve">usually </w:t>
      </w:r>
      <w:r w:rsidRPr="00AA1E6D">
        <w:rPr>
          <w:rFonts w:ascii="Cambria" w:eastAsia="MS Mincho" w:hAnsi="Cambria"/>
          <w:sz w:val="22"/>
          <w:szCs w:val="22"/>
        </w:rPr>
        <w:t xml:space="preserve">an integral part of case investigation. </w:t>
      </w:r>
      <w:r w:rsidR="00990783">
        <w:rPr>
          <w:rFonts w:ascii="Cambria" w:eastAsia="MS Mincho" w:hAnsi="Cambria"/>
          <w:sz w:val="22"/>
          <w:szCs w:val="22"/>
        </w:rPr>
        <w:t>However, there are no routine control measures for a case of tetanus</w:t>
      </w:r>
      <w:r w:rsidR="00CD6517">
        <w:rPr>
          <w:rFonts w:ascii="Cambria" w:eastAsia="MS Mincho" w:hAnsi="Cambria"/>
          <w:sz w:val="22"/>
          <w:szCs w:val="22"/>
        </w:rPr>
        <w:t xml:space="preserve"> other than encouraging vaccination</w:t>
      </w:r>
      <w:r w:rsidR="00990783">
        <w:rPr>
          <w:rFonts w:ascii="Cambria" w:eastAsia="MS Mincho" w:hAnsi="Cambria"/>
          <w:sz w:val="22"/>
          <w:szCs w:val="22"/>
        </w:rPr>
        <w:t>.</w:t>
      </w:r>
    </w:p>
    <w:p w14:paraId="7938223F"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7986BCA0" w14:textId="77777777" w:rsidR="008B27E4" w:rsidRPr="00070065" w:rsidRDefault="008B27E4" w:rsidP="008B27E4">
      <w:pPr>
        <w:autoSpaceDE w:val="0"/>
        <w:autoSpaceDN w:val="0"/>
        <w:adjustRightInd w:val="0"/>
        <w:rPr>
          <w:rFonts w:ascii="TradeGothic-CondEighteen" w:hAnsi="TradeGothic-CondEighteen" w:cs="TradeGothic-CondEighteen"/>
          <w:b/>
        </w:rPr>
      </w:pPr>
      <w:r w:rsidRPr="00070065">
        <w:rPr>
          <w:rFonts w:ascii="TradeGothic-CondEighteen" w:hAnsi="TradeGothic-CondEighteen" w:cs="TradeGothic-CondEighteen"/>
          <w:b/>
        </w:rPr>
        <w:t>Section 4:</w:t>
      </w:r>
    </w:p>
    <w:p w14:paraId="40FF3C23" w14:textId="77777777" w:rsidR="008B27E4" w:rsidRPr="00FE5E8E" w:rsidRDefault="008B27E4" w:rsidP="00EE0B12">
      <w:pPr>
        <w:pStyle w:val="SurvManHead"/>
        <w:rPr>
          <w:color w:val="4F81BD"/>
        </w:rPr>
      </w:pPr>
      <w:r w:rsidRPr="597304D7">
        <w:t>CONTROLLING FURTHER SPREAD</w:t>
      </w:r>
    </w:p>
    <w:p w14:paraId="1AB2E7DA" w14:textId="77777777" w:rsidR="00DD4341" w:rsidRPr="004D5749" w:rsidRDefault="00DD4341" w:rsidP="008B27E4">
      <w:pPr>
        <w:autoSpaceDE w:val="0"/>
        <w:autoSpaceDN w:val="0"/>
        <w:adjustRightInd w:val="0"/>
        <w:rPr>
          <w:rFonts w:asciiTheme="majorHAnsi" w:hAnsiTheme="majorHAnsi" w:cs="Garamond-BookCondensed"/>
          <w:sz w:val="22"/>
          <w:szCs w:val="22"/>
        </w:rPr>
      </w:pPr>
    </w:p>
    <w:p w14:paraId="5C756791" w14:textId="68D8F6B4" w:rsidR="008B27E4" w:rsidRPr="004D5749"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This section provides detailed recommendations. LBOH should familiarize themselves with the information. However,</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the MDPH </w:t>
      </w:r>
      <w:r w:rsidR="00FB0A42">
        <w:rPr>
          <w:rFonts w:asciiTheme="majorHAnsi" w:hAnsiTheme="majorHAnsi" w:cs="Garamond-BookCondensed"/>
          <w:sz w:val="22"/>
          <w:szCs w:val="22"/>
        </w:rPr>
        <w:t xml:space="preserve">usually </w:t>
      </w:r>
      <w:r w:rsidRPr="004D5749">
        <w:rPr>
          <w:rFonts w:asciiTheme="majorHAnsi" w:hAnsiTheme="majorHAnsi" w:cs="Garamond-BookCondensed"/>
          <w:sz w:val="22"/>
          <w:szCs w:val="22"/>
        </w:rPr>
        <w:t>will take the lead on implementing these measures, in collaboration with the LBOH.</w:t>
      </w:r>
    </w:p>
    <w:p w14:paraId="1F13098F"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38626B4C" w14:textId="77777777" w:rsidR="008B27E4" w:rsidRPr="00C23238" w:rsidRDefault="008B27E4" w:rsidP="008B27E4">
      <w:pPr>
        <w:autoSpaceDE w:val="0"/>
        <w:autoSpaceDN w:val="0"/>
        <w:adjustRightInd w:val="0"/>
        <w:rPr>
          <w:rFonts w:ascii="Arial" w:hAnsi="Arial" w:cs="Arial"/>
          <w:b/>
          <w:bCs/>
          <w:i/>
          <w:iCs/>
          <w:sz w:val="22"/>
          <w:szCs w:val="22"/>
        </w:rPr>
      </w:pPr>
      <w:r w:rsidRPr="00C23238">
        <w:rPr>
          <w:rFonts w:ascii="Arial" w:hAnsi="Arial" w:cs="Arial"/>
          <w:b/>
          <w:bCs/>
          <w:sz w:val="22"/>
          <w:szCs w:val="22"/>
        </w:rPr>
        <w:t xml:space="preserve">A. Isolation and Quarantine Requirements </w:t>
      </w:r>
      <w:r w:rsidRPr="00C23238">
        <w:rPr>
          <w:rFonts w:ascii="Arial" w:hAnsi="Arial" w:cs="Arial"/>
          <w:b/>
          <w:bCs/>
          <w:i/>
          <w:iCs/>
          <w:sz w:val="22"/>
          <w:szCs w:val="22"/>
        </w:rPr>
        <w:t>(105 CMR 300.200)</w:t>
      </w:r>
    </w:p>
    <w:p w14:paraId="32BB0CDD" w14:textId="77777777" w:rsidR="00DD4341" w:rsidRDefault="00DD4341" w:rsidP="008B27E4">
      <w:pPr>
        <w:autoSpaceDE w:val="0"/>
        <w:autoSpaceDN w:val="0"/>
        <w:adjustRightInd w:val="0"/>
        <w:rPr>
          <w:rFonts w:ascii="Garamond-BookCondensed" w:hAnsi="Garamond-BookCondensed" w:cs="Garamond-BookCondensed"/>
          <w:sz w:val="20"/>
          <w:szCs w:val="20"/>
        </w:rPr>
      </w:pPr>
    </w:p>
    <w:p w14:paraId="4CE95459" w14:textId="77777777" w:rsidR="008B27E4" w:rsidRPr="004D5749"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None.</w:t>
      </w:r>
    </w:p>
    <w:p w14:paraId="2E55C0E9" w14:textId="2363CFEF" w:rsidR="00CD6517" w:rsidRDefault="00CD6517">
      <w:pPr>
        <w:rPr>
          <w:rFonts w:ascii="Garamond-BookCondensed" w:hAnsi="Garamond-BookCondensed" w:cs="Garamond-BookCondensed"/>
          <w:sz w:val="20"/>
          <w:szCs w:val="20"/>
        </w:rPr>
      </w:pPr>
      <w:r>
        <w:rPr>
          <w:rFonts w:ascii="Garamond-BookCondensed" w:hAnsi="Garamond-BookCondensed" w:cs="Garamond-BookCondensed"/>
          <w:sz w:val="20"/>
          <w:szCs w:val="20"/>
        </w:rPr>
        <w:br w:type="page"/>
      </w:r>
    </w:p>
    <w:p w14:paraId="472CD067"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2AD677AC"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B. Protection of Contacts of a Case</w:t>
      </w:r>
    </w:p>
    <w:p w14:paraId="00B9D0D6" w14:textId="77777777" w:rsidR="00DD4341" w:rsidRDefault="00DD4341" w:rsidP="008B27E4">
      <w:pPr>
        <w:autoSpaceDE w:val="0"/>
        <w:autoSpaceDN w:val="0"/>
        <w:adjustRightInd w:val="0"/>
        <w:rPr>
          <w:rFonts w:ascii="Garamond-BookCondensed" w:hAnsi="Garamond-BookCondensed" w:cs="Garamond-BookCondensed"/>
          <w:sz w:val="20"/>
          <w:szCs w:val="20"/>
        </w:rPr>
      </w:pPr>
    </w:p>
    <w:p w14:paraId="738D62ED" w14:textId="2C94FEAA" w:rsidR="008B27E4" w:rsidRPr="004D5749" w:rsidRDefault="008B27E4"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Since tetanus is not transmitted from person to person, there is no immunization or prophylaxis necessary</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for contacts of a case. </w:t>
      </w:r>
      <w:r w:rsidR="00BB611E" w:rsidRPr="004D5749">
        <w:rPr>
          <w:rFonts w:asciiTheme="majorHAnsi" w:hAnsiTheme="majorHAnsi" w:cs="Garamond-BookCondensed"/>
          <w:sz w:val="22"/>
          <w:szCs w:val="22"/>
        </w:rPr>
        <w:t xml:space="preserve">However, the immunization status of contacts/household members should be assessed, and vaccination should be strongly encouraged to ensure all are up to date (especially if they share similar risk factors). </w:t>
      </w:r>
      <w:r w:rsidRPr="004D5749">
        <w:rPr>
          <w:rFonts w:asciiTheme="majorHAnsi" w:hAnsiTheme="majorHAnsi" w:cs="Garamond-BookCondensed"/>
          <w:sz w:val="22"/>
          <w:szCs w:val="22"/>
        </w:rPr>
        <w:t>If the patient is hospitalized, use the occasion as an opportunity to assess the patient’s</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immunization status, and follow standard precautions.</w:t>
      </w:r>
    </w:p>
    <w:p w14:paraId="12191F5A" w14:textId="77777777" w:rsidR="00DD4341" w:rsidRPr="00070065" w:rsidRDefault="00DD4341" w:rsidP="008B27E4">
      <w:pPr>
        <w:autoSpaceDE w:val="0"/>
        <w:autoSpaceDN w:val="0"/>
        <w:adjustRightInd w:val="0"/>
        <w:rPr>
          <w:rFonts w:ascii="Garamond-BookCondensed" w:hAnsi="Garamond-BookCondensed" w:cs="Garamond-BookCondensed"/>
          <w:sz w:val="20"/>
          <w:szCs w:val="20"/>
        </w:rPr>
      </w:pPr>
    </w:p>
    <w:p w14:paraId="68D48B72" w14:textId="77777777" w:rsidR="008B27E4" w:rsidRPr="00C23238" w:rsidRDefault="008B27E4" w:rsidP="008B27E4">
      <w:pPr>
        <w:autoSpaceDE w:val="0"/>
        <w:autoSpaceDN w:val="0"/>
        <w:adjustRightInd w:val="0"/>
        <w:rPr>
          <w:rFonts w:ascii="Arial" w:hAnsi="Arial" w:cs="Arial"/>
          <w:b/>
          <w:bCs/>
          <w:sz w:val="22"/>
          <w:szCs w:val="22"/>
        </w:rPr>
      </w:pPr>
      <w:r w:rsidRPr="00C23238">
        <w:rPr>
          <w:rFonts w:ascii="Arial" w:hAnsi="Arial" w:cs="Arial"/>
          <w:b/>
          <w:bCs/>
          <w:sz w:val="22"/>
          <w:szCs w:val="22"/>
        </w:rPr>
        <w:t>C. Managing Special Situations</w:t>
      </w:r>
    </w:p>
    <w:p w14:paraId="3CF686C1" w14:textId="77777777" w:rsidR="00DD4341" w:rsidRDefault="00DD4341" w:rsidP="008B27E4">
      <w:pPr>
        <w:autoSpaceDE w:val="0"/>
        <w:autoSpaceDN w:val="0"/>
        <w:adjustRightInd w:val="0"/>
        <w:rPr>
          <w:rFonts w:ascii="TradeGothic-CondEighteenObl" w:hAnsi="TradeGothic-CondEighteenObl" w:cs="TradeGothic-CondEighteenObl"/>
          <w:i/>
          <w:iCs/>
          <w:sz w:val="20"/>
          <w:szCs w:val="20"/>
        </w:rPr>
      </w:pPr>
    </w:p>
    <w:p w14:paraId="589C7AFF" w14:textId="77777777" w:rsidR="008B27E4" w:rsidRPr="004D5749" w:rsidRDefault="008B27E4" w:rsidP="008B27E4">
      <w:pPr>
        <w:autoSpaceDE w:val="0"/>
        <w:autoSpaceDN w:val="0"/>
        <w:adjustRightInd w:val="0"/>
        <w:rPr>
          <w:rFonts w:asciiTheme="majorHAnsi" w:hAnsiTheme="majorHAnsi" w:cs="TradeGothic-CondEighteenObl"/>
          <w:i/>
          <w:iCs/>
          <w:sz w:val="22"/>
          <w:szCs w:val="22"/>
        </w:rPr>
      </w:pPr>
      <w:r w:rsidRPr="004D5749">
        <w:rPr>
          <w:rFonts w:asciiTheme="majorHAnsi" w:hAnsiTheme="majorHAnsi" w:cs="TradeGothic-CondEighteenObl"/>
          <w:i/>
          <w:iCs/>
          <w:sz w:val="22"/>
          <w:szCs w:val="22"/>
        </w:rPr>
        <w:t>Tetanus Prophylaxis in Routine Wound Management</w:t>
      </w:r>
    </w:p>
    <w:p w14:paraId="06275D29" w14:textId="77777777" w:rsidR="00DD4341" w:rsidRPr="004D5749" w:rsidRDefault="00DD4341" w:rsidP="008B27E4">
      <w:pPr>
        <w:autoSpaceDE w:val="0"/>
        <w:autoSpaceDN w:val="0"/>
        <w:adjustRightInd w:val="0"/>
        <w:rPr>
          <w:rFonts w:asciiTheme="majorHAnsi" w:hAnsiTheme="majorHAnsi" w:cs="TradeGothic-CondEighteenObl"/>
          <w:i/>
          <w:iCs/>
          <w:sz w:val="22"/>
          <w:szCs w:val="22"/>
        </w:rPr>
      </w:pPr>
    </w:p>
    <w:p w14:paraId="2F2D9D2D" w14:textId="0A5F6A87" w:rsidR="008B27E4" w:rsidRPr="004D5749" w:rsidRDefault="008B27E4" w:rsidP="008B27E4">
      <w:pPr>
        <w:autoSpaceDE w:val="0"/>
        <w:autoSpaceDN w:val="0"/>
        <w:adjustRightInd w:val="0"/>
        <w:rPr>
          <w:rFonts w:asciiTheme="majorHAnsi" w:hAnsiTheme="majorHAnsi"/>
          <w:sz w:val="22"/>
          <w:szCs w:val="22"/>
        </w:rPr>
      </w:pPr>
      <w:r w:rsidRPr="004D5749">
        <w:rPr>
          <w:rFonts w:asciiTheme="majorHAnsi" w:hAnsiTheme="majorHAnsi" w:cs="Garamond-BookCondensed"/>
          <w:sz w:val="22"/>
          <w:szCs w:val="22"/>
        </w:rPr>
        <w:t xml:space="preserve">Appropriate immunization is central to tetanus prophylaxis. The need for active immunization (with </w:t>
      </w:r>
      <w:r w:rsidR="00C6298E" w:rsidRPr="004D5749">
        <w:rPr>
          <w:rFonts w:asciiTheme="majorHAnsi" w:hAnsiTheme="majorHAnsi" w:cs="Garamond-BookCondensed"/>
          <w:sz w:val="22"/>
          <w:szCs w:val="22"/>
        </w:rPr>
        <w:t>age-appropriate tetanus toxoid-containing vaccine</w:t>
      </w:r>
      <w:r w:rsidRPr="004D5749">
        <w:rPr>
          <w:rFonts w:asciiTheme="majorHAnsi" w:hAnsiTheme="majorHAnsi" w:cs="Garamond-BookCondensed"/>
          <w:sz w:val="22"/>
          <w:szCs w:val="22"/>
        </w:rPr>
        <w:t>) and/or</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passive immunization (with TIG) depends on the condition of the wound and the patient’s immunization history</w:t>
      </w:r>
      <w:r w:rsidR="004D05C6" w:rsidRPr="004D5749">
        <w:rPr>
          <w:rFonts w:asciiTheme="majorHAnsi" w:hAnsiTheme="majorHAnsi" w:cs="Garamond-BookCondensed"/>
          <w:sz w:val="22"/>
          <w:szCs w:val="22"/>
        </w:rPr>
        <w:t xml:space="preserve">. Refer to the table in the </w:t>
      </w:r>
      <w:r w:rsidR="00E6470D" w:rsidRPr="004D5749">
        <w:rPr>
          <w:rFonts w:asciiTheme="majorHAnsi" w:hAnsiTheme="majorHAnsi" w:cs="Garamond-BookCondensed"/>
          <w:sz w:val="22"/>
          <w:szCs w:val="22"/>
        </w:rPr>
        <w:t xml:space="preserve">current </w:t>
      </w:r>
      <w:r w:rsidR="009F6FC9" w:rsidRPr="004D5749">
        <w:rPr>
          <w:rFonts w:asciiTheme="majorHAnsi" w:hAnsiTheme="majorHAnsi" w:cs="Garamond-BookCondensed"/>
          <w:i/>
          <w:iCs/>
          <w:sz w:val="22"/>
          <w:szCs w:val="22"/>
        </w:rPr>
        <w:t xml:space="preserve"> </w:t>
      </w:r>
      <w:hyperlink r:id="rId11" w:history="1">
        <w:r w:rsidR="009F6FC9" w:rsidRPr="004D5749">
          <w:rPr>
            <w:rStyle w:val="Hyperlink"/>
            <w:rFonts w:asciiTheme="majorHAnsi" w:hAnsiTheme="majorHAnsi"/>
            <w:sz w:val="22"/>
            <w:szCs w:val="22"/>
          </w:rPr>
          <w:t>Pinkbook: Tetanus | CDC</w:t>
        </w:r>
      </w:hyperlink>
      <w:r w:rsidR="009F6FC9" w:rsidRPr="004D5749">
        <w:rPr>
          <w:rStyle w:val="Hyperlink"/>
          <w:rFonts w:asciiTheme="majorHAnsi" w:hAnsiTheme="majorHAnsi"/>
          <w:sz w:val="22"/>
          <w:szCs w:val="22"/>
        </w:rPr>
        <w:t xml:space="preserve"> </w:t>
      </w:r>
      <w:r w:rsidR="004D05C6" w:rsidRPr="004D5749">
        <w:rPr>
          <w:rFonts w:asciiTheme="majorHAnsi" w:hAnsiTheme="majorHAnsi" w:cs="Garamond-BookCondensed"/>
          <w:sz w:val="22"/>
          <w:szCs w:val="22"/>
        </w:rPr>
        <w:t xml:space="preserve">under </w:t>
      </w:r>
      <w:r w:rsidR="00786B31" w:rsidRPr="004D5749">
        <w:rPr>
          <w:rFonts w:asciiTheme="majorHAnsi" w:hAnsiTheme="majorHAnsi" w:cs="Garamond-BookCondensed"/>
          <w:i/>
          <w:iCs/>
          <w:sz w:val="22"/>
          <w:szCs w:val="22"/>
        </w:rPr>
        <w:t>Guide to Tetanus Prophylaxis</w:t>
      </w:r>
      <w:r w:rsidR="004D05C6" w:rsidRPr="004D5749">
        <w:rPr>
          <w:rFonts w:asciiTheme="majorHAnsi" w:hAnsiTheme="majorHAnsi" w:cs="Garamond-BookCondensed"/>
          <w:i/>
          <w:iCs/>
          <w:sz w:val="22"/>
          <w:szCs w:val="22"/>
        </w:rPr>
        <w:t xml:space="preserve"> </w:t>
      </w:r>
      <w:r w:rsidR="004D05C6" w:rsidRPr="004D5749">
        <w:rPr>
          <w:rFonts w:asciiTheme="majorHAnsi" w:hAnsiTheme="majorHAnsi" w:cs="Garamond-BookCondensed"/>
          <w:sz w:val="22"/>
          <w:szCs w:val="22"/>
        </w:rPr>
        <w:t>for prophylaxis recommendations</w:t>
      </w:r>
      <w:r w:rsidR="009F6FC9" w:rsidRPr="004D5749">
        <w:rPr>
          <w:rFonts w:asciiTheme="majorHAnsi" w:hAnsiTheme="majorHAnsi" w:cs="Garamond-BookCondensed"/>
          <w:i/>
          <w:iCs/>
          <w:sz w:val="22"/>
          <w:szCs w:val="22"/>
        </w:rPr>
        <w:t xml:space="preserve"> </w:t>
      </w:r>
      <w:r w:rsidR="009F6FC9" w:rsidRPr="004D5749">
        <w:rPr>
          <w:rFonts w:asciiTheme="majorHAnsi" w:hAnsiTheme="majorHAnsi" w:cs="Garamond-BookCondensed"/>
          <w:sz w:val="22"/>
          <w:szCs w:val="22"/>
        </w:rPr>
        <w:t>or the CDC Tetanus for Clinicians webpage.</w:t>
      </w:r>
    </w:p>
    <w:p w14:paraId="4E2A6B0E" w14:textId="4C59C75D" w:rsidR="00786B31" w:rsidRPr="004D5749" w:rsidRDefault="00786B31" w:rsidP="008B27E4">
      <w:pPr>
        <w:autoSpaceDE w:val="0"/>
        <w:autoSpaceDN w:val="0"/>
        <w:adjustRightInd w:val="0"/>
        <w:rPr>
          <w:rFonts w:asciiTheme="majorHAnsi" w:hAnsiTheme="majorHAnsi" w:cs="Garamond-BookCondensed"/>
          <w:sz w:val="22"/>
          <w:szCs w:val="22"/>
        </w:rPr>
      </w:pPr>
    </w:p>
    <w:p w14:paraId="03F3926E" w14:textId="5B9AFFB3" w:rsidR="008B27E4" w:rsidRPr="004D5749" w:rsidRDefault="00786B31" w:rsidP="008B27E4">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People should receive tetanus toxoid-containing vaccine even for clean, minor wounds if it has been 10 years or greater since their last dose of tetanus toxoid-containing vaccine. For all other wounds not considered to be clean and minor (including, but not limited to, wounds contaminated with dirt, feces, soil, or saliva; puncture wounds; crush wounds; burns, and frostbite), tetanus toxoid-containing vaccine should be administered if it has been 5 years or greater since their last dose of tetanus toxoid-containing vaccine.</w:t>
      </w:r>
    </w:p>
    <w:p w14:paraId="4F4F4F74" w14:textId="77777777" w:rsidR="005B5A44" w:rsidRPr="004D5749" w:rsidRDefault="005B5A44">
      <w:pPr>
        <w:rPr>
          <w:rFonts w:asciiTheme="majorHAnsi" w:hAnsiTheme="majorHAnsi"/>
          <w:sz w:val="22"/>
          <w:szCs w:val="22"/>
        </w:rPr>
      </w:pPr>
    </w:p>
    <w:p w14:paraId="44671201" w14:textId="353A00D4" w:rsidR="00070065" w:rsidRPr="004D5749" w:rsidRDefault="00070065" w:rsidP="3E79739A">
      <w:pPr>
        <w:autoSpaceDE w:val="0"/>
        <w:autoSpaceDN w:val="0"/>
        <w:adjustRightInd w:val="0"/>
        <w:rPr>
          <w:rFonts w:asciiTheme="majorHAnsi" w:hAnsiTheme="majorHAnsi" w:cs="Garamond-BookCondensed"/>
          <w:sz w:val="22"/>
          <w:szCs w:val="22"/>
        </w:rPr>
      </w:pPr>
      <w:r w:rsidRPr="3E79739A">
        <w:rPr>
          <w:rFonts w:asciiTheme="majorHAnsi" w:hAnsiTheme="majorHAnsi" w:cs="Garamond-BookCondensed"/>
          <w:sz w:val="22"/>
          <w:szCs w:val="22"/>
        </w:rPr>
        <w:t>Regardless of immunization status, dirty wounds should be properly cleaned and debrided. Wounds should receive prompt surgical treatment to remove all devitalized tissue and</w:t>
      </w:r>
      <w:r w:rsidR="00DD4341" w:rsidRPr="3E79739A">
        <w:rPr>
          <w:rFonts w:asciiTheme="majorHAnsi" w:hAnsiTheme="majorHAnsi" w:cs="Garamond-BookCondensed"/>
          <w:sz w:val="22"/>
          <w:szCs w:val="22"/>
        </w:rPr>
        <w:t xml:space="preserve"> </w:t>
      </w:r>
      <w:r w:rsidRPr="3E79739A">
        <w:rPr>
          <w:rFonts w:asciiTheme="majorHAnsi" w:hAnsiTheme="majorHAnsi" w:cs="Garamond-BookCondensed"/>
          <w:sz w:val="22"/>
          <w:szCs w:val="22"/>
        </w:rPr>
        <w:t>foreign material as an essential part of tetanus prophylaxis. It is not necessary or appropriate to debride puncture</w:t>
      </w:r>
      <w:r w:rsidR="00DD4341" w:rsidRPr="3E79739A">
        <w:rPr>
          <w:rFonts w:asciiTheme="majorHAnsi" w:hAnsiTheme="majorHAnsi" w:cs="Garamond-BookCondensed"/>
          <w:sz w:val="22"/>
          <w:szCs w:val="22"/>
        </w:rPr>
        <w:t xml:space="preserve"> </w:t>
      </w:r>
      <w:r w:rsidRPr="3E79739A">
        <w:rPr>
          <w:rFonts w:asciiTheme="majorHAnsi" w:hAnsiTheme="majorHAnsi" w:cs="Garamond-BookCondensed"/>
          <w:sz w:val="22"/>
          <w:szCs w:val="22"/>
        </w:rPr>
        <w:t>wounds extensively.</w:t>
      </w:r>
    </w:p>
    <w:p w14:paraId="67D04C0B" w14:textId="3D022880" w:rsidR="00EE4995" w:rsidRPr="004D5749" w:rsidRDefault="00EE4995" w:rsidP="00070065">
      <w:pPr>
        <w:autoSpaceDE w:val="0"/>
        <w:autoSpaceDN w:val="0"/>
        <w:adjustRightInd w:val="0"/>
        <w:rPr>
          <w:rFonts w:asciiTheme="majorHAnsi" w:hAnsiTheme="majorHAnsi" w:cs="Garamond-BookCondensed"/>
          <w:sz w:val="22"/>
          <w:szCs w:val="22"/>
        </w:rPr>
      </w:pPr>
    </w:p>
    <w:p w14:paraId="16D87C90" w14:textId="41F4185A" w:rsidR="00EE4995" w:rsidRPr="004D5749" w:rsidRDefault="00EE4995" w:rsidP="6CCBBC13">
      <w:pPr>
        <w:autoSpaceDE w:val="0"/>
        <w:autoSpaceDN w:val="0"/>
        <w:adjustRightInd w:val="0"/>
        <w:rPr>
          <w:rFonts w:asciiTheme="majorHAnsi" w:hAnsiTheme="majorHAnsi" w:cs="Garamond-BookCondensed"/>
          <w:sz w:val="22"/>
          <w:szCs w:val="22"/>
        </w:rPr>
      </w:pPr>
      <w:r w:rsidRPr="6CCBBC13">
        <w:rPr>
          <w:rFonts w:asciiTheme="majorHAnsi" w:hAnsiTheme="majorHAnsi" w:cs="Garamond-BookCondensed"/>
          <w:i/>
          <w:iCs/>
          <w:sz w:val="22"/>
          <w:szCs w:val="22"/>
        </w:rPr>
        <w:t xml:space="preserve">TIG for </w:t>
      </w:r>
      <w:r w:rsidR="00FB0A42" w:rsidRPr="6CCBBC13">
        <w:rPr>
          <w:rFonts w:asciiTheme="majorHAnsi" w:hAnsiTheme="majorHAnsi" w:cs="Garamond-BookCondensed"/>
          <w:i/>
          <w:iCs/>
          <w:sz w:val="22"/>
          <w:szCs w:val="22"/>
        </w:rPr>
        <w:t>p</w:t>
      </w:r>
      <w:r w:rsidRPr="6CCBBC13">
        <w:rPr>
          <w:rFonts w:asciiTheme="majorHAnsi" w:hAnsiTheme="majorHAnsi" w:cs="Garamond-BookCondensed"/>
          <w:i/>
          <w:iCs/>
          <w:sz w:val="22"/>
          <w:szCs w:val="22"/>
        </w:rPr>
        <w:t>rophylaxis:</w:t>
      </w:r>
      <w:r w:rsidR="00BF653C" w:rsidRPr="6CCBBC13">
        <w:rPr>
          <w:rFonts w:asciiTheme="majorHAnsi" w:hAnsiTheme="majorHAnsi" w:cs="Garamond-BookCondensed"/>
          <w:sz w:val="22"/>
          <w:szCs w:val="22"/>
        </w:rPr>
        <w:t xml:space="preserve"> </w:t>
      </w:r>
      <w:r w:rsidRPr="6CCBBC13">
        <w:rPr>
          <w:rFonts w:asciiTheme="majorHAnsi" w:hAnsiTheme="majorHAnsi" w:cs="Garamond-BookCondensed"/>
          <w:sz w:val="22"/>
          <w:szCs w:val="22"/>
        </w:rPr>
        <w:t xml:space="preserve">Persons who have contaminated and dirty wounds and </w:t>
      </w:r>
      <w:r w:rsidR="00681E4D" w:rsidRPr="6CCBBC13">
        <w:rPr>
          <w:rFonts w:asciiTheme="majorHAnsi" w:hAnsiTheme="majorHAnsi" w:cs="Garamond-BookCondensed"/>
          <w:sz w:val="22"/>
          <w:szCs w:val="22"/>
        </w:rPr>
        <w:t xml:space="preserve">who have had fewer than 3 prior doses of </w:t>
      </w:r>
      <w:r w:rsidRPr="6CCBBC13">
        <w:rPr>
          <w:rFonts w:asciiTheme="majorHAnsi" w:hAnsiTheme="majorHAnsi" w:cs="Garamond-BookCondensed"/>
          <w:sz w:val="22"/>
          <w:szCs w:val="22"/>
        </w:rPr>
        <w:t xml:space="preserve">toxoid-containing vaccines should receive TIG for prophylaxis. </w:t>
      </w:r>
      <w:r w:rsidR="7C33478C" w:rsidRPr="6CCBBC13">
        <w:rPr>
          <w:rFonts w:asciiTheme="majorHAnsi" w:hAnsiTheme="majorHAnsi" w:cs="Garamond-BookCondensed"/>
          <w:sz w:val="22"/>
          <w:szCs w:val="22"/>
        </w:rPr>
        <w:t xml:space="preserve">People </w:t>
      </w:r>
      <w:r w:rsidRPr="6CCBBC13">
        <w:rPr>
          <w:rFonts w:asciiTheme="majorHAnsi" w:hAnsiTheme="majorHAnsi" w:cs="Garamond-BookCondensed"/>
          <w:sz w:val="22"/>
          <w:szCs w:val="22"/>
        </w:rPr>
        <w:t>with HIV infection or severe immunodeficiency who have contaminated wounds (including minor wounds) should also receive TIG, regardless of their history of tetanus immunizations.</w:t>
      </w:r>
      <w:r w:rsidR="00681E4D" w:rsidRPr="6CCBBC13">
        <w:rPr>
          <w:rFonts w:asciiTheme="majorHAnsi" w:hAnsiTheme="majorHAnsi" w:cs="Garamond-BookCondensed"/>
          <w:sz w:val="22"/>
          <w:szCs w:val="22"/>
        </w:rPr>
        <w:t xml:space="preserve"> Refer to the Red Book </w:t>
      </w:r>
      <w:r w:rsidR="009F6FC9" w:rsidRPr="6CCBBC13">
        <w:rPr>
          <w:rFonts w:asciiTheme="majorHAnsi" w:hAnsiTheme="majorHAnsi" w:cs="Garamond-BookCondensed"/>
          <w:sz w:val="22"/>
          <w:szCs w:val="22"/>
        </w:rPr>
        <w:t>o</w:t>
      </w:r>
      <w:r w:rsidR="0007633A" w:rsidRPr="6CCBBC13">
        <w:rPr>
          <w:rFonts w:asciiTheme="majorHAnsi" w:hAnsiTheme="majorHAnsi" w:cs="Garamond-BookCondensed"/>
          <w:sz w:val="22"/>
          <w:szCs w:val="22"/>
        </w:rPr>
        <w:t>r</w:t>
      </w:r>
      <w:r w:rsidR="009F6FC9" w:rsidRPr="6CCBBC13">
        <w:rPr>
          <w:rFonts w:asciiTheme="majorHAnsi" w:hAnsiTheme="majorHAnsi" w:cs="Garamond-BookCondensed"/>
          <w:sz w:val="22"/>
          <w:szCs w:val="22"/>
        </w:rPr>
        <w:t xml:space="preserve"> CDC Tetanus for Clinicians webpage </w:t>
      </w:r>
      <w:r w:rsidR="00681E4D" w:rsidRPr="6CCBBC13">
        <w:rPr>
          <w:rFonts w:asciiTheme="majorHAnsi" w:hAnsiTheme="majorHAnsi" w:cs="Garamond-BookCondensed"/>
          <w:sz w:val="22"/>
          <w:szCs w:val="22"/>
        </w:rPr>
        <w:t>for current recommendations.</w:t>
      </w:r>
    </w:p>
    <w:p w14:paraId="412A8CD3" w14:textId="77777777" w:rsidR="00DD4341" w:rsidRPr="004D5749" w:rsidRDefault="00DD4341" w:rsidP="00070065">
      <w:pPr>
        <w:autoSpaceDE w:val="0"/>
        <w:autoSpaceDN w:val="0"/>
        <w:adjustRightInd w:val="0"/>
        <w:rPr>
          <w:rFonts w:asciiTheme="majorHAnsi" w:hAnsiTheme="majorHAnsi" w:cs="TradeGothic-CondEighteenObl"/>
          <w:i/>
          <w:iCs/>
          <w:sz w:val="22"/>
          <w:szCs w:val="22"/>
        </w:rPr>
      </w:pPr>
    </w:p>
    <w:p w14:paraId="18695A0A" w14:textId="7F7E735C" w:rsidR="00070065" w:rsidRPr="004D5749" w:rsidRDefault="00070065" w:rsidP="00070065">
      <w:pPr>
        <w:autoSpaceDE w:val="0"/>
        <w:autoSpaceDN w:val="0"/>
        <w:adjustRightInd w:val="0"/>
        <w:rPr>
          <w:rFonts w:asciiTheme="majorHAnsi" w:hAnsiTheme="majorHAnsi" w:cs="TradeGothic-CondEighteenObl"/>
          <w:i/>
          <w:iCs/>
          <w:sz w:val="22"/>
          <w:szCs w:val="22"/>
        </w:rPr>
      </w:pPr>
      <w:r w:rsidRPr="004D5749">
        <w:rPr>
          <w:rFonts w:asciiTheme="majorHAnsi" w:hAnsiTheme="majorHAnsi" w:cs="TradeGothic-CondEighteenObl"/>
          <w:i/>
          <w:iCs/>
          <w:sz w:val="22"/>
          <w:szCs w:val="22"/>
        </w:rPr>
        <w:t>Case Management</w:t>
      </w:r>
    </w:p>
    <w:p w14:paraId="311C7FB1" w14:textId="1F938C68" w:rsidR="00681E4D" w:rsidRPr="004D5749" w:rsidRDefault="00681E4D" w:rsidP="00070065">
      <w:pPr>
        <w:autoSpaceDE w:val="0"/>
        <w:autoSpaceDN w:val="0"/>
        <w:adjustRightInd w:val="0"/>
        <w:rPr>
          <w:rFonts w:asciiTheme="majorHAnsi" w:hAnsiTheme="majorHAnsi" w:cs="TradeGothic-CondEighteenObl"/>
          <w:sz w:val="22"/>
          <w:szCs w:val="22"/>
        </w:rPr>
      </w:pPr>
      <w:r w:rsidRPr="004D5749">
        <w:rPr>
          <w:rFonts w:asciiTheme="majorHAnsi" w:hAnsiTheme="majorHAnsi" w:cs="TradeGothic-CondEighteenObl"/>
          <w:sz w:val="22"/>
          <w:szCs w:val="22"/>
        </w:rPr>
        <w:t>Refer to the most recent Red Book for current case management recommendations.</w:t>
      </w:r>
      <w:r w:rsidR="00E6470D" w:rsidRPr="004D5749">
        <w:rPr>
          <w:rFonts w:asciiTheme="majorHAnsi" w:hAnsiTheme="majorHAnsi" w:cs="TradeGothic-CondEighteenObl"/>
          <w:sz w:val="22"/>
          <w:szCs w:val="22"/>
        </w:rPr>
        <w:t xml:space="preserve"> The current Red Book recommendations are:</w:t>
      </w:r>
    </w:p>
    <w:p w14:paraId="1CAFEDE1" w14:textId="77777777" w:rsidR="00DD4341" w:rsidRPr="004D5749" w:rsidRDefault="00DD4341" w:rsidP="00070065">
      <w:pPr>
        <w:autoSpaceDE w:val="0"/>
        <w:autoSpaceDN w:val="0"/>
        <w:adjustRightInd w:val="0"/>
        <w:rPr>
          <w:rFonts w:asciiTheme="majorHAnsi" w:hAnsiTheme="majorHAnsi" w:cs="TradeGothic-CondEighteenObl"/>
          <w:i/>
          <w:iCs/>
          <w:sz w:val="22"/>
          <w:szCs w:val="22"/>
        </w:rPr>
      </w:pPr>
    </w:p>
    <w:p w14:paraId="244585B7" w14:textId="77777777" w:rsidR="00070065" w:rsidRPr="004D5749" w:rsidRDefault="00070065" w:rsidP="004D0A46">
      <w:pPr>
        <w:autoSpaceDE w:val="0"/>
        <w:autoSpaceDN w:val="0"/>
        <w:adjustRightInd w:val="0"/>
        <w:ind w:left="360" w:hanging="360"/>
        <w:rPr>
          <w:rFonts w:asciiTheme="majorHAnsi" w:hAnsiTheme="majorHAnsi" w:cs="Garamond-BookCondensed"/>
          <w:sz w:val="22"/>
          <w:szCs w:val="22"/>
        </w:rPr>
      </w:pPr>
      <w:r w:rsidRPr="004D5749">
        <w:rPr>
          <w:rFonts w:asciiTheme="majorHAnsi" w:hAnsiTheme="majorHAnsi" w:cs="Garamond-BookCondensed"/>
          <w:sz w:val="22"/>
          <w:szCs w:val="22"/>
        </w:rPr>
        <w:t xml:space="preserve">1. </w:t>
      </w:r>
      <w:r w:rsidR="004D0A46" w:rsidRPr="004D5749">
        <w:rPr>
          <w:rFonts w:asciiTheme="majorHAnsi" w:hAnsiTheme="majorHAnsi" w:cs="Garamond-BookCondensed"/>
          <w:sz w:val="22"/>
          <w:szCs w:val="22"/>
        </w:rPr>
        <w:tab/>
      </w:r>
      <w:r w:rsidRPr="004D5749">
        <w:rPr>
          <w:rFonts w:asciiTheme="majorHAnsi" w:hAnsiTheme="majorHAnsi" w:cs="Garamond-BookCondensed"/>
          <w:sz w:val="22"/>
          <w:szCs w:val="22"/>
        </w:rPr>
        <w:t>Wound care: All wounds should be properly cleaned and debrided, especially if extensive necrosis is present. In</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neonatal tetanus, wide excision of the umbilical cord is not indicated.</w:t>
      </w:r>
    </w:p>
    <w:p w14:paraId="1A278112" w14:textId="77777777" w:rsidR="004D0A46" w:rsidRPr="00FB0A42" w:rsidRDefault="004D0A46" w:rsidP="00070065">
      <w:pPr>
        <w:autoSpaceDE w:val="0"/>
        <w:autoSpaceDN w:val="0"/>
        <w:adjustRightInd w:val="0"/>
        <w:rPr>
          <w:rFonts w:asciiTheme="majorHAnsi" w:hAnsiTheme="majorHAnsi" w:cs="Garamond-BookCondensed"/>
          <w:sz w:val="16"/>
          <w:szCs w:val="16"/>
        </w:rPr>
      </w:pPr>
    </w:p>
    <w:p w14:paraId="788F3CDE" w14:textId="5D41F2D2" w:rsidR="00070065" w:rsidRPr="004D5749" w:rsidRDefault="00070065" w:rsidP="004D0A46">
      <w:pPr>
        <w:autoSpaceDE w:val="0"/>
        <w:autoSpaceDN w:val="0"/>
        <w:adjustRightInd w:val="0"/>
        <w:ind w:left="360" w:hanging="360"/>
        <w:rPr>
          <w:rFonts w:asciiTheme="majorHAnsi" w:hAnsiTheme="majorHAnsi" w:cs="Garamond-BookCondensed"/>
          <w:sz w:val="22"/>
          <w:szCs w:val="22"/>
        </w:rPr>
      </w:pPr>
      <w:r w:rsidRPr="004D5749">
        <w:rPr>
          <w:rFonts w:asciiTheme="majorHAnsi" w:hAnsiTheme="majorHAnsi" w:cs="Garamond-BookCondensed"/>
          <w:sz w:val="22"/>
          <w:szCs w:val="22"/>
        </w:rPr>
        <w:t xml:space="preserve">2. </w:t>
      </w:r>
      <w:r w:rsidR="004D0A46" w:rsidRPr="004D5749">
        <w:rPr>
          <w:rFonts w:asciiTheme="majorHAnsi" w:hAnsiTheme="majorHAnsi" w:cs="Garamond-BookCondensed"/>
          <w:sz w:val="22"/>
          <w:szCs w:val="22"/>
        </w:rPr>
        <w:tab/>
      </w:r>
      <w:r w:rsidRPr="004D5749">
        <w:rPr>
          <w:rFonts w:asciiTheme="majorHAnsi" w:hAnsiTheme="majorHAnsi" w:cs="Garamond-BookCondensed"/>
          <w:sz w:val="22"/>
          <w:szCs w:val="22"/>
        </w:rPr>
        <w:t>Human tetanus immune globulin (TIG, human): TIG is recommended for the treatment of tetanus. The optimum therapeutic dose has not been</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established.</w:t>
      </w:r>
      <w:r w:rsidR="003547F4" w:rsidRPr="004D5749">
        <w:rPr>
          <w:rFonts w:asciiTheme="majorHAnsi" w:hAnsiTheme="majorHAnsi" w:cs="Garamond-BookCondensed"/>
          <w:sz w:val="22"/>
          <w:szCs w:val="22"/>
        </w:rPr>
        <w:t xml:space="preserve"> However, experts recommend </w:t>
      </w:r>
      <w:r w:rsidR="00D05073" w:rsidRPr="004D5749">
        <w:rPr>
          <w:rFonts w:asciiTheme="majorHAnsi" w:hAnsiTheme="majorHAnsi" w:cs="Garamond-BookCondensed"/>
          <w:sz w:val="22"/>
          <w:szCs w:val="22"/>
        </w:rPr>
        <w:t xml:space="preserve">a single dose of </w:t>
      </w:r>
      <w:r w:rsidR="003547F4" w:rsidRPr="004D5749">
        <w:rPr>
          <w:rFonts w:asciiTheme="majorHAnsi" w:hAnsiTheme="majorHAnsi" w:cs="Garamond-BookCondensed"/>
          <w:sz w:val="22"/>
          <w:szCs w:val="22"/>
        </w:rPr>
        <w:t>500 IU</w:t>
      </w:r>
      <w:r w:rsidR="00D05073" w:rsidRPr="004D5749">
        <w:rPr>
          <w:rFonts w:asciiTheme="majorHAnsi" w:hAnsiTheme="majorHAnsi" w:cs="Garamond-BookCondensed"/>
          <w:sz w:val="22"/>
          <w:szCs w:val="22"/>
        </w:rPr>
        <w:t xml:space="preserve"> for children and adults</w:t>
      </w:r>
      <w:r w:rsidR="003547F4" w:rsidRPr="004D5749">
        <w:rPr>
          <w:rFonts w:asciiTheme="majorHAnsi" w:hAnsiTheme="majorHAnsi" w:cs="Garamond-BookCondensed"/>
          <w:sz w:val="22"/>
          <w:szCs w:val="22"/>
        </w:rPr>
        <w:t>, which appears to be as effective as higher doses ranging from 3,000 to 6,000 IU and causes less discomfort.</w:t>
      </w:r>
      <w:r w:rsidRPr="004D5749">
        <w:rPr>
          <w:rFonts w:asciiTheme="majorHAnsi" w:hAnsiTheme="majorHAnsi" w:cs="Garamond-BookCondensed"/>
          <w:sz w:val="22"/>
          <w:szCs w:val="22"/>
        </w:rPr>
        <w:t xml:space="preserve"> The preparation available in the U.S. must be given intramuscularly. Some authorities recommend</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infiltration of part of the dose locally around the wound, although the efficacy of this approach has not been</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proven.</w:t>
      </w:r>
    </w:p>
    <w:p w14:paraId="043833FC" w14:textId="167E49E3" w:rsidR="00070065" w:rsidRPr="004D5749" w:rsidRDefault="00070065" w:rsidP="004D0A46">
      <w:pPr>
        <w:autoSpaceDE w:val="0"/>
        <w:autoSpaceDN w:val="0"/>
        <w:adjustRightInd w:val="0"/>
        <w:ind w:left="360" w:hanging="360"/>
        <w:rPr>
          <w:rFonts w:asciiTheme="majorHAnsi" w:hAnsiTheme="majorHAnsi" w:cs="Garamond-BookCondensed"/>
          <w:sz w:val="22"/>
          <w:szCs w:val="22"/>
        </w:rPr>
      </w:pPr>
      <w:r w:rsidRPr="004D5749">
        <w:rPr>
          <w:rFonts w:asciiTheme="majorHAnsi" w:hAnsiTheme="majorHAnsi" w:cs="Garamond-BookCondensed"/>
          <w:sz w:val="22"/>
          <w:szCs w:val="22"/>
        </w:rPr>
        <w:lastRenderedPageBreak/>
        <w:t xml:space="preserve">3. </w:t>
      </w:r>
      <w:r w:rsidR="004D0A46" w:rsidRPr="004D5749">
        <w:rPr>
          <w:rFonts w:asciiTheme="majorHAnsi" w:hAnsiTheme="majorHAnsi" w:cs="Garamond-BookCondensed"/>
          <w:sz w:val="22"/>
          <w:szCs w:val="22"/>
        </w:rPr>
        <w:tab/>
      </w:r>
      <w:r w:rsidRPr="004D5749">
        <w:rPr>
          <w:rFonts w:asciiTheme="majorHAnsi" w:hAnsiTheme="majorHAnsi" w:cs="Garamond-BookCondensed"/>
          <w:sz w:val="22"/>
          <w:szCs w:val="22"/>
        </w:rPr>
        <w:t>Intravenous immune globulin (IGIV): IGIV anti-tetanus antibodies may be considered for treatment if TIG is not</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available. </w:t>
      </w:r>
      <w:r w:rsidR="003547F4" w:rsidRPr="004D5749">
        <w:rPr>
          <w:rFonts w:asciiTheme="majorHAnsi" w:hAnsiTheme="majorHAnsi" w:cs="Garamond-BookCondensed"/>
          <w:sz w:val="22"/>
          <w:szCs w:val="22"/>
        </w:rPr>
        <w:t xml:space="preserve">Clinicians can use IGIV at a dose of 200 to 400 milligrams per kilogram (mg/kg). </w:t>
      </w:r>
      <w:r w:rsidRPr="004D5749">
        <w:rPr>
          <w:rFonts w:asciiTheme="majorHAnsi" w:hAnsiTheme="majorHAnsi" w:cs="Garamond-BookCondensed"/>
          <w:sz w:val="22"/>
          <w:szCs w:val="22"/>
        </w:rPr>
        <w:t>However, approval by the Food and Drug Administration (FDA) has not been given for this use</w:t>
      </w:r>
      <w:r w:rsidR="003547F4" w:rsidRPr="004D5749">
        <w:rPr>
          <w:rFonts w:asciiTheme="majorHAnsi" w:hAnsiTheme="majorHAnsi" w:cs="Garamond-BookCondensed"/>
          <w:sz w:val="22"/>
          <w:szCs w:val="22"/>
        </w:rPr>
        <w:t>.</w:t>
      </w:r>
    </w:p>
    <w:p w14:paraId="7B2EFA0C" w14:textId="77777777" w:rsidR="00DD4341" w:rsidRPr="00FB0A42" w:rsidRDefault="00DD4341" w:rsidP="00070065">
      <w:pPr>
        <w:autoSpaceDE w:val="0"/>
        <w:autoSpaceDN w:val="0"/>
        <w:adjustRightInd w:val="0"/>
        <w:rPr>
          <w:rFonts w:asciiTheme="majorHAnsi" w:hAnsiTheme="majorHAnsi" w:cs="Garamond-BookCondensed"/>
          <w:sz w:val="16"/>
          <w:szCs w:val="16"/>
        </w:rPr>
      </w:pPr>
    </w:p>
    <w:p w14:paraId="543BA4B4" w14:textId="0B57B345" w:rsidR="00070065" w:rsidRPr="004D5749" w:rsidRDefault="00070065" w:rsidP="004D0A46">
      <w:pPr>
        <w:autoSpaceDE w:val="0"/>
        <w:autoSpaceDN w:val="0"/>
        <w:adjustRightInd w:val="0"/>
        <w:ind w:left="360" w:hanging="360"/>
        <w:rPr>
          <w:rFonts w:asciiTheme="majorHAnsi" w:hAnsiTheme="majorHAnsi" w:cs="Garamond-BookCondensed"/>
          <w:sz w:val="22"/>
          <w:szCs w:val="22"/>
        </w:rPr>
      </w:pPr>
      <w:r w:rsidRPr="004D5749">
        <w:rPr>
          <w:rFonts w:asciiTheme="majorHAnsi" w:hAnsiTheme="majorHAnsi" w:cs="Garamond-BookCondensed"/>
          <w:sz w:val="22"/>
          <w:szCs w:val="22"/>
        </w:rPr>
        <w:t xml:space="preserve">4. </w:t>
      </w:r>
      <w:r w:rsidR="004D0A46" w:rsidRPr="004D5749">
        <w:rPr>
          <w:rFonts w:asciiTheme="majorHAnsi" w:hAnsiTheme="majorHAnsi" w:cs="Garamond-BookCondensed"/>
          <w:sz w:val="22"/>
          <w:szCs w:val="22"/>
        </w:rPr>
        <w:tab/>
      </w:r>
      <w:r w:rsidRPr="004D5749">
        <w:rPr>
          <w:rFonts w:asciiTheme="majorHAnsi" w:hAnsiTheme="majorHAnsi" w:cs="Garamond-BookCondensed"/>
          <w:sz w:val="22"/>
          <w:szCs w:val="22"/>
        </w:rPr>
        <w:t>Antimicrobial therapy: Oral (or intravenous) metronidazole (30 mg/kg per day, given at 6-hour intervals;</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maximum 4 g/day) is the antimicrobial agent of choice and is effective in reducing the number of vegetative</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forms of </w:t>
      </w:r>
      <w:r w:rsidRPr="004D5749">
        <w:rPr>
          <w:rFonts w:asciiTheme="majorHAnsi" w:hAnsiTheme="majorHAnsi" w:cs="Garamond-BookCondensedItalic"/>
          <w:i/>
          <w:iCs/>
          <w:sz w:val="22"/>
          <w:szCs w:val="22"/>
        </w:rPr>
        <w:t xml:space="preserve">C. tetani </w:t>
      </w:r>
      <w:r w:rsidRPr="004D5749">
        <w:rPr>
          <w:rFonts w:asciiTheme="majorHAnsi" w:hAnsiTheme="majorHAnsi" w:cs="Garamond-BookCondensed"/>
          <w:sz w:val="22"/>
          <w:szCs w:val="22"/>
        </w:rPr>
        <w:t>that are potentially present in a contaminated wound. Parenteral penicillin G (100,000 U/kg</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per day, given at 4- to 6-hour intervals; maximum 12 million U/day) is an alternative treatment. Therapy for </w:t>
      </w:r>
      <w:r w:rsidR="00386BF6" w:rsidRPr="004D5749">
        <w:rPr>
          <w:rFonts w:asciiTheme="majorHAnsi" w:hAnsiTheme="majorHAnsi" w:cs="Garamond-BookCondensed"/>
          <w:sz w:val="22"/>
          <w:szCs w:val="22"/>
        </w:rPr>
        <w:t>7 – 10</w:t>
      </w:r>
      <w:r w:rsidRPr="004D5749">
        <w:rPr>
          <w:rFonts w:asciiTheme="majorHAnsi" w:hAnsiTheme="majorHAnsi" w:cs="Garamond-BookCondensed"/>
          <w:sz w:val="22"/>
          <w:szCs w:val="22"/>
        </w:rPr>
        <w:t xml:space="preserve"> days is recommended.</w:t>
      </w:r>
    </w:p>
    <w:p w14:paraId="0F2A8175" w14:textId="77777777" w:rsidR="00DD4341" w:rsidRPr="00FB0A42" w:rsidRDefault="00DD4341" w:rsidP="00070065">
      <w:pPr>
        <w:autoSpaceDE w:val="0"/>
        <w:autoSpaceDN w:val="0"/>
        <w:adjustRightInd w:val="0"/>
        <w:rPr>
          <w:rFonts w:asciiTheme="majorHAnsi" w:hAnsiTheme="majorHAnsi" w:cs="Garamond-BookCondensed"/>
          <w:sz w:val="16"/>
          <w:szCs w:val="16"/>
        </w:rPr>
      </w:pPr>
    </w:p>
    <w:p w14:paraId="6CB526D7" w14:textId="5330D301" w:rsidR="00070065" w:rsidRPr="004D5749" w:rsidRDefault="00070065" w:rsidP="004D0A46">
      <w:pPr>
        <w:autoSpaceDE w:val="0"/>
        <w:autoSpaceDN w:val="0"/>
        <w:adjustRightInd w:val="0"/>
        <w:ind w:left="360" w:hanging="360"/>
        <w:rPr>
          <w:rFonts w:asciiTheme="majorHAnsi" w:hAnsiTheme="majorHAnsi" w:cs="Garamond-BookCondensed"/>
          <w:sz w:val="22"/>
          <w:szCs w:val="22"/>
        </w:rPr>
      </w:pPr>
      <w:r w:rsidRPr="004D5749">
        <w:rPr>
          <w:rFonts w:asciiTheme="majorHAnsi" w:hAnsiTheme="majorHAnsi" w:cs="Garamond-BookCondensed"/>
          <w:sz w:val="22"/>
          <w:szCs w:val="22"/>
        </w:rPr>
        <w:t xml:space="preserve">5. </w:t>
      </w:r>
      <w:r w:rsidR="004D0A46" w:rsidRPr="004D5749">
        <w:rPr>
          <w:rFonts w:asciiTheme="majorHAnsi" w:hAnsiTheme="majorHAnsi" w:cs="Garamond-BookCondensed"/>
          <w:sz w:val="22"/>
          <w:szCs w:val="22"/>
        </w:rPr>
        <w:tab/>
      </w:r>
      <w:r w:rsidRPr="004D5749">
        <w:rPr>
          <w:rFonts w:asciiTheme="majorHAnsi" w:hAnsiTheme="majorHAnsi" w:cs="Garamond-BookCondensed"/>
          <w:sz w:val="22"/>
          <w:szCs w:val="22"/>
        </w:rPr>
        <w:t xml:space="preserve">Vaccination: Because disease does not result in immunity, administer Td </w:t>
      </w:r>
      <w:r w:rsidR="003547F4" w:rsidRPr="004D5749">
        <w:rPr>
          <w:rFonts w:asciiTheme="majorHAnsi" w:hAnsiTheme="majorHAnsi" w:cs="Garamond-BookCondensed"/>
          <w:sz w:val="22"/>
          <w:szCs w:val="22"/>
        </w:rPr>
        <w:t xml:space="preserve">or Tdap </w:t>
      </w:r>
      <w:r w:rsidRPr="004D5749">
        <w:rPr>
          <w:rFonts w:asciiTheme="majorHAnsi" w:hAnsiTheme="majorHAnsi" w:cs="Garamond-BookCondensed"/>
          <w:sz w:val="22"/>
          <w:szCs w:val="22"/>
        </w:rPr>
        <w:t>(or for children less than seven years,</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DTaP, DT) if this was not done during wound management.</w:t>
      </w:r>
    </w:p>
    <w:p w14:paraId="7C9FEEED" w14:textId="77777777" w:rsidR="00DD4341" w:rsidRPr="00FB0A42" w:rsidRDefault="00DD4341" w:rsidP="00070065">
      <w:pPr>
        <w:autoSpaceDE w:val="0"/>
        <w:autoSpaceDN w:val="0"/>
        <w:adjustRightInd w:val="0"/>
        <w:rPr>
          <w:rFonts w:asciiTheme="majorHAnsi" w:hAnsiTheme="majorHAnsi" w:cs="Garamond-BookCondensed"/>
          <w:sz w:val="14"/>
          <w:szCs w:val="14"/>
        </w:rPr>
      </w:pPr>
    </w:p>
    <w:p w14:paraId="1E9DFECC" w14:textId="77777777" w:rsidR="00070065" w:rsidRPr="004D5749" w:rsidRDefault="00070065" w:rsidP="004D0A46">
      <w:pPr>
        <w:autoSpaceDE w:val="0"/>
        <w:autoSpaceDN w:val="0"/>
        <w:adjustRightInd w:val="0"/>
        <w:ind w:left="360" w:hanging="360"/>
        <w:rPr>
          <w:rFonts w:asciiTheme="majorHAnsi" w:hAnsiTheme="majorHAnsi" w:cs="Garamond-BookCondensed"/>
          <w:sz w:val="22"/>
          <w:szCs w:val="22"/>
        </w:rPr>
      </w:pPr>
      <w:r w:rsidRPr="004D5749">
        <w:rPr>
          <w:rFonts w:asciiTheme="majorHAnsi" w:hAnsiTheme="majorHAnsi" w:cs="Garamond-BookCondensed"/>
          <w:sz w:val="22"/>
          <w:szCs w:val="22"/>
        </w:rPr>
        <w:t xml:space="preserve">6. </w:t>
      </w:r>
      <w:r w:rsidR="004D0A46" w:rsidRPr="004D5749">
        <w:rPr>
          <w:rFonts w:asciiTheme="majorHAnsi" w:hAnsiTheme="majorHAnsi" w:cs="Garamond-BookCondensed"/>
          <w:sz w:val="22"/>
          <w:szCs w:val="22"/>
        </w:rPr>
        <w:tab/>
      </w:r>
      <w:r w:rsidRPr="004D5749">
        <w:rPr>
          <w:rFonts w:asciiTheme="majorHAnsi" w:hAnsiTheme="majorHAnsi" w:cs="Garamond-BookCondensed"/>
          <w:sz w:val="22"/>
          <w:szCs w:val="22"/>
        </w:rPr>
        <w:t>Supportive care and pharmacotherapy to control spasms are of major importance.</w:t>
      </w:r>
    </w:p>
    <w:p w14:paraId="2E44A5F6" w14:textId="77777777" w:rsidR="00DD4341" w:rsidRPr="00070065" w:rsidRDefault="00DD4341" w:rsidP="00070065">
      <w:pPr>
        <w:autoSpaceDE w:val="0"/>
        <w:autoSpaceDN w:val="0"/>
        <w:adjustRightInd w:val="0"/>
        <w:rPr>
          <w:rFonts w:ascii="Garamond-BookCondensed" w:hAnsi="Garamond-BookCondensed" w:cs="Garamond-BookCondensed"/>
          <w:sz w:val="20"/>
          <w:szCs w:val="20"/>
        </w:rPr>
      </w:pPr>
    </w:p>
    <w:p w14:paraId="1A9F9DA5" w14:textId="77777777" w:rsidR="00070065" w:rsidRPr="00C23238" w:rsidRDefault="00070065" w:rsidP="00070065">
      <w:pPr>
        <w:autoSpaceDE w:val="0"/>
        <w:autoSpaceDN w:val="0"/>
        <w:adjustRightInd w:val="0"/>
        <w:rPr>
          <w:rFonts w:ascii="Arial" w:hAnsi="Arial" w:cs="Arial"/>
          <w:b/>
          <w:bCs/>
          <w:sz w:val="22"/>
          <w:szCs w:val="22"/>
        </w:rPr>
      </w:pPr>
      <w:r w:rsidRPr="00C23238">
        <w:rPr>
          <w:rFonts w:ascii="Arial" w:hAnsi="Arial" w:cs="Arial"/>
          <w:b/>
          <w:bCs/>
          <w:sz w:val="22"/>
          <w:szCs w:val="22"/>
        </w:rPr>
        <w:t>D. Preventive Measures</w:t>
      </w:r>
    </w:p>
    <w:p w14:paraId="786F7D28" w14:textId="77777777" w:rsidR="00DD4341" w:rsidRDefault="00DD4341" w:rsidP="00070065">
      <w:pPr>
        <w:autoSpaceDE w:val="0"/>
        <w:autoSpaceDN w:val="0"/>
        <w:adjustRightInd w:val="0"/>
        <w:rPr>
          <w:rFonts w:ascii="TradeGothic-CondEighteenObl" w:hAnsi="TradeGothic-CondEighteenObl" w:cs="TradeGothic-CondEighteenObl"/>
          <w:i/>
          <w:iCs/>
          <w:sz w:val="20"/>
          <w:szCs w:val="20"/>
        </w:rPr>
      </w:pPr>
    </w:p>
    <w:p w14:paraId="68216CE7" w14:textId="77777777" w:rsidR="00070065" w:rsidRPr="004D5749" w:rsidRDefault="00070065" w:rsidP="00070065">
      <w:pPr>
        <w:autoSpaceDE w:val="0"/>
        <w:autoSpaceDN w:val="0"/>
        <w:adjustRightInd w:val="0"/>
        <w:rPr>
          <w:rFonts w:asciiTheme="majorHAnsi" w:hAnsiTheme="majorHAnsi" w:cs="TradeGothic-CondEighteenObl"/>
          <w:i/>
          <w:iCs/>
          <w:sz w:val="22"/>
          <w:szCs w:val="22"/>
        </w:rPr>
      </w:pPr>
      <w:r w:rsidRPr="004D5749">
        <w:rPr>
          <w:rFonts w:asciiTheme="majorHAnsi" w:hAnsiTheme="majorHAnsi" w:cs="TradeGothic-CondEighteenObl"/>
          <w:i/>
          <w:iCs/>
          <w:sz w:val="22"/>
          <w:szCs w:val="22"/>
        </w:rPr>
        <w:t>Personal Preventive Measures/Education</w:t>
      </w:r>
    </w:p>
    <w:p w14:paraId="2504E078" w14:textId="77777777" w:rsidR="00172830" w:rsidRPr="004D5749" w:rsidRDefault="00172830" w:rsidP="00070065">
      <w:pPr>
        <w:autoSpaceDE w:val="0"/>
        <w:autoSpaceDN w:val="0"/>
        <w:adjustRightInd w:val="0"/>
        <w:rPr>
          <w:rFonts w:asciiTheme="majorHAnsi" w:hAnsiTheme="majorHAnsi" w:cs="Garamond-BookCondensed"/>
          <w:sz w:val="22"/>
          <w:szCs w:val="22"/>
        </w:rPr>
      </w:pPr>
    </w:p>
    <w:p w14:paraId="3DD01D39" w14:textId="09B1BFB8" w:rsidR="00172830" w:rsidRPr="00F846DF" w:rsidRDefault="00172830" w:rsidP="00BF653C">
      <w:pPr>
        <w:pStyle w:val="NormalWeb"/>
        <w:shd w:val="clear" w:color="auto" w:fill="FFFFFF"/>
        <w:spacing w:before="0" w:beforeAutospacing="0" w:after="120" w:afterAutospacing="0"/>
        <w:rPr>
          <w:rFonts w:asciiTheme="majorHAnsi" w:hAnsiTheme="majorHAnsi" w:cs="Garamond-BookCondensed"/>
          <w:b/>
          <w:sz w:val="22"/>
          <w:szCs w:val="22"/>
        </w:rPr>
      </w:pPr>
      <w:r w:rsidRPr="004D5749">
        <w:rPr>
          <w:rFonts w:asciiTheme="majorHAnsi" w:hAnsiTheme="majorHAnsi" w:cs="Garamond-BookCondensed"/>
          <w:sz w:val="22"/>
          <w:szCs w:val="22"/>
        </w:rPr>
        <w:t>CDC recommends diphtheria, tetanus, and acellular pertussis vaccination across the lifespan. Children younger than 7 years of age receive DTaP or DT, while older children and adults receive Tdap and Td.</w:t>
      </w:r>
      <w:r w:rsidR="001220A1" w:rsidRPr="004D5749">
        <w:rPr>
          <w:rFonts w:asciiTheme="majorHAnsi" w:hAnsiTheme="majorHAnsi" w:cs="Garamond-BookCondensed"/>
          <w:sz w:val="22"/>
          <w:szCs w:val="22"/>
        </w:rPr>
        <w:t xml:space="preserve"> </w:t>
      </w:r>
      <w:r w:rsidR="001220A1" w:rsidRPr="00F846DF">
        <w:rPr>
          <w:rFonts w:asciiTheme="majorHAnsi" w:hAnsiTheme="majorHAnsi" w:cs="Garamond-BookCondensed"/>
          <w:b/>
          <w:sz w:val="22"/>
          <w:szCs w:val="22"/>
        </w:rPr>
        <w:t>Please refer to CDC resources for the current age-appropriate immunizations schedule:</w:t>
      </w:r>
    </w:p>
    <w:p w14:paraId="47AE0AAA" w14:textId="70176D0D" w:rsidR="004D05C6" w:rsidRPr="004D5749" w:rsidRDefault="0071541B" w:rsidP="004D05C6">
      <w:pPr>
        <w:pStyle w:val="NormalWeb"/>
        <w:numPr>
          <w:ilvl w:val="0"/>
          <w:numId w:val="4"/>
        </w:numPr>
        <w:shd w:val="clear" w:color="auto" w:fill="FFFFFF"/>
        <w:spacing w:before="0" w:beforeAutospacing="0" w:after="0" w:afterAutospacing="0"/>
        <w:rPr>
          <w:rStyle w:val="Hyperlink"/>
          <w:rFonts w:asciiTheme="majorHAnsi" w:hAnsiTheme="majorHAnsi"/>
          <w:sz w:val="22"/>
          <w:szCs w:val="22"/>
        </w:rPr>
      </w:pPr>
      <w:hyperlink r:id="rId12" w:history="1">
        <w:r w:rsidR="001220A1" w:rsidRPr="004D5749">
          <w:rPr>
            <w:rStyle w:val="Hyperlink"/>
            <w:rFonts w:asciiTheme="majorHAnsi" w:hAnsiTheme="majorHAnsi"/>
            <w:sz w:val="22"/>
            <w:szCs w:val="22"/>
          </w:rPr>
          <w:t>Diphtheria, Tetanus, and Pertussis Vaccine Recommendations | CDC</w:t>
        </w:r>
      </w:hyperlink>
    </w:p>
    <w:p w14:paraId="4DBF7632" w14:textId="2329744D" w:rsidR="00681E4D" w:rsidRPr="004D5749" w:rsidRDefault="00681E4D" w:rsidP="00681E4D">
      <w:pPr>
        <w:numPr>
          <w:ilvl w:val="1"/>
          <w:numId w:val="4"/>
        </w:numPr>
        <w:shd w:val="clear" w:color="auto" w:fill="FFFFFF"/>
        <w:spacing w:before="100" w:beforeAutospacing="1" w:after="100" w:afterAutospacing="1"/>
        <w:rPr>
          <w:rStyle w:val="Hyperlink"/>
          <w:rFonts w:asciiTheme="majorHAnsi" w:hAnsiTheme="majorHAnsi" w:cs="Garamond-BookCondensed"/>
          <w:color w:val="auto"/>
          <w:sz w:val="22"/>
          <w:szCs w:val="22"/>
          <w:u w:val="none"/>
        </w:rPr>
      </w:pPr>
      <w:r w:rsidRPr="004D5749">
        <w:rPr>
          <w:rFonts w:asciiTheme="majorHAnsi" w:hAnsiTheme="majorHAnsi" w:cs="Garamond-BookCondensed"/>
          <w:sz w:val="22"/>
          <w:szCs w:val="22"/>
        </w:rPr>
        <w:t>Generally, children receive 5 doses of DTaP (2 months, 4 months, 6 months, 15-18 months, and 4-6 years). Adolescents should receive a single dose of Tdap at 11 to 12 years of age.</w:t>
      </w:r>
    </w:p>
    <w:p w14:paraId="52AFD2AD" w14:textId="77777777" w:rsidR="004D05C6" w:rsidRPr="004D5749" w:rsidRDefault="0071541B" w:rsidP="004D05C6">
      <w:pPr>
        <w:pStyle w:val="NormalWeb"/>
        <w:numPr>
          <w:ilvl w:val="0"/>
          <w:numId w:val="4"/>
        </w:numPr>
        <w:shd w:val="clear" w:color="auto" w:fill="FFFFFF"/>
        <w:spacing w:before="0" w:beforeAutospacing="0" w:after="0" w:afterAutospacing="0"/>
        <w:rPr>
          <w:rStyle w:val="Hyperlink"/>
          <w:rFonts w:asciiTheme="majorHAnsi" w:hAnsiTheme="majorHAnsi"/>
          <w:sz w:val="22"/>
          <w:szCs w:val="22"/>
        </w:rPr>
      </w:pPr>
      <w:hyperlink r:id="rId13" w:history="1">
        <w:r w:rsidR="000B6594" w:rsidRPr="004D5749">
          <w:rPr>
            <w:rStyle w:val="Hyperlink"/>
            <w:rFonts w:asciiTheme="majorHAnsi" w:hAnsiTheme="majorHAnsi"/>
            <w:sz w:val="22"/>
            <w:szCs w:val="22"/>
          </w:rPr>
          <w:t>Birth-18 Years Immunization Schedule | CDC</w:t>
        </w:r>
      </w:hyperlink>
    </w:p>
    <w:p w14:paraId="79460755" w14:textId="77777777" w:rsidR="004D05C6" w:rsidRPr="004D5749" w:rsidRDefault="0071541B" w:rsidP="004D05C6">
      <w:pPr>
        <w:pStyle w:val="NormalWeb"/>
        <w:numPr>
          <w:ilvl w:val="0"/>
          <w:numId w:val="4"/>
        </w:numPr>
        <w:shd w:val="clear" w:color="auto" w:fill="FFFFFF"/>
        <w:spacing w:before="0" w:beforeAutospacing="0" w:after="0" w:afterAutospacing="0"/>
        <w:rPr>
          <w:rStyle w:val="Hyperlink"/>
          <w:rFonts w:asciiTheme="majorHAnsi" w:hAnsiTheme="majorHAnsi"/>
          <w:sz w:val="22"/>
          <w:szCs w:val="22"/>
        </w:rPr>
      </w:pPr>
      <w:hyperlink r:id="rId14" w:history="1">
        <w:r w:rsidR="000B6594" w:rsidRPr="004D5749">
          <w:rPr>
            <w:rStyle w:val="Hyperlink"/>
            <w:rFonts w:asciiTheme="majorHAnsi" w:hAnsiTheme="majorHAnsi"/>
            <w:sz w:val="22"/>
            <w:szCs w:val="22"/>
          </w:rPr>
          <w:t>ACIP DTaP Vaccine Recommendations | CDC</w:t>
        </w:r>
      </w:hyperlink>
    </w:p>
    <w:p w14:paraId="79D4D846" w14:textId="408995D6" w:rsidR="000B6594" w:rsidRPr="004D5749" w:rsidRDefault="0071541B" w:rsidP="004D05C6">
      <w:pPr>
        <w:pStyle w:val="NormalWeb"/>
        <w:numPr>
          <w:ilvl w:val="0"/>
          <w:numId w:val="4"/>
        </w:numPr>
        <w:shd w:val="clear" w:color="auto" w:fill="FFFFFF"/>
        <w:spacing w:before="0" w:beforeAutospacing="0" w:after="0" w:afterAutospacing="0"/>
        <w:rPr>
          <w:rStyle w:val="Hyperlink"/>
          <w:rFonts w:asciiTheme="majorHAnsi" w:hAnsiTheme="majorHAnsi"/>
          <w:sz w:val="22"/>
          <w:szCs w:val="22"/>
        </w:rPr>
      </w:pPr>
      <w:hyperlink r:id="rId15" w:anchor="tdap" w:history="1">
        <w:r w:rsidR="000B6594" w:rsidRPr="004D5749">
          <w:rPr>
            <w:rStyle w:val="Hyperlink"/>
            <w:rFonts w:asciiTheme="majorHAnsi" w:hAnsiTheme="majorHAnsi"/>
            <w:sz w:val="22"/>
            <w:szCs w:val="22"/>
          </w:rPr>
          <w:t>Pregnancy Guidelines and Recommendations by Vaccine | CDC</w:t>
        </w:r>
      </w:hyperlink>
    </w:p>
    <w:p w14:paraId="105C8736" w14:textId="77777777" w:rsidR="004D05C6" w:rsidRPr="004D5749" w:rsidRDefault="000B6594" w:rsidP="004D05C6">
      <w:pPr>
        <w:pStyle w:val="NormalWeb"/>
        <w:numPr>
          <w:ilvl w:val="1"/>
          <w:numId w:val="4"/>
        </w:numPr>
        <w:shd w:val="clear" w:color="auto" w:fill="FFFFFF"/>
        <w:spacing w:before="0" w:beforeAutospacing="0" w:after="0" w:afterAutospacing="0"/>
        <w:rPr>
          <w:rFonts w:asciiTheme="majorHAnsi" w:hAnsiTheme="majorHAnsi"/>
          <w:sz w:val="22"/>
          <w:szCs w:val="22"/>
        </w:rPr>
      </w:pPr>
      <w:r w:rsidRPr="004D5749">
        <w:rPr>
          <w:rFonts w:asciiTheme="majorHAnsi" w:hAnsiTheme="majorHAnsi" w:cs="Garamond-BookCondensed"/>
          <w:sz w:val="22"/>
          <w:szCs w:val="22"/>
        </w:rPr>
        <w:t>*</w:t>
      </w:r>
      <w:r w:rsidR="004D05C6" w:rsidRPr="004D5749">
        <w:rPr>
          <w:rFonts w:asciiTheme="majorHAnsi" w:hAnsiTheme="majorHAnsi" w:cs="Garamond-BookCondensed"/>
          <w:sz w:val="22"/>
          <w:szCs w:val="22"/>
        </w:rPr>
        <w:t xml:space="preserve">Pregnant women should receive a </w:t>
      </w:r>
      <w:r w:rsidR="004D05C6" w:rsidRPr="004D5749">
        <w:rPr>
          <w:rFonts w:asciiTheme="majorHAnsi" w:hAnsiTheme="majorHAnsi" w:cs="Garamond-BookCondensed"/>
          <w:b/>
          <w:bCs/>
          <w:sz w:val="22"/>
          <w:szCs w:val="22"/>
        </w:rPr>
        <w:t>single dose o</w:t>
      </w:r>
      <w:r w:rsidRPr="004D5749">
        <w:rPr>
          <w:rFonts w:asciiTheme="majorHAnsi" w:hAnsiTheme="majorHAnsi" w:cs="Garamond-BookCondensed"/>
          <w:b/>
          <w:bCs/>
          <w:sz w:val="22"/>
          <w:szCs w:val="22"/>
        </w:rPr>
        <w:t>f Tdap during each pregnancy irrespective of the patient’s prior history of receiving Tdap</w:t>
      </w:r>
      <w:r w:rsidR="004D05C6" w:rsidRPr="004D5749">
        <w:rPr>
          <w:rFonts w:asciiTheme="majorHAnsi" w:hAnsiTheme="majorHAnsi" w:cs="Garamond-BookCondensed"/>
          <w:sz w:val="22"/>
          <w:szCs w:val="22"/>
        </w:rPr>
        <w:t>, preferably</w:t>
      </w:r>
      <w:r w:rsidRPr="004D5749">
        <w:rPr>
          <w:rFonts w:asciiTheme="majorHAnsi" w:hAnsiTheme="majorHAnsi" w:cs="Garamond-BookCondensed"/>
          <w:sz w:val="22"/>
          <w:szCs w:val="22"/>
        </w:rPr>
        <w:t xml:space="preserve"> between 27 and 36 weeks of gestation although Tdap may be given at any time during pregnancy.</w:t>
      </w:r>
    </w:p>
    <w:p w14:paraId="37FD1D01" w14:textId="1707C150" w:rsidR="000B6594" w:rsidRPr="004D5749" w:rsidRDefault="0071541B" w:rsidP="004D05C6">
      <w:pPr>
        <w:pStyle w:val="NormalWeb"/>
        <w:numPr>
          <w:ilvl w:val="0"/>
          <w:numId w:val="4"/>
        </w:numPr>
        <w:shd w:val="clear" w:color="auto" w:fill="FFFFFF"/>
        <w:spacing w:before="0" w:beforeAutospacing="0" w:after="0" w:afterAutospacing="0"/>
        <w:rPr>
          <w:rStyle w:val="Hyperlink"/>
          <w:rFonts w:asciiTheme="majorHAnsi" w:hAnsiTheme="majorHAnsi"/>
          <w:sz w:val="22"/>
          <w:szCs w:val="22"/>
        </w:rPr>
      </w:pPr>
      <w:hyperlink r:id="rId16" w:history="1">
        <w:r w:rsidR="000B6594" w:rsidRPr="004D5749">
          <w:rPr>
            <w:rStyle w:val="Hyperlink"/>
            <w:rFonts w:asciiTheme="majorHAnsi" w:hAnsiTheme="majorHAnsi"/>
            <w:sz w:val="22"/>
            <w:szCs w:val="22"/>
          </w:rPr>
          <w:t>Revaccinating Healthcare Personnel with Tdap | CDC</w:t>
        </w:r>
      </w:hyperlink>
    </w:p>
    <w:p w14:paraId="1F8FD7E1" w14:textId="77777777" w:rsidR="004D05C6" w:rsidRPr="004D5749" w:rsidRDefault="004D05C6" w:rsidP="004D05C6">
      <w:pPr>
        <w:pStyle w:val="NormalWeb"/>
        <w:shd w:val="clear" w:color="auto" w:fill="FFFFFF"/>
        <w:spacing w:before="0" w:beforeAutospacing="0" w:after="0" w:afterAutospacing="0"/>
        <w:ind w:left="720"/>
        <w:rPr>
          <w:rStyle w:val="Hyperlink"/>
          <w:rFonts w:asciiTheme="majorHAnsi" w:hAnsiTheme="majorHAnsi"/>
          <w:sz w:val="22"/>
          <w:szCs w:val="22"/>
        </w:rPr>
      </w:pPr>
    </w:p>
    <w:p w14:paraId="7D99D1FB" w14:textId="4417B566" w:rsidR="001220A1" w:rsidRPr="004D5749" w:rsidRDefault="001220A1" w:rsidP="00172830">
      <w:pPr>
        <w:pStyle w:val="NormalWeb"/>
        <w:shd w:val="clear" w:color="auto" w:fill="FFFFFF"/>
        <w:spacing w:before="0" w:beforeAutospacing="0"/>
        <w:rPr>
          <w:rFonts w:asciiTheme="majorHAnsi" w:hAnsiTheme="majorHAnsi" w:cs="Garamond-BookCondensed"/>
          <w:sz w:val="22"/>
          <w:szCs w:val="22"/>
        </w:rPr>
      </w:pPr>
      <w:r w:rsidRPr="004D5749">
        <w:rPr>
          <w:rFonts w:asciiTheme="majorHAnsi" w:hAnsiTheme="majorHAnsi" w:cs="Garamond-BookCondensed"/>
          <w:sz w:val="22"/>
          <w:szCs w:val="22"/>
        </w:rPr>
        <w:t>Catch-up Schedule:</w:t>
      </w:r>
    </w:p>
    <w:p w14:paraId="5C96D6EE" w14:textId="74B8A65F" w:rsidR="001220A1" w:rsidRPr="004D5749" w:rsidRDefault="001220A1" w:rsidP="00BF653C">
      <w:pPr>
        <w:pStyle w:val="NormalWeb"/>
        <w:shd w:val="clear" w:color="auto" w:fill="FFFFFF"/>
        <w:spacing w:before="0" w:beforeAutospacing="0" w:after="120" w:afterAutospacing="0"/>
        <w:rPr>
          <w:rFonts w:asciiTheme="majorHAnsi" w:hAnsiTheme="majorHAnsi" w:cs="Garamond-BookCondensed"/>
          <w:sz w:val="22"/>
          <w:szCs w:val="22"/>
        </w:rPr>
      </w:pPr>
      <w:r w:rsidRPr="004D5749">
        <w:rPr>
          <w:rFonts w:asciiTheme="majorHAnsi" w:hAnsiTheme="majorHAnsi" w:cs="Garamond-BookCondensed"/>
          <w:sz w:val="22"/>
          <w:szCs w:val="22"/>
        </w:rPr>
        <w:t>In general, it’s recommended to use minimum intervals if an accelerated schedule is desired. For specific catch-up schedules based on age and prior vaccination history, refer to:</w:t>
      </w:r>
    </w:p>
    <w:p w14:paraId="6AD38205" w14:textId="773D664C" w:rsidR="000B6594" w:rsidRPr="004D5749" w:rsidRDefault="0071541B" w:rsidP="004D05C6">
      <w:pPr>
        <w:pStyle w:val="NormalWeb"/>
        <w:numPr>
          <w:ilvl w:val="0"/>
          <w:numId w:val="4"/>
        </w:numPr>
        <w:shd w:val="clear" w:color="auto" w:fill="FFFFFF"/>
        <w:spacing w:before="0" w:beforeAutospacing="0" w:after="0" w:afterAutospacing="0"/>
        <w:rPr>
          <w:rStyle w:val="Hyperlink"/>
          <w:rFonts w:asciiTheme="majorHAnsi" w:hAnsiTheme="majorHAnsi"/>
          <w:sz w:val="22"/>
          <w:szCs w:val="22"/>
        </w:rPr>
      </w:pPr>
      <w:hyperlink r:id="rId17" w:history="1">
        <w:r w:rsidR="000B6594" w:rsidRPr="004D5749">
          <w:rPr>
            <w:rStyle w:val="Hyperlink"/>
            <w:rFonts w:asciiTheme="majorHAnsi" w:hAnsiTheme="majorHAnsi"/>
            <w:sz w:val="22"/>
            <w:szCs w:val="22"/>
          </w:rPr>
          <w:t>Catch-up Immunization Schedule | CDC</w:t>
        </w:r>
      </w:hyperlink>
    </w:p>
    <w:p w14:paraId="67F68E95" w14:textId="4757CC2B" w:rsidR="000B6594" w:rsidRPr="004D5749" w:rsidRDefault="0071541B" w:rsidP="004D05C6">
      <w:pPr>
        <w:pStyle w:val="NormalWeb"/>
        <w:numPr>
          <w:ilvl w:val="1"/>
          <w:numId w:val="4"/>
        </w:numPr>
        <w:shd w:val="clear" w:color="auto" w:fill="FFFFFF"/>
        <w:spacing w:before="0" w:beforeAutospacing="0" w:after="0" w:afterAutospacing="0"/>
        <w:rPr>
          <w:rStyle w:val="Hyperlink"/>
          <w:rFonts w:asciiTheme="majorHAnsi" w:hAnsiTheme="majorHAnsi"/>
          <w:sz w:val="22"/>
          <w:szCs w:val="22"/>
        </w:rPr>
      </w:pPr>
      <w:hyperlink r:id="rId18" w:history="1">
        <w:r w:rsidR="000B6594" w:rsidRPr="004D5749">
          <w:rPr>
            <w:rStyle w:val="Hyperlink"/>
            <w:rFonts w:asciiTheme="majorHAnsi" w:hAnsiTheme="majorHAnsi"/>
            <w:sz w:val="22"/>
            <w:szCs w:val="22"/>
          </w:rPr>
          <w:t>Tetanus toxoid-containing vaccine, Catch-up Schedule, Age 4 months - 6 years</w:t>
        </w:r>
      </w:hyperlink>
    </w:p>
    <w:p w14:paraId="7488EBAA" w14:textId="4CB3C909" w:rsidR="000B6594" w:rsidRPr="004D5749" w:rsidRDefault="0071541B" w:rsidP="004D05C6">
      <w:pPr>
        <w:pStyle w:val="NormalWeb"/>
        <w:numPr>
          <w:ilvl w:val="1"/>
          <w:numId w:val="4"/>
        </w:numPr>
        <w:shd w:val="clear" w:color="auto" w:fill="FFFFFF"/>
        <w:spacing w:before="0" w:beforeAutospacing="0" w:after="0" w:afterAutospacing="0"/>
        <w:rPr>
          <w:rStyle w:val="Hyperlink"/>
          <w:rFonts w:asciiTheme="majorHAnsi" w:hAnsiTheme="majorHAnsi"/>
          <w:sz w:val="22"/>
          <w:szCs w:val="22"/>
        </w:rPr>
      </w:pPr>
      <w:hyperlink r:id="rId19" w:history="1">
        <w:r w:rsidR="000B6594" w:rsidRPr="004D5749">
          <w:rPr>
            <w:rStyle w:val="Hyperlink"/>
            <w:rFonts w:asciiTheme="majorHAnsi" w:hAnsiTheme="majorHAnsi"/>
            <w:sz w:val="22"/>
            <w:szCs w:val="22"/>
          </w:rPr>
          <w:t>Tetanus toxoid-containing vaccine, Catch-up Schedule, Age 7 years - 9 years</w:t>
        </w:r>
      </w:hyperlink>
    </w:p>
    <w:p w14:paraId="04A90A4D" w14:textId="5FE505AB" w:rsidR="007A68EC" w:rsidRPr="004D5749" w:rsidRDefault="0071541B" w:rsidP="00681E4D">
      <w:pPr>
        <w:pStyle w:val="NormalWeb"/>
        <w:numPr>
          <w:ilvl w:val="1"/>
          <w:numId w:val="4"/>
        </w:numPr>
        <w:shd w:val="clear" w:color="auto" w:fill="FFFFFF"/>
        <w:spacing w:before="0" w:beforeAutospacing="0" w:after="0" w:afterAutospacing="0"/>
        <w:rPr>
          <w:rFonts w:asciiTheme="majorHAnsi" w:hAnsiTheme="majorHAnsi"/>
          <w:color w:val="0000FF"/>
          <w:sz w:val="22"/>
          <w:szCs w:val="22"/>
          <w:u w:val="single"/>
        </w:rPr>
      </w:pPr>
      <w:hyperlink r:id="rId20" w:history="1">
        <w:r w:rsidR="000B6594" w:rsidRPr="004D5749">
          <w:rPr>
            <w:rStyle w:val="Hyperlink"/>
            <w:rFonts w:asciiTheme="majorHAnsi" w:hAnsiTheme="majorHAnsi"/>
            <w:sz w:val="22"/>
            <w:szCs w:val="22"/>
          </w:rPr>
          <w:t>Tetanus toxoid-containing vaccine, Catch-up Schedule, Age 10 years - 18 years</w:t>
        </w:r>
      </w:hyperlink>
    </w:p>
    <w:p w14:paraId="06E1946D" w14:textId="77777777" w:rsidR="004D05C6" w:rsidRPr="004D5749" w:rsidRDefault="004D05C6" w:rsidP="00070065">
      <w:pPr>
        <w:autoSpaceDE w:val="0"/>
        <w:autoSpaceDN w:val="0"/>
        <w:adjustRightInd w:val="0"/>
        <w:rPr>
          <w:rFonts w:asciiTheme="majorHAnsi" w:hAnsiTheme="majorHAnsi" w:cs="Garamond-BookCondensed"/>
          <w:sz w:val="22"/>
          <w:szCs w:val="22"/>
        </w:rPr>
      </w:pPr>
    </w:p>
    <w:p w14:paraId="5330AFA4" w14:textId="77777777" w:rsidR="00070065" w:rsidRPr="004D5749" w:rsidRDefault="00070065" w:rsidP="00070065">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Health care providers and the public must be educated on the necessity of primary immunization with tetanus</w:t>
      </w:r>
      <w:r w:rsidR="00DD4341" w:rsidRPr="004D5749">
        <w:rPr>
          <w:rFonts w:asciiTheme="majorHAnsi" w:hAnsiTheme="majorHAnsi" w:cs="Garamond-BookCondensed"/>
          <w:sz w:val="22"/>
          <w:szCs w:val="22"/>
        </w:rPr>
        <w:t>-</w:t>
      </w:r>
      <w:r w:rsidRPr="004D5749">
        <w:rPr>
          <w:rFonts w:asciiTheme="majorHAnsi" w:hAnsiTheme="majorHAnsi" w:cs="Garamond-BookCondensed"/>
          <w:sz w:val="22"/>
          <w:szCs w:val="22"/>
        </w:rPr>
        <w:t>diphtheria</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toxoid and ten-year booster doses, the hazards of puncture wounds and closed injuries, and the</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potential need after injury for active and/or passive prophylaxis. Because </w:t>
      </w:r>
      <w:r w:rsidRPr="004D5749">
        <w:rPr>
          <w:rFonts w:asciiTheme="majorHAnsi" w:hAnsiTheme="majorHAnsi" w:cs="Garamond-BookCondensed"/>
          <w:sz w:val="22"/>
          <w:szCs w:val="22"/>
        </w:rPr>
        <w:lastRenderedPageBreak/>
        <w:t>tetanus is preventable, each case should</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be considered a failure to vaccinate effectively and should be used as a means of determining how to prevent</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further failures from occurring. Surveillance information should be used to raise awareness of the importance of</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immunization and to characterize persons or places in which additional efforts are required to raise immunization</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levels and to decrease disease incidence.</w:t>
      </w:r>
    </w:p>
    <w:p w14:paraId="0DCF1699" w14:textId="77777777" w:rsidR="00DD4341" w:rsidRPr="00070065" w:rsidRDefault="00DD4341" w:rsidP="00070065">
      <w:pPr>
        <w:autoSpaceDE w:val="0"/>
        <w:autoSpaceDN w:val="0"/>
        <w:adjustRightInd w:val="0"/>
        <w:rPr>
          <w:rFonts w:ascii="Garamond-BookCondensed" w:hAnsi="Garamond-BookCondensed" w:cs="Garamond-BookCondensed"/>
          <w:sz w:val="20"/>
          <w:szCs w:val="20"/>
        </w:rPr>
      </w:pPr>
    </w:p>
    <w:p w14:paraId="5CA2B443" w14:textId="77777777" w:rsidR="00070065" w:rsidRPr="004D5749" w:rsidRDefault="00070065" w:rsidP="00070065">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For the prevention of neonatal tetanus, preventive measures (in addition to maternal immunization) include</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community immunization programs for adolescent girls and women of childbearing age and appropriate training of</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midwives in recommendations for immunization and aseptic technique and infection control.</w:t>
      </w:r>
      <w:r w:rsidR="00DD4341" w:rsidRPr="004D5749">
        <w:rPr>
          <w:rFonts w:asciiTheme="majorHAnsi" w:hAnsiTheme="majorHAnsi" w:cs="Garamond-BookCondensed"/>
          <w:sz w:val="22"/>
          <w:szCs w:val="22"/>
        </w:rPr>
        <w:t xml:space="preserve"> </w:t>
      </w:r>
    </w:p>
    <w:p w14:paraId="68EA4F85" w14:textId="77777777" w:rsidR="00DD4341" w:rsidRPr="004D5749" w:rsidRDefault="00DD4341" w:rsidP="00070065">
      <w:pPr>
        <w:autoSpaceDE w:val="0"/>
        <w:autoSpaceDN w:val="0"/>
        <w:adjustRightInd w:val="0"/>
        <w:rPr>
          <w:rFonts w:asciiTheme="majorHAnsi" w:hAnsiTheme="majorHAnsi" w:cs="Garamond-BookCondensed"/>
          <w:sz w:val="22"/>
          <w:szCs w:val="22"/>
        </w:rPr>
      </w:pPr>
    </w:p>
    <w:p w14:paraId="7FF991B5" w14:textId="64DE2796" w:rsidR="00070065" w:rsidRPr="004D5749" w:rsidRDefault="00070065" w:rsidP="00070065">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Please refer to the</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most current versions of MDPH’s </w:t>
      </w:r>
      <w:hyperlink r:id="rId21" w:history="1">
        <w:r w:rsidR="00E05357" w:rsidRPr="004D5749">
          <w:rPr>
            <w:rStyle w:val="Hyperlink"/>
            <w:rFonts w:asciiTheme="majorHAnsi" w:hAnsiTheme="majorHAnsi" w:cs="Garamond-BookCondensed"/>
            <w:i/>
            <w:sz w:val="22"/>
            <w:szCs w:val="22"/>
          </w:rPr>
          <w:t>Vaccine Administration</w:t>
        </w:r>
        <w:r w:rsidRPr="004D5749">
          <w:rPr>
            <w:rStyle w:val="Hyperlink"/>
            <w:rFonts w:asciiTheme="majorHAnsi" w:hAnsiTheme="majorHAnsi" w:cs="Garamond-BookCondensed"/>
            <w:i/>
            <w:sz w:val="22"/>
            <w:szCs w:val="22"/>
          </w:rPr>
          <w:t xml:space="preserve"> Guidelines</w:t>
        </w:r>
      </w:hyperlink>
      <w:r w:rsidRPr="004D5749">
        <w:rPr>
          <w:rFonts w:asciiTheme="majorHAnsi" w:hAnsiTheme="majorHAnsi" w:cs="Garamond-BookCondensedItalic"/>
          <w:i/>
          <w:iCs/>
          <w:sz w:val="22"/>
          <w:szCs w:val="22"/>
        </w:rPr>
        <w:t xml:space="preserve">, </w:t>
      </w:r>
      <w:r w:rsidRPr="004D5749">
        <w:rPr>
          <w:rFonts w:asciiTheme="majorHAnsi" w:hAnsiTheme="majorHAnsi" w:cs="Garamond-BookCondensed"/>
          <w:sz w:val="22"/>
          <w:szCs w:val="22"/>
        </w:rPr>
        <w:t xml:space="preserve">MDPH’s </w:t>
      </w:r>
      <w:hyperlink r:id="rId22" w:history="1">
        <w:r w:rsidRPr="004D5749">
          <w:rPr>
            <w:rStyle w:val="Hyperlink"/>
            <w:rFonts w:asciiTheme="majorHAnsi" w:hAnsiTheme="majorHAnsi" w:cs="Garamond-BookCondensed"/>
            <w:sz w:val="22"/>
            <w:szCs w:val="22"/>
          </w:rPr>
          <w:t>model standing orders for diphtheria- and</w:t>
        </w:r>
        <w:r w:rsidR="00DD4341" w:rsidRPr="004D5749">
          <w:rPr>
            <w:rStyle w:val="Hyperlink"/>
            <w:rFonts w:asciiTheme="majorHAnsi" w:hAnsiTheme="majorHAnsi" w:cs="Garamond-BookCondensed"/>
            <w:sz w:val="22"/>
            <w:szCs w:val="22"/>
          </w:rPr>
          <w:t xml:space="preserve"> </w:t>
        </w:r>
        <w:r w:rsidRPr="004D5749">
          <w:rPr>
            <w:rStyle w:val="Hyperlink"/>
            <w:rFonts w:asciiTheme="majorHAnsi" w:hAnsiTheme="majorHAnsi" w:cs="Garamond-BookCondensed"/>
            <w:sz w:val="22"/>
            <w:szCs w:val="22"/>
          </w:rPr>
          <w:t>tetanus-containing vaccine,</w:t>
        </w:r>
      </w:hyperlink>
      <w:r w:rsidRPr="004D5749">
        <w:rPr>
          <w:rFonts w:asciiTheme="majorHAnsi" w:hAnsiTheme="majorHAnsi" w:cs="Garamond-BookCondensed"/>
          <w:sz w:val="22"/>
          <w:szCs w:val="22"/>
        </w:rPr>
        <w:t xml:space="preserve"> and </w:t>
      </w:r>
      <w:hyperlink r:id="rId23" w:history="1">
        <w:r w:rsidRPr="004D5749">
          <w:rPr>
            <w:rStyle w:val="Hyperlink"/>
            <w:rFonts w:asciiTheme="majorHAnsi" w:hAnsiTheme="majorHAnsi" w:cs="Garamond-BookCondensed"/>
            <w:i/>
            <w:sz w:val="22"/>
            <w:szCs w:val="22"/>
          </w:rPr>
          <w:t>Massachusetts Immunization Program State-Supplied Vaccines</w:t>
        </w:r>
      </w:hyperlink>
      <w:r w:rsidRPr="004D5749">
        <w:rPr>
          <w:rFonts w:asciiTheme="majorHAnsi" w:hAnsiTheme="majorHAnsi" w:cs="Garamond-BookCondensed"/>
          <w:i/>
          <w:sz w:val="22"/>
          <w:szCs w:val="22"/>
        </w:rPr>
        <w:t xml:space="preserve"> and </w:t>
      </w:r>
      <w:hyperlink r:id="rId24" w:history="1">
        <w:r w:rsidRPr="004D5749">
          <w:rPr>
            <w:rStyle w:val="Hyperlink"/>
            <w:rFonts w:asciiTheme="majorHAnsi" w:hAnsiTheme="majorHAnsi" w:cs="Garamond-BookCondensed"/>
            <w:i/>
            <w:sz w:val="22"/>
            <w:szCs w:val="22"/>
          </w:rPr>
          <w:t>Patient</w:t>
        </w:r>
        <w:r w:rsidR="00DD4341" w:rsidRPr="004D5749">
          <w:rPr>
            <w:rStyle w:val="Hyperlink"/>
            <w:rFonts w:asciiTheme="majorHAnsi" w:hAnsiTheme="majorHAnsi" w:cs="Garamond-BookCondensed"/>
            <w:i/>
            <w:sz w:val="22"/>
            <w:szCs w:val="22"/>
          </w:rPr>
          <w:t xml:space="preserve"> </w:t>
        </w:r>
        <w:r w:rsidRPr="004D5749">
          <w:rPr>
            <w:rStyle w:val="Hyperlink"/>
            <w:rFonts w:asciiTheme="majorHAnsi" w:hAnsiTheme="majorHAnsi" w:cs="Garamond-BookCondensed"/>
            <w:i/>
            <w:sz w:val="22"/>
            <w:szCs w:val="22"/>
          </w:rPr>
          <w:t>Eligibility Criteria</w:t>
        </w:r>
      </w:hyperlink>
      <w:r w:rsidRPr="004D5749">
        <w:rPr>
          <w:rFonts w:asciiTheme="majorHAnsi" w:hAnsiTheme="majorHAnsi" w:cs="Garamond-BookCondensedItalic"/>
          <w:i/>
          <w:iCs/>
          <w:sz w:val="22"/>
          <w:szCs w:val="22"/>
        </w:rPr>
        <w:t xml:space="preserve"> </w:t>
      </w:r>
      <w:r w:rsidRPr="004D5749">
        <w:rPr>
          <w:rFonts w:asciiTheme="majorHAnsi" w:hAnsiTheme="majorHAnsi" w:cs="Garamond-BookCondensed"/>
          <w:sz w:val="22"/>
          <w:szCs w:val="22"/>
        </w:rPr>
        <w:t>for recommended schedules, groups recommended, and groups eligible to receive state-supplied</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 xml:space="preserve">vaccine. </w:t>
      </w:r>
    </w:p>
    <w:p w14:paraId="77721C12" w14:textId="77777777" w:rsidR="005A67A8" w:rsidRDefault="005A67A8" w:rsidP="00070065">
      <w:pPr>
        <w:autoSpaceDE w:val="0"/>
        <w:autoSpaceDN w:val="0"/>
        <w:adjustRightInd w:val="0"/>
        <w:rPr>
          <w:rFonts w:asciiTheme="majorHAnsi" w:hAnsiTheme="majorHAnsi" w:cs="TradeGothic-CondEighteenObl"/>
          <w:i/>
          <w:iCs/>
          <w:sz w:val="22"/>
          <w:szCs w:val="22"/>
        </w:rPr>
      </w:pPr>
    </w:p>
    <w:p w14:paraId="54454872" w14:textId="5BAC2E1E" w:rsidR="00070065" w:rsidRPr="004D5749" w:rsidRDefault="00070065" w:rsidP="00070065">
      <w:pPr>
        <w:autoSpaceDE w:val="0"/>
        <w:autoSpaceDN w:val="0"/>
        <w:adjustRightInd w:val="0"/>
        <w:rPr>
          <w:rFonts w:asciiTheme="majorHAnsi" w:hAnsiTheme="majorHAnsi" w:cs="TradeGothic-CondEighteenObl"/>
          <w:i/>
          <w:iCs/>
          <w:sz w:val="22"/>
          <w:szCs w:val="22"/>
        </w:rPr>
      </w:pPr>
      <w:r w:rsidRPr="004D5749">
        <w:rPr>
          <w:rFonts w:asciiTheme="majorHAnsi" w:hAnsiTheme="majorHAnsi" w:cs="TradeGothic-CondEighteenObl"/>
          <w:i/>
          <w:iCs/>
          <w:sz w:val="22"/>
          <w:szCs w:val="22"/>
        </w:rPr>
        <w:t>Environmental Measures</w:t>
      </w:r>
    </w:p>
    <w:p w14:paraId="00F9104A" w14:textId="77777777" w:rsidR="00DD4341" w:rsidRPr="004D5749" w:rsidRDefault="00DD4341" w:rsidP="00070065">
      <w:pPr>
        <w:autoSpaceDE w:val="0"/>
        <w:autoSpaceDN w:val="0"/>
        <w:adjustRightInd w:val="0"/>
        <w:rPr>
          <w:rFonts w:asciiTheme="majorHAnsi" w:hAnsiTheme="majorHAnsi" w:cs="Garamond-BookCondensed"/>
          <w:sz w:val="22"/>
          <w:szCs w:val="22"/>
        </w:rPr>
      </w:pPr>
    </w:p>
    <w:p w14:paraId="6DF2964F" w14:textId="77777777" w:rsidR="00070065" w:rsidRPr="004D5749" w:rsidRDefault="00070065" w:rsidP="00070065">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Sterilization of hospital supplies will prevent the infrequent instances of tetanus that may occur in a hospital from</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contaminated sutures, instruments, or plaster casts.</w:t>
      </w:r>
    </w:p>
    <w:p w14:paraId="77D2FA56" w14:textId="77777777" w:rsidR="00E60A21" w:rsidRPr="00070065" w:rsidRDefault="00E60A21" w:rsidP="00070065">
      <w:pPr>
        <w:autoSpaceDE w:val="0"/>
        <w:autoSpaceDN w:val="0"/>
        <w:adjustRightInd w:val="0"/>
        <w:rPr>
          <w:rFonts w:ascii="Garamond-BookCondensed" w:hAnsi="Garamond-BookCondensed" w:cs="Garamond-BookCondensed"/>
          <w:sz w:val="20"/>
          <w:szCs w:val="20"/>
        </w:rPr>
      </w:pPr>
    </w:p>
    <w:p w14:paraId="790F608C" w14:textId="77777777" w:rsidR="00070065" w:rsidRPr="00FE5E8E" w:rsidRDefault="00070065" w:rsidP="00EE0B12">
      <w:pPr>
        <w:pStyle w:val="SurvManHead"/>
        <w:rPr>
          <w:color w:val="4F81BD"/>
        </w:rPr>
      </w:pPr>
      <w:r w:rsidRPr="597304D7">
        <w:t>ADDITIONAL INFORMATION</w:t>
      </w:r>
    </w:p>
    <w:p w14:paraId="5DF7E088" w14:textId="77777777" w:rsidR="00DD4341" w:rsidRDefault="00DD4341" w:rsidP="00070065">
      <w:pPr>
        <w:autoSpaceDE w:val="0"/>
        <w:autoSpaceDN w:val="0"/>
        <w:adjustRightInd w:val="0"/>
        <w:rPr>
          <w:rFonts w:ascii="Garamond-BookCondensed" w:hAnsi="Garamond-BookCondensed" w:cs="Garamond-BookCondensed"/>
          <w:sz w:val="20"/>
          <w:szCs w:val="20"/>
        </w:rPr>
      </w:pPr>
    </w:p>
    <w:p w14:paraId="096D9D0C" w14:textId="77777777" w:rsidR="00070065" w:rsidRPr="004D5749" w:rsidRDefault="00070065" w:rsidP="00070065">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The following is the formal CDC surveillance case definition for tetanus. It is provided for your information only and</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should not affect the investigation and reporting of a case that fulfills the criteria in Section 2A of this chapter. (The CDC</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and the MDPH use the CDC case definitions to maintain uniform standards for national reporting.) For reporting to the</w:t>
      </w:r>
      <w:r w:rsidR="00DD4341" w:rsidRPr="004D5749">
        <w:rPr>
          <w:rFonts w:asciiTheme="majorHAnsi" w:hAnsiTheme="majorHAnsi" w:cs="Garamond-BookCondensed"/>
          <w:sz w:val="22"/>
          <w:szCs w:val="22"/>
        </w:rPr>
        <w:t xml:space="preserve"> </w:t>
      </w:r>
      <w:r w:rsidRPr="004D5749">
        <w:rPr>
          <w:rFonts w:asciiTheme="majorHAnsi" w:hAnsiTheme="majorHAnsi" w:cs="Garamond-BookCondensed"/>
          <w:sz w:val="22"/>
          <w:szCs w:val="22"/>
        </w:rPr>
        <w:t>MDPH, always use the criteria outlined in Section 2A.</w:t>
      </w:r>
    </w:p>
    <w:p w14:paraId="4D2E8E74" w14:textId="77777777" w:rsidR="00DD4341" w:rsidRPr="004D5749" w:rsidRDefault="00DD4341" w:rsidP="00070065">
      <w:pPr>
        <w:autoSpaceDE w:val="0"/>
        <w:autoSpaceDN w:val="0"/>
        <w:adjustRightInd w:val="0"/>
        <w:rPr>
          <w:rFonts w:asciiTheme="majorHAnsi" w:hAnsiTheme="majorHAnsi" w:cs="Garamond-BookCondensed"/>
          <w:sz w:val="22"/>
          <w:szCs w:val="22"/>
        </w:rPr>
      </w:pPr>
    </w:p>
    <w:p w14:paraId="0E1BE1B8" w14:textId="01B1FE70" w:rsidR="00070065" w:rsidRPr="004D5749" w:rsidRDefault="00070065" w:rsidP="00070065">
      <w:pPr>
        <w:autoSpaceDE w:val="0"/>
        <w:autoSpaceDN w:val="0"/>
        <w:adjustRightInd w:val="0"/>
        <w:rPr>
          <w:rFonts w:asciiTheme="majorHAnsi" w:hAnsiTheme="majorHAnsi" w:cs="Garamond-BookCondensedItalic"/>
          <w:i/>
          <w:iCs/>
          <w:sz w:val="22"/>
          <w:szCs w:val="22"/>
        </w:rPr>
      </w:pPr>
      <w:r w:rsidRPr="004D5749">
        <w:rPr>
          <w:rFonts w:asciiTheme="majorHAnsi" w:hAnsiTheme="majorHAnsi" w:cs="Garamond-BookCondensed"/>
          <w:i/>
          <w:sz w:val="22"/>
          <w:szCs w:val="22"/>
        </w:rPr>
        <w:t>Note: The most up-to-date CDC case definitions are available on the CDC website at</w:t>
      </w:r>
      <w:r w:rsidRPr="004D5749">
        <w:rPr>
          <w:rFonts w:asciiTheme="majorHAnsi" w:hAnsiTheme="majorHAnsi" w:cs="Garamond-BookCondensedItalic"/>
          <w:i/>
          <w:iCs/>
          <w:sz w:val="22"/>
          <w:szCs w:val="22"/>
        </w:rPr>
        <w:t xml:space="preserve"> </w:t>
      </w:r>
      <w:hyperlink r:id="rId25" w:history="1">
        <w:r w:rsidR="00FE553D" w:rsidRPr="004D5749">
          <w:rPr>
            <w:rStyle w:val="Hyperlink"/>
            <w:rFonts w:asciiTheme="majorHAnsi" w:hAnsiTheme="majorHAnsi" w:cs="Garamond-BookCondensedItalic"/>
            <w:i/>
            <w:iCs/>
            <w:sz w:val="22"/>
            <w:szCs w:val="22"/>
          </w:rPr>
          <w:t>Tetanus (Clostridium tetani) 2010 Case Definition | CDC</w:t>
        </w:r>
      </w:hyperlink>
      <w:r w:rsidR="00FE553D" w:rsidRPr="004D5749" w:rsidDel="00FE553D">
        <w:rPr>
          <w:rStyle w:val="Hyperlink"/>
          <w:rFonts w:asciiTheme="majorHAnsi" w:hAnsiTheme="majorHAnsi" w:cs="Garamond-BookCondensedItalic"/>
          <w:i/>
          <w:iCs/>
          <w:sz w:val="22"/>
          <w:szCs w:val="22"/>
        </w:rPr>
        <w:t xml:space="preserve"> </w:t>
      </w:r>
      <w:r w:rsidRPr="004D5749">
        <w:rPr>
          <w:rFonts w:asciiTheme="majorHAnsi" w:hAnsiTheme="majorHAnsi" w:cs="Garamond-BookCondensedItalic"/>
          <w:i/>
          <w:iCs/>
          <w:sz w:val="22"/>
          <w:szCs w:val="22"/>
        </w:rPr>
        <w:t>.</w:t>
      </w:r>
    </w:p>
    <w:p w14:paraId="5EAF00B2" w14:textId="77777777" w:rsidR="00DD4341" w:rsidRPr="00070065" w:rsidRDefault="00DD4341" w:rsidP="00070065">
      <w:pPr>
        <w:autoSpaceDE w:val="0"/>
        <w:autoSpaceDN w:val="0"/>
        <w:adjustRightInd w:val="0"/>
        <w:rPr>
          <w:rFonts w:ascii="Garamond-BookCondensedItalic" w:hAnsi="Garamond-BookCondensedItalic" w:cs="Garamond-BookCondensedItalic"/>
          <w:i/>
          <w:iCs/>
          <w:sz w:val="20"/>
          <w:szCs w:val="20"/>
        </w:rPr>
      </w:pPr>
    </w:p>
    <w:p w14:paraId="7ABA96FC" w14:textId="77777777" w:rsidR="00070065" w:rsidRPr="00C23238" w:rsidRDefault="00070065" w:rsidP="00070065">
      <w:pPr>
        <w:autoSpaceDE w:val="0"/>
        <w:autoSpaceDN w:val="0"/>
        <w:adjustRightInd w:val="0"/>
        <w:rPr>
          <w:rFonts w:ascii="Arial" w:hAnsi="Arial" w:cs="Arial"/>
          <w:b/>
          <w:bCs/>
          <w:sz w:val="22"/>
          <w:szCs w:val="22"/>
        </w:rPr>
      </w:pPr>
      <w:r w:rsidRPr="00C23238">
        <w:rPr>
          <w:rFonts w:ascii="Arial" w:hAnsi="Arial" w:cs="Arial"/>
          <w:b/>
          <w:bCs/>
          <w:sz w:val="22"/>
          <w:szCs w:val="22"/>
        </w:rPr>
        <w:t>Case Definition for Tetanus</w:t>
      </w:r>
    </w:p>
    <w:p w14:paraId="633F3815" w14:textId="77777777" w:rsidR="00DD4341" w:rsidRDefault="00DD4341" w:rsidP="00070065">
      <w:pPr>
        <w:autoSpaceDE w:val="0"/>
        <w:autoSpaceDN w:val="0"/>
        <w:adjustRightInd w:val="0"/>
        <w:rPr>
          <w:rFonts w:ascii="Garamond-BookCondensed" w:hAnsi="Garamond-BookCondensed" w:cs="Garamond-BookCondensed"/>
          <w:sz w:val="20"/>
          <w:szCs w:val="20"/>
        </w:rPr>
      </w:pPr>
    </w:p>
    <w:p w14:paraId="3EAFAFDF" w14:textId="383AFB26" w:rsidR="0023616B" w:rsidRPr="004D5749" w:rsidRDefault="0023616B" w:rsidP="0023616B">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 xml:space="preserve">In the absence of a more likely diagnosis, an acute illness with muscle spasms or hypertonia </w:t>
      </w:r>
      <w:r w:rsidRPr="004D5749">
        <w:rPr>
          <w:rFonts w:asciiTheme="majorHAnsi" w:hAnsiTheme="majorHAnsi" w:cs="Garamond-BookCondensed"/>
          <w:b/>
          <w:bCs/>
          <w:sz w:val="22"/>
          <w:szCs w:val="22"/>
          <w:u w:val="single"/>
        </w:rPr>
        <w:t>and</w:t>
      </w:r>
      <w:r w:rsidRPr="004D5749">
        <w:rPr>
          <w:rFonts w:asciiTheme="majorHAnsi" w:hAnsiTheme="majorHAnsi" w:cs="Garamond-BookCondensed"/>
          <w:sz w:val="22"/>
          <w:szCs w:val="22"/>
        </w:rPr>
        <w:t xml:space="preserve"> diagnosis of tetanus by a health care provider; </w:t>
      </w:r>
      <w:r w:rsidRPr="004D5749">
        <w:rPr>
          <w:rFonts w:asciiTheme="majorHAnsi" w:hAnsiTheme="majorHAnsi" w:cs="Garamond-BookCondensed"/>
          <w:b/>
          <w:bCs/>
          <w:sz w:val="22"/>
          <w:szCs w:val="22"/>
          <w:u w:val="single"/>
        </w:rPr>
        <w:t>or</w:t>
      </w:r>
      <w:r w:rsidRPr="004D5749">
        <w:rPr>
          <w:rFonts w:asciiTheme="majorHAnsi" w:hAnsiTheme="majorHAnsi" w:cs="Garamond-BookCondensed"/>
          <w:sz w:val="22"/>
          <w:szCs w:val="22"/>
        </w:rPr>
        <w:t xml:space="preserve"> </w:t>
      </w:r>
    </w:p>
    <w:p w14:paraId="32D45079" w14:textId="67FF578D" w:rsidR="00DD4341" w:rsidRPr="004D5749" w:rsidRDefault="0023616B" w:rsidP="00070065">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death, with tetanus listed on the death certificate as the cause of death or a significant condition contributing to death</w:t>
      </w:r>
      <w:r w:rsidR="00BB611E" w:rsidRPr="004D5749">
        <w:rPr>
          <w:rFonts w:asciiTheme="majorHAnsi" w:hAnsiTheme="majorHAnsi" w:cs="Garamond-BookCondensed"/>
          <w:sz w:val="22"/>
          <w:szCs w:val="22"/>
        </w:rPr>
        <w:t>.</w:t>
      </w:r>
    </w:p>
    <w:p w14:paraId="49CEBC80" w14:textId="77777777" w:rsidR="00AB443F" w:rsidRPr="00070065" w:rsidRDefault="00AB443F" w:rsidP="00070065">
      <w:pPr>
        <w:autoSpaceDE w:val="0"/>
        <w:autoSpaceDN w:val="0"/>
        <w:adjustRightInd w:val="0"/>
        <w:rPr>
          <w:rFonts w:ascii="Garamond-BookCondensed" w:hAnsi="Garamond-BookCondensed" w:cs="Garamond-BookCondensed"/>
          <w:sz w:val="20"/>
          <w:szCs w:val="20"/>
        </w:rPr>
      </w:pPr>
    </w:p>
    <w:p w14:paraId="161FEDFA" w14:textId="77777777" w:rsidR="00070065" w:rsidRPr="00C23238" w:rsidRDefault="00070065" w:rsidP="00070065">
      <w:pPr>
        <w:autoSpaceDE w:val="0"/>
        <w:autoSpaceDN w:val="0"/>
        <w:adjustRightInd w:val="0"/>
        <w:rPr>
          <w:rFonts w:ascii="Arial" w:hAnsi="Arial" w:cs="Arial"/>
          <w:sz w:val="22"/>
          <w:szCs w:val="22"/>
        </w:rPr>
      </w:pPr>
      <w:r w:rsidRPr="00C23238">
        <w:rPr>
          <w:rFonts w:ascii="Arial" w:hAnsi="Arial" w:cs="Arial"/>
          <w:b/>
          <w:bCs/>
          <w:sz w:val="22"/>
          <w:szCs w:val="22"/>
        </w:rPr>
        <w:t>Case Classification</w:t>
      </w:r>
    </w:p>
    <w:p w14:paraId="61F95640" w14:textId="77777777" w:rsidR="00DD4341" w:rsidRPr="004D5749" w:rsidRDefault="00DD4341" w:rsidP="00070065">
      <w:pPr>
        <w:autoSpaceDE w:val="0"/>
        <w:autoSpaceDN w:val="0"/>
        <w:adjustRightInd w:val="0"/>
        <w:rPr>
          <w:rFonts w:asciiTheme="majorHAnsi" w:hAnsiTheme="majorHAnsi" w:cs="Garamond-BookCondensed"/>
          <w:i/>
          <w:sz w:val="22"/>
          <w:szCs w:val="22"/>
        </w:rPr>
      </w:pPr>
    </w:p>
    <w:p w14:paraId="356ECB90" w14:textId="37210932" w:rsidR="00070065" w:rsidRPr="004D5749" w:rsidRDefault="0023616B" w:rsidP="00070065">
      <w:pPr>
        <w:autoSpaceDE w:val="0"/>
        <w:autoSpaceDN w:val="0"/>
        <w:adjustRightInd w:val="0"/>
        <w:rPr>
          <w:rFonts w:asciiTheme="majorHAnsi" w:hAnsiTheme="majorHAnsi" w:cs="Garamond-BookCondensed"/>
          <w:i/>
          <w:sz w:val="22"/>
          <w:szCs w:val="22"/>
        </w:rPr>
      </w:pPr>
      <w:r w:rsidRPr="004D5749">
        <w:rPr>
          <w:rFonts w:asciiTheme="majorHAnsi" w:hAnsiTheme="majorHAnsi" w:cs="Garamond-BookCondensed"/>
          <w:i/>
          <w:sz w:val="22"/>
          <w:szCs w:val="22"/>
        </w:rPr>
        <w:t>Probable</w:t>
      </w:r>
    </w:p>
    <w:p w14:paraId="768425E1" w14:textId="77777777" w:rsidR="00DD4341" w:rsidRPr="004D5749" w:rsidRDefault="00DD4341" w:rsidP="00070065">
      <w:pPr>
        <w:autoSpaceDE w:val="0"/>
        <w:autoSpaceDN w:val="0"/>
        <w:adjustRightInd w:val="0"/>
        <w:rPr>
          <w:rFonts w:asciiTheme="majorHAnsi" w:hAnsiTheme="majorHAnsi" w:cs="Garamond-BookCondensed"/>
          <w:i/>
          <w:sz w:val="22"/>
          <w:szCs w:val="22"/>
        </w:rPr>
      </w:pPr>
    </w:p>
    <w:p w14:paraId="46AE2F62" w14:textId="45AF1CAB" w:rsidR="00070065" w:rsidRPr="004D5749" w:rsidRDefault="00070065" w:rsidP="00070065">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A clinically compatible case, as reported by a health care professional.</w:t>
      </w:r>
    </w:p>
    <w:p w14:paraId="3DB29DD4" w14:textId="77777777" w:rsidR="0023616B" w:rsidRPr="004D5749" w:rsidRDefault="0023616B" w:rsidP="00070065">
      <w:pPr>
        <w:autoSpaceDE w:val="0"/>
        <w:autoSpaceDN w:val="0"/>
        <w:adjustRightInd w:val="0"/>
        <w:rPr>
          <w:rFonts w:asciiTheme="majorHAnsi" w:hAnsiTheme="majorHAnsi" w:cs="Garamond-BookCondensed"/>
          <w:sz w:val="22"/>
          <w:szCs w:val="22"/>
        </w:rPr>
      </w:pPr>
    </w:p>
    <w:p w14:paraId="235CAC2D" w14:textId="2A6CFF33" w:rsidR="00DD4341" w:rsidRPr="004D5749" w:rsidRDefault="0023616B" w:rsidP="00070065">
      <w:pPr>
        <w:autoSpaceDE w:val="0"/>
        <w:autoSpaceDN w:val="0"/>
        <w:adjustRightInd w:val="0"/>
        <w:rPr>
          <w:rFonts w:asciiTheme="majorHAnsi" w:hAnsiTheme="majorHAnsi" w:cs="Garamond-BookCondensed"/>
          <w:sz w:val="22"/>
          <w:szCs w:val="22"/>
        </w:rPr>
      </w:pPr>
      <w:r w:rsidRPr="004D5749">
        <w:rPr>
          <w:rFonts w:asciiTheme="majorHAnsi" w:hAnsiTheme="majorHAnsi" w:cs="Garamond-BookCondensed"/>
          <w:sz w:val="22"/>
          <w:szCs w:val="22"/>
        </w:rPr>
        <w:t>There is no definition for "confirmed" tetanus.</w:t>
      </w:r>
    </w:p>
    <w:p w14:paraId="369FC794" w14:textId="77777777" w:rsidR="004D5749" w:rsidRDefault="004D5749">
      <w:pPr>
        <w:rPr>
          <w:rFonts w:ascii="TradeGothic-BoldCondTwenty" w:hAnsi="TradeGothic-BoldCondTwenty" w:cs="TradeGothic-BoldCondTwenty"/>
          <w:b/>
          <w:bCs/>
          <w:color w:val="4F81BD"/>
          <w:sz w:val="28"/>
          <w:szCs w:val="28"/>
        </w:rPr>
      </w:pPr>
      <w:r>
        <w:rPr>
          <w:rFonts w:ascii="TradeGothic-BoldCondTwenty" w:hAnsi="TradeGothic-BoldCondTwenty" w:cs="TradeGothic-BoldCondTwenty"/>
          <w:b/>
          <w:bCs/>
          <w:color w:val="4F81BD"/>
          <w:sz w:val="28"/>
          <w:szCs w:val="28"/>
        </w:rPr>
        <w:br w:type="page"/>
      </w:r>
    </w:p>
    <w:p w14:paraId="35461191" w14:textId="5623CDEC" w:rsidR="00070065" w:rsidRPr="00FE5E8E" w:rsidRDefault="00070065" w:rsidP="00EE0B12">
      <w:pPr>
        <w:pStyle w:val="SurvManHead"/>
        <w:rPr>
          <w:color w:val="4F81BD"/>
        </w:rPr>
      </w:pPr>
      <w:r w:rsidRPr="597304D7">
        <w:lastRenderedPageBreak/>
        <w:t>REFERENCES</w:t>
      </w:r>
    </w:p>
    <w:p w14:paraId="6F8714D6" w14:textId="77777777" w:rsidR="00636F7D" w:rsidRPr="00C23238" w:rsidRDefault="00636F7D" w:rsidP="00E05357">
      <w:pPr>
        <w:pStyle w:val="NormalWeb"/>
        <w:rPr>
          <w:rFonts w:asciiTheme="majorHAnsi" w:hAnsiTheme="majorHAnsi"/>
          <w:sz w:val="22"/>
          <w:szCs w:val="22"/>
        </w:rPr>
      </w:pPr>
      <w:r w:rsidRPr="00C23238">
        <w:rPr>
          <w:rFonts w:asciiTheme="majorHAnsi" w:hAnsiTheme="majorHAnsi"/>
          <w:sz w:val="22"/>
          <w:szCs w:val="22"/>
        </w:rPr>
        <w:t xml:space="preserve">Bampoe, V. (2022, February 17). </w:t>
      </w:r>
      <w:r w:rsidRPr="00C23238">
        <w:rPr>
          <w:rFonts w:asciiTheme="majorHAnsi" w:hAnsiTheme="majorHAnsi"/>
          <w:i/>
          <w:iCs/>
          <w:sz w:val="22"/>
          <w:szCs w:val="22"/>
        </w:rPr>
        <w:t>Email correspondence with CDC Tetanus Epidemiologist</w:t>
      </w:r>
      <w:r w:rsidRPr="00C23238">
        <w:rPr>
          <w:rFonts w:asciiTheme="majorHAnsi" w:hAnsiTheme="majorHAnsi"/>
          <w:sz w:val="22"/>
          <w:szCs w:val="22"/>
        </w:rPr>
        <w:t xml:space="preserve">. </w:t>
      </w:r>
    </w:p>
    <w:p w14:paraId="2C374443" w14:textId="77777777"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CDC. (2019, February 28). </w:t>
      </w:r>
      <w:r w:rsidRPr="00C23238">
        <w:rPr>
          <w:rFonts w:asciiTheme="majorHAnsi" w:hAnsiTheme="majorHAnsi"/>
          <w:i/>
          <w:iCs/>
          <w:sz w:val="22"/>
          <w:szCs w:val="22"/>
        </w:rPr>
        <w:t>About tetanus disease (Lockjaw)</w:t>
      </w:r>
      <w:r w:rsidRPr="00C23238">
        <w:rPr>
          <w:rFonts w:asciiTheme="majorHAnsi" w:hAnsiTheme="majorHAnsi"/>
          <w:sz w:val="22"/>
          <w:szCs w:val="22"/>
        </w:rPr>
        <w:t xml:space="preserve">. Centers for Disease Control and Prevention. Retrieved April 27, 2022, from https://www.cdc.gov/tetanus/about/index.html </w:t>
      </w:r>
    </w:p>
    <w:p w14:paraId="5F42952E" w14:textId="66D4A0E3"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CDC. (2020, February 6). </w:t>
      </w:r>
      <w:r w:rsidR="00A95220">
        <w:rPr>
          <w:rFonts w:asciiTheme="majorHAnsi" w:hAnsiTheme="majorHAnsi"/>
          <w:sz w:val="22"/>
          <w:szCs w:val="22"/>
        </w:rPr>
        <w:t>Blain, A. et al</w:t>
      </w:r>
      <w:r w:rsidR="00C25947">
        <w:rPr>
          <w:rFonts w:asciiTheme="majorHAnsi" w:hAnsiTheme="majorHAnsi"/>
          <w:sz w:val="22"/>
          <w:szCs w:val="22"/>
        </w:rPr>
        <w:t xml:space="preserve">, </w:t>
      </w:r>
      <w:r w:rsidRPr="00C23238">
        <w:rPr>
          <w:rFonts w:asciiTheme="majorHAnsi" w:hAnsiTheme="majorHAnsi"/>
          <w:i/>
          <w:iCs/>
          <w:sz w:val="22"/>
          <w:szCs w:val="22"/>
        </w:rPr>
        <w:t xml:space="preserve">Tetanus - vaccine </w:t>
      </w:r>
      <w:r w:rsidR="000B6058">
        <w:rPr>
          <w:rFonts w:asciiTheme="majorHAnsi" w:hAnsiTheme="majorHAnsi"/>
          <w:i/>
          <w:iCs/>
          <w:sz w:val="22"/>
          <w:szCs w:val="22"/>
        </w:rPr>
        <w:t>p</w:t>
      </w:r>
      <w:r w:rsidRPr="00C23238">
        <w:rPr>
          <w:rFonts w:asciiTheme="majorHAnsi" w:hAnsiTheme="majorHAnsi"/>
          <w:i/>
          <w:iCs/>
          <w:sz w:val="22"/>
          <w:szCs w:val="22"/>
        </w:rPr>
        <w:t>reventable diseases surveillance manual</w:t>
      </w:r>
      <w:r w:rsidRPr="00C23238">
        <w:rPr>
          <w:rFonts w:asciiTheme="majorHAnsi" w:hAnsiTheme="majorHAnsi"/>
          <w:sz w:val="22"/>
          <w:szCs w:val="22"/>
        </w:rPr>
        <w:t xml:space="preserve">. Centers for Disease Control and Prevention. Retrieved April 27, 2022, from https://www.cdc.gov/vaccines/pubs/surv-manual/chpt16-tetanus.html </w:t>
      </w:r>
    </w:p>
    <w:p w14:paraId="1861F38F" w14:textId="77777777"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CDC. (2020, January 23). </w:t>
      </w:r>
      <w:r w:rsidRPr="00C23238">
        <w:rPr>
          <w:rFonts w:asciiTheme="majorHAnsi" w:hAnsiTheme="majorHAnsi"/>
          <w:i/>
          <w:iCs/>
          <w:sz w:val="22"/>
          <w:szCs w:val="22"/>
        </w:rPr>
        <w:t>Tetanus: For Clinicians</w:t>
      </w:r>
      <w:r w:rsidRPr="00C23238">
        <w:rPr>
          <w:rFonts w:asciiTheme="majorHAnsi" w:hAnsiTheme="majorHAnsi"/>
          <w:sz w:val="22"/>
          <w:szCs w:val="22"/>
        </w:rPr>
        <w:t xml:space="preserve">. Centers for Disease Control and Prevention. Retrieved April 27, 2022, from https://www.cdc.gov/tetanus/clinicians.html </w:t>
      </w:r>
    </w:p>
    <w:p w14:paraId="00C9735E" w14:textId="77777777"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CDC. (2021, April 16). </w:t>
      </w:r>
      <w:r w:rsidRPr="00C23238">
        <w:rPr>
          <w:rFonts w:asciiTheme="majorHAnsi" w:hAnsiTheme="majorHAnsi"/>
          <w:i/>
          <w:iCs/>
          <w:sz w:val="22"/>
          <w:szCs w:val="22"/>
        </w:rPr>
        <w:t>Tetanus (clostridium tetani) 2010 case definition</w:t>
      </w:r>
      <w:r w:rsidRPr="00C23238">
        <w:rPr>
          <w:rFonts w:asciiTheme="majorHAnsi" w:hAnsiTheme="majorHAnsi"/>
          <w:sz w:val="22"/>
          <w:szCs w:val="22"/>
        </w:rPr>
        <w:t xml:space="preserve">. Centers for Disease Control and Prevention. Retrieved April 27, 2022, from https://ndc.services.cdc.gov/case-definitions/tetanus-2010/ </w:t>
      </w:r>
    </w:p>
    <w:p w14:paraId="4B5B9C63" w14:textId="77777777"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CDC. (2021, August 18). </w:t>
      </w:r>
      <w:r w:rsidRPr="00C23238">
        <w:rPr>
          <w:rFonts w:asciiTheme="majorHAnsi" w:hAnsiTheme="majorHAnsi"/>
          <w:i/>
          <w:iCs/>
          <w:sz w:val="22"/>
          <w:szCs w:val="22"/>
        </w:rPr>
        <w:t>Pinkbook: Tetanus</w:t>
      </w:r>
      <w:r w:rsidRPr="00C23238">
        <w:rPr>
          <w:rFonts w:asciiTheme="majorHAnsi" w:hAnsiTheme="majorHAnsi"/>
          <w:sz w:val="22"/>
          <w:szCs w:val="22"/>
        </w:rPr>
        <w:t xml:space="preserve">. Centers for Disease Control and Prevention. Retrieved April 27, 2022, from https://www.cdc.gov/vaccines/pubs/pinkbook/tetanus.html </w:t>
      </w:r>
    </w:p>
    <w:p w14:paraId="148B677F" w14:textId="77777777"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CDC. (2022, March 17). </w:t>
      </w:r>
      <w:r w:rsidRPr="00C23238">
        <w:rPr>
          <w:rFonts w:asciiTheme="majorHAnsi" w:hAnsiTheme="majorHAnsi"/>
          <w:i/>
          <w:iCs/>
          <w:sz w:val="22"/>
          <w:szCs w:val="22"/>
        </w:rPr>
        <w:t>Progress toward achieving and sustaining maternal and neonatal tetanus elimination - worldwide, 2000–2020</w:t>
      </w:r>
      <w:r w:rsidRPr="00C23238">
        <w:rPr>
          <w:rFonts w:asciiTheme="majorHAnsi" w:hAnsiTheme="majorHAnsi"/>
          <w:sz w:val="22"/>
          <w:szCs w:val="22"/>
        </w:rPr>
        <w:t xml:space="preserve">. Centers for Disease Control and Prevention. Retrieved April 27, 2022, from https://www.cdc.gov/mmwr/volumes/71/wr/mm7111a2.htm </w:t>
      </w:r>
    </w:p>
    <w:p w14:paraId="430E36CC" w14:textId="77777777"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CDC. (2022, March 22). </w:t>
      </w:r>
      <w:r w:rsidRPr="00C23238">
        <w:rPr>
          <w:rFonts w:asciiTheme="majorHAnsi" w:hAnsiTheme="majorHAnsi"/>
          <w:i/>
          <w:iCs/>
          <w:sz w:val="22"/>
          <w:szCs w:val="22"/>
        </w:rPr>
        <w:t>Fast facts on global tetanus</w:t>
      </w:r>
      <w:r w:rsidRPr="00C23238">
        <w:rPr>
          <w:rFonts w:asciiTheme="majorHAnsi" w:hAnsiTheme="majorHAnsi"/>
          <w:sz w:val="22"/>
          <w:szCs w:val="22"/>
        </w:rPr>
        <w:t xml:space="preserve">. Centers for Disease Control and Prevention. Retrieved April 27, 2022, from https://www.cdc.gov/globalhealth/immunization/diseases/tetanus/data/fast-facts.html </w:t>
      </w:r>
    </w:p>
    <w:p w14:paraId="13590AC7" w14:textId="77777777"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IHME. (2020, October 15). </w:t>
      </w:r>
      <w:r w:rsidRPr="00C23238">
        <w:rPr>
          <w:rFonts w:asciiTheme="majorHAnsi" w:hAnsiTheme="majorHAnsi"/>
          <w:i/>
          <w:iCs/>
          <w:sz w:val="22"/>
          <w:szCs w:val="22"/>
        </w:rPr>
        <w:t>Tetanus - level 3 cause</w:t>
      </w:r>
      <w:r w:rsidRPr="00C23238">
        <w:rPr>
          <w:rFonts w:asciiTheme="majorHAnsi" w:hAnsiTheme="majorHAnsi"/>
          <w:sz w:val="22"/>
          <w:szCs w:val="22"/>
        </w:rPr>
        <w:t xml:space="preserve">. Institute for Health Metrics and Evaluation. Retrieved April 27, 2022, from https://www.healthdata.org/results/gbd_summaries/2019/tetanus-level-3-cause </w:t>
      </w:r>
    </w:p>
    <w:p w14:paraId="59FF1F86" w14:textId="77777777" w:rsidR="00636F7D" w:rsidRPr="00C23238" w:rsidRDefault="00636F7D" w:rsidP="00636F7D">
      <w:pPr>
        <w:pStyle w:val="NormalWeb"/>
        <w:ind w:left="567" w:hanging="567"/>
        <w:rPr>
          <w:rFonts w:asciiTheme="majorHAnsi" w:hAnsiTheme="majorHAnsi"/>
          <w:sz w:val="22"/>
          <w:szCs w:val="22"/>
        </w:rPr>
      </w:pPr>
      <w:r w:rsidRPr="00C23238">
        <w:rPr>
          <w:rFonts w:asciiTheme="majorHAnsi" w:hAnsiTheme="majorHAnsi"/>
          <w:sz w:val="22"/>
          <w:szCs w:val="22"/>
        </w:rPr>
        <w:t xml:space="preserve">Kimberlin, D. (Ed.). (2018). </w:t>
      </w:r>
      <w:r w:rsidRPr="00C23238">
        <w:rPr>
          <w:rFonts w:asciiTheme="majorHAnsi" w:hAnsiTheme="majorHAnsi"/>
          <w:i/>
          <w:iCs/>
          <w:sz w:val="22"/>
          <w:szCs w:val="22"/>
        </w:rPr>
        <w:t>Red Book (2018): Report of the Committee on Infectious Diseases, 31st Edition</w:t>
      </w:r>
      <w:r w:rsidRPr="00C23238">
        <w:rPr>
          <w:rFonts w:asciiTheme="majorHAnsi" w:hAnsiTheme="majorHAnsi"/>
          <w:sz w:val="22"/>
          <w:szCs w:val="22"/>
        </w:rPr>
        <w:t xml:space="preserve">. American Academy of Pediatrics. Retrieved May 28, 2021, from https://online.statref.com/document/0tNcp6wQLY-ypfhqrB-gRN. </w:t>
      </w:r>
    </w:p>
    <w:p w14:paraId="03384B89" w14:textId="77777777" w:rsidR="00BD58A1" w:rsidRPr="00C23238" w:rsidRDefault="00BD58A1" w:rsidP="00BD58A1">
      <w:pPr>
        <w:autoSpaceDE w:val="0"/>
        <w:autoSpaceDN w:val="0"/>
        <w:adjustRightInd w:val="0"/>
        <w:rPr>
          <w:rFonts w:asciiTheme="majorHAnsi" w:hAnsiTheme="majorHAnsi" w:cs="Garamond-BookCondensed"/>
          <w:sz w:val="22"/>
          <w:szCs w:val="22"/>
        </w:rPr>
      </w:pPr>
      <w:r w:rsidRPr="00C23238">
        <w:rPr>
          <w:rFonts w:asciiTheme="majorHAnsi" w:hAnsiTheme="majorHAnsi" w:cs="Garamond-BookCondensed"/>
          <w:sz w:val="22"/>
          <w:szCs w:val="22"/>
        </w:rPr>
        <w:t xml:space="preserve">MDPH. </w:t>
      </w:r>
      <w:r w:rsidRPr="00C23238">
        <w:rPr>
          <w:rFonts w:asciiTheme="majorHAnsi" w:hAnsiTheme="majorHAnsi" w:cs="Garamond-BookCondensed"/>
          <w:i/>
          <w:sz w:val="22"/>
          <w:szCs w:val="22"/>
        </w:rPr>
        <w:t>The Comprehensive School Health Manual</w:t>
      </w:r>
      <w:r w:rsidRPr="00C23238">
        <w:rPr>
          <w:rFonts w:asciiTheme="majorHAnsi" w:hAnsiTheme="majorHAnsi" w:cs="Garamond-BookCondensed"/>
          <w:sz w:val="22"/>
          <w:szCs w:val="22"/>
        </w:rPr>
        <w:t>. MDPH, 2007.</w:t>
      </w:r>
    </w:p>
    <w:p w14:paraId="5263115D" w14:textId="77777777" w:rsidR="00AE70AF" w:rsidRPr="00C23238" w:rsidRDefault="00AE70AF" w:rsidP="00070065">
      <w:pPr>
        <w:autoSpaceDE w:val="0"/>
        <w:autoSpaceDN w:val="0"/>
        <w:adjustRightInd w:val="0"/>
        <w:rPr>
          <w:rFonts w:asciiTheme="majorHAnsi" w:hAnsiTheme="majorHAnsi" w:cs="Garamond-BookCondensed"/>
          <w:sz w:val="22"/>
          <w:szCs w:val="22"/>
        </w:rPr>
      </w:pPr>
    </w:p>
    <w:p w14:paraId="3A29A698" w14:textId="0623F935" w:rsidR="00BD58A1" w:rsidRPr="00C23238" w:rsidRDefault="00BD58A1" w:rsidP="00BD58A1">
      <w:pPr>
        <w:autoSpaceDE w:val="0"/>
        <w:autoSpaceDN w:val="0"/>
        <w:adjustRightInd w:val="0"/>
        <w:ind w:left="720" w:hanging="720"/>
        <w:rPr>
          <w:rFonts w:asciiTheme="majorHAnsi" w:hAnsiTheme="majorHAnsi" w:cs="Garamond-BookCondensed"/>
          <w:sz w:val="22"/>
          <w:szCs w:val="22"/>
        </w:rPr>
      </w:pPr>
      <w:r w:rsidRPr="00C23238">
        <w:rPr>
          <w:rFonts w:asciiTheme="majorHAnsi" w:hAnsiTheme="majorHAnsi" w:cs="Garamond-BookCondensed"/>
          <w:sz w:val="22"/>
          <w:szCs w:val="22"/>
        </w:rPr>
        <w:t xml:space="preserve">MDPH. </w:t>
      </w:r>
      <w:r w:rsidRPr="00C23238">
        <w:rPr>
          <w:rFonts w:asciiTheme="majorHAnsi" w:hAnsiTheme="majorHAnsi" w:cs="Garamond-BookCondensed"/>
          <w:i/>
          <w:sz w:val="22"/>
          <w:szCs w:val="22"/>
        </w:rPr>
        <w:t>Regulation 105 CMR 300.000: Reportable Diseases, Surveillance, and Isolation and Quarantine Requirements.</w:t>
      </w:r>
      <w:r w:rsidRPr="00C23238">
        <w:rPr>
          <w:rFonts w:asciiTheme="majorHAnsi" w:hAnsiTheme="majorHAnsi" w:cs="Garamond-BookCondensedItalic"/>
          <w:i/>
          <w:iCs/>
          <w:sz w:val="22"/>
          <w:szCs w:val="22"/>
        </w:rPr>
        <w:t xml:space="preserve"> </w:t>
      </w:r>
      <w:r w:rsidRPr="00C23238">
        <w:rPr>
          <w:rFonts w:asciiTheme="majorHAnsi" w:hAnsiTheme="majorHAnsi" w:cs="Garamond-BookCondensed"/>
          <w:sz w:val="22"/>
          <w:szCs w:val="22"/>
        </w:rPr>
        <w:t xml:space="preserve">MDPH, Promulgated </w:t>
      </w:r>
      <w:r w:rsidR="002C4705">
        <w:rPr>
          <w:rFonts w:asciiTheme="majorHAnsi" w:hAnsiTheme="majorHAnsi" w:cs="Garamond-BookCondensed"/>
          <w:sz w:val="22"/>
          <w:szCs w:val="22"/>
        </w:rPr>
        <w:t>May</w:t>
      </w:r>
      <w:r w:rsidRPr="00C23238">
        <w:rPr>
          <w:rFonts w:asciiTheme="majorHAnsi" w:hAnsiTheme="majorHAnsi" w:cs="Garamond-BookCondensed"/>
          <w:sz w:val="22"/>
          <w:szCs w:val="22"/>
        </w:rPr>
        <w:t xml:space="preserve"> 27, 20</w:t>
      </w:r>
      <w:r w:rsidR="002C4705">
        <w:rPr>
          <w:rFonts w:asciiTheme="majorHAnsi" w:hAnsiTheme="majorHAnsi" w:cs="Garamond-BookCondensed"/>
          <w:sz w:val="22"/>
          <w:szCs w:val="22"/>
        </w:rPr>
        <w:t>22</w:t>
      </w:r>
      <w:r w:rsidRPr="00C23238">
        <w:rPr>
          <w:rFonts w:asciiTheme="majorHAnsi" w:hAnsiTheme="majorHAnsi" w:cs="Garamond-BookCondensed"/>
          <w:sz w:val="22"/>
          <w:szCs w:val="22"/>
        </w:rPr>
        <w:t>.</w:t>
      </w:r>
    </w:p>
    <w:sectPr w:rsidR="00BD58A1" w:rsidRPr="00C23238" w:rsidSect="0007633A">
      <w:headerReference w:type="default" r:id="rId26"/>
      <w:footerReference w:type="default" r:id="rId27"/>
      <w:headerReference w:type="first" r:id="rId28"/>
      <w:footerReference w:type="first" r:id="rId29"/>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96BDD" w14:textId="77777777" w:rsidR="00C76D96" w:rsidRDefault="00C76D96">
      <w:r>
        <w:separator/>
      </w:r>
    </w:p>
  </w:endnote>
  <w:endnote w:type="continuationSeparator" w:id="0">
    <w:p w14:paraId="3D58A7BE" w14:textId="77777777" w:rsidR="00C76D96" w:rsidRDefault="00C7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BoldCondTwenty">
    <w:altName w:val="Cambria"/>
    <w:panose1 w:val="00000000000000000000"/>
    <w:charset w:val="00"/>
    <w:family w:val="auto"/>
    <w:notTrueType/>
    <w:pitch w:val="default"/>
    <w:sig w:usb0="00000003" w:usb1="00000000" w:usb2="00000000" w:usb3="00000000" w:csb0="00000001" w:csb1="00000000"/>
  </w:font>
  <w:font w:name="Garamond-BookCondensed">
    <w:altName w:val="Cambria"/>
    <w:panose1 w:val="00000000000000000000"/>
    <w:charset w:val="00"/>
    <w:family w:val="auto"/>
    <w:notTrueType/>
    <w:pitch w:val="default"/>
    <w:sig w:usb0="00000003" w:usb1="00000000" w:usb2="00000000" w:usb3="00000000" w:csb0="00000001" w:csb1="00000000"/>
  </w:font>
  <w:font w:name="Garamond-BookCondensedItalic">
    <w:altName w:val="Cambria"/>
    <w:panose1 w:val="00000000000000000000"/>
    <w:charset w:val="00"/>
    <w:family w:val="auto"/>
    <w:notTrueType/>
    <w:pitch w:val="default"/>
    <w:sig w:usb0="00000003" w:usb1="00000000" w:usb2="00000000" w:usb3="00000000" w:csb0="00000001" w:csb1="00000000"/>
  </w:font>
  <w:font w:name="TradeGothic-CondEighteen">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eGothic-CondEighteenObl">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AB2BB" w14:textId="48EE5FFE" w:rsidR="00C23238" w:rsidRDefault="00C23238" w:rsidP="00C23238">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 and Laboratory Sciences</w:t>
    </w:r>
  </w:p>
  <w:p w14:paraId="6D23EA85" w14:textId="7BE5640B" w:rsidR="00C23238" w:rsidRDefault="00C23238" w:rsidP="00C23238">
    <w:pPr>
      <w:pStyle w:val="Footer"/>
      <w:jc w:val="center"/>
    </w:pPr>
    <w:r>
      <w:rPr>
        <w:rFonts w:ascii="Calibri" w:hAnsi="Calibri"/>
        <w:color w:val="152358"/>
        <w:sz w:val="20"/>
        <w:szCs w:val="20"/>
      </w:rPr>
      <w:t>305 South Street, Jamaica Plain, MA 02130</w:t>
    </w:r>
  </w:p>
  <w:p w14:paraId="21A07BD9" w14:textId="77777777" w:rsidR="007B2976" w:rsidRDefault="007B2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0DADB" w14:textId="77777777" w:rsidR="003E30C4" w:rsidRDefault="003E30C4" w:rsidP="003E30C4">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 and Laboratory Sciences</w:t>
    </w:r>
  </w:p>
  <w:p w14:paraId="56E8E530" w14:textId="77777777" w:rsidR="003E30C4" w:rsidRDefault="003E30C4" w:rsidP="003E30C4">
    <w:pPr>
      <w:pStyle w:val="Footer"/>
      <w:jc w:val="center"/>
    </w:pPr>
    <w:r>
      <w:rPr>
        <w:rFonts w:ascii="Calibri" w:hAnsi="Calibri"/>
        <w:color w:val="152358"/>
        <w:sz w:val="20"/>
        <w:szCs w:val="20"/>
      </w:rPr>
      <w:t>305 South Street, Jamaica Plain, MA 02130</w:t>
    </w:r>
  </w:p>
  <w:p w14:paraId="5825DD02" w14:textId="77777777" w:rsidR="0007633A" w:rsidRDefault="00076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1662C" w14:textId="77777777" w:rsidR="00C76D96" w:rsidRDefault="00C76D96">
      <w:r>
        <w:separator/>
      </w:r>
    </w:p>
  </w:footnote>
  <w:footnote w:type="continuationSeparator" w:id="0">
    <w:p w14:paraId="223E034A" w14:textId="77777777" w:rsidR="00C76D96" w:rsidRDefault="00C7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0CD" w14:textId="3FFB9E26" w:rsidR="0007633A" w:rsidRDefault="00FF05DC" w:rsidP="0007633A">
    <w:pPr>
      <w:tabs>
        <w:tab w:val="center" w:pos="4320"/>
        <w:tab w:val="right" w:pos="8640"/>
      </w:tabs>
      <w:jc w:val="right"/>
      <w:rPr>
        <w:rFonts w:ascii="Calibri" w:eastAsia="MS Mincho" w:hAnsi="Calibri"/>
        <w:color w:val="152355"/>
        <w:sz w:val="20"/>
        <w:szCs w:val="20"/>
      </w:rPr>
    </w:pPr>
    <w:r>
      <w:rPr>
        <w:rFonts w:ascii="Calibri" w:eastAsia="MS Mincho" w:hAnsi="Calibri"/>
        <w:color w:val="152355"/>
        <w:sz w:val="20"/>
        <w:szCs w:val="20"/>
      </w:rPr>
      <w:t>October</w:t>
    </w:r>
    <w:r w:rsidR="00C376B8">
      <w:rPr>
        <w:rFonts w:ascii="Calibri" w:eastAsia="MS Mincho" w:hAnsi="Calibri"/>
        <w:color w:val="152355"/>
        <w:sz w:val="20"/>
        <w:szCs w:val="20"/>
      </w:rPr>
      <w:t xml:space="preserve"> </w:t>
    </w:r>
    <w:r w:rsidR="0007633A">
      <w:rPr>
        <w:rFonts w:ascii="Calibri" w:eastAsia="MS Mincho" w:hAnsi="Calibri"/>
        <w:color w:val="152355"/>
        <w:sz w:val="20"/>
        <w:szCs w:val="20"/>
      </w:rPr>
      <w:t xml:space="preserve">2022 | Page </w:t>
    </w:r>
    <w:r w:rsidR="0007633A">
      <w:rPr>
        <w:rFonts w:ascii="Calibri" w:eastAsia="MS Mincho" w:hAnsi="Calibri"/>
        <w:color w:val="152355"/>
        <w:sz w:val="20"/>
        <w:szCs w:val="20"/>
      </w:rPr>
      <w:fldChar w:fldCharType="begin"/>
    </w:r>
    <w:r w:rsidR="0007633A">
      <w:rPr>
        <w:rFonts w:ascii="Calibri" w:eastAsia="MS Mincho" w:hAnsi="Calibri"/>
        <w:color w:val="152355"/>
        <w:sz w:val="20"/>
        <w:szCs w:val="20"/>
      </w:rPr>
      <w:instrText xml:space="preserve"> PAGE   \* MERGEFORMAT </w:instrText>
    </w:r>
    <w:r w:rsidR="0007633A">
      <w:rPr>
        <w:rFonts w:ascii="Calibri" w:eastAsia="MS Mincho" w:hAnsi="Calibri"/>
        <w:color w:val="152355"/>
        <w:sz w:val="20"/>
        <w:szCs w:val="20"/>
      </w:rPr>
      <w:fldChar w:fldCharType="separate"/>
    </w:r>
    <w:r w:rsidR="0007633A">
      <w:rPr>
        <w:rFonts w:ascii="Calibri" w:eastAsia="MS Mincho" w:hAnsi="Calibri"/>
        <w:color w:val="152355"/>
        <w:sz w:val="20"/>
        <w:szCs w:val="20"/>
      </w:rPr>
      <w:t>2</w:t>
    </w:r>
    <w:r w:rsidR="0007633A">
      <w:rPr>
        <w:rFonts w:ascii="Calibri" w:eastAsia="MS Mincho" w:hAnsi="Calibri"/>
        <w:color w:val="152355"/>
        <w:sz w:val="20"/>
        <w:szCs w:val="20"/>
      </w:rPr>
      <w:fldChar w:fldCharType="end"/>
    </w:r>
    <w:r w:rsidR="0007633A">
      <w:rPr>
        <w:rFonts w:ascii="Calibri" w:eastAsia="MS Mincho" w:hAnsi="Calibri"/>
        <w:color w:val="152355"/>
        <w:sz w:val="20"/>
        <w:szCs w:val="20"/>
      </w:rPr>
      <w:t xml:space="preserve"> of </w:t>
    </w:r>
    <w:r w:rsidR="0007633A">
      <w:rPr>
        <w:rFonts w:ascii="Calibri" w:eastAsia="MS Mincho" w:hAnsi="Calibri"/>
        <w:color w:val="152355"/>
        <w:sz w:val="20"/>
        <w:szCs w:val="20"/>
      </w:rPr>
      <w:fldChar w:fldCharType="begin"/>
    </w:r>
    <w:r w:rsidR="0007633A">
      <w:rPr>
        <w:rFonts w:ascii="Calibri" w:eastAsia="MS Mincho" w:hAnsi="Calibri"/>
        <w:color w:val="152355"/>
        <w:sz w:val="20"/>
        <w:szCs w:val="20"/>
      </w:rPr>
      <w:instrText xml:space="preserve"> NUMPAGES   \* MERGEFORMAT </w:instrText>
    </w:r>
    <w:r w:rsidR="0007633A">
      <w:rPr>
        <w:rFonts w:ascii="Calibri" w:eastAsia="MS Mincho" w:hAnsi="Calibri"/>
        <w:color w:val="152355"/>
        <w:sz w:val="20"/>
        <w:szCs w:val="20"/>
      </w:rPr>
      <w:fldChar w:fldCharType="separate"/>
    </w:r>
    <w:r w:rsidR="0007633A">
      <w:rPr>
        <w:rFonts w:ascii="Calibri" w:eastAsia="MS Mincho" w:hAnsi="Calibri"/>
        <w:color w:val="152355"/>
        <w:sz w:val="20"/>
        <w:szCs w:val="20"/>
      </w:rPr>
      <w:t>19</w:t>
    </w:r>
    <w:r w:rsidR="0007633A">
      <w:rPr>
        <w:rFonts w:ascii="Calibri" w:eastAsia="MS Mincho" w:hAnsi="Calibri"/>
        <w:color w:val="152355"/>
        <w:sz w:val="20"/>
        <w:szCs w:val="20"/>
      </w:rPr>
      <w:fldChar w:fldCharType="end"/>
    </w:r>
  </w:p>
  <w:p w14:paraId="03EAE9A3" w14:textId="2E7EE006" w:rsidR="0007633A" w:rsidRDefault="0007633A">
    <w:pPr>
      <w:pStyle w:val="Header"/>
    </w:pPr>
  </w:p>
  <w:p w14:paraId="509B526F" w14:textId="77777777" w:rsidR="0007633A" w:rsidRDefault="00076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196D7" w14:textId="5AD4FF1C" w:rsidR="00EF3EF6" w:rsidRDefault="00EF3EF6" w:rsidP="00EF3EF6">
    <w:pPr>
      <w:rPr>
        <w:rFonts w:asciiTheme="minorHAnsi" w:hAnsiTheme="minorHAnsi"/>
        <w:color w:val="FFFFFF"/>
      </w:rPr>
    </w:pPr>
    <w:r>
      <w:rPr>
        <w:rFonts w:asciiTheme="minorHAnsi" w:hAnsiTheme="minorHAnsi"/>
        <w:noProof/>
        <w:color w:val="FFFFFF" w:themeColor="background1"/>
      </w:rPr>
      <mc:AlternateContent>
        <mc:Choice Requires="wps">
          <w:drawing>
            <wp:anchor distT="0" distB="0" distL="114300" distR="114300" simplePos="0" relativeHeight="251659264" behindDoc="0" locked="0" layoutInCell="1" allowOverlap="1" wp14:anchorId="384BBC59" wp14:editId="1E7ADF2F">
              <wp:simplePos x="0" y="0"/>
              <wp:positionH relativeFrom="column">
                <wp:posOffset>-942975</wp:posOffset>
              </wp:positionH>
              <wp:positionV relativeFrom="paragraph">
                <wp:posOffset>-447675</wp:posOffset>
              </wp:positionV>
              <wp:extent cx="7772400" cy="1038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772400" cy="1038225"/>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1CA0B234" w14:textId="77777777" w:rsidR="00EF3EF6" w:rsidRDefault="00EF3EF6" w:rsidP="00EF3EF6">
                          <w:pPr>
                            <w:rPr>
                              <w:rFonts w:asciiTheme="minorHAnsi" w:hAnsiTheme="minorHAnsi"/>
                              <w:color w:val="FFFFFF" w:themeColor="background1"/>
                            </w:rPr>
                          </w:pPr>
                        </w:p>
                        <w:p w14:paraId="691864D3" w14:textId="6C87F9C2" w:rsidR="00EF3EF6" w:rsidRPr="005D3211" w:rsidRDefault="00EF3EF6" w:rsidP="00EF3EF6">
                          <w:pPr>
                            <w:rPr>
                              <w:rFonts w:asciiTheme="minorHAnsi" w:hAnsiTheme="minorHAnsi"/>
                              <w:color w:val="FFFFFF"/>
                            </w:rPr>
                          </w:pPr>
                          <w:r>
                            <w:rPr>
                              <w:rFonts w:asciiTheme="minorHAnsi" w:hAnsiTheme="minorHAnsi"/>
                              <w:color w:val="FFFFFF" w:themeColor="background1"/>
                            </w:rPr>
                            <w:t xml:space="preserve">  </w:t>
                          </w:r>
                          <w:r w:rsidRPr="005D3211">
                            <w:rPr>
                              <w:rFonts w:asciiTheme="minorHAnsi" w:hAnsiTheme="minorHAnsi"/>
                              <w:color w:val="FFFFFF" w:themeColor="background1"/>
                            </w:rPr>
                            <w:t>MASSACHUSETTS DEPARTMENT OF PUBLIC HEALTH</w:t>
                          </w:r>
                          <w:r w:rsidRPr="005D3211">
                            <w:rPr>
                              <w:rFonts w:asciiTheme="minorHAnsi" w:hAnsiTheme="minorHAnsi"/>
                            </w:rPr>
                            <w:t xml:space="preserve"> </w:t>
                          </w:r>
                          <w:r w:rsidRPr="005D3211">
                            <w:rPr>
                              <w:rFonts w:asciiTheme="minorHAnsi" w:hAnsiTheme="minorHAnsi"/>
                              <w:color w:val="FFFFFF"/>
                            </w:rPr>
                            <w:t>GUIDE TO SURVEILLANCE, REPORTING AND CONTROL</w:t>
                          </w:r>
                        </w:p>
                        <w:p w14:paraId="67E0F301" w14:textId="17C69D8E" w:rsidR="00EF3EF6" w:rsidRPr="00C12EAE" w:rsidRDefault="00EF3EF6" w:rsidP="00EF3EF6">
                          <w:pPr>
                            <w:rPr>
                              <w:rFonts w:ascii="Calibri" w:hAnsi="Calibri"/>
                              <w:b/>
                              <w:color w:val="000000"/>
                              <w:sz w:val="56"/>
                              <w:szCs w:val="56"/>
                            </w:rPr>
                          </w:pPr>
                          <w:r>
                            <w:rPr>
                              <w:rFonts w:ascii="Calibri" w:hAnsi="Calibri"/>
                              <w:b/>
                              <w:color w:val="FFFFFF"/>
                              <w:sz w:val="56"/>
                              <w:szCs w:val="56"/>
                            </w:rPr>
                            <w:t xml:space="preserve"> Tetanus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BBC59" id="Rectangle 1" o:spid="_x0000_s1026" style="position:absolute;margin-left:-74.25pt;margin-top:-35.25pt;width:612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" fillcolor="#152639 [964]" strokecolor="#243f60 [1604]" strokeweight="2pt">
              <v:fill color2="#4f81bd [3204]" rotate="t" colors="0 #254872;.5 #3a6ba5;1 #4780c5" focus="100%" type="gradient"/>
              <v:textbox>
                <w:txbxContent>
                  <w:p w14:paraId="1CA0B234" w14:textId="77777777" w:rsidR="00EF3EF6" w:rsidRDefault="00EF3EF6" w:rsidP="00EF3EF6">
                    <w:pPr>
                      <w:rPr>
                        <w:rFonts w:asciiTheme="minorHAnsi" w:hAnsiTheme="minorHAnsi"/>
                        <w:color w:val="FFFFFF" w:themeColor="background1"/>
                      </w:rPr>
                    </w:pPr>
                  </w:p>
                  <w:p w14:paraId="691864D3" w14:textId="6C87F9C2" w:rsidR="00EF3EF6" w:rsidRPr="005D3211" w:rsidRDefault="00EF3EF6" w:rsidP="00EF3EF6">
                    <w:pPr>
                      <w:rPr>
                        <w:rFonts w:asciiTheme="minorHAnsi" w:hAnsiTheme="minorHAnsi"/>
                        <w:color w:val="FFFFFF"/>
                      </w:rPr>
                    </w:pPr>
                    <w:r>
                      <w:rPr>
                        <w:rFonts w:asciiTheme="minorHAnsi" w:hAnsiTheme="minorHAnsi"/>
                        <w:color w:val="FFFFFF" w:themeColor="background1"/>
                      </w:rPr>
                      <w:t xml:space="preserve">  </w:t>
                    </w:r>
                    <w:r w:rsidRPr="005D3211">
                      <w:rPr>
                        <w:rFonts w:asciiTheme="minorHAnsi" w:hAnsiTheme="minorHAnsi"/>
                        <w:color w:val="FFFFFF" w:themeColor="background1"/>
                      </w:rPr>
                      <w:t>MASSACHUSETTS DEPARTMENT OF PUBLIC HEALTH</w:t>
                    </w:r>
                    <w:r w:rsidRPr="005D3211">
                      <w:rPr>
                        <w:rFonts w:asciiTheme="minorHAnsi" w:hAnsiTheme="minorHAnsi"/>
                      </w:rPr>
                      <w:t xml:space="preserve"> </w:t>
                    </w:r>
                    <w:r w:rsidRPr="005D3211">
                      <w:rPr>
                        <w:rFonts w:asciiTheme="minorHAnsi" w:hAnsiTheme="minorHAnsi"/>
                        <w:color w:val="FFFFFF"/>
                      </w:rPr>
                      <w:t>GUIDE TO SURVEILLANCE, REPORTING AND CONTROL</w:t>
                    </w:r>
                  </w:p>
                  <w:p w14:paraId="67E0F301" w14:textId="17C69D8E" w:rsidR="00EF3EF6" w:rsidRPr="00C12EAE" w:rsidRDefault="00EF3EF6" w:rsidP="00EF3EF6">
                    <w:pPr>
                      <w:rPr>
                        <w:rFonts w:ascii="Calibri" w:hAnsi="Calibri"/>
                        <w:b/>
                        <w:color w:val="000000"/>
                        <w:sz w:val="56"/>
                        <w:szCs w:val="56"/>
                      </w:rPr>
                    </w:pPr>
                    <w:r>
                      <w:rPr>
                        <w:rFonts w:ascii="Calibri" w:hAnsi="Calibri"/>
                        <w:b/>
                        <w:color w:val="FFFFFF"/>
                        <w:sz w:val="56"/>
                        <w:szCs w:val="56"/>
                      </w:rPr>
                      <w:t xml:space="preserve"> Tetanus</w:t>
                    </w:r>
                  </w:p>
                </w:txbxContent>
              </v:textbox>
            </v:rect>
          </w:pict>
        </mc:Fallback>
      </mc:AlternateContent>
    </w:r>
    <w:r>
      <w:rPr>
        <w:rFonts w:asciiTheme="minorHAnsi" w:hAnsiTheme="minorHAnsi"/>
        <w:color w:val="FFFFFF" w:themeColor="background1"/>
      </w:rPr>
      <w:t>MASSACHUSETTS DEPARTMENT OF PUBLIC HEALTH</w:t>
    </w:r>
    <w:r>
      <w:rPr>
        <w:rFonts w:asciiTheme="minorHAnsi" w:hAnsiTheme="minorHAnsi"/>
      </w:rPr>
      <w:t xml:space="preserve"> </w:t>
    </w:r>
    <w:r>
      <w:rPr>
        <w:rFonts w:asciiTheme="minorHAnsi" w:hAnsiTheme="minorHAnsi"/>
        <w:color w:val="FFFFFF"/>
      </w:rPr>
      <w:t>GUIDE TO SURVEILLANCE, REPORTING AND CONTROL</w:t>
    </w:r>
  </w:p>
  <w:p w14:paraId="2D247173" w14:textId="7861E094" w:rsidR="00EF3EF6" w:rsidRDefault="00EF3EF6" w:rsidP="00EF3EF6">
    <w:pPr>
      <w:rPr>
        <w:rFonts w:ascii="Calibri" w:hAnsi="Calibri"/>
        <w:b/>
        <w:color w:val="000000"/>
        <w:sz w:val="56"/>
        <w:szCs w:val="56"/>
      </w:rPr>
    </w:pPr>
    <w:r>
      <w:rPr>
        <w:rFonts w:ascii="Calibri" w:hAnsi="Calibri"/>
        <w:b/>
        <w:color w:val="FFFFFF"/>
        <w:sz w:val="56"/>
        <w:szCs w:val="56"/>
      </w:rPr>
      <w:t>Whooping Cough)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CF28C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9CF6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A6C2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04F1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508D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0413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0CDC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A1D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227B68"/>
    <w:lvl w:ilvl="0">
      <w:start w:val="1"/>
      <w:numFmt w:val="decimal"/>
      <w:lvlText w:val="%1."/>
      <w:lvlJc w:val="left"/>
      <w:pPr>
        <w:tabs>
          <w:tab w:val="num" w:pos="360"/>
        </w:tabs>
        <w:ind w:left="360" w:hanging="360"/>
      </w:pPr>
    </w:lvl>
  </w:abstractNum>
  <w:abstractNum w:abstractNumId="9" w15:restartNumberingAfterBreak="0">
    <w:nsid w:val="059D029E"/>
    <w:multiLevelType w:val="hybridMultilevel"/>
    <w:tmpl w:val="337C82A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F71513"/>
    <w:multiLevelType w:val="hybridMultilevel"/>
    <w:tmpl w:val="EC4A5592"/>
    <w:lvl w:ilvl="0" w:tplc="C85278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EAF0619"/>
    <w:multiLevelType w:val="hybridMultilevel"/>
    <w:tmpl w:val="B04E2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3606EB"/>
    <w:multiLevelType w:val="multilevel"/>
    <w:tmpl w:val="2D22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A0E83"/>
    <w:multiLevelType w:val="hybridMultilevel"/>
    <w:tmpl w:val="6BBC6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F3603C1A">
      <w:numFmt w:val="bullet"/>
      <w:lvlText w:val="•"/>
      <w:lvlJc w:val="left"/>
      <w:pPr>
        <w:ind w:left="2520" w:hanging="720"/>
      </w:pPr>
      <w:rPr>
        <w:rFonts w:ascii="Cambria" w:eastAsia="Times New Roman" w:hAnsi="Cambri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255CC"/>
    <w:multiLevelType w:val="hybridMultilevel"/>
    <w:tmpl w:val="5C92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417C"/>
    <w:multiLevelType w:val="hybridMultilevel"/>
    <w:tmpl w:val="1D8E51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9F5BAD"/>
    <w:multiLevelType w:val="multilevel"/>
    <w:tmpl w:val="6A74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F7FEF"/>
    <w:multiLevelType w:val="hybridMultilevel"/>
    <w:tmpl w:val="4350E2D0"/>
    <w:lvl w:ilvl="0" w:tplc="04090001">
      <w:start w:val="1"/>
      <w:numFmt w:val="bullet"/>
      <w:lvlText w:val=""/>
      <w:lvlJc w:val="left"/>
      <w:pPr>
        <w:ind w:left="720" w:hanging="360"/>
      </w:pPr>
      <w:rPr>
        <w:rFonts w:ascii="Symbol" w:hAnsi="Symbol" w:hint="default"/>
      </w:rPr>
    </w:lvl>
    <w:lvl w:ilvl="1" w:tplc="CACED40A">
      <w:numFmt w:val="bullet"/>
      <w:lvlText w:val="•"/>
      <w:lvlJc w:val="left"/>
      <w:pPr>
        <w:ind w:left="1800" w:hanging="720"/>
      </w:pPr>
      <w:rPr>
        <w:rFonts w:ascii="Cambria" w:eastAsia="Times New Roman"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9"/>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D6"/>
    <w:rsid w:val="00001694"/>
    <w:rsid w:val="00022C61"/>
    <w:rsid w:val="00040BEC"/>
    <w:rsid w:val="00057961"/>
    <w:rsid w:val="00070065"/>
    <w:rsid w:val="0007633A"/>
    <w:rsid w:val="000B4F12"/>
    <w:rsid w:val="000B6058"/>
    <w:rsid w:val="000B6594"/>
    <w:rsid w:val="000C5768"/>
    <w:rsid w:val="000C7390"/>
    <w:rsid w:val="001068FB"/>
    <w:rsid w:val="00107EB5"/>
    <w:rsid w:val="001220A1"/>
    <w:rsid w:val="00132398"/>
    <w:rsid w:val="00172830"/>
    <w:rsid w:val="001C1364"/>
    <w:rsid w:val="001C7B5A"/>
    <w:rsid w:val="00210390"/>
    <w:rsid w:val="0023616B"/>
    <w:rsid w:val="00261C9D"/>
    <w:rsid w:val="00263C2D"/>
    <w:rsid w:val="002876DF"/>
    <w:rsid w:val="002A5009"/>
    <w:rsid w:val="002C0E0B"/>
    <w:rsid w:val="002C1668"/>
    <w:rsid w:val="002C4705"/>
    <w:rsid w:val="003060E3"/>
    <w:rsid w:val="003412CC"/>
    <w:rsid w:val="003459C5"/>
    <w:rsid w:val="003547F4"/>
    <w:rsid w:val="00380BEE"/>
    <w:rsid w:val="00386BF6"/>
    <w:rsid w:val="003A4B37"/>
    <w:rsid w:val="003C3838"/>
    <w:rsid w:val="003E2280"/>
    <w:rsid w:val="003E30C4"/>
    <w:rsid w:val="003E47A4"/>
    <w:rsid w:val="00413EDF"/>
    <w:rsid w:val="004268C3"/>
    <w:rsid w:val="004273C6"/>
    <w:rsid w:val="00482F70"/>
    <w:rsid w:val="0048584C"/>
    <w:rsid w:val="004D05C6"/>
    <w:rsid w:val="004D0A46"/>
    <w:rsid w:val="004D5749"/>
    <w:rsid w:val="00502FC1"/>
    <w:rsid w:val="005548C9"/>
    <w:rsid w:val="00592B98"/>
    <w:rsid w:val="00596491"/>
    <w:rsid w:val="005A16B7"/>
    <w:rsid w:val="005A67A8"/>
    <w:rsid w:val="005B5A44"/>
    <w:rsid w:val="005C13DB"/>
    <w:rsid w:val="005C1736"/>
    <w:rsid w:val="005E473F"/>
    <w:rsid w:val="00621D6B"/>
    <w:rsid w:val="00636F7D"/>
    <w:rsid w:val="00640959"/>
    <w:rsid w:val="00652BFE"/>
    <w:rsid w:val="00681E4D"/>
    <w:rsid w:val="00691FF1"/>
    <w:rsid w:val="00693D35"/>
    <w:rsid w:val="00702E87"/>
    <w:rsid w:val="007037FD"/>
    <w:rsid w:val="00703FF2"/>
    <w:rsid w:val="0071541B"/>
    <w:rsid w:val="00721361"/>
    <w:rsid w:val="00744E14"/>
    <w:rsid w:val="00750278"/>
    <w:rsid w:val="00756BA5"/>
    <w:rsid w:val="007770FE"/>
    <w:rsid w:val="007849F9"/>
    <w:rsid w:val="00786B31"/>
    <w:rsid w:val="00797C90"/>
    <w:rsid w:val="007A68EC"/>
    <w:rsid w:val="007A7F70"/>
    <w:rsid w:val="007B1748"/>
    <w:rsid w:val="007B2976"/>
    <w:rsid w:val="007D13FD"/>
    <w:rsid w:val="007E1F0D"/>
    <w:rsid w:val="008263DA"/>
    <w:rsid w:val="0087033C"/>
    <w:rsid w:val="008B27E4"/>
    <w:rsid w:val="008B53A0"/>
    <w:rsid w:val="008C5AF0"/>
    <w:rsid w:val="008D6B1C"/>
    <w:rsid w:val="008E050C"/>
    <w:rsid w:val="009007F3"/>
    <w:rsid w:val="009116FC"/>
    <w:rsid w:val="00974CBD"/>
    <w:rsid w:val="00977658"/>
    <w:rsid w:val="009857D7"/>
    <w:rsid w:val="00990783"/>
    <w:rsid w:val="009910AF"/>
    <w:rsid w:val="009A376C"/>
    <w:rsid w:val="009D176A"/>
    <w:rsid w:val="009F6FC9"/>
    <w:rsid w:val="00A060B1"/>
    <w:rsid w:val="00A067AE"/>
    <w:rsid w:val="00A06876"/>
    <w:rsid w:val="00A25ABE"/>
    <w:rsid w:val="00A73940"/>
    <w:rsid w:val="00A93DA8"/>
    <w:rsid w:val="00A95025"/>
    <w:rsid w:val="00A95220"/>
    <w:rsid w:val="00AA0C9B"/>
    <w:rsid w:val="00AA6B1C"/>
    <w:rsid w:val="00AB443F"/>
    <w:rsid w:val="00AC70D4"/>
    <w:rsid w:val="00AD6B51"/>
    <w:rsid w:val="00AE184E"/>
    <w:rsid w:val="00AE70AF"/>
    <w:rsid w:val="00B438A3"/>
    <w:rsid w:val="00B45E2E"/>
    <w:rsid w:val="00B64EAE"/>
    <w:rsid w:val="00B67AD6"/>
    <w:rsid w:val="00B8299B"/>
    <w:rsid w:val="00B87696"/>
    <w:rsid w:val="00BB611E"/>
    <w:rsid w:val="00BD58A1"/>
    <w:rsid w:val="00BE61F6"/>
    <w:rsid w:val="00BE6DCF"/>
    <w:rsid w:val="00BF5BE8"/>
    <w:rsid w:val="00BF653C"/>
    <w:rsid w:val="00C23238"/>
    <w:rsid w:val="00C25947"/>
    <w:rsid w:val="00C26B4A"/>
    <w:rsid w:val="00C376B8"/>
    <w:rsid w:val="00C6298E"/>
    <w:rsid w:val="00C76D96"/>
    <w:rsid w:val="00C83402"/>
    <w:rsid w:val="00C93064"/>
    <w:rsid w:val="00CA6B1E"/>
    <w:rsid w:val="00CB289E"/>
    <w:rsid w:val="00CC42ED"/>
    <w:rsid w:val="00CD6517"/>
    <w:rsid w:val="00D05073"/>
    <w:rsid w:val="00D36C49"/>
    <w:rsid w:val="00D45400"/>
    <w:rsid w:val="00D5221F"/>
    <w:rsid w:val="00D57306"/>
    <w:rsid w:val="00D679FC"/>
    <w:rsid w:val="00DD4341"/>
    <w:rsid w:val="00E05357"/>
    <w:rsid w:val="00E068BF"/>
    <w:rsid w:val="00E309B1"/>
    <w:rsid w:val="00E332D9"/>
    <w:rsid w:val="00E576C3"/>
    <w:rsid w:val="00E60A21"/>
    <w:rsid w:val="00E6470D"/>
    <w:rsid w:val="00E6561C"/>
    <w:rsid w:val="00E83F6C"/>
    <w:rsid w:val="00EE0B12"/>
    <w:rsid w:val="00EE4995"/>
    <w:rsid w:val="00EE49E6"/>
    <w:rsid w:val="00EE6408"/>
    <w:rsid w:val="00EF3EF6"/>
    <w:rsid w:val="00EF5C5C"/>
    <w:rsid w:val="00EF74BF"/>
    <w:rsid w:val="00F14FCA"/>
    <w:rsid w:val="00F15A0A"/>
    <w:rsid w:val="00F34337"/>
    <w:rsid w:val="00F846DF"/>
    <w:rsid w:val="00FB0A42"/>
    <w:rsid w:val="00FB16FB"/>
    <w:rsid w:val="00FB71F6"/>
    <w:rsid w:val="00FB759E"/>
    <w:rsid w:val="00FD3420"/>
    <w:rsid w:val="00FE2F31"/>
    <w:rsid w:val="00FE553D"/>
    <w:rsid w:val="00FE5E8E"/>
    <w:rsid w:val="00FF05DC"/>
    <w:rsid w:val="0BB22FAE"/>
    <w:rsid w:val="0DB670B7"/>
    <w:rsid w:val="0DEAD155"/>
    <w:rsid w:val="113DC942"/>
    <w:rsid w:val="1288780C"/>
    <w:rsid w:val="13B1A620"/>
    <w:rsid w:val="15DC4F5D"/>
    <w:rsid w:val="17FD84AD"/>
    <w:rsid w:val="19B77599"/>
    <w:rsid w:val="1B140063"/>
    <w:rsid w:val="1EC05774"/>
    <w:rsid w:val="20CDED09"/>
    <w:rsid w:val="22ECFAE6"/>
    <w:rsid w:val="24D256E0"/>
    <w:rsid w:val="2848AC7B"/>
    <w:rsid w:val="284E115D"/>
    <w:rsid w:val="2A26893C"/>
    <w:rsid w:val="2FEF4508"/>
    <w:rsid w:val="31736006"/>
    <w:rsid w:val="324A6122"/>
    <w:rsid w:val="375F375D"/>
    <w:rsid w:val="39A7AFE3"/>
    <w:rsid w:val="3DA71A2C"/>
    <w:rsid w:val="3E0E1A39"/>
    <w:rsid w:val="3E79739A"/>
    <w:rsid w:val="43549F72"/>
    <w:rsid w:val="4AB03CD6"/>
    <w:rsid w:val="4DE7DD98"/>
    <w:rsid w:val="512D7CD3"/>
    <w:rsid w:val="536B49AF"/>
    <w:rsid w:val="5442811E"/>
    <w:rsid w:val="55276A5F"/>
    <w:rsid w:val="55CF4584"/>
    <w:rsid w:val="583EBAD2"/>
    <w:rsid w:val="58883DF3"/>
    <w:rsid w:val="597304D7"/>
    <w:rsid w:val="5A0A8F62"/>
    <w:rsid w:val="5C43A3D8"/>
    <w:rsid w:val="5D0297C3"/>
    <w:rsid w:val="5D6E3E35"/>
    <w:rsid w:val="5D99BBF3"/>
    <w:rsid w:val="5FC3B91C"/>
    <w:rsid w:val="654DFCA3"/>
    <w:rsid w:val="698153D6"/>
    <w:rsid w:val="6AF19B0B"/>
    <w:rsid w:val="6CCBBC13"/>
    <w:rsid w:val="6D245AA4"/>
    <w:rsid w:val="6EC97CF5"/>
    <w:rsid w:val="723AEEB0"/>
    <w:rsid w:val="7565EECC"/>
    <w:rsid w:val="7AB0766D"/>
    <w:rsid w:val="7C33478C"/>
    <w:rsid w:val="7D58C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DF0D4F"/>
  <w15:docId w15:val="{8225D6A8-6A85-4A57-B765-5FD2E34D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37"/>
    <w:rPr>
      <w:sz w:val="24"/>
      <w:szCs w:val="24"/>
    </w:rPr>
  </w:style>
  <w:style w:type="paragraph" w:styleId="Heading1">
    <w:name w:val="heading 1"/>
    <w:basedOn w:val="Normal"/>
    <w:next w:val="Normal"/>
    <w:link w:val="Heading1Char"/>
    <w:uiPriority w:val="9"/>
    <w:qFormat/>
    <w:rsid w:val="002C0E0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B27E4"/>
    <w:rPr>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D4341"/>
    <w:rPr>
      <w:rFonts w:cs="Times New Roman"/>
      <w:color w:val="0000FF"/>
      <w:u w:val="single"/>
    </w:rPr>
  </w:style>
  <w:style w:type="paragraph" w:styleId="Header">
    <w:name w:val="header"/>
    <w:basedOn w:val="Normal"/>
    <w:link w:val="HeaderChar"/>
    <w:uiPriority w:val="99"/>
    <w:rsid w:val="007B2976"/>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rsid w:val="007B2976"/>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CommentReference">
    <w:name w:val="annotation reference"/>
    <w:basedOn w:val="DefaultParagraphFont"/>
    <w:uiPriority w:val="99"/>
    <w:rsid w:val="003E2280"/>
    <w:rPr>
      <w:sz w:val="16"/>
      <w:szCs w:val="16"/>
    </w:rPr>
  </w:style>
  <w:style w:type="paragraph" w:styleId="CommentText">
    <w:name w:val="annotation text"/>
    <w:basedOn w:val="Normal"/>
    <w:link w:val="CommentTextChar"/>
    <w:uiPriority w:val="99"/>
    <w:rsid w:val="003E2280"/>
    <w:rPr>
      <w:sz w:val="20"/>
      <w:szCs w:val="20"/>
    </w:rPr>
  </w:style>
  <w:style w:type="character" w:customStyle="1" w:styleId="CommentTextChar">
    <w:name w:val="Comment Text Char"/>
    <w:basedOn w:val="DefaultParagraphFont"/>
    <w:link w:val="CommentText"/>
    <w:uiPriority w:val="99"/>
    <w:rsid w:val="003E2280"/>
  </w:style>
  <w:style w:type="paragraph" w:styleId="CommentSubject">
    <w:name w:val="annotation subject"/>
    <w:basedOn w:val="CommentText"/>
    <w:next w:val="CommentText"/>
    <w:link w:val="CommentSubjectChar"/>
    <w:uiPriority w:val="99"/>
    <w:rsid w:val="003E2280"/>
    <w:rPr>
      <w:b/>
      <w:bCs/>
    </w:rPr>
  </w:style>
  <w:style w:type="character" w:customStyle="1" w:styleId="CommentSubjectChar">
    <w:name w:val="Comment Subject Char"/>
    <w:basedOn w:val="CommentTextChar"/>
    <w:link w:val="CommentSubject"/>
    <w:uiPriority w:val="99"/>
    <w:rsid w:val="003E2280"/>
    <w:rPr>
      <w:b/>
      <w:bCs/>
    </w:rPr>
  </w:style>
  <w:style w:type="character" w:customStyle="1" w:styleId="casedefbullets">
    <w:name w:val="casedefbullets"/>
    <w:basedOn w:val="DefaultParagraphFont"/>
    <w:rsid w:val="0023616B"/>
  </w:style>
  <w:style w:type="paragraph" w:styleId="Revision">
    <w:name w:val="Revision"/>
    <w:hidden/>
    <w:uiPriority w:val="99"/>
    <w:semiHidden/>
    <w:rsid w:val="005C13DB"/>
    <w:rPr>
      <w:sz w:val="24"/>
      <w:szCs w:val="24"/>
    </w:rPr>
  </w:style>
  <w:style w:type="table" w:styleId="MediumGrid3-Accent2">
    <w:name w:val="Medium Grid 3 Accent 2"/>
    <w:basedOn w:val="TableNormal"/>
    <w:uiPriority w:val="69"/>
    <w:rsid w:val="005B5A4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dTable4-Accent2">
    <w:name w:val="Grid Table 4 Accent 2"/>
    <w:basedOn w:val="TableNormal"/>
    <w:uiPriority w:val="49"/>
    <w:rsid w:val="005B5A4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rsid w:val="009857D7"/>
    <w:rPr>
      <w:color w:val="800080" w:themeColor="followedHyperlink"/>
      <w:u w:val="single"/>
    </w:rPr>
  </w:style>
  <w:style w:type="paragraph" w:styleId="NormalWeb">
    <w:name w:val="Normal (Web)"/>
    <w:basedOn w:val="Normal"/>
    <w:uiPriority w:val="99"/>
    <w:unhideWhenUsed/>
    <w:rsid w:val="00172830"/>
    <w:pPr>
      <w:spacing w:before="100" w:beforeAutospacing="1" w:after="100" w:afterAutospacing="1"/>
    </w:pPr>
  </w:style>
  <w:style w:type="paragraph" w:styleId="BalloonText">
    <w:name w:val="Balloon Text"/>
    <w:basedOn w:val="Normal"/>
    <w:link w:val="BalloonTextChar"/>
    <w:uiPriority w:val="99"/>
    <w:semiHidden/>
    <w:unhideWhenUsed/>
    <w:rsid w:val="00B438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A3"/>
    <w:rPr>
      <w:rFonts w:ascii="Segoe UI" w:hAnsi="Segoe UI" w:cs="Segoe UI"/>
      <w:sz w:val="18"/>
      <w:szCs w:val="18"/>
    </w:rPr>
  </w:style>
  <w:style w:type="character" w:styleId="UnresolvedMention">
    <w:name w:val="Unresolved Mention"/>
    <w:basedOn w:val="DefaultParagraphFont"/>
    <w:uiPriority w:val="99"/>
    <w:semiHidden/>
    <w:unhideWhenUsed/>
    <w:rsid w:val="000B6594"/>
    <w:rPr>
      <w:color w:val="605E5C"/>
      <w:shd w:val="clear" w:color="auto" w:fill="E1DFDD"/>
    </w:rPr>
  </w:style>
  <w:style w:type="character" w:styleId="Strong">
    <w:name w:val="Strong"/>
    <w:basedOn w:val="DefaultParagraphFont"/>
    <w:uiPriority w:val="22"/>
    <w:qFormat/>
    <w:rsid w:val="000B6594"/>
    <w:rPr>
      <w:b/>
      <w:bCs/>
    </w:rPr>
  </w:style>
  <w:style w:type="table" w:styleId="ColorfulList-Accent1">
    <w:name w:val="Colorful List Accent 1"/>
    <w:basedOn w:val="TableNormal"/>
    <w:uiPriority w:val="72"/>
    <w:rsid w:val="00C23238"/>
    <w:rPr>
      <w:color w:val="000000" w:themeColor="text1"/>
    </w:rPr>
    <w:tblPr>
      <w:tblStyleRowBandSize w:val="1"/>
      <w:tblStyleColBandSize w:val="1"/>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character" w:customStyle="1" w:styleId="Heading1Char">
    <w:name w:val="Heading 1 Char"/>
    <w:basedOn w:val="DefaultParagraphFont"/>
    <w:link w:val="Heading1"/>
    <w:uiPriority w:val="9"/>
    <w:rsid w:val="002C0E0B"/>
    <w:rPr>
      <w:rFonts w:asciiTheme="majorHAnsi" w:eastAsiaTheme="majorEastAsia" w:hAnsiTheme="majorHAnsi" w:cstheme="majorBidi"/>
      <w:color w:val="365F91" w:themeColor="accent1" w:themeShade="BF"/>
      <w:sz w:val="32"/>
      <w:szCs w:val="32"/>
    </w:rPr>
  </w:style>
  <w:style w:type="paragraph" w:customStyle="1" w:styleId="SurvManHead">
    <w:name w:val="Surv Man Head"/>
    <w:basedOn w:val="Heading1"/>
    <w:link w:val="SurvManHeadChar"/>
    <w:qFormat/>
    <w:rsid w:val="003A4B37"/>
    <w:rPr>
      <w:rFonts w:ascii="Arial" w:hAnsi="Arial" w:cs="Arial"/>
      <w:b/>
      <w:color w:val="548DD4" w:themeColor="text2" w:themeTint="99"/>
    </w:rPr>
  </w:style>
  <w:style w:type="paragraph" w:styleId="ListParagraph">
    <w:name w:val="List Paragraph"/>
    <w:basedOn w:val="Normal"/>
    <w:uiPriority w:val="34"/>
    <w:qFormat/>
    <w:rsid w:val="00A73940"/>
    <w:pPr>
      <w:ind w:left="720"/>
      <w:contextualSpacing/>
    </w:pPr>
  </w:style>
  <w:style w:type="character" w:customStyle="1" w:styleId="SurvManHeadChar">
    <w:name w:val="Surv Man Head Char"/>
    <w:basedOn w:val="Heading1Char"/>
    <w:link w:val="SurvManHead"/>
    <w:rsid w:val="003A4B37"/>
    <w:rPr>
      <w:rFonts w:ascii="Arial" w:eastAsiaTheme="majorEastAsia" w:hAnsi="Arial" w:cs="Arial"/>
      <w:b/>
      <w:color w:val="548DD4" w:themeColor="text2" w:themeTint="9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05520">
      <w:bodyDiv w:val="1"/>
      <w:marLeft w:val="0"/>
      <w:marRight w:val="0"/>
      <w:marTop w:val="0"/>
      <w:marBottom w:val="0"/>
      <w:divBdr>
        <w:top w:val="none" w:sz="0" w:space="0" w:color="auto"/>
        <w:left w:val="none" w:sz="0" w:space="0" w:color="auto"/>
        <w:bottom w:val="none" w:sz="0" w:space="0" w:color="auto"/>
        <w:right w:val="none" w:sz="0" w:space="0" w:color="auto"/>
      </w:divBdr>
    </w:div>
    <w:div w:id="621113067">
      <w:bodyDiv w:val="1"/>
      <w:marLeft w:val="0"/>
      <w:marRight w:val="0"/>
      <w:marTop w:val="0"/>
      <w:marBottom w:val="0"/>
      <w:divBdr>
        <w:top w:val="none" w:sz="0" w:space="0" w:color="auto"/>
        <w:left w:val="none" w:sz="0" w:space="0" w:color="auto"/>
        <w:bottom w:val="none" w:sz="0" w:space="0" w:color="auto"/>
        <w:right w:val="none" w:sz="0" w:space="0" w:color="auto"/>
      </w:divBdr>
    </w:div>
    <w:div w:id="675772332">
      <w:bodyDiv w:val="1"/>
      <w:marLeft w:val="0"/>
      <w:marRight w:val="0"/>
      <w:marTop w:val="0"/>
      <w:marBottom w:val="0"/>
      <w:divBdr>
        <w:top w:val="none" w:sz="0" w:space="0" w:color="auto"/>
        <w:left w:val="none" w:sz="0" w:space="0" w:color="auto"/>
        <w:bottom w:val="none" w:sz="0" w:space="0" w:color="auto"/>
        <w:right w:val="none" w:sz="0" w:space="0" w:color="auto"/>
      </w:divBdr>
    </w:div>
    <w:div w:id="816530283">
      <w:bodyDiv w:val="1"/>
      <w:marLeft w:val="0"/>
      <w:marRight w:val="0"/>
      <w:marTop w:val="0"/>
      <w:marBottom w:val="0"/>
      <w:divBdr>
        <w:top w:val="none" w:sz="0" w:space="0" w:color="auto"/>
        <w:left w:val="none" w:sz="0" w:space="0" w:color="auto"/>
        <w:bottom w:val="none" w:sz="0" w:space="0" w:color="auto"/>
        <w:right w:val="none" w:sz="0" w:space="0" w:color="auto"/>
      </w:divBdr>
    </w:div>
    <w:div w:id="894586531">
      <w:bodyDiv w:val="1"/>
      <w:marLeft w:val="0"/>
      <w:marRight w:val="0"/>
      <w:marTop w:val="0"/>
      <w:marBottom w:val="0"/>
      <w:divBdr>
        <w:top w:val="none" w:sz="0" w:space="0" w:color="auto"/>
        <w:left w:val="none" w:sz="0" w:space="0" w:color="auto"/>
        <w:bottom w:val="none" w:sz="0" w:space="0" w:color="auto"/>
        <w:right w:val="none" w:sz="0" w:space="0" w:color="auto"/>
      </w:divBdr>
    </w:div>
    <w:div w:id="1021207608">
      <w:bodyDiv w:val="1"/>
      <w:marLeft w:val="0"/>
      <w:marRight w:val="0"/>
      <w:marTop w:val="0"/>
      <w:marBottom w:val="0"/>
      <w:divBdr>
        <w:top w:val="none" w:sz="0" w:space="0" w:color="auto"/>
        <w:left w:val="none" w:sz="0" w:space="0" w:color="auto"/>
        <w:bottom w:val="none" w:sz="0" w:space="0" w:color="auto"/>
        <w:right w:val="none" w:sz="0" w:space="0" w:color="auto"/>
      </w:divBdr>
    </w:div>
    <w:div w:id="1279486408">
      <w:bodyDiv w:val="1"/>
      <w:marLeft w:val="0"/>
      <w:marRight w:val="0"/>
      <w:marTop w:val="0"/>
      <w:marBottom w:val="0"/>
      <w:divBdr>
        <w:top w:val="none" w:sz="0" w:space="0" w:color="auto"/>
        <w:left w:val="none" w:sz="0" w:space="0" w:color="auto"/>
        <w:bottom w:val="none" w:sz="0" w:space="0" w:color="auto"/>
        <w:right w:val="none" w:sz="0" w:space="0" w:color="auto"/>
      </w:divBdr>
    </w:div>
    <w:div w:id="1396781547">
      <w:bodyDiv w:val="1"/>
      <w:marLeft w:val="0"/>
      <w:marRight w:val="0"/>
      <w:marTop w:val="0"/>
      <w:marBottom w:val="0"/>
      <w:divBdr>
        <w:top w:val="none" w:sz="0" w:space="0" w:color="auto"/>
        <w:left w:val="none" w:sz="0" w:space="0" w:color="auto"/>
        <w:bottom w:val="none" w:sz="0" w:space="0" w:color="auto"/>
        <w:right w:val="none" w:sz="0" w:space="0" w:color="auto"/>
      </w:divBdr>
    </w:div>
    <w:div w:id="1546870587">
      <w:bodyDiv w:val="1"/>
      <w:marLeft w:val="0"/>
      <w:marRight w:val="0"/>
      <w:marTop w:val="0"/>
      <w:marBottom w:val="0"/>
      <w:divBdr>
        <w:top w:val="none" w:sz="0" w:space="0" w:color="auto"/>
        <w:left w:val="none" w:sz="0" w:space="0" w:color="auto"/>
        <w:bottom w:val="none" w:sz="0" w:space="0" w:color="auto"/>
        <w:right w:val="none" w:sz="0" w:space="0" w:color="auto"/>
      </w:divBdr>
    </w:div>
    <w:div w:id="1605960169">
      <w:bodyDiv w:val="1"/>
      <w:marLeft w:val="0"/>
      <w:marRight w:val="0"/>
      <w:marTop w:val="0"/>
      <w:marBottom w:val="0"/>
      <w:divBdr>
        <w:top w:val="none" w:sz="0" w:space="0" w:color="auto"/>
        <w:left w:val="none" w:sz="0" w:space="0" w:color="auto"/>
        <w:bottom w:val="none" w:sz="0" w:space="0" w:color="auto"/>
        <w:right w:val="none" w:sz="0" w:space="0" w:color="auto"/>
      </w:divBdr>
    </w:div>
    <w:div w:id="1882982218">
      <w:bodyDiv w:val="1"/>
      <w:marLeft w:val="0"/>
      <w:marRight w:val="0"/>
      <w:marTop w:val="0"/>
      <w:marBottom w:val="0"/>
      <w:divBdr>
        <w:top w:val="none" w:sz="0" w:space="0" w:color="auto"/>
        <w:left w:val="none" w:sz="0" w:space="0" w:color="auto"/>
        <w:bottom w:val="none" w:sz="0" w:space="0" w:color="auto"/>
        <w:right w:val="none" w:sz="0" w:space="0" w:color="auto"/>
      </w:divBdr>
    </w:div>
    <w:div w:id="1953396193">
      <w:bodyDiv w:val="1"/>
      <w:marLeft w:val="0"/>
      <w:marRight w:val="0"/>
      <w:marTop w:val="0"/>
      <w:marBottom w:val="0"/>
      <w:divBdr>
        <w:top w:val="none" w:sz="0" w:space="0" w:color="auto"/>
        <w:left w:val="none" w:sz="0" w:space="0" w:color="auto"/>
        <w:bottom w:val="none" w:sz="0" w:space="0" w:color="auto"/>
        <w:right w:val="none" w:sz="0" w:space="0" w:color="auto"/>
      </w:divBdr>
    </w:div>
    <w:div w:id="2052606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vaccines/schedules/hcp/imz/child-adolescent.html?CDC_AA_refVal=https%3A%2F%2Fwww.cdc.gov%2Fvaccines%2Fschedules%2Fhcp%2Fchild-adolescent.html" TargetMode="External"/><Relationship Id="rId18" Type="http://schemas.openxmlformats.org/officeDocument/2006/relationships/hyperlink" Target="https://www.cdc.gov/vaccines/schedules/downloads/child/job-aids/dtap.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ass.gov/service-details/vaccine-administration-and-clinical-guidance" TargetMode="External"/><Relationship Id="rId7" Type="http://schemas.openxmlformats.org/officeDocument/2006/relationships/settings" Target="settings.xml"/><Relationship Id="rId12" Type="http://schemas.openxmlformats.org/officeDocument/2006/relationships/hyperlink" Target="https://www.cdc.gov/vaccines/vpd/dtap-tdap-td/hcp/recommendations.html" TargetMode="External"/><Relationship Id="rId17" Type="http://schemas.openxmlformats.org/officeDocument/2006/relationships/hyperlink" Target="https://www.cdc.gov/vaccines/schedules/hcp/imz/catchup.html" TargetMode="External"/><Relationship Id="rId25" Type="http://schemas.openxmlformats.org/officeDocument/2006/relationships/hyperlink" Target="https://ndc.services.cdc.gov/case-definitions/tetanus-2010/" TargetMode="External"/><Relationship Id="rId2" Type="http://schemas.openxmlformats.org/officeDocument/2006/relationships/customXml" Target="../customXml/item2.xml"/><Relationship Id="rId16" Type="http://schemas.openxmlformats.org/officeDocument/2006/relationships/hyperlink" Target="https://www.cdc.gov/vaccines/vpd/pertussis/tdap-revac-hcp.html" TargetMode="External"/><Relationship Id="rId20" Type="http://schemas.openxmlformats.org/officeDocument/2006/relationships/hyperlink" Target="https://www.cdc.gov/vaccines/schedules/downloads/child/job-aids/tdap-2.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vaccines/pubs/pinkbook/tetanus.html" TargetMode="External"/><Relationship Id="rId24" Type="http://schemas.openxmlformats.org/officeDocument/2006/relationships/hyperlink" Target="https://www.mass.gov/doc/availability-table-childhood-0/download" TargetMode="External"/><Relationship Id="rId5" Type="http://schemas.openxmlformats.org/officeDocument/2006/relationships/numbering" Target="numbering.xml"/><Relationship Id="rId15" Type="http://schemas.openxmlformats.org/officeDocument/2006/relationships/hyperlink" Target="https://www.cdc.gov/vaccines/pregnancy/hcp-toolkit/guidelines.html?CDC_AA_refVal=https%3A%2F%2Fwww.cdc.gov%2Fvaccines%2Fpregnancy%2Fhcp%2Fguidelines.html" TargetMode="External"/><Relationship Id="rId23" Type="http://schemas.openxmlformats.org/officeDocument/2006/relationships/hyperlink" Target="https://www.mass.gov/resource/vaccine-managemen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dc.gov/vaccines/schedules/downloads/child/job-aids/tdap-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vaccines/hcp/acip-recs/vacc-specific/dtap.html" TargetMode="External"/><Relationship Id="rId22" Type="http://schemas.openxmlformats.org/officeDocument/2006/relationships/hyperlink" Target="https://www.mass.gov/lists/vaccine-model-standing-order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1" ma:contentTypeDescription="Create a new document." ma:contentTypeScope="" ma:versionID="a7a58ca491247cfaa66668d3a614395c">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05e9e58b1add7cd3c0f367581fb53a56"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B90D-D5FB-465A-8E0F-CBBE082DC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2E242F-66EE-454C-82D9-F1BCF1072D2D}">
  <ds:schemaRefs>
    <ds:schemaRef ds:uri="http://schemas.microsoft.com/sharepoint/v3/contenttype/forms"/>
  </ds:schemaRefs>
</ds:datastoreItem>
</file>

<file path=customXml/itemProps3.xml><?xml version="1.0" encoding="utf-8"?>
<ds:datastoreItem xmlns:ds="http://schemas.openxmlformats.org/officeDocument/2006/customXml" ds:itemID="{5649AA55-64C3-4C25-B71C-849BDD671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41BA9-9F51-45ED-94A9-DB7A225D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4114</Words>
  <Characters>23452</Characters>
  <Application>Microsoft Office Word</Application>
  <DocSecurity>4</DocSecurity>
  <Lines>195</Lines>
  <Paragraphs>55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REPORT IMMEDIATELY</vt:lpstr>
      <vt:lpstr>ABOUT THE DISEASE</vt:lpstr>
      <vt:lpstr>REPORTING CRITERIA AND LABORATORY TESTING</vt:lpstr>
      <vt:lpstr>REPORTING RESPONSIBILITIES AND CASE INVESTIGATION</vt:lpstr>
      <vt:lpstr>CONTROLLING FURTHER SPREAD</vt:lpstr>
      <vt:lpstr>ADDITIONAL INFORMATION</vt:lpstr>
      <vt:lpstr>REFERENCES</vt:lpstr>
    </vt:vector>
  </TitlesOfParts>
  <Company>Department of Public Health</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IMMEDIATELY</dc:title>
  <dc:subject/>
  <dc:creator>MDPH</dc:creator>
  <cp:keywords/>
  <dc:description/>
  <cp:lastModifiedBy>Carley</cp:lastModifiedBy>
  <cp:revision>2</cp:revision>
  <dcterms:created xsi:type="dcterms:W3CDTF">2022-10-18T20:55:00Z</dcterms:created>
  <dcterms:modified xsi:type="dcterms:W3CDTF">2022-10-18T20:55:00Z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