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DA2425"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0C30EC" w:rsidP="00DB51C0">
                            <w:pPr>
                              <w:jc w:val="center"/>
                              <w:rPr>
                                <w:b/>
                                <w:sz w:val="36"/>
                              </w:rPr>
                            </w:pPr>
                            <w:r>
                              <w:rPr>
                                <w:b/>
                                <w:sz w:val="36"/>
                              </w:rPr>
                              <w:t>Water Damage Investigation</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B367DF" w:rsidRDefault="00FA4363" w:rsidP="00B367DF">
                            <w:pPr>
                              <w:jc w:val="center"/>
                              <w:rPr>
                                <w:b/>
                                <w:bCs/>
                                <w:sz w:val="28"/>
                              </w:rPr>
                            </w:pPr>
                            <w:r>
                              <w:rPr>
                                <w:b/>
                                <w:bCs/>
                                <w:sz w:val="28"/>
                              </w:rPr>
                              <w:t>Tewksbury Hospital</w:t>
                            </w:r>
                          </w:p>
                          <w:p w:rsidR="00B367DF" w:rsidRPr="00B00D72" w:rsidRDefault="003A32AC" w:rsidP="00B367DF">
                            <w:pPr>
                              <w:jc w:val="center"/>
                              <w:rPr>
                                <w:b/>
                                <w:bCs/>
                                <w:sz w:val="28"/>
                                <w:highlight w:val="yellow"/>
                              </w:rPr>
                            </w:pPr>
                            <w:r>
                              <w:rPr>
                                <w:b/>
                                <w:bCs/>
                                <w:sz w:val="28"/>
                              </w:rPr>
                              <w:t>Saunders Building</w:t>
                            </w:r>
                          </w:p>
                          <w:p w:rsidR="003A32AC" w:rsidRDefault="003A32AC" w:rsidP="00B367DF">
                            <w:pPr>
                              <w:jc w:val="center"/>
                              <w:rPr>
                                <w:b/>
                                <w:bCs/>
                                <w:sz w:val="28"/>
                              </w:rPr>
                            </w:pPr>
                            <w:bookmarkStart w:id="0" w:name="_GoBack"/>
                            <w:r>
                              <w:rPr>
                                <w:b/>
                                <w:bCs/>
                                <w:sz w:val="28"/>
                              </w:rPr>
                              <w:t xml:space="preserve">A-2 Quality Management </w:t>
                            </w:r>
                            <w:r w:rsidRPr="003A32AC">
                              <w:rPr>
                                <w:b/>
                                <w:bCs/>
                                <w:sz w:val="28"/>
                              </w:rPr>
                              <w:t>Department</w:t>
                            </w:r>
                          </w:p>
                          <w:bookmarkEnd w:id="0"/>
                          <w:p w:rsidR="00653643" w:rsidRPr="00705149" w:rsidRDefault="00FA4363" w:rsidP="00B367DF">
                            <w:pPr>
                              <w:jc w:val="center"/>
                              <w:rPr>
                                <w:b/>
                                <w:bCs/>
                                <w:sz w:val="28"/>
                              </w:rPr>
                            </w:pPr>
                            <w:r>
                              <w:rPr>
                                <w:b/>
                                <w:bCs/>
                                <w:sz w:val="28"/>
                              </w:rPr>
                              <w:t>365 East Street Tewksbury</w:t>
                            </w:r>
                            <w:r w:rsidR="00D66159">
                              <w:rPr>
                                <w:b/>
                                <w:bCs/>
                                <w:sz w:val="28"/>
                              </w:rPr>
                              <w:t>, MA</w:t>
                            </w:r>
                          </w:p>
                          <w:p w:rsidR="00C424AE" w:rsidRPr="00705149" w:rsidRDefault="00C424AE" w:rsidP="00C424AE">
                            <w:pPr>
                              <w:jc w:val="center"/>
                              <w:rPr>
                                <w:b/>
                                <w:bCs/>
                              </w:rPr>
                            </w:pPr>
                          </w:p>
                          <w:p w:rsidR="009A3B91" w:rsidRDefault="009A3B91" w:rsidP="00C424AE">
                            <w:pPr>
                              <w:jc w:val="center"/>
                              <w:rPr>
                                <w:b/>
                                <w:bCs/>
                              </w:rPr>
                            </w:pPr>
                          </w:p>
                          <w:p w:rsidR="00C424AE" w:rsidRDefault="00C424AE" w:rsidP="00DB51C0">
                            <w:pPr>
                              <w:jc w:val="center"/>
                            </w:pPr>
                          </w:p>
                          <w:p w:rsidR="00C424AE" w:rsidRDefault="00C424AE" w:rsidP="00DB51C0">
                            <w:pPr>
                              <w:jc w:val="center"/>
                            </w:pPr>
                          </w:p>
                          <w:p w:rsidR="001B28EA" w:rsidRDefault="00DA2425" w:rsidP="00DB51C0">
                            <w:pPr>
                              <w:jc w:val="center"/>
                            </w:pPr>
                            <w:r>
                              <w:rPr>
                                <w:noProof/>
                              </w:rPr>
                              <w:drawing>
                                <wp:inline distT="0" distB="0" distL="0" distR="0">
                                  <wp:extent cx="3840480" cy="3284220"/>
                                  <wp:effectExtent l="0" t="0" r="0" b="0"/>
                                  <wp:docPr id="8" name="Picture 1" descr="Aerial view of the Saunders Building at Tewksbury Hospital (B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ial view of the Saunders Building at Tewksbury Hospital (Bing.com)"/>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840480" cy="328422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A53D89" w:rsidP="00DB51C0">
                            <w:pPr>
                              <w:jc w:val="center"/>
                            </w:pPr>
                            <w:r>
                              <w:t>December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0C30EC" w:rsidP="00DB51C0">
                      <w:pPr>
                        <w:jc w:val="center"/>
                        <w:rPr>
                          <w:b/>
                          <w:sz w:val="36"/>
                        </w:rPr>
                      </w:pPr>
                      <w:bookmarkStart w:id="1" w:name="_GoBack"/>
                      <w:bookmarkEnd w:id="1"/>
                      <w:r>
                        <w:rPr>
                          <w:b/>
                          <w:sz w:val="36"/>
                        </w:rPr>
                        <w:t>Water Damage Investigation</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B367DF" w:rsidRDefault="00FA4363" w:rsidP="00B367DF">
                      <w:pPr>
                        <w:jc w:val="center"/>
                        <w:rPr>
                          <w:b/>
                          <w:bCs/>
                          <w:sz w:val="28"/>
                        </w:rPr>
                      </w:pPr>
                      <w:r>
                        <w:rPr>
                          <w:b/>
                          <w:bCs/>
                          <w:sz w:val="28"/>
                        </w:rPr>
                        <w:t>Tewksbury Hospital</w:t>
                      </w:r>
                    </w:p>
                    <w:p w:rsidR="00B367DF" w:rsidRPr="00B00D72" w:rsidRDefault="003A32AC" w:rsidP="00B367DF">
                      <w:pPr>
                        <w:jc w:val="center"/>
                        <w:rPr>
                          <w:b/>
                          <w:bCs/>
                          <w:sz w:val="28"/>
                          <w:highlight w:val="yellow"/>
                        </w:rPr>
                      </w:pPr>
                      <w:r>
                        <w:rPr>
                          <w:b/>
                          <w:bCs/>
                          <w:sz w:val="28"/>
                        </w:rPr>
                        <w:t>Saunders Building</w:t>
                      </w:r>
                    </w:p>
                    <w:p w:rsidR="003A32AC" w:rsidRDefault="003A32AC" w:rsidP="00B367DF">
                      <w:pPr>
                        <w:jc w:val="center"/>
                        <w:rPr>
                          <w:b/>
                          <w:bCs/>
                          <w:sz w:val="28"/>
                        </w:rPr>
                      </w:pPr>
                      <w:r>
                        <w:rPr>
                          <w:b/>
                          <w:bCs/>
                          <w:sz w:val="28"/>
                        </w:rPr>
                        <w:t xml:space="preserve">A-2 Quality Management </w:t>
                      </w:r>
                      <w:r w:rsidRPr="003A32AC">
                        <w:rPr>
                          <w:b/>
                          <w:bCs/>
                          <w:sz w:val="28"/>
                        </w:rPr>
                        <w:t>Department</w:t>
                      </w:r>
                    </w:p>
                    <w:p w:rsidR="00653643" w:rsidRPr="00705149" w:rsidRDefault="00FA4363" w:rsidP="00B367DF">
                      <w:pPr>
                        <w:jc w:val="center"/>
                        <w:rPr>
                          <w:b/>
                          <w:bCs/>
                          <w:sz w:val="28"/>
                        </w:rPr>
                      </w:pPr>
                      <w:r>
                        <w:rPr>
                          <w:b/>
                          <w:bCs/>
                          <w:sz w:val="28"/>
                        </w:rPr>
                        <w:t>365 East Street Tewksbury</w:t>
                      </w:r>
                      <w:r w:rsidR="00D66159">
                        <w:rPr>
                          <w:b/>
                          <w:bCs/>
                          <w:sz w:val="28"/>
                        </w:rPr>
                        <w:t>, MA</w:t>
                      </w:r>
                    </w:p>
                    <w:p w:rsidR="00C424AE" w:rsidRPr="00705149" w:rsidRDefault="00C424AE" w:rsidP="00C424AE">
                      <w:pPr>
                        <w:jc w:val="center"/>
                        <w:rPr>
                          <w:b/>
                          <w:bCs/>
                        </w:rPr>
                      </w:pPr>
                    </w:p>
                    <w:p w:rsidR="009A3B91" w:rsidRDefault="009A3B91" w:rsidP="00C424AE">
                      <w:pPr>
                        <w:jc w:val="center"/>
                        <w:rPr>
                          <w:b/>
                          <w:bCs/>
                        </w:rPr>
                      </w:pPr>
                    </w:p>
                    <w:p w:rsidR="00C424AE" w:rsidRDefault="00C424AE" w:rsidP="00DB51C0">
                      <w:pPr>
                        <w:jc w:val="center"/>
                      </w:pPr>
                    </w:p>
                    <w:p w:rsidR="00C424AE" w:rsidRDefault="00C424AE" w:rsidP="00DB51C0">
                      <w:pPr>
                        <w:jc w:val="center"/>
                      </w:pPr>
                    </w:p>
                    <w:p w:rsidR="001B28EA" w:rsidRDefault="00DA2425" w:rsidP="00DB51C0">
                      <w:pPr>
                        <w:jc w:val="center"/>
                      </w:pPr>
                      <w:r>
                        <w:rPr>
                          <w:noProof/>
                        </w:rPr>
                        <w:drawing>
                          <wp:inline distT="0" distB="0" distL="0" distR="0">
                            <wp:extent cx="3840480" cy="3284220"/>
                            <wp:effectExtent l="0" t="0" r="0" b="0"/>
                            <wp:docPr id="8" name="Picture 1" descr="Aerial view of the Saunders Building at Tewksbury Hospital (B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ial view of the Saunders Building at Tewksbury Hospital (Bing.com)"/>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840480" cy="328422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A53D89" w:rsidP="00DB51C0">
                      <w:pPr>
                        <w:jc w:val="center"/>
                      </w:pPr>
                      <w:r>
                        <w:t>December 2018</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484695" w:rsidRDefault="00FA4363" w:rsidP="00B367DF">
            <w:pPr>
              <w:tabs>
                <w:tab w:val="left" w:pos="1485"/>
              </w:tabs>
              <w:rPr>
                <w:bCs/>
              </w:rPr>
            </w:pPr>
            <w:r w:rsidRPr="00484695">
              <w:rPr>
                <w:bCs/>
              </w:rPr>
              <w:t>Tewksbury Hospital, Saunders Building</w:t>
            </w:r>
            <w:r w:rsidR="00D40F5C">
              <w:rPr>
                <w:bCs/>
              </w:rPr>
              <w:t xml:space="preserve">- A2 </w:t>
            </w:r>
            <w:r w:rsidR="00D40F5C" w:rsidRPr="00D40F5C">
              <w:rPr>
                <w:bCs/>
              </w:rPr>
              <w:t>Quality Management Department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295074" w:rsidRDefault="00FA4363" w:rsidP="00FA4363">
            <w:pPr>
              <w:pStyle w:val="StaffTitleHangingIndent"/>
            </w:pPr>
            <w:r>
              <w:rPr>
                <w:bCs/>
              </w:rPr>
              <w:t>365 East</w:t>
            </w:r>
            <w:r w:rsidR="00B367DF" w:rsidRPr="00295074">
              <w:rPr>
                <w:bCs/>
              </w:rPr>
              <w:t xml:space="preserve"> Street, </w:t>
            </w:r>
            <w:r>
              <w:rPr>
                <w:bCs/>
              </w:rPr>
              <w:t>Tewksbury</w:t>
            </w:r>
            <w:r w:rsidR="00AE6286">
              <w:t xml:space="preserve">, </w:t>
            </w:r>
            <w:r>
              <w:t>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C04E36" w:rsidRDefault="00C04E36" w:rsidP="00C04E36">
            <w:pPr>
              <w:pStyle w:val="StaffTitleHangingIndent"/>
            </w:pPr>
            <w:r>
              <w:t>Scott J. Consaul, J.D., CPHQ, CHSP, CSL</w:t>
            </w:r>
          </w:p>
          <w:p w:rsidR="00966B98" w:rsidRPr="00B367DF" w:rsidRDefault="00C04E36" w:rsidP="00A32C6A">
            <w:pPr>
              <w:pStyle w:val="StaffTitleHangingIndent"/>
              <w:rPr>
                <w:highlight w:val="yellow"/>
              </w:rPr>
            </w:pPr>
            <w:r>
              <w:t>Director of Facilities Management</w:t>
            </w:r>
          </w:p>
        </w:tc>
      </w:tr>
      <w:tr w:rsidR="00966B98" w:rsidRPr="00492B43" w:rsidTr="007154D5">
        <w:trPr>
          <w:jc w:val="center"/>
        </w:trPr>
        <w:tc>
          <w:tcPr>
            <w:tcW w:w="5089" w:type="dxa"/>
            <w:shd w:val="clear" w:color="auto" w:fill="auto"/>
          </w:tcPr>
          <w:p w:rsidR="00966B98" w:rsidRPr="00492B43" w:rsidRDefault="00966B98" w:rsidP="00486557">
            <w:pPr>
              <w:tabs>
                <w:tab w:val="left" w:pos="1485"/>
              </w:tabs>
              <w:rPr>
                <w:rStyle w:val="BackgroundBoldedDescriptors"/>
              </w:rPr>
            </w:pPr>
            <w:r w:rsidRPr="00492B43">
              <w:rPr>
                <w:rStyle w:val="BackgroundBoldedDescriptors"/>
              </w:rPr>
              <w:t>Reason for Request:</w:t>
            </w:r>
          </w:p>
        </w:tc>
        <w:tc>
          <w:tcPr>
            <w:tcW w:w="4008" w:type="dxa"/>
            <w:shd w:val="clear" w:color="auto" w:fill="auto"/>
          </w:tcPr>
          <w:p w:rsidR="00966B98" w:rsidRPr="00492B43" w:rsidRDefault="00B367DF" w:rsidP="00B367DF">
            <w:pPr>
              <w:tabs>
                <w:tab w:val="left" w:pos="1485"/>
              </w:tabs>
              <w:rPr>
                <w:bCs/>
              </w:rPr>
            </w:pPr>
            <w:r w:rsidRPr="00492B43">
              <w:rPr>
                <w:bCs/>
              </w:rPr>
              <w:t>General Indoor Air Quality (IAQ) and health</w:t>
            </w:r>
            <w:r w:rsidR="00F841D2" w:rsidRPr="00492B43">
              <w:rPr>
                <w:bCs/>
              </w:rPr>
              <w:t xml:space="preserve"> </w:t>
            </w:r>
            <w:r w:rsidR="004D6304" w:rsidRPr="00492B43">
              <w:rPr>
                <w:bCs/>
              </w:rPr>
              <w:t>concerns</w:t>
            </w:r>
            <w:r w:rsidR="00DB4E35" w:rsidRPr="00492B43">
              <w:rPr>
                <w:bCs/>
              </w:rPr>
              <w:t xml:space="preserve"> following water damage events</w:t>
            </w:r>
          </w:p>
        </w:tc>
      </w:tr>
      <w:tr w:rsidR="00966B98" w:rsidRPr="00492B43" w:rsidTr="007154D5">
        <w:trPr>
          <w:jc w:val="center"/>
        </w:trPr>
        <w:tc>
          <w:tcPr>
            <w:tcW w:w="5089" w:type="dxa"/>
            <w:shd w:val="clear" w:color="auto" w:fill="auto"/>
          </w:tcPr>
          <w:p w:rsidR="00966B98" w:rsidRPr="00492B43" w:rsidRDefault="00966B98" w:rsidP="00486557">
            <w:pPr>
              <w:tabs>
                <w:tab w:val="left" w:pos="1485"/>
              </w:tabs>
              <w:rPr>
                <w:rStyle w:val="BackgroundBoldedDescriptors"/>
              </w:rPr>
            </w:pPr>
            <w:r w:rsidRPr="00492B43">
              <w:rPr>
                <w:rStyle w:val="BackgroundBoldedDescriptors"/>
              </w:rPr>
              <w:t>Date of Assessment:</w:t>
            </w:r>
          </w:p>
        </w:tc>
        <w:tc>
          <w:tcPr>
            <w:tcW w:w="4008" w:type="dxa"/>
            <w:shd w:val="clear" w:color="auto" w:fill="auto"/>
          </w:tcPr>
          <w:p w:rsidR="00966B98" w:rsidRPr="00492B43" w:rsidRDefault="00DB4E35" w:rsidP="00B367DF">
            <w:pPr>
              <w:tabs>
                <w:tab w:val="left" w:pos="1485"/>
              </w:tabs>
              <w:rPr>
                <w:bCs/>
              </w:rPr>
            </w:pPr>
            <w:r w:rsidRPr="00492B43">
              <w:rPr>
                <w:bCs/>
              </w:rPr>
              <w:t>November 27</w:t>
            </w:r>
            <w:r w:rsidR="0073731E" w:rsidRPr="00492B43">
              <w:rPr>
                <w:bCs/>
              </w:rPr>
              <w:t>, 201</w:t>
            </w:r>
            <w:r w:rsidR="004F642F">
              <w:rPr>
                <w:bCs/>
              </w:rPr>
              <w:t>8</w:t>
            </w:r>
          </w:p>
        </w:tc>
      </w:tr>
      <w:tr w:rsidR="00966B98" w:rsidRPr="00492B43" w:rsidTr="007154D5">
        <w:trPr>
          <w:jc w:val="center"/>
        </w:trPr>
        <w:tc>
          <w:tcPr>
            <w:tcW w:w="5089" w:type="dxa"/>
            <w:shd w:val="clear" w:color="auto" w:fill="auto"/>
          </w:tcPr>
          <w:p w:rsidR="00966B98" w:rsidRPr="00492B43" w:rsidRDefault="00966B98" w:rsidP="00486557">
            <w:pPr>
              <w:tabs>
                <w:tab w:val="left" w:pos="1485"/>
              </w:tabs>
              <w:rPr>
                <w:rStyle w:val="BackgroundBoldedDescriptors"/>
              </w:rPr>
            </w:pPr>
            <w:r w:rsidRPr="00492B43">
              <w:rPr>
                <w:rStyle w:val="BackgroundBoldedDescriptors"/>
              </w:rPr>
              <w:t>Massachusetts Department of Public Health/Bureau of Environmental Health (MDPH/BEH) Staff Conducting Assessment:</w:t>
            </w:r>
          </w:p>
        </w:tc>
        <w:tc>
          <w:tcPr>
            <w:tcW w:w="4008" w:type="dxa"/>
            <w:shd w:val="clear" w:color="auto" w:fill="auto"/>
          </w:tcPr>
          <w:p w:rsidR="00966B98" w:rsidRPr="00492B43" w:rsidRDefault="00C04E36" w:rsidP="00C04E36">
            <w:pPr>
              <w:pStyle w:val="StaffTitleHangingIndent"/>
              <w:rPr>
                <w:bCs/>
              </w:rPr>
            </w:pPr>
            <w:r w:rsidRPr="00492B43">
              <w:rPr>
                <w:bCs/>
              </w:rPr>
              <w:t>Jason Dustin</w:t>
            </w:r>
            <w:r w:rsidR="00653643" w:rsidRPr="00492B43">
              <w:rPr>
                <w:bCs/>
              </w:rPr>
              <w:t xml:space="preserve">, Environmental </w:t>
            </w:r>
            <w:r w:rsidRPr="00492B43">
              <w:rPr>
                <w:bCs/>
              </w:rPr>
              <w:t>Analyst</w:t>
            </w:r>
            <w:r w:rsidR="00653643" w:rsidRPr="00492B43">
              <w:rPr>
                <w:bCs/>
              </w:rPr>
              <w:t xml:space="preserve">, </w:t>
            </w:r>
            <w:r w:rsidR="002E1405" w:rsidRPr="00492B43">
              <w:rPr>
                <w:bCs/>
              </w:rPr>
              <w:t>indoor air quality (</w:t>
            </w:r>
            <w:r w:rsidR="000D21AE" w:rsidRPr="00492B43">
              <w:rPr>
                <w:bCs/>
              </w:rPr>
              <w:t>IAQ</w:t>
            </w:r>
            <w:r w:rsidR="002E1405" w:rsidRPr="00492B43">
              <w:rPr>
                <w:bCs/>
              </w:rPr>
              <w:t>)</w:t>
            </w:r>
            <w:r w:rsidR="000D21AE" w:rsidRPr="00492B43">
              <w:rPr>
                <w:bCs/>
              </w:rPr>
              <w:t xml:space="preserve"> </w:t>
            </w:r>
            <w:r w:rsidR="00966B98" w:rsidRPr="00492B43">
              <w:rPr>
                <w:bCs/>
              </w:rPr>
              <w:t>Program</w:t>
            </w:r>
          </w:p>
        </w:tc>
      </w:tr>
      <w:tr w:rsidR="00966B98" w:rsidRPr="00492B43" w:rsidTr="007154D5">
        <w:trPr>
          <w:trHeight w:val="323"/>
          <w:jc w:val="center"/>
        </w:trPr>
        <w:tc>
          <w:tcPr>
            <w:tcW w:w="5089" w:type="dxa"/>
            <w:shd w:val="clear" w:color="auto" w:fill="auto"/>
          </w:tcPr>
          <w:p w:rsidR="00966B98" w:rsidRPr="00492B43" w:rsidRDefault="00966B98" w:rsidP="00486557">
            <w:pPr>
              <w:tabs>
                <w:tab w:val="left" w:pos="1485"/>
              </w:tabs>
              <w:rPr>
                <w:rStyle w:val="BackgroundBoldedDescriptors"/>
              </w:rPr>
            </w:pPr>
            <w:r w:rsidRPr="00492B43">
              <w:rPr>
                <w:rStyle w:val="BackgroundBoldedDescriptors"/>
              </w:rPr>
              <w:t>Building Description:</w:t>
            </w:r>
          </w:p>
        </w:tc>
        <w:tc>
          <w:tcPr>
            <w:tcW w:w="4008" w:type="dxa"/>
            <w:shd w:val="clear" w:color="auto" w:fill="auto"/>
          </w:tcPr>
          <w:p w:rsidR="00966B98" w:rsidRPr="00492B43" w:rsidRDefault="00C04E36" w:rsidP="00295074">
            <w:pPr>
              <w:pStyle w:val="StaffTitleHangingIndent"/>
              <w:rPr>
                <w:bCs/>
              </w:rPr>
            </w:pPr>
            <w:r w:rsidRPr="00492B43">
              <w:rPr>
                <w:bCs/>
              </w:rPr>
              <w:t>The offices examined are on the 1</w:t>
            </w:r>
            <w:r w:rsidRPr="00492B43">
              <w:rPr>
                <w:bCs/>
                <w:vertAlign w:val="superscript"/>
              </w:rPr>
              <w:t>st</w:t>
            </w:r>
            <w:r w:rsidR="00295074" w:rsidRPr="00492B43">
              <w:rPr>
                <w:bCs/>
              </w:rPr>
              <w:t xml:space="preserve"> floor of </w:t>
            </w:r>
            <w:r w:rsidR="00B21F66" w:rsidRPr="00492B43">
              <w:rPr>
                <w:bCs/>
              </w:rPr>
              <w:t>a U-shaped, five-story building with a flat rubber membrane roof. It was originally built in the 1960s with additional wings added in the early 1970s.</w:t>
            </w:r>
          </w:p>
        </w:tc>
      </w:tr>
      <w:tr w:rsidR="00966B98" w:rsidRPr="00492B43" w:rsidTr="007154D5">
        <w:trPr>
          <w:jc w:val="center"/>
        </w:trPr>
        <w:tc>
          <w:tcPr>
            <w:tcW w:w="5089" w:type="dxa"/>
            <w:shd w:val="clear" w:color="auto" w:fill="auto"/>
          </w:tcPr>
          <w:p w:rsidR="00966B98" w:rsidRPr="00492B43" w:rsidRDefault="00966B98" w:rsidP="00486557">
            <w:pPr>
              <w:tabs>
                <w:tab w:val="left" w:pos="1485"/>
              </w:tabs>
              <w:rPr>
                <w:rStyle w:val="BackgroundBoldedDescriptors"/>
              </w:rPr>
            </w:pPr>
            <w:r w:rsidRPr="00492B43">
              <w:rPr>
                <w:rStyle w:val="BackgroundBoldedDescriptors"/>
              </w:rPr>
              <w:t>Windows:</w:t>
            </w:r>
          </w:p>
        </w:tc>
        <w:tc>
          <w:tcPr>
            <w:tcW w:w="4008" w:type="dxa"/>
            <w:shd w:val="clear" w:color="auto" w:fill="auto"/>
          </w:tcPr>
          <w:p w:rsidR="00966B98" w:rsidRPr="00492B43" w:rsidRDefault="00F841D2" w:rsidP="00745B72">
            <w:pPr>
              <w:tabs>
                <w:tab w:val="left" w:pos="1485"/>
              </w:tabs>
              <w:rPr>
                <w:bCs/>
              </w:rPr>
            </w:pPr>
            <w:r w:rsidRPr="00492B43">
              <w:rPr>
                <w:bCs/>
              </w:rPr>
              <w:t>Not</w:t>
            </w:r>
            <w:r w:rsidR="00753693" w:rsidRPr="00492B43">
              <w:rPr>
                <w:bCs/>
              </w:rPr>
              <w:t xml:space="preserve"> o</w:t>
            </w:r>
            <w:r w:rsidR="0073731E" w:rsidRPr="00492B43">
              <w:rPr>
                <w:bCs/>
              </w:rPr>
              <w:t>penable</w:t>
            </w:r>
          </w:p>
        </w:tc>
      </w:tr>
    </w:tbl>
    <w:p w:rsidR="00F93352" w:rsidRPr="00492B43" w:rsidRDefault="00F93352" w:rsidP="00F93352">
      <w:pPr>
        <w:pStyle w:val="Heading1"/>
      </w:pPr>
      <w:r w:rsidRPr="00492B43">
        <w:t>M</w:t>
      </w:r>
      <w:r w:rsidR="007154D5" w:rsidRPr="00492B43">
        <w:t>ethods</w:t>
      </w:r>
    </w:p>
    <w:p w:rsidR="00F93352" w:rsidRPr="00492B43" w:rsidRDefault="00F93352" w:rsidP="00F93352">
      <w:pPr>
        <w:pStyle w:val="BodyText"/>
      </w:pPr>
      <w:r w:rsidRPr="00492B43">
        <w:t>Please refer to the IAQ Manual for methods, sampling procedures, and interpretation of results (MDPH, 2015).</w:t>
      </w:r>
      <w:r w:rsidR="000A6DBD" w:rsidRPr="00492B43">
        <w:t xml:space="preserve"> </w:t>
      </w:r>
    </w:p>
    <w:p w:rsidR="005D747F" w:rsidRPr="00492B43" w:rsidRDefault="005D747F" w:rsidP="005D747F">
      <w:pPr>
        <w:pStyle w:val="Heading1"/>
      </w:pPr>
      <w:r w:rsidRPr="00492B43">
        <w:t>IAQ Testing Results</w:t>
      </w:r>
    </w:p>
    <w:p w:rsidR="005D747F" w:rsidRPr="00492B43" w:rsidRDefault="005D747F" w:rsidP="005D747F">
      <w:pPr>
        <w:pStyle w:val="BodyText1"/>
      </w:pPr>
      <w:r w:rsidRPr="00492B43">
        <w:t>The following is a summary of indoor air testing results (Table 1).</w:t>
      </w:r>
    </w:p>
    <w:p w:rsidR="005D747F" w:rsidRPr="00492B43" w:rsidRDefault="005D747F" w:rsidP="005D747F">
      <w:pPr>
        <w:pStyle w:val="BodyText"/>
        <w:numPr>
          <w:ilvl w:val="0"/>
          <w:numId w:val="26"/>
        </w:numPr>
      </w:pPr>
      <w:r w:rsidRPr="00492B43">
        <w:rPr>
          <w:b/>
          <w:i/>
        </w:rPr>
        <w:t xml:space="preserve">Carbon dioxide </w:t>
      </w:r>
      <w:r w:rsidRPr="00492B43">
        <w:t xml:space="preserve">levels were below </w:t>
      </w:r>
      <w:r w:rsidR="00241C4A">
        <w:t xml:space="preserve">the MDPH </w:t>
      </w:r>
      <w:r w:rsidRPr="00492B43">
        <w:t xml:space="preserve">800 parts per million (ppm) in all </w:t>
      </w:r>
      <w:r w:rsidR="00B367DF" w:rsidRPr="00492B43">
        <w:t>area</w:t>
      </w:r>
      <w:r w:rsidR="00A86BF8" w:rsidRPr="00492B43">
        <w:t>s</w:t>
      </w:r>
      <w:r w:rsidRPr="00492B43">
        <w:t xml:space="preserve"> surveyed, indicating adequate air exchange.</w:t>
      </w:r>
    </w:p>
    <w:p w:rsidR="005D747F" w:rsidRPr="00492B43" w:rsidRDefault="005D747F" w:rsidP="005D747F">
      <w:pPr>
        <w:pStyle w:val="BodyText"/>
        <w:numPr>
          <w:ilvl w:val="0"/>
          <w:numId w:val="26"/>
        </w:numPr>
      </w:pPr>
      <w:r w:rsidRPr="00492B43">
        <w:rPr>
          <w:b/>
          <w:i/>
        </w:rPr>
        <w:t>Temperature</w:t>
      </w:r>
      <w:r w:rsidRPr="00492B43">
        <w:t xml:space="preserve"> was within the </w:t>
      </w:r>
      <w:r w:rsidR="00241C4A">
        <w:t xml:space="preserve">MDPH </w:t>
      </w:r>
      <w:r w:rsidRPr="00492B43">
        <w:t xml:space="preserve">recommended range of 70°F to 78°F in </w:t>
      </w:r>
      <w:r w:rsidR="002D5170" w:rsidRPr="00492B43">
        <w:t>all</w:t>
      </w:r>
      <w:r w:rsidRPr="00492B43">
        <w:t xml:space="preserve"> area</w:t>
      </w:r>
      <w:r w:rsidR="00393AD1" w:rsidRPr="00492B43">
        <w:t>s</w:t>
      </w:r>
      <w:r w:rsidRPr="00492B43">
        <w:t xml:space="preserve"> tested.</w:t>
      </w:r>
    </w:p>
    <w:p w:rsidR="005D747F" w:rsidRPr="00492B43" w:rsidRDefault="005D747F" w:rsidP="005D747F">
      <w:pPr>
        <w:pStyle w:val="BodyText"/>
        <w:numPr>
          <w:ilvl w:val="0"/>
          <w:numId w:val="26"/>
        </w:numPr>
      </w:pPr>
      <w:r w:rsidRPr="00492B43">
        <w:rPr>
          <w:b/>
          <w:i/>
        </w:rPr>
        <w:lastRenderedPageBreak/>
        <w:t>Relative humidity</w:t>
      </w:r>
      <w:r w:rsidRPr="00492B43">
        <w:t xml:space="preserve"> was </w:t>
      </w:r>
      <w:r w:rsidR="00A86BF8" w:rsidRPr="00492B43">
        <w:t>below</w:t>
      </w:r>
      <w:r w:rsidR="00D16D30" w:rsidRPr="00492B43">
        <w:t xml:space="preserve"> </w:t>
      </w:r>
      <w:r w:rsidRPr="00492B43">
        <w:t xml:space="preserve">the </w:t>
      </w:r>
      <w:r w:rsidR="00241C4A">
        <w:t xml:space="preserve">MDPH </w:t>
      </w:r>
      <w:r w:rsidRPr="00492B43">
        <w:t xml:space="preserve">recommended range of 40 to 60% in </w:t>
      </w:r>
      <w:r w:rsidR="00393AD1" w:rsidRPr="00492B43">
        <w:t>the</w:t>
      </w:r>
      <w:r w:rsidR="00A86BF8" w:rsidRPr="00492B43">
        <w:t xml:space="preserve"> areas tested which is typical during the heating season.</w:t>
      </w:r>
      <w:r w:rsidR="00295074" w:rsidRPr="00492B43">
        <w:t xml:space="preserve"> </w:t>
      </w:r>
    </w:p>
    <w:p w:rsidR="005D747F" w:rsidRPr="00492B43" w:rsidRDefault="005D747F" w:rsidP="005D747F">
      <w:pPr>
        <w:pStyle w:val="BodyText"/>
        <w:numPr>
          <w:ilvl w:val="0"/>
          <w:numId w:val="26"/>
        </w:numPr>
      </w:pPr>
      <w:r w:rsidRPr="00492B43">
        <w:rPr>
          <w:b/>
          <w:i/>
        </w:rPr>
        <w:t>Carbon monoxide</w:t>
      </w:r>
      <w:r w:rsidRPr="00492B43">
        <w:t xml:space="preserve"> levels were non-detectable (ND) in all areas tested.</w:t>
      </w:r>
    </w:p>
    <w:p w:rsidR="005D747F" w:rsidRPr="00492B43" w:rsidRDefault="005D747F" w:rsidP="005D747F">
      <w:pPr>
        <w:pStyle w:val="BodyText"/>
        <w:numPr>
          <w:ilvl w:val="0"/>
          <w:numId w:val="26"/>
        </w:numPr>
      </w:pPr>
      <w:r w:rsidRPr="00492B43">
        <w:rPr>
          <w:b/>
          <w:i/>
        </w:rPr>
        <w:t xml:space="preserve">Fine particulate matter (PM2.5) </w:t>
      </w:r>
      <w:r w:rsidRPr="00492B43">
        <w:t xml:space="preserve">concentrations measured were below the </w:t>
      </w:r>
      <w:r w:rsidR="005F27B3" w:rsidRPr="00492B43">
        <w:t xml:space="preserve">National Ambient Air Quality (NAAQS) </w:t>
      </w:r>
      <w:r w:rsidRPr="00492B43">
        <w:t xml:space="preserve">limit </w:t>
      </w:r>
      <w:proofErr w:type="gramStart"/>
      <w:r w:rsidRPr="00492B43">
        <w:t>of 35 μg/m</w:t>
      </w:r>
      <w:r w:rsidRPr="00492B43">
        <w:rPr>
          <w:vertAlign w:val="superscript"/>
        </w:rPr>
        <w:t>3</w:t>
      </w:r>
      <w:r w:rsidRPr="00492B43">
        <w:t xml:space="preserve"> in all areas</w:t>
      </w:r>
      <w:proofErr w:type="gramEnd"/>
      <w:r w:rsidRPr="00492B43">
        <w:t xml:space="preserve"> tested.</w:t>
      </w:r>
    </w:p>
    <w:p w:rsidR="00A86BF8" w:rsidRPr="00492B43" w:rsidRDefault="00A86BF8" w:rsidP="005D747F">
      <w:pPr>
        <w:pStyle w:val="BodyText"/>
        <w:numPr>
          <w:ilvl w:val="0"/>
          <w:numId w:val="26"/>
        </w:numPr>
      </w:pPr>
      <w:r w:rsidRPr="00492B43">
        <w:rPr>
          <w:b/>
          <w:i/>
        </w:rPr>
        <w:t xml:space="preserve">Total Volatile Organic Compound (TVOC) </w:t>
      </w:r>
      <w:r w:rsidRPr="00492B43">
        <w:t>levels were ND in all areas surveyed.</w:t>
      </w:r>
      <w:r w:rsidRPr="00492B43">
        <w:rPr>
          <w:b/>
          <w:i/>
        </w:rPr>
        <w:t xml:space="preserve"> </w:t>
      </w:r>
    </w:p>
    <w:p w:rsidR="005D747F" w:rsidRPr="00492B43" w:rsidRDefault="005D747F" w:rsidP="005D747F">
      <w:pPr>
        <w:pStyle w:val="Heading2"/>
      </w:pPr>
      <w:r w:rsidRPr="00492B43">
        <w:t>Ventilation</w:t>
      </w:r>
    </w:p>
    <w:p w:rsidR="005D747F" w:rsidRPr="00492B43" w:rsidRDefault="005D747F" w:rsidP="005D747F">
      <w:pPr>
        <w:pStyle w:val="BodyText1"/>
      </w:pPr>
      <w:r w:rsidRPr="00492B43">
        <w:t>A heating, ventilating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5D747F" w:rsidRPr="00492B43" w:rsidRDefault="005D747F" w:rsidP="005D747F">
      <w:pPr>
        <w:pStyle w:val="BodyText"/>
      </w:pPr>
      <w:r w:rsidRPr="00492B43">
        <w:t xml:space="preserve">Fresh air is supplied by </w:t>
      </w:r>
      <w:r w:rsidR="00D919CD" w:rsidRPr="00492B43">
        <w:t xml:space="preserve">air handling units </w:t>
      </w:r>
      <w:r w:rsidR="007F7D8F" w:rsidRPr="00492B43">
        <w:t xml:space="preserve">(AHU) </w:t>
      </w:r>
      <w:r w:rsidR="00D919CD" w:rsidRPr="00492B43">
        <w:t>and delivered to supply vents located in the ceilings of rooms</w:t>
      </w:r>
      <w:r w:rsidRPr="00492B43">
        <w:t xml:space="preserve">. </w:t>
      </w:r>
      <w:r w:rsidR="00B21F66" w:rsidRPr="00492B43">
        <w:t xml:space="preserve">The building uses 100% fresh air so </w:t>
      </w:r>
      <w:r w:rsidR="00A825E8" w:rsidRPr="00492B43">
        <w:t xml:space="preserve">that </w:t>
      </w:r>
      <w:r w:rsidR="00B21F66" w:rsidRPr="00492B43">
        <w:t>no air is returned to the AHUs. Stale</w:t>
      </w:r>
      <w:r w:rsidRPr="00492B43">
        <w:t xml:space="preserve"> air is drawn through grates </w:t>
      </w:r>
      <w:r w:rsidR="00B21F66" w:rsidRPr="00492B43">
        <w:t>and ejected out of the building through roof-mounted exhaust units.</w:t>
      </w:r>
      <w:r w:rsidR="0065610F" w:rsidRPr="00492B43">
        <w:t xml:space="preserve"> </w:t>
      </w:r>
    </w:p>
    <w:p w:rsidR="0065610F" w:rsidRPr="00492B43" w:rsidRDefault="00D32799" w:rsidP="0065610F">
      <w:pPr>
        <w:pStyle w:val="BodyText"/>
      </w:pPr>
      <w:r w:rsidRPr="00492B43">
        <w:t>The MDPH typically recommends</w:t>
      </w:r>
      <w:r w:rsidR="0065610F" w:rsidRPr="00492B43">
        <w:t xml:space="preserve"> that HVAC systems be re-balanced every five years to ensure adequate air systems function (SMACNA, 1994). It is not known when the last time these systems were balanced.</w:t>
      </w:r>
      <w:r w:rsidR="007F33FC" w:rsidRPr="00492B43">
        <w:t xml:space="preserve"> Balancing should also occur when the space is significantly rearranged.</w:t>
      </w:r>
    </w:p>
    <w:p w:rsidR="005D747F" w:rsidRPr="00492B43" w:rsidRDefault="005D747F" w:rsidP="005D747F">
      <w:pPr>
        <w:pStyle w:val="Heading2"/>
      </w:pPr>
      <w:r w:rsidRPr="00492B43">
        <w:t>Microbial/Moisture Concerns</w:t>
      </w:r>
    </w:p>
    <w:p w:rsidR="00DA4185" w:rsidRPr="00492B43" w:rsidRDefault="00DA4185" w:rsidP="00DA4185"/>
    <w:p w:rsidR="00A32C6A" w:rsidRPr="00F8448F" w:rsidRDefault="00A32C6A" w:rsidP="00A32C6A">
      <w:pPr>
        <w:spacing w:line="360" w:lineRule="auto"/>
      </w:pPr>
      <w:r w:rsidRPr="00492B43">
        <w:tab/>
        <w:t xml:space="preserve">Facilities personnel reported that there had recently </w:t>
      </w:r>
      <w:r w:rsidR="00E1036B" w:rsidRPr="00492B43">
        <w:t xml:space="preserve">been a sewage </w:t>
      </w:r>
      <w:r w:rsidRPr="00492B43">
        <w:t xml:space="preserve">backup in this office suite. The </w:t>
      </w:r>
      <w:r w:rsidR="00295A97" w:rsidRPr="00492B43">
        <w:t>sewage reportedly flowed from an area off of</w:t>
      </w:r>
      <w:r w:rsidR="00295A97">
        <w:t xml:space="preserve"> room # 253B</w:t>
      </w:r>
      <w:r>
        <w:t xml:space="preserve"> which</w:t>
      </w:r>
      <w:r w:rsidR="00FC5F92">
        <w:t xml:space="preserve"> appeared to be an old bathroom </w:t>
      </w:r>
      <w:r w:rsidR="00FF681D">
        <w:t>with</w:t>
      </w:r>
      <w:r w:rsidR="00220935">
        <w:t xml:space="preserve"> abandoned plumbing </w:t>
      </w:r>
      <w:r w:rsidR="00220935" w:rsidRPr="00F8448F">
        <w:t>connections</w:t>
      </w:r>
      <w:r w:rsidR="00FC5F92" w:rsidRPr="00F8448F">
        <w:t xml:space="preserve"> (Picture </w:t>
      </w:r>
      <w:r w:rsidR="00A50166" w:rsidRPr="00F8448F">
        <w:t>1</w:t>
      </w:r>
      <w:r w:rsidR="00FC5F92" w:rsidRPr="00F8448F">
        <w:t>)</w:t>
      </w:r>
      <w:r w:rsidRPr="00F8448F">
        <w:t>.</w:t>
      </w:r>
      <w:r w:rsidR="00220935" w:rsidRPr="00F8448F">
        <w:t xml:space="preserve"> Internal Environmental Services staff initially responded</w:t>
      </w:r>
      <w:r w:rsidR="00295A97" w:rsidRPr="00F8448F">
        <w:t xml:space="preserve"> by extracting the water and m</w:t>
      </w:r>
      <w:r w:rsidR="00220935" w:rsidRPr="00F8448F">
        <w:t>aintenance crews removed the carpets from the affected offices (Picture</w:t>
      </w:r>
      <w:r w:rsidR="0082077A" w:rsidRPr="00F8448F">
        <w:t xml:space="preserve"> 2</w:t>
      </w:r>
      <w:r w:rsidR="00220935" w:rsidRPr="00F8448F">
        <w:t>). Service Master was later called in to sanitize the entire area. It was reported that Service Master disinfected the remaining common area carpet just outside the affected offices (Picture</w:t>
      </w:r>
      <w:r w:rsidR="00D90ED6" w:rsidRPr="00F8448F">
        <w:t xml:space="preserve"> 3</w:t>
      </w:r>
      <w:r w:rsidR="00220935" w:rsidRPr="00F8448F">
        <w:t>)</w:t>
      </w:r>
      <w:r w:rsidR="00E1036B" w:rsidRPr="00F8448F">
        <w:t xml:space="preserve"> which was also impacted by the sewage backup</w:t>
      </w:r>
      <w:r w:rsidR="00220935" w:rsidRPr="00F8448F">
        <w:t xml:space="preserve">. </w:t>
      </w:r>
      <w:r w:rsidR="00220935" w:rsidRPr="00F8448F">
        <w:lastRenderedPageBreak/>
        <w:t>Further cleaning/deodorizing was later performed by Environmental Services. Some occupants expressed concerns regarding the passage of time that occurred since the sewage backup and the sanitizing of the common area carpet, especially under a large f</w:t>
      </w:r>
      <w:r w:rsidR="00E1036B" w:rsidRPr="00F8448F">
        <w:t xml:space="preserve">ile cabinet which was </w:t>
      </w:r>
      <w:r w:rsidR="00220935" w:rsidRPr="00F8448F">
        <w:t>left in place during the initial response</w:t>
      </w:r>
      <w:r w:rsidR="00DE19F4" w:rsidRPr="00F8448F">
        <w:t xml:space="preserve"> (Picture </w:t>
      </w:r>
      <w:r w:rsidR="00A342B8" w:rsidRPr="00F8448F">
        <w:t>4</w:t>
      </w:r>
      <w:r w:rsidR="00DE19F4" w:rsidRPr="00F8448F">
        <w:t>)</w:t>
      </w:r>
      <w:r w:rsidR="00220935" w:rsidRPr="00F8448F">
        <w:t>.</w:t>
      </w:r>
      <w:r w:rsidR="009F66C3" w:rsidRPr="00F8448F">
        <w:t xml:space="preserve"> </w:t>
      </w:r>
    </w:p>
    <w:p w:rsidR="00F51A50" w:rsidRPr="00F8448F" w:rsidRDefault="00F51A50" w:rsidP="00A32C6A">
      <w:pPr>
        <w:spacing w:line="360" w:lineRule="auto"/>
      </w:pPr>
      <w:r w:rsidRPr="00F8448F">
        <w:tab/>
        <w:t xml:space="preserve">In general, nonporous surfaces (e.g., concrete, tile) may be effectively </w:t>
      </w:r>
      <w:proofErr w:type="gramStart"/>
      <w:r w:rsidRPr="00F8448F">
        <w:t>cleaned/sanitized</w:t>
      </w:r>
      <w:proofErr w:type="gramEnd"/>
      <w:r w:rsidRPr="00F8448F">
        <w:t xml:space="preserve">. However, porous materials (e.g., gypsum wallboard, carpet, cardboard) that have been in contact with </w:t>
      </w:r>
      <w:proofErr w:type="spellStart"/>
      <w:r w:rsidR="00FF681D">
        <w:t>b</w:t>
      </w:r>
      <w:r w:rsidR="003A32AC" w:rsidRPr="00F8448F">
        <w:t>lackwater</w:t>
      </w:r>
      <w:proofErr w:type="spellEnd"/>
      <w:r w:rsidRPr="00F8448F">
        <w:t xml:space="preserve"> (sewage) cannot be effectively cleaned/sanitized or dried and must be disposed of properly. </w:t>
      </w:r>
      <w:r w:rsidR="005413CC" w:rsidRPr="00F8448F">
        <w:t>Therefore, any areas of carpeting or other porous mater</w:t>
      </w:r>
      <w:r w:rsidR="00FF681D">
        <w:t xml:space="preserve">ials that were impacted by the </w:t>
      </w:r>
      <w:proofErr w:type="spellStart"/>
      <w:r w:rsidR="00FF681D">
        <w:t>b</w:t>
      </w:r>
      <w:r w:rsidR="005413CC" w:rsidRPr="00F8448F">
        <w:t>lackwater</w:t>
      </w:r>
      <w:proofErr w:type="spellEnd"/>
      <w:r w:rsidR="005413CC" w:rsidRPr="00F8448F">
        <w:t xml:space="preserve"> should be discarded. </w:t>
      </w:r>
    </w:p>
    <w:p w:rsidR="009F66C3" w:rsidRPr="00F8448F" w:rsidRDefault="009F66C3" w:rsidP="00A32C6A">
      <w:pPr>
        <w:spacing w:line="360" w:lineRule="auto"/>
      </w:pPr>
      <w:r w:rsidRPr="00F8448F">
        <w:tab/>
        <w:t>The impacted offices (C253B, C252, &amp; C253) were noted to have a vinyl baseboard/coving</w:t>
      </w:r>
      <w:r w:rsidR="007F6472" w:rsidRPr="00F8448F">
        <w:t xml:space="preserve"> (Picture 5)</w:t>
      </w:r>
      <w:r w:rsidRPr="00F8448F">
        <w:t xml:space="preserve">. The vinyl coving should be inspected to ensure that </w:t>
      </w:r>
      <w:r w:rsidR="00FF681D">
        <w:t>it does</w:t>
      </w:r>
      <w:r w:rsidRPr="00F8448F">
        <w:t xml:space="preserve"> not have a paper backing which would be porous and susceptible to microbial colonization</w:t>
      </w:r>
      <w:r w:rsidR="00FF681D">
        <w:t>, and removed/discarded if necessary</w:t>
      </w:r>
      <w:r w:rsidRPr="00F8448F">
        <w:t>.</w:t>
      </w:r>
      <w:r w:rsidR="00295A97" w:rsidRPr="00F8448F">
        <w:t xml:space="preserve"> It should be noted that BEH staff did not </w:t>
      </w:r>
      <w:r w:rsidR="00E235D3" w:rsidRPr="00F8448F">
        <w:t>observe</w:t>
      </w:r>
      <w:r w:rsidR="00295A97" w:rsidRPr="00F8448F">
        <w:t xml:space="preserve"> any </w:t>
      </w:r>
      <w:r w:rsidR="00E235D3" w:rsidRPr="00F8448F">
        <w:t xml:space="preserve">visible </w:t>
      </w:r>
      <w:r w:rsidR="00295A97" w:rsidRPr="00F8448F">
        <w:t>signs of microbial colonization nor detect any musty odors at the time of this assessment.</w:t>
      </w:r>
      <w:r w:rsidRPr="00F8448F">
        <w:t xml:space="preserve"> </w:t>
      </w:r>
    </w:p>
    <w:p w:rsidR="00AB0B1A" w:rsidRPr="00F8448F" w:rsidRDefault="00FC5F92" w:rsidP="00F20533">
      <w:pPr>
        <w:pStyle w:val="Heading2"/>
      </w:pPr>
      <w:r w:rsidRPr="00F8448F">
        <w:t>O</w:t>
      </w:r>
      <w:r w:rsidR="00AB0B1A" w:rsidRPr="00F8448F">
        <w:t>ther IAQ Evaluations</w:t>
      </w:r>
    </w:p>
    <w:p w:rsidR="00B8022E" w:rsidRPr="00F8448F" w:rsidRDefault="00B8022E" w:rsidP="00B8022E"/>
    <w:p w:rsidR="00F47B68" w:rsidRPr="00F8448F" w:rsidRDefault="00F47B68" w:rsidP="00F47B68">
      <w:pPr>
        <w:pStyle w:val="BodyText"/>
      </w:pPr>
      <w:r w:rsidRPr="00F8448F">
        <w:t>Exposure to low levels of total volatile organic compounds (TVOCs) may produce eye, nose, throat, and/or respiratory irritation in some sensitive individuals. To determine if VOCs were present, BEH/IAQ staff examined rooms for products containing VOCs. BEH/IAQ staff noted cleaners, hand sanitizers, air fresheners and other produ</w:t>
      </w:r>
      <w:r w:rsidR="00BB31B7" w:rsidRPr="00F8448F">
        <w:t>cts in use within the areas</w:t>
      </w:r>
      <w:r w:rsidRPr="00F8448F">
        <w:t>. All of these products have the potential to be irritants to the eyes, nose, throat, and respiratory system of sensitive individuals.</w:t>
      </w:r>
    </w:p>
    <w:p w:rsidR="007F7D8F" w:rsidRPr="00F8448F" w:rsidRDefault="007F7D8F" w:rsidP="007F7D8F">
      <w:pPr>
        <w:pStyle w:val="BodyText"/>
      </w:pPr>
      <w:r w:rsidRPr="00F8448F">
        <w:t xml:space="preserve">The relative humidity readings were below the MDPH recommended comfort range the day of the assessment. The MDPH recommends a comfort range of 40 to 60 percent for indoor air relative humidity. Relative humidity in the building would be expected to drop during the winter months due to heating. The sensation of dryness and irritation is common in a low relative humidity environment. “Extremely low (below 20%) relative humidity may be associated with eye irritation [and]…may affect the mucous membranes of individuals with bronchial constriction, rhinitis, or cold and influenza related symptoms” (Arundel et al., 1986). Low </w:t>
      </w:r>
      <w:r w:rsidRPr="00F8448F">
        <w:lastRenderedPageBreak/>
        <w:t>relative humidity is a common problem during the heating season in the northeast part of the United States.</w:t>
      </w:r>
    </w:p>
    <w:p w:rsidR="007F7D8F" w:rsidRPr="00764549" w:rsidRDefault="00F47B68" w:rsidP="007F7D8F">
      <w:pPr>
        <w:pStyle w:val="BodyText"/>
      </w:pPr>
      <w:r w:rsidRPr="00F8448F">
        <w:t>In some areas, stored materials and accumulated items make it more difficult for custodial staff to clean</w:t>
      </w:r>
      <w:r w:rsidR="00BC7F66" w:rsidRPr="00F8448F">
        <w:t xml:space="preserve"> (Picture </w:t>
      </w:r>
      <w:r w:rsidR="00F8448F">
        <w:t>6</w:t>
      </w:r>
      <w:r w:rsidR="00BC7F66" w:rsidRPr="00F8448F">
        <w:t>)</w:t>
      </w:r>
      <w:r w:rsidRPr="00F8448F">
        <w:t xml:space="preserve">. </w:t>
      </w:r>
      <w:r w:rsidR="0036510F" w:rsidRPr="00F8448F">
        <w:t>Items should be stored neatly and moved periodically to allow for wet-wiping and vacuuming of surfaces.</w:t>
      </w:r>
      <w:r w:rsidR="0036510F" w:rsidRPr="00764549">
        <w:t xml:space="preserve"> </w:t>
      </w:r>
    </w:p>
    <w:p w:rsidR="004D05AC" w:rsidRPr="00764549" w:rsidRDefault="00DF2A15" w:rsidP="007F7D8F">
      <w:pPr>
        <w:pStyle w:val="Heading1"/>
      </w:pPr>
      <w:r w:rsidRPr="00492B43">
        <w:t>C</w:t>
      </w:r>
      <w:r w:rsidR="004D05AC" w:rsidRPr="00492B43">
        <w:t>onclus</w:t>
      </w:r>
      <w:r w:rsidR="004D05AC" w:rsidRPr="00764549">
        <w:t>ions/Recommendations</w:t>
      </w:r>
    </w:p>
    <w:p w:rsidR="007B5977" w:rsidRDefault="00F87A1A" w:rsidP="00E102B0">
      <w:pPr>
        <w:pStyle w:val="BodyText"/>
      </w:pPr>
      <w:r w:rsidRPr="00764549">
        <w:t xml:space="preserve">Based on observations at the time of assessment, </w:t>
      </w:r>
      <w:r w:rsidR="00590617" w:rsidRPr="00764549">
        <w:t>the following is recommended:</w:t>
      </w:r>
    </w:p>
    <w:p w:rsidR="00541481" w:rsidRPr="00764549" w:rsidRDefault="00541481" w:rsidP="00E102B0">
      <w:pPr>
        <w:pStyle w:val="BodyText"/>
      </w:pPr>
    </w:p>
    <w:p w:rsidR="00541481" w:rsidRPr="00492B43" w:rsidRDefault="00541481" w:rsidP="000441E4">
      <w:pPr>
        <w:pStyle w:val="BodyText"/>
        <w:numPr>
          <w:ilvl w:val="0"/>
          <w:numId w:val="23"/>
        </w:numPr>
        <w:ind w:left="720" w:hanging="720"/>
      </w:pPr>
      <w:r w:rsidRPr="00492B43">
        <w:t>Continue to follow EPA and industry guidelines concerning methods used to remediate buildings that</w:t>
      </w:r>
      <w:r w:rsidR="00FF681D">
        <w:t xml:space="preserve"> are impacted by sewage (i.e., </w:t>
      </w:r>
      <w:proofErr w:type="spellStart"/>
      <w:r w:rsidR="00FF681D">
        <w:t>b</w:t>
      </w:r>
      <w:r w:rsidRPr="00492B43">
        <w:t>lackwater</w:t>
      </w:r>
      <w:proofErr w:type="spellEnd"/>
      <w:r w:rsidRPr="00492B43">
        <w:t xml:space="preserve">). Some of these guideline links include: </w:t>
      </w:r>
      <w:hyperlink r:id="rId11" w:history="1">
        <w:r w:rsidRPr="00492B43">
          <w:rPr>
            <w:rStyle w:val="Hyperlink"/>
          </w:rPr>
          <w:t>https://www.epa.gov/sites/production/files/2015-09/documents/floods.pdf</w:t>
        </w:r>
      </w:hyperlink>
      <w:r w:rsidRPr="00492B43">
        <w:t xml:space="preserve"> and </w:t>
      </w:r>
      <w:hyperlink r:id="rId12" w:history="1">
        <w:r w:rsidRPr="00492B43">
          <w:rPr>
            <w:rStyle w:val="Hyperlink"/>
          </w:rPr>
          <w:t>ANSI/IICRC S500 - Standard and Reference Guide for Professional Water Damage Restoration.</w:t>
        </w:r>
      </w:hyperlink>
      <w:r w:rsidRPr="00492B43">
        <w:t xml:space="preserve"> </w:t>
      </w:r>
    </w:p>
    <w:p w:rsidR="00A86BF8" w:rsidRPr="00492B43" w:rsidRDefault="003B26C8" w:rsidP="000441E4">
      <w:pPr>
        <w:pStyle w:val="BodyText"/>
        <w:numPr>
          <w:ilvl w:val="0"/>
          <w:numId w:val="23"/>
        </w:numPr>
        <w:ind w:left="720" w:hanging="720"/>
      </w:pPr>
      <w:r w:rsidRPr="00492B43">
        <w:t>Remove any water-damaged porous i</w:t>
      </w:r>
      <w:r w:rsidR="00FF681D">
        <w:t xml:space="preserve">tems that were impacted by the </w:t>
      </w:r>
      <w:proofErr w:type="spellStart"/>
      <w:r w:rsidR="00FF681D">
        <w:t>b</w:t>
      </w:r>
      <w:r w:rsidRPr="00492B43">
        <w:t>lackwater</w:t>
      </w:r>
      <w:proofErr w:type="spellEnd"/>
      <w:r w:rsidRPr="00492B43">
        <w:t>. This w</w:t>
      </w:r>
      <w:r w:rsidR="00AE203D" w:rsidRPr="00492B43">
        <w:t xml:space="preserve">ould include the carpeting </w:t>
      </w:r>
      <w:r w:rsidRPr="00492B43">
        <w:t>just outside of the impacted offices and under the large file cabinet.</w:t>
      </w:r>
    </w:p>
    <w:p w:rsidR="00F42888" w:rsidRPr="00492B43" w:rsidRDefault="00F42888" w:rsidP="000441E4">
      <w:pPr>
        <w:pStyle w:val="BodyText"/>
        <w:numPr>
          <w:ilvl w:val="0"/>
          <w:numId w:val="23"/>
        </w:numPr>
        <w:ind w:left="720" w:hanging="720"/>
      </w:pPr>
      <w:r w:rsidRPr="00492B43">
        <w:t>Inspect vinyl coving to ensure that it does not contain a paper adhesive backing material. If so, remove the coving in all impac</w:t>
      </w:r>
      <w:r w:rsidR="000441E4">
        <w:t>ted areas and disinfect before replacing with new coping</w:t>
      </w:r>
      <w:r w:rsidRPr="00492B43">
        <w:t>.</w:t>
      </w:r>
    </w:p>
    <w:p w:rsidR="00AB0D5E" w:rsidRPr="00492B43" w:rsidRDefault="00A16798" w:rsidP="000441E4">
      <w:pPr>
        <w:pStyle w:val="BodyText"/>
        <w:numPr>
          <w:ilvl w:val="0"/>
          <w:numId w:val="23"/>
        </w:numPr>
        <w:ind w:left="720" w:hanging="720"/>
      </w:pPr>
      <w:r w:rsidRPr="00492B43">
        <w:t xml:space="preserve">Eliminate/reduce the use of hand sanitizers, </w:t>
      </w:r>
      <w:r w:rsidR="00AB0D5E" w:rsidRPr="00492B43">
        <w:t>air fresheners</w:t>
      </w:r>
      <w:r w:rsidRPr="00492B43">
        <w:t>, harsh or scented cleaning products and dry erase materials in the office since all of these products have the potential to be irritants to the eyes, nose, throat, and respiratory system of sensitive individuals.</w:t>
      </w:r>
      <w:r w:rsidR="00AB0D5E" w:rsidRPr="00492B43">
        <w:t xml:space="preserve"> </w:t>
      </w:r>
    </w:p>
    <w:p w:rsidR="007A2045" w:rsidRPr="00492B43" w:rsidRDefault="007A2045" w:rsidP="000441E4">
      <w:pPr>
        <w:pStyle w:val="BodyText"/>
        <w:numPr>
          <w:ilvl w:val="0"/>
          <w:numId w:val="23"/>
        </w:numPr>
        <w:ind w:left="720" w:hanging="720"/>
      </w:pPr>
      <w:r w:rsidRPr="00492B43">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w:t>
      </w:r>
      <w:proofErr w:type="spellStart"/>
      <w:r w:rsidRPr="00492B43">
        <w:t>arrestance</w:t>
      </w:r>
      <w:proofErr w:type="spellEnd"/>
      <w:r w:rsidRPr="00492B43">
        <w:t xml:space="preserve"> (HEPA) filter equipped vacuum cleaner in conjunction with wet wiping of all surfaces is recommended. Avoid the use of feather dusters. Drinking water during the day can help ease some symptoms associated with a dry environment (throat and sinus irritations).</w:t>
      </w:r>
    </w:p>
    <w:p w:rsidR="00CF4B9C" w:rsidRPr="00492B43" w:rsidRDefault="007A2045" w:rsidP="000441E4">
      <w:pPr>
        <w:pStyle w:val="BodyText"/>
        <w:numPr>
          <w:ilvl w:val="0"/>
          <w:numId w:val="23"/>
        </w:numPr>
        <w:ind w:left="720" w:hanging="720"/>
      </w:pPr>
      <w:r w:rsidRPr="00492B43">
        <w:lastRenderedPageBreak/>
        <w:t xml:space="preserve">Reduce the amount of items stored on flat surfaces to allow regular cleaning. </w:t>
      </w:r>
    </w:p>
    <w:p w:rsidR="00CF4B9C" w:rsidRPr="00492B43" w:rsidRDefault="00CF4B9C" w:rsidP="000441E4">
      <w:pPr>
        <w:pStyle w:val="BodyText"/>
        <w:numPr>
          <w:ilvl w:val="0"/>
          <w:numId w:val="23"/>
        </w:numPr>
        <w:ind w:left="720" w:hanging="720"/>
      </w:pPr>
      <w:r w:rsidRPr="00492B43">
        <w:t>Have the HVAC system balanced every 5 years in accordance with SMACNA recommendations (SMACNA, 1994). Consider a rebalancing when the building layout is changed.</w:t>
      </w:r>
    </w:p>
    <w:p w:rsidR="007A2045" w:rsidRPr="00A009E4" w:rsidRDefault="007A2045" w:rsidP="000441E4">
      <w:pPr>
        <w:pStyle w:val="BodyText"/>
        <w:numPr>
          <w:ilvl w:val="0"/>
          <w:numId w:val="23"/>
        </w:numPr>
        <w:ind w:left="720" w:hanging="720"/>
      </w:pPr>
      <w:r w:rsidRPr="00492B43">
        <w:t>Refer to resource manual and other related IAQ documents located on the MDPH’s w</w:t>
      </w:r>
      <w:r w:rsidRPr="00764549">
        <w:t>ebsite for f</w:t>
      </w:r>
      <w:r>
        <w:t xml:space="preserve">urther building-wide evaluations and advice on maintaining public buildings. These documents are available at: </w:t>
      </w:r>
      <w:hyperlink r:id="rId13" w:history="1">
        <w:r w:rsidRPr="00D0484B">
          <w:t>http://mass.gov/dph/iaq</w:t>
        </w:r>
      </w:hyperlink>
      <w:r>
        <w:t>.</w:t>
      </w:r>
    </w:p>
    <w:p w:rsidR="004D05AC" w:rsidRPr="00A009E4" w:rsidRDefault="005942C5" w:rsidP="002849F3">
      <w:pPr>
        <w:pStyle w:val="Heading1"/>
      </w:pPr>
      <w:r w:rsidRPr="00A009E4">
        <w:br w:type="page"/>
      </w:r>
      <w:r w:rsidR="004A28CB" w:rsidRPr="00F8448F">
        <w:lastRenderedPageBreak/>
        <w:t>R</w:t>
      </w:r>
      <w:r w:rsidR="004D05AC" w:rsidRPr="00F8448F">
        <w:t>efe</w:t>
      </w:r>
      <w:r w:rsidR="004D05AC" w:rsidRPr="001625C8">
        <w:t>rences</w:t>
      </w:r>
    </w:p>
    <w:p w:rsidR="0066271A" w:rsidRPr="00174959" w:rsidRDefault="0066271A" w:rsidP="00242D53">
      <w:pPr>
        <w:pStyle w:val="References"/>
        <w:rPr>
          <w:szCs w:val="24"/>
        </w:rPr>
      </w:pPr>
      <w:proofErr w:type="gramStart"/>
      <w:r w:rsidRPr="00174959">
        <w:rPr>
          <w:szCs w:val="24"/>
        </w:rPr>
        <w:t>Arundel et al. 1986.</w:t>
      </w:r>
      <w:proofErr w:type="gramEnd"/>
      <w:r w:rsidRPr="00174959">
        <w:rPr>
          <w:szCs w:val="24"/>
        </w:rPr>
        <w:t xml:space="preserve"> </w:t>
      </w:r>
      <w:proofErr w:type="gramStart"/>
      <w:r w:rsidRPr="00174959">
        <w:rPr>
          <w:szCs w:val="24"/>
        </w:rPr>
        <w:t>Indirect Health Effects of Relative Humidity on Indoor Environments.</w:t>
      </w:r>
      <w:proofErr w:type="gramEnd"/>
      <w:r w:rsidRPr="00174959">
        <w:rPr>
          <w:szCs w:val="24"/>
        </w:rPr>
        <w:t xml:space="preserve"> </w:t>
      </w:r>
      <w:proofErr w:type="spellStart"/>
      <w:proofErr w:type="gramStart"/>
      <w:r w:rsidRPr="00174959">
        <w:rPr>
          <w:szCs w:val="24"/>
        </w:rPr>
        <w:t>Env</w:t>
      </w:r>
      <w:proofErr w:type="spellEnd"/>
      <w:r w:rsidRPr="00174959">
        <w:rPr>
          <w:szCs w:val="24"/>
        </w:rPr>
        <w:t>.</w:t>
      </w:r>
      <w:proofErr w:type="gramEnd"/>
      <w:r w:rsidRPr="00174959">
        <w:rPr>
          <w:szCs w:val="24"/>
        </w:rPr>
        <w:t xml:space="preserve"> Health Perspectives 65:351-361.</w:t>
      </w:r>
    </w:p>
    <w:p w:rsidR="00FB2D24" w:rsidRPr="007F7D8F" w:rsidRDefault="00FB2D24" w:rsidP="00FB2D24">
      <w:pPr>
        <w:pStyle w:val="References"/>
      </w:pPr>
      <w:proofErr w:type="gramStart"/>
      <w:r w:rsidRPr="007F7D8F">
        <w:t>MDPH.</w:t>
      </w:r>
      <w:proofErr w:type="gramEnd"/>
      <w:r w:rsidRPr="007F7D8F">
        <w:t xml:space="preserve"> </w:t>
      </w:r>
      <w:proofErr w:type="gramStart"/>
      <w:r w:rsidRPr="007F7D8F">
        <w:t>2015. Massachusetts Department of Public Health.</w:t>
      </w:r>
      <w:proofErr w:type="gramEnd"/>
      <w:r w:rsidRPr="007F7D8F">
        <w:t xml:space="preserve"> Indoor Air Quality Manual: Chapters I-III. Available at: </w:t>
      </w:r>
      <w:hyperlink r:id="rId14" w:history="1">
        <w:r w:rsidRPr="007F7D8F">
          <w:rPr>
            <w:rStyle w:val="Hyperlink"/>
          </w:rPr>
          <w:t>http://www.mass.gov/eohhs/gov/departments/dph/programs/environmental-health/exposure-topics/iaq/iaq-manual/</w:t>
        </w:r>
      </w:hyperlink>
      <w:r w:rsidRPr="007F7D8F">
        <w:t>.</w:t>
      </w:r>
    </w:p>
    <w:p w:rsidR="002849F3" w:rsidRDefault="002849F3" w:rsidP="002849F3">
      <w:pPr>
        <w:pStyle w:val="BodyText2"/>
        <w:rPr>
          <w:szCs w:val="24"/>
        </w:rPr>
      </w:pPr>
      <w:proofErr w:type="gramStart"/>
      <w:r w:rsidRPr="007F7D8F">
        <w:rPr>
          <w:szCs w:val="24"/>
        </w:rPr>
        <w:t>SMACNA.</w:t>
      </w:r>
      <w:proofErr w:type="gramEnd"/>
      <w:r w:rsidRPr="007F7D8F">
        <w:rPr>
          <w:szCs w:val="24"/>
        </w:rPr>
        <w:t xml:space="preserve"> 1994. HVAC Systems Commissioning Manual. </w:t>
      </w:r>
      <w:proofErr w:type="gramStart"/>
      <w:r w:rsidRPr="007F7D8F">
        <w:rPr>
          <w:szCs w:val="24"/>
        </w:rPr>
        <w:t>1</w:t>
      </w:r>
      <w:r w:rsidRPr="007F7D8F">
        <w:rPr>
          <w:szCs w:val="24"/>
          <w:vertAlign w:val="superscript"/>
        </w:rPr>
        <w:t>st</w:t>
      </w:r>
      <w:r w:rsidRPr="007F7D8F">
        <w:rPr>
          <w:szCs w:val="24"/>
        </w:rPr>
        <w:t xml:space="preserve"> ed. Sheet Metal and Air Conditioning Contractors’ National Association, Inc., Chantilly, VA.</w:t>
      </w:r>
      <w:proofErr w:type="gramEnd"/>
    </w:p>
    <w:p w:rsidR="00B81376" w:rsidRDefault="00B81376" w:rsidP="00FB2D24">
      <w:pPr>
        <w:pStyle w:val="References"/>
        <w:sectPr w:rsidR="00B81376" w:rsidSect="00B0444B">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noEndnote/>
          <w:titlePg/>
          <w:docGrid w:linePitch="254"/>
        </w:sectPr>
      </w:pPr>
    </w:p>
    <w:p w:rsidR="00B81376" w:rsidRPr="00B81376" w:rsidRDefault="00B81376" w:rsidP="00B81376">
      <w:pPr>
        <w:spacing w:after="200" w:line="276" w:lineRule="auto"/>
        <w:rPr>
          <w:rFonts w:eastAsia="Calibri"/>
          <w:b/>
          <w:szCs w:val="24"/>
        </w:rPr>
      </w:pPr>
      <w:r w:rsidRPr="00B81376">
        <w:rPr>
          <w:rFonts w:eastAsia="Calibri"/>
          <w:b/>
          <w:szCs w:val="24"/>
        </w:rPr>
        <w:lastRenderedPageBreak/>
        <w:t>Picture 1</w:t>
      </w:r>
    </w:p>
    <w:p w:rsidR="00B81376" w:rsidRPr="00B81376" w:rsidRDefault="00DA2425" w:rsidP="00B81376">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2" name="Picture 7" descr="Area of sewage backup origination (off of room #253 B)"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 descr="Area of sewage backup origination (off of room #253 B)" title="Picture 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81376" w:rsidRPr="00B81376" w:rsidRDefault="00B81376" w:rsidP="00B81376">
      <w:pPr>
        <w:spacing w:after="200" w:line="276" w:lineRule="auto"/>
        <w:jc w:val="center"/>
        <w:rPr>
          <w:rFonts w:eastAsia="Calibri"/>
          <w:b/>
          <w:szCs w:val="24"/>
        </w:rPr>
      </w:pPr>
      <w:r w:rsidRPr="00B81376">
        <w:rPr>
          <w:rFonts w:eastAsia="Calibri"/>
          <w:b/>
          <w:szCs w:val="24"/>
        </w:rPr>
        <w:t>Area of sewage backup origination (off of room #253 B)</w:t>
      </w:r>
    </w:p>
    <w:p w:rsidR="00B81376" w:rsidRPr="00B81376" w:rsidRDefault="00B81376" w:rsidP="00B81376">
      <w:pPr>
        <w:spacing w:after="200" w:line="276" w:lineRule="auto"/>
        <w:rPr>
          <w:rFonts w:eastAsia="Calibri"/>
          <w:b/>
          <w:szCs w:val="24"/>
        </w:rPr>
      </w:pPr>
      <w:r w:rsidRPr="00B81376">
        <w:rPr>
          <w:rFonts w:eastAsia="Calibri"/>
          <w:b/>
          <w:szCs w:val="24"/>
        </w:rPr>
        <w:t>Picture 2</w:t>
      </w:r>
    </w:p>
    <w:p w:rsidR="00B81376" w:rsidRPr="00B81376" w:rsidRDefault="00DA2425" w:rsidP="00B81376">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8" descr="Office area showing carpeting removed and sanitized nonporous tile"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descr="Office area showing carpeting removed and sanitized nonporous tile" title="Picture 2"/>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81376" w:rsidRPr="00B81376" w:rsidRDefault="00B81376" w:rsidP="00B81376">
      <w:pPr>
        <w:spacing w:after="200" w:line="276" w:lineRule="auto"/>
        <w:jc w:val="center"/>
        <w:rPr>
          <w:rFonts w:eastAsia="Calibri"/>
          <w:b/>
          <w:szCs w:val="24"/>
        </w:rPr>
      </w:pPr>
      <w:r w:rsidRPr="00B81376">
        <w:rPr>
          <w:rFonts w:eastAsia="Calibri"/>
          <w:b/>
          <w:szCs w:val="24"/>
        </w:rPr>
        <w:t>Office area showing carpeting removed and sanitized nonporous tile</w:t>
      </w:r>
    </w:p>
    <w:p w:rsidR="00B81376" w:rsidRPr="00B81376" w:rsidRDefault="00B81376" w:rsidP="00B81376">
      <w:pPr>
        <w:spacing w:after="200" w:line="276" w:lineRule="auto"/>
        <w:rPr>
          <w:rFonts w:eastAsia="Calibri"/>
          <w:b/>
          <w:szCs w:val="24"/>
        </w:rPr>
      </w:pPr>
      <w:r w:rsidRPr="00B81376">
        <w:rPr>
          <w:rFonts w:eastAsia="Calibri"/>
          <w:b/>
          <w:szCs w:val="24"/>
        </w:rPr>
        <w:lastRenderedPageBreak/>
        <w:t>Picture 3</w:t>
      </w:r>
    </w:p>
    <w:p w:rsidR="00B81376" w:rsidRPr="00B81376" w:rsidRDefault="00DA2425" w:rsidP="00B81376">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4" name="Picture 9" descr="Area of water-damaged carpet outside of impacted offices"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9" descr="Area of water-damaged carpet outside of impacted offices" title="Picture 3"/>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81376" w:rsidRPr="00B81376" w:rsidRDefault="00B81376" w:rsidP="00B81376">
      <w:pPr>
        <w:spacing w:after="200" w:line="276" w:lineRule="auto"/>
        <w:jc w:val="center"/>
        <w:rPr>
          <w:rFonts w:eastAsia="Calibri"/>
          <w:b/>
          <w:szCs w:val="24"/>
        </w:rPr>
      </w:pPr>
      <w:r w:rsidRPr="00B81376">
        <w:rPr>
          <w:rFonts w:eastAsia="Calibri"/>
          <w:b/>
          <w:szCs w:val="24"/>
        </w:rPr>
        <w:t>Area of water-damaged carpet outside of impacted offices</w:t>
      </w:r>
    </w:p>
    <w:p w:rsidR="00B81376" w:rsidRPr="00B81376" w:rsidRDefault="00B81376" w:rsidP="00B81376">
      <w:pPr>
        <w:spacing w:after="200" w:line="276" w:lineRule="auto"/>
        <w:rPr>
          <w:rFonts w:eastAsia="Calibri"/>
          <w:b/>
          <w:szCs w:val="24"/>
        </w:rPr>
      </w:pPr>
      <w:r w:rsidRPr="00B81376">
        <w:rPr>
          <w:rFonts w:eastAsia="Calibri"/>
          <w:b/>
          <w:szCs w:val="24"/>
        </w:rPr>
        <w:t>Picture 4</w:t>
      </w:r>
    </w:p>
    <w:p w:rsidR="00B81376" w:rsidRPr="00B81376" w:rsidRDefault="00DA2425" w:rsidP="00B81376">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5" name="Picture 10" descr="Large file cabinet(s) initially left in place but later disinfected beneath"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descr="Large file cabinet(s) initially left in place but later disinfected beneath" title="Picture 4"/>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81376" w:rsidRPr="00B81376" w:rsidRDefault="00B81376" w:rsidP="00B81376">
      <w:pPr>
        <w:spacing w:after="200" w:line="276" w:lineRule="auto"/>
        <w:jc w:val="center"/>
        <w:rPr>
          <w:rFonts w:eastAsia="Calibri"/>
          <w:b/>
          <w:szCs w:val="24"/>
        </w:rPr>
      </w:pPr>
      <w:r w:rsidRPr="00B81376">
        <w:rPr>
          <w:rFonts w:eastAsia="Calibri"/>
          <w:b/>
          <w:szCs w:val="24"/>
        </w:rPr>
        <w:t>Large file cabinet(s) initially left in place but later disinfected beneath</w:t>
      </w:r>
    </w:p>
    <w:p w:rsidR="00B81376" w:rsidRPr="00B81376" w:rsidRDefault="00B81376" w:rsidP="00B81376">
      <w:pPr>
        <w:spacing w:after="200" w:line="276" w:lineRule="auto"/>
        <w:rPr>
          <w:rFonts w:eastAsia="Calibri"/>
          <w:b/>
          <w:szCs w:val="24"/>
        </w:rPr>
      </w:pPr>
      <w:r w:rsidRPr="00B81376">
        <w:rPr>
          <w:rFonts w:eastAsia="Calibri"/>
          <w:b/>
          <w:szCs w:val="24"/>
        </w:rPr>
        <w:lastRenderedPageBreak/>
        <w:t>Picture 5</w:t>
      </w:r>
    </w:p>
    <w:p w:rsidR="00B81376" w:rsidRPr="00B81376" w:rsidRDefault="00DA2425" w:rsidP="00B81376">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1725295</wp:posOffset>
                </wp:positionH>
                <wp:positionV relativeFrom="paragraph">
                  <wp:posOffset>1062990</wp:posOffset>
                </wp:positionV>
                <wp:extent cx="1271905" cy="1041400"/>
                <wp:effectExtent l="57150" t="38100" r="42545" b="635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71905" cy="1041400"/>
                        </a:xfrm>
                        <a:prstGeom prst="straightConnector1">
                          <a:avLst/>
                        </a:prstGeom>
                        <a:noFill/>
                        <a:ln w="38100"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135.85pt;margin-top:83.7pt;width:100.15pt;height:82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" strokecolor="#f79646" strokeweight="3pt">
                <v:stroke endarrow="open"/>
                <v:shadow on="t" color="black" opacity="22937f" origin=",.5" offset="0,.63889mm"/>
                <o:lock v:ext="edit" shapetype="f"/>
              </v:shape>
            </w:pict>
          </mc:Fallback>
        </mc:AlternateContent>
      </w:r>
      <w:r>
        <w:rPr>
          <w:rFonts w:ascii="Calibri" w:eastAsia="Calibri" w:hAnsi="Calibri"/>
          <w:noProof/>
          <w:sz w:val="22"/>
          <w:szCs w:val="22"/>
        </w:rPr>
        <w:drawing>
          <wp:inline distT="0" distB="0" distL="0" distR="0">
            <wp:extent cx="4320540" cy="3291840"/>
            <wp:effectExtent l="0" t="0" r="0" b="0"/>
            <wp:docPr id="6" name="Picture 11" descr="Vinyl coving in impacted office"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1" descr="Vinyl coving in impacted office" title="Picture 5"/>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432054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B81376" w:rsidRPr="00B81376" w:rsidRDefault="00B81376" w:rsidP="00B81376">
      <w:pPr>
        <w:spacing w:after="200" w:line="276" w:lineRule="auto"/>
        <w:jc w:val="center"/>
        <w:rPr>
          <w:rFonts w:eastAsia="Calibri"/>
          <w:b/>
          <w:szCs w:val="24"/>
        </w:rPr>
      </w:pPr>
      <w:r w:rsidRPr="00B81376">
        <w:rPr>
          <w:rFonts w:eastAsia="Calibri"/>
          <w:b/>
          <w:szCs w:val="24"/>
        </w:rPr>
        <w:t>Vinyl coving in impacted office</w:t>
      </w:r>
    </w:p>
    <w:p w:rsidR="00B81376" w:rsidRPr="00B81376" w:rsidRDefault="00B81376" w:rsidP="00B81376">
      <w:pPr>
        <w:spacing w:after="200" w:line="276" w:lineRule="auto"/>
        <w:rPr>
          <w:rFonts w:eastAsia="Calibri"/>
          <w:b/>
          <w:szCs w:val="24"/>
        </w:rPr>
      </w:pPr>
      <w:r w:rsidRPr="00B81376">
        <w:rPr>
          <w:rFonts w:eastAsia="Calibri"/>
          <w:b/>
          <w:szCs w:val="24"/>
        </w:rPr>
        <w:t>Picture 6</w:t>
      </w:r>
    </w:p>
    <w:p w:rsidR="00B81376" w:rsidRPr="00B81376" w:rsidRDefault="00DA2425" w:rsidP="00B81376">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7" name="Picture 13" descr="Accumulated items in office area"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3" descr="Accumulated items in office area" title="Picture 6"/>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81376" w:rsidRDefault="00B81376" w:rsidP="00B81376">
      <w:pPr>
        <w:spacing w:after="200" w:line="276" w:lineRule="auto"/>
        <w:jc w:val="center"/>
        <w:rPr>
          <w:rFonts w:eastAsia="Calibri"/>
          <w:b/>
          <w:szCs w:val="24"/>
        </w:rPr>
        <w:sectPr w:rsidR="00B81376" w:rsidSect="00B0444B">
          <w:footerReference w:type="default" r:id="rId27"/>
          <w:pgSz w:w="12240" w:h="15840" w:code="1"/>
          <w:pgMar w:top="1440" w:right="1440" w:bottom="1440" w:left="1440" w:header="720" w:footer="720" w:gutter="0"/>
          <w:cols w:space="720"/>
          <w:noEndnote/>
          <w:titlePg/>
          <w:docGrid w:linePitch="254"/>
        </w:sectPr>
      </w:pPr>
      <w:r w:rsidRPr="00B81376">
        <w:rPr>
          <w:rFonts w:eastAsia="Calibri"/>
          <w:b/>
          <w:szCs w:val="24"/>
        </w:rPr>
        <w:t>Accumulated items in office area</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1"/>
        <w:gridCol w:w="914"/>
        <w:gridCol w:w="991"/>
        <w:gridCol w:w="810"/>
        <w:gridCol w:w="1079"/>
        <w:gridCol w:w="810"/>
        <w:gridCol w:w="810"/>
        <w:gridCol w:w="1082"/>
        <w:gridCol w:w="1172"/>
        <w:gridCol w:w="807"/>
        <w:gridCol w:w="813"/>
        <w:gridCol w:w="3707"/>
      </w:tblGrid>
      <w:tr w:rsidR="00B81376" w:rsidRPr="00B81376" w:rsidTr="00FA7353">
        <w:trPr>
          <w:cantSplit/>
          <w:trHeight w:val="240"/>
          <w:tblHeader/>
          <w:jc w:val="center"/>
        </w:trPr>
        <w:tc>
          <w:tcPr>
            <w:tcW w:w="555" w:type="pct"/>
            <w:vMerge w:val="restart"/>
            <w:vAlign w:val="bottom"/>
          </w:tcPr>
          <w:p w:rsidR="00B81376" w:rsidRPr="00B81376" w:rsidRDefault="00B81376" w:rsidP="00B81376">
            <w:pPr>
              <w:keepNext/>
              <w:jc w:val="center"/>
              <w:outlineLvl w:val="0"/>
              <w:rPr>
                <w:b/>
                <w:sz w:val="18"/>
              </w:rPr>
            </w:pPr>
            <w:r w:rsidRPr="00B81376">
              <w:rPr>
                <w:b/>
                <w:sz w:val="18"/>
              </w:rPr>
              <w:lastRenderedPageBreak/>
              <w:t>Location</w:t>
            </w:r>
          </w:p>
        </w:tc>
        <w:tc>
          <w:tcPr>
            <w:tcW w:w="313" w:type="pct"/>
            <w:vMerge w:val="restart"/>
            <w:vAlign w:val="bottom"/>
          </w:tcPr>
          <w:p w:rsidR="00B81376" w:rsidRPr="00B81376" w:rsidRDefault="00B81376" w:rsidP="00B81376">
            <w:pPr>
              <w:jc w:val="center"/>
              <w:rPr>
                <w:b/>
                <w:sz w:val="18"/>
              </w:rPr>
            </w:pPr>
            <w:r w:rsidRPr="00B81376">
              <w:rPr>
                <w:b/>
                <w:sz w:val="18"/>
              </w:rPr>
              <w:t>Carbon</w:t>
            </w:r>
          </w:p>
          <w:p w:rsidR="00B81376" w:rsidRPr="00B81376" w:rsidRDefault="00B81376" w:rsidP="00B81376">
            <w:pPr>
              <w:jc w:val="center"/>
              <w:rPr>
                <w:b/>
                <w:sz w:val="18"/>
              </w:rPr>
            </w:pPr>
            <w:r w:rsidRPr="00B81376">
              <w:rPr>
                <w:b/>
                <w:sz w:val="18"/>
              </w:rPr>
              <w:t>Dioxide</w:t>
            </w:r>
          </w:p>
          <w:p w:rsidR="00B81376" w:rsidRPr="00B81376" w:rsidRDefault="00B81376" w:rsidP="00B81376">
            <w:pPr>
              <w:jc w:val="center"/>
              <w:rPr>
                <w:b/>
                <w:sz w:val="18"/>
              </w:rPr>
            </w:pPr>
            <w:r w:rsidRPr="00B81376">
              <w:rPr>
                <w:b/>
                <w:sz w:val="18"/>
              </w:rPr>
              <w:t>(ppm)</w:t>
            </w:r>
          </w:p>
        </w:tc>
        <w:tc>
          <w:tcPr>
            <w:tcW w:w="339" w:type="pct"/>
            <w:vMerge w:val="restart"/>
            <w:vAlign w:val="bottom"/>
          </w:tcPr>
          <w:p w:rsidR="00B81376" w:rsidRPr="00B81376" w:rsidRDefault="00B81376" w:rsidP="00B81376">
            <w:pPr>
              <w:jc w:val="center"/>
              <w:rPr>
                <w:b/>
                <w:sz w:val="18"/>
              </w:rPr>
            </w:pPr>
            <w:r w:rsidRPr="00B81376">
              <w:rPr>
                <w:b/>
                <w:sz w:val="18"/>
              </w:rPr>
              <w:t>Carbon Monoxide</w:t>
            </w:r>
          </w:p>
          <w:p w:rsidR="00B81376" w:rsidRPr="00B81376" w:rsidRDefault="00B81376" w:rsidP="00B81376">
            <w:pPr>
              <w:jc w:val="center"/>
              <w:rPr>
                <w:b/>
                <w:sz w:val="18"/>
              </w:rPr>
            </w:pPr>
            <w:r w:rsidRPr="00B81376">
              <w:rPr>
                <w:b/>
                <w:sz w:val="18"/>
              </w:rPr>
              <w:t>(ppm)</w:t>
            </w:r>
          </w:p>
        </w:tc>
        <w:tc>
          <w:tcPr>
            <w:tcW w:w="277" w:type="pct"/>
            <w:vMerge w:val="restart"/>
            <w:vAlign w:val="bottom"/>
          </w:tcPr>
          <w:p w:rsidR="00B81376" w:rsidRPr="00B81376" w:rsidRDefault="00B81376" w:rsidP="00B81376">
            <w:pPr>
              <w:jc w:val="center"/>
              <w:rPr>
                <w:b/>
                <w:sz w:val="18"/>
              </w:rPr>
            </w:pPr>
            <w:r w:rsidRPr="00B81376">
              <w:rPr>
                <w:b/>
                <w:sz w:val="18"/>
              </w:rPr>
              <w:t>Temp</w:t>
            </w:r>
          </w:p>
          <w:p w:rsidR="00B81376" w:rsidRPr="00B81376" w:rsidRDefault="00B81376" w:rsidP="00B81376">
            <w:pPr>
              <w:jc w:val="center"/>
              <w:rPr>
                <w:b/>
                <w:sz w:val="18"/>
              </w:rPr>
            </w:pPr>
            <w:r w:rsidRPr="00B81376">
              <w:rPr>
                <w:b/>
                <w:sz w:val="18"/>
              </w:rPr>
              <w:t>(°F)</w:t>
            </w:r>
          </w:p>
        </w:tc>
        <w:tc>
          <w:tcPr>
            <w:tcW w:w="369" w:type="pct"/>
            <w:vMerge w:val="restart"/>
            <w:vAlign w:val="bottom"/>
          </w:tcPr>
          <w:p w:rsidR="00B81376" w:rsidRPr="00B81376" w:rsidRDefault="00B81376" w:rsidP="00B81376">
            <w:pPr>
              <w:jc w:val="center"/>
              <w:rPr>
                <w:b/>
                <w:sz w:val="18"/>
              </w:rPr>
            </w:pPr>
            <w:r w:rsidRPr="00B81376">
              <w:rPr>
                <w:b/>
                <w:sz w:val="18"/>
              </w:rPr>
              <w:t>Relative</w:t>
            </w:r>
          </w:p>
          <w:p w:rsidR="00B81376" w:rsidRPr="00B81376" w:rsidRDefault="00B81376" w:rsidP="00B81376">
            <w:pPr>
              <w:jc w:val="center"/>
              <w:rPr>
                <w:b/>
                <w:sz w:val="18"/>
              </w:rPr>
            </w:pPr>
            <w:r w:rsidRPr="00B81376">
              <w:rPr>
                <w:b/>
                <w:sz w:val="18"/>
              </w:rPr>
              <w:t>Humidity</w:t>
            </w:r>
          </w:p>
          <w:p w:rsidR="00B81376" w:rsidRPr="00B81376" w:rsidRDefault="00B81376" w:rsidP="00B81376">
            <w:pPr>
              <w:jc w:val="center"/>
              <w:rPr>
                <w:b/>
                <w:sz w:val="18"/>
              </w:rPr>
            </w:pPr>
            <w:r w:rsidRPr="00B81376">
              <w:rPr>
                <w:b/>
                <w:sz w:val="18"/>
              </w:rPr>
              <w:t>(%)</w:t>
            </w:r>
          </w:p>
        </w:tc>
        <w:tc>
          <w:tcPr>
            <w:tcW w:w="277" w:type="pct"/>
            <w:vMerge w:val="restart"/>
            <w:vAlign w:val="bottom"/>
          </w:tcPr>
          <w:p w:rsidR="00B81376" w:rsidRPr="00B81376" w:rsidRDefault="00B81376" w:rsidP="00B81376">
            <w:pPr>
              <w:jc w:val="center"/>
              <w:rPr>
                <w:b/>
                <w:sz w:val="18"/>
              </w:rPr>
            </w:pPr>
            <w:r w:rsidRPr="00B81376">
              <w:rPr>
                <w:b/>
                <w:sz w:val="18"/>
              </w:rPr>
              <w:t>PM2.5</w:t>
            </w:r>
          </w:p>
          <w:p w:rsidR="00B81376" w:rsidRPr="00B81376" w:rsidRDefault="00B81376" w:rsidP="00B81376">
            <w:pPr>
              <w:jc w:val="center"/>
              <w:rPr>
                <w:b/>
                <w:sz w:val="18"/>
              </w:rPr>
            </w:pPr>
            <w:r w:rsidRPr="00B81376">
              <w:rPr>
                <w:b/>
                <w:sz w:val="18"/>
              </w:rPr>
              <w:t>(</w:t>
            </w:r>
            <w:r w:rsidRPr="00B81376">
              <w:rPr>
                <w:b/>
                <w:sz w:val="18"/>
                <w:szCs w:val="18"/>
              </w:rPr>
              <w:t>µg/m</w:t>
            </w:r>
            <w:r w:rsidRPr="00B81376">
              <w:rPr>
                <w:b/>
                <w:sz w:val="18"/>
                <w:szCs w:val="18"/>
                <w:vertAlign w:val="superscript"/>
              </w:rPr>
              <w:t>3</w:t>
            </w:r>
            <w:r w:rsidRPr="00B81376">
              <w:rPr>
                <w:b/>
                <w:sz w:val="18"/>
              </w:rPr>
              <w:t>)</w:t>
            </w:r>
          </w:p>
        </w:tc>
        <w:tc>
          <w:tcPr>
            <w:tcW w:w="277" w:type="pct"/>
            <w:vMerge w:val="restart"/>
            <w:vAlign w:val="bottom"/>
          </w:tcPr>
          <w:p w:rsidR="00B81376" w:rsidRPr="00B81376" w:rsidRDefault="00B81376" w:rsidP="00B81376">
            <w:pPr>
              <w:jc w:val="center"/>
              <w:rPr>
                <w:b/>
                <w:sz w:val="18"/>
                <w:szCs w:val="18"/>
              </w:rPr>
            </w:pPr>
            <w:r w:rsidRPr="00B81376">
              <w:rPr>
                <w:b/>
                <w:sz w:val="18"/>
                <w:szCs w:val="18"/>
              </w:rPr>
              <w:t>TVOC</w:t>
            </w:r>
          </w:p>
          <w:p w:rsidR="00B81376" w:rsidRPr="00B81376" w:rsidRDefault="00B81376" w:rsidP="00B81376">
            <w:pPr>
              <w:jc w:val="center"/>
              <w:rPr>
                <w:b/>
                <w:sz w:val="18"/>
                <w:szCs w:val="18"/>
              </w:rPr>
            </w:pPr>
            <w:r w:rsidRPr="00B81376">
              <w:rPr>
                <w:b/>
                <w:sz w:val="18"/>
                <w:szCs w:val="18"/>
              </w:rPr>
              <w:t>(ppm)</w:t>
            </w:r>
          </w:p>
        </w:tc>
        <w:tc>
          <w:tcPr>
            <w:tcW w:w="370" w:type="pct"/>
            <w:vMerge w:val="restart"/>
            <w:vAlign w:val="bottom"/>
          </w:tcPr>
          <w:p w:rsidR="00B81376" w:rsidRPr="00B81376" w:rsidRDefault="00B81376" w:rsidP="00B81376">
            <w:pPr>
              <w:jc w:val="center"/>
              <w:rPr>
                <w:b/>
                <w:sz w:val="18"/>
                <w:szCs w:val="18"/>
              </w:rPr>
            </w:pPr>
            <w:r w:rsidRPr="00B81376">
              <w:rPr>
                <w:b/>
                <w:sz w:val="18"/>
                <w:szCs w:val="18"/>
              </w:rPr>
              <w:t>Occupants</w:t>
            </w:r>
          </w:p>
          <w:p w:rsidR="00B81376" w:rsidRPr="00B81376" w:rsidRDefault="00B81376" w:rsidP="00B81376">
            <w:pPr>
              <w:jc w:val="center"/>
              <w:rPr>
                <w:b/>
                <w:sz w:val="21"/>
                <w:szCs w:val="21"/>
              </w:rPr>
            </w:pPr>
            <w:r w:rsidRPr="00B81376">
              <w:rPr>
                <w:b/>
                <w:sz w:val="18"/>
                <w:szCs w:val="18"/>
              </w:rPr>
              <w:t>in Room</w:t>
            </w:r>
          </w:p>
        </w:tc>
        <w:tc>
          <w:tcPr>
            <w:tcW w:w="401" w:type="pct"/>
            <w:vMerge w:val="restart"/>
            <w:vAlign w:val="bottom"/>
          </w:tcPr>
          <w:p w:rsidR="00B81376" w:rsidRPr="00B81376" w:rsidRDefault="00B81376" w:rsidP="00B81376">
            <w:pPr>
              <w:jc w:val="center"/>
              <w:rPr>
                <w:b/>
                <w:sz w:val="18"/>
              </w:rPr>
            </w:pPr>
            <w:r w:rsidRPr="00B81376">
              <w:rPr>
                <w:b/>
                <w:sz w:val="18"/>
              </w:rPr>
              <w:t>Windows</w:t>
            </w:r>
          </w:p>
          <w:p w:rsidR="00B81376" w:rsidRPr="00B81376" w:rsidRDefault="00B81376" w:rsidP="00B81376">
            <w:pPr>
              <w:jc w:val="center"/>
              <w:rPr>
                <w:b/>
                <w:sz w:val="18"/>
              </w:rPr>
            </w:pPr>
            <w:r w:rsidRPr="00B81376">
              <w:rPr>
                <w:b/>
                <w:sz w:val="18"/>
              </w:rPr>
              <w:t>Openable</w:t>
            </w:r>
          </w:p>
        </w:tc>
        <w:tc>
          <w:tcPr>
            <w:tcW w:w="554" w:type="pct"/>
            <w:gridSpan w:val="2"/>
            <w:tcBorders>
              <w:left w:val="nil"/>
              <w:bottom w:val="nil"/>
            </w:tcBorders>
            <w:vAlign w:val="bottom"/>
          </w:tcPr>
          <w:p w:rsidR="00B81376" w:rsidRPr="00B81376" w:rsidRDefault="00B81376" w:rsidP="00B81376">
            <w:pPr>
              <w:ind w:left="-105"/>
              <w:jc w:val="center"/>
              <w:rPr>
                <w:b/>
                <w:sz w:val="18"/>
              </w:rPr>
            </w:pPr>
            <w:r w:rsidRPr="00B81376">
              <w:rPr>
                <w:b/>
                <w:sz w:val="18"/>
              </w:rPr>
              <w:t>Ventilation</w:t>
            </w:r>
          </w:p>
        </w:tc>
        <w:tc>
          <w:tcPr>
            <w:tcW w:w="1268" w:type="pct"/>
            <w:vMerge w:val="restart"/>
            <w:vAlign w:val="bottom"/>
          </w:tcPr>
          <w:p w:rsidR="00B81376" w:rsidRPr="00B81376" w:rsidRDefault="00B81376" w:rsidP="00B81376">
            <w:pPr>
              <w:jc w:val="center"/>
              <w:rPr>
                <w:b/>
                <w:sz w:val="18"/>
              </w:rPr>
            </w:pPr>
            <w:r w:rsidRPr="00B81376">
              <w:rPr>
                <w:b/>
                <w:sz w:val="18"/>
              </w:rPr>
              <w:t>Remarks</w:t>
            </w:r>
          </w:p>
        </w:tc>
      </w:tr>
      <w:tr w:rsidR="00B81376" w:rsidRPr="00B81376" w:rsidTr="00FA7353">
        <w:trPr>
          <w:cantSplit/>
          <w:trHeight w:val="240"/>
          <w:tblHeader/>
          <w:jc w:val="center"/>
        </w:trPr>
        <w:tc>
          <w:tcPr>
            <w:tcW w:w="555" w:type="pct"/>
            <w:vMerge/>
          </w:tcPr>
          <w:p w:rsidR="00B81376" w:rsidRPr="00B81376" w:rsidRDefault="00B81376" w:rsidP="00B81376">
            <w:pPr>
              <w:rPr>
                <w:sz w:val="18"/>
              </w:rPr>
            </w:pPr>
          </w:p>
        </w:tc>
        <w:tc>
          <w:tcPr>
            <w:tcW w:w="313" w:type="pct"/>
            <w:vMerge/>
          </w:tcPr>
          <w:p w:rsidR="00B81376" w:rsidRPr="00B81376" w:rsidRDefault="00B81376" w:rsidP="00B81376">
            <w:pPr>
              <w:jc w:val="center"/>
              <w:rPr>
                <w:sz w:val="18"/>
              </w:rPr>
            </w:pPr>
          </w:p>
        </w:tc>
        <w:tc>
          <w:tcPr>
            <w:tcW w:w="339" w:type="pct"/>
            <w:vMerge/>
          </w:tcPr>
          <w:p w:rsidR="00B81376" w:rsidRPr="00B81376" w:rsidRDefault="00B81376" w:rsidP="00B81376">
            <w:pPr>
              <w:jc w:val="center"/>
              <w:rPr>
                <w:b/>
                <w:sz w:val="18"/>
              </w:rPr>
            </w:pPr>
          </w:p>
        </w:tc>
        <w:tc>
          <w:tcPr>
            <w:tcW w:w="277" w:type="pct"/>
            <w:vMerge/>
          </w:tcPr>
          <w:p w:rsidR="00B81376" w:rsidRPr="00B81376" w:rsidRDefault="00B81376" w:rsidP="00B81376">
            <w:pPr>
              <w:jc w:val="center"/>
              <w:rPr>
                <w:b/>
                <w:sz w:val="18"/>
              </w:rPr>
            </w:pPr>
          </w:p>
        </w:tc>
        <w:tc>
          <w:tcPr>
            <w:tcW w:w="369" w:type="pct"/>
            <w:vMerge/>
          </w:tcPr>
          <w:p w:rsidR="00B81376" w:rsidRPr="00B81376" w:rsidRDefault="00B81376" w:rsidP="00B81376">
            <w:pPr>
              <w:jc w:val="center"/>
              <w:rPr>
                <w:b/>
                <w:sz w:val="18"/>
              </w:rPr>
            </w:pPr>
          </w:p>
        </w:tc>
        <w:tc>
          <w:tcPr>
            <w:tcW w:w="277" w:type="pct"/>
            <w:vMerge/>
          </w:tcPr>
          <w:p w:rsidR="00B81376" w:rsidRPr="00B81376" w:rsidRDefault="00B81376" w:rsidP="00B81376">
            <w:pPr>
              <w:jc w:val="center"/>
              <w:rPr>
                <w:b/>
                <w:sz w:val="18"/>
              </w:rPr>
            </w:pPr>
          </w:p>
        </w:tc>
        <w:tc>
          <w:tcPr>
            <w:tcW w:w="277" w:type="pct"/>
            <w:vMerge/>
          </w:tcPr>
          <w:p w:rsidR="00B81376" w:rsidRPr="00B81376" w:rsidRDefault="00B81376" w:rsidP="00B81376">
            <w:pPr>
              <w:rPr>
                <w:b/>
                <w:sz w:val="21"/>
                <w:szCs w:val="21"/>
              </w:rPr>
            </w:pPr>
          </w:p>
        </w:tc>
        <w:tc>
          <w:tcPr>
            <w:tcW w:w="370" w:type="pct"/>
            <w:vMerge/>
            <w:vAlign w:val="center"/>
          </w:tcPr>
          <w:p w:rsidR="00B81376" w:rsidRPr="00B81376" w:rsidRDefault="00B81376" w:rsidP="00B81376">
            <w:pPr>
              <w:rPr>
                <w:b/>
                <w:sz w:val="21"/>
                <w:szCs w:val="21"/>
              </w:rPr>
            </w:pPr>
          </w:p>
        </w:tc>
        <w:tc>
          <w:tcPr>
            <w:tcW w:w="401" w:type="pct"/>
            <w:vMerge/>
          </w:tcPr>
          <w:p w:rsidR="00B81376" w:rsidRPr="00B81376" w:rsidRDefault="00B81376" w:rsidP="00B81376">
            <w:pPr>
              <w:jc w:val="center"/>
              <w:rPr>
                <w:b/>
                <w:sz w:val="18"/>
              </w:rPr>
            </w:pPr>
          </w:p>
        </w:tc>
        <w:tc>
          <w:tcPr>
            <w:tcW w:w="276" w:type="pct"/>
            <w:tcBorders>
              <w:bottom w:val="nil"/>
            </w:tcBorders>
            <w:vAlign w:val="bottom"/>
          </w:tcPr>
          <w:p w:rsidR="00B81376" w:rsidRPr="00B81376" w:rsidRDefault="00B81376" w:rsidP="00B81376">
            <w:pPr>
              <w:jc w:val="center"/>
              <w:rPr>
                <w:sz w:val="16"/>
              </w:rPr>
            </w:pPr>
            <w:r w:rsidRPr="00B81376">
              <w:rPr>
                <w:b/>
                <w:sz w:val="16"/>
              </w:rPr>
              <w:t>Supply</w:t>
            </w:r>
          </w:p>
        </w:tc>
        <w:tc>
          <w:tcPr>
            <w:tcW w:w="278" w:type="pct"/>
            <w:tcBorders>
              <w:bottom w:val="nil"/>
            </w:tcBorders>
            <w:vAlign w:val="bottom"/>
          </w:tcPr>
          <w:p w:rsidR="00B81376" w:rsidRPr="00B81376" w:rsidRDefault="00B81376" w:rsidP="00B81376">
            <w:pPr>
              <w:jc w:val="center"/>
              <w:rPr>
                <w:sz w:val="16"/>
              </w:rPr>
            </w:pPr>
            <w:r w:rsidRPr="00B81376">
              <w:rPr>
                <w:b/>
                <w:sz w:val="16"/>
              </w:rPr>
              <w:t>Exhaust</w:t>
            </w:r>
          </w:p>
        </w:tc>
        <w:tc>
          <w:tcPr>
            <w:tcW w:w="1268" w:type="pct"/>
            <w:vMerge/>
          </w:tcPr>
          <w:p w:rsidR="00B81376" w:rsidRPr="00B81376" w:rsidRDefault="00B81376" w:rsidP="00B81376">
            <w:pPr>
              <w:rPr>
                <w:sz w:val="18"/>
              </w:rPr>
            </w:pPr>
          </w:p>
        </w:tc>
      </w:tr>
      <w:tr w:rsidR="00B81376" w:rsidRPr="00B81376" w:rsidTr="00FA7353">
        <w:trPr>
          <w:cantSplit/>
          <w:trHeight w:val="560"/>
          <w:jc w:val="center"/>
        </w:trPr>
        <w:tc>
          <w:tcPr>
            <w:tcW w:w="555" w:type="pct"/>
            <w:vAlign w:val="center"/>
          </w:tcPr>
          <w:p w:rsidR="00B81376" w:rsidRPr="00B81376" w:rsidRDefault="00B81376" w:rsidP="00B81376">
            <w:pPr>
              <w:spacing w:before="60" w:after="60"/>
              <w:rPr>
                <w:sz w:val="22"/>
                <w:szCs w:val="22"/>
              </w:rPr>
            </w:pPr>
            <w:r w:rsidRPr="00B81376">
              <w:rPr>
                <w:sz w:val="22"/>
                <w:szCs w:val="22"/>
              </w:rPr>
              <w:t>Background</w:t>
            </w:r>
          </w:p>
        </w:tc>
        <w:tc>
          <w:tcPr>
            <w:tcW w:w="313" w:type="pct"/>
            <w:vAlign w:val="center"/>
          </w:tcPr>
          <w:p w:rsidR="00B81376" w:rsidRPr="00B81376" w:rsidRDefault="00B81376" w:rsidP="00B81376">
            <w:pPr>
              <w:spacing w:before="60" w:after="60"/>
              <w:jc w:val="center"/>
              <w:rPr>
                <w:sz w:val="22"/>
                <w:szCs w:val="22"/>
              </w:rPr>
            </w:pPr>
            <w:r w:rsidRPr="00B81376">
              <w:rPr>
                <w:sz w:val="22"/>
                <w:szCs w:val="22"/>
              </w:rPr>
              <w:t>391</w:t>
            </w:r>
          </w:p>
        </w:tc>
        <w:tc>
          <w:tcPr>
            <w:tcW w:w="339" w:type="pct"/>
            <w:vAlign w:val="center"/>
          </w:tcPr>
          <w:p w:rsidR="00B81376" w:rsidRPr="00B81376" w:rsidRDefault="00B81376" w:rsidP="00B81376">
            <w:pPr>
              <w:spacing w:before="60" w:after="60"/>
              <w:jc w:val="center"/>
              <w:rPr>
                <w:sz w:val="22"/>
                <w:szCs w:val="22"/>
              </w:rPr>
            </w:pPr>
            <w:r w:rsidRPr="00B81376">
              <w:rPr>
                <w:sz w:val="22"/>
                <w:szCs w:val="22"/>
              </w:rPr>
              <w:t>ND</w:t>
            </w:r>
          </w:p>
        </w:tc>
        <w:tc>
          <w:tcPr>
            <w:tcW w:w="277" w:type="pct"/>
            <w:vAlign w:val="center"/>
          </w:tcPr>
          <w:p w:rsidR="00B81376" w:rsidRPr="00B81376" w:rsidRDefault="00B81376" w:rsidP="00B81376">
            <w:pPr>
              <w:spacing w:before="60" w:after="60"/>
              <w:jc w:val="center"/>
              <w:rPr>
                <w:sz w:val="22"/>
                <w:szCs w:val="22"/>
              </w:rPr>
            </w:pPr>
            <w:r w:rsidRPr="00B81376">
              <w:rPr>
                <w:sz w:val="22"/>
                <w:szCs w:val="22"/>
              </w:rPr>
              <w:t>41</w:t>
            </w:r>
          </w:p>
        </w:tc>
        <w:tc>
          <w:tcPr>
            <w:tcW w:w="369" w:type="pct"/>
            <w:vAlign w:val="center"/>
          </w:tcPr>
          <w:p w:rsidR="00B81376" w:rsidRPr="00B81376" w:rsidRDefault="00B81376" w:rsidP="00B81376">
            <w:pPr>
              <w:spacing w:before="60" w:after="60"/>
              <w:jc w:val="center"/>
              <w:rPr>
                <w:sz w:val="22"/>
                <w:szCs w:val="22"/>
              </w:rPr>
            </w:pPr>
            <w:r w:rsidRPr="00B81376">
              <w:rPr>
                <w:sz w:val="22"/>
                <w:szCs w:val="22"/>
              </w:rPr>
              <w:t>71</w:t>
            </w:r>
          </w:p>
        </w:tc>
        <w:tc>
          <w:tcPr>
            <w:tcW w:w="277" w:type="pct"/>
            <w:vAlign w:val="center"/>
          </w:tcPr>
          <w:p w:rsidR="00B81376" w:rsidRPr="00B81376" w:rsidRDefault="00B81376" w:rsidP="00B81376">
            <w:pPr>
              <w:spacing w:before="60" w:after="60"/>
              <w:jc w:val="center"/>
              <w:rPr>
                <w:sz w:val="22"/>
                <w:szCs w:val="22"/>
              </w:rPr>
            </w:pPr>
            <w:r w:rsidRPr="00B81376">
              <w:rPr>
                <w:sz w:val="22"/>
                <w:szCs w:val="22"/>
              </w:rPr>
              <w:t>9</w:t>
            </w:r>
          </w:p>
        </w:tc>
        <w:tc>
          <w:tcPr>
            <w:tcW w:w="277" w:type="pct"/>
            <w:vAlign w:val="center"/>
          </w:tcPr>
          <w:p w:rsidR="00B81376" w:rsidRPr="00B81376" w:rsidRDefault="00B81376" w:rsidP="00B81376">
            <w:pPr>
              <w:jc w:val="center"/>
              <w:rPr>
                <w:sz w:val="22"/>
                <w:szCs w:val="22"/>
              </w:rPr>
            </w:pPr>
            <w:r w:rsidRPr="00B81376">
              <w:rPr>
                <w:sz w:val="22"/>
                <w:szCs w:val="22"/>
              </w:rPr>
              <w:t>ND</w:t>
            </w:r>
          </w:p>
        </w:tc>
        <w:tc>
          <w:tcPr>
            <w:tcW w:w="370" w:type="pct"/>
            <w:vAlign w:val="center"/>
          </w:tcPr>
          <w:p w:rsidR="00B81376" w:rsidRPr="00B81376" w:rsidRDefault="00B81376" w:rsidP="00B81376">
            <w:pPr>
              <w:jc w:val="center"/>
              <w:rPr>
                <w:sz w:val="22"/>
                <w:szCs w:val="22"/>
              </w:rPr>
            </w:pPr>
            <w:r w:rsidRPr="00B81376">
              <w:rPr>
                <w:sz w:val="22"/>
                <w:szCs w:val="22"/>
              </w:rPr>
              <w:t>-</w:t>
            </w:r>
          </w:p>
        </w:tc>
        <w:tc>
          <w:tcPr>
            <w:tcW w:w="401" w:type="pct"/>
            <w:vAlign w:val="center"/>
          </w:tcPr>
          <w:p w:rsidR="00B81376" w:rsidRPr="00B81376" w:rsidRDefault="00B81376" w:rsidP="00B81376">
            <w:pPr>
              <w:spacing w:before="60" w:after="60"/>
              <w:jc w:val="center"/>
              <w:rPr>
                <w:sz w:val="22"/>
                <w:szCs w:val="22"/>
              </w:rPr>
            </w:pPr>
            <w:r w:rsidRPr="00B81376">
              <w:rPr>
                <w:sz w:val="22"/>
                <w:szCs w:val="22"/>
              </w:rPr>
              <w:t>-</w:t>
            </w:r>
          </w:p>
        </w:tc>
        <w:tc>
          <w:tcPr>
            <w:tcW w:w="276" w:type="pct"/>
            <w:vAlign w:val="center"/>
          </w:tcPr>
          <w:p w:rsidR="00B81376" w:rsidRPr="00B81376" w:rsidRDefault="00B81376" w:rsidP="00B81376">
            <w:pPr>
              <w:spacing w:before="60" w:after="60"/>
              <w:jc w:val="center"/>
              <w:rPr>
                <w:sz w:val="22"/>
                <w:szCs w:val="22"/>
              </w:rPr>
            </w:pPr>
            <w:r w:rsidRPr="00B81376">
              <w:rPr>
                <w:sz w:val="22"/>
                <w:szCs w:val="22"/>
              </w:rPr>
              <w:t>-</w:t>
            </w:r>
          </w:p>
        </w:tc>
        <w:tc>
          <w:tcPr>
            <w:tcW w:w="278" w:type="pct"/>
            <w:vAlign w:val="center"/>
          </w:tcPr>
          <w:p w:rsidR="00B81376" w:rsidRPr="00B81376" w:rsidRDefault="00B81376" w:rsidP="00B81376">
            <w:pPr>
              <w:spacing w:before="60" w:after="60"/>
              <w:jc w:val="center"/>
              <w:rPr>
                <w:sz w:val="22"/>
                <w:szCs w:val="22"/>
              </w:rPr>
            </w:pPr>
            <w:r w:rsidRPr="00B81376">
              <w:rPr>
                <w:sz w:val="22"/>
                <w:szCs w:val="22"/>
              </w:rPr>
              <w:t>-</w:t>
            </w:r>
          </w:p>
        </w:tc>
        <w:tc>
          <w:tcPr>
            <w:tcW w:w="1268" w:type="pct"/>
            <w:tcBorders>
              <w:left w:val="nil"/>
            </w:tcBorders>
            <w:vAlign w:val="center"/>
          </w:tcPr>
          <w:p w:rsidR="00B81376" w:rsidRPr="00B81376" w:rsidRDefault="00B81376" w:rsidP="00B81376">
            <w:pPr>
              <w:spacing w:before="60" w:after="60"/>
              <w:rPr>
                <w:sz w:val="22"/>
                <w:szCs w:val="22"/>
              </w:rPr>
            </w:pPr>
          </w:p>
        </w:tc>
      </w:tr>
      <w:tr w:rsidR="00B81376" w:rsidRPr="00B81376" w:rsidTr="00FA7353">
        <w:trPr>
          <w:cantSplit/>
          <w:trHeight w:val="560"/>
          <w:jc w:val="center"/>
        </w:trPr>
        <w:tc>
          <w:tcPr>
            <w:tcW w:w="555" w:type="pct"/>
            <w:vAlign w:val="center"/>
          </w:tcPr>
          <w:p w:rsidR="00B81376" w:rsidRPr="00B81376" w:rsidRDefault="00B81376" w:rsidP="00B81376">
            <w:pPr>
              <w:spacing w:before="60" w:after="60"/>
              <w:rPr>
                <w:sz w:val="22"/>
                <w:szCs w:val="22"/>
              </w:rPr>
            </w:pPr>
            <w:r w:rsidRPr="00B81376">
              <w:rPr>
                <w:sz w:val="22"/>
                <w:szCs w:val="22"/>
              </w:rPr>
              <w:t>C253B</w:t>
            </w:r>
          </w:p>
        </w:tc>
        <w:tc>
          <w:tcPr>
            <w:tcW w:w="313" w:type="pct"/>
            <w:vAlign w:val="center"/>
          </w:tcPr>
          <w:p w:rsidR="00B81376" w:rsidRPr="00B81376" w:rsidRDefault="00B81376" w:rsidP="00B81376">
            <w:pPr>
              <w:spacing w:before="60" w:after="60"/>
              <w:jc w:val="center"/>
              <w:rPr>
                <w:sz w:val="22"/>
                <w:szCs w:val="22"/>
              </w:rPr>
            </w:pPr>
            <w:r w:rsidRPr="00B81376">
              <w:rPr>
                <w:sz w:val="22"/>
                <w:szCs w:val="22"/>
              </w:rPr>
              <w:t>506</w:t>
            </w:r>
          </w:p>
        </w:tc>
        <w:tc>
          <w:tcPr>
            <w:tcW w:w="339" w:type="pct"/>
            <w:vAlign w:val="center"/>
          </w:tcPr>
          <w:p w:rsidR="00B81376" w:rsidRPr="00B81376" w:rsidRDefault="00B81376" w:rsidP="00B81376">
            <w:pPr>
              <w:spacing w:before="60" w:after="60"/>
              <w:jc w:val="center"/>
              <w:rPr>
                <w:sz w:val="22"/>
                <w:szCs w:val="22"/>
              </w:rPr>
            </w:pPr>
            <w:r w:rsidRPr="00B81376">
              <w:rPr>
                <w:sz w:val="22"/>
                <w:szCs w:val="22"/>
              </w:rPr>
              <w:t>ND</w:t>
            </w:r>
          </w:p>
        </w:tc>
        <w:tc>
          <w:tcPr>
            <w:tcW w:w="277" w:type="pct"/>
            <w:vAlign w:val="center"/>
          </w:tcPr>
          <w:p w:rsidR="00B81376" w:rsidRPr="00B81376" w:rsidRDefault="00B81376" w:rsidP="00B81376">
            <w:pPr>
              <w:spacing w:before="60" w:after="60"/>
              <w:jc w:val="center"/>
              <w:rPr>
                <w:sz w:val="22"/>
                <w:szCs w:val="22"/>
              </w:rPr>
            </w:pPr>
            <w:r w:rsidRPr="00B81376">
              <w:rPr>
                <w:sz w:val="22"/>
                <w:szCs w:val="22"/>
              </w:rPr>
              <w:t>75</w:t>
            </w:r>
          </w:p>
        </w:tc>
        <w:tc>
          <w:tcPr>
            <w:tcW w:w="369" w:type="pct"/>
            <w:vAlign w:val="center"/>
          </w:tcPr>
          <w:p w:rsidR="00B81376" w:rsidRPr="00B81376" w:rsidRDefault="00B81376" w:rsidP="00B81376">
            <w:pPr>
              <w:spacing w:before="60" w:after="60"/>
              <w:jc w:val="center"/>
              <w:rPr>
                <w:sz w:val="22"/>
                <w:szCs w:val="22"/>
              </w:rPr>
            </w:pPr>
            <w:r w:rsidRPr="00B81376">
              <w:rPr>
                <w:sz w:val="22"/>
                <w:szCs w:val="22"/>
              </w:rPr>
              <w:t>30</w:t>
            </w:r>
          </w:p>
        </w:tc>
        <w:tc>
          <w:tcPr>
            <w:tcW w:w="277" w:type="pct"/>
            <w:vAlign w:val="center"/>
          </w:tcPr>
          <w:p w:rsidR="00B81376" w:rsidRPr="00B81376" w:rsidRDefault="00B81376" w:rsidP="00B81376">
            <w:pPr>
              <w:spacing w:before="60" w:after="60"/>
              <w:jc w:val="center"/>
              <w:rPr>
                <w:sz w:val="22"/>
                <w:szCs w:val="22"/>
              </w:rPr>
            </w:pPr>
            <w:r w:rsidRPr="00B81376">
              <w:rPr>
                <w:sz w:val="22"/>
                <w:szCs w:val="22"/>
              </w:rPr>
              <w:t>1</w:t>
            </w:r>
          </w:p>
        </w:tc>
        <w:tc>
          <w:tcPr>
            <w:tcW w:w="277" w:type="pct"/>
            <w:vAlign w:val="center"/>
          </w:tcPr>
          <w:p w:rsidR="00B81376" w:rsidRPr="00B81376" w:rsidRDefault="00B81376" w:rsidP="00B81376">
            <w:pPr>
              <w:jc w:val="center"/>
              <w:rPr>
                <w:sz w:val="22"/>
                <w:szCs w:val="22"/>
              </w:rPr>
            </w:pPr>
            <w:r w:rsidRPr="00B81376">
              <w:rPr>
                <w:sz w:val="22"/>
                <w:szCs w:val="22"/>
              </w:rPr>
              <w:t>ND</w:t>
            </w:r>
          </w:p>
        </w:tc>
        <w:tc>
          <w:tcPr>
            <w:tcW w:w="370" w:type="pct"/>
            <w:vAlign w:val="center"/>
          </w:tcPr>
          <w:p w:rsidR="00B81376" w:rsidRPr="00B81376" w:rsidRDefault="00B81376" w:rsidP="00B81376">
            <w:pPr>
              <w:jc w:val="center"/>
              <w:rPr>
                <w:sz w:val="22"/>
                <w:szCs w:val="22"/>
              </w:rPr>
            </w:pPr>
            <w:r w:rsidRPr="00B81376">
              <w:rPr>
                <w:sz w:val="22"/>
                <w:szCs w:val="22"/>
              </w:rPr>
              <w:t>2</w:t>
            </w:r>
          </w:p>
        </w:tc>
        <w:tc>
          <w:tcPr>
            <w:tcW w:w="401" w:type="pct"/>
            <w:vAlign w:val="center"/>
          </w:tcPr>
          <w:p w:rsidR="00B81376" w:rsidRPr="00B81376" w:rsidRDefault="00B81376" w:rsidP="00B81376">
            <w:pPr>
              <w:spacing w:before="60" w:after="60"/>
              <w:jc w:val="center"/>
              <w:rPr>
                <w:sz w:val="22"/>
                <w:szCs w:val="22"/>
              </w:rPr>
            </w:pPr>
            <w:r w:rsidRPr="00B81376">
              <w:rPr>
                <w:sz w:val="22"/>
                <w:szCs w:val="22"/>
              </w:rPr>
              <w:t>N</w:t>
            </w:r>
          </w:p>
        </w:tc>
        <w:tc>
          <w:tcPr>
            <w:tcW w:w="276" w:type="pct"/>
            <w:vAlign w:val="center"/>
          </w:tcPr>
          <w:p w:rsidR="00B81376" w:rsidRPr="00B81376" w:rsidRDefault="00B81376" w:rsidP="00B81376">
            <w:pPr>
              <w:spacing w:before="60" w:after="60"/>
              <w:jc w:val="center"/>
              <w:rPr>
                <w:sz w:val="22"/>
                <w:szCs w:val="22"/>
              </w:rPr>
            </w:pPr>
            <w:r w:rsidRPr="00B81376">
              <w:rPr>
                <w:sz w:val="22"/>
                <w:szCs w:val="22"/>
              </w:rPr>
              <w:t>Y</w:t>
            </w:r>
          </w:p>
        </w:tc>
        <w:tc>
          <w:tcPr>
            <w:tcW w:w="278" w:type="pct"/>
            <w:vAlign w:val="center"/>
          </w:tcPr>
          <w:p w:rsidR="00B81376" w:rsidRPr="00B81376" w:rsidRDefault="00B81376" w:rsidP="00B81376">
            <w:pPr>
              <w:spacing w:before="60" w:after="60"/>
              <w:jc w:val="center"/>
              <w:rPr>
                <w:sz w:val="22"/>
                <w:szCs w:val="22"/>
              </w:rPr>
            </w:pPr>
            <w:r w:rsidRPr="00B81376">
              <w:rPr>
                <w:sz w:val="22"/>
                <w:szCs w:val="22"/>
              </w:rPr>
              <w:t>Y</w:t>
            </w:r>
          </w:p>
        </w:tc>
        <w:tc>
          <w:tcPr>
            <w:tcW w:w="1268" w:type="pct"/>
            <w:tcBorders>
              <w:left w:val="nil"/>
            </w:tcBorders>
            <w:vAlign w:val="center"/>
          </w:tcPr>
          <w:p w:rsidR="00B81376" w:rsidRPr="00B81376" w:rsidRDefault="00B81376" w:rsidP="00B81376">
            <w:pPr>
              <w:spacing w:before="60" w:after="60"/>
              <w:rPr>
                <w:sz w:val="22"/>
                <w:szCs w:val="22"/>
              </w:rPr>
            </w:pPr>
            <w:r w:rsidRPr="00B81376">
              <w:rPr>
                <w:sz w:val="22"/>
                <w:szCs w:val="22"/>
              </w:rPr>
              <w:t>Leak originated off of this room, carpet removed, room sanitized, vinyl coving left in place</w:t>
            </w:r>
          </w:p>
        </w:tc>
      </w:tr>
      <w:tr w:rsidR="00B81376" w:rsidRPr="00B81376" w:rsidTr="00FA7353">
        <w:trPr>
          <w:cantSplit/>
          <w:trHeight w:val="560"/>
          <w:jc w:val="center"/>
        </w:trPr>
        <w:tc>
          <w:tcPr>
            <w:tcW w:w="555" w:type="pct"/>
            <w:vAlign w:val="center"/>
          </w:tcPr>
          <w:p w:rsidR="00B81376" w:rsidRPr="00B81376" w:rsidRDefault="00B81376" w:rsidP="00B81376">
            <w:pPr>
              <w:spacing w:before="60" w:after="60"/>
              <w:rPr>
                <w:sz w:val="22"/>
                <w:szCs w:val="22"/>
              </w:rPr>
            </w:pPr>
            <w:r w:rsidRPr="00B81376">
              <w:rPr>
                <w:sz w:val="22"/>
                <w:szCs w:val="22"/>
              </w:rPr>
              <w:t>C252</w:t>
            </w:r>
          </w:p>
        </w:tc>
        <w:tc>
          <w:tcPr>
            <w:tcW w:w="313" w:type="pct"/>
            <w:vAlign w:val="center"/>
          </w:tcPr>
          <w:p w:rsidR="00B81376" w:rsidRPr="00B81376" w:rsidRDefault="00B81376" w:rsidP="00B81376">
            <w:pPr>
              <w:spacing w:before="60" w:after="60"/>
              <w:jc w:val="center"/>
              <w:rPr>
                <w:sz w:val="22"/>
                <w:szCs w:val="22"/>
              </w:rPr>
            </w:pPr>
            <w:r w:rsidRPr="00B81376">
              <w:rPr>
                <w:sz w:val="22"/>
                <w:szCs w:val="22"/>
              </w:rPr>
              <w:t>457</w:t>
            </w:r>
          </w:p>
        </w:tc>
        <w:tc>
          <w:tcPr>
            <w:tcW w:w="339" w:type="pct"/>
            <w:vAlign w:val="center"/>
          </w:tcPr>
          <w:p w:rsidR="00B81376" w:rsidRPr="00B81376" w:rsidRDefault="00B81376" w:rsidP="00B81376">
            <w:pPr>
              <w:spacing w:before="60" w:after="60"/>
              <w:jc w:val="center"/>
              <w:rPr>
                <w:sz w:val="22"/>
                <w:szCs w:val="22"/>
              </w:rPr>
            </w:pPr>
            <w:r w:rsidRPr="00B81376">
              <w:rPr>
                <w:sz w:val="22"/>
                <w:szCs w:val="22"/>
              </w:rPr>
              <w:t>ND</w:t>
            </w:r>
          </w:p>
        </w:tc>
        <w:tc>
          <w:tcPr>
            <w:tcW w:w="277" w:type="pct"/>
            <w:vAlign w:val="center"/>
          </w:tcPr>
          <w:p w:rsidR="00B81376" w:rsidRPr="00B81376" w:rsidRDefault="00B81376" w:rsidP="00B81376">
            <w:pPr>
              <w:spacing w:before="60" w:after="60"/>
              <w:jc w:val="center"/>
              <w:rPr>
                <w:sz w:val="22"/>
                <w:szCs w:val="22"/>
              </w:rPr>
            </w:pPr>
            <w:r w:rsidRPr="00B81376">
              <w:rPr>
                <w:sz w:val="22"/>
                <w:szCs w:val="22"/>
              </w:rPr>
              <w:t>76</w:t>
            </w:r>
          </w:p>
        </w:tc>
        <w:tc>
          <w:tcPr>
            <w:tcW w:w="369" w:type="pct"/>
            <w:vAlign w:val="center"/>
          </w:tcPr>
          <w:p w:rsidR="00B81376" w:rsidRPr="00B81376" w:rsidRDefault="00B81376" w:rsidP="00B81376">
            <w:pPr>
              <w:spacing w:before="60" w:after="60"/>
              <w:jc w:val="center"/>
              <w:rPr>
                <w:sz w:val="22"/>
                <w:szCs w:val="22"/>
              </w:rPr>
            </w:pPr>
            <w:r w:rsidRPr="00B81376">
              <w:rPr>
                <w:sz w:val="22"/>
                <w:szCs w:val="22"/>
              </w:rPr>
              <w:t>29</w:t>
            </w:r>
          </w:p>
        </w:tc>
        <w:tc>
          <w:tcPr>
            <w:tcW w:w="277" w:type="pct"/>
            <w:vAlign w:val="center"/>
          </w:tcPr>
          <w:p w:rsidR="00B81376" w:rsidRPr="00B81376" w:rsidRDefault="00B81376" w:rsidP="00B81376">
            <w:pPr>
              <w:spacing w:before="60" w:after="60"/>
              <w:jc w:val="center"/>
              <w:rPr>
                <w:sz w:val="22"/>
                <w:szCs w:val="22"/>
              </w:rPr>
            </w:pPr>
            <w:r w:rsidRPr="00B81376">
              <w:rPr>
                <w:sz w:val="22"/>
                <w:szCs w:val="22"/>
              </w:rPr>
              <w:t>1</w:t>
            </w:r>
          </w:p>
        </w:tc>
        <w:tc>
          <w:tcPr>
            <w:tcW w:w="277" w:type="pct"/>
            <w:vAlign w:val="center"/>
          </w:tcPr>
          <w:p w:rsidR="00B81376" w:rsidRPr="00B81376" w:rsidRDefault="00B81376" w:rsidP="00B81376">
            <w:pPr>
              <w:jc w:val="center"/>
              <w:rPr>
                <w:sz w:val="22"/>
                <w:szCs w:val="22"/>
              </w:rPr>
            </w:pPr>
            <w:r w:rsidRPr="00B81376">
              <w:rPr>
                <w:sz w:val="22"/>
                <w:szCs w:val="22"/>
              </w:rPr>
              <w:t>ND</w:t>
            </w:r>
          </w:p>
        </w:tc>
        <w:tc>
          <w:tcPr>
            <w:tcW w:w="370" w:type="pct"/>
            <w:vAlign w:val="center"/>
          </w:tcPr>
          <w:p w:rsidR="00B81376" w:rsidRPr="00B81376" w:rsidRDefault="00B81376" w:rsidP="00B81376">
            <w:pPr>
              <w:jc w:val="center"/>
              <w:rPr>
                <w:sz w:val="22"/>
                <w:szCs w:val="22"/>
              </w:rPr>
            </w:pPr>
            <w:r w:rsidRPr="00B81376">
              <w:rPr>
                <w:sz w:val="22"/>
                <w:szCs w:val="22"/>
              </w:rPr>
              <w:t>0</w:t>
            </w:r>
          </w:p>
        </w:tc>
        <w:tc>
          <w:tcPr>
            <w:tcW w:w="401" w:type="pct"/>
            <w:vAlign w:val="center"/>
          </w:tcPr>
          <w:p w:rsidR="00B81376" w:rsidRPr="00B81376" w:rsidRDefault="00B81376" w:rsidP="00B81376">
            <w:pPr>
              <w:spacing w:before="60" w:after="60"/>
              <w:jc w:val="center"/>
              <w:rPr>
                <w:sz w:val="22"/>
                <w:szCs w:val="22"/>
              </w:rPr>
            </w:pPr>
            <w:r w:rsidRPr="00B81376">
              <w:rPr>
                <w:sz w:val="22"/>
                <w:szCs w:val="22"/>
              </w:rPr>
              <w:t>N</w:t>
            </w:r>
          </w:p>
        </w:tc>
        <w:tc>
          <w:tcPr>
            <w:tcW w:w="276" w:type="pct"/>
            <w:vAlign w:val="center"/>
          </w:tcPr>
          <w:p w:rsidR="00B81376" w:rsidRPr="00B81376" w:rsidRDefault="00B81376" w:rsidP="00B81376">
            <w:pPr>
              <w:spacing w:before="60" w:after="60"/>
              <w:jc w:val="center"/>
              <w:rPr>
                <w:sz w:val="22"/>
                <w:szCs w:val="22"/>
              </w:rPr>
            </w:pPr>
            <w:r w:rsidRPr="00B81376">
              <w:rPr>
                <w:sz w:val="22"/>
                <w:szCs w:val="22"/>
              </w:rPr>
              <w:t>Y</w:t>
            </w:r>
          </w:p>
        </w:tc>
        <w:tc>
          <w:tcPr>
            <w:tcW w:w="278" w:type="pct"/>
            <w:vAlign w:val="center"/>
          </w:tcPr>
          <w:p w:rsidR="00B81376" w:rsidRPr="00B81376" w:rsidRDefault="00B81376" w:rsidP="00B81376">
            <w:pPr>
              <w:spacing w:before="60" w:after="60"/>
              <w:jc w:val="center"/>
              <w:rPr>
                <w:sz w:val="22"/>
                <w:szCs w:val="22"/>
              </w:rPr>
            </w:pPr>
            <w:r w:rsidRPr="00B81376">
              <w:rPr>
                <w:sz w:val="22"/>
                <w:szCs w:val="22"/>
              </w:rPr>
              <w:t>Y</w:t>
            </w:r>
          </w:p>
        </w:tc>
        <w:tc>
          <w:tcPr>
            <w:tcW w:w="1268" w:type="pct"/>
            <w:tcBorders>
              <w:left w:val="nil"/>
            </w:tcBorders>
            <w:vAlign w:val="center"/>
          </w:tcPr>
          <w:p w:rsidR="00B81376" w:rsidRPr="00B81376" w:rsidRDefault="00B81376" w:rsidP="00B81376">
            <w:pPr>
              <w:spacing w:before="60" w:after="60"/>
              <w:rPr>
                <w:sz w:val="22"/>
                <w:szCs w:val="22"/>
              </w:rPr>
            </w:pPr>
            <w:r w:rsidRPr="00B81376">
              <w:rPr>
                <w:sz w:val="22"/>
                <w:szCs w:val="22"/>
              </w:rPr>
              <w:t>Carpet removed, room sanitized, vinyl coving left in place</w:t>
            </w:r>
          </w:p>
        </w:tc>
      </w:tr>
      <w:tr w:rsidR="00B81376" w:rsidRPr="00B81376" w:rsidTr="00FA7353">
        <w:trPr>
          <w:cantSplit/>
          <w:trHeight w:val="560"/>
          <w:jc w:val="center"/>
        </w:trPr>
        <w:tc>
          <w:tcPr>
            <w:tcW w:w="555" w:type="pct"/>
            <w:vAlign w:val="center"/>
          </w:tcPr>
          <w:p w:rsidR="00B81376" w:rsidRPr="00B81376" w:rsidRDefault="00B81376" w:rsidP="00B81376">
            <w:pPr>
              <w:spacing w:before="60" w:after="60"/>
              <w:rPr>
                <w:sz w:val="22"/>
                <w:szCs w:val="22"/>
              </w:rPr>
            </w:pPr>
            <w:r w:rsidRPr="00B81376">
              <w:rPr>
                <w:sz w:val="22"/>
                <w:szCs w:val="22"/>
              </w:rPr>
              <w:t>C253</w:t>
            </w:r>
          </w:p>
        </w:tc>
        <w:tc>
          <w:tcPr>
            <w:tcW w:w="313" w:type="pct"/>
            <w:vAlign w:val="center"/>
          </w:tcPr>
          <w:p w:rsidR="00B81376" w:rsidRPr="00B81376" w:rsidRDefault="00B81376" w:rsidP="00B81376">
            <w:pPr>
              <w:spacing w:before="60" w:after="60"/>
              <w:jc w:val="center"/>
              <w:rPr>
                <w:sz w:val="22"/>
                <w:szCs w:val="22"/>
              </w:rPr>
            </w:pPr>
            <w:r w:rsidRPr="00B81376">
              <w:rPr>
                <w:sz w:val="22"/>
                <w:szCs w:val="22"/>
              </w:rPr>
              <w:t>542</w:t>
            </w:r>
          </w:p>
        </w:tc>
        <w:tc>
          <w:tcPr>
            <w:tcW w:w="339" w:type="pct"/>
            <w:vAlign w:val="center"/>
          </w:tcPr>
          <w:p w:rsidR="00B81376" w:rsidRPr="00B81376" w:rsidRDefault="00B81376" w:rsidP="00B81376">
            <w:pPr>
              <w:spacing w:before="60" w:after="60"/>
              <w:jc w:val="center"/>
              <w:rPr>
                <w:sz w:val="22"/>
                <w:szCs w:val="22"/>
              </w:rPr>
            </w:pPr>
            <w:r w:rsidRPr="00B81376">
              <w:rPr>
                <w:sz w:val="22"/>
                <w:szCs w:val="22"/>
              </w:rPr>
              <w:t>ND</w:t>
            </w:r>
          </w:p>
        </w:tc>
        <w:tc>
          <w:tcPr>
            <w:tcW w:w="277" w:type="pct"/>
            <w:vAlign w:val="center"/>
          </w:tcPr>
          <w:p w:rsidR="00B81376" w:rsidRPr="00B81376" w:rsidRDefault="00B81376" w:rsidP="00B81376">
            <w:pPr>
              <w:spacing w:before="60" w:after="60"/>
              <w:jc w:val="center"/>
              <w:rPr>
                <w:sz w:val="22"/>
                <w:szCs w:val="22"/>
              </w:rPr>
            </w:pPr>
            <w:r w:rsidRPr="00B81376">
              <w:rPr>
                <w:sz w:val="22"/>
                <w:szCs w:val="22"/>
              </w:rPr>
              <w:t>75</w:t>
            </w:r>
          </w:p>
        </w:tc>
        <w:tc>
          <w:tcPr>
            <w:tcW w:w="369" w:type="pct"/>
            <w:vAlign w:val="center"/>
          </w:tcPr>
          <w:p w:rsidR="00B81376" w:rsidRPr="00B81376" w:rsidRDefault="00B81376" w:rsidP="00B81376">
            <w:pPr>
              <w:spacing w:before="60" w:after="60"/>
              <w:jc w:val="center"/>
              <w:rPr>
                <w:sz w:val="22"/>
                <w:szCs w:val="22"/>
              </w:rPr>
            </w:pPr>
            <w:r w:rsidRPr="00B81376">
              <w:rPr>
                <w:sz w:val="22"/>
                <w:szCs w:val="22"/>
              </w:rPr>
              <w:t>29</w:t>
            </w:r>
          </w:p>
        </w:tc>
        <w:tc>
          <w:tcPr>
            <w:tcW w:w="277" w:type="pct"/>
            <w:vAlign w:val="center"/>
          </w:tcPr>
          <w:p w:rsidR="00B81376" w:rsidRPr="00B81376" w:rsidRDefault="00B81376" w:rsidP="00B81376">
            <w:pPr>
              <w:spacing w:before="60" w:after="60"/>
              <w:jc w:val="center"/>
              <w:rPr>
                <w:sz w:val="22"/>
                <w:szCs w:val="22"/>
              </w:rPr>
            </w:pPr>
            <w:r w:rsidRPr="00B81376">
              <w:rPr>
                <w:sz w:val="22"/>
                <w:szCs w:val="22"/>
              </w:rPr>
              <w:t>3</w:t>
            </w:r>
          </w:p>
        </w:tc>
        <w:tc>
          <w:tcPr>
            <w:tcW w:w="277" w:type="pct"/>
            <w:vAlign w:val="center"/>
          </w:tcPr>
          <w:p w:rsidR="00B81376" w:rsidRPr="00B81376" w:rsidRDefault="00B81376" w:rsidP="00B81376">
            <w:pPr>
              <w:jc w:val="center"/>
              <w:rPr>
                <w:sz w:val="22"/>
                <w:szCs w:val="22"/>
              </w:rPr>
            </w:pPr>
            <w:r w:rsidRPr="00B81376">
              <w:rPr>
                <w:sz w:val="22"/>
                <w:szCs w:val="22"/>
              </w:rPr>
              <w:t>ND</w:t>
            </w:r>
          </w:p>
        </w:tc>
        <w:tc>
          <w:tcPr>
            <w:tcW w:w="370" w:type="pct"/>
            <w:vAlign w:val="center"/>
          </w:tcPr>
          <w:p w:rsidR="00B81376" w:rsidRPr="00B81376" w:rsidRDefault="00B81376" w:rsidP="00B81376">
            <w:pPr>
              <w:jc w:val="center"/>
              <w:rPr>
                <w:sz w:val="22"/>
                <w:szCs w:val="22"/>
              </w:rPr>
            </w:pPr>
            <w:r w:rsidRPr="00B81376">
              <w:rPr>
                <w:sz w:val="22"/>
                <w:szCs w:val="22"/>
              </w:rPr>
              <w:t>2</w:t>
            </w:r>
          </w:p>
        </w:tc>
        <w:tc>
          <w:tcPr>
            <w:tcW w:w="401" w:type="pct"/>
            <w:vAlign w:val="center"/>
          </w:tcPr>
          <w:p w:rsidR="00B81376" w:rsidRPr="00B81376" w:rsidRDefault="00B81376" w:rsidP="00B81376">
            <w:pPr>
              <w:spacing w:before="60" w:after="60"/>
              <w:jc w:val="center"/>
              <w:rPr>
                <w:sz w:val="22"/>
                <w:szCs w:val="22"/>
              </w:rPr>
            </w:pPr>
            <w:r w:rsidRPr="00B81376">
              <w:rPr>
                <w:sz w:val="22"/>
                <w:szCs w:val="22"/>
              </w:rPr>
              <w:t>N</w:t>
            </w:r>
          </w:p>
        </w:tc>
        <w:tc>
          <w:tcPr>
            <w:tcW w:w="276" w:type="pct"/>
            <w:vAlign w:val="center"/>
          </w:tcPr>
          <w:p w:rsidR="00B81376" w:rsidRPr="00B81376" w:rsidRDefault="00B81376" w:rsidP="00B81376">
            <w:pPr>
              <w:spacing w:before="60" w:after="60"/>
              <w:jc w:val="center"/>
              <w:rPr>
                <w:sz w:val="22"/>
                <w:szCs w:val="22"/>
              </w:rPr>
            </w:pPr>
            <w:r w:rsidRPr="00B81376">
              <w:rPr>
                <w:sz w:val="22"/>
                <w:szCs w:val="22"/>
              </w:rPr>
              <w:t>Y</w:t>
            </w:r>
          </w:p>
        </w:tc>
        <w:tc>
          <w:tcPr>
            <w:tcW w:w="278" w:type="pct"/>
            <w:vAlign w:val="center"/>
          </w:tcPr>
          <w:p w:rsidR="00B81376" w:rsidRPr="00B81376" w:rsidRDefault="00B81376" w:rsidP="00B81376">
            <w:pPr>
              <w:spacing w:before="60" w:after="60"/>
              <w:jc w:val="center"/>
              <w:rPr>
                <w:sz w:val="22"/>
                <w:szCs w:val="22"/>
              </w:rPr>
            </w:pPr>
            <w:r w:rsidRPr="00B81376">
              <w:rPr>
                <w:sz w:val="22"/>
                <w:szCs w:val="22"/>
              </w:rPr>
              <w:t>N</w:t>
            </w:r>
          </w:p>
        </w:tc>
        <w:tc>
          <w:tcPr>
            <w:tcW w:w="1268" w:type="pct"/>
            <w:tcBorders>
              <w:left w:val="nil"/>
            </w:tcBorders>
            <w:vAlign w:val="center"/>
          </w:tcPr>
          <w:p w:rsidR="00B81376" w:rsidRPr="00B81376" w:rsidRDefault="00B81376" w:rsidP="00B81376">
            <w:pPr>
              <w:spacing w:before="60" w:after="60"/>
              <w:rPr>
                <w:sz w:val="22"/>
                <w:szCs w:val="22"/>
              </w:rPr>
            </w:pPr>
            <w:r w:rsidRPr="00B81376">
              <w:rPr>
                <w:sz w:val="22"/>
                <w:szCs w:val="22"/>
              </w:rPr>
              <w:t>Carpet removed, room sanitized, vinyl coving left in place</w:t>
            </w:r>
          </w:p>
        </w:tc>
      </w:tr>
      <w:tr w:rsidR="00B81376" w:rsidRPr="00B81376" w:rsidTr="00FA7353">
        <w:trPr>
          <w:cantSplit/>
          <w:trHeight w:val="560"/>
          <w:jc w:val="center"/>
        </w:trPr>
        <w:tc>
          <w:tcPr>
            <w:tcW w:w="555" w:type="pct"/>
            <w:vAlign w:val="center"/>
          </w:tcPr>
          <w:p w:rsidR="00B81376" w:rsidRPr="00B81376" w:rsidRDefault="00B81376" w:rsidP="00B81376">
            <w:pPr>
              <w:spacing w:before="60" w:after="60"/>
              <w:rPr>
                <w:sz w:val="22"/>
                <w:szCs w:val="22"/>
              </w:rPr>
            </w:pPr>
            <w:r w:rsidRPr="00B81376">
              <w:rPr>
                <w:sz w:val="22"/>
                <w:szCs w:val="22"/>
              </w:rPr>
              <w:t>Main office</w:t>
            </w:r>
          </w:p>
        </w:tc>
        <w:tc>
          <w:tcPr>
            <w:tcW w:w="313" w:type="pct"/>
            <w:vAlign w:val="center"/>
          </w:tcPr>
          <w:p w:rsidR="00B81376" w:rsidRPr="00B81376" w:rsidRDefault="00B81376" w:rsidP="00B81376">
            <w:pPr>
              <w:spacing w:before="60" w:after="60"/>
              <w:jc w:val="center"/>
              <w:rPr>
                <w:sz w:val="22"/>
                <w:szCs w:val="22"/>
              </w:rPr>
            </w:pPr>
            <w:r w:rsidRPr="00B81376">
              <w:rPr>
                <w:sz w:val="22"/>
                <w:szCs w:val="22"/>
              </w:rPr>
              <w:t>497</w:t>
            </w:r>
          </w:p>
        </w:tc>
        <w:tc>
          <w:tcPr>
            <w:tcW w:w="339" w:type="pct"/>
            <w:vAlign w:val="center"/>
          </w:tcPr>
          <w:p w:rsidR="00B81376" w:rsidRPr="00B81376" w:rsidRDefault="00B81376" w:rsidP="00B81376">
            <w:pPr>
              <w:spacing w:before="60" w:after="60"/>
              <w:jc w:val="center"/>
              <w:rPr>
                <w:sz w:val="22"/>
                <w:szCs w:val="22"/>
              </w:rPr>
            </w:pPr>
            <w:r w:rsidRPr="00B81376">
              <w:rPr>
                <w:sz w:val="22"/>
                <w:szCs w:val="22"/>
              </w:rPr>
              <w:t>ND</w:t>
            </w:r>
          </w:p>
        </w:tc>
        <w:tc>
          <w:tcPr>
            <w:tcW w:w="277" w:type="pct"/>
            <w:vAlign w:val="center"/>
          </w:tcPr>
          <w:p w:rsidR="00B81376" w:rsidRPr="00B81376" w:rsidRDefault="00B81376" w:rsidP="00B81376">
            <w:pPr>
              <w:spacing w:before="60" w:after="60"/>
              <w:jc w:val="center"/>
              <w:rPr>
                <w:sz w:val="22"/>
                <w:szCs w:val="22"/>
              </w:rPr>
            </w:pPr>
            <w:r w:rsidRPr="00B81376">
              <w:rPr>
                <w:sz w:val="22"/>
                <w:szCs w:val="22"/>
              </w:rPr>
              <w:t>75</w:t>
            </w:r>
          </w:p>
        </w:tc>
        <w:tc>
          <w:tcPr>
            <w:tcW w:w="369" w:type="pct"/>
            <w:vAlign w:val="center"/>
          </w:tcPr>
          <w:p w:rsidR="00B81376" w:rsidRPr="00B81376" w:rsidRDefault="00B81376" w:rsidP="00B81376">
            <w:pPr>
              <w:spacing w:before="60" w:after="60"/>
              <w:jc w:val="center"/>
              <w:rPr>
                <w:sz w:val="22"/>
                <w:szCs w:val="22"/>
              </w:rPr>
            </w:pPr>
            <w:r w:rsidRPr="00B81376">
              <w:rPr>
                <w:sz w:val="22"/>
                <w:szCs w:val="22"/>
              </w:rPr>
              <w:t>30</w:t>
            </w:r>
          </w:p>
        </w:tc>
        <w:tc>
          <w:tcPr>
            <w:tcW w:w="277" w:type="pct"/>
            <w:vAlign w:val="center"/>
          </w:tcPr>
          <w:p w:rsidR="00B81376" w:rsidRPr="00B81376" w:rsidRDefault="00B81376" w:rsidP="00B81376">
            <w:pPr>
              <w:spacing w:before="60" w:after="60"/>
              <w:jc w:val="center"/>
              <w:rPr>
                <w:sz w:val="22"/>
                <w:szCs w:val="22"/>
              </w:rPr>
            </w:pPr>
            <w:r w:rsidRPr="00B81376">
              <w:rPr>
                <w:sz w:val="22"/>
                <w:szCs w:val="22"/>
              </w:rPr>
              <w:t>2</w:t>
            </w:r>
          </w:p>
        </w:tc>
        <w:tc>
          <w:tcPr>
            <w:tcW w:w="277" w:type="pct"/>
            <w:vAlign w:val="center"/>
          </w:tcPr>
          <w:p w:rsidR="00B81376" w:rsidRPr="00B81376" w:rsidRDefault="00B81376" w:rsidP="00B81376">
            <w:pPr>
              <w:jc w:val="center"/>
              <w:rPr>
                <w:sz w:val="22"/>
                <w:szCs w:val="22"/>
              </w:rPr>
            </w:pPr>
            <w:r w:rsidRPr="00B81376">
              <w:rPr>
                <w:sz w:val="22"/>
                <w:szCs w:val="22"/>
              </w:rPr>
              <w:t>ND</w:t>
            </w:r>
          </w:p>
        </w:tc>
        <w:tc>
          <w:tcPr>
            <w:tcW w:w="370" w:type="pct"/>
            <w:vAlign w:val="center"/>
          </w:tcPr>
          <w:p w:rsidR="00B81376" w:rsidRPr="00B81376" w:rsidRDefault="00B81376" w:rsidP="00B81376">
            <w:pPr>
              <w:jc w:val="center"/>
              <w:rPr>
                <w:sz w:val="22"/>
                <w:szCs w:val="22"/>
              </w:rPr>
            </w:pPr>
            <w:r w:rsidRPr="00B81376">
              <w:rPr>
                <w:sz w:val="22"/>
                <w:szCs w:val="22"/>
              </w:rPr>
              <w:t>5</w:t>
            </w:r>
          </w:p>
        </w:tc>
        <w:tc>
          <w:tcPr>
            <w:tcW w:w="401" w:type="pct"/>
            <w:vAlign w:val="center"/>
          </w:tcPr>
          <w:p w:rsidR="00B81376" w:rsidRPr="00B81376" w:rsidRDefault="00B81376" w:rsidP="00B81376">
            <w:pPr>
              <w:spacing w:before="60" w:after="60"/>
              <w:jc w:val="center"/>
              <w:rPr>
                <w:sz w:val="22"/>
                <w:szCs w:val="22"/>
              </w:rPr>
            </w:pPr>
            <w:r w:rsidRPr="00B81376">
              <w:rPr>
                <w:sz w:val="22"/>
                <w:szCs w:val="22"/>
              </w:rPr>
              <w:t>N</w:t>
            </w:r>
          </w:p>
        </w:tc>
        <w:tc>
          <w:tcPr>
            <w:tcW w:w="276" w:type="pct"/>
            <w:vAlign w:val="center"/>
          </w:tcPr>
          <w:p w:rsidR="00B81376" w:rsidRPr="00B81376" w:rsidRDefault="00B81376" w:rsidP="00B81376">
            <w:pPr>
              <w:spacing w:before="60" w:after="60"/>
              <w:jc w:val="center"/>
              <w:rPr>
                <w:sz w:val="22"/>
                <w:szCs w:val="22"/>
              </w:rPr>
            </w:pPr>
            <w:r w:rsidRPr="00B81376">
              <w:rPr>
                <w:sz w:val="22"/>
                <w:szCs w:val="22"/>
              </w:rPr>
              <w:t>Y</w:t>
            </w:r>
          </w:p>
        </w:tc>
        <w:tc>
          <w:tcPr>
            <w:tcW w:w="278" w:type="pct"/>
            <w:vAlign w:val="center"/>
          </w:tcPr>
          <w:p w:rsidR="00B81376" w:rsidRPr="00B81376" w:rsidRDefault="00B81376" w:rsidP="00B81376">
            <w:pPr>
              <w:spacing w:before="60" w:after="60"/>
              <w:jc w:val="center"/>
              <w:rPr>
                <w:sz w:val="22"/>
                <w:szCs w:val="22"/>
              </w:rPr>
            </w:pPr>
            <w:r w:rsidRPr="00B81376">
              <w:rPr>
                <w:sz w:val="22"/>
                <w:szCs w:val="22"/>
              </w:rPr>
              <w:t>Y</w:t>
            </w:r>
          </w:p>
        </w:tc>
        <w:tc>
          <w:tcPr>
            <w:tcW w:w="1268" w:type="pct"/>
            <w:tcBorders>
              <w:left w:val="nil"/>
            </w:tcBorders>
            <w:vAlign w:val="center"/>
          </w:tcPr>
          <w:p w:rsidR="00B81376" w:rsidRPr="00B81376" w:rsidRDefault="00B81376" w:rsidP="00B81376">
            <w:pPr>
              <w:spacing w:before="60" w:after="60"/>
              <w:rPr>
                <w:sz w:val="22"/>
                <w:szCs w:val="22"/>
              </w:rPr>
            </w:pPr>
            <w:r w:rsidRPr="00B81376">
              <w:rPr>
                <w:sz w:val="22"/>
                <w:szCs w:val="22"/>
              </w:rPr>
              <w:t xml:space="preserve">Carpet in main area impacted near offices and was cleaned/sanitized </w:t>
            </w:r>
          </w:p>
        </w:tc>
      </w:tr>
      <w:tr w:rsidR="00B81376" w:rsidRPr="00B81376" w:rsidTr="00FA7353">
        <w:trPr>
          <w:cantSplit/>
          <w:trHeight w:val="560"/>
          <w:jc w:val="center"/>
        </w:trPr>
        <w:tc>
          <w:tcPr>
            <w:tcW w:w="555" w:type="pct"/>
            <w:vAlign w:val="center"/>
          </w:tcPr>
          <w:p w:rsidR="00B81376" w:rsidRPr="00B81376" w:rsidRDefault="00B81376" w:rsidP="00B81376">
            <w:pPr>
              <w:spacing w:before="60" w:after="60"/>
              <w:rPr>
                <w:sz w:val="22"/>
                <w:szCs w:val="22"/>
              </w:rPr>
            </w:pPr>
            <w:r w:rsidRPr="00B81376">
              <w:rPr>
                <w:sz w:val="22"/>
                <w:szCs w:val="22"/>
              </w:rPr>
              <w:t>Joanne’s area</w:t>
            </w:r>
          </w:p>
        </w:tc>
        <w:tc>
          <w:tcPr>
            <w:tcW w:w="313" w:type="pct"/>
            <w:vAlign w:val="center"/>
          </w:tcPr>
          <w:p w:rsidR="00B81376" w:rsidRPr="00B81376" w:rsidRDefault="00B81376" w:rsidP="00B81376">
            <w:pPr>
              <w:spacing w:before="60" w:after="60"/>
              <w:jc w:val="center"/>
              <w:rPr>
                <w:sz w:val="22"/>
                <w:szCs w:val="22"/>
              </w:rPr>
            </w:pPr>
            <w:r w:rsidRPr="00B81376">
              <w:rPr>
                <w:sz w:val="22"/>
                <w:szCs w:val="22"/>
              </w:rPr>
              <w:t>547</w:t>
            </w:r>
          </w:p>
        </w:tc>
        <w:tc>
          <w:tcPr>
            <w:tcW w:w="339" w:type="pct"/>
            <w:vAlign w:val="center"/>
          </w:tcPr>
          <w:p w:rsidR="00B81376" w:rsidRPr="00B81376" w:rsidRDefault="00B81376" w:rsidP="00B81376">
            <w:pPr>
              <w:spacing w:before="60" w:after="60"/>
              <w:jc w:val="center"/>
              <w:rPr>
                <w:sz w:val="22"/>
                <w:szCs w:val="22"/>
              </w:rPr>
            </w:pPr>
            <w:r w:rsidRPr="00B81376">
              <w:rPr>
                <w:sz w:val="22"/>
                <w:szCs w:val="22"/>
              </w:rPr>
              <w:t>ND</w:t>
            </w:r>
          </w:p>
        </w:tc>
        <w:tc>
          <w:tcPr>
            <w:tcW w:w="277" w:type="pct"/>
            <w:vAlign w:val="center"/>
          </w:tcPr>
          <w:p w:rsidR="00B81376" w:rsidRPr="00B81376" w:rsidRDefault="00B81376" w:rsidP="00B81376">
            <w:pPr>
              <w:spacing w:before="60" w:after="60"/>
              <w:jc w:val="center"/>
              <w:rPr>
                <w:sz w:val="22"/>
                <w:szCs w:val="22"/>
              </w:rPr>
            </w:pPr>
            <w:r w:rsidRPr="00B81376">
              <w:rPr>
                <w:sz w:val="22"/>
                <w:szCs w:val="22"/>
              </w:rPr>
              <w:t>76</w:t>
            </w:r>
          </w:p>
        </w:tc>
        <w:tc>
          <w:tcPr>
            <w:tcW w:w="369" w:type="pct"/>
            <w:vAlign w:val="center"/>
          </w:tcPr>
          <w:p w:rsidR="00B81376" w:rsidRPr="00B81376" w:rsidRDefault="00B81376" w:rsidP="00B81376">
            <w:pPr>
              <w:spacing w:before="60" w:after="60"/>
              <w:jc w:val="center"/>
              <w:rPr>
                <w:sz w:val="22"/>
                <w:szCs w:val="22"/>
              </w:rPr>
            </w:pPr>
            <w:r w:rsidRPr="00B81376">
              <w:rPr>
                <w:sz w:val="22"/>
                <w:szCs w:val="22"/>
              </w:rPr>
              <w:t>29</w:t>
            </w:r>
          </w:p>
        </w:tc>
        <w:tc>
          <w:tcPr>
            <w:tcW w:w="277" w:type="pct"/>
            <w:vAlign w:val="center"/>
          </w:tcPr>
          <w:p w:rsidR="00B81376" w:rsidRPr="00B81376" w:rsidRDefault="00B81376" w:rsidP="00B81376">
            <w:pPr>
              <w:spacing w:before="60" w:after="60"/>
              <w:jc w:val="center"/>
              <w:rPr>
                <w:sz w:val="22"/>
                <w:szCs w:val="22"/>
              </w:rPr>
            </w:pPr>
            <w:r w:rsidRPr="00B81376">
              <w:rPr>
                <w:sz w:val="22"/>
                <w:szCs w:val="22"/>
              </w:rPr>
              <w:t>1</w:t>
            </w:r>
          </w:p>
        </w:tc>
        <w:tc>
          <w:tcPr>
            <w:tcW w:w="277" w:type="pct"/>
            <w:vAlign w:val="center"/>
          </w:tcPr>
          <w:p w:rsidR="00B81376" w:rsidRPr="00B81376" w:rsidRDefault="00B81376" w:rsidP="00B81376">
            <w:pPr>
              <w:jc w:val="center"/>
              <w:rPr>
                <w:sz w:val="22"/>
                <w:szCs w:val="22"/>
              </w:rPr>
            </w:pPr>
            <w:r w:rsidRPr="00B81376">
              <w:rPr>
                <w:sz w:val="22"/>
                <w:szCs w:val="22"/>
              </w:rPr>
              <w:t>ND</w:t>
            </w:r>
          </w:p>
        </w:tc>
        <w:tc>
          <w:tcPr>
            <w:tcW w:w="370" w:type="pct"/>
            <w:vAlign w:val="center"/>
          </w:tcPr>
          <w:p w:rsidR="00B81376" w:rsidRPr="00B81376" w:rsidRDefault="00B81376" w:rsidP="00B81376">
            <w:pPr>
              <w:jc w:val="center"/>
              <w:rPr>
                <w:sz w:val="22"/>
                <w:szCs w:val="22"/>
              </w:rPr>
            </w:pPr>
            <w:r w:rsidRPr="00B81376">
              <w:rPr>
                <w:sz w:val="22"/>
                <w:szCs w:val="22"/>
              </w:rPr>
              <w:t>1</w:t>
            </w:r>
          </w:p>
        </w:tc>
        <w:tc>
          <w:tcPr>
            <w:tcW w:w="401" w:type="pct"/>
            <w:vAlign w:val="center"/>
          </w:tcPr>
          <w:p w:rsidR="00B81376" w:rsidRPr="00B81376" w:rsidRDefault="00B81376" w:rsidP="00B81376">
            <w:pPr>
              <w:spacing w:before="60" w:after="60"/>
              <w:jc w:val="center"/>
              <w:rPr>
                <w:sz w:val="22"/>
                <w:szCs w:val="22"/>
              </w:rPr>
            </w:pPr>
            <w:r w:rsidRPr="00B81376">
              <w:rPr>
                <w:sz w:val="22"/>
                <w:szCs w:val="22"/>
              </w:rPr>
              <w:t>N</w:t>
            </w:r>
          </w:p>
        </w:tc>
        <w:tc>
          <w:tcPr>
            <w:tcW w:w="276" w:type="pct"/>
            <w:vAlign w:val="center"/>
          </w:tcPr>
          <w:p w:rsidR="00B81376" w:rsidRPr="00B81376" w:rsidRDefault="00B81376" w:rsidP="00B81376">
            <w:pPr>
              <w:spacing w:before="60" w:after="60"/>
              <w:jc w:val="center"/>
              <w:rPr>
                <w:sz w:val="22"/>
                <w:szCs w:val="22"/>
              </w:rPr>
            </w:pPr>
            <w:r w:rsidRPr="00B81376">
              <w:rPr>
                <w:sz w:val="22"/>
                <w:szCs w:val="22"/>
              </w:rPr>
              <w:t>Y</w:t>
            </w:r>
          </w:p>
        </w:tc>
        <w:tc>
          <w:tcPr>
            <w:tcW w:w="278" w:type="pct"/>
            <w:vAlign w:val="center"/>
          </w:tcPr>
          <w:p w:rsidR="00B81376" w:rsidRPr="00B81376" w:rsidRDefault="00B81376" w:rsidP="00B81376">
            <w:pPr>
              <w:spacing w:before="60" w:after="60"/>
              <w:jc w:val="center"/>
              <w:rPr>
                <w:sz w:val="22"/>
                <w:szCs w:val="22"/>
              </w:rPr>
            </w:pPr>
            <w:r w:rsidRPr="00B81376">
              <w:rPr>
                <w:sz w:val="22"/>
                <w:szCs w:val="22"/>
              </w:rPr>
              <w:t>Y</w:t>
            </w:r>
          </w:p>
        </w:tc>
        <w:tc>
          <w:tcPr>
            <w:tcW w:w="1268" w:type="pct"/>
            <w:tcBorders>
              <w:left w:val="nil"/>
            </w:tcBorders>
            <w:vAlign w:val="center"/>
          </w:tcPr>
          <w:p w:rsidR="00B81376" w:rsidRPr="00B81376" w:rsidRDefault="00B81376" w:rsidP="00B81376">
            <w:pPr>
              <w:spacing w:before="60" w:after="60"/>
              <w:rPr>
                <w:sz w:val="22"/>
                <w:szCs w:val="22"/>
              </w:rPr>
            </w:pPr>
            <w:r w:rsidRPr="00B81376">
              <w:rPr>
                <w:sz w:val="22"/>
                <w:szCs w:val="22"/>
              </w:rPr>
              <w:t>No musty odors or visible mold</w:t>
            </w:r>
          </w:p>
        </w:tc>
      </w:tr>
      <w:tr w:rsidR="00B81376" w:rsidRPr="00B81376" w:rsidTr="00FA7353">
        <w:trPr>
          <w:cantSplit/>
          <w:trHeight w:val="560"/>
          <w:jc w:val="center"/>
        </w:trPr>
        <w:tc>
          <w:tcPr>
            <w:tcW w:w="555" w:type="pct"/>
            <w:vAlign w:val="center"/>
          </w:tcPr>
          <w:p w:rsidR="00B81376" w:rsidRPr="00B81376" w:rsidRDefault="00B81376" w:rsidP="00B81376">
            <w:pPr>
              <w:spacing w:before="60" w:after="60"/>
              <w:rPr>
                <w:sz w:val="22"/>
                <w:szCs w:val="22"/>
              </w:rPr>
            </w:pPr>
            <w:r w:rsidRPr="00B81376">
              <w:rPr>
                <w:sz w:val="22"/>
                <w:szCs w:val="22"/>
              </w:rPr>
              <w:t>UM area</w:t>
            </w:r>
          </w:p>
        </w:tc>
        <w:tc>
          <w:tcPr>
            <w:tcW w:w="313" w:type="pct"/>
            <w:vAlign w:val="center"/>
          </w:tcPr>
          <w:p w:rsidR="00B81376" w:rsidRPr="00B81376" w:rsidRDefault="00B81376" w:rsidP="00B81376">
            <w:pPr>
              <w:spacing w:before="60" w:after="60"/>
              <w:jc w:val="center"/>
              <w:rPr>
                <w:sz w:val="22"/>
                <w:szCs w:val="22"/>
              </w:rPr>
            </w:pPr>
            <w:r w:rsidRPr="00B81376">
              <w:rPr>
                <w:sz w:val="22"/>
                <w:szCs w:val="22"/>
              </w:rPr>
              <w:t>501</w:t>
            </w:r>
          </w:p>
        </w:tc>
        <w:tc>
          <w:tcPr>
            <w:tcW w:w="339" w:type="pct"/>
            <w:vAlign w:val="center"/>
          </w:tcPr>
          <w:p w:rsidR="00B81376" w:rsidRPr="00B81376" w:rsidRDefault="00B81376" w:rsidP="00B81376">
            <w:pPr>
              <w:spacing w:before="60" w:after="60"/>
              <w:jc w:val="center"/>
              <w:rPr>
                <w:sz w:val="22"/>
                <w:szCs w:val="22"/>
              </w:rPr>
            </w:pPr>
            <w:r w:rsidRPr="00B81376">
              <w:rPr>
                <w:sz w:val="22"/>
                <w:szCs w:val="22"/>
              </w:rPr>
              <w:t>ND</w:t>
            </w:r>
          </w:p>
        </w:tc>
        <w:tc>
          <w:tcPr>
            <w:tcW w:w="277" w:type="pct"/>
            <w:vAlign w:val="center"/>
          </w:tcPr>
          <w:p w:rsidR="00B81376" w:rsidRPr="00B81376" w:rsidRDefault="00B81376" w:rsidP="00B81376">
            <w:pPr>
              <w:spacing w:before="60" w:after="60"/>
              <w:jc w:val="center"/>
              <w:rPr>
                <w:sz w:val="22"/>
                <w:szCs w:val="22"/>
              </w:rPr>
            </w:pPr>
            <w:r w:rsidRPr="00B81376">
              <w:rPr>
                <w:sz w:val="22"/>
                <w:szCs w:val="22"/>
              </w:rPr>
              <w:t>77</w:t>
            </w:r>
          </w:p>
        </w:tc>
        <w:tc>
          <w:tcPr>
            <w:tcW w:w="369" w:type="pct"/>
            <w:vAlign w:val="center"/>
          </w:tcPr>
          <w:p w:rsidR="00B81376" w:rsidRPr="00B81376" w:rsidRDefault="00B81376" w:rsidP="00B81376">
            <w:pPr>
              <w:spacing w:before="60" w:after="60"/>
              <w:jc w:val="center"/>
              <w:rPr>
                <w:sz w:val="22"/>
                <w:szCs w:val="22"/>
              </w:rPr>
            </w:pPr>
            <w:r w:rsidRPr="00B81376">
              <w:rPr>
                <w:sz w:val="22"/>
                <w:szCs w:val="22"/>
              </w:rPr>
              <w:t>29</w:t>
            </w:r>
          </w:p>
        </w:tc>
        <w:tc>
          <w:tcPr>
            <w:tcW w:w="277" w:type="pct"/>
            <w:vAlign w:val="center"/>
          </w:tcPr>
          <w:p w:rsidR="00B81376" w:rsidRPr="00B81376" w:rsidRDefault="00B81376" w:rsidP="00B81376">
            <w:pPr>
              <w:spacing w:before="60" w:after="60"/>
              <w:jc w:val="center"/>
              <w:rPr>
                <w:sz w:val="22"/>
                <w:szCs w:val="22"/>
              </w:rPr>
            </w:pPr>
            <w:r w:rsidRPr="00B81376">
              <w:rPr>
                <w:sz w:val="22"/>
                <w:szCs w:val="22"/>
              </w:rPr>
              <w:t>3</w:t>
            </w:r>
          </w:p>
        </w:tc>
        <w:tc>
          <w:tcPr>
            <w:tcW w:w="277" w:type="pct"/>
            <w:vAlign w:val="center"/>
          </w:tcPr>
          <w:p w:rsidR="00B81376" w:rsidRPr="00B81376" w:rsidRDefault="00B81376" w:rsidP="00B81376">
            <w:pPr>
              <w:jc w:val="center"/>
              <w:rPr>
                <w:sz w:val="22"/>
                <w:szCs w:val="22"/>
              </w:rPr>
            </w:pPr>
            <w:r w:rsidRPr="00B81376">
              <w:rPr>
                <w:sz w:val="22"/>
                <w:szCs w:val="22"/>
              </w:rPr>
              <w:t>ND</w:t>
            </w:r>
          </w:p>
        </w:tc>
        <w:tc>
          <w:tcPr>
            <w:tcW w:w="370" w:type="pct"/>
            <w:vAlign w:val="center"/>
          </w:tcPr>
          <w:p w:rsidR="00B81376" w:rsidRPr="00B81376" w:rsidRDefault="00B81376" w:rsidP="00B81376">
            <w:pPr>
              <w:jc w:val="center"/>
              <w:rPr>
                <w:sz w:val="22"/>
                <w:szCs w:val="22"/>
              </w:rPr>
            </w:pPr>
            <w:r w:rsidRPr="00B81376">
              <w:rPr>
                <w:sz w:val="22"/>
                <w:szCs w:val="22"/>
              </w:rPr>
              <w:t>3</w:t>
            </w:r>
          </w:p>
        </w:tc>
        <w:tc>
          <w:tcPr>
            <w:tcW w:w="401" w:type="pct"/>
            <w:vAlign w:val="center"/>
          </w:tcPr>
          <w:p w:rsidR="00B81376" w:rsidRPr="00B81376" w:rsidRDefault="00B81376" w:rsidP="00B81376">
            <w:pPr>
              <w:spacing w:before="60" w:after="60"/>
              <w:jc w:val="center"/>
              <w:rPr>
                <w:sz w:val="22"/>
                <w:szCs w:val="22"/>
              </w:rPr>
            </w:pPr>
            <w:r w:rsidRPr="00B81376">
              <w:rPr>
                <w:sz w:val="22"/>
                <w:szCs w:val="22"/>
              </w:rPr>
              <w:t>N</w:t>
            </w:r>
          </w:p>
        </w:tc>
        <w:tc>
          <w:tcPr>
            <w:tcW w:w="276" w:type="pct"/>
            <w:vAlign w:val="center"/>
          </w:tcPr>
          <w:p w:rsidR="00B81376" w:rsidRPr="00B81376" w:rsidRDefault="00B81376" w:rsidP="00B81376">
            <w:pPr>
              <w:spacing w:before="60" w:after="60"/>
              <w:jc w:val="center"/>
              <w:rPr>
                <w:sz w:val="22"/>
                <w:szCs w:val="22"/>
              </w:rPr>
            </w:pPr>
            <w:r w:rsidRPr="00B81376">
              <w:rPr>
                <w:sz w:val="22"/>
                <w:szCs w:val="22"/>
              </w:rPr>
              <w:t>Y</w:t>
            </w:r>
          </w:p>
        </w:tc>
        <w:tc>
          <w:tcPr>
            <w:tcW w:w="278" w:type="pct"/>
            <w:vAlign w:val="center"/>
          </w:tcPr>
          <w:p w:rsidR="00B81376" w:rsidRPr="00B81376" w:rsidRDefault="00B81376" w:rsidP="00B81376">
            <w:pPr>
              <w:spacing w:before="60" w:after="60"/>
              <w:jc w:val="center"/>
              <w:rPr>
                <w:sz w:val="22"/>
                <w:szCs w:val="22"/>
              </w:rPr>
            </w:pPr>
            <w:r w:rsidRPr="00B81376">
              <w:rPr>
                <w:sz w:val="22"/>
                <w:szCs w:val="22"/>
              </w:rPr>
              <w:t>Y</w:t>
            </w:r>
          </w:p>
        </w:tc>
        <w:tc>
          <w:tcPr>
            <w:tcW w:w="1268" w:type="pct"/>
            <w:tcBorders>
              <w:left w:val="nil"/>
            </w:tcBorders>
            <w:vAlign w:val="center"/>
          </w:tcPr>
          <w:p w:rsidR="00B81376" w:rsidRPr="00B81376" w:rsidRDefault="00B81376" w:rsidP="00B81376">
            <w:pPr>
              <w:spacing w:before="60" w:after="60"/>
              <w:rPr>
                <w:sz w:val="22"/>
                <w:szCs w:val="22"/>
              </w:rPr>
            </w:pPr>
            <w:r w:rsidRPr="00B81376">
              <w:rPr>
                <w:sz w:val="22"/>
                <w:szCs w:val="22"/>
              </w:rPr>
              <w:t>AF odor, carpet, DEM, AI</w:t>
            </w:r>
          </w:p>
        </w:tc>
      </w:tr>
    </w:tbl>
    <w:p w:rsidR="00B81376" w:rsidRPr="00B81376" w:rsidRDefault="00B81376" w:rsidP="00B81376"/>
    <w:p w:rsidR="00533D9F" w:rsidRPr="00B81376" w:rsidRDefault="00533D9F" w:rsidP="00B81376">
      <w:pPr>
        <w:spacing w:after="200" w:line="276" w:lineRule="auto"/>
        <w:jc w:val="center"/>
        <w:rPr>
          <w:rFonts w:eastAsia="Calibri"/>
          <w:b/>
          <w:szCs w:val="24"/>
        </w:rPr>
      </w:pPr>
    </w:p>
    <w:sectPr w:rsidR="00533D9F" w:rsidRPr="00B81376" w:rsidSect="00B81376">
      <w:headerReference w:type="even" r:id="rId28"/>
      <w:headerReference w:type="default" r:id="rId29"/>
      <w:footerReference w:type="default" r:id="rId30"/>
      <w:headerReference w:type="first" r:id="rId31"/>
      <w:footerReference w:type="first" r:id="rId32"/>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072" w:rsidRDefault="00031072">
      <w:r>
        <w:separator/>
      </w:r>
    </w:p>
  </w:endnote>
  <w:endnote w:type="continuationSeparator" w:id="0">
    <w:p w:rsidR="00031072" w:rsidRDefault="0003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5B47">
      <w:rPr>
        <w:rStyle w:val="PageNumber"/>
        <w:noProof/>
      </w:rPr>
      <w:t>7</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376" w:rsidRDefault="00B8137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376" w:rsidRDefault="00B8137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24" w:type="dxa"/>
      <w:jc w:val="center"/>
      <w:tblInd w:w="-98" w:type="dxa"/>
      <w:tblLayout w:type="fixed"/>
      <w:tblLook w:val="0000" w:firstRow="0" w:lastRow="0" w:firstColumn="0" w:lastColumn="0" w:noHBand="0" w:noVBand="0"/>
    </w:tblPr>
    <w:tblGrid>
      <w:gridCol w:w="3407"/>
      <w:gridCol w:w="2617"/>
      <w:gridCol w:w="2700"/>
    </w:tblGrid>
    <w:tr w:rsidR="00FA7353" w:rsidRPr="00A618CB" w:rsidTr="00FA7353">
      <w:trPr>
        <w:trHeight w:val="300"/>
        <w:jc w:val="center"/>
      </w:trPr>
      <w:tc>
        <w:tcPr>
          <w:tcW w:w="3407" w:type="dxa"/>
          <w:tcBorders>
            <w:top w:val="nil"/>
            <w:left w:val="nil"/>
            <w:bottom w:val="nil"/>
            <w:right w:val="nil"/>
          </w:tcBorders>
          <w:shd w:val="clear" w:color="auto" w:fill="auto"/>
          <w:noWrap/>
          <w:vAlign w:val="center"/>
        </w:tcPr>
        <w:p w:rsidR="00FA7353" w:rsidRPr="00A618CB" w:rsidRDefault="00FA7353" w:rsidP="00FA7353">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FA7353" w:rsidRPr="00A618CB" w:rsidRDefault="00FA7353" w:rsidP="00FA7353">
          <w:pPr>
            <w:rPr>
              <w:rFonts w:ascii="Times" w:hAnsi="Times" w:cs="Times"/>
              <w:sz w:val="20"/>
            </w:rPr>
          </w:pPr>
          <w:r>
            <w:rPr>
              <w:rFonts w:ascii="Times" w:hAnsi="Times" w:cs="Times"/>
              <w:sz w:val="20"/>
            </w:rPr>
            <w:t>CP = cleaning products</w:t>
          </w:r>
        </w:p>
      </w:tc>
      <w:tc>
        <w:tcPr>
          <w:tcW w:w="2700" w:type="dxa"/>
          <w:tcBorders>
            <w:top w:val="nil"/>
            <w:left w:val="nil"/>
            <w:bottom w:val="nil"/>
            <w:right w:val="nil"/>
          </w:tcBorders>
          <w:shd w:val="clear" w:color="auto" w:fill="auto"/>
          <w:noWrap/>
          <w:vAlign w:val="center"/>
        </w:tcPr>
        <w:p w:rsidR="00FA7353" w:rsidRPr="00A618CB" w:rsidRDefault="00FA7353" w:rsidP="00FA7353">
          <w:pPr>
            <w:rPr>
              <w:rFonts w:ascii="Times" w:hAnsi="Times" w:cs="Times"/>
              <w:sz w:val="20"/>
            </w:rPr>
          </w:pPr>
          <w:r w:rsidRPr="00A618CB">
            <w:rPr>
              <w:rFonts w:ascii="Times" w:hAnsi="Times" w:cs="Times"/>
              <w:sz w:val="20"/>
            </w:rPr>
            <w:t>HS = hand sanitizer</w:t>
          </w:r>
        </w:p>
      </w:tc>
    </w:tr>
    <w:tr w:rsidR="00FA7353" w:rsidRPr="00A618CB" w:rsidTr="00FA7353">
      <w:trPr>
        <w:trHeight w:val="300"/>
        <w:jc w:val="center"/>
      </w:trPr>
      <w:tc>
        <w:tcPr>
          <w:tcW w:w="3407" w:type="dxa"/>
          <w:tcBorders>
            <w:top w:val="nil"/>
            <w:left w:val="nil"/>
            <w:bottom w:val="nil"/>
            <w:right w:val="nil"/>
          </w:tcBorders>
          <w:shd w:val="clear" w:color="auto" w:fill="auto"/>
          <w:noWrap/>
          <w:vAlign w:val="center"/>
        </w:tcPr>
        <w:p w:rsidR="00FA7353" w:rsidRPr="00A618CB" w:rsidRDefault="00FA7353" w:rsidP="00FA7353">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FA7353" w:rsidRPr="00A618CB" w:rsidRDefault="00FA7353" w:rsidP="00FA7353">
          <w:pPr>
            <w:rPr>
              <w:rFonts w:ascii="Times" w:hAnsi="Times" w:cs="Times"/>
              <w:sz w:val="20"/>
            </w:rPr>
          </w:pPr>
          <w:r>
            <w:rPr>
              <w:rFonts w:ascii="Times" w:hAnsi="Times" w:cs="Times"/>
              <w:sz w:val="20"/>
            </w:rPr>
            <w:t>CT = ceiling tile</w:t>
          </w:r>
        </w:p>
      </w:tc>
      <w:tc>
        <w:tcPr>
          <w:tcW w:w="2700" w:type="dxa"/>
          <w:tcBorders>
            <w:top w:val="nil"/>
            <w:left w:val="nil"/>
            <w:bottom w:val="nil"/>
            <w:right w:val="nil"/>
          </w:tcBorders>
          <w:shd w:val="clear" w:color="auto" w:fill="auto"/>
          <w:noWrap/>
          <w:vAlign w:val="center"/>
        </w:tcPr>
        <w:p w:rsidR="00FA7353" w:rsidRPr="00A618CB" w:rsidRDefault="00FA7353" w:rsidP="00FA7353">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r>
    <w:tr w:rsidR="00FA7353" w:rsidRPr="00A618CB" w:rsidTr="00FA7353">
      <w:trPr>
        <w:trHeight w:val="300"/>
        <w:jc w:val="center"/>
      </w:trPr>
      <w:tc>
        <w:tcPr>
          <w:tcW w:w="3407" w:type="dxa"/>
          <w:tcBorders>
            <w:top w:val="nil"/>
            <w:left w:val="nil"/>
            <w:bottom w:val="nil"/>
            <w:right w:val="nil"/>
          </w:tcBorders>
          <w:shd w:val="clear" w:color="auto" w:fill="auto"/>
          <w:noWrap/>
          <w:vAlign w:val="center"/>
        </w:tcPr>
        <w:p w:rsidR="00FA7353" w:rsidRPr="00A618CB" w:rsidRDefault="00FA7353" w:rsidP="00FA7353">
          <w:pPr>
            <w:rPr>
              <w:rFonts w:ascii="Times" w:hAnsi="Times" w:cs="Times"/>
              <w:sz w:val="20"/>
            </w:rPr>
          </w:pPr>
          <w:r w:rsidRPr="00A618CB">
            <w:rPr>
              <w:rFonts w:ascii="Times" w:hAnsi="Times" w:cs="Times"/>
              <w:sz w:val="20"/>
            </w:rPr>
            <w:t>ND = non detect</w:t>
          </w:r>
        </w:p>
      </w:tc>
      <w:tc>
        <w:tcPr>
          <w:tcW w:w="2617" w:type="dxa"/>
          <w:tcBorders>
            <w:top w:val="nil"/>
            <w:left w:val="nil"/>
            <w:bottom w:val="nil"/>
            <w:right w:val="nil"/>
          </w:tcBorders>
          <w:shd w:val="clear" w:color="auto" w:fill="auto"/>
          <w:noWrap/>
          <w:vAlign w:val="center"/>
        </w:tcPr>
        <w:p w:rsidR="00FA7353" w:rsidRPr="00A618CB" w:rsidRDefault="00FA7353" w:rsidP="00FA7353">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shd w:val="clear" w:color="auto" w:fill="auto"/>
          <w:noWrap/>
          <w:vAlign w:val="center"/>
        </w:tcPr>
        <w:p w:rsidR="00FA7353" w:rsidRPr="00A618CB" w:rsidRDefault="00FA7353" w:rsidP="00FA7353">
          <w:pPr>
            <w:rPr>
              <w:rFonts w:ascii="Times" w:hAnsi="Times" w:cs="Times"/>
              <w:sz w:val="20"/>
            </w:rPr>
          </w:pPr>
          <w:r w:rsidRPr="00A618CB">
            <w:rPr>
              <w:rFonts w:ascii="Times" w:hAnsi="Times" w:cs="Times"/>
              <w:sz w:val="20"/>
            </w:rPr>
            <w:t>WD = water-damaged</w:t>
          </w:r>
        </w:p>
      </w:tc>
    </w:tr>
  </w:tbl>
  <w:p w:rsidR="00FA7353" w:rsidRDefault="00FA7353" w:rsidP="00FA7353">
    <w:pPr>
      <w:tabs>
        <w:tab w:val="left" w:pos="9180"/>
      </w:tabs>
      <w:rPr>
        <w:b/>
        <w:sz w:val="20"/>
      </w:rPr>
    </w:pPr>
  </w:p>
  <w:p w:rsidR="00FA7353" w:rsidRDefault="00FA7353" w:rsidP="00FA735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A7353" w:rsidTr="00FA7353">
      <w:tc>
        <w:tcPr>
          <w:tcW w:w="2718" w:type="dxa"/>
        </w:tcPr>
        <w:p w:rsidR="00FA7353" w:rsidRDefault="00FA7353" w:rsidP="00FA735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FA7353" w:rsidRPr="00EF358C" w:rsidRDefault="00FA7353" w:rsidP="00FA7353">
          <w:pPr>
            <w:rPr>
              <w:sz w:val="20"/>
            </w:rPr>
          </w:pPr>
          <w:r w:rsidRPr="00EF358C">
            <w:rPr>
              <w:sz w:val="20"/>
            </w:rPr>
            <w:t>&lt; 800 = preferable</w:t>
          </w:r>
        </w:p>
      </w:tc>
      <w:tc>
        <w:tcPr>
          <w:tcW w:w="3600" w:type="dxa"/>
        </w:tcPr>
        <w:p w:rsidR="00FA7353" w:rsidRDefault="00FA7353" w:rsidP="00FA7353">
          <w:pPr>
            <w:jc w:val="right"/>
            <w:rPr>
              <w:sz w:val="20"/>
            </w:rPr>
          </w:pPr>
          <w:r>
            <w:rPr>
              <w:sz w:val="20"/>
            </w:rPr>
            <w:t>Temperature:</w:t>
          </w:r>
        </w:p>
      </w:tc>
      <w:tc>
        <w:tcPr>
          <w:tcW w:w="3420" w:type="dxa"/>
        </w:tcPr>
        <w:p w:rsidR="00FA7353" w:rsidRDefault="00FA7353" w:rsidP="00FA7353">
          <w:pPr>
            <w:rPr>
              <w:sz w:val="20"/>
            </w:rPr>
          </w:pPr>
          <w:r>
            <w:rPr>
              <w:sz w:val="20"/>
            </w:rPr>
            <w:t>70 - 78 °F</w:t>
          </w:r>
        </w:p>
      </w:tc>
    </w:tr>
    <w:tr w:rsidR="00FA7353" w:rsidTr="00FA7353">
      <w:tc>
        <w:tcPr>
          <w:tcW w:w="2718" w:type="dxa"/>
        </w:tcPr>
        <w:p w:rsidR="00FA7353" w:rsidRDefault="00FA7353" w:rsidP="00FA7353">
          <w:pPr>
            <w:jc w:val="right"/>
            <w:rPr>
              <w:sz w:val="20"/>
            </w:rPr>
          </w:pPr>
        </w:p>
      </w:tc>
      <w:tc>
        <w:tcPr>
          <w:tcW w:w="4860" w:type="dxa"/>
        </w:tcPr>
        <w:p w:rsidR="00FA7353" w:rsidRPr="00EF358C" w:rsidRDefault="00FA7353" w:rsidP="00FA7353">
          <w:pPr>
            <w:rPr>
              <w:sz w:val="20"/>
            </w:rPr>
          </w:pPr>
          <w:r w:rsidRPr="00EF358C">
            <w:rPr>
              <w:sz w:val="20"/>
            </w:rPr>
            <w:t>&gt; 800 ppm = indicative of ventilation problems</w:t>
          </w:r>
        </w:p>
      </w:tc>
      <w:tc>
        <w:tcPr>
          <w:tcW w:w="3600" w:type="dxa"/>
        </w:tcPr>
        <w:p w:rsidR="00FA7353" w:rsidRDefault="00FA7353" w:rsidP="00FA7353">
          <w:pPr>
            <w:jc w:val="right"/>
            <w:rPr>
              <w:sz w:val="20"/>
            </w:rPr>
          </w:pPr>
          <w:r>
            <w:rPr>
              <w:sz w:val="20"/>
            </w:rPr>
            <w:t>Relative Humidity:</w:t>
          </w:r>
        </w:p>
      </w:tc>
      <w:tc>
        <w:tcPr>
          <w:tcW w:w="3420" w:type="dxa"/>
        </w:tcPr>
        <w:p w:rsidR="00FA7353" w:rsidRDefault="00FA7353" w:rsidP="00FA7353">
          <w:pPr>
            <w:rPr>
              <w:sz w:val="20"/>
            </w:rPr>
          </w:pPr>
          <w:r>
            <w:rPr>
              <w:sz w:val="20"/>
            </w:rPr>
            <w:t>40 - 60%</w:t>
          </w:r>
        </w:p>
      </w:tc>
    </w:tr>
  </w:tbl>
  <w:p w:rsidR="00FA7353" w:rsidRDefault="00FA7353" w:rsidP="00FA7353">
    <w:pPr>
      <w:pStyle w:val="Footer"/>
      <w:jc w:val="center"/>
    </w:pPr>
  </w:p>
  <w:p w:rsidR="00FA7353" w:rsidRPr="00A7353A" w:rsidRDefault="00FA7353" w:rsidP="00FA7353">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99" w:type="dxa"/>
      <w:jc w:val="center"/>
      <w:tblInd w:w="-98" w:type="dxa"/>
      <w:tblLayout w:type="fixed"/>
      <w:tblLook w:val="0000" w:firstRow="0" w:lastRow="0" w:firstColumn="0" w:lastColumn="0" w:noHBand="0" w:noVBand="0"/>
    </w:tblPr>
    <w:tblGrid>
      <w:gridCol w:w="3407"/>
      <w:gridCol w:w="2617"/>
      <w:gridCol w:w="2475"/>
    </w:tblGrid>
    <w:tr w:rsidR="00FA7353" w:rsidRPr="00A618CB" w:rsidTr="00FA7353">
      <w:trPr>
        <w:trHeight w:val="300"/>
        <w:jc w:val="center"/>
      </w:trPr>
      <w:tc>
        <w:tcPr>
          <w:tcW w:w="3407" w:type="dxa"/>
          <w:tcBorders>
            <w:top w:val="nil"/>
            <w:left w:val="nil"/>
            <w:bottom w:val="nil"/>
            <w:right w:val="nil"/>
          </w:tcBorders>
          <w:shd w:val="clear" w:color="auto" w:fill="auto"/>
          <w:noWrap/>
          <w:vAlign w:val="center"/>
        </w:tcPr>
        <w:p w:rsidR="00FA7353" w:rsidRPr="00A618CB" w:rsidRDefault="00FA7353" w:rsidP="00FA7353">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FA7353" w:rsidRPr="00A618CB" w:rsidRDefault="00FA7353" w:rsidP="00FA7353">
          <w:pPr>
            <w:rPr>
              <w:rFonts w:ascii="Times" w:hAnsi="Times" w:cs="Times"/>
              <w:sz w:val="20"/>
            </w:rPr>
          </w:pPr>
          <w:r>
            <w:rPr>
              <w:rFonts w:ascii="Times" w:hAnsi="Times" w:cs="Times"/>
              <w:sz w:val="20"/>
            </w:rPr>
            <w:t>AF = air freshener</w:t>
          </w:r>
        </w:p>
      </w:tc>
      <w:tc>
        <w:tcPr>
          <w:tcW w:w="2475" w:type="dxa"/>
          <w:tcBorders>
            <w:top w:val="nil"/>
            <w:left w:val="nil"/>
            <w:bottom w:val="nil"/>
            <w:right w:val="nil"/>
          </w:tcBorders>
          <w:shd w:val="clear" w:color="auto" w:fill="auto"/>
          <w:noWrap/>
          <w:vAlign w:val="center"/>
        </w:tcPr>
        <w:p w:rsidR="00FA7353" w:rsidRPr="00A618CB" w:rsidRDefault="00FA7353" w:rsidP="00FA7353">
          <w:pPr>
            <w:rPr>
              <w:rFonts w:ascii="Times" w:hAnsi="Times" w:cs="Times"/>
              <w:sz w:val="20"/>
            </w:rPr>
          </w:pPr>
          <w:r>
            <w:rPr>
              <w:rFonts w:ascii="Times" w:hAnsi="Times" w:cs="Times"/>
              <w:sz w:val="20"/>
            </w:rPr>
            <w:t>DEM = dry erase materials</w:t>
          </w:r>
        </w:p>
      </w:tc>
    </w:tr>
    <w:tr w:rsidR="00FA7353" w:rsidRPr="00A618CB" w:rsidTr="00FA7353">
      <w:trPr>
        <w:trHeight w:val="300"/>
        <w:jc w:val="center"/>
      </w:trPr>
      <w:tc>
        <w:tcPr>
          <w:tcW w:w="3407" w:type="dxa"/>
          <w:tcBorders>
            <w:top w:val="nil"/>
            <w:left w:val="nil"/>
            <w:bottom w:val="nil"/>
            <w:right w:val="nil"/>
          </w:tcBorders>
          <w:shd w:val="clear" w:color="auto" w:fill="auto"/>
          <w:noWrap/>
          <w:vAlign w:val="center"/>
        </w:tcPr>
        <w:p w:rsidR="00FA7353" w:rsidRPr="00A618CB" w:rsidRDefault="00FA7353" w:rsidP="00FA7353">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FA7353" w:rsidRPr="00A618CB" w:rsidRDefault="00FA7353" w:rsidP="00FA7353">
          <w:pPr>
            <w:rPr>
              <w:rFonts w:ascii="Times" w:hAnsi="Times" w:cs="Times"/>
              <w:sz w:val="20"/>
            </w:rPr>
          </w:pPr>
          <w:r>
            <w:rPr>
              <w:rFonts w:ascii="Times" w:hAnsi="Times" w:cs="Times"/>
              <w:sz w:val="20"/>
            </w:rPr>
            <w:t>AI = accumulated items</w:t>
          </w:r>
        </w:p>
      </w:tc>
      <w:tc>
        <w:tcPr>
          <w:tcW w:w="2475" w:type="dxa"/>
          <w:tcBorders>
            <w:top w:val="nil"/>
            <w:left w:val="nil"/>
            <w:bottom w:val="nil"/>
            <w:right w:val="nil"/>
          </w:tcBorders>
          <w:shd w:val="clear" w:color="auto" w:fill="auto"/>
          <w:noWrap/>
          <w:vAlign w:val="center"/>
        </w:tcPr>
        <w:p w:rsidR="00FA7353" w:rsidRPr="00A618CB" w:rsidRDefault="00FA7353" w:rsidP="00FA7353">
          <w:pPr>
            <w:rPr>
              <w:rFonts w:ascii="Times" w:hAnsi="Times" w:cs="Times"/>
              <w:sz w:val="20"/>
            </w:rPr>
          </w:pPr>
          <w:r w:rsidRPr="00A618CB">
            <w:rPr>
              <w:rFonts w:ascii="Times" w:hAnsi="Times" w:cs="Times"/>
              <w:sz w:val="20"/>
            </w:rPr>
            <w:t>ND = non detect</w:t>
          </w:r>
        </w:p>
      </w:tc>
    </w:tr>
  </w:tbl>
  <w:p w:rsidR="00FA7353" w:rsidRDefault="00FA7353" w:rsidP="00FA7353">
    <w:pPr>
      <w:tabs>
        <w:tab w:val="left" w:pos="9180"/>
      </w:tabs>
      <w:rPr>
        <w:b/>
        <w:sz w:val="20"/>
      </w:rPr>
    </w:pPr>
  </w:p>
  <w:p w:rsidR="00FA7353" w:rsidRDefault="00FA7353" w:rsidP="00FA735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A7353" w:rsidTr="00FA7353">
      <w:tc>
        <w:tcPr>
          <w:tcW w:w="2718" w:type="dxa"/>
        </w:tcPr>
        <w:p w:rsidR="00FA7353" w:rsidRDefault="00FA7353" w:rsidP="00FA735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FA7353" w:rsidRPr="00EF358C" w:rsidRDefault="00FA7353" w:rsidP="00FA7353">
          <w:pPr>
            <w:rPr>
              <w:sz w:val="20"/>
            </w:rPr>
          </w:pPr>
          <w:r w:rsidRPr="00EF358C">
            <w:rPr>
              <w:sz w:val="20"/>
            </w:rPr>
            <w:t>&lt; 800 = preferable</w:t>
          </w:r>
        </w:p>
      </w:tc>
      <w:tc>
        <w:tcPr>
          <w:tcW w:w="3600" w:type="dxa"/>
        </w:tcPr>
        <w:p w:rsidR="00FA7353" w:rsidRDefault="00FA7353" w:rsidP="00FA7353">
          <w:pPr>
            <w:jc w:val="right"/>
            <w:rPr>
              <w:sz w:val="20"/>
            </w:rPr>
          </w:pPr>
          <w:r>
            <w:rPr>
              <w:sz w:val="20"/>
            </w:rPr>
            <w:t>Temperature:</w:t>
          </w:r>
        </w:p>
      </w:tc>
      <w:tc>
        <w:tcPr>
          <w:tcW w:w="3420" w:type="dxa"/>
        </w:tcPr>
        <w:p w:rsidR="00FA7353" w:rsidRDefault="00FA7353" w:rsidP="00FA7353">
          <w:pPr>
            <w:rPr>
              <w:sz w:val="20"/>
            </w:rPr>
          </w:pPr>
          <w:r>
            <w:rPr>
              <w:sz w:val="20"/>
            </w:rPr>
            <w:t>70 - 78 °F</w:t>
          </w:r>
        </w:p>
      </w:tc>
    </w:tr>
    <w:tr w:rsidR="00FA7353" w:rsidTr="00FA7353">
      <w:tc>
        <w:tcPr>
          <w:tcW w:w="2718" w:type="dxa"/>
        </w:tcPr>
        <w:p w:rsidR="00FA7353" w:rsidRDefault="00FA7353" w:rsidP="00FA7353">
          <w:pPr>
            <w:jc w:val="right"/>
            <w:rPr>
              <w:sz w:val="20"/>
            </w:rPr>
          </w:pPr>
        </w:p>
      </w:tc>
      <w:tc>
        <w:tcPr>
          <w:tcW w:w="4860" w:type="dxa"/>
        </w:tcPr>
        <w:p w:rsidR="00FA7353" w:rsidRPr="00EF358C" w:rsidRDefault="00FA7353" w:rsidP="00FA7353">
          <w:pPr>
            <w:rPr>
              <w:sz w:val="20"/>
            </w:rPr>
          </w:pPr>
          <w:r w:rsidRPr="00EF358C">
            <w:rPr>
              <w:sz w:val="20"/>
            </w:rPr>
            <w:t>&gt; 800 ppm = indicative of ventilation problems</w:t>
          </w:r>
        </w:p>
      </w:tc>
      <w:tc>
        <w:tcPr>
          <w:tcW w:w="3600" w:type="dxa"/>
        </w:tcPr>
        <w:p w:rsidR="00FA7353" w:rsidRDefault="00FA7353" w:rsidP="00FA7353">
          <w:pPr>
            <w:jc w:val="right"/>
            <w:rPr>
              <w:sz w:val="20"/>
            </w:rPr>
          </w:pPr>
          <w:r>
            <w:rPr>
              <w:sz w:val="20"/>
            </w:rPr>
            <w:t>Relative Humidity:</w:t>
          </w:r>
        </w:p>
      </w:tc>
      <w:tc>
        <w:tcPr>
          <w:tcW w:w="3420" w:type="dxa"/>
        </w:tcPr>
        <w:p w:rsidR="00FA7353" w:rsidRDefault="00FA7353" w:rsidP="00FA7353">
          <w:pPr>
            <w:rPr>
              <w:sz w:val="20"/>
            </w:rPr>
          </w:pPr>
          <w:r>
            <w:rPr>
              <w:sz w:val="20"/>
            </w:rPr>
            <w:t>40 - 60%</w:t>
          </w:r>
        </w:p>
      </w:tc>
    </w:tr>
  </w:tbl>
  <w:p w:rsidR="00FA7353" w:rsidRDefault="00FA7353" w:rsidP="00FA7353">
    <w:pPr>
      <w:pStyle w:val="Footer"/>
      <w:jc w:val="center"/>
    </w:pPr>
  </w:p>
  <w:p w:rsidR="00FA7353" w:rsidRPr="00A7353A" w:rsidRDefault="00FA7353" w:rsidP="00FA7353">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7D5B47">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072" w:rsidRDefault="00031072">
      <w:r>
        <w:separator/>
      </w:r>
    </w:p>
  </w:footnote>
  <w:footnote w:type="continuationSeparator" w:id="0">
    <w:p w:rsidR="00031072" w:rsidRDefault="00031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376" w:rsidRDefault="00B813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376" w:rsidRDefault="00B813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376" w:rsidRDefault="00B8137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353" w:rsidRDefault="00FA73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7353" w:rsidRDefault="00FA735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FA7353" w:rsidTr="00FA7353">
      <w:trPr>
        <w:cantSplit/>
      </w:trPr>
      <w:tc>
        <w:tcPr>
          <w:tcW w:w="12258" w:type="dxa"/>
          <w:gridSpan w:val="3"/>
        </w:tcPr>
        <w:p w:rsidR="00FA7353" w:rsidRPr="00AA0C96" w:rsidRDefault="00FA7353" w:rsidP="00FA7353">
          <w:pPr>
            <w:pStyle w:val="Header"/>
            <w:spacing w:before="60" w:after="60"/>
            <w:rPr>
              <w:b/>
              <w:sz w:val="22"/>
            </w:rPr>
          </w:pPr>
          <w:r>
            <w:rPr>
              <w:b/>
              <w:sz w:val="22"/>
            </w:rPr>
            <w:t>Location: Lakeville Police Department</w:t>
          </w:r>
        </w:p>
      </w:tc>
      <w:tc>
        <w:tcPr>
          <w:tcW w:w="2358" w:type="dxa"/>
        </w:tcPr>
        <w:p w:rsidR="00FA7353" w:rsidRPr="00AA0C96" w:rsidRDefault="00FA7353" w:rsidP="00FA7353">
          <w:pPr>
            <w:pStyle w:val="Header"/>
            <w:tabs>
              <w:tab w:val="clear" w:pos="4320"/>
              <w:tab w:val="clear" w:pos="8640"/>
            </w:tabs>
            <w:spacing w:before="60" w:after="60"/>
            <w:rPr>
              <w:b/>
              <w:sz w:val="22"/>
            </w:rPr>
          </w:pPr>
          <w:r w:rsidRPr="00AA0C96">
            <w:rPr>
              <w:b/>
              <w:sz w:val="22"/>
            </w:rPr>
            <w:t>Indoor Air Results</w:t>
          </w:r>
        </w:p>
      </w:tc>
    </w:tr>
    <w:tr w:rsidR="00FA7353" w:rsidTr="00FA7353">
      <w:trPr>
        <w:cantSplit/>
      </w:trPr>
      <w:tc>
        <w:tcPr>
          <w:tcW w:w="4872" w:type="dxa"/>
        </w:tcPr>
        <w:p w:rsidR="00FA7353" w:rsidRPr="00AA0C96" w:rsidRDefault="00FA7353" w:rsidP="00FA7353">
          <w:pPr>
            <w:pStyle w:val="Header"/>
            <w:tabs>
              <w:tab w:val="clear" w:pos="4320"/>
              <w:tab w:val="clear" w:pos="8640"/>
            </w:tabs>
            <w:spacing w:before="60" w:after="60"/>
            <w:rPr>
              <w:b/>
              <w:sz w:val="22"/>
            </w:rPr>
          </w:pPr>
          <w:r w:rsidRPr="00AA0C96">
            <w:rPr>
              <w:b/>
              <w:sz w:val="22"/>
            </w:rPr>
            <w:t xml:space="preserve">Address: </w:t>
          </w:r>
          <w:r>
            <w:rPr>
              <w:b/>
              <w:sz w:val="22"/>
            </w:rPr>
            <w:t xml:space="preserve">296 </w:t>
          </w:r>
          <w:r w:rsidRPr="00863903">
            <w:rPr>
              <w:b/>
              <w:sz w:val="22"/>
            </w:rPr>
            <w:t>Bedford St, Lakeville</w:t>
          </w:r>
        </w:p>
      </w:tc>
      <w:tc>
        <w:tcPr>
          <w:tcW w:w="4872" w:type="dxa"/>
        </w:tcPr>
        <w:p w:rsidR="00FA7353" w:rsidRPr="00AA0C96" w:rsidRDefault="00FA7353" w:rsidP="00FA7353">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FA7353" w:rsidRPr="00AA0C96" w:rsidRDefault="00FA7353" w:rsidP="00FA7353">
          <w:pPr>
            <w:pStyle w:val="Header"/>
            <w:tabs>
              <w:tab w:val="clear" w:pos="4320"/>
              <w:tab w:val="clear" w:pos="8640"/>
            </w:tabs>
            <w:spacing w:before="60" w:after="60"/>
            <w:rPr>
              <w:b/>
              <w:sz w:val="22"/>
            </w:rPr>
          </w:pPr>
        </w:p>
      </w:tc>
      <w:tc>
        <w:tcPr>
          <w:tcW w:w="2358" w:type="dxa"/>
        </w:tcPr>
        <w:p w:rsidR="00FA7353" w:rsidRPr="00AA0C96" w:rsidRDefault="00FA7353" w:rsidP="00FA7353">
          <w:pPr>
            <w:pStyle w:val="Header"/>
            <w:tabs>
              <w:tab w:val="clear" w:pos="4320"/>
              <w:tab w:val="clear" w:pos="8640"/>
            </w:tabs>
            <w:spacing w:before="60" w:after="60"/>
            <w:rPr>
              <w:b/>
              <w:sz w:val="22"/>
            </w:rPr>
          </w:pPr>
          <w:r w:rsidRPr="00AA0C96">
            <w:rPr>
              <w:b/>
              <w:sz w:val="22"/>
            </w:rPr>
            <w:t>Date</w:t>
          </w:r>
          <w:r>
            <w:rPr>
              <w:b/>
              <w:sz w:val="22"/>
            </w:rPr>
            <w:t>: 11/8/2018</w:t>
          </w:r>
        </w:p>
      </w:tc>
    </w:tr>
  </w:tbl>
  <w:p w:rsidR="00FA7353" w:rsidRPr="00EC38EA" w:rsidRDefault="00FA7353" w:rsidP="00FA735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FA7353" w:rsidTr="00FA7353">
      <w:trPr>
        <w:cantSplit/>
      </w:trPr>
      <w:tc>
        <w:tcPr>
          <w:tcW w:w="12258" w:type="dxa"/>
          <w:gridSpan w:val="3"/>
        </w:tcPr>
        <w:p w:rsidR="00FA7353" w:rsidRPr="00AA0C96" w:rsidRDefault="00FA7353" w:rsidP="00FA7353">
          <w:pPr>
            <w:pStyle w:val="Header"/>
            <w:spacing w:before="60" w:after="60"/>
            <w:rPr>
              <w:b/>
              <w:sz w:val="22"/>
            </w:rPr>
          </w:pPr>
          <w:r>
            <w:rPr>
              <w:b/>
              <w:sz w:val="22"/>
            </w:rPr>
            <w:t>Location: Tewksbury Hospital, A2- Quality Management</w:t>
          </w:r>
        </w:p>
      </w:tc>
      <w:tc>
        <w:tcPr>
          <w:tcW w:w="2358" w:type="dxa"/>
        </w:tcPr>
        <w:p w:rsidR="00FA7353" w:rsidRPr="00AA0C96" w:rsidRDefault="00FA7353" w:rsidP="00FA7353">
          <w:pPr>
            <w:pStyle w:val="Header"/>
            <w:tabs>
              <w:tab w:val="clear" w:pos="4320"/>
              <w:tab w:val="clear" w:pos="8640"/>
            </w:tabs>
            <w:spacing w:before="60" w:after="60"/>
            <w:rPr>
              <w:b/>
              <w:sz w:val="22"/>
            </w:rPr>
          </w:pPr>
          <w:r w:rsidRPr="00AA0C96">
            <w:rPr>
              <w:b/>
              <w:sz w:val="22"/>
            </w:rPr>
            <w:t>Indoor Air Results</w:t>
          </w:r>
        </w:p>
      </w:tc>
    </w:tr>
    <w:tr w:rsidR="00FA7353" w:rsidTr="00FA7353">
      <w:trPr>
        <w:cantSplit/>
      </w:trPr>
      <w:tc>
        <w:tcPr>
          <w:tcW w:w="4872" w:type="dxa"/>
        </w:tcPr>
        <w:p w:rsidR="00FA7353" w:rsidRPr="00AA0C96" w:rsidRDefault="00FA7353" w:rsidP="00FA7353">
          <w:pPr>
            <w:pStyle w:val="Header"/>
            <w:tabs>
              <w:tab w:val="clear" w:pos="4320"/>
              <w:tab w:val="clear" w:pos="8640"/>
            </w:tabs>
            <w:spacing w:before="60" w:after="60"/>
            <w:rPr>
              <w:b/>
              <w:sz w:val="22"/>
            </w:rPr>
          </w:pPr>
          <w:r w:rsidRPr="00AA0C96">
            <w:rPr>
              <w:b/>
              <w:sz w:val="22"/>
            </w:rPr>
            <w:t xml:space="preserve">Address: </w:t>
          </w:r>
          <w:r>
            <w:rPr>
              <w:b/>
              <w:sz w:val="22"/>
            </w:rPr>
            <w:t>365 East</w:t>
          </w:r>
          <w:r w:rsidRPr="00863903">
            <w:rPr>
              <w:b/>
              <w:sz w:val="22"/>
            </w:rPr>
            <w:t xml:space="preserve"> St</w:t>
          </w:r>
          <w:r>
            <w:rPr>
              <w:b/>
              <w:sz w:val="22"/>
            </w:rPr>
            <w:t>reet</w:t>
          </w:r>
          <w:r w:rsidRPr="00863903">
            <w:rPr>
              <w:b/>
              <w:sz w:val="22"/>
            </w:rPr>
            <w:t xml:space="preserve"> </w:t>
          </w:r>
          <w:r>
            <w:rPr>
              <w:b/>
              <w:sz w:val="22"/>
            </w:rPr>
            <w:t>Tewksbury, MA</w:t>
          </w:r>
        </w:p>
      </w:tc>
      <w:tc>
        <w:tcPr>
          <w:tcW w:w="4872" w:type="dxa"/>
        </w:tcPr>
        <w:p w:rsidR="00FA7353" w:rsidRPr="00AA0C96" w:rsidRDefault="00FA7353" w:rsidP="00FA7353">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FA7353" w:rsidRPr="00AA0C96" w:rsidRDefault="00FA7353" w:rsidP="00FA7353">
          <w:pPr>
            <w:pStyle w:val="Header"/>
            <w:tabs>
              <w:tab w:val="clear" w:pos="4320"/>
              <w:tab w:val="clear" w:pos="8640"/>
            </w:tabs>
            <w:spacing w:before="60" w:after="60"/>
            <w:rPr>
              <w:b/>
              <w:sz w:val="22"/>
            </w:rPr>
          </w:pPr>
        </w:p>
      </w:tc>
      <w:tc>
        <w:tcPr>
          <w:tcW w:w="2358" w:type="dxa"/>
        </w:tcPr>
        <w:p w:rsidR="00FA7353" w:rsidRPr="00AA0C96" w:rsidRDefault="00FA7353" w:rsidP="00FA7353">
          <w:pPr>
            <w:pStyle w:val="Header"/>
            <w:tabs>
              <w:tab w:val="clear" w:pos="4320"/>
              <w:tab w:val="clear" w:pos="8640"/>
            </w:tabs>
            <w:spacing w:before="60" w:after="60"/>
            <w:rPr>
              <w:b/>
              <w:sz w:val="22"/>
            </w:rPr>
          </w:pPr>
          <w:r w:rsidRPr="00AA0C96">
            <w:rPr>
              <w:b/>
              <w:sz w:val="22"/>
            </w:rPr>
            <w:t>Date</w:t>
          </w:r>
          <w:r>
            <w:rPr>
              <w:b/>
              <w:sz w:val="22"/>
            </w:rPr>
            <w:t>: 11/27/2018</w:t>
          </w:r>
        </w:p>
      </w:tc>
    </w:tr>
  </w:tbl>
  <w:p w:rsidR="00FA7353" w:rsidRDefault="00FA7353" w:rsidP="00FA73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1600B"/>
    <w:multiLevelType w:val="multilevel"/>
    <w:tmpl w:val="1762915E"/>
    <w:numStyleLink w:val="StyleBulletedSymbolsymbolBoldLeft0Hanging0251"/>
  </w:abstractNum>
  <w:abstractNum w:abstractNumId="4">
    <w:nsid w:val="1DF329A2"/>
    <w:multiLevelType w:val="multilevel"/>
    <w:tmpl w:val="1762915E"/>
    <w:numStyleLink w:val="StyleBulletedSymbolsymbolBoldLeft0Hanging0251"/>
  </w:abstractNum>
  <w:abstractNum w:abstractNumId="5">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2AD30EED"/>
    <w:multiLevelType w:val="multilevel"/>
    <w:tmpl w:val="1762915E"/>
    <w:numStyleLink w:val="StyleBulletedSymbolsymbolBoldLeft0Hanging0251"/>
  </w:abstractNum>
  <w:abstractNum w:abstractNumId="9">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2">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3">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DD64C6"/>
    <w:multiLevelType w:val="multilevel"/>
    <w:tmpl w:val="1762915E"/>
    <w:numStyleLink w:val="StyleBulletedSymbolsymbolBoldLeft0Hanging0251"/>
  </w:abstractNum>
  <w:abstractNum w:abstractNumId="15">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44E67BEC"/>
    <w:multiLevelType w:val="multilevel"/>
    <w:tmpl w:val="71C4E34C"/>
    <w:numStyleLink w:val="StyleNumberedLeft0Hanging025"/>
  </w:abstractNum>
  <w:abstractNum w:abstractNumId="17">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48B9214B"/>
    <w:multiLevelType w:val="hybridMultilevel"/>
    <w:tmpl w:val="E54E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5B7174"/>
    <w:multiLevelType w:val="hybridMultilevel"/>
    <w:tmpl w:val="36BE9CA0"/>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A87FCE"/>
    <w:multiLevelType w:val="hybridMultilevel"/>
    <w:tmpl w:val="AC188F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FC6D8A"/>
    <w:multiLevelType w:val="multilevel"/>
    <w:tmpl w:val="1762915E"/>
    <w:numStyleLink w:val="StyleBulletedSymbolsymbolBoldLeft0Hanging0251"/>
  </w:abstractNum>
  <w:abstractNum w:abstractNumId="25">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1"/>
  </w:num>
  <w:num w:numId="2">
    <w:abstractNumId w:val="0"/>
  </w:num>
  <w:num w:numId="3">
    <w:abstractNumId w:val="10"/>
  </w:num>
  <w:num w:numId="4">
    <w:abstractNumId w:val="12"/>
  </w:num>
  <w:num w:numId="5">
    <w:abstractNumId w:val="13"/>
  </w:num>
  <w:num w:numId="6">
    <w:abstractNumId w:val="26"/>
  </w:num>
  <w:num w:numId="7">
    <w:abstractNumId w:val="25"/>
  </w:num>
  <w:num w:numId="8">
    <w:abstractNumId w:val="6"/>
  </w:num>
  <w:num w:numId="9">
    <w:abstractNumId w:val="1"/>
  </w:num>
  <w:num w:numId="10">
    <w:abstractNumId w:val="7"/>
  </w:num>
  <w:num w:numId="11">
    <w:abstractNumId w:val="17"/>
  </w:num>
  <w:num w:numId="12">
    <w:abstractNumId w:val="5"/>
  </w:num>
  <w:num w:numId="13">
    <w:abstractNumId w:val="20"/>
  </w:num>
  <w:num w:numId="14">
    <w:abstractNumId w:val="15"/>
  </w:num>
  <w:num w:numId="15">
    <w:abstractNumId w:val="4"/>
  </w:num>
  <w:num w:numId="16">
    <w:abstractNumId w:val="14"/>
  </w:num>
  <w:num w:numId="17">
    <w:abstractNumId w:val="3"/>
  </w:num>
  <w:num w:numId="18">
    <w:abstractNumId w:val="8"/>
  </w:num>
  <w:num w:numId="19">
    <w:abstractNumId w:val="24"/>
  </w:num>
  <w:num w:numId="20">
    <w:abstractNumId w:val="23"/>
  </w:num>
  <w:num w:numId="21">
    <w:abstractNumId w:val="27"/>
  </w:num>
  <w:num w:numId="22">
    <w:abstractNumId w:val="16"/>
  </w:num>
  <w:num w:numId="23">
    <w:abstractNumId w:val="19"/>
  </w:num>
  <w:num w:numId="24">
    <w:abstractNumId w:val="2"/>
  </w:num>
  <w:num w:numId="25">
    <w:abstractNumId w:val="21"/>
  </w:num>
  <w:num w:numId="26">
    <w:abstractNumId w:val="9"/>
  </w:num>
  <w:num w:numId="27">
    <w:abstractNumId w:val="22"/>
  </w:num>
  <w:num w:numId="2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962"/>
    <w:rsid w:val="00002DC6"/>
    <w:rsid w:val="00003CDA"/>
    <w:rsid w:val="00003E0B"/>
    <w:rsid w:val="00005661"/>
    <w:rsid w:val="000105AD"/>
    <w:rsid w:val="00010835"/>
    <w:rsid w:val="000108ED"/>
    <w:rsid w:val="00010B10"/>
    <w:rsid w:val="00011F77"/>
    <w:rsid w:val="00012827"/>
    <w:rsid w:val="00012980"/>
    <w:rsid w:val="00012B49"/>
    <w:rsid w:val="0001560D"/>
    <w:rsid w:val="00020432"/>
    <w:rsid w:val="00020771"/>
    <w:rsid w:val="00021A0F"/>
    <w:rsid w:val="00023943"/>
    <w:rsid w:val="00024D15"/>
    <w:rsid w:val="000258C5"/>
    <w:rsid w:val="00025B08"/>
    <w:rsid w:val="00027FA9"/>
    <w:rsid w:val="000307F4"/>
    <w:rsid w:val="00031072"/>
    <w:rsid w:val="00032C01"/>
    <w:rsid w:val="00033BBE"/>
    <w:rsid w:val="00034C32"/>
    <w:rsid w:val="00034E7F"/>
    <w:rsid w:val="000350D8"/>
    <w:rsid w:val="000359F8"/>
    <w:rsid w:val="00036831"/>
    <w:rsid w:val="00036AC8"/>
    <w:rsid w:val="000371AB"/>
    <w:rsid w:val="00040134"/>
    <w:rsid w:val="0004147F"/>
    <w:rsid w:val="00042E30"/>
    <w:rsid w:val="000441E4"/>
    <w:rsid w:val="00044AAC"/>
    <w:rsid w:val="0004505E"/>
    <w:rsid w:val="00045144"/>
    <w:rsid w:val="0004591A"/>
    <w:rsid w:val="00045DAC"/>
    <w:rsid w:val="000479ED"/>
    <w:rsid w:val="000506A6"/>
    <w:rsid w:val="00050A04"/>
    <w:rsid w:val="00051245"/>
    <w:rsid w:val="00051D6A"/>
    <w:rsid w:val="00053D15"/>
    <w:rsid w:val="0005479A"/>
    <w:rsid w:val="00054D1C"/>
    <w:rsid w:val="00054FB7"/>
    <w:rsid w:val="0005561F"/>
    <w:rsid w:val="0005565A"/>
    <w:rsid w:val="00056AED"/>
    <w:rsid w:val="0005754A"/>
    <w:rsid w:val="00057A3E"/>
    <w:rsid w:val="00057C6A"/>
    <w:rsid w:val="00060C25"/>
    <w:rsid w:val="00061C5B"/>
    <w:rsid w:val="000622DC"/>
    <w:rsid w:val="00064961"/>
    <w:rsid w:val="00064E64"/>
    <w:rsid w:val="00065727"/>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4CD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6DBD"/>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0EC"/>
    <w:rsid w:val="000C3F97"/>
    <w:rsid w:val="000C4769"/>
    <w:rsid w:val="000C64E1"/>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3262"/>
    <w:rsid w:val="000E3EA9"/>
    <w:rsid w:val="000E64AB"/>
    <w:rsid w:val="000F005B"/>
    <w:rsid w:val="000F042F"/>
    <w:rsid w:val="000F07EE"/>
    <w:rsid w:val="000F247D"/>
    <w:rsid w:val="000F2B46"/>
    <w:rsid w:val="000F2DD2"/>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23AD"/>
    <w:rsid w:val="001236C0"/>
    <w:rsid w:val="0012387A"/>
    <w:rsid w:val="0012409A"/>
    <w:rsid w:val="00124354"/>
    <w:rsid w:val="00124C6D"/>
    <w:rsid w:val="00125115"/>
    <w:rsid w:val="00126A13"/>
    <w:rsid w:val="00126D99"/>
    <w:rsid w:val="001274EF"/>
    <w:rsid w:val="001276F0"/>
    <w:rsid w:val="001305EF"/>
    <w:rsid w:val="00131C3C"/>
    <w:rsid w:val="001324D6"/>
    <w:rsid w:val="00132BC1"/>
    <w:rsid w:val="00132EF8"/>
    <w:rsid w:val="00132F44"/>
    <w:rsid w:val="001341F9"/>
    <w:rsid w:val="00134FDB"/>
    <w:rsid w:val="001355AE"/>
    <w:rsid w:val="00136653"/>
    <w:rsid w:val="00140CFF"/>
    <w:rsid w:val="00141FBD"/>
    <w:rsid w:val="00143327"/>
    <w:rsid w:val="001442D6"/>
    <w:rsid w:val="00144D83"/>
    <w:rsid w:val="0014514E"/>
    <w:rsid w:val="001466B0"/>
    <w:rsid w:val="00146E57"/>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5C8"/>
    <w:rsid w:val="00162EA0"/>
    <w:rsid w:val="001649EB"/>
    <w:rsid w:val="00164A7D"/>
    <w:rsid w:val="001650A0"/>
    <w:rsid w:val="00165286"/>
    <w:rsid w:val="001653C6"/>
    <w:rsid w:val="00165A82"/>
    <w:rsid w:val="00165C0A"/>
    <w:rsid w:val="00167F86"/>
    <w:rsid w:val="00170ABD"/>
    <w:rsid w:val="001726A9"/>
    <w:rsid w:val="0017429F"/>
    <w:rsid w:val="00174959"/>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87"/>
    <w:rsid w:val="001828FF"/>
    <w:rsid w:val="00182D6C"/>
    <w:rsid w:val="00182F45"/>
    <w:rsid w:val="001835DB"/>
    <w:rsid w:val="001838C1"/>
    <w:rsid w:val="00183D48"/>
    <w:rsid w:val="001844EF"/>
    <w:rsid w:val="001848D9"/>
    <w:rsid w:val="00184974"/>
    <w:rsid w:val="00185351"/>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456"/>
    <w:rsid w:val="001A291A"/>
    <w:rsid w:val="001A2D49"/>
    <w:rsid w:val="001A3656"/>
    <w:rsid w:val="001A3882"/>
    <w:rsid w:val="001A4A0C"/>
    <w:rsid w:val="001A4B16"/>
    <w:rsid w:val="001A6E3E"/>
    <w:rsid w:val="001A6F32"/>
    <w:rsid w:val="001A7ACE"/>
    <w:rsid w:val="001B0089"/>
    <w:rsid w:val="001B28EA"/>
    <w:rsid w:val="001B4988"/>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31A"/>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1FD5"/>
    <w:rsid w:val="001F21E0"/>
    <w:rsid w:val="001F224A"/>
    <w:rsid w:val="001F26F1"/>
    <w:rsid w:val="001F26FB"/>
    <w:rsid w:val="001F2D80"/>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0935"/>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C4A"/>
    <w:rsid w:val="00241DE1"/>
    <w:rsid w:val="00242D53"/>
    <w:rsid w:val="00243348"/>
    <w:rsid w:val="0024497D"/>
    <w:rsid w:val="00244B7E"/>
    <w:rsid w:val="00244FA3"/>
    <w:rsid w:val="002456CA"/>
    <w:rsid w:val="00245C46"/>
    <w:rsid w:val="00245EC2"/>
    <w:rsid w:val="00246147"/>
    <w:rsid w:val="00247F97"/>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723"/>
    <w:rsid w:val="002660FC"/>
    <w:rsid w:val="00270588"/>
    <w:rsid w:val="00270760"/>
    <w:rsid w:val="002707EF"/>
    <w:rsid w:val="00271659"/>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9F3"/>
    <w:rsid w:val="00284B3E"/>
    <w:rsid w:val="0028728A"/>
    <w:rsid w:val="00287A1F"/>
    <w:rsid w:val="00291A33"/>
    <w:rsid w:val="00291A6F"/>
    <w:rsid w:val="0029445C"/>
    <w:rsid w:val="00294E3C"/>
    <w:rsid w:val="00295074"/>
    <w:rsid w:val="00295A97"/>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093"/>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C6DE8"/>
    <w:rsid w:val="002D0789"/>
    <w:rsid w:val="002D1507"/>
    <w:rsid w:val="002D2ABC"/>
    <w:rsid w:val="002D2EDD"/>
    <w:rsid w:val="002D472B"/>
    <w:rsid w:val="002D4F2F"/>
    <w:rsid w:val="002D5170"/>
    <w:rsid w:val="002D5685"/>
    <w:rsid w:val="002D5739"/>
    <w:rsid w:val="002D5C1C"/>
    <w:rsid w:val="002D772C"/>
    <w:rsid w:val="002E0B7A"/>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65A6"/>
    <w:rsid w:val="002F78FA"/>
    <w:rsid w:val="00301C65"/>
    <w:rsid w:val="00301E9F"/>
    <w:rsid w:val="003021FA"/>
    <w:rsid w:val="00302EF4"/>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17117"/>
    <w:rsid w:val="00320889"/>
    <w:rsid w:val="00323608"/>
    <w:rsid w:val="00323F52"/>
    <w:rsid w:val="00324A6A"/>
    <w:rsid w:val="00325302"/>
    <w:rsid w:val="00325E7E"/>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1095"/>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510F"/>
    <w:rsid w:val="00365C53"/>
    <w:rsid w:val="003671C5"/>
    <w:rsid w:val="00367B9E"/>
    <w:rsid w:val="00370275"/>
    <w:rsid w:val="00370784"/>
    <w:rsid w:val="00371434"/>
    <w:rsid w:val="003717E5"/>
    <w:rsid w:val="00372350"/>
    <w:rsid w:val="00373943"/>
    <w:rsid w:val="00373B4E"/>
    <w:rsid w:val="003754B2"/>
    <w:rsid w:val="0037757C"/>
    <w:rsid w:val="00377B1D"/>
    <w:rsid w:val="0038150B"/>
    <w:rsid w:val="003820B3"/>
    <w:rsid w:val="003825AF"/>
    <w:rsid w:val="00382A79"/>
    <w:rsid w:val="00382BFA"/>
    <w:rsid w:val="003835AD"/>
    <w:rsid w:val="00383BB7"/>
    <w:rsid w:val="0038729C"/>
    <w:rsid w:val="0038743B"/>
    <w:rsid w:val="00387FDE"/>
    <w:rsid w:val="00390663"/>
    <w:rsid w:val="0039069F"/>
    <w:rsid w:val="00392217"/>
    <w:rsid w:val="0039263A"/>
    <w:rsid w:val="00393091"/>
    <w:rsid w:val="00393AD1"/>
    <w:rsid w:val="0039418E"/>
    <w:rsid w:val="00395A5C"/>
    <w:rsid w:val="00395D10"/>
    <w:rsid w:val="00395FA5"/>
    <w:rsid w:val="003967B7"/>
    <w:rsid w:val="003A07CA"/>
    <w:rsid w:val="003A082B"/>
    <w:rsid w:val="003A0E79"/>
    <w:rsid w:val="003A16E2"/>
    <w:rsid w:val="003A1721"/>
    <w:rsid w:val="003A2889"/>
    <w:rsid w:val="003A3149"/>
    <w:rsid w:val="003A32AC"/>
    <w:rsid w:val="003A3B7B"/>
    <w:rsid w:val="003A449E"/>
    <w:rsid w:val="003A4902"/>
    <w:rsid w:val="003A5A0D"/>
    <w:rsid w:val="003A5A15"/>
    <w:rsid w:val="003A672F"/>
    <w:rsid w:val="003A72BB"/>
    <w:rsid w:val="003A7F7A"/>
    <w:rsid w:val="003A7FE2"/>
    <w:rsid w:val="003B168C"/>
    <w:rsid w:val="003B1A38"/>
    <w:rsid w:val="003B1DE6"/>
    <w:rsid w:val="003B26C8"/>
    <w:rsid w:val="003B2EE4"/>
    <w:rsid w:val="003B3ACF"/>
    <w:rsid w:val="003B4C3C"/>
    <w:rsid w:val="003B4E5F"/>
    <w:rsid w:val="003B5CF0"/>
    <w:rsid w:val="003B610C"/>
    <w:rsid w:val="003B6252"/>
    <w:rsid w:val="003B78B1"/>
    <w:rsid w:val="003C03E7"/>
    <w:rsid w:val="003C1744"/>
    <w:rsid w:val="003C25E4"/>
    <w:rsid w:val="003C4C5A"/>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2017"/>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CCD"/>
    <w:rsid w:val="003F2F5F"/>
    <w:rsid w:val="003F33C1"/>
    <w:rsid w:val="003F377E"/>
    <w:rsid w:val="003F4EC3"/>
    <w:rsid w:val="003F4F8C"/>
    <w:rsid w:val="003F54C4"/>
    <w:rsid w:val="003F66CC"/>
    <w:rsid w:val="003F6DB7"/>
    <w:rsid w:val="004000AE"/>
    <w:rsid w:val="00400570"/>
    <w:rsid w:val="004005F8"/>
    <w:rsid w:val="00400B5B"/>
    <w:rsid w:val="0040151C"/>
    <w:rsid w:val="00401927"/>
    <w:rsid w:val="00403858"/>
    <w:rsid w:val="00403874"/>
    <w:rsid w:val="00404F8A"/>
    <w:rsid w:val="0040505D"/>
    <w:rsid w:val="00406079"/>
    <w:rsid w:val="00406760"/>
    <w:rsid w:val="0041005C"/>
    <w:rsid w:val="00410068"/>
    <w:rsid w:val="004115DA"/>
    <w:rsid w:val="00412AE3"/>
    <w:rsid w:val="00412B14"/>
    <w:rsid w:val="00412FF2"/>
    <w:rsid w:val="00414AD3"/>
    <w:rsid w:val="00415383"/>
    <w:rsid w:val="004155F6"/>
    <w:rsid w:val="004160E5"/>
    <w:rsid w:val="00416293"/>
    <w:rsid w:val="00416309"/>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10D8"/>
    <w:rsid w:val="0045416E"/>
    <w:rsid w:val="004543CC"/>
    <w:rsid w:val="004545E3"/>
    <w:rsid w:val="00454B4A"/>
    <w:rsid w:val="00454D42"/>
    <w:rsid w:val="00455543"/>
    <w:rsid w:val="00456C2C"/>
    <w:rsid w:val="004576F9"/>
    <w:rsid w:val="004578E9"/>
    <w:rsid w:val="004610F9"/>
    <w:rsid w:val="004619F0"/>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695"/>
    <w:rsid w:val="00484A74"/>
    <w:rsid w:val="00484AD7"/>
    <w:rsid w:val="00485739"/>
    <w:rsid w:val="004862E3"/>
    <w:rsid w:val="00486557"/>
    <w:rsid w:val="0049028D"/>
    <w:rsid w:val="00491149"/>
    <w:rsid w:val="00491DC6"/>
    <w:rsid w:val="00492676"/>
    <w:rsid w:val="00492B43"/>
    <w:rsid w:val="004934A8"/>
    <w:rsid w:val="0049417E"/>
    <w:rsid w:val="004964D7"/>
    <w:rsid w:val="004A19CE"/>
    <w:rsid w:val="004A1D9A"/>
    <w:rsid w:val="004A20C6"/>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42F"/>
    <w:rsid w:val="004F67B2"/>
    <w:rsid w:val="004F72C4"/>
    <w:rsid w:val="004F7390"/>
    <w:rsid w:val="004F786B"/>
    <w:rsid w:val="00500EEB"/>
    <w:rsid w:val="00501086"/>
    <w:rsid w:val="00502819"/>
    <w:rsid w:val="0050417C"/>
    <w:rsid w:val="00504AD7"/>
    <w:rsid w:val="0050537D"/>
    <w:rsid w:val="00510D6A"/>
    <w:rsid w:val="00510F5C"/>
    <w:rsid w:val="00511466"/>
    <w:rsid w:val="0051146E"/>
    <w:rsid w:val="00511DA7"/>
    <w:rsid w:val="00511E11"/>
    <w:rsid w:val="00511E2A"/>
    <w:rsid w:val="00512131"/>
    <w:rsid w:val="005127CC"/>
    <w:rsid w:val="005133BC"/>
    <w:rsid w:val="005139EA"/>
    <w:rsid w:val="0051411F"/>
    <w:rsid w:val="00514CF7"/>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3D9F"/>
    <w:rsid w:val="00534E93"/>
    <w:rsid w:val="00536481"/>
    <w:rsid w:val="005405FD"/>
    <w:rsid w:val="00540FF1"/>
    <w:rsid w:val="005413CC"/>
    <w:rsid w:val="00541481"/>
    <w:rsid w:val="0054209D"/>
    <w:rsid w:val="00543603"/>
    <w:rsid w:val="0054564F"/>
    <w:rsid w:val="00545D22"/>
    <w:rsid w:val="00546215"/>
    <w:rsid w:val="00546548"/>
    <w:rsid w:val="00546D5E"/>
    <w:rsid w:val="0054736B"/>
    <w:rsid w:val="00550503"/>
    <w:rsid w:val="0055289E"/>
    <w:rsid w:val="00552AB1"/>
    <w:rsid w:val="00552DF6"/>
    <w:rsid w:val="005538DE"/>
    <w:rsid w:val="00553E61"/>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C16"/>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47F"/>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27B3"/>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6E09"/>
    <w:rsid w:val="00651657"/>
    <w:rsid w:val="00651C6A"/>
    <w:rsid w:val="00651F00"/>
    <w:rsid w:val="00652F0C"/>
    <w:rsid w:val="00653643"/>
    <w:rsid w:val="00653719"/>
    <w:rsid w:val="00654A5A"/>
    <w:rsid w:val="006553B9"/>
    <w:rsid w:val="006559F1"/>
    <w:rsid w:val="0065610F"/>
    <w:rsid w:val="00656404"/>
    <w:rsid w:val="00656CBF"/>
    <w:rsid w:val="00656F3E"/>
    <w:rsid w:val="00657D1D"/>
    <w:rsid w:val="00660270"/>
    <w:rsid w:val="00661A14"/>
    <w:rsid w:val="00661F35"/>
    <w:rsid w:val="00662616"/>
    <w:rsid w:val="0066271A"/>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3423"/>
    <w:rsid w:val="006B55F3"/>
    <w:rsid w:val="006B5D6C"/>
    <w:rsid w:val="006B6B4F"/>
    <w:rsid w:val="006B6FE8"/>
    <w:rsid w:val="006B7347"/>
    <w:rsid w:val="006B73BF"/>
    <w:rsid w:val="006C15B9"/>
    <w:rsid w:val="006C2A1B"/>
    <w:rsid w:val="006C3B58"/>
    <w:rsid w:val="006C3D2B"/>
    <w:rsid w:val="006C3E48"/>
    <w:rsid w:val="006C401C"/>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980"/>
    <w:rsid w:val="006F3CCE"/>
    <w:rsid w:val="006F3DD6"/>
    <w:rsid w:val="006F61D3"/>
    <w:rsid w:val="006F6549"/>
    <w:rsid w:val="006F6ACB"/>
    <w:rsid w:val="00700099"/>
    <w:rsid w:val="007001DA"/>
    <w:rsid w:val="007010EE"/>
    <w:rsid w:val="0070196F"/>
    <w:rsid w:val="00701DCD"/>
    <w:rsid w:val="00702971"/>
    <w:rsid w:val="00702F60"/>
    <w:rsid w:val="00703249"/>
    <w:rsid w:val="0070350C"/>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D2C"/>
    <w:rsid w:val="00750545"/>
    <w:rsid w:val="00750BD2"/>
    <w:rsid w:val="0075126F"/>
    <w:rsid w:val="00751572"/>
    <w:rsid w:val="007515A3"/>
    <w:rsid w:val="0075353C"/>
    <w:rsid w:val="00753693"/>
    <w:rsid w:val="0075388D"/>
    <w:rsid w:val="007548B2"/>
    <w:rsid w:val="0075685C"/>
    <w:rsid w:val="00757A0B"/>
    <w:rsid w:val="00757D0A"/>
    <w:rsid w:val="0076164D"/>
    <w:rsid w:val="00763F34"/>
    <w:rsid w:val="00764549"/>
    <w:rsid w:val="007659D3"/>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002"/>
    <w:rsid w:val="007902F0"/>
    <w:rsid w:val="0079151A"/>
    <w:rsid w:val="007929C0"/>
    <w:rsid w:val="00792D77"/>
    <w:rsid w:val="007949BD"/>
    <w:rsid w:val="0079533A"/>
    <w:rsid w:val="00795D33"/>
    <w:rsid w:val="00795DB5"/>
    <w:rsid w:val="00796396"/>
    <w:rsid w:val="0079669C"/>
    <w:rsid w:val="007975E4"/>
    <w:rsid w:val="007A00DE"/>
    <w:rsid w:val="007A0D08"/>
    <w:rsid w:val="007A2045"/>
    <w:rsid w:val="007A33A6"/>
    <w:rsid w:val="007A3CE7"/>
    <w:rsid w:val="007A496A"/>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D36"/>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B47"/>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528F"/>
    <w:rsid w:val="007E6F86"/>
    <w:rsid w:val="007E7CF2"/>
    <w:rsid w:val="007E7CFF"/>
    <w:rsid w:val="007F023D"/>
    <w:rsid w:val="007F14B5"/>
    <w:rsid w:val="007F1D3E"/>
    <w:rsid w:val="007F2388"/>
    <w:rsid w:val="007F2D19"/>
    <w:rsid w:val="007F33FC"/>
    <w:rsid w:val="007F383A"/>
    <w:rsid w:val="007F38D3"/>
    <w:rsid w:val="007F4320"/>
    <w:rsid w:val="007F4E40"/>
    <w:rsid w:val="007F4F34"/>
    <w:rsid w:val="007F5D80"/>
    <w:rsid w:val="007F6472"/>
    <w:rsid w:val="007F6E69"/>
    <w:rsid w:val="007F7A37"/>
    <w:rsid w:val="007F7D8F"/>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922"/>
    <w:rsid w:val="0081463F"/>
    <w:rsid w:val="008148CD"/>
    <w:rsid w:val="00815395"/>
    <w:rsid w:val="00816B7C"/>
    <w:rsid w:val="00817892"/>
    <w:rsid w:val="00817A52"/>
    <w:rsid w:val="008200D0"/>
    <w:rsid w:val="0082077A"/>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404"/>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4ECC"/>
    <w:rsid w:val="0085549C"/>
    <w:rsid w:val="00855F10"/>
    <w:rsid w:val="00856D93"/>
    <w:rsid w:val="008601E7"/>
    <w:rsid w:val="00860808"/>
    <w:rsid w:val="00861072"/>
    <w:rsid w:val="00861D2E"/>
    <w:rsid w:val="00861DCD"/>
    <w:rsid w:val="0086208E"/>
    <w:rsid w:val="00863A05"/>
    <w:rsid w:val="0086440E"/>
    <w:rsid w:val="00864627"/>
    <w:rsid w:val="00865336"/>
    <w:rsid w:val="0086691F"/>
    <w:rsid w:val="00867245"/>
    <w:rsid w:val="008672A5"/>
    <w:rsid w:val="008672D6"/>
    <w:rsid w:val="0086784D"/>
    <w:rsid w:val="00870582"/>
    <w:rsid w:val="008719E4"/>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1C"/>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340C"/>
    <w:rsid w:val="008A3D3F"/>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363D"/>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714B"/>
    <w:rsid w:val="00907493"/>
    <w:rsid w:val="009078A0"/>
    <w:rsid w:val="00907926"/>
    <w:rsid w:val="009100B5"/>
    <w:rsid w:val="00911BED"/>
    <w:rsid w:val="00912C72"/>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1CA"/>
    <w:rsid w:val="00980612"/>
    <w:rsid w:val="00980E92"/>
    <w:rsid w:val="009829C4"/>
    <w:rsid w:val="00982A82"/>
    <w:rsid w:val="00985935"/>
    <w:rsid w:val="00985AA8"/>
    <w:rsid w:val="00986EA2"/>
    <w:rsid w:val="0099118D"/>
    <w:rsid w:val="0099123F"/>
    <w:rsid w:val="00991847"/>
    <w:rsid w:val="00991D7C"/>
    <w:rsid w:val="00991FF4"/>
    <w:rsid w:val="00992DDA"/>
    <w:rsid w:val="009944F1"/>
    <w:rsid w:val="00994D5A"/>
    <w:rsid w:val="00994E6D"/>
    <w:rsid w:val="00996404"/>
    <w:rsid w:val="00996E57"/>
    <w:rsid w:val="0099778B"/>
    <w:rsid w:val="009A0918"/>
    <w:rsid w:val="009A0B2E"/>
    <w:rsid w:val="009A0E6C"/>
    <w:rsid w:val="009A1939"/>
    <w:rsid w:val="009A237F"/>
    <w:rsid w:val="009A2C0D"/>
    <w:rsid w:val="009A353C"/>
    <w:rsid w:val="009A37DD"/>
    <w:rsid w:val="009A3B91"/>
    <w:rsid w:val="009A4C8C"/>
    <w:rsid w:val="009A619C"/>
    <w:rsid w:val="009A6467"/>
    <w:rsid w:val="009A6C7C"/>
    <w:rsid w:val="009A7A0F"/>
    <w:rsid w:val="009B024A"/>
    <w:rsid w:val="009B0528"/>
    <w:rsid w:val="009B1B6F"/>
    <w:rsid w:val="009B2F59"/>
    <w:rsid w:val="009B4592"/>
    <w:rsid w:val="009B4C62"/>
    <w:rsid w:val="009B6D22"/>
    <w:rsid w:val="009B6E09"/>
    <w:rsid w:val="009B7477"/>
    <w:rsid w:val="009B7EB0"/>
    <w:rsid w:val="009C074F"/>
    <w:rsid w:val="009C0CF7"/>
    <w:rsid w:val="009C2224"/>
    <w:rsid w:val="009C229C"/>
    <w:rsid w:val="009C2BDD"/>
    <w:rsid w:val="009C3562"/>
    <w:rsid w:val="009C44BD"/>
    <w:rsid w:val="009C4F02"/>
    <w:rsid w:val="009C6546"/>
    <w:rsid w:val="009C7C1A"/>
    <w:rsid w:val="009D26CE"/>
    <w:rsid w:val="009D2AB1"/>
    <w:rsid w:val="009D2E84"/>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6C3"/>
    <w:rsid w:val="009F6872"/>
    <w:rsid w:val="009F6A7E"/>
    <w:rsid w:val="009F743E"/>
    <w:rsid w:val="00A0065B"/>
    <w:rsid w:val="00A0067C"/>
    <w:rsid w:val="00A009E4"/>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798"/>
    <w:rsid w:val="00A169EF"/>
    <w:rsid w:val="00A16FA3"/>
    <w:rsid w:val="00A1726A"/>
    <w:rsid w:val="00A20009"/>
    <w:rsid w:val="00A20648"/>
    <w:rsid w:val="00A207FC"/>
    <w:rsid w:val="00A23282"/>
    <w:rsid w:val="00A23310"/>
    <w:rsid w:val="00A233D8"/>
    <w:rsid w:val="00A240B9"/>
    <w:rsid w:val="00A242EB"/>
    <w:rsid w:val="00A25562"/>
    <w:rsid w:val="00A27DB3"/>
    <w:rsid w:val="00A27F47"/>
    <w:rsid w:val="00A30906"/>
    <w:rsid w:val="00A30B81"/>
    <w:rsid w:val="00A31BC6"/>
    <w:rsid w:val="00A325D3"/>
    <w:rsid w:val="00A32C6A"/>
    <w:rsid w:val="00A335F3"/>
    <w:rsid w:val="00A3362C"/>
    <w:rsid w:val="00A33B7A"/>
    <w:rsid w:val="00A342B8"/>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5EAF"/>
    <w:rsid w:val="00A46823"/>
    <w:rsid w:val="00A468A7"/>
    <w:rsid w:val="00A473E6"/>
    <w:rsid w:val="00A47ABA"/>
    <w:rsid w:val="00A47B29"/>
    <w:rsid w:val="00A50166"/>
    <w:rsid w:val="00A50CF4"/>
    <w:rsid w:val="00A524E1"/>
    <w:rsid w:val="00A52C43"/>
    <w:rsid w:val="00A53180"/>
    <w:rsid w:val="00A53D89"/>
    <w:rsid w:val="00A5401F"/>
    <w:rsid w:val="00A569A9"/>
    <w:rsid w:val="00A60961"/>
    <w:rsid w:val="00A63B94"/>
    <w:rsid w:val="00A64B61"/>
    <w:rsid w:val="00A64C3F"/>
    <w:rsid w:val="00A64D7B"/>
    <w:rsid w:val="00A64EBD"/>
    <w:rsid w:val="00A65108"/>
    <w:rsid w:val="00A65AAD"/>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25E8"/>
    <w:rsid w:val="00A82B33"/>
    <w:rsid w:val="00A8441B"/>
    <w:rsid w:val="00A845A3"/>
    <w:rsid w:val="00A86BF8"/>
    <w:rsid w:val="00A875D1"/>
    <w:rsid w:val="00A87BF2"/>
    <w:rsid w:val="00A90795"/>
    <w:rsid w:val="00A907A9"/>
    <w:rsid w:val="00A90B98"/>
    <w:rsid w:val="00A91138"/>
    <w:rsid w:val="00A91275"/>
    <w:rsid w:val="00A92099"/>
    <w:rsid w:val="00A9262C"/>
    <w:rsid w:val="00A92C70"/>
    <w:rsid w:val="00A9343F"/>
    <w:rsid w:val="00A939DE"/>
    <w:rsid w:val="00A95AE2"/>
    <w:rsid w:val="00A96F0D"/>
    <w:rsid w:val="00A97799"/>
    <w:rsid w:val="00AA03A5"/>
    <w:rsid w:val="00AA07E6"/>
    <w:rsid w:val="00AA1B70"/>
    <w:rsid w:val="00AA28BF"/>
    <w:rsid w:val="00AA3079"/>
    <w:rsid w:val="00AA47CC"/>
    <w:rsid w:val="00AA4AA2"/>
    <w:rsid w:val="00AA4ACF"/>
    <w:rsid w:val="00AA6209"/>
    <w:rsid w:val="00AA686D"/>
    <w:rsid w:val="00AA764F"/>
    <w:rsid w:val="00AB0775"/>
    <w:rsid w:val="00AB0B1A"/>
    <w:rsid w:val="00AB0D5E"/>
    <w:rsid w:val="00AB1485"/>
    <w:rsid w:val="00AB2DD3"/>
    <w:rsid w:val="00AB3406"/>
    <w:rsid w:val="00AB432B"/>
    <w:rsid w:val="00AB5879"/>
    <w:rsid w:val="00AB764B"/>
    <w:rsid w:val="00AB7B30"/>
    <w:rsid w:val="00AC1F0F"/>
    <w:rsid w:val="00AC2595"/>
    <w:rsid w:val="00AC3177"/>
    <w:rsid w:val="00AC44C1"/>
    <w:rsid w:val="00AC4AAF"/>
    <w:rsid w:val="00AC50B6"/>
    <w:rsid w:val="00AC5D06"/>
    <w:rsid w:val="00AC6023"/>
    <w:rsid w:val="00AC73A5"/>
    <w:rsid w:val="00AC7A9C"/>
    <w:rsid w:val="00AD0093"/>
    <w:rsid w:val="00AD0A1D"/>
    <w:rsid w:val="00AD216A"/>
    <w:rsid w:val="00AD3753"/>
    <w:rsid w:val="00AD482C"/>
    <w:rsid w:val="00AD50A4"/>
    <w:rsid w:val="00AD54E0"/>
    <w:rsid w:val="00AD5FB2"/>
    <w:rsid w:val="00AD66A9"/>
    <w:rsid w:val="00AD7B1A"/>
    <w:rsid w:val="00AE011D"/>
    <w:rsid w:val="00AE02DB"/>
    <w:rsid w:val="00AE1606"/>
    <w:rsid w:val="00AE203D"/>
    <w:rsid w:val="00AE2057"/>
    <w:rsid w:val="00AE2126"/>
    <w:rsid w:val="00AE2D06"/>
    <w:rsid w:val="00AE3193"/>
    <w:rsid w:val="00AE339E"/>
    <w:rsid w:val="00AE37E0"/>
    <w:rsid w:val="00AE5008"/>
    <w:rsid w:val="00AE55A9"/>
    <w:rsid w:val="00AE5AC0"/>
    <w:rsid w:val="00AE6286"/>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0D72"/>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1DEE"/>
    <w:rsid w:val="00B21F66"/>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67DF"/>
    <w:rsid w:val="00B379BD"/>
    <w:rsid w:val="00B37E6E"/>
    <w:rsid w:val="00B41F11"/>
    <w:rsid w:val="00B42252"/>
    <w:rsid w:val="00B422D8"/>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22E"/>
    <w:rsid w:val="00B80787"/>
    <w:rsid w:val="00B81376"/>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E8C"/>
    <w:rsid w:val="00B92F7E"/>
    <w:rsid w:val="00B94AB1"/>
    <w:rsid w:val="00B96018"/>
    <w:rsid w:val="00BA09FE"/>
    <w:rsid w:val="00BA19BD"/>
    <w:rsid w:val="00BA1B10"/>
    <w:rsid w:val="00BA1E04"/>
    <w:rsid w:val="00BA212F"/>
    <w:rsid w:val="00BA264D"/>
    <w:rsid w:val="00BA2ECC"/>
    <w:rsid w:val="00BA366C"/>
    <w:rsid w:val="00BA38E7"/>
    <w:rsid w:val="00BA5A7E"/>
    <w:rsid w:val="00BA5DF4"/>
    <w:rsid w:val="00BA61AA"/>
    <w:rsid w:val="00BA6981"/>
    <w:rsid w:val="00BA70D0"/>
    <w:rsid w:val="00BA7533"/>
    <w:rsid w:val="00BB0E32"/>
    <w:rsid w:val="00BB246C"/>
    <w:rsid w:val="00BB25EB"/>
    <w:rsid w:val="00BB31B7"/>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636A"/>
    <w:rsid w:val="00BC6DCD"/>
    <w:rsid w:val="00BC7718"/>
    <w:rsid w:val="00BC7F66"/>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7F6"/>
    <w:rsid w:val="00BE5F42"/>
    <w:rsid w:val="00BE63F7"/>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4E36"/>
    <w:rsid w:val="00C06473"/>
    <w:rsid w:val="00C07661"/>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0CDC"/>
    <w:rsid w:val="00C3146A"/>
    <w:rsid w:val="00C3241A"/>
    <w:rsid w:val="00C33EDD"/>
    <w:rsid w:val="00C3473F"/>
    <w:rsid w:val="00C3481E"/>
    <w:rsid w:val="00C34E04"/>
    <w:rsid w:val="00C35B98"/>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9D2"/>
    <w:rsid w:val="00CD5A9D"/>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4B9C"/>
    <w:rsid w:val="00CF52BA"/>
    <w:rsid w:val="00CF5BD7"/>
    <w:rsid w:val="00CF6AE4"/>
    <w:rsid w:val="00CF738F"/>
    <w:rsid w:val="00D00461"/>
    <w:rsid w:val="00D018A3"/>
    <w:rsid w:val="00D021BA"/>
    <w:rsid w:val="00D024E7"/>
    <w:rsid w:val="00D02F8D"/>
    <w:rsid w:val="00D03BED"/>
    <w:rsid w:val="00D0424E"/>
    <w:rsid w:val="00D0484B"/>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B6E"/>
    <w:rsid w:val="00D16D30"/>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799"/>
    <w:rsid w:val="00D328D2"/>
    <w:rsid w:val="00D32F3E"/>
    <w:rsid w:val="00D33348"/>
    <w:rsid w:val="00D336A6"/>
    <w:rsid w:val="00D337DD"/>
    <w:rsid w:val="00D34378"/>
    <w:rsid w:val="00D34DDC"/>
    <w:rsid w:val="00D351CB"/>
    <w:rsid w:val="00D35351"/>
    <w:rsid w:val="00D358C6"/>
    <w:rsid w:val="00D363E4"/>
    <w:rsid w:val="00D36C22"/>
    <w:rsid w:val="00D37E2D"/>
    <w:rsid w:val="00D40055"/>
    <w:rsid w:val="00D40F5C"/>
    <w:rsid w:val="00D41BE3"/>
    <w:rsid w:val="00D41DF8"/>
    <w:rsid w:val="00D42DE4"/>
    <w:rsid w:val="00D44D43"/>
    <w:rsid w:val="00D4551C"/>
    <w:rsid w:val="00D513AC"/>
    <w:rsid w:val="00D5159F"/>
    <w:rsid w:val="00D51841"/>
    <w:rsid w:val="00D52C42"/>
    <w:rsid w:val="00D542B2"/>
    <w:rsid w:val="00D54EA8"/>
    <w:rsid w:val="00D54F30"/>
    <w:rsid w:val="00D55CE5"/>
    <w:rsid w:val="00D568B8"/>
    <w:rsid w:val="00D5718D"/>
    <w:rsid w:val="00D574F1"/>
    <w:rsid w:val="00D57D7C"/>
    <w:rsid w:val="00D60623"/>
    <w:rsid w:val="00D60790"/>
    <w:rsid w:val="00D607B1"/>
    <w:rsid w:val="00D60D10"/>
    <w:rsid w:val="00D639C1"/>
    <w:rsid w:val="00D645E7"/>
    <w:rsid w:val="00D65986"/>
    <w:rsid w:val="00D66159"/>
    <w:rsid w:val="00D663C6"/>
    <w:rsid w:val="00D668BF"/>
    <w:rsid w:val="00D67840"/>
    <w:rsid w:val="00D67E32"/>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0ED6"/>
    <w:rsid w:val="00D91494"/>
    <w:rsid w:val="00D91573"/>
    <w:rsid w:val="00D919CD"/>
    <w:rsid w:val="00D9365A"/>
    <w:rsid w:val="00D93B48"/>
    <w:rsid w:val="00D942C3"/>
    <w:rsid w:val="00D94EDD"/>
    <w:rsid w:val="00D96194"/>
    <w:rsid w:val="00D9675A"/>
    <w:rsid w:val="00D978F0"/>
    <w:rsid w:val="00DA01A8"/>
    <w:rsid w:val="00DA077B"/>
    <w:rsid w:val="00DA0995"/>
    <w:rsid w:val="00DA2240"/>
    <w:rsid w:val="00DA236C"/>
    <w:rsid w:val="00DA2425"/>
    <w:rsid w:val="00DA26B5"/>
    <w:rsid w:val="00DA2C6B"/>
    <w:rsid w:val="00DA4185"/>
    <w:rsid w:val="00DA61B9"/>
    <w:rsid w:val="00DA6377"/>
    <w:rsid w:val="00DA685F"/>
    <w:rsid w:val="00DA750E"/>
    <w:rsid w:val="00DB2305"/>
    <w:rsid w:val="00DB2BA9"/>
    <w:rsid w:val="00DB2E8E"/>
    <w:rsid w:val="00DB4B07"/>
    <w:rsid w:val="00DB4E35"/>
    <w:rsid w:val="00DB51C0"/>
    <w:rsid w:val="00DB5A6A"/>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9F4"/>
    <w:rsid w:val="00DE1A18"/>
    <w:rsid w:val="00DE2DB6"/>
    <w:rsid w:val="00DE302D"/>
    <w:rsid w:val="00DE4845"/>
    <w:rsid w:val="00DE62F9"/>
    <w:rsid w:val="00DE6429"/>
    <w:rsid w:val="00DE7850"/>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6F0A"/>
    <w:rsid w:val="00E07992"/>
    <w:rsid w:val="00E102B0"/>
    <w:rsid w:val="00E1036B"/>
    <w:rsid w:val="00E10416"/>
    <w:rsid w:val="00E11055"/>
    <w:rsid w:val="00E115C8"/>
    <w:rsid w:val="00E125FF"/>
    <w:rsid w:val="00E133E4"/>
    <w:rsid w:val="00E15CC3"/>
    <w:rsid w:val="00E17A04"/>
    <w:rsid w:val="00E20175"/>
    <w:rsid w:val="00E20275"/>
    <w:rsid w:val="00E2097B"/>
    <w:rsid w:val="00E20A0F"/>
    <w:rsid w:val="00E21719"/>
    <w:rsid w:val="00E226C4"/>
    <w:rsid w:val="00E235D3"/>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46F5"/>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A1A"/>
    <w:rsid w:val="00E66BEA"/>
    <w:rsid w:val="00E66D0A"/>
    <w:rsid w:val="00E67EE4"/>
    <w:rsid w:val="00E703D1"/>
    <w:rsid w:val="00E70410"/>
    <w:rsid w:val="00E706A0"/>
    <w:rsid w:val="00E70F93"/>
    <w:rsid w:val="00E725B8"/>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1B80"/>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1D0F"/>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7A4"/>
    <w:rsid w:val="00F00E4B"/>
    <w:rsid w:val="00F02A7D"/>
    <w:rsid w:val="00F02C25"/>
    <w:rsid w:val="00F03135"/>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3B16"/>
    <w:rsid w:val="00F14CF2"/>
    <w:rsid w:val="00F14F0C"/>
    <w:rsid w:val="00F167D9"/>
    <w:rsid w:val="00F16C30"/>
    <w:rsid w:val="00F2051A"/>
    <w:rsid w:val="00F20533"/>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2888"/>
    <w:rsid w:val="00F438A3"/>
    <w:rsid w:val="00F43F15"/>
    <w:rsid w:val="00F444EF"/>
    <w:rsid w:val="00F45763"/>
    <w:rsid w:val="00F46252"/>
    <w:rsid w:val="00F467DF"/>
    <w:rsid w:val="00F467F1"/>
    <w:rsid w:val="00F46DB2"/>
    <w:rsid w:val="00F47535"/>
    <w:rsid w:val="00F47B68"/>
    <w:rsid w:val="00F51419"/>
    <w:rsid w:val="00F516B0"/>
    <w:rsid w:val="00F51A50"/>
    <w:rsid w:val="00F53A8F"/>
    <w:rsid w:val="00F53C9A"/>
    <w:rsid w:val="00F5440E"/>
    <w:rsid w:val="00F546B5"/>
    <w:rsid w:val="00F5553C"/>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5F8"/>
    <w:rsid w:val="00F83D53"/>
    <w:rsid w:val="00F840D3"/>
    <w:rsid w:val="00F841D2"/>
    <w:rsid w:val="00F8448F"/>
    <w:rsid w:val="00F85700"/>
    <w:rsid w:val="00F85E13"/>
    <w:rsid w:val="00F85E1B"/>
    <w:rsid w:val="00F861A8"/>
    <w:rsid w:val="00F87A1A"/>
    <w:rsid w:val="00F9063F"/>
    <w:rsid w:val="00F91EAE"/>
    <w:rsid w:val="00F92385"/>
    <w:rsid w:val="00F93352"/>
    <w:rsid w:val="00F93486"/>
    <w:rsid w:val="00F93D5E"/>
    <w:rsid w:val="00F954C0"/>
    <w:rsid w:val="00F9712B"/>
    <w:rsid w:val="00F9766E"/>
    <w:rsid w:val="00F979B3"/>
    <w:rsid w:val="00FA0CCD"/>
    <w:rsid w:val="00FA1583"/>
    <w:rsid w:val="00FA234F"/>
    <w:rsid w:val="00FA3444"/>
    <w:rsid w:val="00FA3571"/>
    <w:rsid w:val="00FA4363"/>
    <w:rsid w:val="00FA4A79"/>
    <w:rsid w:val="00FA55C6"/>
    <w:rsid w:val="00FA65C5"/>
    <w:rsid w:val="00FA7353"/>
    <w:rsid w:val="00FA7AA9"/>
    <w:rsid w:val="00FA7DCB"/>
    <w:rsid w:val="00FB00A8"/>
    <w:rsid w:val="00FB0243"/>
    <w:rsid w:val="00FB06A5"/>
    <w:rsid w:val="00FB0D02"/>
    <w:rsid w:val="00FB0FCE"/>
    <w:rsid w:val="00FB1447"/>
    <w:rsid w:val="00FB175F"/>
    <w:rsid w:val="00FB2273"/>
    <w:rsid w:val="00FB23A3"/>
    <w:rsid w:val="00FB262F"/>
    <w:rsid w:val="00FB2D24"/>
    <w:rsid w:val="00FB3500"/>
    <w:rsid w:val="00FB3CD4"/>
    <w:rsid w:val="00FB408A"/>
    <w:rsid w:val="00FB57D1"/>
    <w:rsid w:val="00FC00D2"/>
    <w:rsid w:val="00FC1BEF"/>
    <w:rsid w:val="00FC30CD"/>
    <w:rsid w:val="00FC475A"/>
    <w:rsid w:val="00FC49C1"/>
    <w:rsid w:val="00FC515C"/>
    <w:rsid w:val="00FC5F92"/>
    <w:rsid w:val="00FD0008"/>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0D0"/>
    <w:rsid w:val="00FF0B4F"/>
    <w:rsid w:val="00FF2038"/>
    <w:rsid w:val="00FF3D0F"/>
    <w:rsid w:val="00FF4228"/>
    <w:rsid w:val="00FF43EE"/>
    <w:rsid w:val="00FF5377"/>
    <w:rsid w:val="00FF5AEB"/>
    <w:rsid w:val="00FF61BD"/>
    <w:rsid w:val="00FF681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135758906">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ss.gov/dph/iaq" TargetMode="External"/><Relationship Id="rId18" Type="http://schemas.openxmlformats.org/officeDocument/2006/relationships/footer" Target="footer2.xm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iicrc.org/page/SANSIIICRCS500" TargetMode="External"/><Relationship Id="rId17" Type="http://schemas.openxmlformats.org/officeDocument/2006/relationships/footer" Target="footer1.xml"/><Relationship Id="rId25" Type="http://schemas.openxmlformats.org/officeDocument/2006/relationships/image" Target="media/image6.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pa.gov/sites/production/files/2015-09/documents/floods.pdf" TargetMode="External"/><Relationship Id="rId24" Type="http://schemas.openxmlformats.org/officeDocument/2006/relationships/image" Target="media/image5.jpe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4.jpeg"/><Relationship Id="rId28" Type="http://schemas.openxmlformats.org/officeDocument/2006/relationships/header" Target="header4.xml"/><Relationship Id="rId10" Type="http://schemas.openxmlformats.org/officeDocument/2006/relationships/image" Target="media/image10.png"/><Relationship Id="rId19" Type="http://schemas.openxmlformats.org/officeDocument/2006/relationships/header" Target="header3.xml"/><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eohhs/gov/departments/dph/programs/environmental-health/exposure-topics/iaq/iaq-manual/" TargetMode="External"/><Relationship Id="rId22" Type="http://schemas.openxmlformats.org/officeDocument/2006/relationships/image" Target="media/image3.jpeg"/><Relationship Id="rId27" Type="http://schemas.openxmlformats.org/officeDocument/2006/relationships/footer" Target="foot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51E69-60D1-4302-8278-A49A410B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Water Damage Assessment - Tewksbury Hospital, Saunders Building (December 2018)</vt:lpstr>
    </vt:vector>
  </TitlesOfParts>
  <Company>MDPH</Company>
  <LinksUpToDate>false</LinksUpToDate>
  <CharactersWithSpaces>10241</CharactersWithSpaces>
  <SharedDoc>false</SharedDoc>
  <HLinks>
    <vt:vector size="24" baseType="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9</vt:i4>
      </vt:variant>
      <vt:variant>
        <vt:i4>0</vt:i4>
      </vt:variant>
      <vt:variant>
        <vt:i4>5</vt:i4>
      </vt:variant>
      <vt:variant>
        <vt:lpwstr>http://mass.gov/dph/iaq</vt:lpwstr>
      </vt:variant>
      <vt:variant>
        <vt:lpwstr/>
      </vt:variant>
      <vt:variant>
        <vt:i4>524375</vt:i4>
      </vt:variant>
      <vt:variant>
        <vt:i4>6</vt:i4>
      </vt:variant>
      <vt:variant>
        <vt:i4>0</vt:i4>
      </vt:variant>
      <vt:variant>
        <vt:i4>5</vt:i4>
      </vt:variant>
      <vt:variant>
        <vt:lpwstr>https://www.iicrc.org/page/SANSIIICRCS500</vt:lpwstr>
      </vt:variant>
      <vt:variant>
        <vt:lpwstr/>
      </vt:variant>
      <vt:variant>
        <vt:i4>3735650</vt:i4>
      </vt:variant>
      <vt:variant>
        <vt:i4>3</vt:i4>
      </vt:variant>
      <vt:variant>
        <vt:i4>0</vt:i4>
      </vt:variant>
      <vt:variant>
        <vt:i4>5</vt:i4>
      </vt:variant>
      <vt:variant>
        <vt:lpwstr>https://www.epa.gov/sites/production/files/2015-09/documents/floods.pdf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Damage Assessment - Tewksbury Hospital, Saunders Building A-2 Quality Management Department (December 2018)</dc:title>
  <dc:subject>Tewksbury Hospital A2 Saunders Building</dc:subject>
  <dc:creator>Indoor Air Quality Program</dc:creator>
  <cp:keywords/>
  <cp:lastModifiedBy>AutoBVT</cp:lastModifiedBy>
  <cp:revision>4</cp:revision>
  <cp:lastPrinted>2017-11-21T20:56:00Z</cp:lastPrinted>
  <dcterms:created xsi:type="dcterms:W3CDTF">2019-01-02T21:01:00Z</dcterms:created>
  <dcterms:modified xsi:type="dcterms:W3CDTF">2019-01-02T21:03:00Z</dcterms:modified>
</cp:coreProperties>
</file>