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C22D1F"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0C30EC" w:rsidP="00DB51C0">
                            <w:pPr>
                              <w:jc w:val="center"/>
                              <w:rPr>
                                <w:b/>
                                <w:sz w:val="36"/>
                              </w:rPr>
                            </w:pPr>
                            <w:bookmarkStart w:id="0" w:name="_GoBack"/>
                            <w:bookmarkEnd w:id="0"/>
                            <w:r>
                              <w:rPr>
                                <w:b/>
                                <w:sz w:val="36"/>
                              </w:rPr>
                              <w:t>Water Damage Investigation</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367DF" w:rsidRPr="00B00D72" w:rsidRDefault="003A32AC" w:rsidP="00B367DF">
                            <w:pPr>
                              <w:jc w:val="center"/>
                              <w:rPr>
                                <w:b/>
                                <w:bCs/>
                                <w:sz w:val="28"/>
                                <w:highlight w:val="yellow"/>
                              </w:rPr>
                            </w:pPr>
                            <w:r>
                              <w:rPr>
                                <w:b/>
                                <w:bCs/>
                                <w:sz w:val="28"/>
                              </w:rPr>
                              <w:t>Saunders Building</w:t>
                            </w:r>
                          </w:p>
                          <w:p w:rsidR="003A32AC" w:rsidRDefault="00DF5ECB" w:rsidP="00B367DF">
                            <w:pPr>
                              <w:jc w:val="center"/>
                              <w:rPr>
                                <w:b/>
                                <w:bCs/>
                                <w:sz w:val="28"/>
                              </w:rPr>
                            </w:pPr>
                            <w:r>
                              <w:rPr>
                                <w:b/>
                                <w:bCs/>
                                <w:sz w:val="28"/>
                              </w:rPr>
                              <w:t>EB12 Occupational Therapy</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C22D1F" w:rsidP="00DB51C0">
                            <w:pPr>
                              <w:jc w:val="center"/>
                            </w:pPr>
                            <w:r>
                              <w:rPr>
                                <w:noProof/>
                              </w:rPr>
                              <w:drawing>
                                <wp:inline distT="0" distB="0" distL="0" distR="0">
                                  <wp:extent cx="3840480" cy="3284220"/>
                                  <wp:effectExtent l="0" t="0" r="0" b="0"/>
                                  <wp:docPr id="5"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53D89" w:rsidP="00DB51C0">
                            <w:pPr>
                              <w:jc w:val="center"/>
                            </w:pPr>
                            <w:r>
                              <w:t>December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0C30EC" w:rsidP="00DB51C0">
                      <w:pPr>
                        <w:jc w:val="center"/>
                        <w:rPr>
                          <w:b/>
                          <w:sz w:val="36"/>
                        </w:rPr>
                      </w:pPr>
                      <w:bookmarkStart w:id="1" w:name="_GoBack"/>
                      <w:bookmarkEnd w:id="1"/>
                      <w:r>
                        <w:rPr>
                          <w:b/>
                          <w:sz w:val="36"/>
                        </w:rPr>
                        <w:t>Water Damage Investigation</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367DF" w:rsidRPr="00B00D72" w:rsidRDefault="003A32AC" w:rsidP="00B367DF">
                      <w:pPr>
                        <w:jc w:val="center"/>
                        <w:rPr>
                          <w:b/>
                          <w:bCs/>
                          <w:sz w:val="28"/>
                          <w:highlight w:val="yellow"/>
                        </w:rPr>
                      </w:pPr>
                      <w:r>
                        <w:rPr>
                          <w:b/>
                          <w:bCs/>
                          <w:sz w:val="28"/>
                        </w:rPr>
                        <w:t>Saunders Building</w:t>
                      </w:r>
                    </w:p>
                    <w:p w:rsidR="003A32AC" w:rsidRDefault="00DF5ECB" w:rsidP="00B367DF">
                      <w:pPr>
                        <w:jc w:val="center"/>
                        <w:rPr>
                          <w:b/>
                          <w:bCs/>
                          <w:sz w:val="28"/>
                        </w:rPr>
                      </w:pPr>
                      <w:r>
                        <w:rPr>
                          <w:b/>
                          <w:bCs/>
                          <w:sz w:val="28"/>
                        </w:rPr>
                        <w:t>EB12 Occupational Therapy</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C22D1F" w:rsidP="00DB51C0">
                      <w:pPr>
                        <w:jc w:val="center"/>
                      </w:pPr>
                      <w:r>
                        <w:rPr>
                          <w:noProof/>
                        </w:rPr>
                        <w:drawing>
                          <wp:inline distT="0" distB="0" distL="0" distR="0">
                            <wp:extent cx="3840480" cy="3284220"/>
                            <wp:effectExtent l="0" t="0" r="0" b="0"/>
                            <wp:docPr id="5"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53D89" w:rsidP="00DB51C0">
                      <w:pPr>
                        <w:jc w:val="center"/>
                      </w:pPr>
                      <w:r>
                        <w:t>December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484695" w:rsidRDefault="00FA4363" w:rsidP="00DF5ECB">
            <w:pPr>
              <w:tabs>
                <w:tab w:val="left" w:pos="1485"/>
              </w:tabs>
              <w:rPr>
                <w:bCs/>
              </w:rPr>
            </w:pPr>
            <w:r w:rsidRPr="00484695">
              <w:rPr>
                <w:bCs/>
              </w:rPr>
              <w:t>Tewksbury Hospital, Saunders Building</w:t>
            </w:r>
            <w:r w:rsidR="00D40F5C">
              <w:rPr>
                <w:bCs/>
              </w:rPr>
              <w:t xml:space="preserve">- </w:t>
            </w:r>
            <w:r w:rsidR="00DF5ECB">
              <w:rPr>
                <w:bCs/>
              </w:rPr>
              <w:t>EB12 Occupational Therapy</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FA4363" w:rsidP="00FA4363">
            <w:pPr>
              <w:pStyle w:val="StaffTitleHangingIndent"/>
            </w:pPr>
            <w:r>
              <w:rPr>
                <w:bCs/>
              </w:rPr>
              <w:t>365 East</w:t>
            </w:r>
            <w:r w:rsidR="00B367DF" w:rsidRPr="00295074">
              <w:rPr>
                <w:bCs/>
              </w:rPr>
              <w:t xml:space="preserve"> Street, </w:t>
            </w:r>
            <w:r>
              <w:rPr>
                <w:bCs/>
              </w:rPr>
              <w:t>Tewksbury</w:t>
            </w:r>
            <w:r w:rsidR="00AE6286">
              <w:t xml:space="preserve">, </w:t>
            </w:r>
            <w:r>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C04E36" w:rsidRDefault="00C04E36" w:rsidP="00C04E36">
            <w:pPr>
              <w:pStyle w:val="StaffTitleHangingIndent"/>
            </w:pPr>
            <w:r>
              <w:t>Scott J. Consaul, J.D., CPHQ, CHSP, CSL</w:t>
            </w:r>
          </w:p>
          <w:p w:rsidR="00966B98" w:rsidRPr="00B367DF" w:rsidRDefault="00C04E36" w:rsidP="00A32C6A">
            <w:pPr>
              <w:pStyle w:val="StaffTitleHangingIndent"/>
              <w:rPr>
                <w:highlight w:val="yellow"/>
              </w:rPr>
            </w:pPr>
            <w:r>
              <w:t>Director of Facilities Management</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Reason for Request:</w:t>
            </w:r>
          </w:p>
        </w:tc>
        <w:tc>
          <w:tcPr>
            <w:tcW w:w="4008" w:type="dxa"/>
            <w:shd w:val="clear" w:color="auto" w:fill="auto"/>
          </w:tcPr>
          <w:p w:rsidR="00966B98" w:rsidRPr="00492B43" w:rsidRDefault="00B367DF" w:rsidP="00B367DF">
            <w:pPr>
              <w:tabs>
                <w:tab w:val="left" w:pos="1485"/>
              </w:tabs>
              <w:rPr>
                <w:bCs/>
              </w:rPr>
            </w:pPr>
            <w:r w:rsidRPr="00492B43">
              <w:rPr>
                <w:bCs/>
              </w:rPr>
              <w:t>General Indoor Air Quality (IAQ) and health</w:t>
            </w:r>
            <w:r w:rsidR="00F841D2" w:rsidRPr="00492B43">
              <w:rPr>
                <w:bCs/>
              </w:rPr>
              <w:t xml:space="preserve"> </w:t>
            </w:r>
            <w:r w:rsidR="004D6304" w:rsidRPr="00492B43">
              <w:rPr>
                <w:bCs/>
              </w:rPr>
              <w:t>concerns</w:t>
            </w:r>
            <w:r w:rsidR="00DB4E35" w:rsidRPr="00492B43">
              <w:rPr>
                <w:bCs/>
              </w:rPr>
              <w:t xml:space="preserve"> following water damage events</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Date of Assessment:</w:t>
            </w:r>
          </w:p>
        </w:tc>
        <w:tc>
          <w:tcPr>
            <w:tcW w:w="4008" w:type="dxa"/>
            <w:shd w:val="clear" w:color="auto" w:fill="auto"/>
          </w:tcPr>
          <w:p w:rsidR="00966B98" w:rsidRPr="00492B43" w:rsidRDefault="00DB4E35" w:rsidP="00795E8C">
            <w:pPr>
              <w:tabs>
                <w:tab w:val="left" w:pos="1485"/>
              </w:tabs>
              <w:rPr>
                <w:bCs/>
              </w:rPr>
            </w:pPr>
            <w:r w:rsidRPr="00492B43">
              <w:rPr>
                <w:bCs/>
              </w:rPr>
              <w:t>November 27</w:t>
            </w:r>
            <w:r w:rsidR="0073731E" w:rsidRPr="00492B43">
              <w:rPr>
                <w:bCs/>
              </w:rPr>
              <w:t>, 201</w:t>
            </w:r>
            <w:r w:rsidR="00795E8C">
              <w:rPr>
                <w:bCs/>
              </w:rPr>
              <w:t>8</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Massachusetts Department of Public Health/Bureau of Environmental Health (MDPH/BEH) Staff Conducting Assessment:</w:t>
            </w:r>
          </w:p>
        </w:tc>
        <w:tc>
          <w:tcPr>
            <w:tcW w:w="4008" w:type="dxa"/>
            <w:shd w:val="clear" w:color="auto" w:fill="auto"/>
          </w:tcPr>
          <w:p w:rsidR="00966B98" w:rsidRPr="00492B43" w:rsidRDefault="00C04E36" w:rsidP="00C04E36">
            <w:pPr>
              <w:pStyle w:val="StaffTitleHangingIndent"/>
              <w:rPr>
                <w:bCs/>
              </w:rPr>
            </w:pPr>
            <w:r w:rsidRPr="00492B43">
              <w:rPr>
                <w:bCs/>
              </w:rPr>
              <w:t>Jason Dustin</w:t>
            </w:r>
            <w:r w:rsidR="00653643" w:rsidRPr="00492B43">
              <w:rPr>
                <w:bCs/>
              </w:rPr>
              <w:t xml:space="preserve">, Environmental </w:t>
            </w:r>
            <w:r w:rsidRPr="00492B43">
              <w:rPr>
                <w:bCs/>
              </w:rPr>
              <w:t>Analyst</w:t>
            </w:r>
            <w:r w:rsidR="00653643" w:rsidRPr="00492B43">
              <w:rPr>
                <w:bCs/>
              </w:rPr>
              <w:t xml:space="preserve">, </w:t>
            </w:r>
            <w:r w:rsidR="002E1405" w:rsidRPr="00492B43">
              <w:rPr>
                <w:bCs/>
              </w:rPr>
              <w:t>indoor air quality (</w:t>
            </w:r>
            <w:r w:rsidR="000D21AE" w:rsidRPr="00492B43">
              <w:rPr>
                <w:bCs/>
              </w:rPr>
              <w:t>IAQ</w:t>
            </w:r>
            <w:r w:rsidR="002E1405" w:rsidRPr="00492B43">
              <w:rPr>
                <w:bCs/>
              </w:rPr>
              <w:t>)</w:t>
            </w:r>
            <w:r w:rsidR="000D21AE" w:rsidRPr="00492B43">
              <w:rPr>
                <w:bCs/>
              </w:rPr>
              <w:t xml:space="preserve"> </w:t>
            </w:r>
            <w:r w:rsidR="00966B98" w:rsidRPr="00492B43">
              <w:rPr>
                <w:bCs/>
              </w:rPr>
              <w:t>Program</w:t>
            </w:r>
          </w:p>
        </w:tc>
      </w:tr>
      <w:tr w:rsidR="00966B98" w:rsidRPr="00492B43" w:rsidTr="007154D5">
        <w:trPr>
          <w:trHeight w:val="323"/>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Building Description:</w:t>
            </w:r>
          </w:p>
        </w:tc>
        <w:tc>
          <w:tcPr>
            <w:tcW w:w="4008" w:type="dxa"/>
            <w:shd w:val="clear" w:color="auto" w:fill="auto"/>
          </w:tcPr>
          <w:p w:rsidR="00966B98" w:rsidRPr="00492B43" w:rsidRDefault="00C04E36" w:rsidP="00DF5ECB">
            <w:pPr>
              <w:pStyle w:val="StaffTitleHangingIndent"/>
              <w:rPr>
                <w:bCs/>
              </w:rPr>
            </w:pPr>
            <w:r w:rsidRPr="00492B43">
              <w:rPr>
                <w:bCs/>
              </w:rPr>
              <w:t xml:space="preserve">The offices examined are on the </w:t>
            </w:r>
            <w:r w:rsidR="00DF5ECB">
              <w:rPr>
                <w:bCs/>
              </w:rPr>
              <w:t>basement level</w:t>
            </w:r>
            <w:r w:rsidR="00295074" w:rsidRPr="00492B43">
              <w:rPr>
                <w:bCs/>
              </w:rPr>
              <w:t xml:space="preserve"> of </w:t>
            </w:r>
            <w:r w:rsidR="00B21F66" w:rsidRPr="00492B43">
              <w:rPr>
                <w:bCs/>
              </w:rPr>
              <w:t>a U-shaped, five-story building with a flat rubber membrane roof. It was originally built in the 1960s with additional wings added in the early 1970s.</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Windows:</w:t>
            </w:r>
          </w:p>
        </w:tc>
        <w:tc>
          <w:tcPr>
            <w:tcW w:w="4008" w:type="dxa"/>
            <w:shd w:val="clear" w:color="auto" w:fill="auto"/>
          </w:tcPr>
          <w:p w:rsidR="00966B98" w:rsidRPr="00492B43" w:rsidRDefault="00111FFA" w:rsidP="00745B72">
            <w:pPr>
              <w:tabs>
                <w:tab w:val="left" w:pos="1485"/>
              </w:tabs>
              <w:rPr>
                <w:bCs/>
              </w:rPr>
            </w:pPr>
            <w:r>
              <w:rPr>
                <w:bCs/>
              </w:rPr>
              <w:t xml:space="preserve">Some </w:t>
            </w:r>
            <w:r w:rsidR="00753693" w:rsidRPr="00492B43">
              <w:rPr>
                <w:bCs/>
              </w:rPr>
              <w:t>o</w:t>
            </w:r>
            <w:r w:rsidR="0073731E" w:rsidRPr="00492B43">
              <w:rPr>
                <w:bCs/>
              </w:rPr>
              <w:t>penable</w:t>
            </w:r>
          </w:p>
        </w:tc>
      </w:tr>
    </w:tbl>
    <w:p w:rsidR="00F93352" w:rsidRPr="00492B43" w:rsidRDefault="00F93352" w:rsidP="00F93352">
      <w:pPr>
        <w:pStyle w:val="Heading1"/>
      </w:pPr>
      <w:r w:rsidRPr="00492B43">
        <w:t>M</w:t>
      </w:r>
      <w:r w:rsidR="007154D5" w:rsidRPr="00492B43">
        <w:t>ethods</w:t>
      </w:r>
    </w:p>
    <w:p w:rsidR="00F93352" w:rsidRPr="00492B43" w:rsidRDefault="00F93352" w:rsidP="00F93352">
      <w:pPr>
        <w:pStyle w:val="BodyText"/>
      </w:pPr>
      <w:r w:rsidRPr="00492B43">
        <w:t>Please refer to the IAQ Manual for methods, sampling procedures, and interpretation of results (MDPH, 2015).</w:t>
      </w:r>
      <w:r w:rsidR="000A6DBD" w:rsidRPr="00492B43">
        <w:t xml:space="preserve"> </w:t>
      </w:r>
    </w:p>
    <w:p w:rsidR="005D747F" w:rsidRPr="00492B43" w:rsidRDefault="005D747F" w:rsidP="005D747F">
      <w:pPr>
        <w:pStyle w:val="Heading1"/>
      </w:pPr>
      <w:r w:rsidRPr="00492B43">
        <w:t>IAQ Testing Results</w:t>
      </w:r>
    </w:p>
    <w:p w:rsidR="005D747F" w:rsidRPr="00492B43" w:rsidRDefault="005D747F" w:rsidP="005D747F">
      <w:pPr>
        <w:pStyle w:val="BodyText1"/>
      </w:pPr>
      <w:r w:rsidRPr="00492B43">
        <w:t>The following is a summary of indoor air testing results (Table 1).</w:t>
      </w:r>
    </w:p>
    <w:p w:rsidR="005D747F" w:rsidRPr="00492B43" w:rsidRDefault="005D747F" w:rsidP="005D747F">
      <w:pPr>
        <w:pStyle w:val="BodyText"/>
        <w:numPr>
          <w:ilvl w:val="0"/>
          <w:numId w:val="26"/>
        </w:numPr>
      </w:pPr>
      <w:r w:rsidRPr="00492B43">
        <w:rPr>
          <w:b/>
          <w:i/>
        </w:rPr>
        <w:t xml:space="preserve">Carbon dioxide </w:t>
      </w:r>
      <w:r w:rsidRPr="00492B43">
        <w:t xml:space="preserve">levels were below </w:t>
      </w:r>
      <w:r w:rsidR="00241C4A">
        <w:t xml:space="preserve">the MDPH </w:t>
      </w:r>
      <w:r w:rsidRPr="00492B43">
        <w:t xml:space="preserve">800 parts per million (ppm) in all </w:t>
      </w:r>
      <w:r w:rsidR="00B367DF" w:rsidRPr="00492B43">
        <w:t>area</w:t>
      </w:r>
      <w:r w:rsidR="00A86BF8" w:rsidRPr="00492B43">
        <w:t>s</w:t>
      </w:r>
      <w:r w:rsidRPr="00492B43">
        <w:t xml:space="preserve"> surveyed, indicating adequate air exchange.</w:t>
      </w:r>
    </w:p>
    <w:p w:rsidR="005D747F" w:rsidRPr="00492B43" w:rsidRDefault="005D747F" w:rsidP="005D747F">
      <w:pPr>
        <w:pStyle w:val="BodyText"/>
        <w:numPr>
          <w:ilvl w:val="0"/>
          <w:numId w:val="26"/>
        </w:numPr>
      </w:pPr>
      <w:r w:rsidRPr="00492B43">
        <w:rPr>
          <w:b/>
          <w:i/>
        </w:rPr>
        <w:t>Temperature</w:t>
      </w:r>
      <w:r w:rsidRPr="00492B43">
        <w:t xml:space="preserve"> was within the </w:t>
      </w:r>
      <w:r w:rsidR="00241C4A">
        <w:t xml:space="preserve">MDPH </w:t>
      </w:r>
      <w:r w:rsidRPr="00492B43">
        <w:t xml:space="preserve">recommended range of 70°F to 78°F in </w:t>
      </w:r>
      <w:r w:rsidR="002D5170" w:rsidRPr="00492B43">
        <w:t>all</w:t>
      </w:r>
      <w:r w:rsidRPr="00492B43">
        <w:t xml:space="preserve"> area</w:t>
      </w:r>
      <w:r w:rsidR="00393AD1" w:rsidRPr="00492B43">
        <w:t>s</w:t>
      </w:r>
      <w:r w:rsidRPr="00492B43">
        <w:t xml:space="preserve"> tested.</w:t>
      </w:r>
    </w:p>
    <w:p w:rsidR="005D747F" w:rsidRPr="00492B43" w:rsidRDefault="005D747F" w:rsidP="005D747F">
      <w:pPr>
        <w:pStyle w:val="BodyText"/>
        <w:numPr>
          <w:ilvl w:val="0"/>
          <w:numId w:val="26"/>
        </w:numPr>
      </w:pPr>
      <w:r w:rsidRPr="00492B43">
        <w:rPr>
          <w:b/>
          <w:i/>
        </w:rPr>
        <w:t>Relative humidity</w:t>
      </w:r>
      <w:r w:rsidRPr="00492B43">
        <w:t xml:space="preserve"> was </w:t>
      </w:r>
      <w:r w:rsidR="00A86BF8" w:rsidRPr="00492B43">
        <w:t>below</w:t>
      </w:r>
      <w:r w:rsidR="00D16D30" w:rsidRPr="00492B43">
        <w:t xml:space="preserve"> </w:t>
      </w:r>
      <w:r w:rsidRPr="00492B43">
        <w:t xml:space="preserve">the </w:t>
      </w:r>
      <w:r w:rsidR="00241C4A">
        <w:t xml:space="preserve">MDPH </w:t>
      </w:r>
      <w:r w:rsidRPr="00492B43">
        <w:t xml:space="preserve">recommended range of 40 to 60% in </w:t>
      </w:r>
      <w:r w:rsidR="00393AD1" w:rsidRPr="00492B43">
        <w:t>the</w:t>
      </w:r>
      <w:r w:rsidR="00A86BF8" w:rsidRPr="00492B43">
        <w:t xml:space="preserve"> areas tested which is typical during the heating season.</w:t>
      </w:r>
      <w:r w:rsidR="00295074" w:rsidRPr="00492B43">
        <w:t xml:space="preserve"> </w:t>
      </w:r>
    </w:p>
    <w:p w:rsidR="005D747F" w:rsidRPr="00492B43" w:rsidRDefault="005D747F" w:rsidP="005D747F">
      <w:pPr>
        <w:pStyle w:val="BodyText"/>
        <w:numPr>
          <w:ilvl w:val="0"/>
          <w:numId w:val="26"/>
        </w:numPr>
      </w:pPr>
      <w:r w:rsidRPr="00492B43">
        <w:rPr>
          <w:b/>
          <w:i/>
        </w:rPr>
        <w:lastRenderedPageBreak/>
        <w:t>Carbon monoxide</w:t>
      </w:r>
      <w:r w:rsidRPr="00492B43">
        <w:t xml:space="preserve"> levels were non-detectable (ND) in all areas tested.</w:t>
      </w:r>
    </w:p>
    <w:p w:rsidR="005D747F" w:rsidRPr="00492B43" w:rsidRDefault="005D747F" w:rsidP="005D747F">
      <w:pPr>
        <w:pStyle w:val="BodyText"/>
        <w:numPr>
          <w:ilvl w:val="0"/>
          <w:numId w:val="26"/>
        </w:numPr>
      </w:pPr>
      <w:r w:rsidRPr="00492B43">
        <w:rPr>
          <w:b/>
          <w:i/>
        </w:rPr>
        <w:t xml:space="preserve">Fine particulate matter (PM2.5) </w:t>
      </w:r>
      <w:r w:rsidRPr="00492B43">
        <w:t xml:space="preserve">concentrations measured were below the </w:t>
      </w:r>
      <w:r w:rsidR="005F27B3" w:rsidRPr="00492B43">
        <w:t xml:space="preserve">National Ambient Air Quality (NAAQS) </w:t>
      </w:r>
      <w:r w:rsidRPr="00492B43">
        <w:t xml:space="preserve">limit </w:t>
      </w:r>
      <w:proofErr w:type="gramStart"/>
      <w:r w:rsidRPr="00492B43">
        <w:t>of 35 μg/m</w:t>
      </w:r>
      <w:r w:rsidRPr="00492B43">
        <w:rPr>
          <w:vertAlign w:val="superscript"/>
        </w:rPr>
        <w:t>3</w:t>
      </w:r>
      <w:r w:rsidRPr="00492B43">
        <w:t xml:space="preserve"> in all areas</w:t>
      </w:r>
      <w:proofErr w:type="gramEnd"/>
      <w:r w:rsidRPr="00492B43">
        <w:t xml:space="preserve"> tested.</w:t>
      </w:r>
    </w:p>
    <w:p w:rsidR="00A86BF8" w:rsidRPr="00492B43" w:rsidRDefault="00A86BF8" w:rsidP="005D747F">
      <w:pPr>
        <w:pStyle w:val="BodyText"/>
        <w:numPr>
          <w:ilvl w:val="0"/>
          <w:numId w:val="26"/>
        </w:numPr>
      </w:pPr>
      <w:r w:rsidRPr="00492B43">
        <w:rPr>
          <w:b/>
          <w:i/>
        </w:rPr>
        <w:t xml:space="preserve">Total Volatile Organic Compound (TVOC) </w:t>
      </w:r>
      <w:r w:rsidRPr="00492B43">
        <w:t>levels were ND in all areas surveyed.</w:t>
      </w:r>
      <w:r w:rsidRPr="00492B43">
        <w:rPr>
          <w:b/>
          <w:i/>
        </w:rPr>
        <w:t xml:space="preserve"> </w:t>
      </w:r>
    </w:p>
    <w:p w:rsidR="005D747F" w:rsidRPr="00492B43" w:rsidRDefault="005D747F" w:rsidP="005D747F">
      <w:pPr>
        <w:pStyle w:val="Heading2"/>
      </w:pPr>
      <w:r w:rsidRPr="00492B43">
        <w:t>Ventilation</w:t>
      </w:r>
    </w:p>
    <w:p w:rsidR="005D747F" w:rsidRPr="00492B43" w:rsidRDefault="005D747F" w:rsidP="005D747F">
      <w:pPr>
        <w:pStyle w:val="BodyText1"/>
      </w:pPr>
      <w:r w:rsidRPr="00492B43">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D747F" w:rsidRPr="00492B43" w:rsidRDefault="005D747F" w:rsidP="00812E12">
      <w:pPr>
        <w:pStyle w:val="BodyText10"/>
      </w:pPr>
      <w:r w:rsidRPr="00492B43">
        <w:t xml:space="preserve">Fresh air is supplied by </w:t>
      </w:r>
      <w:r w:rsidR="00D919CD" w:rsidRPr="00492B43">
        <w:t xml:space="preserve">air handling units </w:t>
      </w:r>
      <w:r w:rsidR="007F7D8F" w:rsidRPr="00492B43">
        <w:t xml:space="preserve">(AHU) </w:t>
      </w:r>
      <w:r w:rsidR="00D919CD" w:rsidRPr="00492B43">
        <w:t>and delivered to supply vents located in the ceilings of rooms</w:t>
      </w:r>
      <w:r w:rsidR="002E78E5">
        <w:t xml:space="preserve"> and hallways</w:t>
      </w:r>
      <w:r w:rsidRPr="00492B43">
        <w:t xml:space="preserve">. </w:t>
      </w:r>
      <w:r w:rsidR="00B21F66" w:rsidRPr="00492B43">
        <w:t xml:space="preserve">The </w:t>
      </w:r>
      <w:r w:rsidR="000C6E92">
        <w:t xml:space="preserve">Saunders </w:t>
      </w:r>
      <w:r w:rsidR="00B21F66" w:rsidRPr="00492B43">
        <w:t xml:space="preserve">building uses 100% fresh air so </w:t>
      </w:r>
      <w:r w:rsidR="00A825E8" w:rsidRPr="00492B43">
        <w:t xml:space="preserve">that </w:t>
      </w:r>
      <w:r w:rsidR="00B21F66" w:rsidRPr="00492B43">
        <w:t>no air is returned to the AHUs. Stale</w:t>
      </w:r>
      <w:r w:rsidRPr="00492B43">
        <w:t xml:space="preserve"> air is drawn through grates </w:t>
      </w:r>
      <w:r w:rsidR="00B21F66" w:rsidRPr="00492B43">
        <w:t>and ejected out of the building through roof-mounted exhaust units.</w:t>
      </w:r>
      <w:r w:rsidR="0065610F" w:rsidRPr="00492B43">
        <w:t xml:space="preserve"> </w:t>
      </w:r>
      <w:r w:rsidR="000C6E92">
        <w:t xml:space="preserve">The EB12 office suite appears to have been subdivided </w:t>
      </w:r>
      <w:r w:rsidR="00812E12">
        <w:t>from</w:t>
      </w:r>
      <w:r w:rsidR="00A37C9F">
        <w:t xml:space="preserve"> a larger room </w:t>
      </w:r>
      <w:r w:rsidR="00812E12">
        <w:t>after</w:t>
      </w:r>
      <w:r w:rsidR="000C6E92">
        <w:t xml:space="preserve"> the original construction of the building. As a result, the space does not appear to have supply or exhaust vents located directly in the office. Instead, EB12 relies on fresh air supply and direct ex</w:t>
      </w:r>
      <w:r w:rsidR="002E78E5">
        <w:t xml:space="preserve">haust from the common hallways </w:t>
      </w:r>
      <w:r w:rsidR="00494D92">
        <w:t xml:space="preserve">by leaving the door to the office suite </w:t>
      </w:r>
      <w:r w:rsidR="00494D92" w:rsidRPr="009B5800">
        <w:t xml:space="preserve">open. </w:t>
      </w:r>
      <w:r w:rsidR="00812E12">
        <w:t>The</w:t>
      </w:r>
      <w:r w:rsidR="00D3197B" w:rsidRPr="00942CDA">
        <w:t xml:space="preserve"> MDPH </w:t>
      </w:r>
      <w:r w:rsidR="00812E12">
        <w:t xml:space="preserve">IAQ program </w:t>
      </w:r>
      <w:r w:rsidR="00D3197B" w:rsidRPr="00942CDA">
        <w:t>typically recommends supply/exhaust ventilation in each office area to more effectively dilute/remove commonly found indoor air pollutants.</w:t>
      </w:r>
    </w:p>
    <w:p w:rsidR="0065610F" w:rsidRPr="00492B43" w:rsidRDefault="00D32799" w:rsidP="00812E12">
      <w:pPr>
        <w:pStyle w:val="BodyText10"/>
      </w:pPr>
      <w:r w:rsidRPr="00492B43">
        <w:t>The MDPH typically recommends</w:t>
      </w:r>
      <w:r w:rsidR="0065610F" w:rsidRPr="00492B43">
        <w:t xml:space="preserve"> that HVAC systems be re-balanced every five years to ensure adequate air systems function (SMACNA, 1994). It is not known when the last time these systems were balanced.</w:t>
      </w:r>
      <w:r w:rsidR="007F33FC" w:rsidRPr="00492B43">
        <w:t xml:space="preserve"> Balancing should also occur when the space is significantly rearranged.</w:t>
      </w:r>
    </w:p>
    <w:p w:rsidR="005D747F" w:rsidRPr="00957BB4" w:rsidRDefault="005D747F" w:rsidP="00957BB4">
      <w:pPr>
        <w:pStyle w:val="Heading2"/>
      </w:pPr>
      <w:r w:rsidRPr="00957BB4">
        <w:t>Microbial/Moisture Concerns</w:t>
      </w:r>
    </w:p>
    <w:p w:rsidR="00A32C6A" w:rsidRPr="001776CC" w:rsidRDefault="00A32C6A" w:rsidP="00812E12">
      <w:pPr>
        <w:pStyle w:val="BodyText10"/>
      </w:pPr>
      <w:r w:rsidRPr="001776CC">
        <w:t xml:space="preserve">Facilities personnel reported that there had recently </w:t>
      </w:r>
      <w:r w:rsidR="002E78E5">
        <w:t xml:space="preserve">been a </w:t>
      </w:r>
      <w:r w:rsidR="00036077" w:rsidRPr="001776CC">
        <w:t xml:space="preserve">drain </w:t>
      </w:r>
      <w:r w:rsidR="00A32D53" w:rsidRPr="001776CC">
        <w:t>leak which impacted the EB12D office within this suite</w:t>
      </w:r>
      <w:r w:rsidRPr="001776CC">
        <w:t xml:space="preserve">. </w:t>
      </w:r>
      <w:r w:rsidR="00036077" w:rsidRPr="001776CC">
        <w:t xml:space="preserve">While maintenance personnel were working on a drain pipe, another worker removed a bag </w:t>
      </w:r>
      <w:r w:rsidR="00554B88">
        <w:t>used to block</w:t>
      </w:r>
      <w:r w:rsidR="00036077" w:rsidRPr="001776CC">
        <w:t xml:space="preserve"> a sink and poured water down the drain where maintenance was being performed</w:t>
      </w:r>
      <w:r w:rsidRPr="001776CC">
        <w:t>.</w:t>
      </w:r>
      <w:r w:rsidR="00220935" w:rsidRPr="001776CC">
        <w:t xml:space="preserve"> </w:t>
      </w:r>
      <w:r w:rsidR="00036077" w:rsidRPr="001776CC">
        <w:t>In addition, th</w:t>
      </w:r>
      <w:r w:rsidR="00957BB4">
        <w:t>is sam</w:t>
      </w:r>
      <w:r w:rsidR="00036077" w:rsidRPr="001776CC">
        <w:t>e drain was later broke.</w:t>
      </w:r>
      <w:r w:rsidR="002E78E5">
        <w:t xml:space="preserve"> As a result, the carpet tiles in room EB12D were water-</w:t>
      </w:r>
      <w:r w:rsidR="002E78E5" w:rsidRPr="00CA3499">
        <w:t>damaged</w:t>
      </w:r>
      <w:r w:rsidR="004920F4" w:rsidRPr="00CA3499">
        <w:t xml:space="preserve"> (Picture </w:t>
      </w:r>
      <w:r w:rsidR="00C47E14" w:rsidRPr="00CA3499">
        <w:t>1</w:t>
      </w:r>
      <w:r w:rsidR="004920F4" w:rsidRPr="00CA3499">
        <w:t>)</w:t>
      </w:r>
      <w:r w:rsidR="002E78E5" w:rsidRPr="00CA3499">
        <w:t>.</w:t>
      </w:r>
      <w:r w:rsidR="00036077" w:rsidRPr="00CA3499">
        <w:t xml:space="preserve"> </w:t>
      </w:r>
      <w:r w:rsidR="00220935" w:rsidRPr="00CA3499">
        <w:t>Internal</w:t>
      </w:r>
      <w:r w:rsidR="00220935" w:rsidRPr="001776CC">
        <w:t xml:space="preserve"> Environmental Services </w:t>
      </w:r>
      <w:r w:rsidR="00220935" w:rsidRPr="001776CC">
        <w:lastRenderedPageBreak/>
        <w:t xml:space="preserve">staff </w:t>
      </w:r>
      <w:r w:rsidR="008B2ACF" w:rsidRPr="001776CC">
        <w:t xml:space="preserve">immediately </w:t>
      </w:r>
      <w:r w:rsidR="00220935" w:rsidRPr="001776CC">
        <w:t>responded</w:t>
      </w:r>
      <w:r w:rsidR="008B2ACF" w:rsidRPr="001776CC">
        <w:t xml:space="preserve"> by extracting the water, using fans to dry the area, and other mitigation techniques</w:t>
      </w:r>
      <w:r w:rsidR="00220935" w:rsidRPr="001776CC">
        <w:t xml:space="preserve">. Some occupants </w:t>
      </w:r>
      <w:r w:rsidR="008B2ACF" w:rsidRPr="001776CC">
        <w:t>reported experiencing hea</w:t>
      </w:r>
      <w:r w:rsidR="00942CDA" w:rsidRPr="001776CC">
        <w:t>l</w:t>
      </w:r>
      <w:r w:rsidR="008B2ACF" w:rsidRPr="001776CC">
        <w:t>th effects since the leak occurred. Symptoms reported include respiratory issues (coughing, congestion) and burning/itching eyes.</w:t>
      </w:r>
    </w:p>
    <w:p w:rsidR="00F51A50" w:rsidRPr="001776CC" w:rsidRDefault="00067366" w:rsidP="00812E12">
      <w:pPr>
        <w:pStyle w:val="BodyText10"/>
      </w:pPr>
      <w:r w:rsidRPr="001776CC">
        <w:t xml:space="preserve">Although the </w:t>
      </w:r>
      <w:r w:rsidR="00957BB4">
        <w:t xml:space="preserve">source </w:t>
      </w:r>
      <w:r w:rsidRPr="001776CC">
        <w:t xml:space="preserve">of the leak was water coming from a sink, it is highly likely that the sink shares a drain pipe that is used for toilets. In this case, the water leaked would be considered </w:t>
      </w:r>
      <w:r w:rsidR="00812E12">
        <w:t>b</w:t>
      </w:r>
      <w:r w:rsidRPr="001776CC">
        <w:t>lackwater (contaminated</w:t>
      </w:r>
      <w:r w:rsidR="00812E12">
        <w:t xml:space="preserve"> with sewage</w:t>
      </w:r>
      <w:r w:rsidRPr="001776CC">
        <w:t>)</w:t>
      </w:r>
      <w:r w:rsidR="00957BB4">
        <w:t xml:space="preserve"> if the water was part of a sewage back-up</w:t>
      </w:r>
      <w:r w:rsidRPr="001776CC">
        <w:t xml:space="preserve">. </w:t>
      </w:r>
      <w:r w:rsidR="00F51A50" w:rsidRPr="001776CC">
        <w:t xml:space="preserve">In general, nonporous surfaces (e.g., concrete, tile) may be effectively </w:t>
      </w:r>
      <w:proofErr w:type="gramStart"/>
      <w:r w:rsidR="00F51A50" w:rsidRPr="001776CC">
        <w:t>cleaned/sanitized</w:t>
      </w:r>
      <w:proofErr w:type="gramEnd"/>
      <w:r w:rsidR="00F51A50" w:rsidRPr="001776CC">
        <w:t xml:space="preserve">. However, porous materials (e.g., gypsum wallboard, carpet, cardboard) that have been in contact with </w:t>
      </w:r>
      <w:r w:rsidR="00812E12">
        <w:t>b</w:t>
      </w:r>
      <w:r w:rsidR="003A32AC" w:rsidRPr="001776CC">
        <w:t>lackwater</w:t>
      </w:r>
      <w:r w:rsidR="00990450">
        <w:t xml:space="preserve"> </w:t>
      </w:r>
      <w:r w:rsidR="00F51A50" w:rsidRPr="001776CC">
        <w:t xml:space="preserve">cannot be effectively cleaned/sanitized or dried and must be disposed of properly. </w:t>
      </w:r>
      <w:r w:rsidR="005413CC" w:rsidRPr="001776CC">
        <w:t>Therefore, any areas of carpeting or other porous materials</w:t>
      </w:r>
      <w:r w:rsidR="00FF59AB" w:rsidRPr="001776CC">
        <w:t xml:space="preserve"> (e.g., gypsum wallboard, boxes)</w:t>
      </w:r>
      <w:r w:rsidR="00812E12">
        <w:t xml:space="preserve"> that were impacted by the b</w:t>
      </w:r>
      <w:r w:rsidR="005413CC" w:rsidRPr="001776CC">
        <w:t xml:space="preserve">lackwater should be discarded. </w:t>
      </w:r>
    </w:p>
    <w:p w:rsidR="00F518EC" w:rsidRPr="001776CC" w:rsidRDefault="0055631E" w:rsidP="00812E12">
      <w:pPr>
        <w:pStyle w:val="BodyText10"/>
        <w:rPr>
          <w:snapToGrid w:val="0"/>
        </w:rPr>
      </w:pPr>
      <w:r w:rsidRPr="001776CC">
        <w:t xml:space="preserve">The EB12 </w:t>
      </w:r>
      <w:r w:rsidR="00FF59AB" w:rsidRPr="001776CC">
        <w:t>suite has</w:t>
      </w:r>
      <w:r w:rsidRPr="001776CC">
        <w:t xml:space="preserve"> carpet tiles throughout the office areas</w:t>
      </w:r>
      <w:r w:rsidR="009F66C3" w:rsidRPr="001776CC">
        <w:t>.</w:t>
      </w:r>
      <w:r w:rsidR="00295A97" w:rsidRPr="001776CC">
        <w:t xml:space="preserve"> </w:t>
      </w:r>
      <w:r w:rsidRPr="001776CC">
        <w:rPr>
          <w:snapToGrid w:val="0"/>
        </w:rPr>
        <w:t xml:space="preserve">In general, carpeting should be vacuumed daily </w:t>
      </w:r>
      <w:r w:rsidR="00942CDA" w:rsidRPr="001776CC">
        <w:rPr>
          <w:snapToGrid w:val="0"/>
        </w:rPr>
        <w:t xml:space="preserve">using a high efficiency particulate arrestance (HEPA) equipped filter </w:t>
      </w:r>
      <w:r w:rsidRPr="001776CC">
        <w:rPr>
          <w:snapToGrid w:val="0"/>
        </w:rPr>
        <w:t xml:space="preserve">and cleaned at least annually in accordance with IICRC recommendations (IICRC, 2012). </w:t>
      </w:r>
    </w:p>
    <w:p w:rsidR="00812E12" w:rsidRDefault="0055631E" w:rsidP="00812E12">
      <w:pPr>
        <w:pStyle w:val="BodyText10"/>
        <w:rPr>
          <w:snapToGrid w:val="0"/>
        </w:rPr>
      </w:pPr>
      <w:r w:rsidRPr="001776CC">
        <w:rPr>
          <w:snapToGrid w:val="0"/>
        </w:rPr>
        <w:t>Carpeting in areas that may be subject to chronic moistening (e.g. basement areas) should be removed and replaced with non-porous flooring where possible.</w:t>
      </w:r>
      <w:r w:rsidR="00E52AA3" w:rsidRPr="001776CC">
        <w:rPr>
          <w:snapToGrid w:val="0"/>
        </w:rPr>
        <w:t xml:space="preserve"> </w:t>
      </w:r>
    </w:p>
    <w:p w:rsidR="00F518EC" w:rsidRPr="001776CC" w:rsidRDefault="00E52AA3" w:rsidP="00812E12">
      <w:pPr>
        <w:pStyle w:val="BodyText10"/>
      </w:pPr>
      <w:r w:rsidRPr="001776CC">
        <w:rPr>
          <w:snapToGrid w:val="0"/>
        </w:rPr>
        <w:t>This is especially pertinent following the extreme relative humidity and elevated dew points that occurred for an extended period of</w:t>
      </w:r>
      <w:r w:rsidR="00F518EC" w:rsidRPr="001776CC">
        <w:rPr>
          <w:snapToGrid w:val="0"/>
        </w:rPr>
        <w:t xml:space="preserve"> time during the summer of 2018</w:t>
      </w:r>
      <w:r w:rsidRPr="001776CC">
        <w:rPr>
          <w:snapToGrid w:val="0"/>
        </w:rPr>
        <w:t xml:space="preserve">. </w:t>
      </w:r>
      <w:r w:rsidR="00F518EC" w:rsidRPr="001776CC">
        <w:t>The New England area experienced an unprecedented period of extended hot, humid weather. According to the Washington Post, “[d]ata…show[s]…cities in the Northeast have witnessed such humidity levels for record-challenging duration</w:t>
      </w:r>
      <w:proofErr w:type="gramStart"/>
      <w:r w:rsidR="00F518EC" w:rsidRPr="001776CC">
        <w:t>...[</w:t>
      </w:r>
      <w:proofErr w:type="gramEnd"/>
      <w:r w:rsidR="00F518EC" w:rsidRPr="001776CC">
        <w:t xml:space="preserve">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either adequate exhaust ventilation and/or air chilling capacity to remove/reduce relative humidity from outside air, then hot, moist air can be introduced into a building and linger to lead to possible moistening of building floor and other components and/or contents that may lead to mold growth. This type of weather condition has led to mold growth incidents in public buildings throughout Massachusetts </w:t>
      </w:r>
      <w:r w:rsidR="00957BB4">
        <w:t>over</w:t>
      </w:r>
      <w:r w:rsidR="00F518EC" w:rsidRPr="001776CC">
        <w:t xml:space="preserve"> the summer of 2018.</w:t>
      </w:r>
    </w:p>
    <w:p w:rsidR="009F66C3" w:rsidRPr="001776CC" w:rsidRDefault="00E52AA3" w:rsidP="00812E12">
      <w:pPr>
        <w:pStyle w:val="BodyText10"/>
      </w:pPr>
      <w:r w:rsidRPr="001776CC">
        <w:rPr>
          <w:snapToGrid w:val="0"/>
        </w:rPr>
        <w:lastRenderedPageBreak/>
        <w:t xml:space="preserve">During this time, carpet tiles in </w:t>
      </w:r>
      <w:r w:rsidR="00990450">
        <w:rPr>
          <w:snapToGrid w:val="0"/>
        </w:rPr>
        <w:t xml:space="preserve">some </w:t>
      </w:r>
      <w:r w:rsidRPr="001776CC">
        <w:rPr>
          <w:snapToGrid w:val="0"/>
        </w:rPr>
        <w:t>EB offices were observed by BEH staff to have elevated moisture levels for weeks.</w:t>
      </w:r>
      <w:r w:rsidR="00F518EC" w:rsidRPr="001776CC">
        <w:rPr>
          <w:snapToGrid w:val="0"/>
        </w:rPr>
        <w:t xml:space="preserve"> Although most </w:t>
      </w:r>
      <w:r w:rsidR="00EE75F9">
        <w:rPr>
          <w:snapToGrid w:val="0"/>
        </w:rPr>
        <w:t>modern</w:t>
      </w:r>
      <w:r w:rsidR="00F518EC" w:rsidRPr="001776CC">
        <w:rPr>
          <w:snapToGrid w:val="0"/>
        </w:rPr>
        <w:t xml:space="preserve"> commerc</w:t>
      </w:r>
      <w:r w:rsidR="000317CA" w:rsidRPr="001776CC">
        <w:rPr>
          <w:snapToGrid w:val="0"/>
        </w:rPr>
        <w:t>ial carpet tiles are m</w:t>
      </w:r>
      <w:r w:rsidR="00FF59AB" w:rsidRPr="001776CC">
        <w:rPr>
          <w:snapToGrid w:val="0"/>
        </w:rPr>
        <w:t xml:space="preserve">anufactured to be somewhat </w:t>
      </w:r>
      <w:r w:rsidR="005005D3" w:rsidRPr="001776CC">
        <w:rPr>
          <w:snapToGrid w:val="0"/>
        </w:rPr>
        <w:t>“</w:t>
      </w:r>
      <w:r w:rsidR="00FF59AB" w:rsidRPr="001776CC">
        <w:rPr>
          <w:snapToGrid w:val="0"/>
        </w:rPr>
        <w:t>mold-</w:t>
      </w:r>
      <w:r w:rsidR="000317CA" w:rsidRPr="001776CC">
        <w:rPr>
          <w:snapToGrid w:val="0"/>
        </w:rPr>
        <w:t>resistant</w:t>
      </w:r>
      <w:r w:rsidR="005005D3" w:rsidRPr="001776CC">
        <w:rPr>
          <w:snapToGrid w:val="0"/>
        </w:rPr>
        <w:t>”</w:t>
      </w:r>
      <w:r w:rsidR="000317CA" w:rsidRPr="001776CC">
        <w:rPr>
          <w:snapToGrid w:val="0"/>
        </w:rPr>
        <w:t xml:space="preserve">, it is typically the dust/debris found within the </w:t>
      </w:r>
      <w:r w:rsidR="00FF59AB" w:rsidRPr="001776CC">
        <w:rPr>
          <w:snapToGrid w:val="0"/>
        </w:rPr>
        <w:t xml:space="preserve">synthetic </w:t>
      </w:r>
      <w:r w:rsidR="000317CA" w:rsidRPr="001776CC">
        <w:rPr>
          <w:snapToGrid w:val="0"/>
        </w:rPr>
        <w:t>carpet fibers that is responsible for microbial colonization as the dust/debris is predominantly organic in composition.</w:t>
      </w:r>
      <w:r w:rsidR="005005D3" w:rsidRPr="001776CC">
        <w:rPr>
          <w:snapToGrid w:val="0"/>
        </w:rPr>
        <w:t xml:space="preserve"> </w:t>
      </w:r>
      <w:r w:rsidR="00295A97" w:rsidRPr="001776CC">
        <w:t xml:space="preserve">It should be noted that BEH staff did not </w:t>
      </w:r>
      <w:r w:rsidR="00E235D3" w:rsidRPr="001776CC">
        <w:t>observe</w:t>
      </w:r>
      <w:r w:rsidR="00295A97" w:rsidRPr="001776CC">
        <w:t xml:space="preserve"> any </w:t>
      </w:r>
      <w:r w:rsidR="00E235D3" w:rsidRPr="001776CC">
        <w:t xml:space="preserve">visible </w:t>
      </w:r>
      <w:r w:rsidR="00295A97" w:rsidRPr="001776CC">
        <w:t>signs of microbial colonization nor detect any musty odors at the time of this assessment.</w:t>
      </w:r>
    </w:p>
    <w:p w:rsidR="005005D3" w:rsidRPr="001776CC" w:rsidRDefault="005005D3" w:rsidP="00812E12">
      <w:pPr>
        <w:pStyle w:val="BodyText10"/>
        <w:rPr>
          <w:snapToGrid w:val="0"/>
        </w:rPr>
      </w:pPr>
      <w:r w:rsidRPr="001776CC">
        <w:t xml:space="preserve">BEH staff observed a small refrigerator on top of a plastic tray which appeared to have residue/liquid which had leaked from the </w:t>
      </w:r>
      <w:r w:rsidRPr="00CA3499">
        <w:t>refrigerator</w:t>
      </w:r>
      <w:r w:rsidR="00A37C9F" w:rsidRPr="00CA3499">
        <w:t xml:space="preserve"> (Picture </w:t>
      </w:r>
      <w:r w:rsidR="003852CB" w:rsidRPr="00CA3499">
        <w:t>2</w:t>
      </w:r>
      <w:r w:rsidR="00A37C9F" w:rsidRPr="00CA3499">
        <w:t>)</w:t>
      </w:r>
      <w:r w:rsidRPr="00CA3499">
        <w:t>.</w:t>
      </w:r>
      <w:r w:rsidRPr="001776CC">
        <w:t xml:space="preserve"> This tray should be cleaned regularly to avoid microbial colonization within the residue/tray.</w:t>
      </w:r>
    </w:p>
    <w:p w:rsidR="00AB0B1A" w:rsidRPr="001776CC" w:rsidRDefault="00FC5F92" w:rsidP="00812E12">
      <w:pPr>
        <w:pStyle w:val="Heading2"/>
      </w:pPr>
      <w:r w:rsidRPr="001776CC">
        <w:t>O</w:t>
      </w:r>
      <w:r w:rsidR="00AB0B1A" w:rsidRPr="001776CC">
        <w:t>ther IAQ Evaluations</w:t>
      </w:r>
    </w:p>
    <w:p w:rsidR="00F47B68" w:rsidRPr="001776CC" w:rsidRDefault="00F47B68" w:rsidP="00F47B68">
      <w:pPr>
        <w:pStyle w:val="BodyText"/>
      </w:pPr>
      <w:r w:rsidRPr="001776CC">
        <w:t>Exposure to low levels of total volatile organic compounds (TVOCs) may produce eye, nose, throat, and/or respiratory irritation in some sensitive individuals. To determine if VOCs were present, BEH/IAQ staff examined rooms for products containing VOCs. BEH/IAQ staff noted cleaners, hand sanitizers, air fresheners and other produ</w:t>
      </w:r>
      <w:r w:rsidR="00BB31B7" w:rsidRPr="001776CC">
        <w:t>cts in use within the areas</w:t>
      </w:r>
      <w:r w:rsidRPr="001776CC">
        <w:t>. All of these products have the potential to be irritants to the eyes, nose, throat, and respiratory system of sensitive individuals.</w:t>
      </w:r>
    </w:p>
    <w:p w:rsidR="007F7D8F" w:rsidRPr="00F8448F" w:rsidRDefault="007F7D8F" w:rsidP="007F7D8F">
      <w:pPr>
        <w:pStyle w:val="BodyText"/>
      </w:pPr>
      <w:r w:rsidRPr="001776CC">
        <w:t>The relative humidity readings were below the MDPH recommended comfort range the day of the assessment. The MDPH recommends a comfort range of 40 to 60 percent for indoor air relative humidity. Relative humidity in the building would be expected to drop during the winter months due to heating. The sensation of dryness and irritation is common in a low relative humidity environment. “Extremely low (below 20%) relative humidity may be associated with eye irritation [and]…may affect the mucous membranes of individuals with bronchial constriction, rhinitis, or cold and influenza related symptoms” (Arundel et al., 1986). Low relative humidity is a common problem during the heating season in the northeast part of the United States.</w:t>
      </w:r>
    </w:p>
    <w:p w:rsidR="009800C8" w:rsidRDefault="00F47B68" w:rsidP="007F7D8F">
      <w:pPr>
        <w:pStyle w:val="BodyText"/>
      </w:pPr>
      <w:r w:rsidRPr="00F8448F">
        <w:t xml:space="preserve">In some areas, stored materials and accumulated items make it more difficult for custodial staff to clean. </w:t>
      </w:r>
      <w:r w:rsidR="0036510F" w:rsidRPr="00F8448F">
        <w:t>Items should be stored neatly and moved periodically to allow for wet-wiping and vacuuming of surfaces.</w:t>
      </w:r>
    </w:p>
    <w:p w:rsidR="007F7D8F" w:rsidRPr="001776CC" w:rsidRDefault="009800C8" w:rsidP="007F7D8F">
      <w:pPr>
        <w:pStyle w:val="BodyText"/>
      </w:pPr>
      <w:r w:rsidRPr="001776CC">
        <w:lastRenderedPageBreak/>
        <w:t>BEH staff noted one office which had an air purifier/</w:t>
      </w:r>
      <w:r w:rsidRPr="00CA3499">
        <w:t>filter</w:t>
      </w:r>
      <w:r w:rsidR="003852CB" w:rsidRPr="00CA3499">
        <w:t xml:space="preserve"> (Picture 3)</w:t>
      </w:r>
      <w:r w:rsidRPr="00CA3499">
        <w:t>. These</w:t>
      </w:r>
      <w:r w:rsidRPr="001776CC">
        <w:t xml:space="preserve"> appliances should be </w:t>
      </w:r>
      <w:proofErr w:type="gramStart"/>
      <w:r w:rsidRPr="001776CC">
        <w:t>cleaned/maintained</w:t>
      </w:r>
      <w:proofErr w:type="gramEnd"/>
      <w:r w:rsidRPr="001776CC">
        <w:t xml:space="preserve"> regularly including filter changes. Avoid the use of “ionizing” air cleaners which may produce ozone, a lung irritant, as a byproduct.</w:t>
      </w:r>
    </w:p>
    <w:p w:rsidR="004D05AC" w:rsidRPr="001776CC" w:rsidRDefault="00DF2A15" w:rsidP="007F7D8F">
      <w:pPr>
        <w:pStyle w:val="Heading1"/>
      </w:pPr>
      <w:r w:rsidRPr="001776CC">
        <w:t>C</w:t>
      </w:r>
      <w:r w:rsidR="004D05AC" w:rsidRPr="001776CC">
        <w:t>onclusions/Recommendations</w:t>
      </w:r>
    </w:p>
    <w:p w:rsidR="007B5977" w:rsidRPr="001776CC" w:rsidRDefault="00F87A1A" w:rsidP="00E102B0">
      <w:pPr>
        <w:pStyle w:val="BodyText"/>
      </w:pPr>
      <w:r w:rsidRPr="001776CC">
        <w:t xml:space="preserve">Based on observations at the time of assessment, </w:t>
      </w:r>
      <w:r w:rsidR="00590617" w:rsidRPr="001776CC">
        <w:t>the following is recommended:</w:t>
      </w:r>
    </w:p>
    <w:p w:rsidR="00541481" w:rsidRPr="001776CC" w:rsidRDefault="00541481" w:rsidP="00716D39">
      <w:pPr>
        <w:pStyle w:val="BodyText"/>
        <w:numPr>
          <w:ilvl w:val="0"/>
          <w:numId w:val="23"/>
        </w:numPr>
        <w:ind w:left="720" w:hanging="720"/>
      </w:pPr>
      <w:r w:rsidRPr="001776CC">
        <w:t>Continue to follow EPA and industry guidelines concerning methods used to remediate buildings that</w:t>
      </w:r>
      <w:r w:rsidR="003B26C8" w:rsidRPr="001776CC">
        <w:t xml:space="preserve"> are impacte</w:t>
      </w:r>
      <w:r w:rsidR="00716D39">
        <w:t>d by sewage (i.e., b</w:t>
      </w:r>
      <w:r w:rsidRPr="001776CC">
        <w:t xml:space="preserve">lackwater). Some of these guideline links include: </w:t>
      </w:r>
      <w:hyperlink r:id="rId10" w:history="1">
        <w:r w:rsidRPr="001776CC">
          <w:rPr>
            <w:rStyle w:val="Hyperlink"/>
          </w:rPr>
          <w:t>https://www.epa.gov/sites/p</w:t>
        </w:r>
        <w:r w:rsidRPr="001776CC">
          <w:rPr>
            <w:rStyle w:val="Hyperlink"/>
          </w:rPr>
          <w:t>r</w:t>
        </w:r>
        <w:r w:rsidRPr="001776CC">
          <w:rPr>
            <w:rStyle w:val="Hyperlink"/>
          </w:rPr>
          <w:t>oduction/files/</w:t>
        </w:r>
        <w:r w:rsidRPr="001776CC">
          <w:rPr>
            <w:rStyle w:val="Hyperlink"/>
          </w:rPr>
          <w:t>2</w:t>
        </w:r>
        <w:r w:rsidRPr="001776CC">
          <w:rPr>
            <w:rStyle w:val="Hyperlink"/>
          </w:rPr>
          <w:t>015-09/documents/floods</w:t>
        </w:r>
        <w:r w:rsidRPr="001776CC">
          <w:rPr>
            <w:rStyle w:val="Hyperlink"/>
          </w:rPr>
          <w:t>.</w:t>
        </w:r>
        <w:r w:rsidRPr="001776CC">
          <w:rPr>
            <w:rStyle w:val="Hyperlink"/>
          </w:rPr>
          <w:t>pdf</w:t>
        </w:r>
      </w:hyperlink>
      <w:r w:rsidRPr="001776CC">
        <w:t xml:space="preserve"> and </w:t>
      </w:r>
      <w:hyperlink r:id="rId11" w:history="1">
        <w:r w:rsidRPr="001776CC">
          <w:rPr>
            <w:rStyle w:val="Hyperlink"/>
          </w:rPr>
          <w:t xml:space="preserve">ANSI/IICRC S500 - Standard and </w:t>
        </w:r>
        <w:r w:rsidRPr="001776CC">
          <w:rPr>
            <w:rStyle w:val="Hyperlink"/>
          </w:rPr>
          <w:t>R</w:t>
        </w:r>
        <w:r w:rsidRPr="001776CC">
          <w:rPr>
            <w:rStyle w:val="Hyperlink"/>
          </w:rPr>
          <w:t>e</w:t>
        </w:r>
        <w:r w:rsidRPr="001776CC">
          <w:rPr>
            <w:rStyle w:val="Hyperlink"/>
          </w:rPr>
          <w:t>ference Guid</w:t>
        </w:r>
        <w:r w:rsidRPr="001776CC">
          <w:rPr>
            <w:rStyle w:val="Hyperlink"/>
          </w:rPr>
          <w:t>e</w:t>
        </w:r>
        <w:r w:rsidRPr="001776CC">
          <w:rPr>
            <w:rStyle w:val="Hyperlink"/>
          </w:rPr>
          <w:t xml:space="preserve"> for Professional Water Damage Re</w:t>
        </w:r>
        <w:r w:rsidRPr="001776CC">
          <w:rPr>
            <w:rStyle w:val="Hyperlink"/>
          </w:rPr>
          <w:t>s</w:t>
        </w:r>
        <w:r w:rsidRPr="001776CC">
          <w:rPr>
            <w:rStyle w:val="Hyperlink"/>
          </w:rPr>
          <w:t>toration.</w:t>
        </w:r>
      </w:hyperlink>
      <w:r w:rsidRPr="001776CC">
        <w:t xml:space="preserve"> </w:t>
      </w:r>
    </w:p>
    <w:p w:rsidR="00A86BF8" w:rsidRPr="001776CC" w:rsidRDefault="003B26C8" w:rsidP="00716D39">
      <w:pPr>
        <w:pStyle w:val="BodyText"/>
        <w:numPr>
          <w:ilvl w:val="0"/>
          <w:numId w:val="23"/>
        </w:numPr>
        <w:ind w:left="720" w:hanging="720"/>
      </w:pPr>
      <w:r w:rsidRPr="001776CC">
        <w:t>Remove any water-damaged porous i</w:t>
      </w:r>
      <w:r w:rsidR="00716D39">
        <w:t>tems that were impacted by the b</w:t>
      </w:r>
      <w:r w:rsidRPr="001776CC">
        <w:t>lackwater. This w</w:t>
      </w:r>
      <w:r w:rsidR="00EB53AE" w:rsidRPr="001776CC">
        <w:t>ould include any carpet</w:t>
      </w:r>
      <w:r w:rsidR="00F2608A" w:rsidRPr="001776CC">
        <w:t xml:space="preserve"> tiles, gypsum wallboard, or boxes/papers </w:t>
      </w:r>
      <w:r w:rsidR="00716D39">
        <w:t>impacted by the b</w:t>
      </w:r>
      <w:r w:rsidR="00EB53AE" w:rsidRPr="001776CC">
        <w:t>lackwater event.</w:t>
      </w:r>
      <w:r w:rsidR="00AE203D" w:rsidRPr="001776CC">
        <w:t xml:space="preserve"> </w:t>
      </w:r>
    </w:p>
    <w:p w:rsidR="00EB53AE" w:rsidRPr="001776CC" w:rsidRDefault="00EB53AE" w:rsidP="00716D39">
      <w:pPr>
        <w:pStyle w:val="BodyText"/>
        <w:numPr>
          <w:ilvl w:val="0"/>
          <w:numId w:val="23"/>
        </w:numPr>
        <w:ind w:left="720" w:hanging="720"/>
      </w:pPr>
      <w:r w:rsidRPr="001776CC">
        <w:t xml:space="preserve">Consider adding fresh air supply and exhaust ventilation to the office areas lacking them. In the meanwhile, use the windows to </w:t>
      </w:r>
      <w:r w:rsidR="0076594F" w:rsidRPr="001776CC">
        <w:t xml:space="preserve">as needed to </w:t>
      </w:r>
      <w:r w:rsidRPr="001776CC">
        <w:t>supplement fresh air and leave the door to the common hallway open during occupied hours.</w:t>
      </w:r>
    </w:p>
    <w:p w:rsidR="0076594F" w:rsidRPr="001776CC" w:rsidRDefault="0076594F" w:rsidP="00716D39">
      <w:pPr>
        <w:pStyle w:val="BodyText"/>
        <w:numPr>
          <w:ilvl w:val="0"/>
          <w:numId w:val="23"/>
        </w:numPr>
        <w:ind w:left="720" w:hanging="720"/>
      </w:pPr>
      <w:r w:rsidRPr="001776CC">
        <w:t>Refrain from opening windows while air conditioning is operating to avoid condensation.</w:t>
      </w:r>
    </w:p>
    <w:p w:rsidR="0076594F" w:rsidRPr="001776CC" w:rsidRDefault="0076594F" w:rsidP="00716D39">
      <w:pPr>
        <w:pStyle w:val="BodyText"/>
        <w:numPr>
          <w:ilvl w:val="0"/>
          <w:numId w:val="23"/>
        </w:numPr>
        <w:ind w:left="720" w:hanging="720"/>
      </w:pPr>
      <w:r w:rsidRPr="001776CC">
        <w:t xml:space="preserve">Consider </w:t>
      </w:r>
      <w:r w:rsidR="00DE1DC3" w:rsidRPr="001776CC">
        <w:t xml:space="preserve">replacing carpet tiles with </w:t>
      </w:r>
      <w:r w:rsidRPr="001776CC">
        <w:t>nonporous flooring options for areas prone to condensation (e.g., basement areas).</w:t>
      </w:r>
    </w:p>
    <w:p w:rsidR="0055631E" w:rsidRPr="001776CC" w:rsidRDefault="0076594F" w:rsidP="00716D39">
      <w:pPr>
        <w:pStyle w:val="BodyText"/>
        <w:numPr>
          <w:ilvl w:val="0"/>
          <w:numId w:val="23"/>
        </w:numPr>
        <w:ind w:left="720" w:hanging="720"/>
      </w:pPr>
      <w:r w:rsidRPr="001776CC">
        <w:t xml:space="preserve">Ensure that a program of daily HEPA vacuuming and annual carpet cleaning in accordance with </w:t>
      </w:r>
      <w:r w:rsidR="0055631E" w:rsidRPr="001776CC">
        <w:t>IICRC recommendations (IICRC, 2012)</w:t>
      </w:r>
      <w:r w:rsidRPr="001776CC">
        <w:t xml:space="preserve"> is maintained</w:t>
      </w:r>
      <w:r w:rsidR="0055631E" w:rsidRPr="001776CC">
        <w:t>.</w:t>
      </w:r>
      <w:r w:rsidRPr="001776CC">
        <w:t xml:space="preserve"> </w:t>
      </w:r>
    </w:p>
    <w:p w:rsidR="00AB0D5E" w:rsidRPr="001776CC" w:rsidRDefault="00A16798" w:rsidP="00716D39">
      <w:pPr>
        <w:pStyle w:val="BodyText"/>
        <w:numPr>
          <w:ilvl w:val="0"/>
          <w:numId w:val="23"/>
        </w:numPr>
        <w:ind w:left="720" w:hanging="720"/>
      </w:pPr>
      <w:r w:rsidRPr="001776CC">
        <w:t xml:space="preserve">Eliminate/reduce the use of hand sanitizers, </w:t>
      </w:r>
      <w:r w:rsidR="00AB0D5E" w:rsidRPr="001776CC">
        <w:t>air fresheners</w:t>
      </w:r>
      <w:r w:rsidRPr="001776CC">
        <w:t>, harsh or scented cleaning products and dry erase materials in the office since all of these products have the potential to be irritants to the eyes, nose, throat, and respiratory system of sensitive individuals.</w:t>
      </w:r>
      <w:r w:rsidR="00AB0D5E" w:rsidRPr="001776CC">
        <w:t xml:space="preserve"> </w:t>
      </w:r>
    </w:p>
    <w:p w:rsidR="007A2045" w:rsidRPr="001776CC" w:rsidRDefault="007A2045" w:rsidP="00716D39">
      <w:pPr>
        <w:pStyle w:val="BodyText"/>
        <w:numPr>
          <w:ilvl w:val="0"/>
          <w:numId w:val="23"/>
        </w:numPr>
        <w:ind w:left="720" w:hanging="720"/>
      </w:pPr>
      <w:r w:rsidRPr="001776CC">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w:t>
      </w:r>
      <w:r w:rsidRPr="001776CC">
        <w:lastRenderedPageBreak/>
        <w:t>recommended. Avoid the use of feather dusters. Drinking water during the day can help ease some symptoms associated with a dry environment (throat and sinus irritations).</w:t>
      </w:r>
    </w:p>
    <w:p w:rsidR="007347F7" w:rsidRPr="001776CC" w:rsidRDefault="007A2045" w:rsidP="00716D39">
      <w:pPr>
        <w:pStyle w:val="BodyText"/>
        <w:numPr>
          <w:ilvl w:val="0"/>
          <w:numId w:val="23"/>
        </w:numPr>
        <w:ind w:left="720" w:hanging="720"/>
      </w:pPr>
      <w:r w:rsidRPr="001776CC">
        <w:t>Reduce the amount of items stored on flat surfaces to allow regular cleaning.</w:t>
      </w:r>
    </w:p>
    <w:p w:rsidR="009800C8" w:rsidRPr="001776CC" w:rsidRDefault="007347F7" w:rsidP="00716D39">
      <w:pPr>
        <w:pStyle w:val="BodyText"/>
        <w:numPr>
          <w:ilvl w:val="0"/>
          <w:numId w:val="23"/>
        </w:numPr>
        <w:ind w:left="720" w:hanging="720"/>
      </w:pPr>
      <w:r w:rsidRPr="001776CC">
        <w:t>Clean refrigerator tray regularly to avoid microbial colonization of residue.</w:t>
      </w:r>
    </w:p>
    <w:p w:rsidR="00CF4B9C" w:rsidRPr="001776CC" w:rsidRDefault="009800C8" w:rsidP="00716D39">
      <w:pPr>
        <w:pStyle w:val="BodyText"/>
        <w:numPr>
          <w:ilvl w:val="0"/>
          <w:numId w:val="23"/>
        </w:numPr>
        <w:ind w:left="720" w:hanging="720"/>
      </w:pPr>
      <w:r w:rsidRPr="001776CC">
        <w:t>Regularly clean/maintain any air filters including filter changes. Avoid the use of “ionizing” air cleaners which may produce ozone, a lung irritant, as a byproduct.</w:t>
      </w:r>
      <w:r w:rsidR="007A2045" w:rsidRPr="001776CC">
        <w:t xml:space="preserve"> </w:t>
      </w:r>
    </w:p>
    <w:p w:rsidR="00CF4B9C" w:rsidRPr="001776CC" w:rsidRDefault="00CF4B9C" w:rsidP="00716D39">
      <w:pPr>
        <w:pStyle w:val="BodyText"/>
        <w:numPr>
          <w:ilvl w:val="0"/>
          <w:numId w:val="23"/>
        </w:numPr>
        <w:ind w:left="720" w:hanging="720"/>
      </w:pPr>
      <w:r w:rsidRPr="001776CC">
        <w:t>Have the HVAC system balanced every 5 years in accordance with SMACNA recommendations (SMACNA, 1994). Consider a rebalancing when the building layout is changed.</w:t>
      </w:r>
    </w:p>
    <w:p w:rsidR="007A2045" w:rsidRPr="00A009E4" w:rsidRDefault="007A2045" w:rsidP="00716D39">
      <w:pPr>
        <w:pStyle w:val="BodyText"/>
        <w:numPr>
          <w:ilvl w:val="0"/>
          <w:numId w:val="23"/>
        </w:numPr>
        <w:ind w:left="720" w:hanging="720"/>
      </w:pPr>
      <w:r w:rsidRPr="001776CC">
        <w:t>Refer to resource manual and other related IAQ documents located on the MDPH’s website for further building-wide evaluations and advice on maintaining public buildings. These</w:t>
      </w:r>
      <w:r>
        <w:t xml:space="preserve"> documents are available at: </w:t>
      </w:r>
      <w:hyperlink r:id="rId12" w:history="1">
        <w:r w:rsidRPr="00D0484B">
          <w:t>http:</w:t>
        </w:r>
        <w:r w:rsidRPr="00D0484B">
          <w:t>/</w:t>
        </w:r>
        <w:r w:rsidRPr="00D0484B">
          <w:t>/</w:t>
        </w:r>
        <w:r w:rsidRPr="00D0484B">
          <w:t>m</w:t>
        </w:r>
        <w:r w:rsidRPr="00D0484B">
          <w:t>ass.</w:t>
        </w:r>
        <w:r w:rsidRPr="00D0484B">
          <w:t>g</w:t>
        </w:r>
        <w:r w:rsidRPr="00D0484B">
          <w:t>o</w:t>
        </w:r>
        <w:r w:rsidRPr="00D0484B">
          <w:t>v</w:t>
        </w:r>
        <w:r w:rsidRPr="00D0484B">
          <w:t>/dph/iaq</w:t>
        </w:r>
      </w:hyperlink>
      <w:r>
        <w:t>.</w:t>
      </w:r>
    </w:p>
    <w:p w:rsidR="004D05AC" w:rsidRPr="00A009E4" w:rsidRDefault="005942C5" w:rsidP="002849F3">
      <w:pPr>
        <w:pStyle w:val="Heading1"/>
      </w:pPr>
      <w:r w:rsidRPr="00A009E4">
        <w:br w:type="page"/>
      </w:r>
      <w:r w:rsidR="004A28CB" w:rsidRPr="00F8448F">
        <w:lastRenderedPageBreak/>
        <w:t>R</w:t>
      </w:r>
      <w:r w:rsidR="004D05AC" w:rsidRPr="00F8448F">
        <w:t>efe</w:t>
      </w:r>
      <w:r w:rsidR="004D05AC" w:rsidRPr="001625C8">
        <w:t>rences</w:t>
      </w:r>
    </w:p>
    <w:p w:rsidR="0066271A" w:rsidRDefault="0066271A" w:rsidP="00242D53">
      <w:pPr>
        <w:pStyle w:val="References"/>
        <w:rPr>
          <w:szCs w:val="24"/>
        </w:rPr>
      </w:pPr>
      <w:proofErr w:type="gramStart"/>
      <w:r w:rsidRPr="00174959">
        <w:rPr>
          <w:szCs w:val="24"/>
        </w:rPr>
        <w:t>Arundel et al. 1986.</w:t>
      </w:r>
      <w:proofErr w:type="gramEnd"/>
      <w:r w:rsidRPr="00174959">
        <w:rPr>
          <w:szCs w:val="24"/>
        </w:rPr>
        <w:t xml:space="preserve"> </w:t>
      </w:r>
      <w:proofErr w:type="gramStart"/>
      <w:r w:rsidRPr="00174959">
        <w:rPr>
          <w:szCs w:val="24"/>
        </w:rPr>
        <w:t>Indirect Health Effects of Relative Humidity on Indoor Environments.</w:t>
      </w:r>
      <w:proofErr w:type="gramEnd"/>
      <w:r w:rsidRPr="00174959">
        <w:rPr>
          <w:szCs w:val="24"/>
        </w:rPr>
        <w:t xml:space="preserve"> </w:t>
      </w:r>
      <w:proofErr w:type="gramStart"/>
      <w:r w:rsidRPr="00174959">
        <w:rPr>
          <w:szCs w:val="24"/>
        </w:rPr>
        <w:t>Env.</w:t>
      </w:r>
      <w:proofErr w:type="gramEnd"/>
      <w:r w:rsidRPr="00174959">
        <w:rPr>
          <w:szCs w:val="24"/>
        </w:rPr>
        <w:t xml:space="preserve"> Health Perspectives 65:351-361.</w:t>
      </w:r>
    </w:p>
    <w:p w:rsidR="0055631E" w:rsidRPr="00060F9C" w:rsidRDefault="0055631E" w:rsidP="0055631E">
      <w:pPr>
        <w:spacing w:after="240"/>
      </w:pPr>
      <w:proofErr w:type="gramStart"/>
      <w:r w:rsidRPr="00060F9C">
        <w:t>IICRC.</w:t>
      </w:r>
      <w:proofErr w:type="gramEnd"/>
      <w:r w:rsidRPr="00060F9C">
        <w:t xml:space="preserve"> 2012. Institute of Inspection, Cleaning and Restoration Certification</w:t>
      </w:r>
      <w:r w:rsidRPr="00060F9C">
        <w:rPr>
          <w:i/>
          <w:iCs/>
        </w:rPr>
        <w:t>. Carpet Cleaning: FAQ</w:t>
      </w:r>
      <w:r w:rsidRPr="00060F9C">
        <w:t>.</w:t>
      </w:r>
    </w:p>
    <w:p w:rsidR="00FB2D24" w:rsidRPr="007F7D8F" w:rsidRDefault="00FB2D24" w:rsidP="00FB2D24">
      <w:pPr>
        <w:pStyle w:val="References"/>
      </w:pPr>
      <w:proofErr w:type="gramStart"/>
      <w:r w:rsidRPr="007F7D8F">
        <w:t>MDPH.</w:t>
      </w:r>
      <w:proofErr w:type="gramEnd"/>
      <w:r w:rsidRPr="007F7D8F">
        <w:t xml:space="preserve"> </w:t>
      </w:r>
      <w:proofErr w:type="gramStart"/>
      <w:r w:rsidRPr="007F7D8F">
        <w:t>2015. Massachusetts Department of Public Health.</w:t>
      </w:r>
      <w:proofErr w:type="gramEnd"/>
      <w:r w:rsidRPr="007F7D8F">
        <w:t xml:space="preserve"> Indoor Air Quality Manual: Chapters I-III. Available at: </w:t>
      </w:r>
      <w:hyperlink r:id="rId13" w:history="1">
        <w:r w:rsidRPr="007F7D8F">
          <w:rPr>
            <w:rStyle w:val="Hyperlink"/>
          </w:rPr>
          <w:t>http://www.mass.gov/eo</w:t>
        </w:r>
        <w:r w:rsidRPr="007F7D8F">
          <w:rPr>
            <w:rStyle w:val="Hyperlink"/>
          </w:rPr>
          <w:t>h</w:t>
        </w:r>
        <w:r w:rsidRPr="007F7D8F">
          <w:rPr>
            <w:rStyle w:val="Hyperlink"/>
          </w:rPr>
          <w:t>h</w:t>
        </w:r>
        <w:r w:rsidRPr="007F7D8F">
          <w:rPr>
            <w:rStyle w:val="Hyperlink"/>
          </w:rPr>
          <w:t>s/gov/departments/dp</w:t>
        </w:r>
        <w:r w:rsidRPr="007F7D8F">
          <w:rPr>
            <w:rStyle w:val="Hyperlink"/>
          </w:rPr>
          <w:t>h</w:t>
        </w:r>
        <w:r w:rsidRPr="007F7D8F">
          <w:rPr>
            <w:rStyle w:val="Hyperlink"/>
          </w:rPr>
          <w:t>/programs/environmental-health/exposure-topics/iaq/ia</w:t>
        </w:r>
        <w:r w:rsidRPr="007F7D8F">
          <w:rPr>
            <w:rStyle w:val="Hyperlink"/>
          </w:rPr>
          <w:t>q</w:t>
        </w:r>
        <w:r w:rsidRPr="007F7D8F">
          <w:rPr>
            <w:rStyle w:val="Hyperlink"/>
          </w:rPr>
          <w:t>-man</w:t>
        </w:r>
        <w:r w:rsidRPr="007F7D8F">
          <w:rPr>
            <w:rStyle w:val="Hyperlink"/>
          </w:rPr>
          <w:t>u</w:t>
        </w:r>
        <w:r w:rsidRPr="007F7D8F">
          <w:rPr>
            <w:rStyle w:val="Hyperlink"/>
          </w:rPr>
          <w:t>al/</w:t>
        </w:r>
      </w:hyperlink>
      <w:r w:rsidRPr="007F7D8F">
        <w:t>.</w:t>
      </w:r>
    </w:p>
    <w:p w:rsidR="002849F3" w:rsidRDefault="002849F3" w:rsidP="002849F3">
      <w:pPr>
        <w:pStyle w:val="BodyText2"/>
        <w:rPr>
          <w:szCs w:val="24"/>
        </w:rPr>
      </w:pPr>
      <w:proofErr w:type="gramStart"/>
      <w:r w:rsidRPr="007F7D8F">
        <w:rPr>
          <w:szCs w:val="24"/>
        </w:rPr>
        <w:t>SMACNA.</w:t>
      </w:r>
      <w:proofErr w:type="gramEnd"/>
      <w:r w:rsidRPr="007F7D8F">
        <w:rPr>
          <w:szCs w:val="24"/>
        </w:rPr>
        <w:t xml:space="preserve"> 1994. HVAC Systems Commissioning Manual. </w:t>
      </w:r>
      <w:proofErr w:type="gramStart"/>
      <w:r w:rsidRPr="007F7D8F">
        <w:rPr>
          <w:szCs w:val="24"/>
        </w:rPr>
        <w:t>1</w:t>
      </w:r>
      <w:r w:rsidRPr="007F7D8F">
        <w:rPr>
          <w:szCs w:val="24"/>
          <w:vertAlign w:val="superscript"/>
        </w:rPr>
        <w:t>st</w:t>
      </w:r>
      <w:r w:rsidRPr="007F7D8F">
        <w:rPr>
          <w:szCs w:val="24"/>
        </w:rPr>
        <w:t xml:space="preserve"> ed. Sheet Metal and Air Conditioning Contractors’ National Association, Inc., Chantilly, VA.</w:t>
      </w:r>
      <w:proofErr w:type="gramEnd"/>
    </w:p>
    <w:p w:rsidR="006A1599" w:rsidRDefault="00857807" w:rsidP="00FB2D24">
      <w:pPr>
        <w:pStyle w:val="References"/>
        <w:rPr>
          <w:rStyle w:val="Hyperlink"/>
        </w:rPr>
        <w:sectPr w:rsidR="006A1599"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proofErr w:type="gramStart"/>
      <w:r>
        <w:t>WP.</w:t>
      </w:r>
      <w:proofErr w:type="gramEnd"/>
      <w:r>
        <w:t xml:space="preserve"> 2018.</w:t>
      </w:r>
      <w:r w:rsidR="00812E12">
        <w:t xml:space="preserve"> </w:t>
      </w:r>
      <w:r w:rsidRPr="00350229">
        <w:t>‘It’s been relentless’: Smothering summer humidity in the Northeast has crushed records</w:t>
      </w:r>
      <w:r>
        <w:t>.</w:t>
      </w:r>
      <w:r w:rsidR="00812E12">
        <w:t xml:space="preserve"> </w:t>
      </w:r>
      <w:proofErr w:type="gramStart"/>
      <w:r>
        <w:t>Washington Post, Washington, DC.</w:t>
      </w:r>
      <w:proofErr w:type="gramEnd"/>
      <w:r w:rsidR="00812E12">
        <w:t xml:space="preserve"> </w:t>
      </w:r>
      <w:hyperlink r:id="rId20" w:history="1">
        <w:r w:rsidRPr="00805057">
          <w:rPr>
            <w:rStyle w:val="Hyperlink"/>
          </w:rPr>
          <w:t>https://www.washingtonpost.com/news/capital-weather-gang/wp/2018/08/30/its-been-relentless-smothering-summer-humidity-in-the-northeast-has-crushed-records/</w:t>
        </w:r>
      </w:hyperlink>
    </w:p>
    <w:p w:rsidR="006A1599" w:rsidRPr="006A1599" w:rsidRDefault="006A1599" w:rsidP="006A1599">
      <w:pPr>
        <w:spacing w:after="200" w:line="276" w:lineRule="auto"/>
        <w:rPr>
          <w:rFonts w:eastAsia="Calibri"/>
          <w:b/>
          <w:szCs w:val="24"/>
        </w:rPr>
      </w:pPr>
      <w:r w:rsidRPr="006A1599">
        <w:rPr>
          <w:rFonts w:eastAsia="Calibri"/>
          <w:b/>
          <w:szCs w:val="24"/>
        </w:rPr>
        <w:lastRenderedPageBreak/>
        <w:t>Picture 1</w:t>
      </w:r>
    </w:p>
    <w:p w:rsidR="006A1599" w:rsidRPr="006A1599" w:rsidRDefault="00C22D1F" w:rsidP="006A1599">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Area of water-damaged carpet tiles"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rea of water-damaged carpet tiles" title="Picture 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A1599" w:rsidRPr="006A1599" w:rsidRDefault="006A1599" w:rsidP="006A1599">
      <w:pPr>
        <w:spacing w:after="200" w:line="276" w:lineRule="auto"/>
        <w:jc w:val="center"/>
        <w:rPr>
          <w:rFonts w:eastAsia="Calibri"/>
          <w:b/>
          <w:szCs w:val="24"/>
        </w:rPr>
      </w:pPr>
      <w:r w:rsidRPr="006A1599">
        <w:rPr>
          <w:rFonts w:eastAsia="Calibri"/>
          <w:b/>
          <w:szCs w:val="24"/>
        </w:rPr>
        <w:t>Area of water-damaged carpet tiles</w:t>
      </w:r>
    </w:p>
    <w:p w:rsidR="006A1599" w:rsidRPr="006A1599" w:rsidRDefault="006A1599" w:rsidP="006A1599">
      <w:pPr>
        <w:spacing w:after="200" w:line="276" w:lineRule="auto"/>
        <w:rPr>
          <w:rFonts w:eastAsia="Calibri"/>
          <w:b/>
          <w:szCs w:val="24"/>
        </w:rPr>
      </w:pPr>
      <w:r w:rsidRPr="006A1599">
        <w:rPr>
          <w:rFonts w:eastAsia="Calibri"/>
          <w:b/>
          <w:szCs w:val="24"/>
        </w:rPr>
        <w:t>Picture 2</w:t>
      </w:r>
    </w:p>
    <w:p w:rsidR="006A1599" w:rsidRPr="006A1599" w:rsidRDefault="00C22D1F" w:rsidP="006A1599">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Residue buildup in plastic tray beneath refrigerator"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Residue buildup in plastic tray beneath refrigerator" title="Picture 2"/>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A1599" w:rsidRPr="006A1599" w:rsidRDefault="006A1599" w:rsidP="006A1599">
      <w:pPr>
        <w:spacing w:after="200" w:line="276" w:lineRule="auto"/>
        <w:jc w:val="center"/>
        <w:rPr>
          <w:rFonts w:eastAsia="Calibri"/>
          <w:b/>
          <w:szCs w:val="24"/>
        </w:rPr>
      </w:pPr>
      <w:r w:rsidRPr="006A1599">
        <w:rPr>
          <w:rFonts w:eastAsia="Calibri"/>
          <w:b/>
          <w:szCs w:val="24"/>
        </w:rPr>
        <w:t>Residue buildup in plastic tray beneath refrigerator</w:t>
      </w:r>
    </w:p>
    <w:p w:rsidR="006A1599" w:rsidRPr="006A1599" w:rsidRDefault="006A1599" w:rsidP="006A1599">
      <w:pPr>
        <w:spacing w:after="200" w:line="276" w:lineRule="auto"/>
        <w:rPr>
          <w:rFonts w:eastAsia="Calibri"/>
          <w:b/>
          <w:szCs w:val="24"/>
        </w:rPr>
      </w:pPr>
      <w:r w:rsidRPr="006A1599">
        <w:rPr>
          <w:rFonts w:eastAsia="Calibri"/>
          <w:b/>
          <w:szCs w:val="24"/>
        </w:rPr>
        <w:lastRenderedPageBreak/>
        <w:t>Picture 3</w:t>
      </w:r>
    </w:p>
    <w:p w:rsidR="006A1599" w:rsidRPr="006A1599" w:rsidRDefault="00C22D1F" w:rsidP="006A1599">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Title: Picture 3 - Description: Air filter in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itle: Picture 3 - Description: Air filter in office"/>
                    <pic:cNvPicPr>
                      <a:picLocks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A1599" w:rsidRPr="006A1599" w:rsidRDefault="006A1599" w:rsidP="006A1599">
      <w:pPr>
        <w:spacing w:after="200" w:line="276" w:lineRule="auto"/>
        <w:jc w:val="center"/>
        <w:rPr>
          <w:rFonts w:eastAsia="Calibri"/>
          <w:b/>
          <w:szCs w:val="24"/>
        </w:rPr>
      </w:pPr>
      <w:r w:rsidRPr="006A1599">
        <w:rPr>
          <w:rFonts w:eastAsia="Calibri"/>
          <w:b/>
          <w:szCs w:val="24"/>
        </w:rPr>
        <w:t>Air filter in office</w:t>
      </w:r>
    </w:p>
    <w:p w:rsidR="006A1599" w:rsidRDefault="006A1599" w:rsidP="00FB2D24">
      <w:pPr>
        <w:pStyle w:val="References"/>
        <w:sectPr w:rsidR="006A1599" w:rsidSect="00B0444B">
          <w:footerReference w:type="default" r:id="rId24"/>
          <w:pgSz w:w="12240" w:h="15840" w:code="1"/>
          <w:pgMar w:top="1440" w:right="1440" w:bottom="1440" w:left="1440" w:header="720" w:footer="720" w:gutter="0"/>
          <w:cols w:space="720"/>
          <w:noEndnote/>
          <w:titlePg/>
          <w:docGrid w:linePitch="254"/>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1"/>
        <w:gridCol w:w="914"/>
        <w:gridCol w:w="991"/>
        <w:gridCol w:w="810"/>
        <w:gridCol w:w="1079"/>
        <w:gridCol w:w="810"/>
        <w:gridCol w:w="810"/>
        <w:gridCol w:w="1082"/>
        <w:gridCol w:w="1172"/>
        <w:gridCol w:w="807"/>
        <w:gridCol w:w="813"/>
        <w:gridCol w:w="3707"/>
      </w:tblGrid>
      <w:tr w:rsidR="006A1599" w:rsidRPr="006A1599" w:rsidTr="00963BBF">
        <w:trPr>
          <w:cantSplit/>
          <w:trHeight w:val="240"/>
          <w:tblHeader/>
          <w:jc w:val="center"/>
        </w:trPr>
        <w:tc>
          <w:tcPr>
            <w:tcW w:w="555" w:type="pct"/>
            <w:vMerge w:val="restart"/>
            <w:vAlign w:val="bottom"/>
          </w:tcPr>
          <w:p w:rsidR="006A1599" w:rsidRPr="006A1599" w:rsidRDefault="006A1599" w:rsidP="006A1599">
            <w:pPr>
              <w:keepNext/>
              <w:jc w:val="center"/>
              <w:outlineLvl w:val="0"/>
              <w:rPr>
                <w:b/>
                <w:sz w:val="18"/>
              </w:rPr>
            </w:pPr>
            <w:r w:rsidRPr="006A1599">
              <w:rPr>
                <w:b/>
                <w:sz w:val="18"/>
              </w:rPr>
              <w:lastRenderedPageBreak/>
              <w:t>Location</w:t>
            </w:r>
          </w:p>
        </w:tc>
        <w:tc>
          <w:tcPr>
            <w:tcW w:w="313" w:type="pct"/>
            <w:vMerge w:val="restart"/>
            <w:vAlign w:val="bottom"/>
          </w:tcPr>
          <w:p w:rsidR="006A1599" w:rsidRPr="006A1599" w:rsidRDefault="006A1599" w:rsidP="006A1599">
            <w:pPr>
              <w:jc w:val="center"/>
              <w:rPr>
                <w:b/>
                <w:sz w:val="18"/>
              </w:rPr>
            </w:pPr>
            <w:r w:rsidRPr="006A1599">
              <w:rPr>
                <w:b/>
                <w:sz w:val="18"/>
              </w:rPr>
              <w:t>Carbon</w:t>
            </w:r>
          </w:p>
          <w:p w:rsidR="006A1599" w:rsidRPr="006A1599" w:rsidRDefault="006A1599" w:rsidP="006A1599">
            <w:pPr>
              <w:jc w:val="center"/>
              <w:rPr>
                <w:b/>
                <w:sz w:val="18"/>
              </w:rPr>
            </w:pPr>
            <w:r w:rsidRPr="006A1599">
              <w:rPr>
                <w:b/>
                <w:sz w:val="18"/>
              </w:rPr>
              <w:t>Dioxide</w:t>
            </w:r>
          </w:p>
          <w:p w:rsidR="006A1599" w:rsidRPr="006A1599" w:rsidRDefault="006A1599" w:rsidP="006A1599">
            <w:pPr>
              <w:jc w:val="center"/>
              <w:rPr>
                <w:b/>
                <w:sz w:val="18"/>
              </w:rPr>
            </w:pPr>
            <w:r w:rsidRPr="006A1599">
              <w:rPr>
                <w:b/>
                <w:sz w:val="18"/>
              </w:rPr>
              <w:t>(ppm)</w:t>
            </w:r>
          </w:p>
        </w:tc>
        <w:tc>
          <w:tcPr>
            <w:tcW w:w="339" w:type="pct"/>
            <w:vMerge w:val="restart"/>
            <w:vAlign w:val="bottom"/>
          </w:tcPr>
          <w:p w:rsidR="006A1599" w:rsidRPr="006A1599" w:rsidRDefault="006A1599" w:rsidP="006A1599">
            <w:pPr>
              <w:jc w:val="center"/>
              <w:rPr>
                <w:b/>
                <w:sz w:val="18"/>
              </w:rPr>
            </w:pPr>
            <w:r w:rsidRPr="006A1599">
              <w:rPr>
                <w:b/>
                <w:sz w:val="18"/>
              </w:rPr>
              <w:t>Carbon Monoxide</w:t>
            </w:r>
          </w:p>
          <w:p w:rsidR="006A1599" w:rsidRPr="006A1599" w:rsidRDefault="006A1599" w:rsidP="006A1599">
            <w:pPr>
              <w:jc w:val="center"/>
              <w:rPr>
                <w:b/>
                <w:sz w:val="18"/>
              </w:rPr>
            </w:pPr>
            <w:r w:rsidRPr="006A1599">
              <w:rPr>
                <w:b/>
                <w:sz w:val="18"/>
              </w:rPr>
              <w:t>(ppm)</w:t>
            </w:r>
          </w:p>
        </w:tc>
        <w:tc>
          <w:tcPr>
            <w:tcW w:w="277" w:type="pct"/>
            <w:vMerge w:val="restart"/>
            <w:vAlign w:val="bottom"/>
          </w:tcPr>
          <w:p w:rsidR="006A1599" w:rsidRPr="006A1599" w:rsidRDefault="006A1599" w:rsidP="006A1599">
            <w:pPr>
              <w:jc w:val="center"/>
              <w:rPr>
                <w:b/>
                <w:sz w:val="18"/>
              </w:rPr>
            </w:pPr>
            <w:r w:rsidRPr="006A1599">
              <w:rPr>
                <w:b/>
                <w:sz w:val="18"/>
              </w:rPr>
              <w:t>Temp</w:t>
            </w:r>
          </w:p>
          <w:p w:rsidR="006A1599" w:rsidRPr="006A1599" w:rsidRDefault="006A1599" w:rsidP="006A1599">
            <w:pPr>
              <w:jc w:val="center"/>
              <w:rPr>
                <w:b/>
                <w:sz w:val="18"/>
              </w:rPr>
            </w:pPr>
            <w:r w:rsidRPr="006A1599">
              <w:rPr>
                <w:b/>
                <w:sz w:val="18"/>
              </w:rPr>
              <w:t>(°F)</w:t>
            </w:r>
          </w:p>
        </w:tc>
        <w:tc>
          <w:tcPr>
            <w:tcW w:w="369" w:type="pct"/>
            <w:vMerge w:val="restart"/>
            <w:vAlign w:val="bottom"/>
          </w:tcPr>
          <w:p w:rsidR="006A1599" w:rsidRPr="006A1599" w:rsidRDefault="006A1599" w:rsidP="006A1599">
            <w:pPr>
              <w:jc w:val="center"/>
              <w:rPr>
                <w:b/>
                <w:sz w:val="18"/>
              </w:rPr>
            </w:pPr>
            <w:r w:rsidRPr="006A1599">
              <w:rPr>
                <w:b/>
                <w:sz w:val="18"/>
              </w:rPr>
              <w:t>Relative</w:t>
            </w:r>
          </w:p>
          <w:p w:rsidR="006A1599" w:rsidRPr="006A1599" w:rsidRDefault="006A1599" w:rsidP="006A1599">
            <w:pPr>
              <w:jc w:val="center"/>
              <w:rPr>
                <w:b/>
                <w:sz w:val="18"/>
              </w:rPr>
            </w:pPr>
            <w:r w:rsidRPr="006A1599">
              <w:rPr>
                <w:b/>
                <w:sz w:val="18"/>
              </w:rPr>
              <w:t>Humidity</w:t>
            </w:r>
          </w:p>
          <w:p w:rsidR="006A1599" w:rsidRPr="006A1599" w:rsidRDefault="006A1599" w:rsidP="006A1599">
            <w:pPr>
              <w:jc w:val="center"/>
              <w:rPr>
                <w:b/>
                <w:sz w:val="18"/>
              </w:rPr>
            </w:pPr>
            <w:r w:rsidRPr="006A1599">
              <w:rPr>
                <w:b/>
                <w:sz w:val="18"/>
              </w:rPr>
              <w:t>(%)</w:t>
            </w:r>
          </w:p>
        </w:tc>
        <w:tc>
          <w:tcPr>
            <w:tcW w:w="277" w:type="pct"/>
            <w:vMerge w:val="restart"/>
            <w:vAlign w:val="bottom"/>
          </w:tcPr>
          <w:p w:rsidR="006A1599" w:rsidRPr="006A1599" w:rsidRDefault="006A1599" w:rsidP="006A1599">
            <w:pPr>
              <w:jc w:val="center"/>
              <w:rPr>
                <w:b/>
                <w:sz w:val="18"/>
              </w:rPr>
            </w:pPr>
            <w:r w:rsidRPr="006A1599">
              <w:rPr>
                <w:b/>
                <w:sz w:val="18"/>
              </w:rPr>
              <w:t>PM2.5</w:t>
            </w:r>
          </w:p>
          <w:p w:rsidR="006A1599" w:rsidRPr="006A1599" w:rsidRDefault="006A1599" w:rsidP="006A1599">
            <w:pPr>
              <w:jc w:val="center"/>
              <w:rPr>
                <w:b/>
                <w:sz w:val="18"/>
              </w:rPr>
            </w:pPr>
            <w:r w:rsidRPr="006A1599">
              <w:rPr>
                <w:b/>
                <w:sz w:val="18"/>
              </w:rPr>
              <w:t>(</w:t>
            </w:r>
            <w:r w:rsidRPr="006A1599">
              <w:rPr>
                <w:b/>
                <w:sz w:val="18"/>
                <w:szCs w:val="18"/>
              </w:rPr>
              <w:t>µg/m</w:t>
            </w:r>
            <w:r w:rsidRPr="006A1599">
              <w:rPr>
                <w:b/>
                <w:sz w:val="18"/>
                <w:szCs w:val="18"/>
                <w:vertAlign w:val="superscript"/>
              </w:rPr>
              <w:t>3</w:t>
            </w:r>
            <w:r w:rsidRPr="006A1599">
              <w:rPr>
                <w:b/>
                <w:sz w:val="18"/>
              </w:rPr>
              <w:t>)</w:t>
            </w:r>
          </w:p>
        </w:tc>
        <w:tc>
          <w:tcPr>
            <w:tcW w:w="277" w:type="pct"/>
            <w:vMerge w:val="restart"/>
            <w:vAlign w:val="bottom"/>
          </w:tcPr>
          <w:p w:rsidR="006A1599" w:rsidRPr="006A1599" w:rsidRDefault="006A1599" w:rsidP="006A1599">
            <w:pPr>
              <w:jc w:val="center"/>
              <w:rPr>
                <w:b/>
                <w:sz w:val="18"/>
                <w:szCs w:val="18"/>
              </w:rPr>
            </w:pPr>
            <w:r w:rsidRPr="006A1599">
              <w:rPr>
                <w:b/>
                <w:sz w:val="18"/>
                <w:szCs w:val="18"/>
              </w:rPr>
              <w:t>TVOC</w:t>
            </w:r>
          </w:p>
          <w:p w:rsidR="006A1599" w:rsidRPr="006A1599" w:rsidRDefault="006A1599" w:rsidP="006A1599">
            <w:pPr>
              <w:jc w:val="center"/>
              <w:rPr>
                <w:b/>
                <w:sz w:val="18"/>
                <w:szCs w:val="18"/>
              </w:rPr>
            </w:pPr>
            <w:r w:rsidRPr="006A1599">
              <w:rPr>
                <w:b/>
                <w:sz w:val="18"/>
                <w:szCs w:val="18"/>
              </w:rPr>
              <w:t>(ppm)</w:t>
            </w:r>
          </w:p>
        </w:tc>
        <w:tc>
          <w:tcPr>
            <w:tcW w:w="370" w:type="pct"/>
            <w:vMerge w:val="restart"/>
            <w:vAlign w:val="bottom"/>
          </w:tcPr>
          <w:p w:rsidR="006A1599" w:rsidRPr="006A1599" w:rsidRDefault="006A1599" w:rsidP="006A1599">
            <w:pPr>
              <w:jc w:val="center"/>
              <w:rPr>
                <w:b/>
                <w:sz w:val="18"/>
                <w:szCs w:val="18"/>
              </w:rPr>
            </w:pPr>
            <w:r w:rsidRPr="006A1599">
              <w:rPr>
                <w:b/>
                <w:sz w:val="18"/>
                <w:szCs w:val="18"/>
              </w:rPr>
              <w:t>Occupants</w:t>
            </w:r>
          </w:p>
          <w:p w:rsidR="006A1599" w:rsidRPr="006A1599" w:rsidRDefault="006A1599" w:rsidP="006A1599">
            <w:pPr>
              <w:jc w:val="center"/>
              <w:rPr>
                <w:b/>
                <w:sz w:val="21"/>
                <w:szCs w:val="21"/>
              </w:rPr>
            </w:pPr>
            <w:r w:rsidRPr="006A1599">
              <w:rPr>
                <w:b/>
                <w:sz w:val="18"/>
                <w:szCs w:val="18"/>
              </w:rPr>
              <w:t>in Room</w:t>
            </w:r>
          </w:p>
        </w:tc>
        <w:tc>
          <w:tcPr>
            <w:tcW w:w="401" w:type="pct"/>
            <w:vMerge w:val="restart"/>
            <w:vAlign w:val="bottom"/>
          </w:tcPr>
          <w:p w:rsidR="006A1599" w:rsidRPr="006A1599" w:rsidRDefault="006A1599" w:rsidP="006A1599">
            <w:pPr>
              <w:jc w:val="center"/>
              <w:rPr>
                <w:b/>
                <w:sz w:val="18"/>
              </w:rPr>
            </w:pPr>
            <w:r w:rsidRPr="006A1599">
              <w:rPr>
                <w:b/>
                <w:sz w:val="18"/>
              </w:rPr>
              <w:t>Windows</w:t>
            </w:r>
          </w:p>
          <w:p w:rsidR="006A1599" w:rsidRPr="006A1599" w:rsidRDefault="006A1599" w:rsidP="006A1599">
            <w:pPr>
              <w:jc w:val="center"/>
              <w:rPr>
                <w:b/>
                <w:sz w:val="18"/>
              </w:rPr>
            </w:pPr>
            <w:r w:rsidRPr="006A1599">
              <w:rPr>
                <w:b/>
                <w:sz w:val="18"/>
              </w:rPr>
              <w:t>Openable</w:t>
            </w:r>
          </w:p>
        </w:tc>
        <w:tc>
          <w:tcPr>
            <w:tcW w:w="554" w:type="pct"/>
            <w:gridSpan w:val="2"/>
            <w:tcBorders>
              <w:left w:val="nil"/>
              <w:bottom w:val="nil"/>
            </w:tcBorders>
            <w:vAlign w:val="bottom"/>
          </w:tcPr>
          <w:p w:rsidR="006A1599" w:rsidRPr="006A1599" w:rsidRDefault="006A1599" w:rsidP="006A1599">
            <w:pPr>
              <w:ind w:left="-105"/>
              <w:jc w:val="center"/>
              <w:rPr>
                <w:b/>
                <w:sz w:val="18"/>
              </w:rPr>
            </w:pPr>
            <w:r w:rsidRPr="006A1599">
              <w:rPr>
                <w:b/>
                <w:sz w:val="18"/>
              </w:rPr>
              <w:t>Ventilation</w:t>
            </w:r>
          </w:p>
        </w:tc>
        <w:tc>
          <w:tcPr>
            <w:tcW w:w="1268" w:type="pct"/>
            <w:vMerge w:val="restart"/>
            <w:vAlign w:val="bottom"/>
          </w:tcPr>
          <w:p w:rsidR="006A1599" w:rsidRPr="006A1599" w:rsidRDefault="006A1599" w:rsidP="006A1599">
            <w:pPr>
              <w:jc w:val="center"/>
              <w:rPr>
                <w:b/>
                <w:sz w:val="18"/>
              </w:rPr>
            </w:pPr>
            <w:r w:rsidRPr="006A1599">
              <w:rPr>
                <w:b/>
                <w:sz w:val="18"/>
              </w:rPr>
              <w:t>Remarks</w:t>
            </w:r>
          </w:p>
        </w:tc>
      </w:tr>
      <w:tr w:rsidR="006A1599" w:rsidRPr="006A1599" w:rsidTr="00963BBF">
        <w:trPr>
          <w:cantSplit/>
          <w:trHeight w:val="240"/>
          <w:tblHeader/>
          <w:jc w:val="center"/>
        </w:trPr>
        <w:tc>
          <w:tcPr>
            <w:tcW w:w="555" w:type="pct"/>
            <w:vMerge/>
          </w:tcPr>
          <w:p w:rsidR="006A1599" w:rsidRPr="006A1599" w:rsidRDefault="006A1599" w:rsidP="006A1599">
            <w:pPr>
              <w:rPr>
                <w:sz w:val="18"/>
              </w:rPr>
            </w:pPr>
          </w:p>
        </w:tc>
        <w:tc>
          <w:tcPr>
            <w:tcW w:w="313" w:type="pct"/>
            <w:vMerge/>
          </w:tcPr>
          <w:p w:rsidR="006A1599" w:rsidRPr="006A1599" w:rsidRDefault="006A1599" w:rsidP="006A1599">
            <w:pPr>
              <w:jc w:val="center"/>
              <w:rPr>
                <w:sz w:val="18"/>
              </w:rPr>
            </w:pPr>
          </w:p>
        </w:tc>
        <w:tc>
          <w:tcPr>
            <w:tcW w:w="339" w:type="pct"/>
            <w:vMerge/>
          </w:tcPr>
          <w:p w:rsidR="006A1599" w:rsidRPr="006A1599" w:rsidRDefault="006A1599" w:rsidP="006A1599">
            <w:pPr>
              <w:jc w:val="center"/>
              <w:rPr>
                <w:b/>
                <w:sz w:val="18"/>
              </w:rPr>
            </w:pPr>
          </w:p>
        </w:tc>
        <w:tc>
          <w:tcPr>
            <w:tcW w:w="277" w:type="pct"/>
            <w:vMerge/>
          </w:tcPr>
          <w:p w:rsidR="006A1599" w:rsidRPr="006A1599" w:rsidRDefault="006A1599" w:rsidP="006A1599">
            <w:pPr>
              <w:jc w:val="center"/>
              <w:rPr>
                <w:b/>
                <w:sz w:val="18"/>
              </w:rPr>
            </w:pPr>
          </w:p>
        </w:tc>
        <w:tc>
          <w:tcPr>
            <w:tcW w:w="369" w:type="pct"/>
            <w:vMerge/>
          </w:tcPr>
          <w:p w:rsidR="006A1599" w:rsidRPr="006A1599" w:rsidRDefault="006A1599" w:rsidP="006A1599">
            <w:pPr>
              <w:jc w:val="center"/>
              <w:rPr>
                <w:b/>
                <w:sz w:val="18"/>
              </w:rPr>
            </w:pPr>
          </w:p>
        </w:tc>
        <w:tc>
          <w:tcPr>
            <w:tcW w:w="277" w:type="pct"/>
            <w:vMerge/>
          </w:tcPr>
          <w:p w:rsidR="006A1599" w:rsidRPr="006A1599" w:rsidRDefault="006A1599" w:rsidP="006A1599">
            <w:pPr>
              <w:jc w:val="center"/>
              <w:rPr>
                <w:b/>
                <w:sz w:val="18"/>
              </w:rPr>
            </w:pPr>
          </w:p>
        </w:tc>
        <w:tc>
          <w:tcPr>
            <w:tcW w:w="277" w:type="pct"/>
            <w:vMerge/>
          </w:tcPr>
          <w:p w:rsidR="006A1599" w:rsidRPr="006A1599" w:rsidRDefault="006A1599" w:rsidP="006A1599">
            <w:pPr>
              <w:rPr>
                <w:b/>
                <w:sz w:val="21"/>
                <w:szCs w:val="21"/>
              </w:rPr>
            </w:pPr>
          </w:p>
        </w:tc>
        <w:tc>
          <w:tcPr>
            <w:tcW w:w="370" w:type="pct"/>
            <w:vMerge/>
            <w:vAlign w:val="center"/>
          </w:tcPr>
          <w:p w:rsidR="006A1599" w:rsidRPr="006A1599" w:rsidRDefault="006A1599" w:rsidP="006A1599">
            <w:pPr>
              <w:rPr>
                <w:b/>
                <w:sz w:val="21"/>
                <w:szCs w:val="21"/>
              </w:rPr>
            </w:pPr>
          </w:p>
        </w:tc>
        <w:tc>
          <w:tcPr>
            <w:tcW w:w="401" w:type="pct"/>
            <w:vMerge/>
          </w:tcPr>
          <w:p w:rsidR="006A1599" w:rsidRPr="006A1599" w:rsidRDefault="006A1599" w:rsidP="006A1599">
            <w:pPr>
              <w:jc w:val="center"/>
              <w:rPr>
                <w:b/>
                <w:sz w:val="18"/>
              </w:rPr>
            </w:pPr>
          </w:p>
        </w:tc>
        <w:tc>
          <w:tcPr>
            <w:tcW w:w="276" w:type="pct"/>
            <w:tcBorders>
              <w:bottom w:val="nil"/>
            </w:tcBorders>
            <w:vAlign w:val="bottom"/>
          </w:tcPr>
          <w:p w:rsidR="006A1599" w:rsidRPr="006A1599" w:rsidRDefault="006A1599" w:rsidP="006A1599">
            <w:pPr>
              <w:jc w:val="center"/>
              <w:rPr>
                <w:sz w:val="16"/>
              </w:rPr>
            </w:pPr>
            <w:r w:rsidRPr="006A1599">
              <w:rPr>
                <w:b/>
                <w:sz w:val="16"/>
              </w:rPr>
              <w:t>Supply</w:t>
            </w:r>
          </w:p>
        </w:tc>
        <w:tc>
          <w:tcPr>
            <w:tcW w:w="278" w:type="pct"/>
            <w:tcBorders>
              <w:bottom w:val="nil"/>
            </w:tcBorders>
            <w:vAlign w:val="bottom"/>
          </w:tcPr>
          <w:p w:rsidR="006A1599" w:rsidRPr="006A1599" w:rsidRDefault="006A1599" w:rsidP="006A1599">
            <w:pPr>
              <w:jc w:val="center"/>
              <w:rPr>
                <w:sz w:val="16"/>
              </w:rPr>
            </w:pPr>
            <w:r w:rsidRPr="006A1599">
              <w:rPr>
                <w:b/>
                <w:sz w:val="16"/>
              </w:rPr>
              <w:t>Exhaust</w:t>
            </w:r>
          </w:p>
        </w:tc>
        <w:tc>
          <w:tcPr>
            <w:tcW w:w="1268" w:type="pct"/>
            <w:vMerge/>
          </w:tcPr>
          <w:p w:rsidR="006A1599" w:rsidRPr="006A1599" w:rsidRDefault="006A1599" w:rsidP="006A1599">
            <w:pPr>
              <w:rPr>
                <w:sz w:val="18"/>
              </w:rPr>
            </w:pPr>
          </w:p>
        </w:tc>
      </w:tr>
      <w:tr w:rsidR="006A1599" w:rsidRPr="006A1599" w:rsidTr="00963BBF">
        <w:trPr>
          <w:cantSplit/>
          <w:trHeight w:val="560"/>
          <w:jc w:val="center"/>
        </w:trPr>
        <w:tc>
          <w:tcPr>
            <w:tcW w:w="555" w:type="pct"/>
            <w:vAlign w:val="center"/>
          </w:tcPr>
          <w:p w:rsidR="006A1599" w:rsidRPr="006A1599" w:rsidRDefault="006A1599" w:rsidP="006A1599">
            <w:pPr>
              <w:spacing w:before="60" w:after="60"/>
              <w:rPr>
                <w:sz w:val="22"/>
                <w:szCs w:val="22"/>
              </w:rPr>
            </w:pPr>
            <w:r w:rsidRPr="006A1599">
              <w:rPr>
                <w:sz w:val="22"/>
                <w:szCs w:val="22"/>
              </w:rPr>
              <w:t>Background</w:t>
            </w:r>
          </w:p>
        </w:tc>
        <w:tc>
          <w:tcPr>
            <w:tcW w:w="313" w:type="pct"/>
            <w:vAlign w:val="center"/>
          </w:tcPr>
          <w:p w:rsidR="006A1599" w:rsidRPr="006A1599" w:rsidRDefault="006A1599" w:rsidP="006A1599">
            <w:pPr>
              <w:spacing w:before="60" w:after="60"/>
              <w:jc w:val="center"/>
              <w:rPr>
                <w:sz w:val="22"/>
                <w:szCs w:val="22"/>
              </w:rPr>
            </w:pPr>
            <w:r w:rsidRPr="006A1599">
              <w:rPr>
                <w:sz w:val="22"/>
                <w:szCs w:val="22"/>
              </w:rPr>
              <w:t>391</w:t>
            </w:r>
          </w:p>
        </w:tc>
        <w:tc>
          <w:tcPr>
            <w:tcW w:w="339" w:type="pct"/>
            <w:vAlign w:val="center"/>
          </w:tcPr>
          <w:p w:rsidR="006A1599" w:rsidRPr="006A1599" w:rsidRDefault="006A1599" w:rsidP="006A1599">
            <w:pPr>
              <w:spacing w:before="60" w:after="60"/>
              <w:jc w:val="center"/>
              <w:rPr>
                <w:sz w:val="22"/>
                <w:szCs w:val="22"/>
              </w:rPr>
            </w:pPr>
            <w:r w:rsidRPr="006A1599">
              <w:rPr>
                <w:sz w:val="22"/>
                <w:szCs w:val="22"/>
              </w:rPr>
              <w:t>ND</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41</w:t>
            </w:r>
          </w:p>
        </w:tc>
        <w:tc>
          <w:tcPr>
            <w:tcW w:w="369" w:type="pct"/>
            <w:vAlign w:val="center"/>
          </w:tcPr>
          <w:p w:rsidR="006A1599" w:rsidRPr="006A1599" w:rsidRDefault="006A1599" w:rsidP="006A1599">
            <w:pPr>
              <w:spacing w:before="60" w:after="60"/>
              <w:jc w:val="center"/>
              <w:rPr>
                <w:sz w:val="22"/>
                <w:szCs w:val="22"/>
              </w:rPr>
            </w:pPr>
            <w:r w:rsidRPr="006A1599">
              <w:rPr>
                <w:sz w:val="22"/>
                <w:szCs w:val="22"/>
              </w:rPr>
              <w:t>71</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9</w:t>
            </w:r>
          </w:p>
        </w:tc>
        <w:tc>
          <w:tcPr>
            <w:tcW w:w="277" w:type="pct"/>
            <w:vAlign w:val="center"/>
          </w:tcPr>
          <w:p w:rsidR="006A1599" w:rsidRPr="006A1599" w:rsidRDefault="006A1599" w:rsidP="006A1599">
            <w:pPr>
              <w:jc w:val="center"/>
              <w:rPr>
                <w:sz w:val="22"/>
                <w:szCs w:val="22"/>
              </w:rPr>
            </w:pPr>
            <w:r w:rsidRPr="006A1599">
              <w:rPr>
                <w:sz w:val="22"/>
                <w:szCs w:val="22"/>
              </w:rPr>
              <w:t>ND</w:t>
            </w:r>
          </w:p>
        </w:tc>
        <w:tc>
          <w:tcPr>
            <w:tcW w:w="370" w:type="pct"/>
            <w:vAlign w:val="center"/>
          </w:tcPr>
          <w:p w:rsidR="006A1599" w:rsidRPr="006A1599" w:rsidRDefault="006A1599" w:rsidP="006A1599">
            <w:pPr>
              <w:jc w:val="center"/>
              <w:rPr>
                <w:sz w:val="22"/>
                <w:szCs w:val="22"/>
              </w:rPr>
            </w:pPr>
            <w:r w:rsidRPr="006A1599">
              <w:rPr>
                <w:sz w:val="22"/>
                <w:szCs w:val="22"/>
              </w:rPr>
              <w:t>-</w:t>
            </w:r>
          </w:p>
        </w:tc>
        <w:tc>
          <w:tcPr>
            <w:tcW w:w="401" w:type="pct"/>
            <w:vAlign w:val="center"/>
          </w:tcPr>
          <w:p w:rsidR="006A1599" w:rsidRPr="006A1599" w:rsidRDefault="006A1599" w:rsidP="006A1599">
            <w:pPr>
              <w:spacing w:before="60" w:after="60"/>
              <w:jc w:val="center"/>
              <w:rPr>
                <w:sz w:val="22"/>
                <w:szCs w:val="22"/>
              </w:rPr>
            </w:pPr>
            <w:r w:rsidRPr="006A1599">
              <w:rPr>
                <w:sz w:val="22"/>
                <w:szCs w:val="22"/>
              </w:rPr>
              <w:t>-</w:t>
            </w:r>
          </w:p>
        </w:tc>
        <w:tc>
          <w:tcPr>
            <w:tcW w:w="276" w:type="pct"/>
            <w:vAlign w:val="center"/>
          </w:tcPr>
          <w:p w:rsidR="006A1599" w:rsidRPr="006A1599" w:rsidRDefault="006A1599" w:rsidP="006A1599">
            <w:pPr>
              <w:spacing w:before="60" w:after="60"/>
              <w:jc w:val="center"/>
              <w:rPr>
                <w:sz w:val="22"/>
                <w:szCs w:val="22"/>
              </w:rPr>
            </w:pPr>
            <w:r w:rsidRPr="006A1599">
              <w:rPr>
                <w:sz w:val="22"/>
                <w:szCs w:val="22"/>
              </w:rPr>
              <w:t>-</w:t>
            </w:r>
          </w:p>
        </w:tc>
        <w:tc>
          <w:tcPr>
            <w:tcW w:w="278" w:type="pct"/>
            <w:vAlign w:val="center"/>
          </w:tcPr>
          <w:p w:rsidR="006A1599" w:rsidRPr="006A1599" w:rsidRDefault="006A1599" w:rsidP="006A1599">
            <w:pPr>
              <w:spacing w:before="60" w:after="60"/>
              <w:jc w:val="center"/>
              <w:rPr>
                <w:sz w:val="22"/>
                <w:szCs w:val="22"/>
              </w:rPr>
            </w:pPr>
            <w:r w:rsidRPr="006A1599">
              <w:rPr>
                <w:sz w:val="22"/>
                <w:szCs w:val="22"/>
              </w:rPr>
              <w:t>-</w:t>
            </w:r>
          </w:p>
        </w:tc>
        <w:tc>
          <w:tcPr>
            <w:tcW w:w="1268" w:type="pct"/>
            <w:tcBorders>
              <w:left w:val="nil"/>
            </w:tcBorders>
            <w:vAlign w:val="center"/>
          </w:tcPr>
          <w:p w:rsidR="006A1599" w:rsidRPr="006A1599" w:rsidRDefault="006A1599" w:rsidP="006A1599">
            <w:pPr>
              <w:spacing w:before="60" w:after="60"/>
              <w:rPr>
                <w:sz w:val="22"/>
                <w:szCs w:val="22"/>
              </w:rPr>
            </w:pPr>
          </w:p>
        </w:tc>
      </w:tr>
      <w:tr w:rsidR="006A1599" w:rsidRPr="006A1599" w:rsidTr="00963BBF">
        <w:trPr>
          <w:cantSplit/>
          <w:trHeight w:val="560"/>
          <w:jc w:val="center"/>
        </w:trPr>
        <w:tc>
          <w:tcPr>
            <w:tcW w:w="555" w:type="pct"/>
            <w:vAlign w:val="center"/>
          </w:tcPr>
          <w:p w:rsidR="006A1599" w:rsidRPr="006A1599" w:rsidRDefault="006A1599" w:rsidP="006A1599">
            <w:pPr>
              <w:spacing w:before="60" w:after="60"/>
              <w:rPr>
                <w:sz w:val="22"/>
                <w:szCs w:val="22"/>
              </w:rPr>
            </w:pPr>
            <w:r w:rsidRPr="006A1599">
              <w:rPr>
                <w:sz w:val="22"/>
                <w:szCs w:val="22"/>
              </w:rPr>
              <w:t>EB12 Main- left side</w:t>
            </w:r>
          </w:p>
        </w:tc>
        <w:tc>
          <w:tcPr>
            <w:tcW w:w="313" w:type="pct"/>
            <w:vAlign w:val="center"/>
          </w:tcPr>
          <w:p w:rsidR="006A1599" w:rsidRPr="006A1599" w:rsidRDefault="006A1599" w:rsidP="006A1599">
            <w:pPr>
              <w:spacing w:before="60" w:after="60"/>
              <w:jc w:val="center"/>
              <w:rPr>
                <w:sz w:val="22"/>
                <w:szCs w:val="22"/>
              </w:rPr>
            </w:pPr>
            <w:r w:rsidRPr="006A1599">
              <w:rPr>
                <w:sz w:val="22"/>
                <w:szCs w:val="22"/>
              </w:rPr>
              <w:t>554</w:t>
            </w:r>
          </w:p>
        </w:tc>
        <w:tc>
          <w:tcPr>
            <w:tcW w:w="339" w:type="pct"/>
            <w:vAlign w:val="center"/>
          </w:tcPr>
          <w:p w:rsidR="006A1599" w:rsidRPr="006A1599" w:rsidRDefault="006A1599" w:rsidP="006A1599">
            <w:pPr>
              <w:spacing w:before="60" w:after="60"/>
              <w:jc w:val="center"/>
              <w:rPr>
                <w:sz w:val="22"/>
                <w:szCs w:val="22"/>
              </w:rPr>
            </w:pPr>
            <w:r w:rsidRPr="006A1599">
              <w:rPr>
                <w:sz w:val="22"/>
                <w:szCs w:val="22"/>
              </w:rPr>
              <w:t>ND</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74</w:t>
            </w:r>
          </w:p>
        </w:tc>
        <w:tc>
          <w:tcPr>
            <w:tcW w:w="369" w:type="pct"/>
            <w:vAlign w:val="center"/>
          </w:tcPr>
          <w:p w:rsidR="006A1599" w:rsidRPr="006A1599" w:rsidRDefault="006A1599" w:rsidP="006A1599">
            <w:pPr>
              <w:spacing w:before="60" w:after="60"/>
              <w:jc w:val="center"/>
              <w:rPr>
                <w:sz w:val="22"/>
                <w:szCs w:val="22"/>
              </w:rPr>
            </w:pPr>
            <w:r w:rsidRPr="006A1599">
              <w:rPr>
                <w:sz w:val="22"/>
                <w:szCs w:val="22"/>
              </w:rPr>
              <w:t>30</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1</w:t>
            </w:r>
          </w:p>
        </w:tc>
        <w:tc>
          <w:tcPr>
            <w:tcW w:w="277" w:type="pct"/>
            <w:vAlign w:val="center"/>
          </w:tcPr>
          <w:p w:rsidR="006A1599" w:rsidRPr="006A1599" w:rsidRDefault="006A1599" w:rsidP="006A1599">
            <w:pPr>
              <w:jc w:val="center"/>
              <w:rPr>
                <w:sz w:val="22"/>
                <w:szCs w:val="22"/>
              </w:rPr>
            </w:pPr>
            <w:r w:rsidRPr="006A1599">
              <w:rPr>
                <w:sz w:val="22"/>
                <w:szCs w:val="22"/>
              </w:rPr>
              <w:t>ND</w:t>
            </w:r>
          </w:p>
        </w:tc>
        <w:tc>
          <w:tcPr>
            <w:tcW w:w="370" w:type="pct"/>
            <w:vAlign w:val="center"/>
          </w:tcPr>
          <w:p w:rsidR="006A1599" w:rsidRPr="006A1599" w:rsidRDefault="006A1599" w:rsidP="006A1599">
            <w:pPr>
              <w:jc w:val="center"/>
              <w:rPr>
                <w:sz w:val="22"/>
                <w:szCs w:val="22"/>
              </w:rPr>
            </w:pPr>
            <w:r w:rsidRPr="006A1599">
              <w:rPr>
                <w:sz w:val="22"/>
                <w:szCs w:val="22"/>
              </w:rPr>
              <w:t>4</w:t>
            </w:r>
          </w:p>
        </w:tc>
        <w:tc>
          <w:tcPr>
            <w:tcW w:w="401"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276"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278"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1268" w:type="pct"/>
            <w:tcBorders>
              <w:left w:val="nil"/>
            </w:tcBorders>
            <w:vAlign w:val="center"/>
          </w:tcPr>
          <w:p w:rsidR="006A1599" w:rsidRPr="006A1599" w:rsidRDefault="006A1599" w:rsidP="006A1599">
            <w:pPr>
              <w:spacing w:before="60" w:after="60"/>
              <w:rPr>
                <w:sz w:val="22"/>
                <w:szCs w:val="22"/>
              </w:rPr>
            </w:pPr>
            <w:r w:rsidRPr="006A1599">
              <w:rPr>
                <w:sz w:val="22"/>
                <w:szCs w:val="22"/>
              </w:rPr>
              <w:t>Carpet tiles, door open, CPs, no musty odors or visible mold observed</w:t>
            </w:r>
          </w:p>
        </w:tc>
      </w:tr>
      <w:tr w:rsidR="006A1599" w:rsidRPr="006A1599" w:rsidTr="00963BBF">
        <w:trPr>
          <w:cantSplit/>
          <w:trHeight w:val="560"/>
          <w:jc w:val="center"/>
        </w:trPr>
        <w:tc>
          <w:tcPr>
            <w:tcW w:w="555" w:type="pct"/>
            <w:vAlign w:val="center"/>
          </w:tcPr>
          <w:p w:rsidR="006A1599" w:rsidRPr="006A1599" w:rsidRDefault="006A1599" w:rsidP="006A1599">
            <w:pPr>
              <w:spacing w:before="60" w:after="60"/>
              <w:rPr>
                <w:sz w:val="22"/>
                <w:szCs w:val="22"/>
              </w:rPr>
            </w:pPr>
            <w:r w:rsidRPr="006A1599">
              <w:rPr>
                <w:sz w:val="22"/>
                <w:szCs w:val="22"/>
              </w:rPr>
              <w:t>EB12D</w:t>
            </w:r>
          </w:p>
        </w:tc>
        <w:tc>
          <w:tcPr>
            <w:tcW w:w="313" w:type="pct"/>
            <w:vAlign w:val="center"/>
          </w:tcPr>
          <w:p w:rsidR="006A1599" w:rsidRPr="006A1599" w:rsidRDefault="006A1599" w:rsidP="006A1599">
            <w:pPr>
              <w:spacing w:before="60" w:after="60"/>
              <w:jc w:val="center"/>
              <w:rPr>
                <w:sz w:val="22"/>
                <w:szCs w:val="22"/>
              </w:rPr>
            </w:pPr>
            <w:r w:rsidRPr="006A1599">
              <w:rPr>
                <w:sz w:val="22"/>
                <w:szCs w:val="22"/>
              </w:rPr>
              <w:t>546</w:t>
            </w:r>
          </w:p>
        </w:tc>
        <w:tc>
          <w:tcPr>
            <w:tcW w:w="339" w:type="pct"/>
            <w:vAlign w:val="center"/>
          </w:tcPr>
          <w:p w:rsidR="006A1599" w:rsidRPr="006A1599" w:rsidRDefault="006A1599" w:rsidP="006A1599">
            <w:pPr>
              <w:spacing w:before="60" w:after="60"/>
              <w:jc w:val="center"/>
              <w:rPr>
                <w:sz w:val="22"/>
                <w:szCs w:val="22"/>
              </w:rPr>
            </w:pPr>
            <w:r w:rsidRPr="006A1599">
              <w:rPr>
                <w:sz w:val="22"/>
                <w:szCs w:val="22"/>
              </w:rPr>
              <w:t>ND</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74</w:t>
            </w:r>
          </w:p>
        </w:tc>
        <w:tc>
          <w:tcPr>
            <w:tcW w:w="369" w:type="pct"/>
            <w:vAlign w:val="center"/>
          </w:tcPr>
          <w:p w:rsidR="006A1599" w:rsidRPr="006A1599" w:rsidRDefault="006A1599" w:rsidP="006A1599">
            <w:pPr>
              <w:spacing w:before="60" w:after="60"/>
              <w:jc w:val="center"/>
              <w:rPr>
                <w:sz w:val="22"/>
                <w:szCs w:val="22"/>
              </w:rPr>
            </w:pPr>
            <w:r w:rsidRPr="006A1599">
              <w:rPr>
                <w:sz w:val="22"/>
                <w:szCs w:val="22"/>
              </w:rPr>
              <w:t>29</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2</w:t>
            </w:r>
          </w:p>
        </w:tc>
        <w:tc>
          <w:tcPr>
            <w:tcW w:w="277" w:type="pct"/>
            <w:vAlign w:val="center"/>
          </w:tcPr>
          <w:p w:rsidR="006A1599" w:rsidRPr="006A1599" w:rsidRDefault="006A1599" w:rsidP="006A1599">
            <w:pPr>
              <w:jc w:val="center"/>
              <w:rPr>
                <w:sz w:val="22"/>
                <w:szCs w:val="22"/>
              </w:rPr>
            </w:pPr>
            <w:r w:rsidRPr="006A1599">
              <w:rPr>
                <w:sz w:val="22"/>
                <w:szCs w:val="22"/>
              </w:rPr>
              <w:t>ND</w:t>
            </w:r>
          </w:p>
        </w:tc>
        <w:tc>
          <w:tcPr>
            <w:tcW w:w="370" w:type="pct"/>
            <w:vAlign w:val="center"/>
          </w:tcPr>
          <w:p w:rsidR="006A1599" w:rsidRPr="006A1599" w:rsidRDefault="006A1599" w:rsidP="006A1599">
            <w:pPr>
              <w:jc w:val="center"/>
              <w:rPr>
                <w:sz w:val="22"/>
                <w:szCs w:val="22"/>
              </w:rPr>
            </w:pPr>
            <w:r w:rsidRPr="006A1599">
              <w:rPr>
                <w:sz w:val="22"/>
                <w:szCs w:val="22"/>
              </w:rPr>
              <w:t>0</w:t>
            </w:r>
          </w:p>
        </w:tc>
        <w:tc>
          <w:tcPr>
            <w:tcW w:w="401" w:type="pct"/>
            <w:vAlign w:val="center"/>
          </w:tcPr>
          <w:p w:rsidR="006A1599" w:rsidRPr="006A1599" w:rsidRDefault="006A1599" w:rsidP="006A1599">
            <w:pPr>
              <w:spacing w:before="60" w:after="60"/>
              <w:jc w:val="center"/>
              <w:rPr>
                <w:sz w:val="22"/>
                <w:szCs w:val="22"/>
              </w:rPr>
            </w:pPr>
            <w:r w:rsidRPr="006A1599">
              <w:rPr>
                <w:sz w:val="22"/>
                <w:szCs w:val="22"/>
              </w:rPr>
              <w:t>Y</w:t>
            </w:r>
          </w:p>
        </w:tc>
        <w:tc>
          <w:tcPr>
            <w:tcW w:w="276"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278"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1268" w:type="pct"/>
            <w:tcBorders>
              <w:left w:val="nil"/>
            </w:tcBorders>
            <w:vAlign w:val="center"/>
          </w:tcPr>
          <w:p w:rsidR="006A1599" w:rsidRPr="006A1599" w:rsidRDefault="006A1599" w:rsidP="006A1599">
            <w:pPr>
              <w:spacing w:before="60" w:after="60"/>
              <w:rPr>
                <w:sz w:val="22"/>
                <w:szCs w:val="22"/>
              </w:rPr>
            </w:pPr>
            <w:r w:rsidRPr="006A1599">
              <w:rPr>
                <w:sz w:val="22"/>
                <w:szCs w:val="22"/>
              </w:rPr>
              <w:t>Site of reported WD carpet tiles, AI, no musty odors or visible mold observed</w:t>
            </w:r>
          </w:p>
        </w:tc>
      </w:tr>
      <w:tr w:rsidR="006A1599" w:rsidRPr="006A1599" w:rsidTr="00963BBF">
        <w:trPr>
          <w:cantSplit/>
          <w:trHeight w:val="560"/>
          <w:jc w:val="center"/>
        </w:trPr>
        <w:tc>
          <w:tcPr>
            <w:tcW w:w="555" w:type="pct"/>
            <w:vAlign w:val="center"/>
          </w:tcPr>
          <w:p w:rsidR="006A1599" w:rsidRPr="006A1599" w:rsidRDefault="006A1599" w:rsidP="006A1599">
            <w:pPr>
              <w:spacing w:before="60" w:after="60"/>
              <w:rPr>
                <w:sz w:val="22"/>
                <w:szCs w:val="22"/>
              </w:rPr>
            </w:pPr>
            <w:r w:rsidRPr="006A1599">
              <w:rPr>
                <w:sz w:val="22"/>
                <w:szCs w:val="22"/>
              </w:rPr>
              <w:t>EB12C</w:t>
            </w:r>
          </w:p>
        </w:tc>
        <w:tc>
          <w:tcPr>
            <w:tcW w:w="313" w:type="pct"/>
            <w:vAlign w:val="center"/>
          </w:tcPr>
          <w:p w:rsidR="006A1599" w:rsidRPr="006A1599" w:rsidRDefault="006A1599" w:rsidP="006A1599">
            <w:pPr>
              <w:spacing w:before="60" w:after="60"/>
              <w:jc w:val="center"/>
              <w:rPr>
                <w:sz w:val="22"/>
                <w:szCs w:val="22"/>
              </w:rPr>
            </w:pPr>
            <w:r w:rsidRPr="006A1599">
              <w:rPr>
                <w:sz w:val="22"/>
                <w:szCs w:val="22"/>
              </w:rPr>
              <w:t>553</w:t>
            </w:r>
          </w:p>
        </w:tc>
        <w:tc>
          <w:tcPr>
            <w:tcW w:w="339" w:type="pct"/>
            <w:vAlign w:val="center"/>
          </w:tcPr>
          <w:p w:rsidR="006A1599" w:rsidRPr="006A1599" w:rsidRDefault="006A1599" w:rsidP="006A1599">
            <w:pPr>
              <w:spacing w:before="60" w:after="60"/>
              <w:jc w:val="center"/>
              <w:rPr>
                <w:sz w:val="22"/>
                <w:szCs w:val="22"/>
              </w:rPr>
            </w:pPr>
            <w:r w:rsidRPr="006A1599">
              <w:rPr>
                <w:sz w:val="22"/>
                <w:szCs w:val="22"/>
              </w:rPr>
              <w:t>ND</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74</w:t>
            </w:r>
          </w:p>
        </w:tc>
        <w:tc>
          <w:tcPr>
            <w:tcW w:w="369" w:type="pct"/>
            <w:vAlign w:val="center"/>
          </w:tcPr>
          <w:p w:rsidR="006A1599" w:rsidRPr="006A1599" w:rsidRDefault="006A1599" w:rsidP="006A1599">
            <w:pPr>
              <w:spacing w:before="60" w:after="60"/>
              <w:jc w:val="center"/>
              <w:rPr>
                <w:sz w:val="22"/>
                <w:szCs w:val="22"/>
              </w:rPr>
            </w:pPr>
            <w:r w:rsidRPr="006A1599">
              <w:rPr>
                <w:sz w:val="22"/>
                <w:szCs w:val="22"/>
              </w:rPr>
              <w:t>30</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2</w:t>
            </w:r>
          </w:p>
        </w:tc>
        <w:tc>
          <w:tcPr>
            <w:tcW w:w="277" w:type="pct"/>
            <w:vAlign w:val="center"/>
          </w:tcPr>
          <w:p w:rsidR="006A1599" w:rsidRPr="006A1599" w:rsidRDefault="006A1599" w:rsidP="006A1599">
            <w:pPr>
              <w:jc w:val="center"/>
              <w:rPr>
                <w:sz w:val="22"/>
                <w:szCs w:val="22"/>
              </w:rPr>
            </w:pPr>
            <w:r w:rsidRPr="006A1599">
              <w:rPr>
                <w:sz w:val="22"/>
                <w:szCs w:val="22"/>
              </w:rPr>
              <w:t>ND</w:t>
            </w:r>
          </w:p>
        </w:tc>
        <w:tc>
          <w:tcPr>
            <w:tcW w:w="370" w:type="pct"/>
            <w:vAlign w:val="center"/>
          </w:tcPr>
          <w:p w:rsidR="006A1599" w:rsidRPr="006A1599" w:rsidRDefault="006A1599" w:rsidP="006A1599">
            <w:pPr>
              <w:jc w:val="center"/>
              <w:rPr>
                <w:sz w:val="22"/>
                <w:szCs w:val="22"/>
              </w:rPr>
            </w:pPr>
            <w:r w:rsidRPr="006A1599">
              <w:rPr>
                <w:sz w:val="22"/>
                <w:szCs w:val="22"/>
              </w:rPr>
              <w:t>0</w:t>
            </w:r>
          </w:p>
        </w:tc>
        <w:tc>
          <w:tcPr>
            <w:tcW w:w="401" w:type="pct"/>
            <w:vAlign w:val="center"/>
          </w:tcPr>
          <w:p w:rsidR="006A1599" w:rsidRPr="006A1599" w:rsidRDefault="006A1599" w:rsidP="006A1599">
            <w:pPr>
              <w:spacing w:before="60" w:after="60"/>
              <w:jc w:val="center"/>
              <w:rPr>
                <w:sz w:val="22"/>
                <w:szCs w:val="22"/>
              </w:rPr>
            </w:pPr>
            <w:r w:rsidRPr="006A1599">
              <w:rPr>
                <w:sz w:val="22"/>
                <w:szCs w:val="22"/>
              </w:rPr>
              <w:t>Y</w:t>
            </w:r>
          </w:p>
        </w:tc>
        <w:tc>
          <w:tcPr>
            <w:tcW w:w="276"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278"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1268" w:type="pct"/>
            <w:tcBorders>
              <w:left w:val="nil"/>
            </w:tcBorders>
            <w:vAlign w:val="center"/>
          </w:tcPr>
          <w:p w:rsidR="006A1599" w:rsidRPr="006A1599" w:rsidRDefault="006A1599" w:rsidP="006A1599">
            <w:pPr>
              <w:spacing w:before="60" w:after="60"/>
              <w:rPr>
                <w:sz w:val="22"/>
                <w:szCs w:val="22"/>
              </w:rPr>
            </w:pPr>
            <w:r w:rsidRPr="006A1599">
              <w:rPr>
                <w:sz w:val="22"/>
                <w:szCs w:val="22"/>
              </w:rPr>
              <w:t>Air filter, carpet tile, no musty odors or visible mold observed</w:t>
            </w:r>
          </w:p>
        </w:tc>
      </w:tr>
      <w:tr w:rsidR="006A1599" w:rsidRPr="006A1599" w:rsidTr="00963BBF">
        <w:trPr>
          <w:cantSplit/>
          <w:trHeight w:val="560"/>
          <w:jc w:val="center"/>
        </w:trPr>
        <w:tc>
          <w:tcPr>
            <w:tcW w:w="555" w:type="pct"/>
            <w:vAlign w:val="center"/>
          </w:tcPr>
          <w:p w:rsidR="006A1599" w:rsidRPr="006A1599" w:rsidRDefault="006A1599" w:rsidP="006A1599">
            <w:pPr>
              <w:spacing w:before="60" w:after="60"/>
              <w:rPr>
                <w:sz w:val="22"/>
                <w:szCs w:val="22"/>
              </w:rPr>
            </w:pPr>
            <w:r w:rsidRPr="006A1599">
              <w:rPr>
                <w:sz w:val="22"/>
                <w:szCs w:val="22"/>
              </w:rPr>
              <w:t>EB12-right corner</w:t>
            </w:r>
          </w:p>
        </w:tc>
        <w:tc>
          <w:tcPr>
            <w:tcW w:w="313" w:type="pct"/>
            <w:vAlign w:val="center"/>
          </w:tcPr>
          <w:p w:rsidR="006A1599" w:rsidRPr="006A1599" w:rsidRDefault="006A1599" w:rsidP="006A1599">
            <w:pPr>
              <w:spacing w:before="60" w:after="60"/>
              <w:jc w:val="center"/>
              <w:rPr>
                <w:sz w:val="22"/>
                <w:szCs w:val="22"/>
              </w:rPr>
            </w:pPr>
            <w:r w:rsidRPr="006A1599">
              <w:rPr>
                <w:sz w:val="22"/>
                <w:szCs w:val="22"/>
              </w:rPr>
              <w:t>606</w:t>
            </w:r>
          </w:p>
        </w:tc>
        <w:tc>
          <w:tcPr>
            <w:tcW w:w="339" w:type="pct"/>
            <w:vAlign w:val="center"/>
          </w:tcPr>
          <w:p w:rsidR="006A1599" w:rsidRPr="006A1599" w:rsidRDefault="006A1599" w:rsidP="006A1599">
            <w:pPr>
              <w:spacing w:before="60" w:after="60"/>
              <w:jc w:val="center"/>
              <w:rPr>
                <w:sz w:val="22"/>
                <w:szCs w:val="22"/>
              </w:rPr>
            </w:pPr>
            <w:r w:rsidRPr="006A1599">
              <w:rPr>
                <w:sz w:val="22"/>
                <w:szCs w:val="22"/>
              </w:rPr>
              <w:t>ND</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74</w:t>
            </w:r>
          </w:p>
        </w:tc>
        <w:tc>
          <w:tcPr>
            <w:tcW w:w="369" w:type="pct"/>
            <w:vAlign w:val="center"/>
          </w:tcPr>
          <w:p w:rsidR="006A1599" w:rsidRPr="006A1599" w:rsidRDefault="006A1599" w:rsidP="006A1599">
            <w:pPr>
              <w:spacing w:before="60" w:after="60"/>
              <w:jc w:val="center"/>
              <w:rPr>
                <w:sz w:val="22"/>
                <w:szCs w:val="22"/>
              </w:rPr>
            </w:pPr>
            <w:r w:rsidRPr="006A1599">
              <w:rPr>
                <w:sz w:val="22"/>
                <w:szCs w:val="22"/>
              </w:rPr>
              <w:t>31</w:t>
            </w:r>
          </w:p>
        </w:tc>
        <w:tc>
          <w:tcPr>
            <w:tcW w:w="277" w:type="pct"/>
            <w:vAlign w:val="center"/>
          </w:tcPr>
          <w:p w:rsidR="006A1599" w:rsidRPr="006A1599" w:rsidRDefault="006A1599" w:rsidP="006A1599">
            <w:pPr>
              <w:spacing w:before="60" w:after="60"/>
              <w:jc w:val="center"/>
              <w:rPr>
                <w:sz w:val="22"/>
                <w:szCs w:val="22"/>
              </w:rPr>
            </w:pPr>
            <w:r w:rsidRPr="006A1599">
              <w:rPr>
                <w:sz w:val="22"/>
                <w:szCs w:val="22"/>
              </w:rPr>
              <w:t>2</w:t>
            </w:r>
          </w:p>
        </w:tc>
        <w:tc>
          <w:tcPr>
            <w:tcW w:w="277" w:type="pct"/>
            <w:vAlign w:val="center"/>
          </w:tcPr>
          <w:p w:rsidR="006A1599" w:rsidRPr="006A1599" w:rsidRDefault="006A1599" w:rsidP="006A1599">
            <w:pPr>
              <w:jc w:val="center"/>
              <w:rPr>
                <w:sz w:val="22"/>
                <w:szCs w:val="22"/>
              </w:rPr>
            </w:pPr>
            <w:r w:rsidRPr="006A1599">
              <w:rPr>
                <w:sz w:val="22"/>
                <w:szCs w:val="22"/>
              </w:rPr>
              <w:t>ND</w:t>
            </w:r>
          </w:p>
        </w:tc>
        <w:tc>
          <w:tcPr>
            <w:tcW w:w="370" w:type="pct"/>
            <w:vAlign w:val="center"/>
          </w:tcPr>
          <w:p w:rsidR="006A1599" w:rsidRPr="006A1599" w:rsidRDefault="006A1599" w:rsidP="006A1599">
            <w:pPr>
              <w:jc w:val="center"/>
              <w:rPr>
                <w:sz w:val="22"/>
                <w:szCs w:val="22"/>
              </w:rPr>
            </w:pPr>
            <w:r w:rsidRPr="006A1599">
              <w:rPr>
                <w:sz w:val="22"/>
                <w:szCs w:val="22"/>
              </w:rPr>
              <w:t>2</w:t>
            </w:r>
          </w:p>
        </w:tc>
        <w:tc>
          <w:tcPr>
            <w:tcW w:w="401" w:type="pct"/>
            <w:vAlign w:val="center"/>
          </w:tcPr>
          <w:p w:rsidR="006A1599" w:rsidRPr="006A1599" w:rsidRDefault="006A1599" w:rsidP="006A1599">
            <w:pPr>
              <w:spacing w:before="60" w:after="60"/>
              <w:jc w:val="center"/>
              <w:rPr>
                <w:sz w:val="22"/>
                <w:szCs w:val="22"/>
              </w:rPr>
            </w:pPr>
            <w:r w:rsidRPr="006A1599">
              <w:rPr>
                <w:sz w:val="22"/>
                <w:szCs w:val="22"/>
              </w:rPr>
              <w:t>Y</w:t>
            </w:r>
          </w:p>
        </w:tc>
        <w:tc>
          <w:tcPr>
            <w:tcW w:w="276"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278" w:type="pct"/>
            <w:vAlign w:val="center"/>
          </w:tcPr>
          <w:p w:rsidR="006A1599" w:rsidRPr="006A1599" w:rsidRDefault="006A1599" w:rsidP="006A1599">
            <w:pPr>
              <w:spacing w:before="60" w:after="60"/>
              <w:jc w:val="center"/>
              <w:rPr>
                <w:sz w:val="22"/>
                <w:szCs w:val="22"/>
              </w:rPr>
            </w:pPr>
            <w:r w:rsidRPr="006A1599">
              <w:rPr>
                <w:sz w:val="22"/>
                <w:szCs w:val="22"/>
              </w:rPr>
              <w:t>N</w:t>
            </w:r>
          </w:p>
        </w:tc>
        <w:tc>
          <w:tcPr>
            <w:tcW w:w="1268" w:type="pct"/>
            <w:tcBorders>
              <w:left w:val="nil"/>
            </w:tcBorders>
            <w:vAlign w:val="center"/>
          </w:tcPr>
          <w:p w:rsidR="006A1599" w:rsidRPr="006A1599" w:rsidRDefault="006A1599" w:rsidP="006A1599">
            <w:pPr>
              <w:spacing w:before="60" w:after="60"/>
              <w:rPr>
                <w:sz w:val="22"/>
                <w:szCs w:val="22"/>
              </w:rPr>
            </w:pPr>
            <w:r w:rsidRPr="006A1599">
              <w:rPr>
                <w:sz w:val="22"/>
                <w:szCs w:val="22"/>
              </w:rPr>
              <w:t>No musty odors or visible mold observed</w:t>
            </w:r>
          </w:p>
        </w:tc>
      </w:tr>
    </w:tbl>
    <w:p w:rsidR="006A1599" w:rsidRPr="006A1599" w:rsidRDefault="006A1599" w:rsidP="006A1599"/>
    <w:p w:rsidR="00533D9F" w:rsidRPr="00C86CE2" w:rsidRDefault="00533D9F" w:rsidP="00FB2D24">
      <w:pPr>
        <w:pStyle w:val="References"/>
      </w:pPr>
    </w:p>
    <w:sectPr w:rsidR="00533D9F" w:rsidRPr="00C86CE2" w:rsidSect="006A1599">
      <w:headerReference w:type="even" r:id="rId25"/>
      <w:headerReference w:type="default" r:id="rId26"/>
      <w:footerReference w:type="even" r:id="rId27"/>
      <w:footerReference w:type="default" r:id="rId28"/>
      <w:headerReference w:type="first" r:id="rId29"/>
      <w:footerReference w:type="first" r:id="rId3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28" w:rsidRDefault="00305F28">
      <w:r>
        <w:separator/>
      </w:r>
    </w:p>
  </w:endnote>
  <w:endnote w:type="continuationSeparator" w:id="0">
    <w:p w:rsidR="00305F28" w:rsidRDefault="0030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D1F">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99" w:rsidRDefault="006A15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99" w:rsidRDefault="006A159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BBF" w:rsidRDefault="00963BB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24" w:type="dxa"/>
      <w:jc w:val="center"/>
      <w:tblInd w:w="-98" w:type="dxa"/>
      <w:tblLayout w:type="fixed"/>
      <w:tblLook w:val="0000" w:firstRow="0" w:lastRow="0" w:firstColumn="0" w:lastColumn="0" w:noHBand="0" w:noVBand="0"/>
    </w:tblPr>
    <w:tblGrid>
      <w:gridCol w:w="3407"/>
      <w:gridCol w:w="2617"/>
      <w:gridCol w:w="2700"/>
    </w:tblGrid>
    <w:tr w:rsidR="00963BBF" w:rsidRPr="00A618CB" w:rsidTr="00963BBF">
      <w:trPr>
        <w:trHeight w:val="300"/>
        <w:jc w:val="center"/>
      </w:trPr>
      <w:tc>
        <w:tcPr>
          <w:tcW w:w="340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HS = hand sanitizer</w:t>
          </w:r>
        </w:p>
      </w:tc>
    </w:tr>
    <w:tr w:rsidR="00963BBF" w:rsidRPr="00A618CB" w:rsidTr="00963BBF">
      <w:trPr>
        <w:trHeight w:val="300"/>
        <w:jc w:val="center"/>
      </w:trPr>
      <w:tc>
        <w:tcPr>
          <w:tcW w:w="340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963BBF" w:rsidRPr="00A618CB" w:rsidTr="00963BBF">
      <w:trPr>
        <w:trHeight w:val="300"/>
        <w:jc w:val="center"/>
      </w:trPr>
      <w:tc>
        <w:tcPr>
          <w:tcW w:w="340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WD = water-damaged</w:t>
          </w:r>
        </w:p>
      </w:tc>
    </w:tr>
  </w:tbl>
  <w:p w:rsidR="00963BBF" w:rsidRDefault="00963BBF" w:rsidP="00963BBF">
    <w:pPr>
      <w:tabs>
        <w:tab w:val="left" w:pos="9180"/>
      </w:tabs>
      <w:rPr>
        <w:b/>
        <w:sz w:val="20"/>
      </w:rPr>
    </w:pPr>
  </w:p>
  <w:p w:rsidR="00963BBF" w:rsidRDefault="00963BBF" w:rsidP="00963BB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63BBF" w:rsidTr="00963BBF">
      <w:tc>
        <w:tcPr>
          <w:tcW w:w="2718" w:type="dxa"/>
        </w:tcPr>
        <w:p w:rsidR="00963BBF" w:rsidRDefault="00963BBF" w:rsidP="00963BB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963BBF" w:rsidRPr="00EF358C" w:rsidRDefault="00963BBF" w:rsidP="00963BBF">
          <w:pPr>
            <w:rPr>
              <w:sz w:val="20"/>
            </w:rPr>
          </w:pPr>
          <w:r w:rsidRPr="00EF358C">
            <w:rPr>
              <w:sz w:val="20"/>
            </w:rPr>
            <w:t>&lt; 800 = preferable</w:t>
          </w:r>
        </w:p>
      </w:tc>
      <w:tc>
        <w:tcPr>
          <w:tcW w:w="3600" w:type="dxa"/>
        </w:tcPr>
        <w:p w:rsidR="00963BBF" w:rsidRDefault="00963BBF" w:rsidP="00963BBF">
          <w:pPr>
            <w:jc w:val="right"/>
            <w:rPr>
              <w:sz w:val="20"/>
            </w:rPr>
          </w:pPr>
          <w:r>
            <w:rPr>
              <w:sz w:val="20"/>
            </w:rPr>
            <w:t>Temperature:</w:t>
          </w:r>
        </w:p>
      </w:tc>
      <w:tc>
        <w:tcPr>
          <w:tcW w:w="3420" w:type="dxa"/>
        </w:tcPr>
        <w:p w:rsidR="00963BBF" w:rsidRDefault="00963BBF" w:rsidP="00963BBF">
          <w:pPr>
            <w:rPr>
              <w:sz w:val="20"/>
            </w:rPr>
          </w:pPr>
          <w:r>
            <w:rPr>
              <w:sz w:val="20"/>
            </w:rPr>
            <w:t>70 - 78 °F</w:t>
          </w:r>
        </w:p>
      </w:tc>
    </w:tr>
    <w:tr w:rsidR="00963BBF" w:rsidTr="00963BBF">
      <w:tc>
        <w:tcPr>
          <w:tcW w:w="2718" w:type="dxa"/>
        </w:tcPr>
        <w:p w:rsidR="00963BBF" w:rsidRDefault="00963BBF" w:rsidP="00963BBF">
          <w:pPr>
            <w:jc w:val="right"/>
            <w:rPr>
              <w:sz w:val="20"/>
            </w:rPr>
          </w:pPr>
        </w:p>
      </w:tc>
      <w:tc>
        <w:tcPr>
          <w:tcW w:w="4860" w:type="dxa"/>
        </w:tcPr>
        <w:p w:rsidR="00963BBF" w:rsidRPr="00EF358C" w:rsidRDefault="00963BBF" w:rsidP="00963BBF">
          <w:pPr>
            <w:rPr>
              <w:sz w:val="20"/>
            </w:rPr>
          </w:pPr>
          <w:r w:rsidRPr="00EF358C">
            <w:rPr>
              <w:sz w:val="20"/>
            </w:rPr>
            <w:t>&gt; 800 ppm = indicative of ventilation problems</w:t>
          </w:r>
        </w:p>
      </w:tc>
      <w:tc>
        <w:tcPr>
          <w:tcW w:w="3600" w:type="dxa"/>
        </w:tcPr>
        <w:p w:rsidR="00963BBF" w:rsidRDefault="00963BBF" w:rsidP="00963BBF">
          <w:pPr>
            <w:jc w:val="right"/>
            <w:rPr>
              <w:sz w:val="20"/>
            </w:rPr>
          </w:pPr>
          <w:r>
            <w:rPr>
              <w:sz w:val="20"/>
            </w:rPr>
            <w:t>Relative Humidity:</w:t>
          </w:r>
        </w:p>
      </w:tc>
      <w:tc>
        <w:tcPr>
          <w:tcW w:w="3420" w:type="dxa"/>
        </w:tcPr>
        <w:p w:rsidR="00963BBF" w:rsidRDefault="00963BBF" w:rsidP="00963BBF">
          <w:pPr>
            <w:rPr>
              <w:sz w:val="20"/>
            </w:rPr>
          </w:pPr>
          <w:r>
            <w:rPr>
              <w:sz w:val="20"/>
            </w:rPr>
            <w:t>40 - 60%</w:t>
          </w:r>
        </w:p>
      </w:tc>
    </w:tr>
  </w:tbl>
  <w:p w:rsidR="00963BBF" w:rsidRDefault="00963BBF" w:rsidP="00963BBF">
    <w:pPr>
      <w:pStyle w:val="Footer"/>
      <w:jc w:val="center"/>
    </w:pPr>
  </w:p>
  <w:p w:rsidR="00963BBF" w:rsidRPr="00A7353A" w:rsidRDefault="00963BBF" w:rsidP="00963BB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9" w:type="dxa"/>
      <w:jc w:val="center"/>
      <w:tblInd w:w="-98" w:type="dxa"/>
      <w:tblLayout w:type="fixed"/>
      <w:tblLook w:val="0000" w:firstRow="0" w:lastRow="0" w:firstColumn="0" w:lastColumn="0" w:noHBand="0" w:noVBand="0"/>
    </w:tblPr>
    <w:tblGrid>
      <w:gridCol w:w="3407"/>
      <w:gridCol w:w="2617"/>
      <w:gridCol w:w="2475"/>
    </w:tblGrid>
    <w:tr w:rsidR="00963BBF" w:rsidRPr="00A618CB" w:rsidTr="00963BBF">
      <w:trPr>
        <w:trHeight w:val="300"/>
        <w:jc w:val="center"/>
      </w:trPr>
      <w:tc>
        <w:tcPr>
          <w:tcW w:w="340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Pr>
              <w:rFonts w:ascii="Times" w:hAnsi="Times" w:cs="Times"/>
              <w:sz w:val="20"/>
            </w:rPr>
            <w:t>AI = accumulated items</w:t>
          </w:r>
        </w:p>
      </w:tc>
      <w:tc>
        <w:tcPr>
          <w:tcW w:w="2475"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ND = non detect</w:t>
          </w:r>
        </w:p>
      </w:tc>
    </w:tr>
    <w:tr w:rsidR="00963BBF" w:rsidRPr="00A618CB" w:rsidTr="00963BBF">
      <w:trPr>
        <w:trHeight w:val="300"/>
        <w:jc w:val="center"/>
      </w:trPr>
      <w:tc>
        <w:tcPr>
          <w:tcW w:w="3407"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963BBF" w:rsidRDefault="00963BBF" w:rsidP="00963BBF">
          <w:pPr>
            <w:rPr>
              <w:rFonts w:ascii="Times" w:hAnsi="Times" w:cs="Times"/>
              <w:sz w:val="20"/>
            </w:rPr>
          </w:pPr>
          <w:r>
            <w:rPr>
              <w:rFonts w:ascii="Times" w:hAnsi="Times" w:cs="Times"/>
              <w:sz w:val="20"/>
            </w:rPr>
            <w:t>CP = cleaning products</w:t>
          </w:r>
        </w:p>
      </w:tc>
      <w:tc>
        <w:tcPr>
          <w:tcW w:w="2475" w:type="dxa"/>
          <w:tcBorders>
            <w:top w:val="nil"/>
            <w:left w:val="nil"/>
            <w:bottom w:val="nil"/>
            <w:right w:val="nil"/>
          </w:tcBorders>
          <w:shd w:val="clear" w:color="auto" w:fill="auto"/>
          <w:noWrap/>
          <w:vAlign w:val="center"/>
        </w:tcPr>
        <w:p w:rsidR="00963BBF" w:rsidRPr="00A618CB" w:rsidRDefault="00963BBF" w:rsidP="00963BBF">
          <w:pPr>
            <w:rPr>
              <w:rFonts w:ascii="Times" w:hAnsi="Times" w:cs="Times"/>
              <w:sz w:val="20"/>
            </w:rPr>
          </w:pPr>
          <w:r>
            <w:rPr>
              <w:rFonts w:ascii="Times" w:hAnsi="Times" w:cs="Times"/>
              <w:sz w:val="20"/>
            </w:rPr>
            <w:t>WD = water-damaged</w:t>
          </w:r>
        </w:p>
      </w:tc>
    </w:tr>
  </w:tbl>
  <w:p w:rsidR="00963BBF" w:rsidRDefault="00963BBF" w:rsidP="00963BBF">
    <w:pPr>
      <w:tabs>
        <w:tab w:val="left" w:pos="9180"/>
      </w:tabs>
      <w:rPr>
        <w:b/>
        <w:sz w:val="20"/>
      </w:rPr>
    </w:pPr>
  </w:p>
  <w:p w:rsidR="00963BBF" w:rsidRDefault="00963BBF" w:rsidP="00963BB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63BBF" w:rsidTr="00963BBF">
      <w:tc>
        <w:tcPr>
          <w:tcW w:w="2718" w:type="dxa"/>
        </w:tcPr>
        <w:p w:rsidR="00963BBF" w:rsidRDefault="00963BBF" w:rsidP="00963BB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963BBF" w:rsidRPr="00EF358C" w:rsidRDefault="00963BBF" w:rsidP="00963BBF">
          <w:pPr>
            <w:rPr>
              <w:sz w:val="20"/>
            </w:rPr>
          </w:pPr>
          <w:r w:rsidRPr="00EF358C">
            <w:rPr>
              <w:sz w:val="20"/>
            </w:rPr>
            <w:t>&lt; 800 = preferable</w:t>
          </w:r>
        </w:p>
      </w:tc>
      <w:tc>
        <w:tcPr>
          <w:tcW w:w="3600" w:type="dxa"/>
        </w:tcPr>
        <w:p w:rsidR="00963BBF" w:rsidRDefault="00963BBF" w:rsidP="00963BBF">
          <w:pPr>
            <w:jc w:val="right"/>
            <w:rPr>
              <w:sz w:val="20"/>
            </w:rPr>
          </w:pPr>
          <w:r>
            <w:rPr>
              <w:sz w:val="20"/>
            </w:rPr>
            <w:t>Temperature:</w:t>
          </w:r>
        </w:p>
      </w:tc>
      <w:tc>
        <w:tcPr>
          <w:tcW w:w="3420" w:type="dxa"/>
        </w:tcPr>
        <w:p w:rsidR="00963BBF" w:rsidRDefault="00963BBF" w:rsidP="00963BBF">
          <w:pPr>
            <w:rPr>
              <w:sz w:val="20"/>
            </w:rPr>
          </w:pPr>
          <w:r>
            <w:rPr>
              <w:sz w:val="20"/>
            </w:rPr>
            <w:t>70 - 78 °F</w:t>
          </w:r>
        </w:p>
      </w:tc>
    </w:tr>
    <w:tr w:rsidR="00963BBF" w:rsidTr="00963BBF">
      <w:tc>
        <w:tcPr>
          <w:tcW w:w="2718" w:type="dxa"/>
        </w:tcPr>
        <w:p w:rsidR="00963BBF" w:rsidRDefault="00963BBF" w:rsidP="00963BBF">
          <w:pPr>
            <w:jc w:val="right"/>
            <w:rPr>
              <w:sz w:val="20"/>
            </w:rPr>
          </w:pPr>
        </w:p>
      </w:tc>
      <w:tc>
        <w:tcPr>
          <w:tcW w:w="4860" w:type="dxa"/>
        </w:tcPr>
        <w:p w:rsidR="00963BBF" w:rsidRPr="00EF358C" w:rsidRDefault="00963BBF" w:rsidP="00963BBF">
          <w:pPr>
            <w:rPr>
              <w:sz w:val="20"/>
            </w:rPr>
          </w:pPr>
          <w:r w:rsidRPr="00EF358C">
            <w:rPr>
              <w:sz w:val="20"/>
            </w:rPr>
            <w:t>&gt; 800 ppm = indicative of ventilation problems</w:t>
          </w:r>
        </w:p>
      </w:tc>
      <w:tc>
        <w:tcPr>
          <w:tcW w:w="3600" w:type="dxa"/>
        </w:tcPr>
        <w:p w:rsidR="00963BBF" w:rsidRDefault="00963BBF" w:rsidP="00963BBF">
          <w:pPr>
            <w:jc w:val="right"/>
            <w:rPr>
              <w:sz w:val="20"/>
            </w:rPr>
          </w:pPr>
          <w:r>
            <w:rPr>
              <w:sz w:val="20"/>
            </w:rPr>
            <w:t>Relative Humidity:</w:t>
          </w:r>
        </w:p>
      </w:tc>
      <w:tc>
        <w:tcPr>
          <w:tcW w:w="3420" w:type="dxa"/>
        </w:tcPr>
        <w:p w:rsidR="00963BBF" w:rsidRDefault="00963BBF" w:rsidP="00963BBF">
          <w:pPr>
            <w:rPr>
              <w:sz w:val="20"/>
            </w:rPr>
          </w:pPr>
          <w:r>
            <w:rPr>
              <w:sz w:val="20"/>
            </w:rPr>
            <w:t>40 - 60%</w:t>
          </w:r>
        </w:p>
      </w:tc>
    </w:tr>
  </w:tbl>
  <w:p w:rsidR="00963BBF" w:rsidRDefault="00963BBF" w:rsidP="00963BBF">
    <w:pPr>
      <w:pStyle w:val="Footer"/>
      <w:jc w:val="center"/>
    </w:pPr>
  </w:p>
  <w:p w:rsidR="00963BBF" w:rsidRPr="00A7353A" w:rsidRDefault="00963BBF" w:rsidP="00963BB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22D1F">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28" w:rsidRDefault="00305F28">
      <w:r>
        <w:separator/>
      </w:r>
    </w:p>
  </w:footnote>
  <w:footnote w:type="continuationSeparator" w:id="0">
    <w:p w:rsidR="00305F28" w:rsidRDefault="00305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99" w:rsidRDefault="006A15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99" w:rsidRDefault="006A15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99" w:rsidRDefault="006A15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BBF" w:rsidRDefault="00963B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3BBF" w:rsidRDefault="00963B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63BBF" w:rsidTr="00963BBF">
      <w:trPr>
        <w:cantSplit/>
      </w:trPr>
      <w:tc>
        <w:tcPr>
          <w:tcW w:w="12258" w:type="dxa"/>
          <w:gridSpan w:val="3"/>
        </w:tcPr>
        <w:p w:rsidR="00963BBF" w:rsidRPr="00AA0C96" w:rsidRDefault="00963BBF" w:rsidP="00963BBF">
          <w:pPr>
            <w:pStyle w:val="Header"/>
            <w:spacing w:before="60" w:after="60"/>
            <w:rPr>
              <w:b/>
              <w:sz w:val="22"/>
            </w:rPr>
          </w:pPr>
          <w:r>
            <w:rPr>
              <w:b/>
              <w:sz w:val="22"/>
            </w:rPr>
            <w:t>Location: Lakeville Police Department</w:t>
          </w:r>
        </w:p>
      </w:tc>
      <w:tc>
        <w:tcPr>
          <w:tcW w:w="2358" w:type="dxa"/>
        </w:tcPr>
        <w:p w:rsidR="00963BBF" w:rsidRPr="00AA0C96" w:rsidRDefault="00963BBF" w:rsidP="00963BBF">
          <w:pPr>
            <w:pStyle w:val="Header"/>
            <w:tabs>
              <w:tab w:val="clear" w:pos="4320"/>
              <w:tab w:val="clear" w:pos="8640"/>
            </w:tabs>
            <w:spacing w:before="60" w:after="60"/>
            <w:rPr>
              <w:b/>
              <w:sz w:val="22"/>
            </w:rPr>
          </w:pPr>
          <w:r w:rsidRPr="00AA0C96">
            <w:rPr>
              <w:b/>
              <w:sz w:val="22"/>
            </w:rPr>
            <w:t>Indoor Air Results</w:t>
          </w:r>
        </w:p>
      </w:tc>
    </w:tr>
    <w:tr w:rsidR="00963BBF" w:rsidTr="00963BBF">
      <w:trPr>
        <w:cantSplit/>
      </w:trPr>
      <w:tc>
        <w:tcPr>
          <w:tcW w:w="4872" w:type="dxa"/>
        </w:tcPr>
        <w:p w:rsidR="00963BBF" w:rsidRPr="00AA0C96" w:rsidRDefault="00963BBF" w:rsidP="00963BBF">
          <w:pPr>
            <w:pStyle w:val="Header"/>
            <w:tabs>
              <w:tab w:val="clear" w:pos="4320"/>
              <w:tab w:val="clear" w:pos="8640"/>
            </w:tabs>
            <w:spacing w:before="60" w:after="60"/>
            <w:rPr>
              <w:b/>
              <w:sz w:val="22"/>
            </w:rPr>
          </w:pPr>
          <w:r w:rsidRPr="00AA0C96">
            <w:rPr>
              <w:b/>
              <w:sz w:val="22"/>
            </w:rPr>
            <w:t xml:space="preserve">Address: </w:t>
          </w:r>
          <w:r>
            <w:rPr>
              <w:b/>
              <w:sz w:val="22"/>
            </w:rPr>
            <w:t xml:space="preserve">296 </w:t>
          </w:r>
          <w:r w:rsidRPr="00863903">
            <w:rPr>
              <w:b/>
              <w:sz w:val="22"/>
            </w:rPr>
            <w:t>Bedford St, Lakeville</w:t>
          </w:r>
        </w:p>
      </w:tc>
      <w:tc>
        <w:tcPr>
          <w:tcW w:w="4872" w:type="dxa"/>
        </w:tcPr>
        <w:p w:rsidR="00963BBF" w:rsidRPr="00AA0C96" w:rsidRDefault="00963BBF" w:rsidP="00963BB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963BBF" w:rsidRPr="00AA0C96" w:rsidRDefault="00963BBF" w:rsidP="00963BBF">
          <w:pPr>
            <w:pStyle w:val="Header"/>
            <w:tabs>
              <w:tab w:val="clear" w:pos="4320"/>
              <w:tab w:val="clear" w:pos="8640"/>
            </w:tabs>
            <w:spacing w:before="60" w:after="60"/>
            <w:rPr>
              <w:b/>
              <w:sz w:val="22"/>
            </w:rPr>
          </w:pPr>
        </w:p>
      </w:tc>
      <w:tc>
        <w:tcPr>
          <w:tcW w:w="2358" w:type="dxa"/>
        </w:tcPr>
        <w:p w:rsidR="00963BBF" w:rsidRPr="00AA0C96" w:rsidRDefault="00963BBF" w:rsidP="00963BBF">
          <w:pPr>
            <w:pStyle w:val="Header"/>
            <w:tabs>
              <w:tab w:val="clear" w:pos="4320"/>
              <w:tab w:val="clear" w:pos="8640"/>
            </w:tabs>
            <w:spacing w:before="60" w:after="60"/>
            <w:rPr>
              <w:b/>
              <w:sz w:val="22"/>
            </w:rPr>
          </w:pPr>
          <w:r w:rsidRPr="00AA0C96">
            <w:rPr>
              <w:b/>
              <w:sz w:val="22"/>
            </w:rPr>
            <w:t>Date</w:t>
          </w:r>
          <w:r>
            <w:rPr>
              <w:b/>
              <w:sz w:val="22"/>
            </w:rPr>
            <w:t>: 11/8/2018</w:t>
          </w:r>
        </w:p>
      </w:tc>
    </w:tr>
  </w:tbl>
  <w:p w:rsidR="00963BBF" w:rsidRPr="00EC38EA" w:rsidRDefault="00963BBF" w:rsidP="00963B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63BBF" w:rsidTr="00963BBF">
      <w:trPr>
        <w:cantSplit/>
      </w:trPr>
      <w:tc>
        <w:tcPr>
          <w:tcW w:w="12258" w:type="dxa"/>
          <w:gridSpan w:val="3"/>
        </w:tcPr>
        <w:p w:rsidR="00963BBF" w:rsidRPr="00AA0C96" w:rsidRDefault="00963BBF" w:rsidP="00963BBF">
          <w:pPr>
            <w:pStyle w:val="Header"/>
            <w:spacing w:before="60" w:after="60"/>
            <w:rPr>
              <w:b/>
              <w:sz w:val="22"/>
            </w:rPr>
          </w:pPr>
          <w:r>
            <w:rPr>
              <w:b/>
              <w:sz w:val="22"/>
            </w:rPr>
            <w:t>Location: Tewksbury Hospital, EB12 Occupational Therapy</w:t>
          </w:r>
        </w:p>
      </w:tc>
      <w:tc>
        <w:tcPr>
          <w:tcW w:w="2358" w:type="dxa"/>
        </w:tcPr>
        <w:p w:rsidR="00963BBF" w:rsidRPr="00AA0C96" w:rsidRDefault="00963BBF" w:rsidP="00963BBF">
          <w:pPr>
            <w:pStyle w:val="Header"/>
            <w:tabs>
              <w:tab w:val="clear" w:pos="4320"/>
              <w:tab w:val="clear" w:pos="8640"/>
            </w:tabs>
            <w:spacing w:before="60" w:after="60"/>
            <w:rPr>
              <w:b/>
              <w:sz w:val="22"/>
            </w:rPr>
          </w:pPr>
          <w:r w:rsidRPr="00AA0C96">
            <w:rPr>
              <w:b/>
              <w:sz w:val="22"/>
            </w:rPr>
            <w:t>Indoor Air Results</w:t>
          </w:r>
        </w:p>
      </w:tc>
    </w:tr>
    <w:tr w:rsidR="00963BBF" w:rsidTr="00963BBF">
      <w:trPr>
        <w:cantSplit/>
      </w:trPr>
      <w:tc>
        <w:tcPr>
          <w:tcW w:w="4872" w:type="dxa"/>
        </w:tcPr>
        <w:p w:rsidR="00963BBF" w:rsidRPr="00AA0C96" w:rsidRDefault="00963BBF" w:rsidP="00963BBF">
          <w:pPr>
            <w:pStyle w:val="Header"/>
            <w:tabs>
              <w:tab w:val="clear" w:pos="4320"/>
              <w:tab w:val="clear" w:pos="8640"/>
            </w:tabs>
            <w:spacing w:before="60" w:after="60"/>
            <w:rPr>
              <w:b/>
              <w:sz w:val="22"/>
            </w:rPr>
          </w:pPr>
          <w:r w:rsidRPr="00AA0C96">
            <w:rPr>
              <w:b/>
              <w:sz w:val="22"/>
            </w:rPr>
            <w:t xml:space="preserve">Address: </w:t>
          </w:r>
          <w:r>
            <w:rPr>
              <w:b/>
              <w:sz w:val="22"/>
            </w:rPr>
            <w:t>365 East</w:t>
          </w:r>
          <w:r w:rsidRPr="00863903">
            <w:rPr>
              <w:b/>
              <w:sz w:val="22"/>
            </w:rPr>
            <w:t xml:space="preserve"> St</w:t>
          </w:r>
          <w:r>
            <w:rPr>
              <w:b/>
              <w:sz w:val="22"/>
            </w:rPr>
            <w:t>reet</w:t>
          </w:r>
          <w:r w:rsidRPr="00863903">
            <w:rPr>
              <w:b/>
              <w:sz w:val="22"/>
            </w:rPr>
            <w:t xml:space="preserve"> </w:t>
          </w:r>
          <w:r>
            <w:rPr>
              <w:b/>
              <w:sz w:val="22"/>
            </w:rPr>
            <w:t>Tewksbury, MA</w:t>
          </w:r>
        </w:p>
      </w:tc>
      <w:tc>
        <w:tcPr>
          <w:tcW w:w="4872" w:type="dxa"/>
        </w:tcPr>
        <w:p w:rsidR="00963BBF" w:rsidRPr="00AA0C96" w:rsidRDefault="00963BBF" w:rsidP="00963BB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963BBF" w:rsidRPr="00AA0C96" w:rsidRDefault="00963BBF" w:rsidP="00963BBF">
          <w:pPr>
            <w:pStyle w:val="Header"/>
            <w:tabs>
              <w:tab w:val="clear" w:pos="4320"/>
              <w:tab w:val="clear" w:pos="8640"/>
            </w:tabs>
            <w:spacing w:before="60" w:after="60"/>
            <w:rPr>
              <w:b/>
              <w:sz w:val="22"/>
            </w:rPr>
          </w:pPr>
        </w:p>
      </w:tc>
      <w:tc>
        <w:tcPr>
          <w:tcW w:w="2358" w:type="dxa"/>
        </w:tcPr>
        <w:p w:rsidR="00963BBF" w:rsidRPr="00AA0C96" w:rsidRDefault="00963BBF" w:rsidP="00963BBF">
          <w:pPr>
            <w:pStyle w:val="Header"/>
            <w:tabs>
              <w:tab w:val="clear" w:pos="4320"/>
              <w:tab w:val="clear" w:pos="8640"/>
            </w:tabs>
            <w:spacing w:before="60" w:after="60"/>
            <w:rPr>
              <w:b/>
              <w:sz w:val="22"/>
            </w:rPr>
          </w:pPr>
          <w:r w:rsidRPr="00AA0C96">
            <w:rPr>
              <w:b/>
              <w:sz w:val="22"/>
            </w:rPr>
            <w:t>Date</w:t>
          </w:r>
          <w:r>
            <w:rPr>
              <w:b/>
              <w:sz w:val="22"/>
            </w:rPr>
            <w:t>: 11/27/2018</w:t>
          </w:r>
        </w:p>
      </w:tc>
    </w:tr>
  </w:tbl>
  <w:p w:rsidR="00963BBF" w:rsidRDefault="00963BBF" w:rsidP="00963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B7F09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8"/>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17CA"/>
    <w:rsid w:val="00032C01"/>
    <w:rsid w:val="00033BBE"/>
    <w:rsid w:val="00034C32"/>
    <w:rsid w:val="00034E7F"/>
    <w:rsid w:val="000350D8"/>
    <w:rsid w:val="000359F8"/>
    <w:rsid w:val="00036077"/>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79A"/>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366"/>
    <w:rsid w:val="00067991"/>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0EC"/>
    <w:rsid w:val="000C3F97"/>
    <w:rsid w:val="000C4769"/>
    <w:rsid w:val="000C64E1"/>
    <w:rsid w:val="000C6AA6"/>
    <w:rsid w:val="000C6E92"/>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D64"/>
    <w:rsid w:val="00101E4B"/>
    <w:rsid w:val="00102288"/>
    <w:rsid w:val="001022AC"/>
    <w:rsid w:val="00104481"/>
    <w:rsid w:val="00104BB6"/>
    <w:rsid w:val="00104C3D"/>
    <w:rsid w:val="001062F9"/>
    <w:rsid w:val="00107443"/>
    <w:rsid w:val="001111F2"/>
    <w:rsid w:val="00111B85"/>
    <w:rsid w:val="00111DBB"/>
    <w:rsid w:val="00111FFA"/>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A7D"/>
    <w:rsid w:val="001650A0"/>
    <w:rsid w:val="00165286"/>
    <w:rsid w:val="001653C6"/>
    <w:rsid w:val="00165A82"/>
    <w:rsid w:val="00165C0A"/>
    <w:rsid w:val="00167F86"/>
    <w:rsid w:val="00170ABD"/>
    <w:rsid w:val="001726A9"/>
    <w:rsid w:val="0017429F"/>
    <w:rsid w:val="00174959"/>
    <w:rsid w:val="00175559"/>
    <w:rsid w:val="0017560B"/>
    <w:rsid w:val="00175AD9"/>
    <w:rsid w:val="00176DF7"/>
    <w:rsid w:val="00176F95"/>
    <w:rsid w:val="001774B5"/>
    <w:rsid w:val="001776CC"/>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5351"/>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456"/>
    <w:rsid w:val="001A291A"/>
    <w:rsid w:val="001A2D49"/>
    <w:rsid w:val="001A3656"/>
    <w:rsid w:val="001A3882"/>
    <w:rsid w:val="001A4A0C"/>
    <w:rsid w:val="001A4B16"/>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31A"/>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0935"/>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C4A"/>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A97"/>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093"/>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2ABC"/>
    <w:rsid w:val="002D2EDD"/>
    <w:rsid w:val="002D472B"/>
    <w:rsid w:val="002D4F2F"/>
    <w:rsid w:val="002D5170"/>
    <w:rsid w:val="002D5685"/>
    <w:rsid w:val="002D5739"/>
    <w:rsid w:val="002D5C1C"/>
    <w:rsid w:val="002D772C"/>
    <w:rsid w:val="002E0B7A"/>
    <w:rsid w:val="002E1405"/>
    <w:rsid w:val="002E18EF"/>
    <w:rsid w:val="002E21D7"/>
    <w:rsid w:val="002E2A25"/>
    <w:rsid w:val="002E378D"/>
    <w:rsid w:val="002E3BBA"/>
    <w:rsid w:val="002E418D"/>
    <w:rsid w:val="002E5125"/>
    <w:rsid w:val="002E6748"/>
    <w:rsid w:val="002E6F58"/>
    <w:rsid w:val="002E745A"/>
    <w:rsid w:val="002E7719"/>
    <w:rsid w:val="002E78E5"/>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457"/>
    <w:rsid w:val="003047A7"/>
    <w:rsid w:val="0030518E"/>
    <w:rsid w:val="00305F28"/>
    <w:rsid w:val="00306C60"/>
    <w:rsid w:val="00306D62"/>
    <w:rsid w:val="003074FA"/>
    <w:rsid w:val="00307ADC"/>
    <w:rsid w:val="0031007B"/>
    <w:rsid w:val="00310B8E"/>
    <w:rsid w:val="0031140A"/>
    <w:rsid w:val="0031322E"/>
    <w:rsid w:val="003139B5"/>
    <w:rsid w:val="00313D95"/>
    <w:rsid w:val="00315163"/>
    <w:rsid w:val="00315921"/>
    <w:rsid w:val="00316490"/>
    <w:rsid w:val="00316BF9"/>
    <w:rsid w:val="00317117"/>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54B2"/>
    <w:rsid w:val="0037757C"/>
    <w:rsid w:val="00377B1D"/>
    <w:rsid w:val="0038150B"/>
    <w:rsid w:val="003820B3"/>
    <w:rsid w:val="00382A79"/>
    <w:rsid w:val="00382BFA"/>
    <w:rsid w:val="003835AD"/>
    <w:rsid w:val="00383BB7"/>
    <w:rsid w:val="003852CB"/>
    <w:rsid w:val="0038729C"/>
    <w:rsid w:val="0038743B"/>
    <w:rsid w:val="00387FDE"/>
    <w:rsid w:val="00390663"/>
    <w:rsid w:val="0039069F"/>
    <w:rsid w:val="00392217"/>
    <w:rsid w:val="0039263A"/>
    <w:rsid w:val="00393091"/>
    <w:rsid w:val="00393AD1"/>
    <w:rsid w:val="0039418E"/>
    <w:rsid w:val="00395A5C"/>
    <w:rsid w:val="00395D10"/>
    <w:rsid w:val="00395FA5"/>
    <w:rsid w:val="003967B7"/>
    <w:rsid w:val="003A07CA"/>
    <w:rsid w:val="003A082B"/>
    <w:rsid w:val="003A0E79"/>
    <w:rsid w:val="003A16E2"/>
    <w:rsid w:val="003A1721"/>
    <w:rsid w:val="003A2889"/>
    <w:rsid w:val="003A3149"/>
    <w:rsid w:val="003A32AC"/>
    <w:rsid w:val="003A3B7B"/>
    <w:rsid w:val="003A449E"/>
    <w:rsid w:val="003A4902"/>
    <w:rsid w:val="003A5A0D"/>
    <w:rsid w:val="003A5A15"/>
    <w:rsid w:val="003A672F"/>
    <w:rsid w:val="003A72BB"/>
    <w:rsid w:val="003A7F7A"/>
    <w:rsid w:val="003A7FE2"/>
    <w:rsid w:val="003B168C"/>
    <w:rsid w:val="003B1A38"/>
    <w:rsid w:val="003B1DE6"/>
    <w:rsid w:val="003B26C8"/>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309"/>
    <w:rsid w:val="00416DB2"/>
    <w:rsid w:val="00417496"/>
    <w:rsid w:val="00417FC1"/>
    <w:rsid w:val="004206B7"/>
    <w:rsid w:val="00420721"/>
    <w:rsid w:val="00420CE0"/>
    <w:rsid w:val="00420D1A"/>
    <w:rsid w:val="0042199C"/>
    <w:rsid w:val="00421CB4"/>
    <w:rsid w:val="0042251C"/>
    <w:rsid w:val="00424237"/>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0F4"/>
    <w:rsid w:val="00492676"/>
    <w:rsid w:val="00492B43"/>
    <w:rsid w:val="004934A8"/>
    <w:rsid w:val="0049417E"/>
    <w:rsid w:val="00494D92"/>
    <w:rsid w:val="004964D7"/>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878"/>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681"/>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5D3"/>
    <w:rsid w:val="00500EEB"/>
    <w:rsid w:val="00501086"/>
    <w:rsid w:val="00502819"/>
    <w:rsid w:val="0050417C"/>
    <w:rsid w:val="00504AD7"/>
    <w:rsid w:val="0050537D"/>
    <w:rsid w:val="00510D6A"/>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13CC"/>
    <w:rsid w:val="00541481"/>
    <w:rsid w:val="0054209D"/>
    <w:rsid w:val="00543603"/>
    <w:rsid w:val="0054564F"/>
    <w:rsid w:val="00545D22"/>
    <w:rsid w:val="00546215"/>
    <w:rsid w:val="00546548"/>
    <w:rsid w:val="00546D5E"/>
    <w:rsid w:val="0054736B"/>
    <w:rsid w:val="00550503"/>
    <w:rsid w:val="0055289E"/>
    <w:rsid w:val="00552AB1"/>
    <w:rsid w:val="00552DF6"/>
    <w:rsid w:val="005538DE"/>
    <w:rsid w:val="00553E61"/>
    <w:rsid w:val="005543E3"/>
    <w:rsid w:val="00554B88"/>
    <w:rsid w:val="005555D6"/>
    <w:rsid w:val="00555930"/>
    <w:rsid w:val="00555963"/>
    <w:rsid w:val="00555CAD"/>
    <w:rsid w:val="00555D17"/>
    <w:rsid w:val="00555DB1"/>
    <w:rsid w:val="0055631E"/>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C16"/>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A14"/>
    <w:rsid w:val="00661F35"/>
    <w:rsid w:val="00662616"/>
    <w:rsid w:val="0066271A"/>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1599"/>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01C"/>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6D39"/>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7F7"/>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4549"/>
    <w:rsid w:val="0076594F"/>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39B8"/>
    <w:rsid w:val="007949BD"/>
    <w:rsid w:val="0079533A"/>
    <w:rsid w:val="00795D33"/>
    <w:rsid w:val="00795DB5"/>
    <w:rsid w:val="00795E8C"/>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528F"/>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472"/>
    <w:rsid w:val="007F6E69"/>
    <w:rsid w:val="007F7A37"/>
    <w:rsid w:val="007F7D8F"/>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E12"/>
    <w:rsid w:val="00813922"/>
    <w:rsid w:val="0081463F"/>
    <w:rsid w:val="008148CD"/>
    <w:rsid w:val="00815395"/>
    <w:rsid w:val="00816B7C"/>
    <w:rsid w:val="00817892"/>
    <w:rsid w:val="00817A52"/>
    <w:rsid w:val="008200D0"/>
    <w:rsid w:val="0082077A"/>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4ECC"/>
    <w:rsid w:val="0085549C"/>
    <w:rsid w:val="00855F10"/>
    <w:rsid w:val="00856D93"/>
    <w:rsid w:val="00857807"/>
    <w:rsid w:val="008601E7"/>
    <w:rsid w:val="00860808"/>
    <w:rsid w:val="00861072"/>
    <w:rsid w:val="00861D2E"/>
    <w:rsid w:val="00861DCD"/>
    <w:rsid w:val="0086208E"/>
    <w:rsid w:val="00863A05"/>
    <w:rsid w:val="0086440E"/>
    <w:rsid w:val="00864627"/>
    <w:rsid w:val="00865336"/>
    <w:rsid w:val="0086691F"/>
    <w:rsid w:val="00867245"/>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2ACF"/>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2CDA"/>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BB4"/>
    <w:rsid w:val="00957CA9"/>
    <w:rsid w:val="00960683"/>
    <w:rsid w:val="00960714"/>
    <w:rsid w:val="00960F89"/>
    <w:rsid w:val="00961271"/>
    <w:rsid w:val="00961E4A"/>
    <w:rsid w:val="00962DF6"/>
    <w:rsid w:val="00963131"/>
    <w:rsid w:val="009639F0"/>
    <w:rsid w:val="00963BBF"/>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0C8"/>
    <w:rsid w:val="00980612"/>
    <w:rsid w:val="00980E92"/>
    <w:rsid w:val="009829C4"/>
    <w:rsid w:val="00982A82"/>
    <w:rsid w:val="00985935"/>
    <w:rsid w:val="00985AA8"/>
    <w:rsid w:val="00986EA2"/>
    <w:rsid w:val="00990450"/>
    <w:rsid w:val="0099118D"/>
    <w:rsid w:val="0099123F"/>
    <w:rsid w:val="00991847"/>
    <w:rsid w:val="00991D7C"/>
    <w:rsid w:val="00991FF4"/>
    <w:rsid w:val="00992DDA"/>
    <w:rsid w:val="009944F1"/>
    <w:rsid w:val="00994D5A"/>
    <w:rsid w:val="00994E6D"/>
    <w:rsid w:val="00996404"/>
    <w:rsid w:val="00996E57"/>
    <w:rsid w:val="0099778B"/>
    <w:rsid w:val="009A0918"/>
    <w:rsid w:val="009A0B2E"/>
    <w:rsid w:val="009A0E6C"/>
    <w:rsid w:val="009A1939"/>
    <w:rsid w:val="009A237F"/>
    <w:rsid w:val="009A2C0D"/>
    <w:rsid w:val="009A353C"/>
    <w:rsid w:val="009A37DD"/>
    <w:rsid w:val="009A3B91"/>
    <w:rsid w:val="009A4C8C"/>
    <w:rsid w:val="009A619C"/>
    <w:rsid w:val="009A6467"/>
    <w:rsid w:val="009A6C7C"/>
    <w:rsid w:val="009A7919"/>
    <w:rsid w:val="009A7A0F"/>
    <w:rsid w:val="009B024A"/>
    <w:rsid w:val="009B0528"/>
    <w:rsid w:val="009B1B6F"/>
    <w:rsid w:val="009B1BD2"/>
    <w:rsid w:val="009B2F59"/>
    <w:rsid w:val="009B4592"/>
    <w:rsid w:val="009B4C62"/>
    <w:rsid w:val="009B5800"/>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6C3"/>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2C6A"/>
    <w:rsid w:val="00A32D53"/>
    <w:rsid w:val="00A335F3"/>
    <w:rsid w:val="00A3362C"/>
    <w:rsid w:val="00A33B7A"/>
    <w:rsid w:val="00A342B8"/>
    <w:rsid w:val="00A344EE"/>
    <w:rsid w:val="00A3485F"/>
    <w:rsid w:val="00A35899"/>
    <w:rsid w:val="00A35E28"/>
    <w:rsid w:val="00A36B7E"/>
    <w:rsid w:val="00A36F4F"/>
    <w:rsid w:val="00A36FC9"/>
    <w:rsid w:val="00A37C9F"/>
    <w:rsid w:val="00A40797"/>
    <w:rsid w:val="00A40E0A"/>
    <w:rsid w:val="00A41A20"/>
    <w:rsid w:val="00A41DD2"/>
    <w:rsid w:val="00A4203D"/>
    <w:rsid w:val="00A42B71"/>
    <w:rsid w:val="00A42F4F"/>
    <w:rsid w:val="00A43F40"/>
    <w:rsid w:val="00A441BC"/>
    <w:rsid w:val="00A443CE"/>
    <w:rsid w:val="00A44AA2"/>
    <w:rsid w:val="00A45EAF"/>
    <w:rsid w:val="00A46823"/>
    <w:rsid w:val="00A468A7"/>
    <w:rsid w:val="00A473E6"/>
    <w:rsid w:val="00A47ABA"/>
    <w:rsid w:val="00A47B29"/>
    <w:rsid w:val="00A50166"/>
    <w:rsid w:val="00A50CF4"/>
    <w:rsid w:val="00A524E1"/>
    <w:rsid w:val="00A52C43"/>
    <w:rsid w:val="00A53180"/>
    <w:rsid w:val="00A53D89"/>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25E8"/>
    <w:rsid w:val="00A82B33"/>
    <w:rsid w:val="00A8441B"/>
    <w:rsid w:val="00A845A3"/>
    <w:rsid w:val="00A86BF8"/>
    <w:rsid w:val="00A875D1"/>
    <w:rsid w:val="00A87BF2"/>
    <w:rsid w:val="00A90795"/>
    <w:rsid w:val="00A907A9"/>
    <w:rsid w:val="00A90B98"/>
    <w:rsid w:val="00A91138"/>
    <w:rsid w:val="00A91275"/>
    <w:rsid w:val="00A92099"/>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3A5"/>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3D"/>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0D72"/>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DEE"/>
    <w:rsid w:val="00B21F66"/>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22E"/>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4AB1"/>
    <w:rsid w:val="00B96018"/>
    <w:rsid w:val="00BA09FE"/>
    <w:rsid w:val="00BA19BD"/>
    <w:rsid w:val="00BA1B10"/>
    <w:rsid w:val="00BA1E04"/>
    <w:rsid w:val="00BA212F"/>
    <w:rsid w:val="00BA264D"/>
    <w:rsid w:val="00BA2ECC"/>
    <w:rsid w:val="00BA366C"/>
    <w:rsid w:val="00BA38E7"/>
    <w:rsid w:val="00BA5A7E"/>
    <w:rsid w:val="00BA5DF4"/>
    <w:rsid w:val="00BA61AA"/>
    <w:rsid w:val="00BA6981"/>
    <w:rsid w:val="00BA70D0"/>
    <w:rsid w:val="00BA7533"/>
    <w:rsid w:val="00BB0E32"/>
    <w:rsid w:val="00BB246C"/>
    <w:rsid w:val="00BB25EB"/>
    <w:rsid w:val="00BB31B7"/>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C7F66"/>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07661"/>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2D1F"/>
    <w:rsid w:val="00C235A1"/>
    <w:rsid w:val="00C23973"/>
    <w:rsid w:val="00C26B42"/>
    <w:rsid w:val="00C26B64"/>
    <w:rsid w:val="00C27AC9"/>
    <w:rsid w:val="00C30CDC"/>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14"/>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499"/>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9D2"/>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4B9C"/>
    <w:rsid w:val="00CF52BA"/>
    <w:rsid w:val="00CF5BD7"/>
    <w:rsid w:val="00CF6AE4"/>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270F"/>
    <w:rsid w:val="00D144B1"/>
    <w:rsid w:val="00D15311"/>
    <w:rsid w:val="00D1666F"/>
    <w:rsid w:val="00D16AA1"/>
    <w:rsid w:val="00D16B6E"/>
    <w:rsid w:val="00D16D30"/>
    <w:rsid w:val="00D16F2A"/>
    <w:rsid w:val="00D17828"/>
    <w:rsid w:val="00D20769"/>
    <w:rsid w:val="00D211C0"/>
    <w:rsid w:val="00D21960"/>
    <w:rsid w:val="00D22898"/>
    <w:rsid w:val="00D23582"/>
    <w:rsid w:val="00D23C5A"/>
    <w:rsid w:val="00D26833"/>
    <w:rsid w:val="00D26D14"/>
    <w:rsid w:val="00D300E7"/>
    <w:rsid w:val="00D30C0B"/>
    <w:rsid w:val="00D3197B"/>
    <w:rsid w:val="00D31D01"/>
    <w:rsid w:val="00D31E2C"/>
    <w:rsid w:val="00D31FC5"/>
    <w:rsid w:val="00D325E2"/>
    <w:rsid w:val="00D32799"/>
    <w:rsid w:val="00D328D2"/>
    <w:rsid w:val="00D32F3E"/>
    <w:rsid w:val="00D33348"/>
    <w:rsid w:val="00D336A6"/>
    <w:rsid w:val="00D337DD"/>
    <w:rsid w:val="00D34378"/>
    <w:rsid w:val="00D34DDC"/>
    <w:rsid w:val="00D351CB"/>
    <w:rsid w:val="00D35351"/>
    <w:rsid w:val="00D358C6"/>
    <w:rsid w:val="00D363E4"/>
    <w:rsid w:val="00D36C22"/>
    <w:rsid w:val="00D37E2D"/>
    <w:rsid w:val="00D40055"/>
    <w:rsid w:val="00D40F5C"/>
    <w:rsid w:val="00D41BE3"/>
    <w:rsid w:val="00D41DF8"/>
    <w:rsid w:val="00D42DE4"/>
    <w:rsid w:val="00D44D43"/>
    <w:rsid w:val="00D4551C"/>
    <w:rsid w:val="00D513AC"/>
    <w:rsid w:val="00D5159F"/>
    <w:rsid w:val="00D51841"/>
    <w:rsid w:val="00D52C42"/>
    <w:rsid w:val="00D542B2"/>
    <w:rsid w:val="00D54EA8"/>
    <w:rsid w:val="00D54F30"/>
    <w:rsid w:val="00D554F9"/>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0ED6"/>
    <w:rsid w:val="00D91494"/>
    <w:rsid w:val="00D91573"/>
    <w:rsid w:val="00D919CD"/>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4185"/>
    <w:rsid w:val="00DA61B9"/>
    <w:rsid w:val="00DA6377"/>
    <w:rsid w:val="00DA685F"/>
    <w:rsid w:val="00DA750E"/>
    <w:rsid w:val="00DB2305"/>
    <w:rsid w:val="00DB2BA9"/>
    <w:rsid w:val="00DB2E8E"/>
    <w:rsid w:val="00DB4B07"/>
    <w:rsid w:val="00DB4E35"/>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2D0"/>
    <w:rsid w:val="00DD668C"/>
    <w:rsid w:val="00DD684B"/>
    <w:rsid w:val="00DD6C7E"/>
    <w:rsid w:val="00DD7322"/>
    <w:rsid w:val="00DD73C5"/>
    <w:rsid w:val="00DD7557"/>
    <w:rsid w:val="00DD7A1D"/>
    <w:rsid w:val="00DE00BE"/>
    <w:rsid w:val="00DE1866"/>
    <w:rsid w:val="00DE19F4"/>
    <w:rsid w:val="00DE1A18"/>
    <w:rsid w:val="00DE1DC3"/>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5ECB"/>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36B"/>
    <w:rsid w:val="00E10416"/>
    <w:rsid w:val="00E11055"/>
    <w:rsid w:val="00E115C8"/>
    <w:rsid w:val="00E125FF"/>
    <w:rsid w:val="00E133E4"/>
    <w:rsid w:val="00E15CC3"/>
    <w:rsid w:val="00E17A04"/>
    <w:rsid w:val="00E20175"/>
    <w:rsid w:val="00E20275"/>
    <w:rsid w:val="00E2097B"/>
    <w:rsid w:val="00E20A0F"/>
    <w:rsid w:val="00E21719"/>
    <w:rsid w:val="00E226C4"/>
    <w:rsid w:val="00E235D3"/>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2AA3"/>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4FFC"/>
    <w:rsid w:val="00E6607A"/>
    <w:rsid w:val="00E66248"/>
    <w:rsid w:val="00E66A1A"/>
    <w:rsid w:val="00E66BEA"/>
    <w:rsid w:val="00E66D0A"/>
    <w:rsid w:val="00E67EE4"/>
    <w:rsid w:val="00E703D1"/>
    <w:rsid w:val="00E70410"/>
    <w:rsid w:val="00E706A0"/>
    <w:rsid w:val="00E70F93"/>
    <w:rsid w:val="00E725B8"/>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53AE"/>
    <w:rsid w:val="00EB7065"/>
    <w:rsid w:val="00EB7C50"/>
    <w:rsid w:val="00EC002E"/>
    <w:rsid w:val="00EC0945"/>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E75F9"/>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9C"/>
    <w:rsid w:val="00F21871"/>
    <w:rsid w:val="00F21E72"/>
    <w:rsid w:val="00F233A6"/>
    <w:rsid w:val="00F2579C"/>
    <w:rsid w:val="00F2608A"/>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2888"/>
    <w:rsid w:val="00F438A3"/>
    <w:rsid w:val="00F43F15"/>
    <w:rsid w:val="00F444EF"/>
    <w:rsid w:val="00F45763"/>
    <w:rsid w:val="00F46252"/>
    <w:rsid w:val="00F467DF"/>
    <w:rsid w:val="00F467F1"/>
    <w:rsid w:val="00F46DB2"/>
    <w:rsid w:val="00F47535"/>
    <w:rsid w:val="00F47B68"/>
    <w:rsid w:val="00F51419"/>
    <w:rsid w:val="00F516B0"/>
    <w:rsid w:val="00F518EC"/>
    <w:rsid w:val="00F51A50"/>
    <w:rsid w:val="00F53A8F"/>
    <w:rsid w:val="00F53C9A"/>
    <w:rsid w:val="00F5440E"/>
    <w:rsid w:val="00F546B5"/>
    <w:rsid w:val="00F5553C"/>
    <w:rsid w:val="00F559BA"/>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48F"/>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363"/>
    <w:rsid w:val="00FA4A79"/>
    <w:rsid w:val="00FA55C6"/>
    <w:rsid w:val="00FA65C5"/>
    <w:rsid w:val="00FA7AA9"/>
    <w:rsid w:val="00FA7DCB"/>
    <w:rsid w:val="00FB00A8"/>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00D2"/>
    <w:rsid w:val="00FC1BEF"/>
    <w:rsid w:val="00FC30CD"/>
    <w:rsid w:val="00FC475A"/>
    <w:rsid w:val="00FC49C1"/>
    <w:rsid w:val="00FC515C"/>
    <w:rsid w:val="00FC5F92"/>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9AB"/>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2323492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washingtonpost.com/news/capital-weather-gang/wp/2018/08/30/its-been-relentless-smothering-summer-humidity-in-the-northeast-has-crushed-record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crc.org/page/SANSIIICRCS500"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footer" Target="footer6.xml"/><Relationship Id="rId10" Type="http://schemas.openxmlformats.org/officeDocument/2006/relationships/hyperlink" Target="https://www.epa.gov/sites/production/files/2015-09/documents/floods.pdf" TargetMode="Externa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8505-882C-4C14-ACCB-BB7F0181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1994</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13842</CharactersWithSpaces>
  <SharedDoc>false</SharedDoc>
  <HLinks>
    <vt:vector size="30" baseType="variant">
      <vt:variant>
        <vt:i4>3670133</vt:i4>
      </vt:variant>
      <vt:variant>
        <vt:i4>15</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524375</vt:i4>
      </vt:variant>
      <vt:variant>
        <vt:i4>6</vt:i4>
      </vt:variant>
      <vt:variant>
        <vt:i4>0</vt:i4>
      </vt:variant>
      <vt:variant>
        <vt:i4>5</vt:i4>
      </vt:variant>
      <vt:variant>
        <vt:lpwstr>https://www.iicrc.org/page/SANSIIICRCS500</vt:lpwstr>
      </vt:variant>
      <vt:variant>
        <vt:lpwstr/>
      </vt:variant>
      <vt:variant>
        <vt:i4>3735650</vt:i4>
      </vt:variant>
      <vt:variant>
        <vt:i4>3</vt:i4>
      </vt:variant>
      <vt:variant>
        <vt:i4>0</vt:i4>
      </vt:variant>
      <vt:variant>
        <vt:i4>5</vt:i4>
      </vt:variant>
      <vt:variant>
        <vt:lpwstr>https://www.epa.gov/sites/production/files/2015-09/documents/floods.pdf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 Tewksbury Hospital, Saunders Building EB12 Occupational Therapy (December 2018)</dc:title>
  <dc:subject>Tewksbury Hospital Water Damage Saunders EB2</dc:subject>
  <dc:creator>Indoor Air Quality Program</dc:creator>
  <cp:keywords/>
  <cp:lastModifiedBy>AutoBVT</cp:lastModifiedBy>
  <cp:revision>2</cp:revision>
  <cp:lastPrinted>2018-12-11T20:33:00Z</cp:lastPrinted>
  <dcterms:created xsi:type="dcterms:W3CDTF">2019-01-02T21:04:00Z</dcterms:created>
  <dcterms:modified xsi:type="dcterms:W3CDTF">2019-01-02T21:04:00Z</dcterms:modified>
</cp:coreProperties>
</file>