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BD242B" w:rsidP="001844EF">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FA4363" w:rsidP="00B367DF">
                            <w:pPr>
                              <w:jc w:val="center"/>
                              <w:rPr>
                                <w:b/>
                                <w:bCs/>
                                <w:sz w:val="28"/>
                              </w:rPr>
                            </w:pPr>
                            <w:r>
                              <w:rPr>
                                <w:b/>
                                <w:bCs/>
                                <w:sz w:val="28"/>
                              </w:rPr>
                              <w:t>Tewksbury Hospital</w:t>
                            </w:r>
                          </w:p>
                          <w:p w:rsidR="00B657F7" w:rsidRDefault="00FA4363" w:rsidP="00B367DF">
                            <w:pPr>
                              <w:jc w:val="center"/>
                              <w:rPr>
                                <w:b/>
                                <w:bCs/>
                                <w:sz w:val="28"/>
                              </w:rPr>
                            </w:pPr>
                            <w:r>
                              <w:rPr>
                                <w:b/>
                                <w:bCs/>
                                <w:sz w:val="28"/>
                              </w:rPr>
                              <w:t>Saunders Building</w:t>
                            </w:r>
                          </w:p>
                          <w:p w:rsidR="00B657F7" w:rsidRDefault="00B657F7" w:rsidP="00B367DF">
                            <w:pPr>
                              <w:jc w:val="center"/>
                              <w:rPr>
                                <w:b/>
                                <w:bCs/>
                                <w:sz w:val="28"/>
                              </w:rPr>
                            </w:pPr>
                            <w:r w:rsidRPr="00B657F7">
                              <w:rPr>
                                <w:b/>
                                <w:bCs/>
                                <w:sz w:val="28"/>
                              </w:rPr>
                              <w:t>Rooms C142, C151 and C152</w:t>
                            </w:r>
                          </w:p>
                          <w:p w:rsidR="00653643" w:rsidRPr="00705149" w:rsidRDefault="00FA4363" w:rsidP="00B367DF">
                            <w:pPr>
                              <w:jc w:val="center"/>
                              <w:rPr>
                                <w:b/>
                                <w:bCs/>
                                <w:sz w:val="28"/>
                              </w:rPr>
                            </w:pPr>
                            <w:r>
                              <w:rPr>
                                <w:b/>
                                <w:bCs/>
                                <w:sz w:val="28"/>
                              </w:rPr>
                              <w:t>365 East Street Tewksbury</w:t>
                            </w:r>
                            <w:r w:rsidR="00D66159">
                              <w:rPr>
                                <w:b/>
                                <w:bCs/>
                                <w:sz w:val="28"/>
                              </w:rPr>
                              <w:t>,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BD242B" w:rsidP="00DB51C0">
                            <w:pPr>
                              <w:jc w:val="center"/>
                            </w:pPr>
                            <w:bookmarkStart w:id="0" w:name="_GoBack"/>
                            <w:r>
                              <w:rPr>
                                <w:noProof/>
                              </w:rPr>
                              <w:drawing>
                                <wp:inline distT="0" distB="0" distL="0" distR="0">
                                  <wp:extent cx="3840480" cy="3284220"/>
                                  <wp:effectExtent l="0" t="0" r="0" b="0"/>
                                  <wp:docPr id="2" name="Picture 1" descr="Aerial view of the Saunders Building at Tewksbury Hospital (B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aunders Building at Tewksbury Hospital (Bing.com)"/>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0480" cy="3284220"/>
                                          </a:xfrm>
                                          <a:prstGeom prst="rect">
                                            <a:avLst/>
                                          </a:prstGeom>
                                          <a:noFill/>
                                          <a:ln>
                                            <a:noFill/>
                                          </a:ln>
                                        </pic:spPr>
                                      </pic:pic>
                                    </a:graphicData>
                                  </a:graphic>
                                </wp:inline>
                              </w:drawing>
                            </w:r>
                            <w:bookmarkEnd w:id="0"/>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C07E3" w:rsidP="00DB51C0">
                            <w:pPr>
                              <w:jc w:val="center"/>
                            </w:pPr>
                            <w:r>
                              <w:t xml:space="preserve">June </w:t>
                            </w:r>
                            <w:r w:rsidR="005D747F">
                              <w:t>201</w:t>
                            </w:r>
                            <w:r>
                              <w:t>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FA4363" w:rsidP="00B367DF">
                      <w:pPr>
                        <w:jc w:val="center"/>
                        <w:rPr>
                          <w:b/>
                          <w:bCs/>
                          <w:sz w:val="28"/>
                        </w:rPr>
                      </w:pPr>
                      <w:r>
                        <w:rPr>
                          <w:b/>
                          <w:bCs/>
                          <w:sz w:val="28"/>
                        </w:rPr>
                        <w:t>Tewksbury Hospital</w:t>
                      </w:r>
                    </w:p>
                    <w:p w:rsidR="00B657F7" w:rsidRDefault="00FA4363" w:rsidP="00B367DF">
                      <w:pPr>
                        <w:jc w:val="center"/>
                        <w:rPr>
                          <w:b/>
                          <w:bCs/>
                          <w:sz w:val="28"/>
                        </w:rPr>
                      </w:pPr>
                      <w:r>
                        <w:rPr>
                          <w:b/>
                          <w:bCs/>
                          <w:sz w:val="28"/>
                        </w:rPr>
                        <w:t>Saunders Building</w:t>
                      </w:r>
                    </w:p>
                    <w:p w:rsidR="00B657F7" w:rsidRDefault="00B657F7" w:rsidP="00B367DF">
                      <w:pPr>
                        <w:jc w:val="center"/>
                        <w:rPr>
                          <w:b/>
                          <w:bCs/>
                          <w:sz w:val="28"/>
                        </w:rPr>
                      </w:pPr>
                      <w:r w:rsidRPr="00B657F7">
                        <w:rPr>
                          <w:b/>
                          <w:bCs/>
                          <w:sz w:val="28"/>
                        </w:rPr>
                        <w:t>Rooms C142, C151 and C152</w:t>
                      </w:r>
                    </w:p>
                    <w:p w:rsidR="00653643" w:rsidRPr="00705149" w:rsidRDefault="00FA4363" w:rsidP="00B367DF">
                      <w:pPr>
                        <w:jc w:val="center"/>
                        <w:rPr>
                          <w:b/>
                          <w:bCs/>
                          <w:sz w:val="28"/>
                        </w:rPr>
                      </w:pPr>
                      <w:r>
                        <w:rPr>
                          <w:b/>
                          <w:bCs/>
                          <w:sz w:val="28"/>
                        </w:rPr>
                        <w:t>365 East Street Tewksbury</w:t>
                      </w:r>
                      <w:r w:rsidR="00D66159">
                        <w:rPr>
                          <w:b/>
                          <w:bCs/>
                          <w:sz w:val="28"/>
                        </w:rPr>
                        <w:t>,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BD242B" w:rsidP="00DB51C0">
                      <w:pPr>
                        <w:jc w:val="center"/>
                      </w:pPr>
                      <w:bookmarkStart w:id="1" w:name="_GoBack"/>
                      <w:r>
                        <w:rPr>
                          <w:noProof/>
                        </w:rPr>
                        <w:drawing>
                          <wp:inline distT="0" distB="0" distL="0" distR="0">
                            <wp:extent cx="3840480" cy="3284220"/>
                            <wp:effectExtent l="0" t="0" r="0" b="0"/>
                            <wp:docPr id="2" name="Picture 1" descr="Aerial view of the Saunders Building at Tewksbury Hospital (B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aunders Building at Tewksbury Hospital (Bing.com)"/>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0480" cy="3284220"/>
                                    </a:xfrm>
                                    <a:prstGeom prst="rect">
                                      <a:avLst/>
                                    </a:prstGeom>
                                    <a:noFill/>
                                    <a:ln>
                                      <a:noFill/>
                                    </a:ln>
                                  </pic:spPr>
                                </pic:pic>
                              </a:graphicData>
                            </a:graphic>
                          </wp:inline>
                        </w:drawing>
                      </w:r>
                      <w:bookmarkEnd w:id="1"/>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C07E3" w:rsidP="00DB51C0">
                      <w:pPr>
                        <w:jc w:val="center"/>
                      </w:pPr>
                      <w:r>
                        <w:t xml:space="preserve">June </w:t>
                      </w:r>
                      <w:r w:rsidR="005D747F">
                        <w:t>201</w:t>
                      </w:r>
                      <w:r>
                        <w:t>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484695" w:rsidRDefault="00FA4363" w:rsidP="00B367DF">
            <w:pPr>
              <w:tabs>
                <w:tab w:val="left" w:pos="1485"/>
              </w:tabs>
              <w:rPr>
                <w:bCs/>
              </w:rPr>
            </w:pPr>
            <w:r w:rsidRPr="00484695">
              <w:rPr>
                <w:bCs/>
              </w:rPr>
              <w:t>Tewksbury Hospital, Saunders Building</w:t>
            </w:r>
            <w:r w:rsidR="00A82003">
              <w:rPr>
                <w:bCs/>
              </w:rPr>
              <w:t>, Rooms C142, C151 and C152</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295074" w:rsidRDefault="00FA4363" w:rsidP="00FA4363">
            <w:pPr>
              <w:pStyle w:val="StaffTitleHangingIndent"/>
            </w:pPr>
            <w:r>
              <w:rPr>
                <w:bCs/>
              </w:rPr>
              <w:t>365 East</w:t>
            </w:r>
            <w:r w:rsidR="00B367DF" w:rsidRPr="00295074">
              <w:rPr>
                <w:bCs/>
              </w:rPr>
              <w:t xml:space="preserve"> Street, </w:t>
            </w:r>
            <w:r>
              <w:rPr>
                <w:bCs/>
              </w:rPr>
              <w:t>Tewksbury</w:t>
            </w:r>
            <w:r w:rsidR="00AE6286">
              <w:t xml:space="preserve">, </w:t>
            </w:r>
            <w:r>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C04E36" w:rsidRDefault="00C04E36" w:rsidP="00C04E36">
            <w:pPr>
              <w:pStyle w:val="StaffTitleHangingIndent"/>
            </w:pPr>
            <w:r>
              <w:t>Scott J</w:t>
            </w:r>
            <w:r w:rsidR="00A82003">
              <w:t>. Consaul,</w:t>
            </w:r>
            <w:r w:rsidR="00937285">
              <w:t xml:space="preserve"> </w:t>
            </w:r>
          </w:p>
          <w:p w:rsidR="00966B98" w:rsidRPr="00B367DF" w:rsidRDefault="00C04E36" w:rsidP="00C04E36">
            <w:pPr>
              <w:pStyle w:val="StaffTitleHangingIndent"/>
              <w:rPr>
                <w:highlight w:val="yellow"/>
              </w:rPr>
            </w:pPr>
            <w:r>
              <w:t>Interim Director of Facilities Management/Director of Environment of Care Department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B367DF" w:rsidRDefault="00A82003" w:rsidP="00A82003">
            <w:pPr>
              <w:tabs>
                <w:tab w:val="left" w:pos="1485"/>
              </w:tabs>
              <w:rPr>
                <w:bCs/>
                <w:highlight w:val="yellow"/>
              </w:rPr>
            </w:pPr>
            <w:r>
              <w:rPr>
                <w:bCs/>
              </w:rPr>
              <w:t>Water damage and g</w:t>
            </w:r>
            <w:r w:rsidR="00B367DF" w:rsidRPr="00295074">
              <w:rPr>
                <w:bCs/>
              </w:rPr>
              <w:t xml:space="preserve">eneral Indoor Air Quality (IAQ)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B657F7" w:rsidP="00B367DF">
            <w:pPr>
              <w:tabs>
                <w:tab w:val="left" w:pos="1485"/>
              </w:tabs>
              <w:rPr>
                <w:bCs/>
              </w:rPr>
            </w:pPr>
            <w:r>
              <w:rPr>
                <w:bCs/>
              </w:rPr>
              <w:t>May 25, 2018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A82003" w:rsidP="000B7F28">
            <w:pPr>
              <w:pStyle w:val="StaffTitleHangingIndent"/>
              <w:rPr>
                <w:bCs/>
              </w:rPr>
            </w:pPr>
            <w:r>
              <w:rPr>
                <w:bCs/>
              </w:rPr>
              <w:t xml:space="preserve">Michael Feeney Director, </w:t>
            </w:r>
            <w:r w:rsidR="000D21AE">
              <w:rPr>
                <w:bCs/>
              </w:rPr>
              <w:t xml:space="preserve">IAQ </w:t>
            </w:r>
            <w:r w:rsidR="00966B98">
              <w:rPr>
                <w:bCs/>
              </w:rPr>
              <w:t>Program</w:t>
            </w:r>
          </w:p>
        </w:tc>
      </w:tr>
      <w:tr w:rsidR="00966B98" w:rsidRPr="005E458D" w:rsidTr="007154D5">
        <w:trPr>
          <w:trHeight w:val="323"/>
          <w:jc w:val="center"/>
        </w:trPr>
        <w:tc>
          <w:tcPr>
            <w:tcW w:w="5089" w:type="dxa"/>
            <w:shd w:val="clear" w:color="auto" w:fill="auto"/>
          </w:tcPr>
          <w:p w:rsidR="00966B98" w:rsidRPr="00790002" w:rsidRDefault="00966B98"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966B98" w:rsidRPr="00790002" w:rsidRDefault="00C04E36" w:rsidP="001F2DA1">
            <w:pPr>
              <w:pStyle w:val="StaffTitleHangingIndent"/>
              <w:rPr>
                <w:bCs/>
              </w:rPr>
            </w:pPr>
            <w:r>
              <w:rPr>
                <w:bCs/>
              </w:rPr>
              <w:t>The offices examined are on the 1</w:t>
            </w:r>
            <w:r w:rsidRPr="00C04E36">
              <w:rPr>
                <w:bCs/>
                <w:vertAlign w:val="superscript"/>
              </w:rPr>
              <w:t>st</w:t>
            </w:r>
            <w:r w:rsidR="00295074" w:rsidRPr="00790002">
              <w:rPr>
                <w:bCs/>
              </w:rPr>
              <w:t xml:space="preserve"> floor of </w:t>
            </w:r>
            <w:r w:rsidR="00B21F66" w:rsidRPr="00B21F66">
              <w:rPr>
                <w:bCs/>
              </w:rPr>
              <w:t>a U-shaped, five-story building wit</w:t>
            </w:r>
            <w:r w:rsidR="00B21F66">
              <w:rPr>
                <w:bCs/>
              </w:rPr>
              <w:t xml:space="preserve">h a flat rubber membrane roof. </w:t>
            </w:r>
            <w:r w:rsidR="001F2DA1">
              <w:rPr>
                <w:bCs/>
              </w:rPr>
              <w:t>The building</w:t>
            </w:r>
            <w:r w:rsidR="00B21F66" w:rsidRPr="00B21F66">
              <w:rPr>
                <w:bCs/>
              </w:rPr>
              <w:t xml:space="preserve"> was originally built in the 1960s with additional wings added in the early 1970s.</w:t>
            </w:r>
          </w:p>
        </w:tc>
      </w:tr>
      <w:tr w:rsidR="00966B98" w:rsidRPr="005E458D" w:rsidTr="007154D5">
        <w:trPr>
          <w:jc w:val="center"/>
        </w:trPr>
        <w:tc>
          <w:tcPr>
            <w:tcW w:w="5089" w:type="dxa"/>
            <w:shd w:val="clear" w:color="auto" w:fill="auto"/>
          </w:tcPr>
          <w:p w:rsidR="00966B98" w:rsidRPr="00790002" w:rsidRDefault="00966B98"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966B98" w:rsidRPr="00790002" w:rsidRDefault="00F841D2" w:rsidP="00745B72">
            <w:pPr>
              <w:tabs>
                <w:tab w:val="left" w:pos="1485"/>
              </w:tabs>
              <w:rPr>
                <w:bCs/>
              </w:rPr>
            </w:pPr>
            <w:r w:rsidRPr="00790002">
              <w:rPr>
                <w:bCs/>
              </w:rPr>
              <w:t>Not</w:t>
            </w:r>
            <w:r w:rsidR="00753693" w:rsidRPr="00790002">
              <w:rPr>
                <w:bCs/>
              </w:rPr>
              <w:t xml:space="preserve"> o</w:t>
            </w:r>
            <w:r w:rsidR="0073731E" w:rsidRPr="00790002">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5D747F" w:rsidRDefault="005D747F" w:rsidP="005D747F">
      <w:pPr>
        <w:pStyle w:val="Heading1"/>
      </w:pPr>
      <w:r w:rsidRPr="00CF4B9C">
        <w:t>IAQ Testing Results</w:t>
      </w:r>
    </w:p>
    <w:p w:rsidR="005D747F" w:rsidRDefault="005D747F" w:rsidP="005D747F">
      <w:pPr>
        <w:pStyle w:val="BodyText1"/>
      </w:pPr>
      <w:r w:rsidRPr="00375CB0">
        <w:t>The following is a summary of indoor air testing result</w:t>
      </w:r>
      <w:r>
        <w:t>s</w:t>
      </w:r>
      <w:r w:rsidRPr="00375CB0">
        <w:t xml:space="preserve"> (Table 1).</w:t>
      </w:r>
    </w:p>
    <w:p w:rsidR="005D747F" w:rsidRDefault="005D747F" w:rsidP="005D747F">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w:t>
      </w:r>
      <w:r w:rsidR="000B7F28">
        <w:t xml:space="preserve">the MDPH guideline of </w:t>
      </w:r>
      <w:r w:rsidRPr="006E7E2C">
        <w:t xml:space="preserve">800 parts per million (ppm) in </w:t>
      </w:r>
      <w:r>
        <w:t xml:space="preserve">all </w:t>
      </w:r>
      <w:r w:rsidR="00B367DF">
        <w:t>area</w:t>
      </w:r>
      <w:r w:rsidR="00A86BF8">
        <w:t>s</w:t>
      </w:r>
      <w:r>
        <w:t xml:space="preserve"> surveyed, indicating adequate air exchange.</w:t>
      </w:r>
    </w:p>
    <w:p w:rsidR="005D747F" w:rsidRDefault="005D747F" w:rsidP="005D747F">
      <w:pPr>
        <w:pStyle w:val="BodyText"/>
        <w:numPr>
          <w:ilvl w:val="0"/>
          <w:numId w:val="26"/>
        </w:numPr>
      </w:pPr>
      <w:r w:rsidRPr="005857CF">
        <w:rPr>
          <w:b/>
          <w:i/>
        </w:rPr>
        <w:t>Temperature</w:t>
      </w:r>
      <w:r>
        <w:t xml:space="preserve"> was within the recommended </w:t>
      </w:r>
      <w:r w:rsidRPr="009F6242">
        <w:t>range of 70°F to 78°F</w:t>
      </w:r>
      <w:r>
        <w:t xml:space="preserve"> in </w:t>
      </w:r>
      <w:r w:rsidR="001F2DA1">
        <w:t>the</w:t>
      </w:r>
      <w:r>
        <w:t xml:space="preserve"> area</w:t>
      </w:r>
      <w:r w:rsidR="00393AD1">
        <w:t>s</w:t>
      </w:r>
      <w:r>
        <w:t xml:space="preserve"> tested.</w:t>
      </w:r>
    </w:p>
    <w:p w:rsidR="005D747F" w:rsidRDefault="005D747F" w:rsidP="005D747F">
      <w:pPr>
        <w:pStyle w:val="BodyText"/>
        <w:numPr>
          <w:ilvl w:val="0"/>
          <w:numId w:val="26"/>
        </w:numPr>
      </w:pPr>
      <w:r w:rsidRPr="003D7583">
        <w:rPr>
          <w:b/>
          <w:i/>
        </w:rPr>
        <w:t>Relative humidity</w:t>
      </w:r>
      <w:r>
        <w:t xml:space="preserve"> was </w:t>
      </w:r>
      <w:r w:rsidR="0068253F">
        <w:t>within</w:t>
      </w:r>
      <w:r w:rsidR="00D16D30">
        <w:t xml:space="preserve"> </w:t>
      </w:r>
      <w:r>
        <w:t xml:space="preserve">the recommended range of 40 to 60% in </w:t>
      </w:r>
      <w:r w:rsidR="00393AD1">
        <w:t>the</w:t>
      </w:r>
      <w:r w:rsidR="00A86BF8">
        <w:t xml:space="preserve"> areas tested.</w:t>
      </w:r>
    </w:p>
    <w:p w:rsidR="005D747F" w:rsidRDefault="005D747F" w:rsidP="005D747F">
      <w:pPr>
        <w:pStyle w:val="BodyText"/>
        <w:numPr>
          <w:ilvl w:val="0"/>
          <w:numId w:val="26"/>
        </w:numPr>
      </w:pPr>
      <w:r w:rsidRPr="003D7583">
        <w:rPr>
          <w:b/>
          <w:i/>
        </w:rPr>
        <w:t>Carbon monoxide</w:t>
      </w:r>
      <w:r>
        <w:t xml:space="preserve"> levels were non-detectable (ND) in </w:t>
      </w:r>
      <w:r w:rsidR="001F2DA1">
        <w:t>the</w:t>
      </w:r>
      <w:r>
        <w:t xml:space="preserve"> areas tested.</w:t>
      </w:r>
    </w:p>
    <w:p w:rsidR="005D747F" w:rsidRDefault="005D747F" w:rsidP="005D747F">
      <w:pPr>
        <w:pStyle w:val="BodyText"/>
        <w:numPr>
          <w:ilvl w:val="0"/>
          <w:numId w:val="26"/>
        </w:numPr>
      </w:pPr>
      <w:r w:rsidRPr="00401927">
        <w:rPr>
          <w:b/>
          <w:i/>
        </w:rPr>
        <w:lastRenderedPageBreak/>
        <w:t xml:space="preserve">Fine particulate matter (PM2.5) </w:t>
      </w:r>
      <w:r w:rsidRPr="00991847">
        <w:t>concentration</w:t>
      </w:r>
      <w:r>
        <w:t xml:space="preserve">s </w:t>
      </w:r>
      <w:r w:rsidRPr="00991847">
        <w:t xml:space="preserve">measured </w:t>
      </w:r>
      <w:r>
        <w:t xml:space="preserve">were </w:t>
      </w:r>
      <w:r w:rsidRPr="00991847">
        <w:t xml:space="preserve">below the </w:t>
      </w:r>
      <w:r w:rsidR="005F27B3" w:rsidRPr="00986263">
        <w:t xml:space="preserve">National Ambient Air Quality (NAAQS) </w:t>
      </w:r>
      <w:r w:rsidRPr="00991847">
        <w:t xml:space="preserve">limit </w:t>
      </w:r>
      <w:proofErr w:type="gramStart"/>
      <w:r w:rsidRPr="00991847">
        <w:t xml:space="preserve">of 35 </w:t>
      </w:r>
      <w:proofErr w:type="spellStart"/>
      <w:r w:rsidRPr="00991847">
        <w:t>μg</w:t>
      </w:r>
      <w:proofErr w:type="spellEnd"/>
      <w:r w:rsidRPr="00991847">
        <w:t>/m</w:t>
      </w:r>
      <w:r w:rsidRPr="00D67CCA">
        <w:rPr>
          <w:vertAlign w:val="superscript"/>
        </w:rPr>
        <w:t>3</w:t>
      </w:r>
      <w:r>
        <w:t xml:space="preserve"> in </w:t>
      </w:r>
      <w:r w:rsidR="001F2DA1">
        <w:t>the</w:t>
      </w:r>
      <w:r>
        <w:t xml:space="preserve"> areas</w:t>
      </w:r>
      <w:proofErr w:type="gramEnd"/>
      <w:r>
        <w:t xml:space="preserve"> tested.</w:t>
      </w:r>
    </w:p>
    <w:p w:rsidR="005D747F" w:rsidRPr="00676A91" w:rsidRDefault="005D747F" w:rsidP="005D747F">
      <w:pPr>
        <w:pStyle w:val="Heading2"/>
      </w:pPr>
      <w:r w:rsidRPr="00484695">
        <w:t>Ventilation</w:t>
      </w:r>
    </w:p>
    <w:p w:rsidR="005D747F" w:rsidRDefault="005D747F" w:rsidP="005D747F">
      <w:pPr>
        <w:pStyle w:val="BodyText1"/>
      </w:pPr>
      <w:r w:rsidRPr="00764549">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82003" w:rsidRDefault="005D747F" w:rsidP="005D747F">
      <w:pPr>
        <w:pStyle w:val="BodyText"/>
      </w:pPr>
      <w:r w:rsidRPr="00764549">
        <w:t xml:space="preserve">Fresh air is supplied by </w:t>
      </w:r>
      <w:r w:rsidR="00D919CD" w:rsidRPr="00764549">
        <w:t xml:space="preserve">air handling units </w:t>
      </w:r>
      <w:r w:rsidR="007F7D8F">
        <w:t xml:space="preserve">(AHU) </w:t>
      </w:r>
      <w:r w:rsidR="00D919CD" w:rsidRPr="00764549">
        <w:t xml:space="preserve">and delivered to </w:t>
      </w:r>
      <w:r w:rsidR="004C4738">
        <w:t xml:space="preserve">ceiling-mounted </w:t>
      </w:r>
      <w:r w:rsidR="00D919CD" w:rsidRPr="00764549">
        <w:t>supply vents</w:t>
      </w:r>
      <w:r w:rsidRPr="00764549">
        <w:t xml:space="preserve">. </w:t>
      </w:r>
      <w:r w:rsidR="00B21F66" w:rsidRPr="00764549">
        <w:t xml:space="preserve">The building uses 100% fresh air so </w:t>
      </w:r>
      <w:r w:rsidR="00A825E8" w:rsidRPr="00764549">
        <w:t xml:space="preserve">that </w:t>
      </w:r>
      <w:r w:rsidR="00B21F66" w:rsidRPr="00764549">
        <w:t>no air is returned to the AHUs. Stale</w:t>
      </w:r>
      <w:r w:rsidRPr="00764549">
        <w:t xml:space="preserve"> air is drawn through grates </w:t>
      </w:r>
      <w:r w:rsidR="00B21F66" w:rsidRPr="00764549">
        <w:t>and ejected out of the building through roof-mounted exhaust units.</w:t>
      </w:r>
    </w:p>
    <w:p w:rsidR="00C570E5" w:rsidRDefault="00A82003" w:rsidP="005D747F">
      <w:pPr>
        <w:pStyle w:val="BodyText"/>
      </w:pPr>
      <w:r>
        <w:t xml:space="preserve">It is important to note that this complex of </w:t>
      </w:r>
      <w:r w:rsidR="00C570E5">
        <w:t xml:space="preserve">interconnected </w:t>
      </w:r>
      <w:r>
        <w:t>offices were originally one room.</w:t>
      </w:r>
      <w:r w:rsidR="00C570E5">
        <w:t xml:space="preserve"> All </w:t>
      </w:r>
      <w:r w:rsidR="001F2DA1">
        <w:t xml:space="preserve">but one </w:t>
      </w:r>
      <w:r w:rsidR="00C570E5">
        <w:t xml:space="preserve">ceiling-mounted vent </w:t>
      </w:r>
      <w:r w:rsidR="001F2DA1">
        <w:t>is a</w:t>
      </w:r>
      <w:r w:rsidR="00C570E5">
        <w:t xml:space="preserve"> supply vent. The area originally had</w:t>
      </w:r>
      <w:r w:rsidR="001F2DA1">
        <w:t xml:space="preserve"> a single exhaust vent which is</w:t>
      </w:r>
      <w:r w:rsidR="00C570E5">
        <w:t xml:space="preserve"> now located in </w:t>
      </w:r>
      <w:r w:rsidR="004B1829">
        <w:t>room C151G</w:t>
      </w:r>
      <w:r w:rsidR="0065610F" w:rsidRPr="00764549">
        <w:t>.</w:t>
      </w:r>
      <w:r w:rsidR="00C570E5">
        <w:t xml:space="preserve"> All air from the other offices </w:t>
      </w:r>
      <w:r w:rsidR="00494FAC">
        <w:t xml:space="preserve">is drawn to </w:t>
      </w:r>
      <w:r w:rsidR="001F2DA1">
        <w:t>that room, and, with it, all normally-</w:t>
      </w:r>
      <w:r w:rsidR="00494FAC">
        <w:t>occurring environmental pollutants. In addition, some areas (C152A</w:t>
      </w:r>
      <w:r w:rsidR="00D33367">
        <w:t>)</w:t>
      </w:r>
      <w:r w:rsidR="00494FAC">
        <w:t xml:space="preserve"> have personnel who report being in </w:t>
      </w:r>
      <w:r w:rsidR="004C4738">
        <w:t xml:space="preserve">direct </w:t>
      </w:r>
      <w:r w:rsidR="00494FAC">
        <w:t xml:space="preserve">airflow </w:t>
      </w:r>
      <w:r w:rsidR="004C4738">
        <w:t>of</w:t>
      </w:r>
      <w:r w:rsidR="00494FAC">
        <w:t xml:space="preserve"> vents, which is causing eye irritation.</w:t>
      </w:r>
    </w:p>
    <w:p w:rsidR="0065610F" w:rsidRPr="00764549" w:rsidRDefault="00D32799" w:rsidP="0065610F">
      <w:pPr>
        <w:pStyle w:val="BodyText"/>
      </w:pPr>
      <w:r w:rsidRPr="00764549">
        <w:t>The MDPH typically recommends</w:t>
      </w:r>
      <w:r w:rsidR="0065610F" w:rsidRPr="00764549">
        <w:t xml:space="preserve"> that HVAC systems be re-balanced every five years to ensure adequate air systems function (SMACNA, 1994). It is not known when the last time these systems were balanced.</w:t>
      </w:r>
      <w:r w:rsidR="007F33FC" w:rsidRPr="00764549">
        <w:t xml:space="preserve"> Balancing should also occur when the space is significantly rearranged.</w:t>
      </w:r>
    </w:p>
    <w:p w:rsidR="005D747F" w:rsidRPr="00764549" w:rsidRDefault="005D747F" w:rsidP="005D747F">
      <w:pPr>
        <w:pStyle w:val="Heading2"/>
      </w:pPr>
      <w:r w:rsidRPr="00764549">
        <w:t>Microbial/Moisture Concerns</w:t>
      </w:r>
    </w:p>
    <w:p w:rsidR="00494FAC" w:rsidRDefault="00494FAC" w:rsidP="007F4E40">
      <w:pPr>
        <w:pStyle w:val="BodyText"/>
      </w:pPr>
      <w:r>
        <w:t xml:space="preserve">Concerns related to water damage from a drain prompted this request. No visible mold growth </w:t>
      </w:r>
      <w:r w:rsidR="008406A1">
        <w:t>was</w:t>
      </w:r>
      <w:r>
        <w:t xml:space="preserve"> found. The wall </w:t>
      </w:r>
      <w:r w:rsidR="008406A1">
        <w:t xml:space="preserve">that was </w:t>
      </w:r>
      <w:r>
        <w:t xml:space="preserve">wet from the leak is plaster, which is resistant to mold growth due to </w:t>
      </w:r>
      <w:r w:rsidR="008406A1">
        <w:t>its</w:t>
      </w:r>
      <w:r>
        <w:t xml:space="preserve"> pH and lack of carbon-containing materials. Moisture sampl</w:t>
      </w:r>
      <w:r w:rsidR="008406A1">
        <w:t>ing</w:t>
      </w:r>
      <w:r>
        <w:t xml:space="preserve"> through</w:t>
      </w:r>
      <w:r w:rsidR="008406A1">
        <w:t>out</w:t>
      </w:r>
      <w:r>
        <w:t xml:space="preserve"> the office suite found moisture levels </w:t>
      </w:r>
      <w:r w:rsidR="008406A1">
        <w:t>were normal (i.e., dry)</w:t>
      </w:r>
      <w:r>
        <w:t>.</w:t>
      </w:r>
      <w:r w:rsidR="00BC07E3">
        <w:t xml:space="preserve"> One water</w:t>
      </w:r>
      <w:r w:rsidR="005104FB">
        <w:t>-</w:t>
      </w:r>
      <w:r w:rsidR="00BC07E3">
        <w:t>damaged ceiling tile was found in the office suite unrelated to the reported water leak.</w:t>
      </w:r>
    </w:p>
    <w:p w:rsidR="004B1829" w:rsidRPr="001F2DA1" w:rsidRDefault="004B1829" w:rsidP="001F2DA1">
      <w:pPr>
        <w:pStyle w:val="Heading2"/>
      </w:pPr>
      <w:r w:rsidRPr="001F2DA1">
        <w:lastRenderedPageBreak/>
        <w:t>Lighting</w:t>
      </w:r>
    </w:p>
    <w:p w:rsidR="004B1829" w:rsidRDefault="004B1829" w:rsidP="004B1829">
      <w:pPr>
        <w:pStyle w:val="BodyText"/>
      </w:pPr>
      <w:r>
        <w:t xml:space="preserve">IAQ staff noted that some work </w:t>
      </w:r>
      <w:r w:rsidR="001F2DA1">
        <w:t>areas</w:t>
      </w:r>
      <w:r>
        <w:t xml:space="preserve"> appeared to be significantly darker than other</w:t>
      </w:r>
      <w:r w:rsidR="001F2DA1">
        <w:t>s</w:t>
      </w:r>
      <w:r>
        <w:t>. The office suite is entirely artificial</w:t>
      </w:r>
      <w:r w:rsidR="00BC07E3">
        <w:t>ly</w:t>
      </w:r>
      <w:r>
        <w:t xml:space="preserve"> lit</w:t>
      </w:r>
      <w:r w:rsidR="00BC07E3">
        <w:t xml:space="preserve"> with </w:t>
      </w:r>
      <w:r>
        <w:t>no</w:t>
      </w:r>
      <w:r w:rsidR="001F2DA1">
        <w:t xml:space="preserve"> exterior windows</w:t>
      </w:r>
      <w:r>
        <w:t>. To assess this, IAQ staff conducted light measuremen</w:t>
      </w:r>
      <w:r w:rsidR="001F2DA1">
        <w:t xml:space="preserve">ts in areas </w:t>
      </w:r>
      <w:r>
        <w:t>within th</w:t>
      </w:r>
      <w:r w:rsidR="007148F7">
        <w:t>e</w:t>
      </w:r>
      <w:r>
        <w:t xml:space="preserve"> office suite and the main hallway outside at</w:t>
      </w:r>
      <w:r w:rsidR="001F2DA1">
        <w:t xml:space="preserve"> tabletop level (approximately three </w:t>
      </w:r>
      <w:r>
        <w:t>feet above the floor). Work</w:t>
      </w:r>
      <w:r w:rsidR="007148F7">
        <w:t>/</w:t>
      </w:r>
      <w:r>
        <w:t>interior areas with no windows had light measurements ranging from 18 to 6</w:t>
      </w:r>
      <w:r w:rsidR="00460F31">
        <w:t>0</w:t>
      </w:r>
      <w:r>
        <w:t xml:space="preserve"> foot-candles (</w:t>
      </w:r>
      <w:r w:rsidR="001F2DA1">
        <w:t>190 to 650 lux</w:t>
      </w:r>
      <w:proofErr w:type="gramStart"/>
      <w:r w:rsidR="001F2DA1">
        <w:t>)(</w:t>
      </w:r>
      <w:proofErr w:type="gramEnd"/>
      <w:r>
        <w:t>Table 1).</w:t>
      </w:r>
    </w:p>
    <w:p w:rsidR="004B1829" w:rsidRDefault="004B1829" w:rsidP="004B1829">
      <w:pPr>
        <w:pStyle w:val="BodyText"/>
      </w:pPr>
      <w:r>
        <w:t xml:space="preserve">The American National Standard Institute (ANSI) recommends </w:t>
      </w:r>
      <w:r w:rsidR="001F2DA1">
        <w:t xml:space="preserve">approximately </w:t>
      </w:r>
      <w:r>
        <w:t xml:space="preserve">30–100 foot-candles (300-1,000 lux). Increasing lighting would likely serve to reduce the reported symptoms in these work areas. Low light conditions are associated with headaches, tired eyes, and/or irritation (NIOSH, </w:t>
      </w:r>
      <w:r w:rsidR="00460F31">
        <w:t>2013</w:t>
      </w:r>
      <w:r>
        <w:t xml:space="preserve">). Lack of light has also been associated with seasonal affective disorder, which </w:t>
      </w:r>
      <w:r w:rsidR="001F2DA1">
        <w:t xml:space="preserve">has </w:t>
      </w:r>
      <w:r>
        <w:t>among its symptoms excessive tiredness (NMHA, 2006).</w:t>
      </w:r>
    </w:p>
    <w:p w:rsidR="004D05AC" w:rsidRPr="00764549" w:rsidRDefault="00DF2A15" w:rsidP="007F7D8F">
      <w:pPr>
        <w:pStyle w:val="Heading1"/>
      </w:pPr>
      <w:r w:rsidRPr="00764549">
        <w:t>C</w:t>
      </w:r>
      <w:r w:rsidR="004D05AC" w:rsidRPr="00764549">
        <w:t>onclusions/Recommendations</w:t>
      </w:r>
    </w:p>
    <w:p w:rsidR="007B5977" w:rsidRPr="00764549" w:rsidRDefault="00F87A1A" w:rsidP="00E102B0">
      <w:pPr>
        <w:pStyle w:val="BodyText"/>
      </w:pPr>
      <w:r w:rsidRPr="00764549">
        <w:t xml:space="preserve">Based on observations at the time of assessment, </w:t>
      </w:r>
      <w:r w:rsidR="00590617" w:rsidRPr="00764549">
        <w:t>the following is recommended:</w:t>
      </w:r>
    </w:p>
    <w:p w:rsidR="004B1829" w:rsidRDefault="004B1829" w:rsidP="007A2045">
      <w:pPr>
        <w:pStyle w:val="BodyText"/>
        <w:numPr>
          <w:ilvl w:val="0"/>
          <w:numId w:val="23"/>
        </w:numPr>
        <w:ind w:left="1440" w:hanging="720"/>
      </w:pPr>
      <w:r>
        <w:t>Examine the feasibility of providing an exhaust vent for room C152A.</w:t>
      </w:r>
    </w:p>
    <w:p w:rsidR="004B1829" w:rsidRDefault="004B1829" w:rsidP="007A2045">
      <w:pPr>
        <w:pStyle w:val="BodyText"/>
        <w:numPr>
          <w:ilvl w:val="0"/>
          <w:numId w:val="23"/>
        </w:numPr>
        <w:ind w:left="1440" w:hanging="720"/>
      </w:pPr>
      <w:r>
        <w:t xml:space="preserve">Consider removing a fresh air supply from room </w:t>
      </w:r>
      <w:r w:rsidR="00D33367">
        <w:t>C</w:t>
      </w:r>
      <w:r>
        <w:t>152A.</w:t>
      </w:r>
    </w:p>
    <w:p w:rsidR="004B1829" w:rsidRDefault="004B1829" w:rsidP="007A2045">
      <w:pPr>
        <w:pStyle w:val="BodyText"/>
        <w:numPr>
          <w:ilvl w:val="0"/>
          <w:numId w:val="23"/>
        </w:numPr>
        <w:ind w:left="1440" w:hanging="720"/>
      </w:pPr>
      <w:r>
        <w:t>Examine the feasibility of improving lighting in the office suite.</w:t>
      </w:r>
    </w:p>
    <w:p w:rsidR="00BC07E3" w:rsidRDefault="00BC07E3" w:rsidP="007A2045">
      <w:pPr>
        <w:pStyle w:val="BodyText"/>
        <w:numPr>
          <w:ilvl w:val="0"/>
          <w:numId w:val="23"/>
        </w:numPr>
        <w:ind w:left="1440" w:hanging="720"/>
      </w:pPr>
      <w:r>
        <w:t>Replace the water-damaged ceiling tile.</w:t>
      </w:r>
    </w:p>
    <w:p w:rsidR="007A2045" w:rsidRPr="00A009E4" w:rsidRDefault="007A2045" w:rsidP="007A2045">
      <w:pPr>
        <w:pStyle w:val="BodyText"/>
        <w:numPr>
          <w:ilvl w:val="0"/>
          <w:numId w:val="23"/>
        </w:numPr>
        <w:ind w:left="1440" w:hanging="720"/>
      </w:pPr>
      <w:r w:rsidRPr="00764549">
        <w:t>Refer to resource manual and other related IAQ documents located on the MDPH’s website for f</w:t>
      </w:r>
      <w:r>
        <w:t xml:space="preserve">urther building-wide evaluations and advice on maintaining public buildings. These documents are available at: </w:t>
      </w:r>
      <w:hyperlink r:id="rId10" w:history="1">
        <w:r w:rsidRPr="00D0484B">
          <w:t>http:</w:t>
        </w:r>
        <w:r w:rsidRPr="00D0484B">
          <w:t>/</w:t>
        </w:r>
        <w:r w:rsidRPr="00D0484B">
          <w:t>/</w:t>
        </w:r>
        <w:r w:rsidRPr="00D0484B">
          <w:t>m</w:t>
        </w:r>
        <w:r w:rsidRPr="00D0484B">
          <w:t>ass.</w:t>
        </w:r>
        <w:r w:rsidRPr="00D0484B">
          <w:t>g</w:t>
        </w:r>
        <w:r w:rsidRPr="00D0484B">
          <w:t>o</w:t>
        </w:r>
        <w:r w:rsidRPr="00D0484B">
          <w:t>v</w:t>
        </w:r>
        <w:r w:rsidRPr="00D0484B">
          <w:t>/dph/iaq</w:t>
        </w:r>
      </w:hyperlink>
      <w:r>
        <w:t>.</w:t>
      </w:r>
    </w:p>
    <w:p w:rsidR="004D05AC" w:rsidRPr="00A009E4" w:rsidRDefault="005942C5" w:rsidP="002849F3">
      <w:pPr>
        <w:pStyle w:val="Heading1"/>
      </w:pPr>
      <w:r w:rsidRPr="00A009E4">
        <w:br w:type="page"/>
      </w:r>
      <w:r w:rsidR="004A28CB" w:rsidRPr="001625C8">
        <w:lastRenderedPageBreak/>
        <w:t>R</w:t>
      </w:r>
      <w:r w:rsidR="004D05AC" w:rsidRPr="001625C8">
        <w:t>eferences</w:t>
      </w:r>
    </w:p>
    <w:p w:rsidR="00FB2D24" w:rsidRDefault="00FB2D24" w:rsidP="00FB2D24">
      <w:pPr>
        <w:pStyle w:val="References"/>
      </w:pPr>
      <w:proofErr w:type="gramStart"/>
      <w:r w:rsidRPr="007F7D8F">
        <w:t>MDPH.</w:t>
      </w:r>
      <w:proofErr w:type="gramEnd"/>
      <w:r w:rsidRPr="007F7D8F">
        <w:t xml:space="preserve"> </w:t>
      </w:r>
      <w:proofErr w:type="gramStart"/>
      <w:r w:rsidRPr="007F7D8F">
        <w:t>2015. Massachusetts Department of Public Health.</w:t>
      </w:r>
      <w:proofErr w:type="gramEnd"/>
      <w:r w:rsidRPr="007F7D8F">
        <w:t xml:space="preserve"> Indoor Air Quality Manual: Chapters I-III. Available at: </w:t>
      </w:r>
      <w:hyperlink r:id="rId11" w:history="1">
        <w:r w:rsidRPr="007F7D8F">
          <w:rPr>
            <w:rStyle w:val="Hyperlink"/>
          </w:rPr>
          <w:t>http://www.mass.gov/eo</w:t>
        </w:r>
        <w:r w:rsidRPr="007F7D8F">
          <w:rPr>
            <w:rStyle w:val="Hyperlink"/>
          </w:rPr>
          <w:t>h</w:t>
        </w:r>
        <w:r w:rsidRPr="007F7D8F">
          <w:rPr>
            <w:rStyle w:val="Hyperlink"/>
          </w:rPr>
          <w:t>h</w:t>
        </w:r>
        <w:r w:rsidRPr="007F7D8F">
          <w:rPr>
            <w:rStyle w:val="Hyperlink"/>
          </w:rPr>
          <w:t>s/gov/departments/dp</w:t>
        </w:r>
        <w:r w:rsidRPr="007F7D8F">
          <w:rPr>
            <w:rStyle w:val="Hyperlink"/>
          </w:rPr>
          <w:t>h</w:t>
        </w:r>
        <w:r w:rsidRPr="007F7D8F">
          <w:rPr>
            <w:rStyle w:val="Hyperlink"/>
          </w:rPr>
          <w:t>/programs/environmental-health/exposure-topics/iaq/ia</w:t>
        </w:r>
        <w:r w:rsidRPr="007F7D8F">
          <w:rPr>
            <w:rStyle w:val="Hyperlink"/>
          </w:rPr>
          <w:t>q</w:t>
        </w:r>
        <w:r w:rsidRPr="007F7D8F">
          <w:rPr>
            <w:rStyle w:val="Hyperlink"/>
          </w:rPr>
          <w:t>-man</w:t>
        </w:r>
        <w:r w:rsidRPr="007F7D8F">
          <w:rPr>
            <w:rStyle w:val="Hyperlink"/>
          </w:rPr>
          <w:t>u</w:t>
        </w:r>
        <w:r w:rsidRPr="007F7D8F">
          <w:rPr>
            <w:rStyle w:val="Hyperlink"/>
          </w:rPr>
          <w:t>al/</w:t>
        </w:r>
      </w:hyperlink>
      <w:r w:rsidRPr="007F7D8F">
        <w:t>.</w:t>
      </w:r>
    </w:p>
    <w:p w:rsidR="004B1829" w:rsidRDefault="004B1829" w:rsidP="00FB2D24">
      <w:pPr>
        <w:pStyle w:val="References"/>
      </w:pPr>
      <w:proofErr w:type="gramStart"/>
      <w:r w:rsidRPr="004B1829">
        <w:t>NIOSH.</w:t>
      </w:r>
      <w:proofErr w:type="gramEnd"/>
      <w:r w:rsidRPr="004B1829">
        <w:t xml:space="preserve"> 2013. Health hazard evaluation report: </w:t>
      </w:r>
      <w:proofErr w:type="gramStart"/>
      <w:r w:rsidRPr="004B1829">
        <w:t>lighting, indoor environmental quality concerns,</w:t>
      </w:r>
      <w:proofErr w:type="gramEnd"/>
      <w:r w:rsidRPr="004B1829">
        <w:t xml:space="preserve"> and job stress at a call center – California. By Wiegand D, Ramsey J, Burr G, Choi J. Cincinnati, OH: U.S. Department of Health and Human Services, Centers for Disease Control and Prevention, National Institute for Occupational Safety and Health, NIOSH HETA No. 2012-0081-3169.</w:t>
      </w:r>
    </w:p>
    <w:p w:rsidR="004B1829" w:rsidRDefault="004B1829" w:rsidP="00FB2D24">
      <w:pPr>
        <w:pStyle w:val="References"/>
      </w:pPr>
      <w:proofErr w:type="gramStart"/>
      <w:r w:rsidRPr="004B1829">
        <w:t>NMHA.</w:t>
      </w:r>
      <w:proofErr w:type="gramEnd"/>
      <w:r w:rsidRPr="004B1829">
        <w:t xml:space="preserve"> 2006. Seasonal Affective Disorder Fact Sheet. </w:t>
      </w:r>
      <w:proofErr w:type="gramStart"/>
      <w:r w:rsidRPr="004B1829">
        <w:t>National Mental Health Association.</w:t>
      </w:r>
      <w:proofErr w:type="gramEnd"/>
      <w:r w:rsidR="000B7F28" w:rsidRPr="000B7F28">
        <w:t xml:space="preserve"> </w:t>
      </w:r>
      <w:hyperlink r:id="rId12" w:history="1">
        <w:r w:rsidR="000B7F28" w:rsidRPr="00C27DA1">
          <w:rPr>
            <w:rStyle w:val="Hyperlink"/>
          </w:rPr>
          <w:t>http://www.namihelps.org/assets/PDFs/fact-s</w:t>
        </w:r>
        <w:r w:rsidR="000B7F28" w:rsidRPr="00C27DA1">
          <w:rPr>
            <w:rStyle w:val="Hyperlink"/>
          </w:rPr>
          <w:t>h</w:t>
        </w:r>
        <w:r w:rsidR="000B7F28" w:rsidRPr="00C27DA1">
          <w:rPr>
            <w:rStyle w:val="Hyperlink"/>
          </w:rPr>
          <w:t>eets/Illnesses/Seasonal-Affective-Disorder.pdf</w:t>
        </w:r>
      </w:hyperlink>
    </w:p>
    <w:p w:rsidR="00435FFA" w:rsidRDefault="002849F3" w:rsidP="00937285">
      <w:pPr>
        <w:pStyle w:val="BodyText2"/>
        <w:rPr>
          <w:szCs w:val="24"/>
        </w:rPr>
        <w:sectPr w:rsidR="00435FFA" w:rsidSect="00B044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proofErr w:type="gramStart"/>
      <w:r w:rsidRPr="007F7D8F">
        <w:rPr>
          <w:szCs w:val="24"/>
        </w:rPr>
        <w:t>SMACNA.</w:t>
      </w:r>
      <w:proofErr w:type="gramEnd"/>
      <w:r w:rsidRPr="007F7D8F">
        <w:rPr>
          <w:szCs w:val="24"/>
        </w:rPr>
        <w:t xml:space="preserve"> 1994. HVAC Systems Commissioning Manual. </w:t>
      </w:r>
      <w:proofErr w:type="gramStart"/>
      <w:r w:rsidRPr="007F7D8F">
        <w:rPr>
          <w:szCs w:val="24"/>
        </w:rPr>
        <w:t>1</w:t>
      </w:r>
      <w:r w:rsidRPr="007F7D8F">
        <w:rPr>
          <w:szCs w:val="24"/>
          <w:vertAlign w:val="superscript"/>
        </w:rPr>
        <w:t>st</w:t>
      </w:r>
      <w:r w:rsidRPr="007F7D8F">
        <w:rPr>
          <w:szCs w:val="24"/>
        </w:rPr>
        <w:t xml:space="preserve"> ed. Sheet Metal and Air Conditioning Contractors’ National Association, Inc., Chantilly, VA.</w:t>
      </w:r>
      <w:proofErr w:type="gramEnd"/>
    </w:p>
    <w:tbl>
      <w:tblPr>
        <w:tblW w:w="145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00"/>
        <w:gridCol w:w="954"/>
        <w:gridCol w:w="1260"/>
        <w:gridCol w:w="1260"/>
        <w:gridCol w:w="891"/>
        <w:gridCol w:w="9"/>
        <w:gridCol w:w="990"/>
        <w:gridCol w:w="2471"/>
      </w:tblGrid>
      <w:tr w:rsidR="00435FFA" w:rsidRPr="00435FFA" w:rsidTr="002911DD">
        <w:tblPrEx>
          <w:tblCellMar>
            <w:top w:w="0" w:type="dxa"/>
            <w:bottom w:w="0" w:type="dxa"/>
          </w:tblCellMar>
        </w:tblPrEx>
        <w:trPr>
          <w:cantSplit/>
          <w:trHeight w:val="350"/>
          <w:tblHeader/>
          <w:jc w:val="center"/>
        </w:trPr>
        <w:tc>
          <w:tcPr>
            <w:tcW w:w="1909" w:type="dxa"/>
            <w:vMerge w:val="restart"/>
            <w:vAlign w:val="bottom"/>
          </w:tcPr>
          <w:p w:rsidR="00435FFA" w:rsidRPr="00435FFA" w:rsidRDefault="00435FFA" w:rsidP="00435FFA">
            <w:pPr>
              <w:keepNext/>
              <w:jc w:val="center"/>
              <w:outlineLvl w:val="0"/>
              <w:rPr>
                <w:b/>
                <w:sz w:val="20"/>
              </w:rPr>
            </w:pPr>
            <w:r w:rsidRPr="00435FFA">
              <w:rPr>
                <w:b/>
                <w:sz w:val="20"/>
              </w:rPr>
              <w:lastRenderedPageBreak/>
              <w:t>Location</w:t>
            </w:r>
          </w:p>
        </w:tc>
        <w:tc>
          <w:tcPr>
            <w:tcW w:w="920" w:type="dxa"/>
            <w:vMerge w:val="restart"/>
            <w:vAlign w:val="bottom"/>
          </w:tcPr>
          <w:p w:rsidR="00435FFA" w:rsidRPr="00435FFA" w:rsidRDefault="00435FFA" w:rsidP="00435FFA">
            <w:pPr>
              <w:jc w:val="center"/>
              <w:rPr>
                <w:b/>
                <w:sz w:val="20"/>
              </w:rPr>
            </w:pPr>
            <w:r w:rsidRPr="00435FFA">
              <w:rPr>
                <w:b/>
                <w:sz w:val="20"/>
              </w:rPr>
              <w:t>Carbon</w:t>
            </w:r>
          </w:p>
          <w:p w:rsidR="00435FFA" w:rsidRPr="00435FFA" w:rsidRDefault="00435FFA" w:rsidP="00435FFA">
            <w:pPr>
              <w:jc w:val="center"/>
              <w:rPr>
                <w:b/>
                <w:sz w:val="20"/>
              </w:rPr>
            </w:pPr>
            <w:r w:rsidRPr="00435FFA">
              <w:rPr>
                <w:b/>
                <w:sz w:val="20"/>
              </w:rPr>
              <w:t>Dioxide</w:t>
            </w:r>
          </w:p>
          <w:p w:rsidR="00435FFA" w:rsidRPr="00435FFA" w:rsidRDefault="00435FFA" w:rsidP="00435FFA">
            <w:pPr>
              <w:jc w:val="center"/>
              <w:rPr>
                <w:b/>
                <w:sz w:val="20"/>
              </w:rPr>
            </w:pPr>
            <w:r w:rsidRPr="00435FFA">
              <w:rPr>
                <w:b/>
                <w:sz w:val="20"/>
              </w:rPr>
              <w:t>(ppm)</w:t>
            </w:r>
          </w:p>
        </w:tc>
        <w:tc>
          <w:tcPr>
            <w:tcW w:w="1136" w:type="dxa"/>
            <w:vMerge w:val="restart"/>
          </w:tcPr>
          <w:p w:rsidR="00435FFA" w:rsidRPr="00435FFA" w:rsidRDefault="00435FFA" w:rsidP="00435FFA">
            <w:pPr>
              <w:jc w:val="center"/>
              <w:rPr>
                <w:b/>
                <w:sz w:val="20"/>
              </w:rPr>
            </w:pPr>
            <w:r w:rsidRPr="00435FFA">
              <w:rPr>
                <w:b/>
                <w:sz w:val="20"/>
              </w:rPr>
              <w:t>Carbon Monoxide</w:t>
            </w:r>
          </w:p>
          <w:p w:rsidR="00435FFA" w:rsidRPr="00435FFA" w:rsidRDefault="00435FFA" w:rsidP="00435FFA">
            <w:pPr>
              <w:jc w:val="center"/>
              <w:rPr>
                <w:b/>
                <w:sz w:val="20"/>
              </w:rPr>
            </w:pPr>
            <w:r w:rsidRPr="00435FFA">
              <w:rPr>
                <w:b/>
                <w:sz w:val="20"/>
              </w:rPr>
              <w:t>(ppm)</w:t>
            </w:r>
          </w:p>
        </w:tc>
        <w:tc>
          <w:tcPr>
            <w:tcW w:w="810" w:type="dxa"/>
            <w:vMerge w:val="restart"/>
            <w:vAlign w:val="bottom"/>
          </w:tcPr>
          <w:p w:rsidR="00435FFA" w:rsidRPr="00435FFA" w:rsidRDefault="00435FFA" w:rsidP="00435FFA">
            <w:pPr>
              <w:jc w:val="center"/>
              <w:rPr>
                <w:b/>
                <w:sz w:val="20"/>
              </w:rPr>
            </w:pPr>
            <w:r w:rsidRPr="00435FFA">
              <w:rPr>
                <w:b/>
                <w:sz w:val="20"/>
              </w:rPr>
              <w:t>Temp</w:t>
            </w:r>
          </w:p>
          <w:p w:rsidR="00435FFA" w:rsidRPr="00435FFA" w:rsidRDefault="00435FFA" w:rsidP="00435FFA">
            <w:pPr>
              <w:jc w:val="center"/>
              <w:rPr>
                <w:b/>
                <w:sz w:val="20"/>
              </w:rPr>
            </w:pPr>
            <w:r w:rsidRPr="00435FFA">
              <w:rPr>
                <w:b/>
                <w:sz w:val="20"/>
              </w:rPr>
              <w:t>(°F)</w:t>
            </w:r>
          </w:p>
        </w:tc>
        <w:tc>
          <w:tcPr>
            <w:tcW w:w="1080" w:type="dxa"/>
            <w:vMerge w:val="restart"/>
            <w:vAlign w:val="bottom"/>
          </w:tcPr>
          <w:p w:rsidR="00435FFA" w:rsidRPr="00435FFA" w:rsidRDefault="00435FFA" w:rsidP="00435FFA">
            <w:pPr>
              <w:jc w:val="center"/>
              <w:rPr>
                <w:b/>
                <w:sz w:val="20"/>
              </w:rPr>
            </w:pPr>
            <w:r w:rsidRPr="00435FFA">
              <w:rPr>
                <w:b/>
                <w:sz w:val="20"/>
              </w:rPr>
              <w:t>Relative</w:t>
            </w:r>
          </w:p>
          <w:p w:rsidR="00435FFA" w:rsidRPr="00435FFA" w:rsidRDefault="00435FFA" w:rsidP="00435FFA">
            <w:pPr>
              <w:jc w:val="center"/>
              <w:rPr>
                <w:b/>
                <w:sz w:val="20"/>
              </w:rPr>
            </w:pPr>
            <w:r w:rsidRPr="00435FFA">
              <w:rPr>
                <w:b/>
                <w:sz w:val="20"/>
              </w:rPr>
              <w:t>Humidity</w:t>
            </w:r>
          </w:p>
          <w:p w:rsidR="00435FFA" w:rsidRPr="00435FFA" w:rsidRDefault="00435FFA" w:rsidP="00435FFA">
            <w:pPr>
              <w:jc w:val="center"/>
              <w:rPr>
                <w:b/>
                <w:sz w:val="20"/>
              </w:rPr>
            </w:pPr>
            <w:r w:rsidRPr="00435FFA">
              <w:rPr>
                <w:b/>
                <w:sz w:val="20"/>
              </w:rPr>
              <w:t>(%)</w:t>
            </w:r>
          </w:p>
        </w:tc>
        <w:tc>
          <w:tcPr>
            <w:tcW w:w="900" w:type="dxa"/>
            <w:vMerge w:val="restart"/>
            <w:vAlign w:val="bottom"/>
          </w:tcPr>
          <w:p w:rsidR="00435FFA" w:rsidRPr="00435FFA" w:rsidRDefault="00435FFA" w:rsidP="00435FFA">
            <w:pPr>
              <w:jc w:val="center"/>
              <w:rPr>
                <w:b/>
                <w:sz w:val="20"/>
              </w:rPr>
            </w:pPr>
            <w:r w:rsidRPr="00435FFA">
              <w:rPr>
                <w:b/>
                <w:sz w:val="20"/>
              </w:rPr>
              <w:t>PM2.5</w:t>
            </w:r>
          </w:p>
          <w:p w:rsidR="00435FFA" w:rsidRPr="00435FFA" w:rsidRDefault="00435FFA" w:rsidP="00435FFA">
            <w:pPr>
              <w:jc w:val="center"/>
              <w:rPr>
                <w:b/>
                <w:sz w:val="20"/>
              </w:rPr>
            </w:pPr>
            <w:r w:rsidRPr="00435FFA">
              <w:rPr>
                <w:b/>
                <w:sz w:val="20"/>
              </w:rPr>
              <w:t>(µg/m</w:t>
            </w:r>
            <w:r w:rsidRPr="00435FFA">
              <w:rPr>
                <w:b/>
                <w:sz w:val="20"/>
                <w:vertAlign w:val="superscript"/>
              </w:rPr>
              <w:t>3</w:t>
            </w:r>
            <w:r w:rsidRPr="00435FFA">
              <w:rPr>
                <w:b/>
                <w:sz w:val="20"/>
              </w:rPr>
              <w:t>)</w:t>
            </w:r>
          </w:p>
        </w:tc>
        <w:tc>
          <w:tcPr>
            <w:tcW w:w="954" w:type="dxa"/>
            <w:vMerge w:val="restart"/>
            <w:vAlign w:val="bottom"/>
          </w:tcPr>
          <w:p w:rsidR="00435FFA" w:rsidRPr="00435FFA" w:rsidRDefault="00435FFA" w:rsidP="00435FFA">
            <w:pPr>
              <w:jc w:val="center"/>
              <w:rPr>
                <w:b/>
                <w:sz w:val="20"/>
              </w:rPr>
            </w:pPr>
            <w:r w:rsidRPr="00435FFA">
              <w:rPr>
                <w:b/>
                <w:sz w:val="20"/>
              </w:rPr>
              <w:t>Light</w:t>
            </w:r>
          </w:p>
          <w:p w:rsidR="00435FFA" w:rsidRPr="00435FFA" w:rsidRDefault="00435FFA" w:rsidP="00435FFA">
            <w:pPr>
              <w:jc w:val="center"/>
              <w:rPr>
                <w:b/>
                <w:sz w:val="20"/>
              </w:rPr>
            </w:pPr>
            <w:r w:rsidRPr="00435FFA">
              <w:rPr>
                <w:b/>
                <w:sz w:val="20"/>
              </w:rPr>
              <w:t>(foot/</w:t>
            </w:r>
          </w:p>
          <w:p w:rsidR="00435FFA" w:rsidRPr="00435FFA" w:rsidRDefault="00435FFA" w:rsidP="00435FFA">
            <w:pPr>
              <w:jc w:val="center"/>
              <w:rPr>
                <w:b/>
                <w:sz w:val="20"/>
              </w:rPr>
            </w:pPr>
            <w:r w:rsidRPr="00435FFA">
              <w:rPr>
                <w:b/>
                <w:sz w:val="20"/>
              </w:rPr>
              <w:t>candles)</w:t>
            </w:r>
          </w:p>
        </w:tc>
        <w:tc>
          <w:tcPr>
            <w:tcW w:w="1260" w:type="dxa"/>
            <w:vMerge w:val="restart"/>
            <w:vAlign w:val="bottom"/>
          </w:tcPr>
          <w:p w:rsidR="00435FFA" w:rsidRPr="00435FFA" w:rsidRDefault="00435FFA" w:rsidP="00435FFA">
            <w:pPr>
              <w:jc w:val="center"/>
              <w:rPr>
                <w:b/>
                <w:sz w:val="20"/>
              </w:rPr>
            </w:pPr>
            <w:r w:rsidRPr="00435FFA">
              <w:rPr>
                <w:b/>
                <w:sz w:val="20"/>
              </w:rPr>
              <w:t>Occupants</w:t>
            </w:r>
          </w:p>
          <w:p w:rsidR="00435FFA" w:rsidRPr="00435FFA" w:rsidRDefault="00435FFA" w:rsidP="00435FFA">
            <w:pPr>
              <w:jc w:val="center"/>
              <w:rPr>
                <w:b/>
                <w:sz w:val="20"/>
              </w:rPr>
            </w:pPr>
            <w:r w:rsidRPr="00435FFA">
              <w:rPr>
                <w:b/>
                <w:sz w:val="20"/>
              </w:rPr>
              <w:t>in Room</w:t>
            </w:r>
          </w:p>
        </w:tc>
        <w:tc>
          <w:tcPr>
            <w:tcW w:w="1260" w:type="dxa"/>
            <w:vMerge w:val="restart"/>
            <w:vAlign w:val="bottom"/>
          </w:tcPr>
          <w:p w:rsidR="00435FFA" w:rsidRPr="00435FFA" w:rsidRDefault="00435FFA" w:rsidP="00435FFA">
            <w:pPr>
              <w:jc w:val="center"/>
              <w:rPr>
                <w:b/>
                <w:sz w:val="20"/>
              </w:rPr>
            </w:pPr>
            <w:r w:rsidRPr="00435FFA">
              <w:rPr>
                <w:b/>
                <w:sz w:val="20"/>
              </w:rPr>
              <w:t>Windows</w:t>
            </w:r>
          </w:p>
          <w:p w:rsidR="00435FFA" w:rsidRPr="00435FFA" w:rsidRDefault="00435FFA" w:rsidP="00435FFA">
            <w:pPr>
              <w:jc w:val="center"/>
              <w:rPr>
                <w:b/>
                <w:sz w:val="20"/>
              </w:rPr>
            </w:pPr>
            <w:r w:rsidRPr="00435FFA">
              <w:rPr>
                <w:b/>
                <w:sz w:val="20"/>
              </w:rPr>
              <w:t>Openable</w:t>
            </w:r>
          </w:p>
        </w:tc>
        <w:tc>
          <w:tcPr>
            <w:tcW w:w="1890" w:type="dxa"/>
            <w:gridSpan w:val="3"/>
            <w:tcBorders>
              <w:left w:val="nil"/>
              <w:bottom w:val="nil"/>
            </w:tcBorders>
            <w:vAlign w:val="bottom"/>
          </w:tcPr>
          <w:p w:rsidR="00435FFA" w:rsidRPr="00435FFA" w:rsidRDefault="00435FFA" w:rsidP="00435FFA">
            <w:pPr>
              <w:ind w:left="-105"/>
              <w:jc w:val="center"/>
              <w:rPr>
                <w:b/>
                <w:sz w:val="20"/>
              </w:rPr>
            </w:pPr>
            <w:r w:rsidRPr="00435FFA">
              <w:rPr>
                <w:b/>
                <w:sz w:val="20"/>
              </w:rPr>
              <w:t>Ventilation</w:t>
            </w:r>
          </w:p>
        </w:tc>
        <w:tc>
          <w:tcPr>
            <w:tcW w:w="2471" w:type="dxa"/>
            <w:vMerge w:val="restart"/>
            <w:vAlign w:val="bottom"/>
          </w:tcPr>
          <w:p w:rsidR="00435FFA" w:rsidRPr="00435FFA" w:rsidRDefault="00435FFA" w:rsidP="00435FFA">
            <w:pPr>
              <w:jc w:val="center"/>
              <w:rPr>
                <w:b/>
                <w:sz w:val="20"/>
              </w:rPr>
            </w:pPr>
            <w:r w:rsidRPr="00435FFA">
              <w:rPr>
                <w:b/>
                <w:sz w:val="20"/>
              </w:rPr>
              <w:t>Remarks</w:t>
            </w:r>
          </w:p>
        </w:tc>
      </w:tr>
      <w:tr w:rsidR="00435FFA" w:rsidRPr="00435FFA" w:rsidTr="002911DD">
        <w:tblPrEx>
          <w:tblCellMar>
            <w:top w:w="0" w:type="dxa"/>
            <w:bottom w:w="0" w:type="dxa"/>
          </w:tblCellMar>
        </w:tblPrEx>
        <w:trPr>
          <w:cantSplit/>
          <w:trHeight w:val="350"/>
          <w:tblHeader/>
          <w:jc w:val="center"/>
        </w:trPr>
        <w:tc>
          <w:tcPr>
            <w:tcW w:w="1909" w:type="dxa"/>
            <w:vMerge/>
            <w:vAlign w:val="bottom"/>
          </w:tcPr>
          <w:p w:rsidR="00435FFA" w:rsidRPr="00435FFA" w:rsidRDefault="00435FFA" w:rsidP="00435FFA">
            <w:pPr>
              <w:keepNext/>
              <w:jc w:val="center"/>
              <w:outlineLvl w:val="0"/>
              <w:rPr>
                <w:b/>
                <w:sz w:val="20"/>
              </w:rPr>
            </w:pPr>
          </w:p>
        </w:tc>
        <w:tc>
          <w:tcPr>
            <w:tcW w:w="920" w:type="dxa"/>
            <w:vMerge/>
            <w:vAlign w:val="bottom"/>
          </w:tcPr>
          <w:p w:rsidR="00435FFA" w:rsidRPr="00435FFA" w:rsidRDefault="00435FFA" w:rsidP="00435FFA">
            <w:pPr>
              <w:jc w:val="center"/>
              <w:rPr>
                <w:b/>
                <w:sz w:val="20"/>
              </w:rPr>
            </w:pPr>
          </w:p>
        </w:tc>
        <w:tc>
          <w:tcPr>
            <w:tcW w:w="1136" w:type="dxa"/>
            <w:vMerge/>
          </w:tcPr>
          <w:p w:rsidR="00435FFA" w:rsidRPr="00435FFA" w:rsidRDefault="00435FFA" w:rsidP="00435FFA">
            <w:pPr>
              <w:jc w:val="center"/>
              <w:rPr>
                <w:b/>
                <w:sz w:val="20"/>
              </w:rPr>
            </w:pPr>
          </w:p>
        </w:tc>
        <w:tc>
          <w:tcPr>
            <w:tcW w:w="810" w:type="dxa"/>
            <w:vMerge/>
            <w:vAlign w:val="bottom"/>
          </w:tcPr>
          <w:p w:rsidR="00435FFA" w:rsidRPr="00435FFA" w:rsidRDefault="00435FFA" w:rsidP="00435FFA">
            <w:pPr>
              <w:jc w:val="center"/>
              <w:rPr>
                <w:b/>
                <w:sz w:val="20"/>
              </w:rPr>
            </w:pPr>
          </w:p>
        </w:tc>
        <w:tc>
          <w:tcPr>
            <w:tcW w:w="1080" w:type="dxa"/>
            <w:vMerge/>
            <w:vAlign w:val="bottom"/>
          </w:tcPr>
          <w:p w:rsidR="00435FFA" w:rsidRPr="00435FFA" w:rsidRDefault="00435FFA" w:rsidP="00435FFA">
            <w:pPr>
              <w:jc w:val="center"/>
              <w:rPr>
                <w:b/>
                <w:sz w:val="20"/>
              </w:rPr>
            </w:pPr>
          </w:p>
        </w:tc>
        <w:tc>
          <w:tcPr>
            <w:tcW w:w="900" w:type="dxa"/>
            <w:vMerge/>
            <w:vAlign w:val="bottom"/>
          </w:tcPr>
          <w:p w:rsidR="00435FFA" w:rsidRPr="00435FFA" w:rsidRDefault="00435FFA" w:rsidP="00435FFA">
            <w:pPr>
              <w:jc w:val="center"/>
              <w:rPr>
                <w:b/>
                <w:sz w:val="20"/>
              </w:rPr>
            </w:pPr>
          </w:p>
        </w:tc>
        <w:tc>
          <w:tcPr>
            <w:tcW w:w="954" w:type="dxa"/>
            <w:vMerge/>
          </w:tcPr>
          <w:p w:rsidR="00435FFA" w:rsidRPr="00435FFA" w:rsidRDefault="00435FFA" w:rsidP="00435FFA">
            <w:pPr>
              <w:jc w:val="center"/>
              <w:rPr>
                <w:b/>
                <w:sz w:val="20"/>
              </w:rPr>
            </w:pPr>
          </w:p>
        </w:tc>
        <w:tc>
          <w:tcPr>
            <w:tcW w:w="1260" w:type="dxa"/>
            <w:vMerge/>
            <w:vAlign w:val="bottom"/>
          </w:tcPr>
          <w:p w:rsidR="00435FFA" w:rsidRPr="00435FFA" w:rsidRDefault="00435FFA" w:rsidP="00435FFA">
            <w:pPr>
              <w:jc w:val="center"/>
              <w:rPr>
                <w:b/>
                <w:sz w:val="20"/>
              </w:rPr>
            </w:pPr>
          </w:p>
        </w:tc>
        <w:tc>
          <w:tcPr>
            <w:tcW w:w="1260" w:type="dxa"/>
            <w:vMerge/>
            <w:vAlign w:val="bottom"/>
          </w:tcPr>
          <w:p w:rsidR="00435FFA" w:rsidRPr="00435FFA" w:rsidRDefault="00435FFA" w:rsidP="00435FFA">
            <w:pPr>
              <w:jc w:val="center"/>
              <w:rPr>
                <w:b/>
                <w:sz w:val="20"/>
              </w:rPr>
            </w:pPr>
          </w:p>
        </w:tc>
        <w:tc>
          <w:tcPr>
            <w:tcW w:w="891" w:type="dxa"/>
            <w:tcBorders>
              <w:left w:val="nil"/>
              <w:bottom w:val="nil"/>
            </w:tcBorders>
            <w:vAlign w:val="bottom"/>
          </w:tcPr>
          <w:p w:rsidR="00435FFA" w:rsidRPr="00435FFA" w:rsidRDefault="00435FFA" w:rsidP="00435FFA">
            <w:pPr>
              <w:ind w:left="-105"/>
              <w:jc w:val="center"/>
              <w:rPr>
                <w:b/>
                <w:sz w:val="20"/>
              </w:rPr>
            </w:pPr>
            <w:r w:rsidRPr="00435FFA">
              <w:rPr>
                <w:b/>
                <w:sz w:val="20"/>
              </w:rPr>
              <w:t>Intake</w:t>
            </w:r>
          </w:p>
        </w:tc>
        <w:tc>
          <w:tcPr>
            <w:tcW w:w="999" w:type="dxa"/>
            <w:gridSpan w:val="2"/>
            <w:tcBorders>
              <w:left w:val="nil"/>
              <w:bottom w:val="nil"/>
            </w:tcBorders>
            <w:vAlign w:val="bottom"/>
          </w:tcPr>
          <w:p w:rsidR="00435FFA" w:rsidRPr="00435FFA" w:rsidRDefault="00435FFA" w:rsidP="00435FFA">
            <w:pPr>
              <w:ind w:left="-105"/>
              <w:jc w:val="center"/>
              <w:rPr>
                <w:b/>
                <w:sz w:val="20"/>
              </w:rPr>
            </w:pPr>
            <w:r w:rsidRPr="00435FFA">
              <w:rPr>
                <w:b/>
                <w:sz w:val="20"/>
              </w:rPr>
              <w:t>Exhaust</w:t>
            </w:r>
          </w:p>
        </w:tc>
        <w:tc>
          <w:tcPr>
            <w:tcW w:w="2471" w:type="dxa"/>
            <w:vMerge/>
            <w:vAlign w:val="bottom"/>
          </w:tcPr>
          <w:p w:rsidR="00435FFA" w:rsidRPr="00435FFA" w:rsidRDefault="00435FFA" w:rsidP="00435FFA">
            <w:pPr>
              <w:jc w:val="center"/>
              <w:rPr>
                <w:b/>
                <w:sz w:val="20"/>
              </w:rPr>
            </w:pP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Background (outdoors)</w:t>
            </w:r>
          </w:p>
        </w:tc>
        <w:tc>
          <w:tcPr>
            <w:tcW w:w="920" w:type="dxa"/>
            <w:vAlign w:val="center"/>
          </w:tcPr>
          <w:p w:rsidR="00435FFA" w:rsidRPr="00435FFA" w:rsidRDefault="00435FFA" w:rsidP="00435FFA">
            <w:pPr>
              <w:spacing w:before="60" w:after="60"/>
              <w:jc w:val="center"/>
              <w:rPr>
                <w:sz w:val="20"/>
              </w:rPr>
            </w:pPr>
            <w:r w:rsidRPr="00435FFA">
              <w:rPr>
                <w:sz w:val="20"/>
              </w:rPr>
              <w:t>385</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p>
        </w:tc>
        <w:tc>
          <w:tcPr>
            <w:tcW w:w="1080" w:type="dxa"/>
            <w:vAlign w:val="center"/>
          </w:tcPr>
          <w:p w:rsidR="00435FFA" w:rsidRPr="00435FFA" w:rsidRDefault="00435FFA" w:rsidP="00435FFA">
            <w:pPr>
              <w:spacing w:before="60" w:after="60"/>
              <w:jc w:val="center"/>
              <w:rPr>
                <w:sz w:val="20"/>
              </w:rPr>
            </w:pPr>
          </w:p>
        </w:tc>
        <w:tc>
          <w:tcPr>
            <w:tcW w:w="900" w:type="dxa"/>
            <w:vAlign w:val="center"/>
          </w:tcPr>
          <w:p w:rsidR="00435FFA" w:rsidRPr="00435FFA" w:rsidRDefault="00435FFA" w:rsidP="00435FFA">
            <w:pPr>
              <w:spacing w:before="60" w:after="60"/>
              <w:jc w:val="center"/>
              <w:rPr>
                <w:sz w:val="20"/>
              </w:rPr>
            </w:pPr>
            <w:r w:rsidRPr="00435FFA">
              <w:rPr>
                <w:sz w:val="20"/>
              </w:rPr>
              <w:t>24</w:t>
            </w:r>
          </w:p>
        </w:tc>
        <w:tc>
          <w:tcPr>
            <w:tcW w:w="954" w:type="dxa"/>
            <w:vAlign w:val="center"/>
          </w:tcPr>
          <w:p w:rsidR="00435FFA" w:rsidRPr="00435FFA" w:rsidRDefault="00435FFA" w:rsidP="00435FFA">
            <w:pPr>
              <w:spacing w:before="60" w:after="60"/>
              <w:jc w:val="center"/>
              <w:rPr>
                <w:sz w:val="20"/>
              </w:rPr>
            </w:pPr>
          </w:p>
        </w:tc>
        <w:tc>
          <w:tcPr>
            <w:tcW w:w="1260" w:type="dxa"/>
            <w:vAlign w:val="center"/>
          </w:tcPr>
          <w:p w:rsidR="00435FFA" w:rsidRPr="00435FFA" w:rsidRDefault="00435FFA" w:rsidP="00435FFA">
            <w:pPr>
              <w:spacing w:before="60" w:after="60"/>
              <w:jc w:val="center"/>
              <w:rPr>
                <w:sz w:val="20"/>
              </w:rPr>
            </w:pPr>
          </w:p>
        </w:tc>
        <w:tc>
          <w:tcPr>
            <w:tcW w:w="1260" w:type="dxa"/>
            <w:vAlign w:val="center"/>
          </w:tcPr>
          <w:p w:rsidR="00435FFA" w:rsidRPr="00435FFA" w:rsidRDefault="00435FFA" w:rsidP="00435FFA">
            <w:pPr>
              <w:spacing w:before="60" w:after="60"/>
              <w:jc w:val="center"/>
              <w:rPr>
                <w:sz w:val="20"/>
              </w:rPr>
            </w:pPr>
          </w:p>
        </w:tc>
        <w:tc>
          <w:tcPr>
            <w:tcW w:w="900" w:type="dxa"/>
            <w:gridSpan w:val="2"/>
            <w:vAlign w:val="center"/>
          </w:tcPr>
          <w:p w:rsidR="00435FFA" w:rsidRPr="00435FFA" w:rsidRDefault="00435FFA" w:rsidP="00435FFA">
            <w:pPr>
              <w:spacing w:before="60" w:after="60"/>
              <w:jc w:val="center"/>
              <w:rPr>
                <w:sz w:val="20"/>
              </w:rPr>
            </w:pPr>
          </w:p>
        </w:tc>
        <w:tc>
          <w:tcPr>
            <w:tcW w:w="990" w:type="dxa"/>
            <w:vAlign w:val="center"/>
          </w:tcPr>
          <w:p w:rsidR="00435FFA" w:rsidRPr="00435FFA" w:rsidRDefault="00435FFA" w:rsidP="00435FFA">
            <w:pPr>
              <w:spacing w:before="60" w:after="60"/>
              <w:jc w:val="center"/>
              <w:rPr>
                <w:sz w:val="20"/>
              </w:rPr>
            </w:pPr>
          </w:p>
        </w:tc>
        <w:tc>
          <w:tcPr>
            <w:tcW w:w="2471" w:type="dxa"/>
            <w:tcBorders>
              <w:left w:val="nil"/>
            </w:tcBorders>
            <w:vAlign w:val="center"/>
          </w:tcPr>
          <w:p w:rsidR="00435FFA" w:rsidRPr="00435FFA" w:rsidRDefault="00435FFA" w:rsidP="00435FFA">
            <w:pPr>
              <w:spacing w:before="60" w:after="60"/>
              <w:rPr>
                <w:sz w:val="20"/>
              </w:rPr>
            </w:pP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C 142</w:t>
            </w:r>
          </w:p>
        </w:tc>
        <w:tc>
          <w:tcPr>
            <w:tcW w:w="920" w:type="dxa"/>
            <w:vAlign w:val="center"/>
          </w:tcPr>
          <w:p w:rsidR="00435FFA" w:rsidRPr="00435FFA" w:rsidRDefault="00435FFA" w:rsidP="00435FFA">
            <w:pPr>
              <w:spacing w:before="60" w:after="60"/>
              <w:jc w:val="center"/>
              <w:rPr>
                <w:sz w:val="20"/>
              </w:rPr>
            </w:pPr>
            <w:r w:rsidRPr="00435FFA">
              <w:rPr>
                <w:sz w:val="20"/>
              </w:rPr>
              <w:t>578</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r w:rsidRPr="00435FFA">
              <w:rPr>
                <w:sz w:val="20"/>
              </w:rPr>
              <w:t>74</w:t>
            </w:r>
          </w:p>
        </w:tc>
        <w:tc>
          <w:tcPr>
            <w:tcW w:w="1080" w:type="dxa"/>
            <w:vAlign w:val="center"/>
          </w:tcPr>
          <w:p w:rsidR="00435FFA" w:rsidRPr="00435FFA" w:rsidRDefault="00435FFA" w:rsidP="00435FFA">
            <w:pPr>
              <w:spacing w:before="60" w:after="60"/>
              <w:jc w:val="center"/>
              <w:rPr>
                <w:sz w:val="20"/>
              </w:rPr>
            </w:pPr>
            <w:r w:rsidRPr="00435FFA">
              <w:rPr>
                <w:sz w:val="20"/>
              </w:rPr>
              <w:t>44</w:t>
            </w:r>
          </w:p>
        </w:tc>
        <w:tc>
          <w:tcPr>
            <w:tcW w:w="900" w:type="dxa"/>
            <w:vAlign w:val="center"/>
          </w:tcPr>
          <w:p w:rsidR="00435FFA" w:rsidRPr="00435FFA" w:rsidRDefault="00435FFA" w:rsidP="00435FFA">
            <w:pPr>
              <w:spacing w:before="60" w:after="60"/>
              <w:jc w:val="center"/>
              <w:rPr>
                <w:sz w:val="20"/>
              </w:rPr>
            </w:pPr>
            <w:r w:rsidRPr="00435FFA">
              <w:rPr>
                <w:sz w:val="20"/>
              </w:rPr>
              <w:t>15</w:t>
            </w:r>
          </w:p>
        </w:tc>
        <w:tc>
          <w:tcPr>
            <w:tcW w:w="954" w:type="dxa"/>
            <w:vAlign w:val="center"/>
          </w:tcPr>
          <w:p w:rsidR="00435FFA" w:rsidRPr="00435FFA" w:rsidRDefault="00435FFA" w:rsidP="00435FFA">
            <w:pPr>
              <w:spacing w:before="60" w:after="60"/>
              <w:jc w:val="center"/>
              <w:rPr>
                <w:sz w:val="20"/>
              </w:rPr>
            </w:pPr>
            <w:r w:rsidRPr="00435FFA">
              <w:rPr>
                <w:sz w:val="20"/>
              </w:rPr>
              <w:t>18</w:t>
            </w:r>
          </w:p>
        </w:tc>
        <w:tc>
          <w:tcPr>
            <w:tcW w:w="1260" w:type="dxa"/>
            <w:vAlign w:val="center"/>
          </w:tcPr>
          <w:p w:rsidR="00435FFA" w:rsidRPr="00435FFA" w:rsidRDefault="00435FFA" w:rsidP="00435FFA">
            <w:pPr>
              <w:spacing w:before="60" w:after="60"/>
              <w:jc w:val="center"/>
              <w:rPr>
                <w:sz w:val="20"/>
              </w:rPr>
            </w:pPr>
            <w:r w:rsidRPr="00435FFA">
              <w:rPr>
                <w:sz w:val="20"/>
              </w:rPr>
              <w:t>1</w:t>
            </w:r>
          </w:p>
        </w:tc>
        <w:tc>
          <w:tcPr>
            <w:tcW w:w="1260" w:type="dxa"/>
            <w:vAlign w:val="center"/>
          </w:tcPr>
          <w:p w:rsidR="00435FFA" w:rsidRPr="00435FFA" w:rsidRDefault="00435FFA" w:rsidP="00435FFA">
            <w:pPr>
              <w:spacing w:before="60" w:after="60"/>
              <w:jc w:val="center"/>
              <w:rPr>
                <w:sz w:val="20"/>
              </w:rPr>
            </w:pPr>
            <w:r w:rsidRPr="00435FFA">
              <w:rPr>
                <w:sz w:val="20"/>
              </w:rPr>
              <w:t>N</w:t>
            </w:r>
          </w:p>
        </w:tc>
        <w:tc>
          <w:tcPr>
            <w:tcW w:w="900" w:type="dxa"/>
            <w:gridSpan w:val="2"/>
            <w:vAlign w:val="center"/>
          </w:tcPr>
          <w:p w:rsidR="00435FFA" w:rsidRPr="00435FFA" w:rsidRDefault="00435FFA" w:rsidP="00435FFA">
            <w:pPr>
              <w:spacing w:before="60" w:after="60"/>
              <w:jc w:val="center"/>
              <w:rPr>
                <w:sz w:val="20"/>
              </w:rPr>
            </w:pPr>
            <w:r w:rsidRPr="00435FFA">
              <w:rPr>
                <w:sz w:val="20"/>
              </w:rPr>
              <w:t>Y</w:t>
            </w:r>
          </w:p>
        </w:tc>
        <w:tc>
          <w:tcPr>
            <w:tcW w:w="990" w:type="dxa"/>
            <w:vAlign w:val="center"/>
          </w:tcPr>
          <w:p w:rsidR="00435FFA" w:rsidRPr="00435FFA" w:rsidRDefault="00435FFA" w:rsidP="00435FFA">
            <w:pPr>
              <w:spacing w:before="60" w:after="60"/>
              <w:jc w:val="center"/>
              <w:rPr>
                <w:sz w:val="20"/>
              </w:rPr>
            </w:pPr>
            <w:r w:rsidRPr="00435FFA">
              <w:rPr>
                <w:sz w:val="20"/>
              </w:rPr>
              <w:t>N</w:t>
            </w:r>
          </w:p>
        </w:tc>
        <w:tc>
          <w:tcPr>
            <w:tcW w:w="2471" w:type="dxa"/>
            <w:tcBorders>
              <w:left w:val="nil"/>
            </w:tcBorders>
            <w:vAlign w:val="center"/>
          </w:tcPr>
          <w:p w:rsidR="00435FFA" w:rsidRPr="00435FFA" w:rsidRDefault="00435FFA" w:rsidP="00435FFA">
            <w:pPr>
              <w:spacing w:before="60" w:after="60"/>
              <w:rPr>
                <w:sz w:val="20"/>
              </w:rPr>
            </w:pP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C 152 A</w:t>
            </w:r>
          </w:p>
        </w:tc>
        <w:tc>
          <w:tcPr>
            <w:tcW w:w="920" w:type="dxa"/>
            <w:vAlign w:val="center"/>
          </w:tcPr>
          <w:p w:rsidR="00435FFA" w:rsidRPr="00435FFA" w:rsidRDefault="00435FFA" w:rsidP="00435FFA">
            <w:pPr>
              <w:spacing w:before="60" w:after="60"/>
              <w:jc w:val="center"/>
              <w:rPr>
                <w:sz w:val="20"/>
              </w:rPr>
            </w:pPr>
            <w:r w:rsidRPr="00435FFA">
              <w:rPr>
                <w:sz w:val="20"/>
              </w:rPr>
              <w:t>615</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r w:rsidRPr="00435FFA">
              <w:rPr>
                <w:sz w:val="20"/>
              </w:rPr>
              <w:t>74</w:t>
            </w:r>
          </w:p>
        </w:tc>
        <w:tc>
          <w:tcPr>
            <w:tcW w:w="1080" w:type="dxa"/>
            <w:vAlign w:val="center"/>
          </w:tcPr>
          <w:p w:rsidR="00435FFA" w:rsidRPr="00435FFA" w:rsidRDefault="00435FFA" w:rsidP="00435FFA">
            <w:pPr>
              <w:spacing w:before="60" w:after="60"/>
              <w:jc w:val="center"/>
              <w:rPr>
                <w:sz w:val="20"/>
              </w:rPr>
            </w:pPr>
            <w:r w:rsidRPr="00435FFA">
              <w:rPr>
                <w:sz w:val="20"/>
              </w:rPr>
              <w:t>43</w:t>
            </w:r>
          </w:p>
        </w:tc>
        <w:tc>
          <w:tcPr>
            <w:tcW w:w="900" w:type="dxa"/>
            <w:vAlign w:val="center"/>
          </w:tcPr>
          <w:p w:rsidR="00435FFA" w:rsidRPr="00435FFA" w:rsidRDefault="00435FFA" w:rsidP="00435FFA">
            <w:pPr>
              <w:spacing w:before="60" w:after="60"/>
              <w:jc w:val="center"/>
              <w:rPr>
                <w:sz w:val="20"/>
              </w:rPr>
            </w:pPr>
            <w:r w:rsidRPr="00435FFA">
              <w:rPr>
                <w:sz w:val="20"/>
              </w:rPr>
              <w:t>14</w:t>
            </w:r>
          </w:p>
        </w:tc>
        <w:tc>
          <w:tcPr>
            <w:tcW w:w="954" w:type="dxa"/>
            <w:vAlign w:val="center"/>
          </w:tcPr>
          <w:p w:rsidR="00435FFA" w:rsidRPr="00435FFA" w:rsidRDefault="00435FFA" w:rsidP="00435FFA">
            <w:pPr>
              <w:spacing w:before="60" w:after="60"/>
              <w:jc w:val="center"/>
              <w:rPr>
                <w:sz w:val="20"/>
              </w:rPr>
            </w:pPr>
            <w:r w:rsidRPr="00435FFA">
              <w:rPr>
                <w:sz w:val="20"/>
              </w:rPr>
              <w:t>28</w:t>
            </w:r>
          </w:p>
        </w:tc>
        <w:tc>
          <w:tcPr>
            <w:tcW w:w="1260" w:type="dxa"/>
            <w:vAlign w:val="center"/>
          </w:tcPr>
          <w:p w:rsidR="00435FFA" w:rsidRPr="00435FFA" w:rsidRDefault="00435FFA" w:rsidP="00435FFA">
            <w:pPr>
              <w:spacing w:before="60" w:after="60"/>
              <w:jc w:val="center"/>
              <w:rPr>
                <w:sz w:val="20"/>
              </w:rPr>
            </w:pPr>
            <w:r w:rsidRPr="00435FFA">
              <w:rPr>
                <w:sz w:val="20"/>
              </w:rPr>
              <w:t>1</w:t>
            </w:r>
          </w:p>
        </w:tc>
        <w:tc>
          <w:tcPr>
            <w:tcW w:w="1260" w:type="dxa"/>
            <w:vAlign w:val="center"/>
          </w:tcPr>
          <w:p w:rsidR="00435FFA" w:rsidRPr="00435FFA" w:rsidRDefault="00435FFA" w:rsidP="00435FFA">
            <w:pPr>
              <w:spacing w:before="60" w:after="60"/>
              <w:jc w:val="center"/>
              <w:rPr>
                <w:sz w:val="20"/>
              </w:rPr>
            </w:pPr>
            <w:r w:rsidRPr="00435FFA">
              <w:rPr>
                <w:sz w:val="20"/>
              </w:rPr>
              <w:t>N</w:t>
            </w:r>
          </w:p>
        </w:tc>
        <w:tc>
          <w:tcPr>
            <w:tcW w:w="900" w:type="dxa"/>
            <w:gridSpan w:val="2"/>
            <w:vAlign w:val="center"/>
          </w:tcPr>
          <w:p w:rsidR="00435FFA" w:rsidRPr="00435FFA" w:rsidRDefault="00435FFA" w:rsidP="00435FFA">
            <w:pPr>
              <w:spacing w:before="60" w:after="60"/>
              <w:jc w:val="center"/>
              <w:rPr>
                <w:sz w:val="20"/>
              </w:rPr>
            </w:pPr>
            <w:r w:rsidRPr="00435FFA">
              <w:rPr>
                <w:sz w:val="20"/>
              </w:rPr>
              <w:t>Y</w:t>
            </w:r>
          </w:p>
        </w:tc>
        <w:tc>
          <w:tcPr>
            <w:tcW w:w="990" w:type="dxa"/>
            <w:vAlign w:val="center"/>
          </w:tcPr>
          <w:p w:rsidR="00435FFA" w:rsidRPr="00435FFA" w:rsidRDefault="00435FFA" w:rsidP="00435FFA">
            <w:pPr>
              <w:spacing w:before="60" w:after="60"/>
              <w:jc w:val="center"/>
              <w:rPr>
                <w:sz w:val="20"/>
              </w:rPr>
            </w:pPr>
            <w:r w:rsidRPr="00435FFA">
              <w:rPr>
                <w:sz w:val="20"/>
              </w:rPr>
              <w:t>N</w:t>
            </w:r>
          </w:p>
        </w:tc>
        <w:tc>
          <w:tcPr>
            <w:tcW w:w="2471" w:type="dxa"/>
            <w:tcBorders>
              <w:left w:val="nil"/>
            </w:tcBorders>
            <w:vAlign w:val="center"/>
          </w:tcPr>
          <w:p w:rsidR="00435FFA" w:rsidRPr="00435FFA" w:rsidRDefault="00435FFA" w:rsidP="00435FFA">
            <w:pPr>
              <w:spacing w:before="60" w:after="60"/>
              <w:rPr>
                <w:sz w:val="20"/>
              </w:rPr>
            </w:pP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C 151 E</w:t>
            </w:r>
          </w:p>
        </w:tc>
        <w:tc>
          <w:tcPr>
            <w:tcW w:w="920" w:type="dxa"/>
            <w:vAlign w:val="center"/>
          </w:tcPr>
          <w:p w:rsidR="00435FFA" w:rsidRPr="00435FFA" w:rsidRDefault="00435FFA" w:rsidP="00435FFA">
            <w:pPr>
              <w:spacing w:before="60" w:after="60"/>
              <w:jc w:val="center"/>
              <w:rPr>
                <w:sz w:val="20"/>
              </w:rPr>
            </w:pPr>
            <w:r w:rsidRPr="00435FFA">
              <w:rPr>
                <w:sz w:val="20"/>
              </w:rPr>
              <w:t>470</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r w:rsidRPr="00435FFA">
              <w:rPr>
                <w:sz w:val="20"/>
              </w:rPr>
              <w:t>75</w:t>
            </w:r>
          </w:p>
        </w:tc>
        <w:tc>
          <w:tcPr>
            <w:tcW w:w="1080" w:type="dxa"/>
            <w:vAlign w:val="center"/>
          </w:tcPr>
          <w:p w:rsidR="00435FFA" w:rsidRPr="00435FFA" w:rsidRDefault="00435FFA" w:rsidP="00435FFA">
            <w:pPr>
              <w:spacing w:before="60" w:after="60"/>
              <w:jc w:val="center"/>
              <w:rPr>
                <w:sz w:val="20"/>
              </w:rPr>
            </w:pPr>
            <w:r w:rsidRPr="00435FFA">
              <w:rPr>
                <w:sz w:val="20"/>
              </w:rPr>
              <w:t>41</w:t>
            </w:r>
          </w:p>
        </w:tc>
        <w:tc>
          <w:tcPr>
            <w:tcW w:w="900" w:type="dxa"/>
            <w:vAlign w:val="center"/>
          </w:tcPr>
          <w:p w:rsidR="00435FFA" w:rsidRPr="00435FFA" w:rsidRDefault="00435FFA" w:rsidP="00435FFA">
            <w:pPr>
              <w:spacing w:before="60" w:after="60"/>
              <w:jc w:val="center"/>
              <w:rPr>
                <w:sz w:val="20"/>
              </w:rPr>
            </w:pPr>
            <w:r w:rsidRPr="00435FFA">
              <w:rPr>
                <w:sz w:val="20"/>
              </w:rPr>
              <w:t>19</w:t>
            </w:r>
          </w:p>
        </w:tc>
        <w:tc>
          <w:tcPr>
            <w:tcW w:w="954" w:type="dxa"/>
            <w:vAlign w:val="center"/>
          </w:tcPr>
          <w:p w:rsidR="00435FFA" w:rsidRPr="00435FFA" w:rsidRDefault="00435FFA" w:rsidP="00435FFA">
            <w:pPr>
              <w:spacing w:before="60" w:after="60"/>
              <w:jc w:val="center"/>
              <w:rPr>
                <w:sz w:val="20"/>
              </w:rPr>
            </w:pPr>
            <w:r w:rsidRPr="00435FFA">
              <w:rPr>
                <w:sz w:val="20"/>
              </w:rPr>
              <w:t>22</w:t>
            </w:r>
          </w:p>
        </w:tc>
        <w:tc>
          <w:tcPr>
            <w:tcW w:w="1260" w:type="dxa"/>
            <w:vAlign w:val="center"/>
          </w:tcPr>
          <w:p w:rsidR="00435FFA" w:rsidRPr="00435FFA" w:rsidRDefault="00435FFA" w:rsidP="00435FFA">
            <w:pPr>
              <w:spacing w:before="60" w:after="60"/>
              <w:jc w:val="center"/>
              <w:rPr>
                <w:sz w:val="20"/>
              </w:rPr>
            </w:pPr>
            <w:r w:rsidRPr="00435FFA">
              <w:rPr>
                <w:sz w:val="20"/>
              </w:rPr>
              <w:t>0</w:t>
            </w:r>
          </w:p>
        </w:tc>
        <w:tc>
          <w:tcPr>
            <w:tcW w:w="1260" w:type="dxa"/>
            <w:vAlign w:val="center"/>
          </w:tcPr>
          <w:p w:rsidR="00435FFA" w:rsidRPr="00435FFA" w:rsidRDefault="00435FFA" w:rsidP="00435FFA">
            <w:pPr>
              <w:spacing w:before="60" w:after="60"/>
              <w:jc w:val="center"/>
              <w:rPr>
                <w:sz w:val="20"/>
              </w:rPr>
            </w:pPr>
            <w:r w:rsidRPr="00435FFA">
              <w:rPr>
                <w:sz w:val="20"/>
              </w:rPr>
              <w:t>N</w:t>
            </w:r>
          </w:p>
        </w:tc>
        <w:tc>
          <w:tcPr>
            <w:tcW w:w="900" w:type="dxa"/>
            <w:gridSpan w:val="2"/>
            <w:vAlign w:val="center"/>
          </w:tcPr>
          <w:p w:rsidR="00435FFA" w:rsidRPr="00435FFA" w:rsidRDefault="00435FFA" w:rsidP="00435FFA">
            <w:pPr>
              <w:spacing w:before="60" w:after="60"/>
              <w:jc w:val="center"/>
              <w:rPr>
                <w:sz w:val="20"/>
              </w:rPr>
            </w:pPr>
            <w:r w:rsidRPr="00435FFA">
              <w:rPr>
                <w:sz w:val="20"/>
              </w:rPr>
              <w:t>Y</w:t>
            </w:r>
          </w:p>
        </w:tc>
        <w:tc>
          <w:tcPr>
            <w:tcW w:w="990" w:type="dxa"/>
            <w:vAlign w:val="center"/>
          </w:tcPr>
          <w:p w:rsidR="00435FFA" w:rsidRPr="00435FFA" w:rsidRDefault="00435FFA" w:rsidP="00435FFA">
            <w:pPr>
              <w:spacing w:before="60" w:after="60"/>
              <w:jc w:val="center"/>
              <w:rPr>
                <w:sz w:val="20"/>
              </w:rPr>
            </w:pPr>
            <w:r w:rsidRPr="00435FFA">
              <w:rPr>
                <w:sz w:val="20"/>
              </w:rPr>
              <w:t>N</w:t>
            </w:r>
          </w:p>
        </w:tc>
        <w:tc>
          <w:tcPr>
            <w:tcW w:w="2471" w:type="dxa"/>
            <w:tcBorders>
              <w:left w:val="nil"/>
            </w:tcBorders>
            <w:vAlign w:val="center"/>
          </w:tcPr>
          <w:p w:rsidR="00435FFA" w:rsidRPr="00435FFA" w:rsidRDefault="00435FFA" w:rsidP="00435FFA">
            <w:pPr>
              <w:spacing w:before="60" w:after="60"/>
              <w:rPr>
                <w:sz w:val="20"/>
              </w:rPr>
            </w:pP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C 151</w:t>
            </w:r>
          </w:p>
        </w:tc>
        <w:tc>
          <w:tcPr>
            <w:tcW w:w="920" w:type="dxa"/>
            <w:vAlign w:val="center"/>
          </w:tcPr>
          <w:p w:rsidR="00435FFA" w:rsidRPr="00435FFA" w:rsidRDefault="00435FFA" w:rsidP="00435FFA">
            <w:pPr>
              <w:spacing w:before="60" w:after="60"/>
              <w:jc w:val="center"/>
              <w:rPr>
                <w:sz w:val="20"/>
              </w:rPr>
            </w:pPr>
            <w:r w:rsidRPr="00435FFA">
              <w:rPr>
                <w:sz w:val="20"/>
              </w:rPr>
              <w:t>483</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r w:rsidRPr="00435FFA">
              <w:rPr>
                <w:sz w:val="20"/>
              </w:rPr>
              <w:t>75</w:t>
            </w:r>
          </w:p>
        </w:tc>
        <w:tc>
          <w:tcPr>
            <w:tcW w:w="1080" w:type="dxa"/>
            <w:vAlign w:val="center"/>
          </w:tcPr>
          <w:p w:rsidR="00435FFA" w:rsidRPr="00435FFA" w:rsidRDefault="00435FFA" w:rsidP="00435FFA">
            <w:pPr>
              <w:spacing w:before="60" w:after="60"/>
              <w:jc w:val="center"/>
              <w:rPr>
                <w:sz w:val="20"/>
              </w:rPr>
            </w:pPr>
            <w:r w:rsidRPr="00435FFA">
              <w:rPr>
                <w:sz w:val="20"/>
              </w:rPr>
              <w:t>40</w:t>
            </w:r>
          </w:p>
        </w:tc>
        <w:tc>
          <w:tcPr>
            <w:tcW w:w="900" w:type="dxa"/>
            <w:vAlign w:val="center"/>
          </w:tcPr>
          <w:p w:rsidR="00435FFA" w:rsidRPr="00435FFA" w:rsidRDefault="00435FFA" w:rsidP="00435FFA">
            <w:pPr>
              <w:spacing w:before="60" w:after="60"/>
              <w:jc w:val="center"/>
              <w:rPr>
                <w:sz w:val="20"/>
              </w:rPr>
            </w:pPr>
            <w:r w:rsidRPr="00435FFA">
              <w:rPr>
                <w:sz w:val="20"/>
              </w:rPr>
              <w:t>20</w:t>
            </w:r>
          </w:p>
        </w:tc>
        <w:tc>
          <w:tcPr>
            <w:tcW w:w="954" w:type="dxa"/>
            <w:vAlign w:val="center"/>
          </w:tcPr>
          <w:p w:rsidR="00435FFA" w:rsidRPr="00435FFA" w:rsidRDefault="00435FFA" w:rsidP="00435FFA">
            <w:pPr>
              <w:spacing w:before="60" w:after="60"/>
              <w:jc w:val="center"/>
              <w:rPr>
                <w:sz w:val="20"/>
              </w:rPr>
            </w:pPr>
            <w:r w:rsidRPr="00435FFA">
              <w:rPr>
                <w:sz w:val="20"/>
              </w:rPr>
              <w:t>21</w:t>
            </w:r>
          </w:p>
        </w:tc>
        <w:tc>
          <w:tcPr>
            <w:tcW w:w="1260" w:type="dxa"/>
            <w:vAlign w:val="center"/>
          </w:tcPr>
          <w:p w:rsidR="00435FFA" w:rsidRPr="00435FFA" w:rsidRDefault="00435FFA" w:rsidP="00435FFA">
            <w:pPr>
              <w:spacing w:before="60" w:after="60"/>
              <w:jc w:val="center"/>
              <w:rPr>
                <w:sz w:val="20"/>
              </w:rPr>
            </w:pPr>
            <w:r w:rsidRPr="00435FFA">
              <w:rPr>
                <w:sz w:val="20"/>
              </w:rPr>
              <w:t>2</w:t>
            </w:r>
          </w:p>
        </w:tc>
        <w:tc>
          <w:tcPr>
            <w:tcW w:w="1260" w:type="dxa"/>
            <w:vAlign w:val="center"/>
          </w:tcPr>
          <w:p w:rsidR="00435FFA" w:rsidRPr="00435FFA" w:rsidRDefault="00435FFA" w:rsidP="00435FFA">
            <w:pPr>
              <w:spacing w:before="60" w:after="60"/>
              <w:jc w:val="center"/>
              <w:rPr>
                <w:sz w:val="20"/>
              </w:rPr>
            </w:pPr>
            <w:r w:rsidRPr="00435FFA">
              <w:rPr>
                <w:sz w:val="20"/>
              </w:rPr>
              <w:t>N</w:t>
            </w:r>
          </w:p>
        </w:tc>
        <w:tc>
          <w:tcPr>
            <w:tcW w:w="900" w:type="dxa"/>
            <w:gridSpan w:val="2"/>
            <w:vAlign w:val="center"/>
          </w:tcPr>
          <w:p w:rsidR="00435FFA" w:rsidRPr="00435FFA" w:rsidRDefault="00435FFA" w:rsidP="00435FFA">
            <w:pPr>
              <w:spacing w:before="60" w:after="60"/>
              <w:jc w:val="center"/>
              <w:rPr>
                <w:sz w:val="20"/>
              </w:rPr>
            </w:pPr>
            <w:r w:rsidRPr="00435FFA">
              <w:rPr>
                <w:sz w:val="20"/>
              </w:rPr>
              <w:t>Y</w:t>
            </w:r>
          </w:p>
        </w:tc>
        <w:tc>
          <w:tcPr>
            <w:tcW w:w="990" w:type="dxa"/>
            <w:vAlign w:val="center"/>
          </w:tcPr>
          <w:p w:rsidR="00435FFA" w:rsidRPr="00435FFA" w:rsidRDefault="00435FFA" w:rsidP="00435FFA">
            <w:pPr>
              <w:spacing w:before="60" w:after="60"/>
              <w:jc w:val="center"/>
              <w:rPr>
                <w:sz w:val="20"/>
              </w:rPr>
            </w:pPr>
            <w:r w:rsidRPr="00435FFA">
              <w:rPr>
                <w:sz w:val="20"/>
              </w:rPr>
              <w:t>N</w:t>
            </w:r>
          </w:p>
        </w:tc>
        <w:tc>
          <w:tcPr>
            <w:tcW w:w="2471" w:type="dxa"/>
            <w:tcBorders>
              <w:left w:val="nil"/>
            </w:tcBorders>
            <w:vAlign w:val="center"/>
          </w:tcPr>
          <w:p w:rsidR="00435FFA" w:rsidRPr="00435FFA" w:rsidRDefault="00435FFA" w:rsidP="00435FFA">
            <w:pPr>
              <w:spacing w:before="60" w:after="60"/>
              <w:rPr>
                <w:sz w:val="20"/>
              </w:rPr>
            </w:pPr>
            <w:r w:rsidRPr="00435FFA">
              <w:rPr>
                <w:sz w:val="20"/>
              </w:rPr>
              <w:t>1 water-damaged ceiling tile</w:t>
            </w: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C 151 F</w:t>
            </w:r>
          </w:p>
        </w:tc>
        <w:tc>
          <w:tcPr>
            <w:tcW w:w="920" w:type="dxa"/>
            <w:vAlign w:val="center"/>
          </w:tcPr>
          <w:p w:rsidR="00435FFA" w:rsidRPr="00435FFA" w:rsidRDefault="00435FFA" w:rsidP="00435FFA">
            <w:pPr>
              <w:spacing w:before="60" w:after="60"/>
              <w:jc w:val="center"/>
              <w:rPr>
                <w:sz w:val="20"/>
              </w:rPr>
            </w:pPr>
            <w:r w:rsidRPr="00435FFA">
              <w:rPr>
                <w:sz w:val="20"/>
              </w:rPr>
              <w:t>462</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r w:rsidRPr="00435FFA">
              <w:rPr>
                <w:sz w:val="20"/>
              </w:rPr>
              <w:t>74</w:t>
            </w:r>
          </w:p>
        </w:tc>
        <w:tc>
          <w:tcPr>
            <w:tcW w:w="1080" w:type="dxa"/>
            <w:vAlign w:val="center"/>
          </w:tcPr>
          <w:p w:rsidR="00435FFA" w:rsidRPr="00435FFA" w:rsidRDefault="00435FFA" w:rsidP="00435FFA">
            <w:pPr>
              <w:spacing w:before="60" w:after="60"/>
              <w:jc w:val="center"/>
              <w:rPr>
                <w:sz w:val="20"/>
              </w:rPr>
            </w:pPr>
            <w:r w:rsidRPr="00435FFA">
              <w:rPr>
                <w:sz w:val="20"/>
              </w:rPr>
              <w:t>40</w:t>
            </w:r>
          </w:p>
        </w:tc>
        <w:tc>
          <w:tcPr>
            <w:tcW w:w="900" w:type="dxa"/>
            <w:vAlign w:val="center"/>
          </w:tcPr>
          <w:p w:rsidR="00435FFA" w:rsidRPr="00435FFA" w:rsidRDefault="00435FFA" w:rsidP="00435FFA">
            <w:pPr>
              <w:spacing w:before="60" w:after="60"/>
              <w:jc w:val="center"/>
              <w:rPr>
                <w:sz w:val="20"/>
              </w:rPr>
            </w:pPr>
            <w:r w:rsidRPr="00435FFA">
              <w:rPr>
                <w:sz w:val="20"/>
              </w:rPr>
              <w:t>20</w:t>
            </w:r>
          </w:p>
        </w:tc>
        <w:tc>
          <w:tcPr>
            <w:tcW w:w="954" w:type="dxa"/>
            <w:vAlign w:val="center"/>
          </w:tcPr>
          <w:p w:rsidR="00435FFA" w:rsidRPr="00435FFA" w:rsidRDefault="00435FFA" w:rsidP="00435FFA">
            <w:pPr>
              <w:spacing w:before="60" w:after="60"/>
              <w:jc w:val="center"/>
              <w:rPr>
                <w:sz w:val="20"/>
              </w:rPr>
            </w:pPr>
            <w:r w:rsidRPr="00435FFA">
              <w:rPr>
                <w:sz w:val="20"/>
              </w:rPr>
              <w:t>62</w:t>
            </w:r>
          </w:p>
        </w:tc>
        <w:tc>
          <w:tcPr>
            <w:tcW w:w="1260" w:type="dxa"/>
            <w:vAlign w:val="center"/>
          </w:tcPr>
          <w:p w:rsidR="00435FFA" w:rsidRPr="00435FFA" w:rsidRDefault="00435FFA" w:rsidP="00435FFA">
            <w:pPr>
              <w:spacing w:before="60" w:after="60"/>
              <w:jc w:val="center"/>
              <w:rPr>
                <w:sz w:val="20"/>
              </w:rPr>
            </w:pPr>
            <w:r w:rsidRPr="00435FFA">
              <w:rPr>
                <w:sz w:val="20"/>
              </w:rPr>
              <w:t>0</w:t>
            </w:r>
          </w:p>
        </w:tc>
        <w:tc>
          <w:tcPr>
            <w:tcW w:w="1260" w:type="dxa"/>
            <w:vAlign w:val="center"/>
          </w:tcPr>
          <w:p w:rsidR="00435FFA" w:rsidRPr="00435FFA" w:rsidRDefault="00435FFA" w:rsidP="00435FFA">
            <w:pPr>
              <w:spacing w:before="60" w:after="60"/>
              <w:jc w:val="center"/>
              <w:rPr>
                <w:sz w:val="20"/>
              </w:rPr>
            </w:pPr>
            <w:r w:rsidRPr="00435FFA">
              <w:rPr>
                <w:sz w:val="20"/>
              </w:rPr>
              <w:t>N</w:t>
            </w:r>
          </w:p>
        </w:tc>
        <w:tc>
          <w:tcPr>
            <w:tcW w:w="900" w:type="dxa"/>
            <w:gridSpan w:val="2"/>
            <w:vAlign w:val="center"/>
          </w:tcPr>
          <w:p w:rsidR="00435FFA" w:rsidRPr="00435FFA" w:rsidRDefault="00435FFA" w:rsidP="00435FFA">
            <w:pPr>
              <w:spacing w:before="60" w:after="60"/>
              <w:jc w:val="center"/>
              <w:rPr>
                <w:sz w:val="20"/>
              </w:rPr>
            </w:pPr>
            <w:r w:rsidRPr="00435FFA">
              <w:rPr>
                <w:sz w:val="20"/>
              </w:rPr>
              <w:t>Y</w:t>
            </w:r>
          </w:p>
        </w:tc>
        <w:tc>
          <w:tcPr>
            <w:tcW w:w="990" w:type="dxa"/>
            <w:vAlign w:val="center"/>
          </w:tcPr>
          <w:p w:rsidR="00435FFA" w:rsidRPr="00435FFA" w:rsidRDefault="00435FFA" w:rsidP="00435FFA">
            <w:pPr>
              <w:spacing w:before="60" w:after="60"/>
              <w:jc w:val="center"/>
              <w:rPr>
                <w:sz w:val="20"/>
              </w:rPr>
            </w:pPr>
            <w:r w:rsidRPr="00435FFA">
              <w:rPr>
                <w:sz w:val="20"/>
              </w:rPr>
              <w:t>N</w:t>
            </w:r>
          </w:p>
        </w:tc>
        <w:tc>
          <w:tcPr>
            <w:tcW w:w="2471" w:type="dxa"/>
            <w:tcBorders>
              <w:left w:val="nil"/>
            </w:tcBorders>
            <w:vAlign w:val="center"/>
          </w:tcPr>
          <w:p w:rsidR="00435FFA" w:rsidRPr="00435FFA" w:rsidRDefault="00435FFA" w:rsidP="00435FFA">
            <w:pPr>
              <w:spacing w:before="60" w:after="60"/>
              <w:rPr>
                <w:sz w:val="20"/>
              </w:rPr>
            </w:pP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C 151 G</w:t>
            </w:r>
          </w:p>
        </w:tc>
        <w:tc>
          <w:tcPr>
            <w:tcW w:w="920" w:type="dxa"/>
            <w:vAlign w:val="center"/>
          </w:tcPr>
          <w:p w:rsidR="00435FFA" w:rsidRPr="00435FFA" w:rsidRDefault="00435FFA" w:rsidP="00435FFA">
            <w:pPr>
              <w:spacing w:before="60" w:after="60"/>
              <w:jc w:val="center"/>
              <w:rPr>
                <w:sz w:val="20"/>
              </w:rPr>
            </w:pPr>
            <w:r w:rsidRPr="00435FFA">
              <w:rPr>
                <w:sz w:val="20"/>
              </w:rPr>
              <w:t>458</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r w:rsidRPr="00435FFA">
              <w:rPr>
                <w:sz w:val="20"/>
              </w:rPr>
              <w:t>75</w:t>
            </w:r>
          </w:p>
        </w:tc>
        <w:tc>
          <w:tcPr>
            <w:tcW w:w="1080" w:type="dxa"/>
            <w:vAlign w:val="center"/>
          </w:tcPr>
          <w:p w:rsidR="00435FFA" w:rsidRPr="00435FFA" w:rsidRDefault="00435FFA" w:rsidP="00435FFA">
            <w:pPr>
              <w:spacing w:before="60" w:after="60"/>
              <w:jc w:val="center"/>
              <w:rPr>
                <w:sz w:val="20"/>
              </w:rPr>
            </w:pPr>
            <w:r w:rsidRPr="00435FFA">
              <w:rPr>
                <w:sz w:val="20"/>
              </w:rPr>
              <w:t>40</w:t>
            </w:r>
          </w:p>
        </w:tc>
        <w:tc>
          <w:tcPr>
            <w:tcW w:w="900" w:type="dxa"/>
            <w:vAlign w:val="center"/>
          </w:tcPr>
          <w:p w:rsidR="00435FFA" w:rsidRPr="00435FFA" w:rsidRDefault="00435FFA" w:rsidP="00435FFA">
            <w:pPr>
              <w:spacing w:before="60" w:after="60"/>
              <w:jc w:val="center"/>
              <w:rPr>
                <w:sz w:val="20"/>
              </w:rPr>
            </w:pPr>
            <w:r w:rsidRPr="00435FFA">
              <w:rPr>
                <w:sz w:val="20"/>
              </w:rPr>
              <w:t>20</w:t>
            </w:r>
          </w:p>
        </w:tc>
        <w:tc>
          <w:tcPr>
            <w:tcW w:w="954" w:type="dxa"/>
            <w:vAlign w:val="center"/>
          </w:tcPr>
          <w:p w:rsidR="00435FFA" w:rsidRPr="00435FFA" w:rsidRDefault="00435FFA" w:rsidP="00435FFA">
            <w:pPr>
              <w:spacing w:before="60" w:after="60"/>
              <w:jc w:val="center"/>
              <w:rPr>
                <w:sz w:val="20"/>
              </w:rPr>
            </w:pPr>
            <w:r w:rsidRPr="00435FFA">
              <w:rPr>
                <w:sz w:val="20"/>
              </w:rPr>
              <w:t>21</w:t>
            </w:r>
          </w:p>
        </w:tc>
        <w:tc>
          <w:tcPr>
            <w:tcW w:w="1260" w:type="dxa"/>
            <w:vAlign w:val="center"/>
          </w:tcPr>
          <w:p w:rsidR="00435FFA" w:rsidRPr="00435FFA" w:rsidRDefault="00435FFA" w:rsidP="00435FFA">
            <w:pPr>
              <w:spacing w:before="60" w:after="60"/>
              <w:jc w:val="center"/>
              <w:rPr>
                <w:sz w:val="20"/>
              </w:rPr>
            </w:pPr>
            <w:r w:rsidRPr="00435FFA">
              <w:rPr>
                <w:sz w:val="20"/>
              </w:rPr>
              <w:t>0</w:t>
            </w:r>
          </w:p>
        </w:tc>
        <w:tc>
          <w:tcPr>
            <w:tcW w:w="1260" w:type="dxa"/>
            <w:vAlign w:val="center"/>
          </w:tcPr>
          <w:p w:rsidR="00435FFA" w:rsidRPr="00435FFA" w:rsidRDefault="00435FFA" w:rsidP="00435FFA">
            <w:pPr>
              <w:spacing w:before="60" w:after="60"/>
              <w:jc w:val="center"/>
              <w:rPr>
                <w:sz w:val="20"/>
              </w:rPr>
            </w:pPr>
            <w:r w:rsidRPr="00435FFA">
              <w:rPr>
                <w:sz w:val="20"/>
              </w:rPr>
              <w:t>N</w:t>
            </w:r>
          </w:p>
        </w:tc>
        <w:tc>
          <w:tcPr>
            <w:tcW w:w="900" w:type="dxa"/>
            <w:gridSpan w:val="2"/>
            <w:vAlign w:val="center"/>
          </w:tcPr>
          <w:p w:rsidR="00435FFA" w:rsidRPr="00435FFA" w:rsidRDefault="00435FFA" w:rsidP="00435FFA">
            <w:pPr>
              <w:spacing w:before="60" w:after="60"/>
              <w:jc w:val="center"/>
              <w:rPr>
                <w:sz w:val="20"/>
              </w:rPr>
            </w:pPr>
            <w:r w:rsidRPr="00435FFA">
              <w:rPr>
                <w:sz w:val="20"/>
              </w:rPr>
              <w:t>Y</w:t>
            </w:r>
          </w:p>
        </w:tc>
        <w:tc>
          <w:tcPr>
            <w:tcW w:w="990" w:type="dxa"/>
            <w:vAlign w:val="center"/>
          </w:tcPr>
          <w:p w:rsidR="00435FFA" w:rsidRPr="00435FFA" w:rsidRDefault="00435FFA" w:rsidP="00435FFA">
            <w:pPr>
              <w:spacing w:before="60" w:after="60"/>
              <w:jc w:val="center"/>
              <w:rPr>
                <w:sz w:val="20"/>
              </w:rPr>
            </w:pPr>
            <w:r w:rsidRPr="00435FFA">
              <w:rPr>
                <w:sz w:val="20"/>
              </w:rPr>
              <w:t>Y</w:t>
            </w:r>
          </w:p>
        </w:tc>
        <w:tc>
          <w:tcPr>
            <w:tcW w:w="2471" w:type="dxa"/>
            <w:tcBorders>
              <w:left w:val="nil"/>
            </w:tcBorders>
            <w:vAlign w:val="center"/>
          </w:tcPr>
          <w:p w:rsidR="00435FFA" w:rsidRPr="00435FFA" w:rsidRDefault="00435FFA" w:rsidP="00435FFA">
            <w:pPr>
              <w:spacing w:before="60" w:after="60"/>
              <w:rPr>
                <w:sz w:val="20"/>
              </w:rPr>
            </w:pP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C 151 D</w:t>
            </w:r>
          </w:p>
        </w:tc>
        <w:tc>
          <w:tcPr>
            <w:tcW w:w="920" w:type="dxa"/>
            <w:vAlign w:val="center"/>
          </w:tcPr>
          <w:p w:rsidR="00435FFA" w:rsidRPr="00435FFA" w:rsidRDefault="00435FFA" w:rsidP="00435FFA">
            <w:pPr>
              <w:spacing w:before="60" w:after="60"/>
              <w:jc w:val="center"/>
              <w:rPr>
                <w:sz w:val="20"/>
              </w:rPr>
            </w:pPr>
            <w:r w:rsidRPr="00435FFA">
              <w:rPr>
                <w:sz w:val="20"/>
              </w:rPr>
              <w:t>432</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r w:rsidRPr="00435FFA">
              <w:rPr>
                <w:sz w:val="20"/>
              </w:rPr>
              <w:t>74</w:t>
            </w:r>
          </w:p>
        </w:tc>
        <w:tc>
          <w:tcPr>
            <w:tcW w:w="1080" w:type="dxa"/>
            <w:vAlign w:val="center"/>
          </w:tcPr>
          <w:p w:rsidR="00435FFA" w:rsidRPr="00435FFA" w:rsidRDefault="00435FFA" w:rsidP="00435FFA">
            <w:pPr>
              <w:spacing w:before="60" w:after="60"/>
              <w:jc w:val="center"/>
              <w:rPr>
                <w:sz w:val="20"/>
              </w:rPr>
            </w:pPr>
            <w:r w:rsidRPr="00435FFA">
              <w:rPr>
                <w:sz w:val="20"/>
              </w:rPr>
              <w:t>40</w:t>
            </w:r>
          </w:p>
        </w:tc>
        <w:tc>
          <w:tcPr>
            <w:tcW w:w="900" w:type="dxa"/>
            <w:vAlign w:val="center"/>
          </w:tcPr>
          <w:p w:rsidR="00435FFA" w:rsidRPr="00435FFA" w:rsidRDefault="00435FFA" w:rsidP="00435FFA">
            <w:pPr>
              <w:spacing w:before="60" w:after="60"/>
              <w:jc w:val="center"/>
              <w:rPr>
                <w:sz w:val="20"/>
              </w:rPr>
            </w:pPr>
            <w:r w:rsidRPr="00435FFA">
              <w:rPr>
                <w:sz w:val="20"/>
              </w:rPr>
              <w:t>21</w:t>
            </w:r>
          </w:p>
        </w:tc>
        <w:tc>
          <w:tcPr>
            <w:tcW w:w="954" w:type="dxa"/>
            <w:vAlign w:val="center"/>
          </w:tcPr>
          <w:p w:rsidR="00435FFA" w:rsidRPr="00435FFA" w:rsidRDefault="00435FFA" w:rsidP="00435FFA">
            <w:pPr>
              <w:spacing w:before="60" w:after="60"/>
              <w:jc w:val="center"/>
              <w:rPr>
                <w:sz w:val="20"/>
              </w:rPr>
            </w:pPr>
            <w:r w:rsidRPr="00435FFA">
              <w:rPr>
                <w:sz w:val="20"/>
              </w:rPr>
              <w:t>26</w:t>
            </w:r>
          </w:p>
        </w:tc>
        <w:tc>
          <w:tcPr>
            <w:tcW w:w="1260" w:type="dxa"/>
            <w:vAlign w:val="center"/>
          </w:tcPr>
          <w:p w:rsidR="00435FFA" w:rsidRPr="00435FFA" w:rsidRDefault="00435FFA" w:rsidP="00435FFA">
            <w:pPr>
              <w:spacing w:before="60" w:after="60"/>
              <w:jc w:val="center"/>
              <w:rPr>
                <w:sz w:val="20"/>
              </w:rPr>
            </w:pPr>
            <w:r w:rsidRPr="00435FFA">
              <w:rPr>
                <w:sz w:val="20"/>
              </w:rPr>
              <w:t>0</w:t>
            </w:r>
          </w:p>
        </w:tc>
        <w:tc>
          <w:tcPr>
            <w:tcW w:w="1260" w:type="dxa"/>
            <w:vAlign w:val="center"/>
          </w:tcPr>
          <w:p w:rsidR="00435FFA" w:rsidRPr="00435FFA" w:rsidRDefault="00435FFA" w:rsidP="00435FFA">
            <w:pPr>
              <w:spacing w:before="60" w:after="60"/>
              <w:jc w:val="center"/>
              <w:rPr>
                <w:sz w:val="20"/>
              </w:rPr>
            </w:pPr>
            <w:r w:rsidRPr="00435FFA">
              <w:rPr>
                <w:sz w:val="20"/>
              </w:rPr>
              <w:t>N</w:t>
            </w:r>
          </w:p>
        </w:tc>
        <w:tc>
          <w:tcPr>
            <w:tcW w:w="900" w:type="dxa"/>
            <w:gridSpan w:val="2"/>
            <w:vAlign w:val="center"/>
          </w:tcPr>
          <w:p w:rsidR="00435FFA" w:rsidRPr="00435FFA" w:rsidRDefault="00435FFA" w:rsidP="00435FFA">
            <w:pPr>
              <w:spacing w:before="60" w:after="60"/>
              <w:jc w:val="center"/>
              <w:rPr>
                <w:sz w:val="20"/>
              </w:rPr>
            </w:pPr>
            <w:r w:rsidRPr="00435FFA">
              <w:rPr>
                <w:sz w:val="20"/>
              </w:rPr>
              <w:t>Y</w:t>
            </w:r>
          </w:p>
        </w:tc>
        <w:tc>
          <w:tcPr>
            <w:tcW w:w="990" w:type="dxa"/>
            <w:vAlign w:val="center"/>
          </w:tcPr>
          <w:p w:rsidR="00435FFA" w:rsidRPr="00435FFA" w:rsidRDefault="00435FFA" w:rsidP="00435FFA">
            <w:pPr>
              <w:spacing w:before="60" w:after="60"/>
              <w:jc w:val="center"/>
              <w:rPr>
                <w:sz w:val="20"/>
              </w:rPr>
            </w:pPr>
            <w:r w:rsidRPr="00435FFA">
              <w:rPr>
                <w:sz w:val="20"/>
              </w:rPr>
              <w:t>N</w:t>
            </w:r>
          </w:p>
        </w:tc>
        <w:tc>
          <w:tcPr>
            <w:tcW w:w="2471" w:type="dxa"/>
            <w:tcBorders>
              <w:left w:val="nil"/>
            </w:tcBorders>
            <w:vAlign w:val="center"/>
          </w:tcPr>
          <w:p w:rsidR="00435FFA" w:rsidRPr="00435FFA" w:rsidRDefault="00435FFA" w:rsidP="00435FFA">
            <w:pPr>
              <w:spacing w:before="60" w:after="60"/>
              <w:rPr>
                <w:sz w:val="20"/>
              </w:rPr>
            </w:pPr>
          </w:p>
        </w:tc>
      </w:tr>
      <w:tr w:rsidR="00435FFA" w:rsidRPr="00435FFA" w:rsidTr="002911DD">
        <w:tblPrEx>
          <w:tblCellMar>
            <w:top w:w="0" w:type="dxa"/>
            <w:bottom w:w="0" w:type="dxa"/>
          </w:tblCellMar>
        </w:tblPrEx>
        <w:trPr>
          <w:trHeight w:val="570"/>
          <w:jc w:val="center"/>
        </w:trPr>
        <w:tc>
          <w:tcPr>
            <w:tcW w:w="1909" w:type="dxa"/>
            <w:vAlign w:val="center"/>
          </w:tcPr>
          <w:p w:rsidR="00435FFA" w:rsidRPr="00435FFA" w:rsidRDefault="00435FFA" w:rsidP="00435FFA">
            <w:pPr>
              <w:spacing w:before="60" w:after="60"/>
              <w:rPr>
                <w:sz w:val="20"/>
              </w:rPr>
            </w:pPr>
            <w:r w:rsidRPr="00435FFA">
              <w:rPr>
                <w:sz w:val="20"/>
              </w:rPr>
              <w:t>Hallway</w:t>
            </w:r>
          </w:p>
        </w:tc>
        <w:tc>
          <w:tcPr>
            <w:tcW w:w="920" w:type="dxa"/>
            <w:vAlign w:val="center"/>
          </w:tcPr>
          <w:p w:rsidR="00435FFA" w:rsidRPr="00435FFA" w:rsidRDefault="00435FFA" w:rsidP="00435FFA">
            <w:pPr>
              <w:spacing w:before="60" w:after="60"/>
              <w:jc w:val="center"/>
              <w:rPr>
                <w:sz w:val="20"/>
              </w:rPr>
            </w:pPr>
            <w:r w:rsidRPr="00435FFA">
              <w:rPr>
                <w:sz w:val="20"/>
              </w:rPr>
              <w:t>420</w:t>
            </w:r>
          </w:p>
        </w:tc>
        <w:tc>
          <w:tcPr>
            <w:tcW w:w="1136" w:type="dxa"/>
            <w:vAlign w:val="center"/>
          </w:tcPr>
          <w:p w:rsidR="00435FFA" w:rsidRPr="00435FFA" w:rsidRDefault="00435FFA" w:rsidP="00435FFA">
            <w:pPr>
              <w:spacing w:before="60" w:after="60"/>
              <w:jc w:val="center"/>
              <w:rPr>
                <w:sz w:val="20"/>
              </w:rPr>
            </w:pPr>
            <w:r w:rsidRPr="00435FFA">
              <w:rPr>
                <w:sz w:val="20"/>
              </w:rPr>
              <w:t>ND</w:t>
            </w:r>
          </w:p>
        </w:tc>
        <w:tc>
          <w:tcPr>
            <w:tcW w:w="810" w:type="dxa"/>
            <w:vAlign w:val="center"/>
          </w:tcPr>
          <w:p w:rsidR="00435FFA" w:rsidRPr="00435FFA" w:rsidRDefault="00435FFA" w:rsidP="00435FFA">
            <w:pPr>
              <w:spacing w:before="60" w:after="60"/>
              <w:jc w:val="center"/>
              <w:rPr>
                <w:sz w:val="20"/>
              </w:rPr>
            </w:pPr>
            <w:r w:rsidRPr="00435FFA">
              <w:rPr>
                <w:sz w:val="20"/>
              </w:rPr>
              <w:t>74</w:t>
            </w:r>
          </w:p>
        </w:tc>
        <w:tc>
          <w:tcPr>
            <w:tcW w:w="1080" w:type="dxa"/>
            <w:vAlign w:val="center"/>
          </w:tcPr>
          <w:p w:rsidR="00435FFA" w:rsidRPr="00435FFA" w:rsidRDefault="00435FFA" w:rsidP="00435FFA">
            <w:pPr>
              <w:spacing w:before="60" w:after="60"/>
              <w:jc w:val="center"/>
              <w:rPr>
                <w:sz w:val="20"/>
              </w:rPr>
            </w:pPr>
            <w:r w:rsidRPr="00435FFA">
              <w:rPr>
                <w:sz w:val="20"/>
              </w:rPr>
              <w:t>40</w:t>
            </w:r>
          </w:p>
        </w:tc>
        <w:tc>
          <w:tcPr>
            <w:tcW w:w="900" w:type="dxa"/>
            <w:vAlign w:val="center"/>
          </w:tcPr>
          <w:p w:rsidR="00435FFA" w:rsidRPr="00435FFA" w:rsidRDefault="00435FFA" w:rsidP="00435FFA">
            <w:pPr>
              <w:spacing w:before="60" w:after="60"/>
              <w:jc w:val="center"/>
              <w:rPr>
                <w:sz w:val="20"/>
              </w:rPr>
            </w:pPr>
            <w:r w:rsidRPr="00435FFA">
              <w:rPr>
                <w:sz w:val="20"/>
              </w:rPr>
              <w:t>20</w:t>
            </w:r>
          </w:p>
        </w:tc>
        <w:tc>
          <w:tcPr>
            <w:tcW w:w="954" w:type="dxa"/>
            <w:vAlign w:val="center"/>
          </w:tcPr>
          <w:p w:rsidR="00435FFA" w:rsidRPr="00435FFA" w:rsidRDefault="00435FFA" w:rsidP="00435FFA">
            <w:pPr>
              <w:spacing w:before="60" w:after="60"/>
              <w:jc w:val="center"/>
              <w:rPr>
                <w:sz w:val="20"/>
              </w:rPr>
            </w:pPr>
            <w:r w:rsidRPr="00435FFA">
              <w:rPr>
                <w:sz w:val="20"/>
              </w:rPr>
              <w:t>26</w:t>
            </w:r>
          </w:p>
        </w:tc>
        <w:tc>
          <w:tcPr>
            <w:tcW w:w="1260" w:type="dxa"/>
            <w:vAlign w:val="center"/>
          </w:tcPr>
          <w:p w:rsidR="00435FFA" w:rsidRPr="00435FFA" w:rsidRDefault="00435FFA" w:rsidP="00435FFA">
            <w:pPr>
              <w:spacing w:before="60" w:after="60"/>
              <w:jc w:val="center"/>
              <w:rPr>
                <w:sz w:val="20"/>
              </w:rPr>
            </w:pPr>
            <w:r w:rsidRPr="00435FFA">
              <w:rPr>
                <w:sz w:val="20"/>
              </w:rPr>
              <w:t>4</w:t>
            </w:r>
          </w:p>
        </w:tc>
        <w:tc>
          <w:tcPr>
            <w:tcW w:w="1260" w:type="dxa"/>
            <w:vAlign w:val="center"/>
          </w:tcPr>
          <w:p w:rsidR="00435FFA" w:rsidRPr="00435FFA" w:rsidRDefault="00435FFA" w:rsidP="00435FFA">
            <w:pPr>
              <w:spacing w:before="60" w:after="60"/>
              <w:jc w:val="center"/>
              <w:rPr>
                <w:sz w:val="20"/>
              </w:rPr>
            </w:pPr>
            <w:r w:rsidRPr="00435FFA">
              <w:rPr>
                <w:sz w:val="20"/>
              </w:rPr>
              <w:t>N</w:t>
            </w:r>
          </w:p>
        </w:tc>
        <w:tc>
          <w:tcPr>
            <w:tcW w:w="900" w:type="dxa"/>
            <w:gridSpan w:val="2"/>
            <w:vAlign w:val="center"/>
          </w:tcPr>
          <w:p w:rsidR="00435FFA" w:rsidRPr="00435FFA" w:rsidRDefault="00435FFA" w:rsidP="00435FFA">
            <w:pPr>
              <w:spacing w:before="60" w:after="60"/>
              <w:jc w:val="center"/>
              <w:rPr>
                <w:sz w:val="20"/>
              </w:rPr>
            </w:pPr>
            <w:r w:rsidRPr="00435FFA">
              <w:rPr>
                <w:sz w:val="20"/>
              </w:rPr>
              <w:t>Y</w:t>
            </w:r>
          </w:p>
        </w:tc>
        <w:tc>
          <w:tcPr>
            <w:tcW w:w="990" w:type="dxa"/>
            <w:vAlign w:val="center"/>
          </w:tcPr>
          <w:p w:rsidR="00435FFA" w:rsidRPr="00435FFA" w:rsidRDefault="00435FFA" w:rsidP="00435FFA">
            <w:pPr>
              <w:spacing w:before="60" w:after="60"/>
              <w:jc w:val="center"/>
              <w:rPr>
                <w:sz w:val="20"/>
              </w:rPr>
            </w:pPr>
            <w:r w:rsidRPr="00435FFA">
              <w:rPr>
                <w:sz w:val="20"/>
              </w:rPr>
              <w:t>N</w:t>
            </w:r>
          </w:p>
        </w:tc>
        <w:tc>
          <w:tcPr>
            <w:tcW w:w="2471" w:type="dxa"/>
            <w:tcBorders>
              <w:left w:val="nil"/>
            </w:tcBorders>
            <w:vAlign w:val="center"/>
          </w:tcPr>
          <w:p w:rsidR="00435FFA" w:rsidRPr="00435FFA" w:rsidRDefault="00435FFA" w:rsidP="00435FFA">
            <w:pPr>
              <w:spacing w:before="60" w:after="60"/>
              <w:rPr>
                <w:sz w:val="20"/>
              </w:rPr>
            </w:pPr>
          </w:p>
        </w:tc>
      </w:tr>
    </w:tbl>
    <w:p w:rsidR="00435FFA" w:rsidRPr="00435FFA" w:rsidRDefault="00435FFA" w:rsidP="00435FFA"/>
    <w:p w:rsidR="00533D9F" w:rsidRPr="00C86CE2" w:rsidRDefault="00533D9F" w:rsidP="00937285">
      <w:pPr>
        <w:pStyle w:val="BodyText2"/>
      </w:pPr>
    </w:p>
    <w:sectPr w:rsidR="00533D9F" w:rsidRPr="00C86CE2" w:rsidSect="00435FFA">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F0" w:rsidRDefault="009C7CF0">
      <w:r>
        <w:separator/>
      </w:r>
    </w:p>
  </w:endnote>
  <w:endnote w:type="continuationSeparator" w:id="0">
    <w:p w:rsidR="009C7CF0" w:rsidRDefault="009C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49FC">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FA" w:rsidRDefault="00435F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D" w:rsidRDefault="002911D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D" w:rsidRDefault="002911DD" w:rsidP="002911DD">
    <w:pPr>
      <w:jc w:val="right"/>
      <w:rPr>
        <w:sz w:val="20"/>
      </w:rPr>
    </w:pPr>
  </w:p>
  <w:p w:rsidR="002911DD" w:rsidRDefault="002911DD" w:rsidP="002911D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911DD" w:rsidTr="002911DD">
      <w:tblPrEx>
        <w:tblCellMar>
          <w:top w:w="0" w:type="dxa"/>
          <w:bottom w:w="0" w:type="dxa"/>
        </w:tblCellMar>
      </w:tblPrEx>
      <w:tc>
        <w:tcPr>
          <w:tcW w:w="2718" w:type="dxa"/>
        </w:tcPr>
        <w:p w:rsidR="002911DD" w:rsidRDefault="002911DD" w:rsidP="002911DD">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2911DD" w:rsidRDefault="002911DD" w:rsidP="002911DD">
          <w:pPr>
            <w:rPr>
              <w:sz w:val="20"/>
            </w:rPr>
          </w:pPr>
          <w:r>
            <w:rPr>
              <w:sz w:val="20"/>
            </w:rPr>
            <w:t>&lt; 600 ppm = preferred</w:t>
          </w:r>
        </w:p>
      </w:tc>
      <w:tc>
        <w:tcPr>
          <w:tcW w:w="3600" w:type="dxa"/>
        </w:tcPr>
        <w:p w:rsidR="002911DD" w:rsidRDefault="002911DD" w:rsidP="002911DD">
          <w:pPr>
            <w:jc w:val="right"/>
            <w:rPr>
              <w:sz w:val="20"/>
            </w:rPr>
          </w:pPr>
          <w:r>
            <w:rPr>
              <w:sz w:val="20"/>
            </w:rPr>
            <w:t>Temperature:</w:t>
          </w:r>
        </w:p>
      </w:tc>
      <w:tc>
        <w:tcPr>
          <w:tcW w:w="3420" w:type="dxa"/>
        </w:tcPr>
        <w:p w:rsidR="002911DD" w:rsidRDefault="002911DD" w:rsidP="002911DD">
          <w:pPr>
            <w:rPr>
              <w:sz w:val="20"/>
            </w:rPr>
          </w:pPr>
          <w:r>
            <w:rPr>
              <w:sz w:val="20"/>
            </w:rPr>
            <w:t>70 - 78 °F</w:t>
          </w:r>
        </w:p>
      </w:tc>
    </w:tr>
    <w:tr w:rsidR="002911DD" w:rsidTr="002911DD">
      <w:tblPrEx>
        <w:tblCellMar>
          <w:top w:w="0" w:type="dxa"/>
          <w:bottom w:w="0" w:type="dxa"/>
        </w:tblCellMar>
      </w:tblPrEx>
      <w:tc>
        <w:tcPr>
          <w:tcW w:w="2718" w:type="dxa"/>
        </w:tcPr>
        <w:p w:rsidR="002911DD" w:rsidRDefault="002911DD" w:rsidP="002911DD">
          <w:pPr>
            <w:jc w:val="right"/>
            <w:rPr>
              <w:sz w:val="20"/>
            </w:rPr>
          </w:pPr>
        </w:p>
      </w:tc>
      <w:tc>
        <w:tcPr>
          <w:tcW w:w="4860" w:type="dxa"/>
        </w:tcPr>
        <w:p w:rsidR="002911DD" w:rsidRDefault="002911DD" w:rsidP="002911DD">
          <w:pPr>
            <w:rPr>
              <w:sz w:val="20"/>
            </w:rPr>
          </w:pPr>
          <w:r>
            <w:rPr>
              <w:sz w:val="20"/>
            </w:rPr>
            <w:t>600 - 800 ppm = acceptable</w:t>
          </w:r>
        </w:p>
      </w:tc>
      <w:tc>
        <w:tcPr>
          <w:tcW w:w="3600" w:type="dxa"/>
        </w:tcPr>
        <w:p w:rsidR="002911DD" w:rsidRDefault="002911DD" w:rsidP="002911DD">
          <w:pPr>
            <w:jc w:val="right"/>
            <w:rPr>
              <w:sz w:val="20"/>
            </w:rPr>
          </w:pPr>
          <w:r>
            <w:rPr>
              <w:sz w:val="20"/>
            </w:rPr>
            <w:t>Relative Humidity:</w:t>
          </w:r>
        </w:p>
      </w:tc>
      <w:tc>
        <w:tcPr>
          <w:tcW w:w="3420" w:type="dxa"/>
        </w:tcPr>
        <w:p w:rsidR="002911DD" w:rsidRDefault="002911DD" w:rsidP="002911DD">
          <w:pPr>
            <w:rPr>
              <w:sz w:val="20"/>
            </w:rPr>
          </w:pPr>
          <w:r>
            <w:rPr>
              <w:sz w:val="20"/>
            </w:rPr>
            <w:t>40 - 60%</w:t>
          </w:r>
        </w:p>
      </w:tc>
    </w:tr>
    <w:tr w:rsidR="002911DD" w:rsidTr="002911DD">
      <w:tblPrEx>
        <w:tblCellMar>
          <w:top w:w="0" w:type="dxa"/>
          <w:bottom w:w="0" w:type="dxa"/>
        </w:tblCellMar>
      </w:tblPrEx>
      <w:tc>
        <w:tcPr>
          <w:tcW w:w="2718" w:type="dxa"/>
        </w:tcPr>
        <w:p w:rsidR="002911DD" w:rsidRDefault="002911DD" w:rsidP="002911DD">
          <w:pPr>
            <w:jc w:val="right"/>
            <w:rPr>
              <w:sz w:val="20"/>
            </w:rPr>
          </w:pPr>
        </w:p>
      </w:tc>
      <w:tc>
        <w:tcPr>
          <w:tcW w:w="4860" w:type="dxa"/>
        </w:tcPr>
        <w:p w:rsidR="002911DD" w:rsidRDefault="002911DD" w:rsidP="002911DD">
          <w:pPr>
            <w:rPr>
              <w:sz w:val="20"/>
            </w:rPr>
          </w:pPr>
          <w:r>
            <w:rPr>
              <w:sz w:val="20"/>
            </w:rPr>
            <w:t>&gt; 800 ppm = indicative of ventilation problems</w:t>
          </w:r>
        </w:p>
      </w:tc>
      <w:tc>
        <w:tcPr>
          <w:tcW w:w="3600" w:type="dxa"/>
        </w:tcPr>
        <w:p w:rsidR="002911DD" w:rsidRDefault="002911DD" w:rsidP="002911DD">
          <w:pPr>
            <w:rPr>
              <w:sz w:val="20"/>
            </w:rPr>
          </w:pPr>
        </w:p>
      </w:tc>
      <w:tc>
        <w:tcPr>
          <w:tcW w:w="3420" w:type="dxa"/>
        </w:tcPr>
        <w:p w:rsidR="002911DD" w:rsidRDefault="002911DD" w:rsidP="002911DD">
          <w:pPr>
            <w:rPr>
              <w:sz w:val="20"/>
            </w:rPr>
          </w:pPr>
        </w:p>
      </w:tc>
    </w:tr>
  </w:tbl>
  <w:p w:rsidR="002911DD" w:rsidRDefault="002911DD" w:rsidP="002911DD">
    <w:pPr>
      <w:pStyle w:val="Footer"/>
      <w:jc w:val="center"/>
    </w:pPr>
  </w:p>
  <w:p w:rsidR="002911DD" w:rsidRPr="00FB37EB" w:rsidRDefault="002911DD" w:rsidP="002911DD">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74" w:type="dxa"/>
      <w:jc w:val="center"/>
      <w:tblInd w:w="-98" w:type="dxa"/>
      <w:tblLayout w:type="fixed"/>
      <w:tblLook w:val="0000" w:firstRow="0" w:lastRow="0" w:firstColumn="0" w:lastColumn="0" w:noHBand="0" w:noVBand="0"/>
    </w:tblPr>
    <w:tblGrid>
      <w:gridCol w:w="3018"/>
      <w:gridCol w:w="2286"/>
      <w:gridCol w:w="2970"/>
    </w:tblGrid>
    <w:tr w:rsidR="002911DD" w:rsidRPr="00F374D5" w:rsidTr="002911DD">
      <w:trPr>
        <w:trHeight w:val="313"/>
        <w:jc w:val="center"/>
      </w:trPr>
      <w:tc>
        <w:tcPr>
          <w:tcW w:w="3018" w:type="dxa"/>
          <w:tcBorders>
            <w:top w:val="nil"/>
            <w:left w:val="nil"/>
            <w:bottom w:val="nil"/>
            <w:right w:val="nil"/>
          </w:tcBorders>
          <w:shd w:val="clear" w:color="auto" w:fill="auto"/>
          <w:noWrap/>
          <w:vAlign w:val="bottom"/>
        </w:tcPr>
        <w:p w:rsidR="002911DD" w:rsidRPr="00D41BC4" w:rsidRDefault="002911DD" w:rsidP="002911DD">
          <w:pPr>
            <w:rPr>
              <w:rFonts w:ascii="Times" w:hAnsi="Times" w:cs="Times"/>
              <w:sz w:val="18"/>
              <w:szCs w:val="18"/>
            </w:rPr>
          </w:pPr>
          <w:r w:rsidRPr="00832B97">
            <w:rPr>
              <w:rFonts w:ascii="Times" w:hAnsi="Times" w:cs="Times"/>
              <w:sz w:val="18"/>
              <w:szCs w:val="18"/>
            </w:rPr>
            <w:t>ppm = parts per million</w:t>
          </w:r>
        </w:p>
      </w:tc>
      <w:tc>
        <w:tcPr>
          <w:tcW w:w="2286" w:type="dxa"/>
          <w:tcBorders>
            <w:top w:val="nil"/>
            <w:left w:val="nil"/>
            <w:bottom w:val="nil"/>
            <w:right w:val="nil"/>
          </w:tcBorders>
          <w:shd w:val="clear" w:color="auto" w:fill="auto"/>
          <w:noWrap/>
          <w:vAlign w:val="bottom"/>
        </w:tcPr>
        <w:p w:rsidR="002911DD" w:rsidRPr="00D41BC4" w:rsidRDefault="002911DD" w:rsidP="002911DD">
          <w:pPr>
            <w:rPr>
              <w:rFonts w:ascii="Times" w:hAnsi="Times" w:cs="Times"/>
              <w:sz w:val="18"/>
              <w:szCs w:val="18"/>
            </w:rPr>
          </w:pPr>
          <w:r w:rsidRPr="00D41BC4">
            <w:rPr>
              <w:rFonts w:ascii="Times" w:hAnsi="Times" w:cs="Times"/>
              <w:sz w:val="18"/>
              <w:szCs w:val="18"/>
            </w:rPr>
            <w:t>ND = non-detect</w:t>
          </w:r>
        </w:p>
      </w:tc>
      <w:tc>
        <w:tcPr>
          <w:tcW w:w="2970" w:type="dxa"/>
          <w:tcBorders>
            <w:top w:val="nil"/>
            <w:left w:val="nil"/>
            <w:bottom w:val="nil"/>
            <w:right w:val="nil"/>
          </w:tcBorders>
          <w:shd w:val="clear" w:color="auto" w:fill="auto"/>
          <w:noWrap/>
          <w:vAlign w:val="bottom"/>
        </w:tcPr>
        <w:p w:rsidR="002911DD" w:rsidRPr="00D41BC4" w:rsidRDefault="002911DD" w:rsidP="002911DD">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r>
  </w:tbl>
  <w:p w:rsidR="002911DD" w:rsidRDefault="002911DD" w:rsidP="002911DD">
    <w:pPr>
      <w:jc w:val="right"/>
      <w:rPr>
        <w:sz w:val="20"/>
      </w:rPr>
    </w:pPr>
  </w:p>
  <w:p w:rsidR="002911DD" w:rsidRDefault="002911DD" w:rsidP="002911D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911DD" w:rsidTr="002911DD">
      <w:tblPrEx>
        <w:tblCellMar>
          <w:top w:w="0" w:type="dxa"/>
          <w:bottom w:w="0" w:type="dxa"/>
        </w:tblCellMar>
      </w:tblPrEx>
      <w:tc>
        <w:tcPr>
          <w:tcW w:w="2718" w:type="dxa"/>
        </w:tcPr>
        <w:p w:rsidR="002911DD" w:rsidRDefault="002911DD" w:rsidP="002911DD">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2911DD" w:rsidRDefault="002911DD" w:rsidP="002911DD">
          <w:pPr>
            <w:rPr>
              <w:sz w:val="20"/>
            </w:rPr>
          </w:pPr>
          <w:r>
            <w:rPr>
              <w:sz w:val="20"/>
            </w:rPr>
            <w:t>&lt; 800 ppm = preferred</w:t>
          </w:r>
        </w:p>
      </w:tc>
      <w:tc>
        <w:tcPr>
          <w:tcW w:w="3600" w:type="dxa"/>
        </w:tcPr>
        <w:p w:rsidR="002911DD" w:rsidRDefault="002911DD" w:rsidP="002911DD">
          <w:pPr>
            <w:jc w:val="right"/>
            <w:rPr>
              <w:sz w:val="20"/>
            </w:rPr>
          </w:pPr>
          <w:r>
            <w:rPr>
              <w:sz w:val="20"/>
            </w:rPr>
            <w:t>Temperature:</w:t>
          </w:r>
        </w:p>
      </w:tc>
      <w:tc>
        <w:tcPr>
          <w:tcW w:w="3420" w:type="dxa"/>
        </w:tcPr>
        <w:p w:rsidR="002911DD" w:rsidRDefault="002911DD" w:rsidP="002911DD">
          <w:pPr>
            <w:rPr>
              <w:sz w:val="20"/>
            </w:rPr>
          </w:pPr>
          <w:r>
            <w:rPr>
              <w:sz w:val="20"/>
            </w:rPr>
            <w:t>70 - 78 °F</w:t>
          </w:r>
        </w:p>
      </w:tc>
    </w:tr>
    <w:tr w:rsidR="002911DD" w:rsidTr="002911DD">
      <w:tblPrEx>
        <w:tblCellMar>
          <w:top w:w="0" w:type="dxa"/>
          <w:bottom w:w="0" w:type="dxa"/>
        </w:tblCellMar>
      </w:tblPrEx>
      <w:tc>
        <w:tcPr>
          <w:tcW w:w="2718" w:type="dxa"/>
        </w:tcPr>
        <w:p w:rsidR="002911DD" w:rsidRDefault="002911DD" w:rsidP="002911DD">
          <w:pPr>
            <w:jc w:val="right"/>
            <w:rPr>
              <w:sz w:val="20"/>
            </w:rPr>
          </w:pPr>
        </w:p>
      </w:tc>
      <w:tc>
        <w:tcPr>
          <w:tcW w:w="4860" w:type="dxa"/>
        </w:tcPr>
        <w:p w:rsidR="002911DD" w:rsidRDefault="002911DD" w:rsidP="002911DD">
          <w:pPr>
            <w:rPr>
              <w:sz w:val="20"/>
            </w:rPr>
          </w:pPr>
          <w:r>
            <w:rPr>
              <w:sz w:val="20"/>
            </w:rPr>
            <w:t>&gt; 800 ppm = indicative of ventilation problems</w:t>
          </w:r>
        </w:p>
      </w:tc>
      <w:tc>
        <w:tcPr>
          <w:tcW w:w="3600" w:type="dxa"/>
        </w:tcPr>
        <w:p w:rsidR="002911DD" w:rsidRDefault="002911DD" w:rsidP="002911DD">
          <w:pPr>
            <w:jc w:val="right"/>
            <w:rPr>
              <w:sz w:val="20"/>
            </w:rPr>
          </w:pPr>
          <w:r>
            <w:rPr>
              <w:sz w:val="20"/>
            </w:rPr>
            <w:t>Relative Humidity:</w:t>
          </w:r>
        </w:p>
      </w:tc>
      <w:tc>
        <w:tcPr>
          <w:tcW w:w="3420" w:type="dxa"/>
        </w:tcPr>
        <w:p w:rsidR="002911DD" w:rsidRDefault="002911DD" w:rsidP="002911DD">
          <w:pPr>
            <w:rPr>
              <w:sz w:val="20"/>
            </w:rPr>
          </w:pPr>
          <w:r>
            <w:rPr>
              <w:sz w:val="20"/>
            </w:rPr>
            <w:t>40 - 60%</w:t>
          </w:r>
        </w:p>
      </w:tc>
    </w:tr>
  </w:tbl>
  <w:p w:rsidR="002911DD" w:rsidRDefault="002911DD" w:rsidP="002911DD">
    <w:pPr>
      <w:pStyle w:val="Footer"/>
      <w:jc w:val="center"/>
    </w:pPr>
  </w:p>
  <w:p w:rsidR="002911DD" w:rsidRDefault="002911DD" w:rsidP="002911DD">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E49F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F0" w:rsidRDefault="009C7CF0">
      <w:r>
        <w:separator/>
      </w:r>
    </w:p>
  </w:footnote>
  <w:footnote w:type="continuationSeparator" w:id="0">
    <w:p w:rsidR="009C7CF0" w:rsidRDefault="009C7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FA" w:rsidRDefault="00435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FA" w:rsidRDefault="00435F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FA" w:rsidRDefault="00435F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D" w:rsidRDefault="002911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2911DD" w:rsidTr="002911DD">
      <w:tblPrEx>
        <w:tblCellMar>
          <w:top w:w="0" w:type="dxa"/>
          <w:bottom w:w="0" w:type="dxa"/>
        </w:tblCellMar>
      </w:tblPrEx>
      <w:trPr>
        <w:cantSplit/>
      </w:trPr>
      <w:tc>
        <w:tcPr>
          <w:tcW w:w="12258" w:type="dxa"/>
          <w:gridSpan w:val="3"/>
        </w:tcPr>
        <w:p w:rsidR="002911DD" w:rsidRPr="00677AC6" w:rsidRDefault="002911DD" w:rsidP="002911DD">
          <w:pPr>
            <w:pStyle w:val="Header"/>
            <w:spacing w:before="60" w:after="60"/>
            <w:rPr>
              <w:b/>
            </w:rPr>
          </w:pPr>
          <w:r>
            <w:rPr>
              <w:b/>
            </w:rPr>
            <w:t>Location: Massachusetts Atty. General western office</w:t>
          </w:r>
        </w:p>
      </w:tc>
      <w:tc>
        <w:tcPr>
          <w:tcW w:w="2358" w:type="dxa"/>
        </w:tcPr>
        <w:p w:rsidR="002911DD" w:rsidRDefault="002911DD" w:rsidP="002911DD">
          <w:pPr>
            <w:pStyle w:val="Header"/>
            <w:tabs>
              <w:tab w:val="clear" w:pos="4320"/>
              <w:tab w:val="clear" w:pos="8640"/>
            </w:tabs>
            <w:spacing w:before="60" w:after="60"/>
            <w:rPr>
              <w:b/>
            </w:rPr>
          </w:pPr>
          <w:r>
            <w:rPr>
              <w:b/>
            </w:rPr>
            <w:t>Indoor Air Results</w:t>
          </w:r>
        </w:p>
      </w:tc>
    </w:tr>
    <w:tr w:rsidR="002911DD" w:rsidTr="002911DD">
      <w:tblPrEx>
        <w:tblCellMar>
          <w:top w:w="0" w:type="dxa"/>
          <w:bottom w:w="0" w:type="dxa"/>
        </w:tblCellMar>
      </w:tblPrEx>
      <w:trPr>
        <w:cantSplit/>
      </w:trPr>
      <w:tc>
        <w:tcPr>
          <w:tcW w:w="4872" w:type="dxa"/>
        </w:tcPr>
        <w:p w:rsidR="002911DD" w:rsidRDefault="002911DD" w:rsidP="002911DD">
          <w:pPr>
            <w:pStyle w:val="Header"/>
            <w:tabs>
              <w:tab w:val="clear" w:pos="4320"/>
              <w:tab w:val="clear" w:pos="8640"/>
            </w:tabs>
            <w:spacing w:before="60" w:after="60"/>
            <w:rPr>
              <w:b/>
            </w:rPr>
          </w:pPr>
          <w:r>
            <w:rPr>
              <w:b/>
            </w:rPr>
            <w:t>Address: 1441 Main Street, Springfield, MA</w:t>
          </w:r>
        </w:p>
      </w:tc>
      <w:tc>
        <w:tcPr>
          <w:tcW w:w="4872" w:type="dxa"/>
        </w:tcPr>
        <w:p w:rsidR="002911DD" w:rsidRDefault="002911DD" w:rsidP="002911DD">
          <w:pPr>
            <w:pStyle w:val="Header"/>
            <w:tabs>
              <w:tab w:val="clear" w:pos="4320"/>
              <w:tab w:val="clear" w:pos="8640"/>
            </w:tabs>
            <w:spacing w:before="60" w:after="60"/>
            <w:jc w:val="center"/>
            <w:rPr>
              <w:b/>
              <w:sz w:val="28"/>
            </w:rPr>
          </w:pPr>
          <w:r>
            <w:rPr>
              <w:b/>
              <w:sz w:val="28"/>
            </w:rPr>
            <w:t>Table 1 (continued)</w:t>
          </w:r>
        </w:p>
      </w:tc>
      <w:tc>
        <w:tcPr>
          <w:tcW w:w="2514" w:type="dxa"/>
        </w:tcPr>
        <w:p w:rsidR="002911DD" w:rsidRDefault="002911DD" w:rsidP="002911DD">
          <w:pPr>
            <w:pStyle w:val="Header"/>
            <w:tabs>
              <w:tab w:val="clear" w:pos="4320"/>
              <w:tab w:val="clear" w:pos="8640"/>
            </w:tabs>
            <w:spacing w:before="60" w:after="60"/>
            <w:rPr>
              <w:b/>
            </w:rPr>
          </w:pPr>
        </w:p>
      </w:tc>
      <w:tc>
        <w:tcPr>
          <w:tcW w:w="2358" w:type="dxa"/>
        </w:tcPr>
        <w:p w:rsidR="002911DD" w:rsidRDefault="002911DD" w:rsidP="002911DD">
          <w:pPr>
            <w:pStyle w:val="Header"/>
            <w:tabs>
              <w:tab w:val="clear" w:pos="4320"/>
              <w:tab w:val="clear" w:pos="8640"/>
            </w:tabs>
            <w:spacing w:before="60" w:after="60"/>
            <w:rPr>
              <w:b/>
            </w:rPr>
          </w:pPr>
          <w:r w:rsidRPr="00677AC6">
            <w:rPr>
              <w:b/>
            </w:rPr>
            <w:t xml:space="preserve">Date: </w:t>
          </w:r>
          <w:r>
            <w:rPr>
              <w:b/>
            </w:rPr>
            <w:t>11/17/2017</w:t>
          </w:r>
        </w:p>
      </w:tc>
    </w:tr>
  </w:tbl>
  <w:p w:rsidR="002911DD" w:rsidRPr="00FB37EB" w:rsidRDefault="002911DD" w:rsidP="002911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18"/>
      <w:gridCol w:w="4326"/>
      <w:gridCol w:w="2514"/>
      <w:gridCol w:w="2358"/>
    </w:tblGrid>
    <w:tr w:rsidR="002911DD" w:rsidTr="002911DD">
      <w:tblPrEx>
        <w:tblCellMar>
          <w:top w:w="0" w:type="dxa"/>
          <w:bottom w:w="0" w:type="dxa"/>
        </w:tblCellMar>
      </w:tblPrEx>
      <w:trPr>
        <w:cantSplit/>
      </w:trPr>
      <w:tc>
        <w:tcPr>
          <w:tcW w:w="12258" w:type="dxa"/>
          <w:gridSpan w:val="3"/>
        </w:tcPr>
        <w:p w:rsidR="002911DD" w:rsidRPr="00677AC6" w:rsidRDefault="002911DD" w:rsidP="002911DD">
          <w:pPr>
            <w:pStyle w:val="Header"/>
            <w:spacing w:before="60" w:after="60"/>
            <w:rPr>
              <w:b/>
            </w:rPr>
          </w:pPr>
          <w:r>
            <w:rPr>
              <w:b/>
            </w:rPr>
            <w:t>Location: Tewksbury Hospital, Rooms C142, C151, C152</w:t>
          </w:r>
        </w:p>
      </w:tc>
      <w:tc>
        <w:tcPr>
          <w:tcW w:w="2358" w:type="dxa"/>
        </w:tcPr>
        <w:p w:rsidR="002911DD" w:rsidRDefault="002911DD" w:rsidP="002911DD">
          <w:pPr>
            <w:pStyle w:val="Header"/>
            <w:tabs>
              <w:tab w:val="clear" w:pos="4320"/>
              <w:tab w:val="clear" w:pos="8640"/>
            </w:tabs>
            <w:spacing w:before="60" w:after="60"/>
            <w:rPr>
              <w:b/>
            </w:rPr>
          </w:pPr>
          <w:r>
            <w:rPr>
              <w:b/>
            </w:rPr>
            <w:t>Indoor Air Results</w:t>
          </w:r>
        </w:p>
      </w:tc>
    </w:tr>
    <w:tr w:rsidR="002911DD" w:rsidTr="002911DD">
      <w:tblPrEx>
        <w:tblCellMar>
          <w:top w:w="0" w:type="dxa"/>
          <w:bottom w:w="0" w:type="dxa"/>
        </w:tblCellMar>
      </w:tblPrEx>
      <w:trPr>
        <w:cantSplit/>
      </w:trPr>
      <w:tc>
        <w:tcPr>
          <w:tcW w:w="5418" w:type="dxa"/>
        </w:tcPr>
        <w:p w:rsidR="002911DD" w:rsidRDefault="002911DD" w:rsidP="002911DD">
          <w:pPr>
            <w:pStyle w:val="Header"/>
            <w:tabs>
              <w:tab w:val="clear" w:pos="4320"/>
              <w:tab w:val="clear" w:pos="8640"/>
            </w:tabs>
            <w:spacing w:before="60" w:after="60"/>
            <w:rPr>
              <w:b/>
            </w:rPr>
          </w:pPr>
          <w:r>
            <w:rPr>
              <w:b/>
            </w:rPr>
            <w:t xml:space="preserve">Address: </w:t>
          </w:r>
          <w:r w:rsidRPr="00ED0020">
            <w:rPr>
              <w:b/>
            </w:rPr>
            <w:t>365 East Street, Tewksbury, MA</w:t>
          </w:r>
        </w:p>
      </w:tc>
      <w:tc>
        <w:tcPr>
          <w:tcW w:w="4326" w:type="dxa"/>
        </w:tcPr>
        <w:p w:rsidR="002911DD" w:rsidRDefault="002911DD" w:rsidP="002911DD">
          <w:pPr>
            <w:pStyle w:val="Header"/>
            <w:tabs>
              <w:tab w:val="clear" w:pos="4320"/>
              <w:tab w:val="clear" w:pos="8640"/>
            </w:tabs>
            <w:spacing w:before="60" w:after="60"/>
            <w:jc w:val="center"/>
            <w:rPr>
              <w:b/>
              <w:sz w:val="28"/>
            </w:rPr>
          </w:pPr>
          <w:r>
            <w:rPr>
              <w:b/>
              <w:sz w:val="28"/>
            </w:rPr>
            <w:t>Table 1</w:t>
          </w:r>
        </w:p>
      </w:tc>
      <w:tc>
        <w:tcPr>
          <w:tcW w:w="2514" w:type="dxa"/>
        </w:tcPr>
        <w:p w:rsidR="002911DD" w:rsidRDefault="002911DD" w:rsidP="002911DD">
          <w:pPr>
            <w:pStyle w:val="Header"/>
            <w:tabs>
              <w:tab w:val="clear" w:pos="4320"/>
              <w:tab w:val="clear" w:pos="8640"/>
            </w:tabs>
            <w:spacing w:before="60" w:after="60"/>
            <w:rPr>
              <w:b/>
            </w:rPr>
          </w:pPr>
        </w:p>
      </w:tc>
      <w:tc>
        <w:tcPr>
          <w:tcW w:w="2358" w:type="dxa"/>
        </w:tcPr>
        <w:p w:rsidR="002911DD" w:rsidRDefault="002911DD" w:rsidP="002911DD">
          <w:pPr>
            <w:pStyle w:val="Header"/>
            <w:tabs>
              <w:tab w:val="clear" w:pos="4320"/>
              <w:tab w:val="clear" w:pos="8640"/>
            </w:tabs>
            <w:spacing w:before="60" w:after="60"/>
            <w:rPr>
              <w:b/>
            </w:rPr>
          </w:pPr>
          <w:r w:rsidRPr="00677AC6">
            <w:rPr>
              <w:b/>
            </w:rPr>
            <w:t xml:space="preserve">Date: </w:t>
          </w:r>
          <w:r>
            <w:rPr>
              <w:b/>
            </w:rPr>
            <w:t>5/25/2018</w:t>
          </w:r>
        </w:p>
      </w:tc>
    </w:tr>
  </w:tbl>
  <w:p w:rsidR="002911DD" w:rsidRDefault="00291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B7174"/>
    <w:multiLevelType w:val="hybridMultilevel"/>
    <w:tmpl w:val="36BE9CA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C6D8A"/>
    <w:multiLevelType w:val="multilevel"/>
    <w:tmpl w:val="1762915E"/>
    <w:numStyleLink w:val="StyleBulletedSymbolsymbolBoldLeft0Hanging0251"/>
  </w:abstractNum>
  <w:abstractNum w:abstractNumId="25">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6"/>
  </w:num>
  <w:num w:numId="7">
    <w:abstractNumId w:val="25"/>
  </w:num>
  <w:num w:numId="8">
    <w:abstractNumId w:val="6"/>
  </w:num>
  <w:num w:numId="9">
    <w:abstractNumId w:val="1"/>
  </w:num>
  <w:num w:numId="10">
    <w:abstractNumId w:val="7"/>
  </w:num>
  <w:num w:numId="11">
    <w:abstractNumId w:val="17"/>
  </w:num>
  <w:num w:numId="12">
    <w:abstractNumId w:val="5"/>
  </w:num>
  <w:num w:numId="13">
    <w:abstractNumId w:val="20"/>
  </w:num>
  <w:num w:numId="14">
    <w:abstractNumId w:val="15"/>
  </w:num>
  <w:num w:numId="15">
    <w:abstractNumId w:val="4"/>
  </w:num>
  <w:num w:numId="16">
    <w:abstractNumId w:val="14"/>
  </w:num>
  <w:num w:numId="17">
    <w:abstractNumId w:val="3"/>
  </w:num>
  <w:num w:numId="18">
    <w:abstractNumId w:val="8"/>
  </w:num>
  <w:num w:numId="19">
    <w:abstractNumId w:val="24"/>
  </w:num>
  <w:num w:numId="20">
    <w:abstractNumId w:val="23"/>
  </w:num>
  <w:num w:numId="21">
    <w:abstractNumId w:val="27"/>
  </w:num>
  <w:num w:numId="22">
    <w:abstractNumId w:val="16"/>
  </w:num>
  <w:num w:numId="23">
    <w:abstractNumId w:val="19"/>
  </w:num>
  <w:num w:numId="24">
    <w:abstractNumId w:val="2"/>
  </w:num>
  <w:num w:numId="25">
    <w:abstractNumId w:val="21"/>
  </w:num>
  <w:num w:numId="26">
    <w:abstractNumId w:val="9"/>
  </w:num>
  <w:num w:numId="27">
    <w:abstractNumId w:val="22"/>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B7F28"/>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F005B"/>
    <w:rsid w:val="000F042F"/>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23AD"/>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D83"/>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5C8"/>
    <w:rsid w:val="00162EA0"/>
    <w:rsid w:val="001649EB"/>
    <w:rsid w:val="00164A7D"/>
    <w:rsid w:val="001650A0"/>
    <w:rsid w:val="00165286"/>
    <w:rsid w:val="001653C6"/>
    <w:rsid w:val="00165A82"/>
    <w:rsid w:val="00165C0A"/>
    <w:rsid w:val="00167F86"/>
    <w:rsid w:val="00170ABD"/>
    <w:rsid w:val="001726A9"/>
    <w:rsid w:val="0017429F"/>
    <w:rsid w:val="00174959"/>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5351"/>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D80"/>
    <w:rsid w:val="001F2DA1"/>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1F9D"/>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659"/>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1DD"/>
    <w:rsid w:val="00291A33"/>
    <w:rsid w:val="00291A6F"/>
    <w:rsid w:val="0029445C"/>
    <w:rsid w:val="00294E3C"/>
    <w:rsid w:val="00295074"/>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093"/>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507"/>
    <w:rsid w:val="002D2ABC"/>
    <w:rsid w:val="002D2EDD"/>
    <w:rsid w:val="002D472B"/>
    <w:rsid w:val="002D4F2F"/>
    <w:rsid w:val="002D5170"/>
    <w:rsid w:val="002D5685"/>
    <w:rsid w:val="002D5739"/>
    <w:rsid w:val="002D5C1C"/>
    <w:rsid w:val="002D772C"/>
    <w:rsid w:val="002E0B7A"/>
    <w:rsid w:val="002E1405"/>
    <w:rsid w:val="002E18EF"/>
    <w:rsid w:val="002E21D7"/>
    <w:rsid w:val="002E2A25"/>
    <w:rsid w:val="002E378D"/>
    <w:rsid w:val="002E3BBA"/>
    <w:rsid w:val="002E418D"/>
    <w:rsid w:val="002E49FC"/>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65A6"/>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3667"/>
    <w:rsid w:val="0036510F"/>
    <w:rsid w:val="00365C53"/>
    <w:rsid w:val="003671C5"/>
    <w:rsid w:val="00367B9E"/>
    <w:rsid w:val="00370275"/>
    <w:rsid w:val="00370784"/>
    <w:rsid w:val="00371434"/>
    <w:rsid w:val="003717E5"/>
    <w:rsid w:val="00372350"/>
    <w:rsid w:val="00373943"/>
    <w:rsid w:val="00373B4E"/>
    <w:rsid w:val="003754B2"/>
    <w:rsid w:val="0037757C"/>
    <w:rsid w:val="0038150B"/>
    <w:rsid w:val="003820B3"/>
    <w:rsid w:val="00382A79"/>
    <w:rsid w:val="00382BFA"/>
    <w:rsid w:val="003835AD"/>
    <w:rsid w:val="00383BB7"/>
    <w:rsid w:val="003858AC"/>
    <w:rsid w:val="0038729C"/>
    <w:rsid w:val="0038743B"/>
    <w:rsid w:val="00387FDE"/>
    <w:rsid w:val="00390663"/>
    <w:rsid w:val="0039069F"/>
    <w:rsid w:val="00392217"/>
    <w:rsid w:val="0039263A"/>
    <w:rsid w:val="00393091"/>
    <w:rsid w:val="00393AD1"/>
    <w:rsid w:val="0039418E"/>
    <w:rsid w:val="00395A5C"/>
    <w:rsid w:val="00395D10"/>
    <w:rsid w:val="00395FA5"/>
    <w:rsid w:val="003967B7"/>
    <w:rsid w:val="003A07CA"/>
    <w:rsid w:val="003A082B"/>
    <w:rsid w:val="003A0E79"/>
    <w:rsid w:val="003A114C"/>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5FFA"/>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0F31"/>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695"/>
    <w:rsid w:val="00484A74"/>
    <w:rsid w:val="00484AD7"/>
    <w:rsid w:val="00485739"/>
    <w:rsid w:val="004862E3"/>
    <w:rsid w:val="00486557"/>
    <w:rsid w:val="0049028D"/>
    <w:rsid w:val="00491149"/>
    <w:rsid w:val="00491DC6"/>
    <w:rsid w:val="00492676"/>
    <w:rsid w:val="004934A8"/>
    <w:rsid w:val="0049417E"/>
    <w:rsid w:val="00494FAC"/>
    <w:rsid w:val="004964D7"/>
    <w:rsid w:val="004A19CE"/>
    <w:rsid w:val="004A1D9A"/>
    <w:rsid w:val="004A20C6"/>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1829"/>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38"/>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17C"/>
    <w:rsid w:val="00504AD7"/>
    <w:rsid w:val="0050537D"/>
    <w:rsid w:val="005104FB"/>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3D9F"/>
    <w:rsid w:val="00534E93"/>
    <w:rsid w:val="00536481"/>
    <w:rsid w:val="005405FD"/>
    <w:rsid w:val="00540FF1"/>
    <w:rsid w:val="0054209D"/>
    <w:rsid w:val="00543603"/>
    <w:rsid w:val="0054564F"/>
    <w:rsid w:val="00545D22"/>
    <w:rsid w:val="00546215"/>
    <w:rsid w:val="00546548"/>
    <w:rsid w:val="005466CF"/>
    <w:rsid w:val="00546D5E"/>
    <w:rsid w:val="0054736B"/>
    <w:rsid w:val="00550503"/>
    <w:rsid w:val="0055289E"/>
    <w:rsid w:val="00552AB1"/>
    <w:rsid w:val="00552DF6"/>
    <w:rsid w:val="005538DE"/>
    <w:rsid w:val="00553E61"/>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7CF"/>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10F"/>
    <w:rsid w:val="00656404"/>
    <w:rsid w:val="00656CBF"/>
    <w:rsid w:val="00656F3E"/>
    <w:rsid w:val="00657D1D"/>
    <w:rsid w:val="00660270"/>
    <w:rsid w:val="00661A14"/>
    <w:rsid w:val="00661F35"/>
    <w:rsid w:val="00662616"/>
    <w:rsid w:val="0066271A"/>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53F"/>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DCD"/>
    <w:rsid w:val="00702971"/>
    <w:rsid w:val="00702F60"/>
    <w:rsid w:val="00703249"/>
    <w:rsid w:val="0070350C"/>
    <w:rsid w:val="00703A75"/>
    <w:rsid w:val="007040C2"/>
    <w:rsid w:val="007046AA"/>
    <w:rsid w:val="007048D1"/>
    <w:rsid w:val="0070714C"/>
    <w:rsid w:val="00710C80"/>
    <w:rsid w:val="00711AA6"/>
    <w:rsid w:val="00712503"/>
    <w:rsid w:val="00712562"/>
    <w:rsid w:val="00712A07"/>
    <w:rsid w:val="007135AB"/>
    <w:rsid w:val="00713970"/>
    <w:rsid w:val="007145C1"/>
    <w:rsid w:val="007148F7"/>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092"/>
    <w:rsid w:val="00750545"/>
    <w:rsid w:val="007509F1"/>
    <w:rsid w:val="00750BD2"/>
    <w:rsid w:val="0075126F"/>
    <w:rsid w:val="00751572"/>
    <w:rsid w:val="007515A3"/>
    <w:rsid w:val="0075353C"/>
    <w:rsid w:val="00753693"/>
    <w:rsid w:val="0075388D"/>
    <w:rsid w:val="007548B2"/>
    <w:rsid w:val="0075685C"/>
    <w:rsid w:val="00757A0B"/>
    <w:rsid w:val="00757D0A"/>
    <w:rsid w:val="0076164D"/>
    <w:rsid w:val="00763F34"/>
    <w:rsid w:val="00764549"/>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002"/>
    <w:rsid w:val="007902F0"/>
    <w:rsid w:val="0079151A"/>
    <w:rsid w:val="007929C0"/>
    <w:rsid w:val="00792D77"/>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E69"/>
    <w:rsid w:val="007F7A37"/>
    <w:rsid w:val="007F7D8F"/>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6A1"/>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45"/>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1C"/>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363D"/>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6F8D"/>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285"/>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D5A"/>
    <w:rsid w:val="00994E6D"/>
    <w:rsid w:val="00996404"/>
    <w:rsid w:val="00996E57"/>
    <w:rsid w:val="0099778B"/>
    <w:rsid w:val="009A0918"/>
    <w:rsid w:val="009A0B2E"/>
    <w:rsid w:val="009A0E6C"/>
    <w:rsid w:val="009A1939"/>
    <w:rsid w:val="009A237F"/>
    <w:rsid w:val="009A2C0D"/>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C7CF0"/>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798"/>
    <w:rsid w:val="00A169EF"/>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69A9"/>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2003"/>
    <w:rsid w:val="00A825E8"/>
    <w:rsid w:val="00A8441B"/>
    <w:rsid w:val="00A845A3"/>
    <w:rsid w:val="00A86BF8"/>
    <w:rsid w:val="00A875D1"/>
    <w:rsid w:val="00A87BF2"/>
    <w:rsid w:val="00A90795"/>
    <w:rsid w:val="00A907A9"/>
    <w:rsid w:val="00A90B98"/>
    <w:rsid w:val="00A91138"/>
    <w:rsid w:val="00A91275"/>
    <w:rsid w:val="00A92099"/>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0D5E"/>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3A5"/>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1F66"/>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33F"/>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7F7"/>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4AB1"/>
    <w:rsid w:val="00B96018"/>
    <w:rsid w:val="00BA09FE"/>
    <w:rsid w:val="00BA19BD"/>
    <w:rsid w:val="00BA1B10"/>
    <w:rsid w:val="00BA1E04"/>
    <w:rsid w:val="00BA212F"/>
    <w:rsid w:val="00BA264D"/>
    <w:rsid w:val="00BA2ECC"/>
    <w:rsid w:val="00BA366C"/>
    <w:rsid w:val="00BA38E7"/>
    <w:rsid w:val="00BA5A7E"/>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07E3"/>
    <w:rsid w:val="00BC1220"/>
    <w:rsid w:val="00BC25BB"/>
    <w:rsid w:val="00BC2B30"/>
    <w:rsid w:val="00BC43B8"/>
    <w:rsid w:val="00BC4768"/>
    <w:rsid w:val="00BC47FB"/>
    <w:rsid w:val="00BC5778"/>
    <w:rsid w:val="00BC636A"/>
    <w:rsid w:val="00BC6DCD"/>
    <w:rsid w:val="00BC7718"/>
    <w:rsid w:val="00BD0556"/>
    <w:rsid w:val="00BD08A8"/>
    <w:rsid w:val="00BD242B"/>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7F6"/>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4E36"/>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CDC"/>
    <w:rsid w:val="00C3146A"/>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0E5"/>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1601"/>
    <w:rsid w:val="00C82409"/>
    <w:rsid w:val="00C82C7E"/>
    <w:rsid w:val="00C8305B"/>
    <w:rsid w:val="00C83278"/>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777"/>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4B9C"/>
    <w:rsid w:val="00CF52BA"/>
    <w:rsid w:val="00CF5BD7"/>
    <w:rsid w:val="00CF738F"/>
    <w:rsid w:val="00D00461"/>
    <w:rsid w:val="00D018A3"/>
    <w:rsid w:val="00D021BA"/>
    <w:rsid w:val="00D024E7"/>
    <w:rsid w:val="00D02F8D"/>
    <w:rsid w:val="00D03BED"/>
    <w:rsid w:val="00D0424E"/>
    <w:rsid w:val="00D0484B"/>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799"/>
    <w:rsid w:val="00D328D2"/>
    <w:rsid w:val="00D32F3E"/>
    <w:rsid w:val="00D33348"/>
    <w:rsid w:val="00D33367"/>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55E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6F0A"/>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3B16"/>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419"/>
    <w:rsid w:val="00F516B0"/>
    <w:rsid w:val="00F53A8F"/>
    <w:rsid w:val="00F53C9A"/>
    <w:rsid w:val="00F5440E"/>
    <w:rsid w:val="00F546B5"/>
    <w:rsid w:val="00F5553C"/>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700"/>
    <w:rsid w:val="00F85E13"/>
    <w:rsid w:val="00F85E1B"/>
    <w:rsid w:val="00F861A8"/>
    <w:rsid w:val="00F87A1A"/>
    <w:rsid w:val="00F9063F"/>
    <w:rsid w:val="00F91EAE"/>
    <w:rsid w:val="00F92385"/>
    <w:rsid w:val="00F93352"/>
    <w:rsid w:val="00F93486"/>
    <w:rsid w:val="00F93D5E"/>
    <w:rsid w:val="00F954C0"/>
    <w:rsid w:val="00F9712B"/>
    <w:rsid w:val="00F9766E"/>
    <w:rsid w:val="00F979B3"/>
    <w:rsid w:val="00FA0CCD"/>
    <w:rsid w:val="00FA1583"/>
    <w:rsid w:val="00FA234F"/>
    <w:rsid w:val="00FA3444"/>
    <w:rsid w:val="00FA3571"/>
    <w:rsid w:val="00FA4363"/>
    <w:rsid w:val="00FA4A79"/>
    <w:rsid w:val="00FA55C6"/>
    <w:rsid w:val="00FA65C5"/>
    <w:rsid w:val="00FA7AA9"/>
    <w:rsid w:val="00FB0243"/>
    <w:rsid w:val="00FB06A5"/>
    <w:rsid w:val="00FB0D02"/>
    <w:rsid w:val="00FB0FCE"/>
    <w:rsid w:val="00FB1447"/>
    <w:rsid w:val="00FB175F"/>
    <w:rsid w:val="00FB2273"/>
    <w:rsid w:val="00FB23A3"/>
    <w:rsid w:val="00FB262F"/>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namihelps.org/assets/PDFs/fact-sheets/Illnesses/Seasonal-Affective-Disorder.pdf"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mass.gov/dph/iaq"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BE0C-9CCC-4A29-B7B3-46E4ED59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6746</CharactersWithSpaces>
  <SharedDoc>false</SharedDoc>
  <HLinks>
    <vt:vector size="18" baseType="variant">
      <vt:variant>
        <vt:i4>2359351</vt:i4>
      </vt:variant>
      <vt:variant>
        <vt:i4>9</vt:i4>
      </vt:variant>
      <vt:variant>
        <vt:i4>0</vt:i4>
      </vt:variant>
      <vt:variant>
        <vt:i4>5</vt:i4>
      </vt:variant>
      <vt:variant>
        <vt:lpwstr>http://www.namihelps.org/assets/PDFs/fact-sheets/Illnesses/Seasonal-Affective-Disorder.pdf</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Tewksbury Hospital Saunders Building (June 2018)</dc:title>
  <dc:subject>Tewksbury Hospital </dc:subject>
  <dc:creator>Indoor Air Quality Program</dc:creator>
  <cp:keywords/>
  <cp:lastModifiedBy>AutoBVT</cp:lastModifiedBy>
  <cp:revision>3</cp:revision>
  <cp:lastPrinted>2018-06-21T13:45:00Z</cp:lastPrinted>
  <dcterms:created xsi:type="dcterms:W3CDTF">2018-09-19T14:17:00Z</dcterms:created>
  <dcterms:modified xsi:type="dcterms:W3CDTF">2018-09-19T14:17:00Z</dcterms:modified>
</cp:coreProperties>
</file>