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7F" w:rsidRDefault="00FC237F" w:rsidP="00FC237F">
      <w:pPr>
        <w:ind w:left="630"/>
        <w:rPr>
          <w:rFonts w:ascii="Century Schoolbook" w:hAnsi="Century Schoolbook"/>
          <w:b/>
          <w:bCs/>
          <w:color w:val="000080"/>
          <w:sz w:val="32"/>
          <w:szCs w:val="32"/>
        </w:rPr>
      </w:pPr>
      <w:r w:rsidRPr="00037990">
        <w:rPr>
          <w:noProof/>
        </w:rPr>
        <mc:AlternateContent>
          <mc:Choice Requires="wps">
            <w:drawing>
              <wp:anchor distT="0" distB="0" distL="114300" distR="114300" simplePos="0" relativeHeight="251661312" behindDoc="0" locked="0" layoutInCell="1" allowOverlap="1" wp14:anchorId="3693F670" wp14:editId="6561E9AC">
                <wp:simplePos x="0" y="0"/>
                <wp:positionH relativeFrom="column">
                  <wp:posOffset>1732915</wp:posOffset>
                </wp:positionH>
                <wp:positionV relativeFrom="paragraph">
                  <wp:posOffset>-93023</wp:posOffset>
                </wp:positionV>
                <wp:extent cx="4348716" cy="1341755"/>
                <wp:effectExtent l="0" t="0" r="0"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8716" cy="1341755"/>
                        </a:xfrm>
                        <a:prstGeom prst="rect">
                          <a:avLst/>
                        </a:prstGeom>
                        <a:noFill/>
                        <a:ln>
                          <a:noFill/>
                        </a:ln>
                        <a:effectLst/>
                      </wps:spPr>
                      <wps:txbx>
                        <w:txbxContent>
                          <w:p w:rsidR="00FC237F" w:rsidRPr="001F27F2" w:rsidRDefault="00FC237F" w:rsidP="005C4BF5">
                            <w:pPr>
                              <w:jc w:val="cente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Pr="001F27F2">
                              <w:rPr>
                                <w:color w:val="E36C0A"/>
                                <w:sz w:val="44"/>
                                <w:szCs w:val="52"/>
                              </w:rPr>
                              <w:br/>
                            </w:r>
                            <w:r>
                              <w:rPr>
                                <w:color w:val="E36C0A"/>
                                <w:sz w:val="44"/>
                                <w:szCs w:val="52"/>
                              </w:rPr>
                              <w:t>Registered Nurse</w:t>
                            </w:r>
                            <w:r w:rsidRPr="001F27F2">
                              <w:rPr>
                                <w:color w:val="E36C0A"/>
                                <w:sz w:val="44"/>
                                <w:szCs w:val="52"/>
                              </w:rPr>
                              <w:t xml:space="preserve">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6.45pt;margin-top:-7.3pt;width:342.4pt;height:10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" filled="f" stroked="f">
                <v:path arrowok="t"/>
                <v:textbox>
                  <w:txbxContent>
                    <w:p w:rsidR="00FC237F" w:rsidRPr="001F27F2" w:rsidRDefault="00FC237F" w:rsidP="005C4BF5">
                      <w:pPr>
                        <w:jc w:val="center"/>
                        <w:rPr>
                          <w:color w:val="E36C0A"/>
                          <w:sz w:val="44"/>
                          <w:szCs w:val="52"/>
                        </w:rPr>
                      </w:pPr>
                      <w:r w:rsidRPr="001F27F2">
                        <w:rPr>
                          <w:b/>
                          <w:color w:val="E36C0A"/>
                          <w:sz w:val="48"/>
                          <w:szCs w:val="52"/>
                        </w:rPr>
                        <w:t>Data Brief:</w:t>
                      </w:r>
                      <w:r w:rsidRPr="001F27F2">
                        <w:rPr>
                          <w:color w:val="E36C0A"/>
                          <w:sz w:val="48"/>
                          <w:szCs w:val="52"/>
                        </w:rPr>
                        <w:t xml:space="preserve"> </w:t>
                      </w:r>
                      <w:r w:rsidRPr="001F27F2">
                        <w:rPr>
                          <w:color w:val="E36C0A"/>
                          <w:sz w:val="48"/>
                          <w:szCs w:val="52"/>
                        </w:rPr>
                        <w:br/>
                      </w:r>
                      <w:r w:rsidRPr="001F27F2">
                        <w:rPr>
                          <w:color w:val="E36C0A"/>
                          <w:sz w:val="44"/>
                          <w:szCs w:val="52"/>
                        </w:rPr>
                        <w:t xml:space="preserve">Health Professions Data Series – </w:t>
                      </w:r>
                      <w:r w:rsidRPr="001F27F2">
                        <w:rPr>
                          <w:color w:val="E36C0A"/>
                          <w:sz w:val="44"/>
                          <w:szCs w:val="52"/>
                        </w:rPr>
                        <w:br/>
                      </w:r>
                      <w:r>
                        <w:rPr>
                          <w:color w:val="E36C0A"/>
                          <w:sz w:val="44"/>
                          <w:szCs w:val="52"/>
                        </w:rPr>
                        <w:t>Registered Nurse</w:t>
                      </w:r>
                      <w:r w:rsidRPr="001F27F2">
                        <w:rPr>
                          <w:color w:val="E36C0A"/>
                          <w:sz w:val="44"/>
                          <w:szCs w:val="52"/>
                        </w:rPr>
                        <w:t xml:space="preserve"> 2014</w:t>
                      </w:r>
                    </w:p>
                  </w:txbxContent>
                </v:textbox>
              </v:shape>
            </w:pict>
          </mc:Fallback>
        </mc:AlternateContent>
      </w:r>
      <w:r w:rsidRPr="00037990">
        <w:rPr>
          <w:noProof/>
        </w:rPr>
        <mc:AlternateContent>
          <mc:Choice Requires="wps">
            <w:drawing>
              <wp:anchor distT="0" distB="0" distL="114300" distR="114300" simplePos="0" relativeHeight="251662336" behindDoc="1" locked="0" layoutInCell="1" allowOverlap="1" wp14:anchorId="784E5428" wp14:editId="6FFF7937">
                <wp:simplePos x="0" y="0"/>
                <wp:positionH relativeFrom="column">
                  <wp:posOffset>178435</wp:posOffset>
                </wp:positionH>
                <wp:positionV relativeFrom="paragraph">
                  <wp:posOffset>1187005</wp:posOffset>
                </wp:positionV>
                <wp:extent cx="6772275" cy="266700"/>
                <wp:effectExtent l="0" t="0" r="28575" b="19050"/>
                <wp:wrapNone/>
                <wp:docPr id="2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FC237F" w:rsidRPr="00573EED" w:rsidRDefault="00FC237F" w:rsidP="00FC237F">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1E6A46">
                              <w:rPr>
                                <w:rFonts w:ascii="Calibri" w:hAnsi="Calibri"/>
                                <w:caps/>
                                <w:sz w:val="18"/>
                                <w:szCs w:val="16"/>
                              </w:rPr>
                              <w:t>August</w:t>
                            </w:r>
                            <w:r w:rsidR="00DE4172">
                              <w:rPr>
                                <w:rFonts w:ascii="Calibri" w:hAnsi="Calibri"/>
                                <w:caps/>
                                <w:sz w:val="18"/>
                                <w:szCs w:val="16"/>
                              </w:rPr>
                              <w:t xml:space="preserve"> </w:t>
                            </w:r>
                            <w:r w:rsidR="00D34B5D">
                              <w:rPr>
                                <w:rFonts w:ascii="Calibri" w:hAnsi="Calibri"/>
                                <w:caps/>
                                <w:sz w:val="18"/>
                                <w:szCs w:val="16"/>
                              </w:rPr>
                              <w:t>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4.05pt;margin-top:93.45pt;width:533.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" strokeweight="1pt">
                <v:textbox inset=",0,,0">
                  <w:txbxContent>
                    <w:p w:rsidR="00FC237F" w:rsidRPr="00573EED" w:rsidRDefault="00FC237F" w:rsidP="00FC237F">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1E6A46">
                        <w:rPr>
                          <w:rFonts w:ascii="Calibri" w:hAnsi="Calibri"/>
                          <w:caps/>
                          <w:sz w:val="18"/>
                          <w:szCs w:val="16"/>
                        </w:rPr>
                        <w:t>August</w:t>
                      </w:r>
                      <w:r w:rsidR="00DE4172">
                        <w:rPr>
                          <w:rFonts w:ascii="Calibri" w:hAnsi="Calibri"/>
                          <w:caps/>
                          <w:sz w:val="18"/>
                          <w:szCs w:val="16"/>
                        </w:rPr>
                        <w:t xml:space="preserve"> </w:t>
                      </w:r>
                      <w:r w:rsidR="00D34B5D">
                        <w:rPr>
                          <w:rFonts w:ascii="Calibri" w:hAnsi="Calibri"/>
                          <w:caps/>
                          <w:sz w:val="18"/>
                          <w:szCs w:val="16"/>
                        </w:rPr>
                        <w:t>2016</w:t>
                      </w:r>
                    </w:p>
                  </w:txbxContent>
                </v:textbox>
              </v:shape>
            </w:pict>
          </mc:Fallback>
        </mc:AlternateContent>
      </w:r>
      <w:r w:rsidRPr="00037990">
        <w:rPr>
          <w:noProof/>
        </w:rPr>
        <mc:AlternateContent>
          <mc:Choice Requires="wps">
            <w:drawing>
              <wp:anchor distT="0" distB="274320" distL="114300" distR="114300" simplePos="0" relativeHeight="251660288" behindDoc="1" locked="0" layoutInCell="1" allowOverlap="1" wp14:anchorId="36DA2865" wp14:editId="6A4C7671">
                <wp:simplePos x="0" y="0"/>
                <wp:positionH relativeFrom="column">
                  <wp:posOffset>183515</wp:posOffset>
                </wp:positionH>
                <wp:positionV relativeFrom="paragraph">
                  <wp:posOffset>-100965</wp:posOffset>
                </wp:positionV>
                <wp:extent cx="6772275" cy="1282065"/>
                <wp:effectExtent l="0" t="0" r="28575" b="1333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820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4.45pt;margin-top:-7.95pt;width:533.25pt;height:100.95pt;z-index:-25165619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" strokeweight="1pt"/>
            </w:pict>
          </mc:Fallback>
        </mc:AlternateContent>
      </w:r>
      <w:r w:rsidRPr="00037990">
        <w:rPr>
          <w:noProof/>
        </w:rPr>
        <w:drawing>
          <wp:inline distT="0" distB="0" distL="0" distR="0" wp14:anchorId="1268BF65" wp14:editId="57834036">
            <wp:extent cx="1009650" cy="1019175"/>
            <wp:effectExtent l="0" t="0" r="0" b="9525"/>
            <wp:docPr id="48" name="Picture 29" descr="DPH-logo-B&amp;W" title="D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r>
        <w:rPr>
          <w:rFonts w:ascii="Calibri" w:hAnsi="Calibri"/>
          <w:b/>
          <w:bCs/>
          <w:sz w:val="40"/>
          <w:szCs w:val="40"/>
        </w:rPr>
        <w:br/>
      </w:r>
      <w:r w:rsidRPr="005309F3">
        <w:rPr>
          <w:rFonts w:ascii="Century Schoolbook" w:hAnsi="Century Schoolbook"/>
          <w:b/>
          <w:bCs/>
          <w:color w:val="000080"/>
          <w:sz w:val="32"/>
          <w:szCs w:val="32"/>
        </w:rPr>
        <w:t xml:space="preserve"> </w:t>
      </w:r>
    </w:p>
    <w:p w:rsidR="0001261D" w:rsidRPr="00DD15C0" w:rsidRDefault="00FC237F" w:rsidP="00E559AB">
      <w:pPr>
        <w:jc w:val="both"/>
        <w:rPr>
          <w:szCs w:val="24"/>
        </w:rPr>
      </w:pPr>
      <w:r>
        <w:rPr>
          <w:rFonts w:asciiTheme="majorHAnsi" w:hAnsiTheme="majorHAnsi"/>
          <w:i/>
          <w:iCs/>
          <w:sz w:val="28"/>
          <w:szCs w:val="28"/>
        </w:rPr>
        <w:br/>
      </w:r>
      <w:r w:rsidRPr="00DD15C0">
        <w:rPr>
          <w:i/>
          <w:iCs/>
          <w:szCs w:val="24"/>
        </w:rPr>
        <w:t>The Massachusetts Health Professions Data Series: Registered Nurse 2014 Report</w:t>
      </w:r>
      <w:r w:rsidRPr="00DD15C0">
        <w:rPr>
          <w:szCs w:val="24"/>
        </w:rPr>
        <w:t xml:space="preserve"> provides data on workforce characteristics of </w:t>
      </w:r>
      <w:r w:rsidR="00F55D02">
        <w:rPr>
          <w:szCs w:val="24"/>
        </w:rPr>
        <w:t>registered nurses</w:t>
      </w:r>
      <w:r w:rsidRPr="00DD15C0">
        <w:rPr>
          <w:szCs w:val="24"/>
        </w:rPr>
        <w:t xml:space="preserve"> licensed to practice in Massachusetts. This report is part of the </w:t>
      </w:r>
      <w:r w:rsidRPr="00DD15C0">
        <w:rPr>
          <w:i/>
          <w:iCs/>
          <w:szCs w:val="24"/>
        </w:rPr>
        <w:t>Department of Public Health’s Health Professions Data Series</w:t>
      </w:r>
      <w:r w:rsidRPr="00DD15C0">
        <w:rPr>
          <w:iCs/>
          <w:szCs w:val="24"/>
        </w:rPr>
        <w:t>, which</w:t>
      </w:r>
      <w:r w:rsidRPr="00DD15C0">
        <w:rPr>
          <w:szCs w:val="24"/>
        </w:rPr>
        <w:t xml:space="preserve"> currently reports on seven licensed health professions: dentists, dental hygienists, pharmacists, physicians, physician assistants, registered nurses, and licensed practical nurses.</w:t>
      </w:r>
    </w:p>
    <w:p w:rsidR="00FC237F" w:rsidRPr="00DD15C0" w:rsidRDefault="00FC237F" w:rsidP="00E559AB">
      <w:pPr>
        <w:jc w:val="both"/>
        <w:rPr>
          <w:szCs w:val="24"/>
        </w:rPr>
      </w:pPr>
      <w:r w:rsidRPr="00DD15C0">
        <w:rPr>
          <w:i/>
          <w:iCs/>
          <w:szCs w:val="24"/>
        </w:rPr>
        <w:t xml:space="preserve">The Massachusetts Health Professions Data Series: </w:t>
      </w:r>
      <w:r w:rsidR="00717941" w:rsidRPr="00DD15C0">
        <w:rPr>
          <w:i/>
          <w:iCs/>
          <w:szCs w:val="24"/>
        </w:rPr>
        <w:t>Registered Nurse</w:t>
      </w:r>
      <w:r w:rsidRPr="00DD15C0">
        <w:rPr>
          <w:i/>
          <w:iCs/>
          <w:szCs w:val="24"/>
        </w:rPr>
        <w:t xml:space="preserve"> 2014 Report</w:t>
      </w:r>
      <w:r w:rsidRPr="00DD15C0">
        <w:rPr>
          <w:iCs/>
          <w:szCs w:val="24"/>
        </w:rPr>
        <w:t xml:space="preserve"> represents data from the third cycle of the health professional workforce data collection. This initiative was launched during the 2010 licensure renewal cycle in coordination with the Division of Health Professions Licensure. </w:t>
      </w:r>
    </w:p>
    <w:p w:rsidR="0001261D" w:rsidRPr="00DD15C0" w:rsidRDefault="0001261D" w:rsidP="00E559AB">
      <w:pPr>
        <w:pBdr>
          <w:bottom w:val="single" w:sz="4" w:space="1" w:color="auto"/>
        </w:pBdr>
        <w:jc w:val="both"/>
        <w:rPr>
          <w:b/>
          <w:color w:val="7F7F7F" w:themeColor="text1" w:themeTint="80"/>
          <w:sz w:val="24"/>
          <w:szCs w:val="24"/>
        </w:rPr>
      </w:pPr>
      <w:r w:rsidRPr="00DD15C0">
        <w:rPr>
          <w:b/>
          <w:color w:val="7F7F7F" w:themeColor="text1" w:themeTint="80"/>
          <w:sz w:val="24"/>
          <w:szCs w:val="24"/>
        </w:rPr>
        <w:t>Background</w:t>
      </w:r>
    </w:p>
    <w:p w:rsidR="00370F1D" w:rsidRPr="00370F1D" w:rsidRDefault="00370F1D" w:rsidP="00370F1D">
      <w:pPr>
        <w:jc w:val="both"/>
        <w:rPr>
          <w:szCs w:val="24"/>
        </w:rPr>
      </w:pPr>
      <w:r w:rsidRPr="00370F1D">
        <w:rPr>
          <w:szCs w:val="24"/>
        </w:rPr>
        <w:t xml:space="preserve">The Registered Nurse (RN) data in the Health Professions Data Series is derived from an online workforce survey that accompanies the online license renewal application for registered nurses licensed in Massachusetts (MA). </w:t>
      </w:r>
      <w:r w:rsidR="001C6149" w:rsidRPr="001C6149">
        <w:rPr>
          <w:szCs w:val="24"/>
        </w:rPr>
        <w:t>RNs renew their license every two years, in even num</w:t>
      </w:r>
      <w:r w:rsidR="001C6149">
        <w:rPr>
          <w:szCs w:val="24"/>
        </w:rPr>
        <w:t>bered years on their birthday</w:t>
      </w:r>
      <w:r w:rsidRPr="00370F1D">
        <w:rPr>
          <w:szCs w:val="24"/>
        </w:rPr>
        <w:t>. The data presented in this report represents the 2014 renewal cycle.</w:t>
      </w:r>
    </w:p>
    <w:p w:rsidR="00370F1D" w:rsidRPr="00370F1D" w:rsidRDefault="00370F1D" w:rsidP="00370F1D">
      <w:pPr>
        <w:jc w:val="both"/>
        <w:rPr>
          <w:szCs w:val="24"/>
        </w:rPr>
      </w:pPr>
      <w:r w:rsidRPr="00370F1D">
        <w:rPr>
          <w:szCs w:val="24"/>
        </w:rPr>
        <w:t>RNs who were administered a 2014 RN workforce survey:</w:t>
      </w:r>
    </w:p>
    <w:p w:rsidR="00370F1D" w:rsidRDefault="00370F1D" w:rsidP="00370F1D">
      <w:pPr>
        <w:numPr>
          <w:ilvl w:val="0"/>
          <w:numId w:val="1"/>
        </w:numPr>
        <w:contextualSpacing/>
        <w:jc w:val="both"/>
        <w:rPr>
          <w:szCs w:val="24"/>
        </w:rPr>
      </w:pPr>
      <w:r w:rsidRPr="00370F1D">
        <w:rPr>
          <w:szCs w:val="24"/>
        </w:rPr>
        <w:t>Registered nurses who were due to renew their license during the 2014 cycle and completed their license renewal application online through the MA Department of Public Health Online Licensing System.</w:t>
      </w:r>
    </w:p>
    <w:p w:rsidR="005A455A" w:rsidRPr="00370F1D" w:rsidRDefault="005A455A" w:rsidP="005A455A">
      <w:pPr>
        <w:ind w:left="720"/>
        <w:contextualSpacing/>
        <w:jc w:val="both"/>
        <w:rPr>
          <w:szCs w:val="24"/>
        </w:rPr>
      </w:pPr>
    </w:p>
    <w:p w:rsidR="00370F1D" w:rsidRPr="00370F1D" w:rsidRDefault="00370F1D" w:rsidP="00370F1D">
      <w:pPr>
        <w:jc w:val="both"/>
        <w:rPr>
          <w:szCs w:val="24"/>
        </w:rPr>
      </w:pPr>
      <w:r w:rsidRPr="00370F1D">
        <w:rPr>
          <w:szCs w:val="24"/>
        </w:rPr>
        <w:t xml:space="preserve">RNs that were </w:t>
      </w:r>
      <w:r w:rsidRPr="00370F1D">
        <w:rPr>
          <w:b/>
          <w:szCs w:val="24"/>
        </w:rPr>
        <w:t>not</w:t>
      </w:r>
      <w:r w:rsidRPr="00370F1D">
        <w:rPr>
          <w:szCs w:val="24"/>
        </w:rPr>
        <w:t xml:space="preserve"> administered a 2014 RN workforce survey:</w:t>
      </w:r>
    </w:p>
    <w:p w:rsidR="00370F1D" w:rsidRPr="00370F1D" w:rsidRDefault="00370F1D" w:rsidP="00370F1D">
      <w:pPr>
        <w:numPr>
          <w:ilvl w:val="0"/>
          <w:numId w:val="1"/>
        </w:numPr>
        <w:contextualSpacing/>
        <w:jc w:val="both"/>
        <w:rPr>
          <w:szCs w:val="24"/>
        </w:rPr>
      </w:pPr>
      <w:r w:rsidRPr="00370F1D">
        <w:rPr>
          <w:szCs w:val="24"/>
        </w:rPr>
        <w:t>Registered nurses who submitted a paper license renewal application either in person or through the mail.</w:t>
      </w:r>
    </w:p>
    <w:p w:rsidR="00370F1D" w:rsidRPr="005A455A" w:rsidRDefault="00370F1D" w:rsidP="00370F1D">
      <w:pPr>
        <w:numPr>
          <w:ilvl w:val="0"/>
          <w:numId w:val="1"/>
        </w:numPr>
        <w:contextualSpacing/>
        <w:jc w:val="both"/>
        <w:rPr>
          <w:sz w:val="24"/>
          <w:szCs w:val="24"/>
        </w:rPr>
      </w:pPr>
      <w:r w:rsidRPr="00370F1D">
        <w:t xml:space="preserve">Registered nurses who received their first MA RN license during the 2014 cycle and have a birthday within three months of the issue date are exempt from renewing their license during this cycle.  </w:t>
      </w:r>
    </w:p>
    <w:p w:rsidR="005A455A" w:rsidRPr="00370F1D" w:rsidRDefault="005A455A" w:rsidP="005A455A">
      <w:pPr>
        <w:ind w:left="720"/>
        <w:contextualSpacing/>
        <w:jc w:val="both"/>
        <w:rPr>
          <w:sz w:val="24"/>
          <w:szCs w:val="24"/>
        </w:rPr>
      </w:pPr>
    </w:p>
    <w:p w:rsidR="00370F1D" w:rsidRPr="00370F1D" w:rsidRDefault="00370F1D" w:rsidP="00370F1D">
      <w:pPr>
        <w:jc w:val="both"/>
        <w:rPr>
          <w:szCs w:val="24"/>
        </w:rPr>
      </w:pPr>
      <w:r w:rsidRPr="00370F1D">
        <w:rPr>
          <w:szCs w:val="24"/>
        </w:rPr>
        <w:t xml:space="preserve">The 2014 RN workforce survey is administered during the online license renewal process. The survey consists of 27 questions divided into 4 sections: </w:t>
      </w:r>
    </w:p>
    <w:p w:rsidR="00370F1D" w:rsidRPr="00370F1D" w:rsidRDefault="00370F1D" w:rsidP="00370F1D">
      <w:pPr>
        <w:numPr>
          <w:ilvl w:val="0"/>
          <w:numId w:val="4"/>
        </w:numPr>
        <w:contextualSpacing/>
        <w:jc w:val="both"/>
        <w:rPr>
          <w:szCs w:val="24"/>
        </w:rPr>
      </w:pPr>
      <w:r w:rsidRPr="00370F1D">
        <w:rPr>
          <w:szCs w:val="24"/>
        </w:rPr>
        <w:t>Demographics</w:t>
      </w:r>
    </w:p>
    <w:p w:rsidR="00370F1D" w:rsidRPr="00370F1D" w:rsidRDefault="00370F1D" w:rsidP="00370F1D">
      <w:pPr>
        <w:numPr>
          <w:ilvl w:val="0"/>
          <w:numId w:val="4"/>
        </w:numPr>
        <w:contextualSpacing/>
        <w:jc w:val="both"/>
        <w:rPr>
          <w:szCs w:val="24"/>
        </w:rPr>
      </w:pPr>
      <w:r w:rsidRPr="00370F1D">
        <w:rPr>
          <w:szCs w:val="24"/>
        </w:rPr>
        <w:t>Education</w:t>
      </w:r>
    </w:p>
    <w:p w:rsidR="00370F1D" w:rsidRPr="00370F1D" w:rsidRDefault="00370F1D" w:rsidP="00370F1D">
      <w:pPr>
        <w:numPr>
          <w:ilvl w:val="0"/>
          <w:numId w:val="4"/>
        </w:numPr>
        <w:contextualSpacing/>
        <w:jc w:val="both"/>
        <w:rPr>
          <w:szCs w:val="24"/>
        </w:rPr>
      </w:pPr>
      <w:r w:rsidRPr="00370F1D">
        <w:rPr>
          <w:szCs w:val="24"/>
        </w:rPr>
        <w:t>Employment characteristics</w:t>
      </w:r>
    </w:p>
    <w:p w:rsidR="00370F1D" w:rsidRPr="00370F1D" w:rsidRDefault="00370F1D" w:rsidP="00370F1D">
      <w:pPr>
        <w:numPr>
          <w:ilvl w:val="0"/>
          <w:numId w:val="4"/>
        </w:numPr>
        <w:contextualSpacing/>
        <w:jc w:val="both"/>
        <w:rPr>
          <w:szCs w:val="24"/>
        </w:rPr>
      </w:pPr>
      <w:r w:rsidRPr="00370F1D">
        <w:rPr>
          <w:szCs w:val="24"/>
        </w:rPr>
        <w:t>Future plans</w:t>
      </w:r>
    </w:p>
    <w:p w:rsidR="00BE0CB1" w:rsidRDefault="00BE0CB1" w:rsidP="00BE0CB1">
      <w:pPr>
        <w:jc w:val="both"/>
        <w:rPr>
          <w:szCs w:val="24"/>
        </w:rPr>
      </w:pPr>
    </w:p>
    <w:p w:rsidR="0053409A" w:rsidRDefault="0053409A" w:rsidP="00BE0CB1">
      <w:pPr>
        <w:jc w:val="both"/>
        <w:rPr>
          <w:szCs w:val="24"/>
        </w:rPr>
      </w:pPr>
    </w:p>
    <w:p w:rsidR="00034B80" w:rsidRDefault="00034B80" w:rsidP="00BE0CB1">
      <w:pPr>
        <w:jc w:val="both"/>
        <w:rPr>
          <w:szCs w:val="24"/>
        </w:rPr>
      </w:pPr>
    </w:p>
    <w:p w:rsidR="008465CD" w:rsidRPr="00DD15C0" w:rsidRDefault="0015629D" w:rsidP="008465CD">
      <w:pPr>
        <w:pBdr>
          <w:bottom w:val="single" w:sz="4" w:space="1" w:color="auto"/>
        </w:pBdr>
        <w:rPr>
          <w:b/>
          <w:color w:val="7F7F7F" w:themeColor="text1" w:themeTint="80"/>
          <w:sz w:val="24"/>
          <w:szCs w:val="24"/>
        </w:rPr>
      </w:pPr>
      <w:r>
        <w:rPr>
          <w:b/>
          <w:color w:val="7F7F7F" w:themeColor="text1" w:themeTint="80"/>
          <w:sz w:val="24"/>
          <w:szCs w:val="24"/>
        </w:rPr>
        <w:lastRenderedPageBreak/>
        <w:t>Nurses Surveyed</w:t>
      </w:r>
    </w:p>
    <w:p w:rsidR="008465CD" w:rsidRDefault="00370F1D" w:rsidP="00E559AB">
      <w:pPr>
        <w:jc w:val="both"/>
        <w:rPr>
          <w:szCs w:val="24"/>
        </w:rPr>
      </w:pPr>
      <w:r w:rsidRPr="00370F1D">
        <w:rPr>
          <w:szCs w:val="24"/>
        </w:rPr>
        <w:t xml:space="preserve">During the 2014 renewal cycle, a total of 91,877 RNs completed the 2014 RN workforce survey. This represents all registered nurses that renewed their RN license online and completed a workforce survey from October 2013 through March 2015. </w:t>
      </w:r>
      <w:r w:rsidR="008465CD">
        <w:rPr>
          <w:szCs w:val="24"/>
        </w:rPr>
        <w:t xml:space="preserve"> </w:t>
      </w:r>
    </w:p>
    <w:p w:rsidR="0006077F" w:rsidRDefault="000F1A1B" w:rsidP="00E559AB">
      <w:pPr>
        <w:jc w:val="both"/>
        <w:rPr>
          <w:szCs w:val="24"/>
        </w:rPr>
      </w:pPr>
      <w:r>
        <w:rPr>
          <w:szCs w:val="24"/>
        </w:rPr>
        <w:t>In addition to the data collected from the RN workforce survey, t</w:t>
      </w:r>
      <w:r w:rsidR="008465CD">
        <w:rPr>
          <w:szCs w:val="24"/>
        </w:rPr>
        <w:t>he Division of Health Professions Licensure</w:t>
      </w:r>
      <w:r w:rsidR="00576126">
        <w:rPr>
          <w:szCs w:val="24"/>
        </w:rPr>
        <w:t xml:space="preserve"> also maintains a </w:t>
      </w:r>
      <w:r>
        <w:rPr>
          <w:szCs w:val="24"/>
        </w:rPr>
        <w:t xml:space="preserve">nurse licensing </w:t>
      </w:r>
      <w:r w:rsidR="00576126">
        <w:rPr>
          <w:szCs w:val="24"/>
        </w:rPr>
        <w:t xml:space="preserve">database </w:t>
      </w:r>
      <w:r>
        <w:rPr>
          <w:szCs w:val="24"/>
        </w:rPr>
        <w:t xml:space="preserve">that contains information on </w:t>
      </w:r>
      <w:r w:rsidR="007D4B80">
        <w:rPr>
          <w:szCs w:val="24"/>
        </w:rPr>
        <w:t>all</w:t>
      </w:r>
      <w:r w:rsidR="00576126">
        <w:rPr>
          <w:szCs w:val="24"/>
        </w:rPr>
        <w:t xml:space="preserve"> nurses licensed </w:t>
      </w:r>
      <w:r w:rsidR="00367570">
        <w:rPr>
          <w:szCs w:val="24"/>
        </w:rPr>
        <w:t xml:space="preserve">to practice </w:t>
      </w:r>
      <w:r w:rsidR="00576126">
        <w:rPr>
          <w:szCs w:val="24"/>
        </w:rPr>
        <w:t>in the state. This database wa</w:t>
      </w:r>
      <w:r w:rsidR="008465CD">
        <w:rPr>
          <w:szCs w:val="24"/>
        </w:rPr>
        <w:t>s queried to find the total number of RNs in MA with an active license</w:t>
      </w:r>
      <w:r w:rsidR="00576126">
        <w:rPr>
          <w:szCs w:val="24"/>
        </w:rPr>
        <w:t xml:space="preserve"> </w:t>
      </w:r>
      <w:r>
        <w:rPr>
          <w:szCs w:val="24"/>
        </w:rPr>
        <w:t>as of March 31, 2015</w:t>
      </w:r>
      <w:r w:rsidR="00DE4172">
        <w:rPr>
          <w:szCs w:val="24"/>
        </w:rPr>
        <w:t>.</w:t>
      </w:r>
      <w:r w:rsidR="00E77C3E">
        <w:rPr>
          <w:rStyle w:val="FootnoteReference"/>
          <w:szCs w:val="24"/>
        </w:rPr>
        <w:footnoteReference w:id="1"/>
      </w:r>
      <w:r w:rsidR="008465CD">
        <w:rPr>
          <w:szCs w:val="24"/>
        </w:rPr>
        <w:t xml:space="preserve"> </w:t>
      </w:r>
      <w:r w:rsidR="00D828AB">
        <w:rPr>
          <w:szCs w:val="24"/>
        </w:rPr>
        <w:t>Both of th</w:t>
      </w:r>
      <w:r w:rsidR="008465CD">
        <w:rPr>
          <w:szCs w:val="24"/>
        </w:rPr>
        <w:t>ese databases are updated in real time</w:t>
      </w:r>
      <w:r w:rsidR="00576126">
        <w:rPr>
          <w:szCs w:val="24"/>
        </w:rPr>
        <w:t xml:space="preserve"> and</w:t>
      </w:r>
      <w:r w:rsidR="00DD15C0">
        <w:rPr>
          <w:szCs w:val="24"/>
        </w:rPr>
        <w:t xml:space="preserve"> the data in this report </w:t>
      </w:r>
      <w:r w:rsidR="00576126">
        <w:rPr>
          <w:szCs w:val="24"/>
        </w:rPr>
        <w:t xml:space="preserve">represent </w:t>
      </w:r>
      <w:r w:rsidR="00D828AB">
        <w:rPr>
          <w:szCs w:val="24"/>
        </w:rPr>
        <w:t>a point in time snapshot</w:t>
      </w:r>
      <w:r w:rsidR="00E77C3E">
        <w:rPr>
          <w:szCs w:val="24"/>
        </w:rPr>
        <w:t xml:space="preserve">. </w:t>
      </w:r>
    </w:p>
    <w:p w:rsidR="005C5548" w:rsidRDefault="00576126" w:rsidP="00ED484B">
      <w:pPr>
        <w:rPr>
          <w:szCs w:val="24"/>
        </w:rPr>
      </w:pPr>
      <w:r>
        <w:rPr>
          <w:szCs w:val="24"/>
        </w:rPr>
        <w:t xml:space="preserve">Below is a breakdown of </w:t>
      </w:r>
      <w:r w:rsidR="00E77C3E">
        <w:rPr>
          <w:szCs w:val="24"/>
        </w:rPr>
        <w:t>all active RNs, those that renewed during the 2014 cycle, and those</w:t>
      </w:r>
      <w:r w:rsidR="008465CD">
        <w:rPr>
          <w:szCs w:val="24"/>
        </w:rPr>
        <w:t xml:space="preserve"> that completed a workforce survey</w:t>
      </w:r>
      <w:r>
        <w:rPr>
          <w:szCs w:val="24"/>
        </w:rPr>
        <w:t>, as of March 31, 2015</w:t>
      </w:r>
      <w:r w:rsidR="0006077F">
        <w:rPr>
          <w:szCs w:val="24"/>
        </w:rPr>
        <w:t>:</w:t>
      </w:r>
      <w:r w:rsidR="005C5548">
        <w:rPr>
          <w:noProof/>
          <w:szCs w:val="24"/>
        </w:rPr>
        <w:drawing>
          <wp:inline distT="0" distB="0" distL="0" distR="0" wp14:anchorId="50CCF1A4" wp14:editId="615F0BE0">
            <wp:extent cx="6783572" cy="723014"/>
            <wp:effectExtent l="19050" t="19050" r="0" b="20320"/>
            <wp:docPr id="9" name="Diagram 9" descr="The flow chart shows that there were 123,862 RNs with an Active MA License. This data point comes from the Division of Health Professions Licensure and depicts the total number of RNs with an active MA license as of March 31, 2015. This includes RNs that were exempt from renewing their license during the 2014 cycle. &#10;&#10;The next box in the flow chart shows that of the 123,862 RNs with an active license, 105,094 RNs renewed their license during the 2014 cycle. &#10;&#10;The final box in the flow chart shows that of the 105,094 RNs that renewed their license during the 2014 cycle, 91,877 RNs completed the 2014 workforce survey. This represents 87% of renewals and 74% of active RNs. " title="Flow Chart of Active Nurses, Renewed Licenses, and Completed Survey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543DC" w:rsidRDefault="00370F1D" w:rsidP="00E559AB">
      <w:pPr>
        <w:jc w:val="both"/>
        <w:rPr>
          <w:szCs w:val="24"/>
        </w:rPr>
      </w:pPr>
      <w:r w:rsidRPr="00370F1D">
        <w:rPr>
          <w:szCs w:val="24"/>
        </w:rPr>
        <w:t>The total number of RNs with</w:t>
      </w:r>
      <w:r w:rsidR="0059292B">
        <w:rPr>
          <w:szCs w:val="24"/>
        </w:rPr>
        <w:t xml:space="preserve"> an active</w:t>
      </w:r>
      <w:r w:rsidR="00BE0CB1">
        <w:rPr>
          <w:szCs w:val="24"/>
        </w:rPr>
        <w:t xml:space="preserve"> MA license</w:t>
      </w:r>
      <w:r w:rsidR="00A76C27">
        <w:rPr>
          <w:szCs w:val="24"/>
        </w:rPr>
        <w:t xml:space="preserve"> include</w:t>
      </w:r>
      <w:r w:rsidR="00BE0CB1">
        <w:rPr>
          <w:szCs w:val="24"/>
        </w:rPr>
        <w:t>s</w:t>
      </w:r>
      <w:r w:rsidR="00A76C27">
        <w:rPr>
          <w:szCs w:val="24"/>
        </w:rPr>
        <w:t xml:space="preserve"> nurses</w:t>
      </w:r>
      <w:r w:rsidR="0059292B">
        <w:rPr>
          <w:szCs w:val="24"/>
        </w:rPr>
        <w:t xml:space="preserve"> maintaining their </w:t>
      </w:r>
      <w:r w:rsidR="00A76C27">
        <w:rPr>
          <w:szCs w:val="24"/>
        </w:rPr>
        <w:t xml:space="preserve">nursing </w:t>
      </w:r>
      <w:r w:rsidR="00BE0CB1">
        <w:rPr>
          <w:szCs w:val="24"/>
        </w:rPr>
        <w:t xml:space="preserve">license </w:t>
      </w:r>
      <w:r w:rsidR="00A76C27">
        <w:rPr>
          <w:szCs w:val="24"/>
        </w:rPr>
        <w:t xml:space="preserve">but </w:t>
      </w:r>
      <w:r w:rsidR="00BE0CB1">
        <w:rPr>
          <w:szCs w:val="24"/>
        </w:rPr>
        <w:t xml:space="preserve">may </w:t>
      </w:r>
      <w:r w:rsidR="0059292B">
        <w:rPr>
          <w:szCs w:val="24"/>
        </w:rPr>
        <w:t xml:space="preserve">not </w:t>
      </w:r>
      <w:r w:rsidR="00BE0CB1">
        <w:rPr>
          <w:szCs w:val="24"/>
        </w:rPr>
        <w:t xml:space="preserve">be </w:t>
      </w:r>
      <w:r w:rsidR="0059292B">
        <w:rPr>
          <w:szCs w:val="24"/>
        </w:rPr>
        <w:t>currently practicing</w:t>
      </w:r>
      <w:r w:rsidR="00BE0CB1">
        <w:rPr>
          <w:szCs w:val="24"/>
        </w:rPr>
        <w:t xml:space="preserve"> in Massachusetts</w:t>
      </w:r>
      <w:r w:rsidR="0059292B">
        <w:rPr>
          <w:szCs w:val="24"/>
        </w:rPr>
        <w:t xml:space="preserve">. </w:t>
      </w:r>
      <w:r w:rsidR="00DA3D36">
        <w:rPr>
          <w:szCs w:val="24"/>
        </w:rPr>
        <w:t>Overall</w:t>
      </w:r>
      <w:r w:rsidR="00751B18">
        <w:rPr>
          <w:szCs w:val="24"/>
        </w:rPr>
        <w:t xml:space="preserve">, </w:t>
      </w:r>
      <w:r w:rsidR="00AF123C">
        <w:rPr>
          <w:szCs w:val="24"/>
        </w:rPr>
        <w:t xml:space="preserve">approximately </w:t>
      </w:r>
      <w:r w:rsidR="00DA3D36">
        <w:rPr>
          <w:szCs w:val="24"/>
        </w:rPr>
        <w:t>74% of</w:t>
      </w:r>
      <w:r w:rsidR="00751B18">
        <w:rPr>
          <w:szCs w:val="24"/>
        </w:rPr>
        <w:t xml:space="preserve"> all</w:t>
      </w:r>
      <w:r w:rsidR="00DA3D36">
        <w:rPr>
          <w:szCs w:val="24"/>
        </w:rPr>
        <w:t xml:space="preserve"> RNs </w:t>
      </w:r>
      <w:r w:rsidR="00AF123C">
        <w:rPr>
          <w:szCs w:val="24"/>
        </w:rPr>
        <w:t xml:space="preserve">with an active MA license </w:t>
      </w:r>
      <w:r w:rsidR="00DA3D36">
        <w:rPr>
          <w:szCs w:val="24"/>
        </w:rPr>
        <w:t>compl</w:t>
      </w:r>
      <w:r w:rsidR="00ED484B">
        <w:rPr>
          <w:szCs w:val="24"/>
        </w:rPr>
        <w:t xml:space="preserve">eted the 2014 </w:t>
      </w:r>
      <w:r w:rsidR="003B48D9">
        <w:rPr>
          <w:szCs w:val="24"/>
        </w:rPr>
        <w:t xml:space="preserve">RN </w:t>
      </w:r>
      <w:r w:rsidR="00ED484B">
        <w:rPr>
          <w:szCs w:val="24"/>
        </w:rPr>
        <w:t>workforce survey. Response rates</w:t>
      </w:r>
      <w:r w:rsidR="00A76C27">
        <w:rPr>
          <w:szCs w:val="24"/>
        </w:rPr>
        <w:t xml:space="preserve"> </w:t>
      </w:r>
      <w:r w:rsidR="00AF123C">
        <w:rPr>
          <w:szCs w:val="24"/>
        </w:rPr>
        <w:t xml:space="preserve">for the workforce </w:t>
      </w:r>
      <w:r w:rsidR="003B48D9">
        <w:rPr>
          <w:szCs w:val="24"/>
        </w:rPr>
        <w:t xml:space="preserve">survey </w:t>
      </w:r>
      <w:r w:rsidR="00ED484B">
        <w:rPr>
          <w:szCs w:val="24"/>
        </w:rPr>
        <w:t>vary by age group</w:t>
      </w:r>
      <w:r w:rsidR="00AF123C">
        <w:rPr>
          <w:szCs w:val="24"/>
        </w:rPr>
        <w:t xml:space="preserve"> (Figure 1)</w:t>
      </w:r>
      <w:r w:rsidR="00ED484B">
        <w:rPr>
          <w:szCs w:val="24"/>
        </w:rPr>
        <w:t>. RNs in the younger and older age groups are underrepresented in the subset of nurses that completed the workforce survey.</w:t>
      </w:r>
    </w:p>
    <w:p w:rsidR="00C92CE6" w:rsidRPr="00093CDA" w:rsidRDefault="00D56578" w:rsidP="00E559AB">
      <w:pPr>
        <w:jc w:val="both"/>
        <w:rPr>
          <w:szCs w:val="24"/>
        </w:rPr>
      </w:pPr>
      <w:r w:rsidRPr="00D56578">
        <w:rPr>
          <w:i/>
          <w:noProof/>
          <w:sz w:val="20"/>
          <w:szCs w:val="24"/>
        </w:rPr>
        <mc:AlternateContent>
          <mc:Choice Requires="wps">
            <w:drawing>
              <wp:anchor distT="0" distB="0" distL="114300" distR="114300" simplePos="0" relativeHeight="251659263" behindDoc="0" locked="0" layoutInCell="1" allowOverlap="1" wp14:anchorId="3D669F09" wp14:editId="24EFF07E">
                <wp:simplePos x="0" y="0"/>
                <wp:positionH relativeFrom="column">
                  <wp:posOffset>0</wp:posOffset>
                </wp:positionH>
                <wp:positionV relativeFrom="paragraph">
                  <wp:posOffset>1730053</wp:posOffset>
                </wp:positionV>
                <wp:extent cx="6932428" cy="1179830"/>
                <wp:effectExtent l="0" t="0" r="1905" b="1270"/>
                <wp:wrapNone/>
                <wp:docPr id="51" name="Rectangle 51" descr="The table that accompanies Figure 1 consists of two rows. The first row shows the number of RNs that completed the workforce survey. The second row shows the number of total RNs. The columns in the table represent different age groups. &#10;&#10;For nurses 25 or younger, 683 completed the survey out of 3857 total RNs.&#10;&#10;For nurses 26-30, 6385 completed the survey out of 11081 total RNs.&#10;&#10;For nurses 31-35, 7823 completed the survey out of 11108 total RNs.&#10;&#10;For nurses 36-40, 8021 completed the survey out of 10028 total RNs.&#10;&#10;For nurses 41-45, 9468 completed the survey out of 11522 total RNs.&#10;&#10;For nurses 46-50, 11094 completed the survey out of 12665 total RNs.&#10;&#10;For nurses 51-55, 13408 completed the survey out of 15685 total RNs.&#10;&#10;For nurses 56-60, 15034 completed the survey out of 17658 total RNs.&#10;&#10;For nurses 61-65, 11701 completed the survey out of 15734 total RNs.&#10;&#10;For nurses 66-70, 5806 completed the survey out of 8994 total RNs.&#10;&#10;For nurses 71 or older, 2454 completed the survey out of 5530 total RNs." title="Accompanying Table to Figure 1. RN Workforce Survey Responses by Age Group"/>
                <wp:cNvGraphicFramePr/>
                <a:graphic xmlns:a="http://schemas.openxmlformats.org/drawingml/2006/main">
                  <a:graphicData uri="http://schemas.microsoft.com/office/word/2010/wordprocessingShape">
                    <wps:wsp>
                      <wps:cNvSpPr/>
                      <wps:spPr>
                        <a:xfrm>
                          <a:off x="0" y="0"/>
                          <a:ext cx="6932428" cy="1179830"/>
                        </a:xfrm>
                        <a:prstGeom prst="rect">
                          <a:avLst/>
                        </a:prstGeom>
                        <a:solidFill>
                          <a:schemeClr val="bg1">
                            <a:lumMod val="50000"/>
                            <a:alpha val="1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alt="Title: Accompanying Table to Figure 1. RN Workforce Survey Responses by Age Group - Description: The table that accompanies Figure 1 consists of two rows. The first row shows the number of RNs that completed the workforce survey. The second row shows the number of total RNs. The columns in the table represent different age groups. &#10;&#10;For nurses 25 or younger, 683 completed the survey out of 3857 total RNs.&#10;&#10;For nurses 26-30, 6385 completed the survey out of 11081 total RNs.&#10;&#10;For nurses 31-35, 7823 completed the survey out of 11108 total RNs.&#10;&#10;For nurses 36-40, 8021 completed the survey out of 10028 total RNs.&#10;&#10;For nurses 41-45, 9468 completed the survey out of 11522 total RNs.&#10;&#10;For nurses 46-50, 11094 completed the survey out of 12665 total RNs.&#10;&#10;For nurses 51-55, 13408 completed the survey out of 15685 total RNs.&#10;&#10;For nurses 56-60, 15034 completed the survey out of 17658 total RNs.&#10;&#10;For nurses 61-65, 11701 completed the survey out of 15734 total RNs.&#10;&#10;For nurses 66-70, 5806 completed the survey out of 8994 total RNs.&#10;&#10;For nurses 71 or older, 2454 completed the survey out of 5530 total RNs." style="position:absolute;margin-left:0;margin-top:136.2pt;width:545.85pt;height:92.9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" fillcolor="#7f7f7f [1612]" stroked="f" strokeweight="2pt">
                <v:fill opacity="7196f"/>
              </v:rect>
            </w:pict>
          </mc:Fallback>
        </mc:AlternateContent>
      </w:r>
      <w:r w:rsidR="003930D6">
        <w:rPr>
          <w:noProof/>
        </w:rPr>
        <w:drawing>
          <wp:inline distT="0" distB="0" distL="0" distR="0" wp14:anchorId="23E9CB8C" wp14:editId="5B326F0F">
            <wp:extent cx="6932428" cy="1711841"/>
            <wp:effectExtent l="0" t="0" r="1905" b="3175"/>
            <wp:docPr id="10" name="Chart 10" descr="The figure illustrates the survey response rates by age group. Only 17.7% of registered nurses under the age of 25 that are licensed in MA completed the 2014 workforce survey. 44.4% of RNs over the age of 70 completed a workforce survey. All other age groups responded at a rate between 57.6% to 87.6%. &#10;&#10;The key takeaway is that the younger and older age groups are underrepresented in the survey sample. Younger age groups are underrepresented because many nurses that received their first RN license in 2014 are exempted from renewing their license during this cycle. Older age groups are underrepresented because they are more likely to renew their license using a paper renewal application. " title="Figure 1. 2014 Survey Response Rates by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Style w:val="TableGrid"/>
        <w:tblW w:w="0" w:type="auto"/>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10"/>
        <w:gridCol w:w="864"/>
        <w:gridCol w:w="865"/>
        <w:gridCol w:w="864"/>
        <w:gridCol w:w="865"/>
        <w:gridCol w:w="864"/>
        <w:gridCol w:w="865"/>
        <w:gridCol w:w="864"/>
        <w:gridCol w:w="865"/>
        <w:gridCol w:w="864"/>
        <w:gridCol w:w="865"/>
        <w:gridCol w:w="955"/>
      </w:tblGrid>
      <w:tr w:rsidR="00D56578" w:rsidTr="00C905C7">
        <w:tc>
          <w:tcPr>
            <w:tcW w:w="1110" w:type="dxa"/>
            <w:vAlign w:val="center"/>
          </w:tcPr>
          <w:p w:rsidR="00093CDA" w:rsidRPr="00D56578" w:rsidRDefault="00093CDA" w:rsidP="00D56578">
            <w:pPr>
              <w:pStyle w:val="ListParagraph"/>
              <w:ind w:left="0"/>
              <w:jc w:val="center"/>
              <w:rPr>
                <w:i/>
                <w:sz w:val="20"/>
                <w:szCs w:val="24"/>
              </w:rPr>
            </w:pPr>
            <w:r w:rsidRPr="00D56578">
              <w:rPr>
                <w:i/>
                <w:sz w:val="20"/>
                <w:szCs w:val="24"/>
              </w:rPr>
              <w:t># RNs Completed Survey</w:t>
            </w:r>
          </w:p>
        </w:tc>
        <w:tc>
          <w:tcPr>
            <w:tcW w:w="864" w:type="dxa"/>
            <w:vAlign w:val="center"/>
          </w:tcPr>
          <w:p w:rsidR="00093CDA" w:rsidRPr="00D56578" w:rsidRDefault="00A86C02" w:rsidP="00D56578">
            <w:pPr>
              <w:pStyle w:val="ListParagraph"/>
              <w:ind w:left="0"/>
              <w:jc w:val="center"/>
              <w:rPr>
                <w:sz w:val="20"/>
                <w:szCs w:val="24"/>
              </w:rPr>
            </w:pPr>
            <w:r w:rsidRPr="00D56578">
              <w:rPr>
                <w:sz w:val="20"/>
                <w:szCs w:val="24"/>
              </w:rPr>
              <w:t>683</w:t>
            </w:r>
          </w:p>
        </w:tc>
        <w:tc>
          <w:tcPr>
            <w:tcW w:w="865" w:type="dxa"/>
            <w:vAlign w:val="center"/>
          </w:tcPr>
          <w:p w:rsidR="00093CDA" w:rsidRPr="00D56578" w:rsidRDefault="00D56578" w:rsidP="00D56578">
            <w:pPr>
              <w:pStyle w:val="ListParagraph"/>
              <w:ind w:left="0"/>
              <w:jc w:val="center"/>
              <w:rPr>
                <w:sz w:val="20"/>
                <w:szCs w:val="24"/>
              </w:rPr>
            </w:pPr>
            <w:r w:rsidRPr="00D56578">
              <w:rPr>
                <w:sz w:val="20"/>
                <w:szCs w:val="24"/>
              </w:rPr>
              <w:t>6385</w:t>
            </w:r>
          </w:p>
        </w:tc>
        <w:tc>
          <w:tcPr>
            <w:tcW w:w="864" w:type="dxa"/>
            <w:vAlign w:val="center"/>
          </w:tcPr>
          <w:p w:rsidR="00093CDA" w:rsidRPr="00D56578" w:rsidRDefault="00D56578" w:rsidP="00D56578">
            <w:pPr>
              <w:pStyle w:val="ListParagraph"/>
              <w:ind w:left="0"/>
              <w:jc w:val="center"/>
              <w:rPr>
                <w:sz w:val="20"/>
                <w:szCs w:val="24"/>
              </w:rPr>
            </w:pPr>
            <w:r w:rsidRPr="00D56578">
              <w:rPr>
                <w:sz w:val="20"/>
                <w:szCs w:val="24"/>
              </w:rPr>
              <w:t>7823</w:t>
            </w:r>
          </w:p>
        </w:tc>
        <w:tc>
          <w:tcPr>
            <w:tcW w:w="865" w:type="dxa"/>
            <w:vAlign w:val="center"/>
          </w:tcPr>
          <w:p w:rsidR="00093CDA" w:rsidRPr="00D56578" w:rsidRDefault="00D56578" w:rsidP="00D56578">
            <w:pPr>
              <w:pStyle w:val="ListParagraph"/>
              <w:ind w:left="0"/>
              <w:jc w:val="center"/>
              <w:rPr>
                <w:sz w:val="20"/>
                <w:szCs w:val="24"/>
              </w:rPr>
            </w:pPr>
            <w:r w:rsidRPr="00D56578">
              <w:rPr>
                <w:sz w:val="20"/>
                <w:szCs w:val="24"/>
              </w:rPr>
              <w:t>8021</w:t>
            </w:r>
          </w:p>
        </w:tc>
        <w:tc>
          <w:tcPr>
            <w:tcW w:w="864" w:type="dxa"/>
            <w:vAlign w:val="center"/>
          </w:tcPr>
          <w:p w:rsidR="00093CDA" w:rsidRPr="00D56578" w:rsidRDefault="00D56578" w:rsidP="00D56578">
            <w:pPr>
              <w:pStyle w:val="ListParagraph"/>
              <w:ind w:left="0"/>
              <w:jc w:val="center"/>
              <w:rPr>
                <w:sz w:val="20"/>
                <w:szCs w:val="24"/>
              </w:rPr>
            </w:pPr>
            <w:r w:rsidRPr="00D56578">
              <w:rPr>
                <w:sz w:val="20"/>
                <w:szCs w:val="24"/>
              </w:rPr>
              <w:t>9468</w:t>
            </w:r>
          </w:p>
        </w:tc>
        <w:tc>
          <w:tcPr>
            <w:tcW w:w="865" w:type="dxa"/>
            <w:vAlign w:val="center"/>
          </w:tcPr>
          <w:p w:rsidR="00093CDA" w:rsidRPr="00D56578" w:rsidRDefault="00D56578" w:rsidP="00D56578">
            <w:pPr>
              <w:pStyle w:val="ListParagraph"/>
              <w:ind w:left="0"/>
              <w:jc w:val="center"/>
              <w:rPr>
                <w:sz w:val="20"/>
                <w:szCs w:val="24"/>
              </w:rPr>
            </w:pPr>
            <w:r w:rsidRPr="00D56578">
              <w:rPr>
                <w:sz w:val="20"/>
                <w:szCs w:val="24"/>
              </w:rPr>
              <w:t>11094</w:t>
            </w:r>
          </w:p>
        </w:tc>
        <w:tc>
          <w:tcPr>
            <w:tcW w:w="864" w:type="dxa"/>
            <w:vAlign w:val="center"/>
          </w:tcPr>
          <w:p w:rsidR="00093CDA" w:rsidRPr="00D56578" w:rsidRDefault="00D56578" w:rsidP="00D56578">
            <w:pPr>
              <w:pStyle w:val="ListParagraph"/>
              <w:ind w:left="0"/>
              <w:jc w:val="center"/>
              <w:rPr>
                <w:sz w:val="20"/>
                <w:szCs w:val="24"/>
              </w:rPr>
            </w:pPr>
            <w:r w:rsidRPr="00D56578">
              <w:rPr>
                <w:sz w:val="20"/>
                <w:szCs w:val="24"/>
              </w:rPr>
              <w:t>13408</w:t>
            </w:r>
          </w:p>
        </w:tc>
        <w:tc>
          <w:tcPr>
            <w:tcW w:w="865" w:type="dxa"/>
            <w:vAlign w:val="center"/>
          </w:tcPr>
          <w:p w:rsidR="00093CDA" w:rsidRPr="00D56578" w:rsidRDefault="00D56578" w:rsidP="00D56578">
            <w:pPr>
              <w:pStyle w:val="ListParagraph"/>
              <w:ind w:left="0"/>
              <w:jc w:val="center"/>
              <w:rPr>
                <w:sz w:val="20"/>
                <w:szCs w:val="24"/>
              </w:rPr>
            </w:pPr>
            <w:r w:rsidRPr="00D56578">
              <w:rPr>
                <w:sz w:val="20"/>
                <w:szCs w:val="24"/>
              </w:rPr>
              <w:t>15034</w:t>
            </w:r>
          </w:p>
        </w:tc>
        <w:tc>
          <w:tcPr>
            <w:tcW w:w="864" w:type="dxa"/>
            <w:vAlign w:val="center"/>
          </w:tcPr>
          <w:p w:rsidR="00093CDA" w:rsidRPr="00D56578" w:rsidRDefault="00D56578" w:rsidP="00D56578">
            <w:pPr>
              <w:pStyle w:val="ListParagraph"/>
              <w:ind w:left="0"/>
              <w:jc w:val="center"/>
              <w:rPr>
                <w:sz w:val="20"/>
                <w:szCs w:val="24"/>
              </w:rPr>
            </w:pPr>
            <w:r w:rsidRPr="00D56578">
              <w:rPr>
                <w:sz w:val="20"/>
                <w:szCs w:val="24"/>
              </w:rPr>
              <w:t>11701</w:t>
            </w:r>
          </w:p>
        </w:tc>
        <w:tc>
          <w:tcPr>
            <w:tcW w:w="865" w:type="dxa"/>
            <w:vAlign w:val="center"/>
          </w:tcPr>
          <w:p w:rsidR="00093CDA" w:rsidRPr="00D56578" w:rsidRDefault="00D56578" w:rsidP="00D56578">
            <w:pPr>
              <w:pStyle w:val="ListParagraph"/>
              <w:ind w:left="0"/>
              <w:jc w:val="center"/>
              <w:rPr>
                <w:sz w:val="20"/>
                <w:szCs w:val="24"/>
              </w:rPr>
            </w:pPr>
            <w:r w:rsidRPr="00D56578">
              <w:rPr>
                <w:sz w:val="20"/>
                <w:szCs w:val="24"/>
              </w:rPr>
              <w:t>5806</w:t>
            </w:r>
          </w:p>
        </w:tc>
        <w:tc>
          <w:tcPr>
            <w:tcW w:w="955" w:type="dxa"/>
            <w:vAlign w:val="center"/>
          </w:tcPr>
          <w:p w:rsidR="00093CDA" w:rsidRPr="00D56578" w:rsidRDefault="00D56578" w:rsidP="00D56578">
            <w:pPr>
              <w:pStyle w:val="ListParagraph"/>
              <w:ind w:left="0"/>
              <w:jc w:val="center"/>
              <w:rPr>
                <w:sz w:val="20"/>
                <w:szCs w:val="24"/>
              </w:rPr>
            </w:pPr>
            <w:r w:rsidRPr="00D56578">
              <w:rPr>
                <w:sz w:val="20"/>
                <w:szCs w:val="24"/>
              </w:rPr>
              <w:t>2454</w:t>
            </w:r>
          </w:p>
        </w:tc>
      </w:tr>
      <w:tr w:rsidR="00D56578" w:rsidTr="00C905C7">
        <w:tc>
          <w:tcPr>
            <w:tcW w:w="1110" w:type="dxa"/>
            <w:vAlign w:val="center"/>
          </w:tcPr>
          <w:p w:rsidR="00093CDA" w:rsidRPr="00D56578" w:rsidRDefault="00093CDA" w:rsidP="00D56578">
            <w:pPr>
              <w:pStyle w:val="ListParagraph"/>
              <w:ind w:left="0"/>
              <w:jc w:val="center"/>
              <w:rPr>
                <w:i/>
                <w:sz w:val="20"/>
                <w:szCs w:val="24"/>
              </w:rPr>
            </w:pPr>
            <w:r w:rsidRPr="00D56578">
              <w:rPr>
                <w:i/>
                <w:sz w:val="20"/>
                <w:szCs w:val="24"/>
              </w:rPr>
              <w:t>Total # of RNs in Age Group</w:t>
            </w:r>
          </w:p>
        </w:tc>
        <w:tc>
          <w:tcPr>
            <w:tcW w:w="864" w:type="dxa"/>
            <w:vAlign w:val="center"/>
          </w:tcPr>
          <w:p w:rsidR="00093CDA" w:rsidRPr="00D56578" w:rsidRDefault="00D56578" w:rsidP="00D56578">
            <w:pPr>
              <w:pStyle w:val="ListParagraph"/>
              <w:ind w:left="0"/>
              <w:jc w:val="center"/>
              <w:rPr>
                <w:sz w:val="20"/>
                <w:szCs w:val="24"/>
              </w:rPr>
            </w:pPr>
            <w:r>
              <w:rPr>
                <w:sz w:val="20"/>
                <w:szCs w:val="24"/>
              </w:rPr>
              <w:t>3857</w:t>
            </w:r>
          </w:p>
        </w:tc>
        <w:tc>
          <w:tcPr>
            <w:tcW w:w="865" w:type="dxa"/>
            <w:vAlign w:val="center"/>
          </w:tcPr>
          <w:p w:rsidR="00093CDA" w:rsidRPr="00D56578" w:rsidRDefault="00D56578" w:rsidP="00D56578">
            <w:pPr>
              <w:pStyle w:val="ListParagraph"/>
              <w:ind w:left="0"/>
              <w:jc w:val="center"/>
              <w:rPr>
                <w:sz w:val="20"/>
                <w:szCs w:val="24"/>
              </w:rPr>
            </w:pPr>
            <w:r>
              <w:rPr>
                <w:sz w:val="20"/>
                <w:szCs w:val="24"/>
              </w:rPr>
              <w:t>11081</w:t>
            </w:r>
          </w:p>
        </w:tc>
        <w:tc>
          <w:tcPr>
            <w:tcW w:w="864" w:type="dxa"/>
            <w:vAlign w:val="center"/>
          </w:tcPr>
          <w:p w:rsidR="00093CDA" w:rsidRPr="00D56578" w:rsidRDefault="00D56578" w:rsidP="00D56578">
            <w:pPr>
              <w:pStyle w:val="ListParagraph"/>
              <w:ind w:left="0"/>
              <w:jc w:val="center"/>
              <w:rPr>
                <w:sz w:val="20"/>
                <w:szCs w:val="24"/>
              </w:rPr>
            </w:pPr>
            <w:r>
              <w:rPr>
                <w:sz w:val="20"/>
                <w:szCs w:val="24"/>
              </w:rPr>
              <w:t>11108</w:t>
            </w:r>
          </w:p>
        </w:tc>
        <w:tc>
          <w:tcPr>
            <w:tcW w:w="865" w:type="dxa"/>
            <w:vAlign w:val="center"/>
          </w:tcPr>
          <w:p w:rsidR="00093CDA" w:rsidRPr="00D56578" w:rsidRDefault="00D56578" w:rsidP="00D56578">
            <w:pPr>
              <w:pStyle w:val="ListParagraph"/>
              <w:ind w:left="0"/>
              <w:jc w:val="center"/>
              <w:rPr>
                <w:sz w:val="20"/>
                <w:szCs w:val="24"/>
              </w:rPr>
            </w:pPr>
            <w:r>
              <w:rPr>
                <w:sz w:val="20"/>
                <w:szCs w:val="24"/>
              </w:rPr>
              <w:t>10028</w:t>
            </w:r>
          </w:p>
        </w:tc>
        <w:tc>
          <w:tcPr>
            <w:tcW w:w="864" w:type="dxa"/>
            <w:vAlign w:val="center"/>
          </w:tcPr>
          <w:p w:rsidR="00093CDA" w:rsidRPr="00D56578" w:rsidRDefault="00D56578" w:rsidP="00D56578">
            <w:pPr>
              <w:pStyle w:val="ListParagraph"/>
              <w:ind w:left="0"/>
              <w:jc w:val="center"/>
              <w:rPr>
                <w:sz w:val="20"/>
                <w:szCs w:val="24"/>
              </w:rPr>
            </w:pPr>
            <w:r>
              <w:rPr>
                <w:sz w:val="20"/>
                <w:szCs w:val="24"/>
              </w:rPr>
              <w:t>11522</w:t>
            </w:r>
          </w:p>
        </w:tc>
        <w:tc>
          <w:tcPr>
            <w:tcW w:w="865" w:type="dxa"/>
            <w:vAlign w:val="center"/>
          </w:tcPr>
          <w:p w:rsidR="00093CDA" w:rsidRPr="00D56578" w:rsidRDefault="00D56578" w:rsidP="00D56578">
            <w:pPr>
              <w:pStyle w:val="ListParagraph"/>
              <w:ind w:left="0"/>
              <w:jc w:val="center"/>
              <w:rPr>
                <w:sz w:val="20"/>
                <w:szCs w:val="24"/>
              </w:rPr>
            </w:pPr>
            <w:r>
              <w:rPr>
                <w:sz w:val="20"/>
                <w:szCs w:val="24"/>
              </w:rPr>
              <w:t>12665</w:t>
            </w:r>
          </w:p>
        </w:tc>
        <w:tc>
          <w:tcPr>
            <w:tcW w:w="864" w:type="dxa"/>
            <w:vAlign w:val="center"/>
          </w:tcPr>
          <w:p w:rsidR="00093CDA" w:rsidRPr="00D56578" w:rsidRDefault="00D56578" w:rsidP="00D56578">
            <w:pPr>
              <w:pStyle w:val="ListParagraph"/>
              <w:ind w:left="0"/>
              <w:jc w:val="center"/>
              <w:rPr>
                <w:sz w:val="20"/>
                <w:szCs w:val="24"/>
              </w:rPr>
            </w:pPr>
            <w:r>
              <w:rPr>
                <w:sz w:val="20"/>
                <w:szCs w:val="24"/>
              </w:rPr>
              <w:t>15685</w:t>
            </w:r>
          </w:p>
        </w:tc>
        <w:tc>
          <w:tcPr>
            <w:tcW w:w="865" w:type="dxa"/>
            <w:vAlign w:val="center"/>
          </w:tcPr>
          <w:p w:rsidR="00093CDA" w:rsidRPr="00D56578" w:rsidRDefault="00D56578" w:rsidP="00D56578">
            <w:pPr>
              <w:pStyle w:val="ListParagraph"/>
              <w:ind w:left="0"/>
              <w:jc w:val="center"/>
              <w:rPr>
                <w:sz w:val="20"/>
                <w:szCs w:val="24"/>
              </w:rPr>
            </w:pPr>
            <w:r>
              <w:rPr>
                <w:sz w:val="20"/>
                <w:szCs w:val="24"/>
              </w:rPr>
              <w:t>17658</w:t>
            </w:r>
          </w:p>
        </w:tc>
        <w:tc>
          <w:tcPr>
            <w:tcW w:w="864" w:type="dxa"/>
            <w:vAlign w:val="center"/>
          </w:tcPr>
          <w:p w:rsidR="00093CDA" w:rsidRPr="00D56578" w:rsidRDefault="00D56578" w:rsidP="00D56578">
            <w:pPr>
              <w:pStyle w:val="ListParagraph"/>
              <w:ind w:left="0"/>
              <w:jc w:val="center"/>
              <w:rPr>
                <w:sz w:val="20"/>
                <w:szCs w:val="24"/>
              </w:rPr>
            </w:pPr>
            <w:r>
              <w:rPr>
                <w:sz w:val="20"/>
                <w:szCs w:val="24"/>
              </w:rPr>
              <w:t>15734</w:t>
            </w:r>
          </w:p>
        </w:tc>
        <w:tc>
          <w:tcPr>
            <w:tcW w:w="865" w:type="dxa"/>
            <w:vAlign w:val="center"/>
          </w:tcPr>
          <w:p w:rsidR="00093CDA" w:rsidRPr="00D56578" w:rsidRDefault="00D56578" w:rsidP="00D56578">
            <w:pPr>
              <w:pStyle w:val="ListParagraph"/>
              <w:ind w:left="0"/>
              <w:jc w:val="center"/>
              <w:rPr>
                <w:sz w:val="20"/>
                <w:szCs w:val="24"/>
              </w:rPr>
            </w:pPr>
            <w:r>
              <w:rPr>
                <w:sz w:val="20"/>
                <w:szCs w:val="24"/>
              </w:rPr>
              <w:t>8994</w:t>
            </w:r>
          </w:p>
        </w:tc>
        <w:tc>
          <w:tcPr>
            <w:tcW w:w="955" w:type="dxa"/>
            <w:vAlign w:val="center"/>
          </w:tcPr>
          <w:p w:rsidR="00093CDA" w:rsidRPr="00D56578" w:rsidRDefault="00D56578" w:rsidP="00D56578">
            <w:pPr>
              <w:pStyle w:val="ListParagraph"/>
              <w:ind w:left="0"/>
              <w:jc w:val="center"/>
              <w:rPr>
                <w:sz w:val="20"/>
                <w:szCs w:val="24"/>
              </w:rPr>
            </w:pPr>
            <w:r>
              <w:rPr>
                <w:sz w:val="20"/>
                <w:szCs w:val="24"/>
              </w:rPr>
              <w:t>5530</w:t>
            </w:r>
          </w:p>
        </w:tc>
      </w:tr>
    </w:tbl>
    <w:p w:rsidR="00093CDA" w:rsidRDefault="00093CDA" w:rsidP="00093CDA">
      <w:pPr>
        <w:pStyle w:val="ListParagraph"/>
        <w:jc w:val="both"/>
        <w:rPr>
          <w:szCs w:val="24"/>
        </w:rPr>
      </w:pPr>
    </w:p>
    <w:p w:rsidR="00DA3D36" w:rsidRDefault="00DA3D36" w:rsidP="00977605">
      <w:pPr>
        <w:pStyle w:val="ListParagraph"/>
        <w:numPr>
          <w:ilvl w:val="0"/>
          <w:numId w:val="7"/>
        </w:numPr>
        <w:jc w:val="both"/>
        <w:rPr>
          <w:szCs w:val="24"/>
        </w:rPr>
      </w:pPr>
      <w:r>
        <w:rPr>
          <w:szCs w:val="24"/>
        </w:rPr>
        <w:t xml:space="preserve">Only 47% of RNs 30 years or younger completed a workforce survey. This group is underrepresented </w:t>
      </w:r>
      <w:r w:rsidR="00977605">
        <w:rPr>
          <w:szCs w:val="24"/>
        </w:rPr>
        <w:t xml:space="preserve">largely because many recent graduates </w:t>
      </w:r>
      <w:r w:rsidR="00AF123C">
        <w:rPr>
          <w:szCs w:val="24"/>
        </w:rPr>
        <w:t>that received</w:t>
      </w:r>
      <w:r w:rsidR="00977605">
        <w:rPr>
          <w:szCs w:val="24"/>
        </w:rPr>
        <w:t xml:space="preserve"> their first RN license in 2014 are </w:t>
      </w:r>
      <w:r w:rsidR="00367570">
        <w:rPr>
          <w:szCs w:val="24"/>
        </w:rPr>
        <w:t xml:space="preserve">exempt from </w:t>
      </w:r>
      <w:r>
        <w:rPr>
          <w:szCs w:val="24"/>
        </w:rPr>
        <w:t>renew</w:t>
      </w:r>
      <w:r w:rsidR="00367570">
        <w:rPr>
          <w:szCs w:val="24"/>
        </w:rPr>
        <w:t>ing</w:t>
      </w:r>
      <w:r>
        <w:rPr>
          <w:szCs w:val="24"/>
        </w:rPr>
        <w:t xml:space="preserve"> their license</w:t>
      </w:r>
      <w:r w:rsidR="005923DA">
        <w:rPr>
          <w:szCs w:val="24"/>
        </w:rPr>
        <w:t xml:space="preserve"> </w:t>
      </w:r>
      <w:r w:rsidR="00717850">
        <w:rPr>
          <w:szCs w:val="24"/>
        </w:rPr>
        <w:t>during this cycle</w:t>
      </w:r>
      <w:r>
        <w:rPr>
          <w:szCs w:val="24"/>
        </w:rPr>
        <w:t xml:space="preserve"> and therefore were not administered a survey. </w:t>
      </w:r>
    </w:p>
    <w:p w:rsidR="00C92CE6" w:rsidRDefault="00370F1D" w:rsidP="00370F1D">
      <w:pPr>
        <w:pStyle w:val="ListParagraph"/>
        <w:numPr>
          <w:ilvl w:val="0"/>
          <w:numId w:val="7"/>
        </w:numPr>
        <w:jc w:val="both"/>
        <w:rPr>
          <w:szCs w:val="24"/>
        </w:rPr>
      </w:pPr>
      <w:r w:rsidRPr="00370F1D">
        <w:rPr>
          <w:szCs w:val="24"/>
        </w:rPr>
        <w:t>Only 57% of RNs over the age of 65 completed a workforce survey. A higher percentage of registered nurses in this age category opted to complete their license renewal application through a paper application and therefore were not administered a survey.</w:t>
      </w:r>
    </w:p>
    <w:p w:rsidR="00E559AB" w:rsidRPr="00E559AB" w:rsidRDefault="00E559AB" w:rsidP="00E559AB">
      <w:pPr>
        <w:jc w:val="both"/>
        <w:rPr>
          <w:szCs w:val="24"/>
        </w:rPr>
      </w:pPr>
      <w:r>
        <w:rPr>
          <w:szCs w:val="24"/>
        </w:rPr>
        <w:lastRenderedPageBreak/>
        <w:t>The data presented in the remainder of this report represents the 91,8</w:t>
      </w:r>
      <w:r w:rsidR="00D31BC8">
        <w:rPr>
          <w:szCs w:val="24"/>
        </w:rPr>
        <w:t>77</w:t>
      </w:r>
      <w:r>
        <w:rPr>
          <w:szCs w:val="24"/>
        </w:rPr>
        <w:t xml:space="preserve"> </w:t>
      </w:r>
      <w:r w:rsidR="00370F1D">
        <w:rPr>
          <w:szCs w:val="24"/>
        </w:rPr>
        <w:t>RNs</w:t>
      </w:r>
      <w:r>
        <w:rPr>
          <w:szCs w:val="24"/>
        </w:rPr>
        <w:t xml:space="preserve"> that completed the 2014 workforce survey, unless noted otherwise. </w:t>
      </w:r>
    </w:p>
    <w:p w:rsidR="006F7852" w:rsidRPr="0001261D" w:rsidRDefault="006F7852" w:rsidP="006F7852">
      <w:pPr>
        <w:pBdr>
          <w:bottom w:val="single" w:sz="4" w:space="1" w:color="auto"/>
        </w:pBdr>
        <w:rPr>
          <w:b/>
          <w:color w:val="7F7F7F" w:themeColor="text1" w:themeTint="80"/>
          <w:sz w:val="28"/>
          <w:szCs w:val="24"/>
        </w:rPr>
      </w:pPr>
      <w:r>
        <w:rPr>
          <w:b/>
          <w:color w:val="7F7F7F" w:themeColor="text1" w:themeTint="80"/>
          <w:sz w:val="28"/>
          <w:szCs w:val="24"/>
        </w:rPr>
        <w:t>Demographics</w:t>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Pr>
          <w:b/>
          <w:color w:val="7F7F7F" w:themeColor="text1" w:themeTint="80"/>
          <w:sz w:val="28"/>
          <w:szCs w:val="24"/>
        </w:rPr>
        <w:tab/>
      </w:r>
      <w:r w:rsidR="00A6093F">
        <w:rPr>
          <w:b/>
          <w:color w:val="7F7F7F" w:themeColor="text1" w:themeTint="80"/>
          <w:sz w:val="28"/>
          <w:szCs w:val="24"/>
        </w:rPr>
        <w:t xml:space="preserve">         </w:t>
      </w:r>
      <w:bookmarkStart w:id="0" w:name="_GoBack"/>
      <w:bookmarkEnd w:id="0"/>
    </w:p>
    <w:p w:rsidR="00305D20" w:rsidRDefault="00305D20" w:rsidP="00CB14DB">
      <w:pPr>
        <w:jc w:val="both"/>
        <w:rPr>
          <w:szCs w:val="24"/>
        </w:rPr>
      </w:pPr>
      <w:r w:rsidRPr="00305D20">
        <w:rPr>
          <w:noProof/>
          <w:sz w:val="20"/>
        </w:rPr>
        <w:drawing>
          <wp:anchor distT="0" distB="0" distL="114300" distR="114300" simplePos="0" relativeHeight="251665408" behindDoc="1" locked="0" layoutInCell="1" allowOverlap="1" wp14:anchorId="38DB6AF1" wp14:editId="54A266E2">
            <wp:simplePos x="0" y="0"/>
            <wp:positionH relativeFrom="column">
              <wp:posOffset>3732530</wp:posOffset>
            </wp:positionH>
            <wp:positionV relativeFrom="paragraph">
              <wp:posOffset>47625</wp:posOffset>
            </wp:positionV>
            <wp:extent cx="3138805" cy="1419225"/>
            <wp:effectExtent l="0" t="0" r="0" b="0"/>
            <wp:wrapSquare wrapText="bothSides"/>
            <wp:docPr id="1" name="Chart 1" descr="Figure 2 displays a breakdown of registered nurses by sex. 93.2% of RNs are female, compared to 6.8% male. " title="Figure 2.  2014 RNs by Sex"/>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61818" w:rsidRPr="00305D20">
        <w:rPr>
          <w:szCs w:val="24"/>
        </w:rPr>
        <w:t xml:space="preserve">Figure </w:t>
      </w:r>
      <w:r w:rsidR="00E559AB" w:rsidRPr="00305D20">
        <w:rPr>
          <w:szCs w:val="24"/>
        </w:rPr>
        <w:t>2</w:t>
      </w:r>
      <w:r w:rsidR="00161818" w:rsidRPr="00305D20">
        <w:rPr>
          <w:szCs w:val="24"/>
        </w:rPr>
        <w:t xml:space="preserve"> and Table 1 </w:t>
      </w:r>
      <w:r w:rsidR="00156AD7">
        <w:rPr>
          <w:szCs w:val="24"/>
        </w:rPr>
        <w:t xml:space="preserve">display the breakdown of RNs by sex and race/ethnicity, respectively. The data </w:t>
      </w:r>
      <w:r w:rsidR="00161818" w:rsidRPr="00305D20">
        <w:rPr>
          <w:szCs w:val="24"/>
        </w:rPr>
        <w:t>show that the nursing workforce in MA is predominately white</w:t>
      </w:r>
      <w:r w:rsidR="00E559AB" w:rsidRPr="00305D20">
        <w:rPr>
          <w:szCs w:val="24"/>
        </w:rPr>
        <w:t xml:space="preserve"> (</w:t>
      </w:r>
      <w:r w:rsidR="00161818" w:rsidRPr="00305D20">
        <w:rPr>
          <w:szCs w:val="24"/>
        </w:rPr>
        <w:t>non-Hispanic</w:t>
      </w:r>
      <w:r w:rsidR="00E559AB" w:rsidRPr="00305D20">
        <w:rPr>
          <w:szCs w:val="24"/>
        </w:rPr>
        <w:t>)</w:t>
      </w:r>
      <w:r w:rsidR="00161818" w:rsidRPr="00305D20">
        <w:rPr>
          <w:szCs w:val="24"/>
        </w:rPr>
        <w:t xml:space="preserve"> and female, with nearly 80% identifying as both. </w:t>
      </w:r>
      <w:r w:rsidR="007A66C0" w:rsidRPr="00305D20">
        <w:rPr>
          <w:szCs w:val="24"/>
        </w:rPr>
        <w:t>This is consistent with the RN workforce</w:t>
      </w:r>
      <w:r w:rsidR="00283F76">
        <w:rPr>
          <w:szCs w:val="24"/>
        </w:rPr>
        <w:t xml:space="preserve"> of the United States as a whole</w:t>
      </w:r>
      <w:r w:rsidR="007A66C0" w:rsidRPr="00305D20">
        <w:rPr>
          <w:szCs w:val="24"/>
        </w:rPr>
        <w:t>, which is 93% female and 83</w:t>
      </w:r>
      <w:r w:rsidR="00EE0D86" w:rsidRPr="00305D20">
        <w:rPr>
          <w:szCs w:val="24"/>
        </w:rPr>
        <w:t>%</w:t>
      </w:r>
      <w:r w:rsidR="007A66C0" w:rsidRPr="00305D20">
        <w:rPr>
          <w:szCs w:val="24"/>
        </w:rPr>
        <w:t xml:space="preserve"> white, non-Hispanic</w:t>
      </w:r>
      <w:r w:rsidR="00DE4172">
        <w:rPr>
          <w:szCs w:val="24"/>
        </w:rPr>
        <w:t>.</w:t>
      </w:r>
      <w:r w:rsidR="00E77C3E">
        <w:rPr>
          <w:rStyle w:val="FootnoteReference"/>
          <w:szCs w:val="24"/>
        </w:rPr>
        <w:footnoteReference w:id="2"/>
      </w:r>
      <w:r w:rsidR="007A66C0" w:rsidRPr="00305D20">
        <w:rPr>
          <w:szCs w:val="24"/>
        </w:rPr>
        <w:t xml:space="preserve"> </w:t>
      </w:r>
    </w:p>
    <w:p w:rsidR="0079059F" w:rsidRDefault="0079059F" w:rsidP="00CB14DB">
      <w:pPr>
        <w:jc w:val="both"/>
        <w:rPr>
          <w:sz w:val="8"/>
          <w:szCs w:val="24"/>
        </w:rPr>
      </w:pPr>
    </w:p>
    <w:p w:rsidR="00283F76" w:rsidRPr="00305D20" w:rsidRDefault="00283F76" w:rsidP="00CB14DB">
      <w:pPr>
        <w:jc w:val="both"/>
        <w:rPr>
          <w:sz w:val="8"/>
          <w:szCs w:val="24"/>
        </w:rPr>
      </w:pPr>
      <w:r w:rsidRPr="00156AD7">
        <w:rPr>
          <w:noProof/>
          <w:sz w:val="18"/>
          <w:szCs w:val="24"/>
        </w:rPr>
        <mc:AlternateContent>
          <mc:Choice Requires="wps">
            <w:drawing>
              <wp:anchor distT="0" distB="0" distL="114300" distR="114300" simplePos="0" relativeHeight="251667456" behindDoc="0" locked="0" layoutInCell="1" allowOverlap="1" wp14:anchorId="0D8D836E" wp14:editId="08F7D487">
                <wp:simplePos x="0" y="0"/>
                <wp:positionH relativeFrom="column">
                  <wp:posOffset>-153197</wp:posOffset>
                </wp:positionH>
                <wp:positionV relativeFrom="paragraph">
                  <wp:posOffset>49530</wp:posOffset>
                </wp:positionV>
                <wp:extent cx="3838353" cy="307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353" cy="307340"/>
                        </a:xfrm>
                        <a:prstGeom prst="rect">
                          <a:avLst/>
                        </a:prstGeom>
                        <a:solidFill>
                          <a:srgbClr val="FFFFFF">
                            <a:alpha val="0"/>
                          </a:srgbClr>
                        </a:solidFill>
                        <a:ln w="9525">
                          <a:noFill/>
                          <a:miter lim="800000"/>
                          <a:headEnd/>
                          <a:tailEnd/>
                        </a:ln>
                      </wps:spPr>
                      <wps:txbx>
                        <w:txbxContent>
                          <w:p w:rsidR="00ED76EA" w:rsidRPr="00B31830" w:rsidRDefault="00ED76EA" w:rsidP="002F204B">
                            <w:pPr>
                              <w:jc w:val="center"/>
                              <w:rPr>
                                <w:b/>
                                <w:sz w:val="24"/>
                                <w:szCs w:val="24"/>
                              </w:rPr>
                            </w:pPr>
                            <w:proofErr w:type="gramStart"/>
                            <w:r w:rsidRPr="00B31830">
                              <w:rPr>
                                <w:i/>
                                <w:sz w:val="24"/>
                                <w:szCs w:val="24"/>
                              </w:rPr>
                              <w:t>Table 1.</w:t>
                            </w:r>
                            <w:proofErr w:type="gramEnd"/>
                            <w:r w:rsidRPr="00B31830">
                              <w:rPr>
                                <w:b/>
                                <w:sz w:val="24"/>
                                <w:szCs w:val="24"/>
                              </w:rPr>
                              <w:t xml:space="preserve"> </w:t>
                            </w:r>
                            <w:r w:rsidR="00473C7F">
                              <w:rPr>
                                <w:b/>
                                <w:sz w:val="24"/>
                                <w:szCs w:val="24"/>
                              </w:rPr>
                              <w:t xml:space="preserve">2014 </w:t>
                            </w:r>
                            <w:r w:rsidRPr="00B31830">
                              <w:rPr>
                                <w:b/>
                                <w:sz w:val="24"/>
                                <w:szCs w:val="24"/>
                              </w:rPr>
                              <w:t>RNs by Race</w:t>
                            </w:r>
                            <w:r w:rsidR="002F204B">
                              <w:rPr>
                                <w:b/>
                                <w:sz w:val="24"/>
                                <w:szCs w:val="24"/>
                              </w:rPr>
                              <w:t xml:space="preserve"> and Hispanic/Latino Origin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2.05pt;margin-top:3.9pt;width:302.25pt;height:2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" stroked="f">
                <v:fill opacity="0"/>
                <v:textbox>
                  <w:txbxContent>
                    <w:p w:rsidR="00ED76EA" w:rsidRPr="00B31830" w:rsidRDefault="00ED76EA" w:rsidP="002F204B">
                      <w:pPr>
                        <w:jc w:val="center"/>
                        <w:rPr>
                          <w:b/>
                          <w:sz w:val="24"/>
                          <w:szCs w:val="24"/>
                        </w:rPr>
                      </w:pPr>
                      <w:proofErr w:type="gramStart"/>
                      <w:r w:rsidRPr="00B31830">
                        <w:rPr>
                          <w:i/>
                          <w:sz w:val="24"/>
                          <w:szCs w:val="24"/>
                        </w:rPr>
                        <w:t>Table 1.</w:t>
                      </w:r>
                      <w:proofErr w:type="gramEnd"/>
                      <w:r w:rsidRPr="00B31830">
                        <w:rPr>
                          <w:b/>
                          <w:sz w:val="24"/>
                          <w:szCs w:val="24"/>
                        </w:rPr>
                        <w:t xml:space="preserve"> </w:t>
                      </w:r>
                      <w:r w:rsidR="00473C7F">
                        <w:rPr>
                          <w:b/>
                          <w:sz w:val="24"/>
                          <w:szCs w:val="24"/>
                        </w:rPr>
                        <w:t xml:space="preserve">2014 </w:t>
                      </w:r>
                      <w:r w:rsidRPr="00B31830">
                        <w:rPr>
                          <w:b/>
                          <w:sz w:val="24"/>
                          <w:szCs w:val="24"/>
                        </w:rPr>
                        <w:t>RNs by Race</w:t>
                      </w:r>
                      <w:r w:rsidR="002F204B">
                        <w:rPr>
                          <w:b/>
                          <w:sz w:val="24"/>
                          <w:szCs w:val="24"/>
                        </w:rPr>
                        <w:t xml:space="preserve"> and Hispanic/Latino Origin</w:t>
                      </w:r>
                    </w:p>
                  </w:txbxContent>
                </v:textbox>
              </v:shape>
            </w:pict>
          </mc:Fallback>
        </mc:AlternateContent>
      </w:r>
    </w:p>
    <w:p w:rsidR="00592E0E" w:rsidRPr="00592E0E" w:rsidRDefault="00592E0E" w:rsidP="00CB14DB">
      <w:pPr>
        <w:jc w:val="both"/>
        <w:rPr>
          <w:sz w:val="4"/>
          <w:szCs w:val="24"/>
        </w:rPr>
      </w:pPr>
    </w:p>
    <w:tbl>
      <w:tblPr>
        <w:tblpPr w:leftFromText="180" w:rightFromText="180" w:vertAnchor="text" w:horzAnchor="margin" w:tblpY="1"/>
        <w:tblOverlap w:val="never"/>
        <w:tblW w:w="5580" w:type="dxa"/>
        <w:tblLook w:val="04A0" w:firstRow="1" w:lastRow="0" w:firstColumn="1" w:lastColumn="0" w:noHBand="0" w:noVBand="1"/>
        <w:tblCaption w:val="Table 1. RNs by Race and Hispanic/Latino Origin"/>
        <w:tblDescription w:val="Table 1 displays the race and hispanic/latino breakdown of RNs and the MA population as a whole. The data displays is as follows:&#10;&#10;89.8% of RNs are white, non-hispanic, compared to 75.0% of the MA population.&#10;&#10;4.6% of RNs are black, non-hispanic, compared to 6.4% of the MA population.&#10;&#10;2.7% of RNs are Asian, non-hispanic, compared to 5.7% of the MA population.&#10;&#10;0.3% of RNs are American Indian/Alaska Native, non-hispanic, compared to 0.1% of the MA population.&#10;&#10;0.1% of RNs are Native Hawaiian/Pacific Islander, non-hispanic, compared to less than 0.1% in the MA population.&#10;&#10;1.0% of RNs are Hispanic/Latino, compared to 10.2% of the MA population.&#10;&#10;0.5% of RNs are multiracial compared to 0.6% of the MA population.&#10;&#10;0% of RNs reported being of an &quot;other&quot; race, compared to 1.9% of the MA population.&#10;&#10;5.4% of the RN population declined to answer the question on race/ethnicity.&#10;&#10;The data on demographics of the MA population is derived from the US Census Bureau, 2010-2014 American Community Survey 5-Year Estimates.&#10;&#10;The table also displays the diversity index of RNs, which is 19.0, compared to the diversity index of the MA population, 41.9.&#10;&#10;The diversity index is the likelihood that two persons chosen at random will differ by race/ethnicity. This is calculated by taking the sum of the squares of the percentages for each race/ethnicity category and then subtracting the total value from 1. &#10;"/>
      </w:tblPr>
      <w:tblGrid>
        <w:gridCol w:w="3528"/>
        <w:gridCol w:w="991"/>
        <w:gridCol w:w="1288"/>
      </w:tblGrid>
      <w:tr w:rsidR="00283F76" w:rsidRPr="002B1E1E" w:rsidTr="00283F76">
        <w:trPr>
          <w:trHeight w:val="300"/>
        </w:trPr>
        <w:tc>
          <w:tcPr>
            <w:tcW w:w="3528" w:type="dxa"/>
            <w:tcBorders>
              <w:top w:val="single" w:sz="4" w:space="0" w:color="7F7F7F" w:themeColor="text1" w:themeTint="80"/>
              <w:left w:val="nil"/>
              <w:bottom w:val="single" w:sz="4" w:space="0" w:color="7F7F7F" w:themeColor="text1" w:themeTint="80"/>
              <w:right w:val="nil"/>
            </w:tcBorders>
            <w:shd w:val="clear" w:color="auto" w:fill="D9D9D9" w:themeFill="background1" w:themeFillShade="D9"/>
            <w:noWrap/>
            <w:vAlign w:val="bottom"/>
            <w:hideMark/>
          </w:tcPr>
          <w:p w:rsidR="00283F76" w:rsidRPr="002B1E1E" w:rsidRDefault="00283F76" w:rsidP="00283F76">
            <w:pPr>
              <w:spacing w:after="0" w:line="240" w:lineRule="auto"/>
              <w:jc w:val="center"/>
              <w:rPr>
                <w:rFonts w:ascii="Calibri" w:eastAsia="Times New Roman" w:hAnsi="Calibri" w:cs="Times New Roman"/>
                <w:b/>
                <w:color w:val="000000"/>
              </w:rPr>
            </w:pPr>
            <w:r w:rsidRPr="002B1E1E">
              <w:rPr>
                <w:rFonts w:ascii="Calibri" w:eastAsia="Times New Roman" w:hAnsi="Calibri" w:cs="Times New Roman"/>
                <w:b/>
                <w:color w:val="000000"/>
              </w:rPr>
              <w:t>Race/Ethnicity</w:t>
            </w:r>
          </w:p>
        </w:tc>
        <w:tc>
          <w:tcPr>
            <w:tcW w:w="764" w:type="dxa"/>
            <w:tcBorders>
              <w:top w:val="single" w:sz="4" w:space="0" w:color="7F7F7F" w:themeColor="text1" w:themeTint="80"/>
              <w:left w:val="nil"/>
              <w:bottom w:val="single" w:sz="4" w:space="0" w:color="7F7F7F" w:themeColor="text1" w:themeTint="80"/>
              <w:right w:val="nil"/>
            </w:tcBorders>
            <w:shd w:val="clear" w:color="auto" w:fill="D9D9D9" w:themeFill="background1" w:themeFillShade="D9"/>
            <w:noWrap/>
            <w:vAlign w:val="bottom"/>
            <w:hideMark/>
          </w:tcPr>
          <w:p w:rsidR="00283F76" w:rsidRDefault="00283F76" w:rsidP="00283F76">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RNs</w:t>
            </w:r>
          </w:p>
          <w:p w:rsidR="00BD3FFF" w:rsidRPr="00BD3FFF" w:rsidRDefault="00BD3FFF"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sz w:val="18"/>
              </w:rPr>
              <w:t>n</w:t>
            </w:r>
            <w:r w:rsidRPr="00BD3FFF">
              <w:rPr>
                <w:rFonts w:ascii="Calibri" w:eastAsia="Times New Roman" w:hAnsi="Calibri" w:cs="Times New Roman"/>
                <w:color w:val="000000"/>
                <w:sz w:val="18"/>
              </w:rPr>
              <w:t>=86,886</w:t>
            </w:r>
            <w:r w:rsidR="00193DF1">
              <w:rPr>
                <w:rFonts w:ascii="Calibri" w:eastAsia="Times New Roman" w:hAnsi="Calibri" w:cs="Times New Roman"/>
                <w:color w:val="000000"/>
                <w:sz w:val="18"/>
              </w:rPr>
              <w:t>*</w:t>
            </w:r>
          </w:p>
        </w:tc>
        <w:tc>
          <w:tcPr>
            <w:tcW w:w="1288" w:type="dxa"/>
            <w:tcBorders>
              <w:top w:val="single" w:sz="4" w:space="0" w:color="7F7F7F" w:themeColor="text1" w:themeTint="80"/>
              <w:left w:val="nil"/>
              <w:bottom w:val="single" w:sz="4" w:space="0" w:color="7F7F7F" w:themeColor="text1" w:themeTint="80"/>
              <w:right w:val="nil"/>
            </w:tcBorders>
            <w:shd w:val="clear" w:color="auto" w:fill="D9D9D9" w:themeFill="background1" w:themeFillShade="D9"/>
            <w:vAlign w:val="bottom"/>
          </w:tcPr>
          <w:p w:rsidR="00283F76" w:rsidRPr="002B1E1E" w:rsidRDefault="00283F76" w:rsidP="00283F76">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MA</w:t>
            </w:r>
            <w:r>
              <w:rPr>
                <w:rFonts w:ascii="Calibri" w:eastAsia="Times New Roman" w:hAnsi="Calibri" w:cs="Times New Roman"/>
                <w:b/>
                <w:color w:val="000000"/>
              </w:rPr>
              <w:br/>
              <w:t>Population</w:t>
            </w:r>
            <w:r w:rsidR="00A77DD9">
              <w:rPr>
                <w:rStyle w:val="FootnoteReference"/>
                <w:rFonts w:ascii="Calibri" w:eastAsia="Times New Roman" w:hAnsi="Calibri" w:cs="Times New Roman"/>
                <w:b/>
                <w:color w:val="000000"/>
              </w:rPr>
              <w:footnoteReference w:id="3"/>
            </w:r>
          </w:p>
        </w:tc>
      </w:tr>
      <w:tr w:rsidR="00283F76" w:rsidRPr="002B1E1E" w:rsidTr="00283F76">
        <w:trPr>
          <w:trHeight w:val="300"/>
        </w:trPr>
        <w:tc>
          <w:tcPr>
            <w:tcW w:w="3528" w:type="dxa"/>
            <w:tcBorders>
              <w:top w:val="single" w:sz="4" w:space="0" w:color="7F7F7F" w:themeColor="text1" w:themeTint="80"/>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White</w:t>
            </w:r>
            <w:r>
              <w:rPr>
                <w:rFonts w:ascii="Calibri" w:eastAsia="Times New Roman" w:hAnsi="Calibri" w:cs="Times New Roman"/>
                <w:color w:val="000000"/>
              </w:rPr>
              <w:t>, non-Hispanic</w:t>
            </w:r>
            <w:r w:rsidR="0079059F">
              <w:rPr>
                <w:rFonts w:ascii="Calibri" w:eastAsia="Times New Roman" w:hAnsi="Calibri" w:cs="Times New Roman"/>
                <w:color w:val="000000"/>
              </w:rPr>
              <w:t xml:space="preserve"> </w:t>
            </w:r>
            <w:r>
              <w:rPr>
                <w:rFonts w:ascii="Calibri" w:eastAsia="Times New Roman" w:hAnsi="Calibri" w:cs="Times New Roman"/>
                <w:color w:val="000000"/>
              </w:rPr>
              <w:t>(NH)</w:t>
            </w:r>
          </w:p>
        </w:tc>
        <w:tc>
          <w:tcPr>
            <w:tcW w:w="764" w:type="dxa"/>
            <w:tcBorders>
              <w:top w:val="single" w:sz="4" w:space="0" w:color="7F7F7F" w:themeColor="text1" w:themeTint="80"/>
              <w:left w:val="nil"/>
              <w:bottom w:val="nil"/>
              <w:right w:val="nil"/>
            </w:tcBorders>
            <w:shd w:val="clear" w:color="auto" w:fill="auto"/>
            <w:noWrap/>
            <w:vAlign w:val="bottom"/>
            <w:hideMark/>
          </w:tcPr>
          <w:p w:rsidR="00283F76" w:rsidRPr="002B1E1E" w:rsidRDefault="00283F76" w:rsidP="00BD3FFF">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8</w:t>
            </w:r>
            <w:r w:rsidR="00BD3FFF">
              <w:rPr>
                <w:rFonts w:ascii="Calibri" w:eastAsia="Times New Roman" w:hAnsi="Calibri" w:cs="Times New Roman"/>
                <w:color w:val="000000"/>
              </w:rPr>
              <w:t>9.8</w:t>
            </w:r>
            <w:r w:rsidRPr="002B1E1E">
              <w:rPr>
                <w:rFonts w:ascii="Calibri" w:eastAsia="Times New Roman" w:hAnsi="Calibri" w:cs="Times New Roman"/>
                <w:color w:val="000000"/>
              </w:rPr>
              <w:t>%</w:t>
            </w:r>
          </w:p>
        </w:tc>
        <w:tc>
          <w:tcPr>
            <w:tcW w:w="1288" w:type="dxa"/>
            <w:tcBorders>
              <w:top w:val="single" w:sz="4" w:space="0" w:color="7F7F7F" w:themeColor="text1" w:themeTint="80"/>
              <w:left w:val="nil"/>
              <w:bottom w:val="nil"/>
              <w:right w:val="nil"/>
            </w:tcBorders>
            <w:vAlign w:val="bottom"/>
          </w:tcPr>
          <w:p w:rsidR="00283F76" w:rsidRPr="002B1E1E"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r w:rsidR="00283F76">
              <w:rPr>
                <w:rFonts w:ascii="Calibri" w:eastAsia="Times New Roman" w:hAnsi="Calibri" w:cs="Times New Roman"/>
                <w:color w:val="000000"/>
              </w:rPr>
              <w:t>%</w:t>
            </w:r>
          </w:p>
        </w:tc>
      </w:tr>
      <w:tr w:rsidR="00283F76" w:rsidRPr="002B1E1E" w:rsidTr="00283F76">
        <w:trPr>
          <w:trHeight w:val="300"/>
        </w:trPr>
        <w:tc>
          <w:tcPr>
            <w:tcW w:w="3528"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Black</w:t>
            </w:r>
            <w:r>
              <w:rPr>
                <w:rFonts w:ascii="Calibri" w:eastAsia="Times New Roman" w:hAnsi="Calibri" w:cs="Times New Roman"/>
                <w:color w:val="000000"/>
              </w:rPr>
              <w:t>, NH</w:t>
            </w:r>
          </w:p>
        </w:tc>
        <w:tc>
          <w:tcPr>
            <w:tcW w:w="764" w:type="dxa"/>
            <w:tcBorders>
              <w:top w:val="nil"/>
              <w:left w:val="nil"/>
              <w:bottom w:val="nil"/>
              <w:right w:val="nil"/>
            </w:tcBorders>
            <w:shd w:val="clear" w:color="auto" w:fill="auto"/>
            <w:noWrap/>
            <w:vAlign w:val="bottom"/>
            <w:hideMark/>
          </w:tcPr>
          <w:p w:rsidR="00283F76" w:rsidRPr="002B1E1E" w:rsidRDefault="00283F76" w:rsidP="00BD3FFF">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4.</w:t>
            </w:r>
            <w:r w:rsidR="00BD3FFF">
              <w:rPr>
                <w:rFonts w:ascii="Calibri" w:eastAsia="Times New Roman" w:hAnsi="Calibri" w:cs="Times New Roman"/>
                <w:color w:val="000000"/>
              </w:rPr>
              <w:t>6</w:t>
            </w:r>
            <w:r w:rsidRPr="002B1E1E">
              <w:rPr>
                <w:rFonts w:ascii="Calibri" w:eastAsia="Times New Roman" w:hAnsi="Calibri" w:cs="Times New Roman"/>
                <w:color w:val="000000"/>
              </w:rPr>
              <w:t>%</w:t>
            </w:r>
          </w:p>
        </w:tc>
        <w:tc>
          <w:tcPr>
            <w:tcW w:w="1288" w:type="dxa"/>
            <w:tcBorders>
              <w:top w:val="nil"/>
              <w:left w:val="nil"/>
              <w:bottom w:val="nil"/>
              <w:right w:val="nil"/>
            </w:tcBorders>
            <w:vAlign w:val="bottom"/>
          </w:tcPr>
          <w:p w:rsidR="00283F76" w:rsidRPr="002B1E1E"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6.4</w:t>
            </w:r>
            <w:r w:rsidR="00283F76">
              <w:rPr>
                <w:rFonts w:ascii="Calibri" w:eastAsia="Times New Roman" w:hAnsi="Calibri" w:cs="Times New Roman"/>
                <w:color w:val="000000"/>
              </w:rPr>
              <w:t>%</w:t>
            </w:r>
          </w:p>
        </w:tc>
      </w:tr>
      <w:tr w:rsidR="00283F76" w:rsidRPr="002B1E1E" w:rsidTr="00283F76">
        <w:trPr>
          <w:trHeight w:val="300"/>
        </w:trPr>
        <w:tc>
          <w:tcPr>
            <w:tcW w:w="3528"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Asian</w:t>
            </w:r>
            <w:r>
              <w:rPr>
                <w:rFonts w:ascii="Calibri" w:eastAsia="Times New Roman" w:hAnsi="Calibri" w:cs="Times New Roman"/>
                <w:color w:val="000000"/>
              </w:rPr>
              <w:t>, NH</w:t>
            </w:r>
          </w:p>
        </w:tc>
        <w:tc>
          <w:tcPr>
            <w:tcW w:w="764" w:type="dxa"/>
            <w:tcBorders>
              <w:top w:val="nil"/>
              <w:left w:val="nil"/>
              <w:bottom w:val="nil"/>
              <w:right w:val="nil"/>
            </w:tcBorders>
            <w:shd w:val="clear" w:color="auto" w:fill="auto"/>
            <w:noWrap/>
            <w:vAlign w:val="bottom"/>
            <w:hideMark/>
          </w:tcPr>
          <w:p w:rsidR="00283F76" w:rsidRPr="002B1E1E" w:rsidRDefault="00283F76" w:rsidP="00BD3FFF">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2.</w:t>
            </w:r>
            <w:r w:rsidR="00BD3FFF">
              <w:rPr>
                <w:rFonts w:ascii="Calibri" w:eastAsia="Times New Roman" w:hAnsi="Calibri" w:cs="Times New Roman"/>
                <w:color w:val="000000"/>
              </w:rPr>
              <w:t>7</w:t>
            </w:r>
            <w:r w:rsidRPr="002B1E1E">
              <w:rPr>
                <w:rFonts w:ascii="Calibri" w:eastAsia="Times New Roman" w:hAnsi="Calibri" w:cs="Times New Roman"/>
                <w:color w:val="000000"/>
              </w:rPr>
              <w:t>%</w:t>
            </w:r>
          </w:p>
        </w:tc>
        <w:tc>
          <w:tcPr>
            <w:tcW w:w="1288" w:type="dxa"/>
            <w:tcBorders>
              <w:top w:val="nil"/>
              <w:left w:val="nil"/>
              <w:bottom w:val="nil"/>
              <w:right w:val="nil"/>
            </w:tcBorders>
            <w:vAlign w:val="bottom"/>
          </w:tcPr>
          <w:p w:rsidR="00283F76" w:rsidRPr="002B1E1E"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5.7</w:t>
            </w:r>
            <w:r w:rsidR="00283F76">
              <w:rPr>
                <w:rFonts w:ascii="Calibri" w:eastAsia="Times New Roman" w:hAnsi="Calibri" w:cs="Times New Roman"/>
                <w:color w:val="000000"/>
              </w:rPr>
              <w:t>%</w:t>
            </w:r>
          </w:p>
        </w:tc>
      </w:tr>
      <w:tr w:rsidR="00283F76" w:rsidRPr="002B1E1E" w:rsidTr="00283F76">
        <w:trPr>
          <w:trHeight w:val="300"/>
        </w:trPr>
        <w:tc>
          <w:tcPr>
            <w:tcW w:w="3528"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American Indian/Alaska Native</w:t>
            </w:r>
            <w:r>
              <w:rPr>
                <w:rFonts w:ascii="Calibri" w:eastAsia="Times New Roman" w:hAnsi="Calibri" w:cs="Times New Roman"/>
                <w:color w:val="000000"/>
              </w:rPr>
              <w:t>, NH</w:t>
            </w:r>
          </w:p>
        </w:tc>
        <w:tc>
          <w:tcPr>
            <w:tcW w:w="764"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0.3%</w:t>
            </w:r>
          </w:p>
        </w:tc>
        <w:tc>
          <w:tcPr>
            <w:tcW w:w="1288" w:type="dxa"/>
            <w:tcBorders>
              <w:top w:val="nil"/>
              <w:left w:val="nil"/>
              <w:bottom w:val="nil"/>
              <w:right w:val="nil"/>
            </w:tcBorders>
            <w:vAlign w:val="bottom"/>
          </w:tcPr>
          <w:p w:rsidR="00283F76" w:rsidRPr="002B1E1E"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0.1</w:t>
            </w:r>
            <w:r w:rsidR="00283F76">
              <w:rPr>
                <w:rFonts w:ascii="Calibri" w:eastAsia="Times New Roman" w:hAnsi="Calibri" w:cs="Times New Roman"/>
                <w:color w:val="000000"/>
              </w:rPr>
              <w:t>%</w:t>
            </w:r>
          </w:p>
        </w:tc>
      </w:tr>
      <w:tr w:rsidR="00283F76" w:rsidRPr="002B1E1E" w:rsidTr="00283F76">
        <w:trPr>
          <w:trHeight w:val="300"/>
        </w:trPr>
        <w:tc>
          <w:tcPr>
            <w:tcW w:w="3528"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Native Hawaiian/Pacific Islander</w:t>
            </w:r>
            <w:r>
              <w:rPr>
                <w:rFonts w:ascii="Calibri" w:eastAsia="Times New Roman" w:hAnsi="Calibri" w:cs="Times New Roman"/>
                <w:color w:val="000000"/>
              </w:rPr>
              <w:t>, NH</w:t>
            </w:r>
          </w:p>
        </w:tc>
        <w:tc>
          <w:tcPr>
            <w:tcW w:w="764"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0.1%</w:t>
            </w:r>
          </w:p>
        </w:tc>
        <w:tc>
          <w:tcPr>
            <w:tcW w:w="1288" w:type="dxa"/>
            <w:tcBorders>
              <w:top w:val="nil"/>
              <w:left w:val="nil"/>
              <w:bottom w:val="nil"/>
              <w:right w:val="nil"/>
            </w:tcBorders>
            <w:vAlign w:val="bottom"/>
          </w:tcPr>
          <w:p w:rsidR="00283F76" w:rsidRPr="002B1E1E" w:rsidRDefault="004375D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&lt;0.1%</w:t>
            </w:r>
          </w:p>
        </w:tc>
      </w:tr>
      <w:tr w:rsidR="00283F76" w:rsidRPr="002B1E1E" w:rsidTr="00283F76">
        <w:trPr>
          <w:trHeight w:val="300"/>
        </w:trPr>
        <w:tc>
          <w:tcPr>
            <w:tcW w:w="3528" w:type="dxa"/>
            <w:tcBorders>
              <w:top w:val="nil"/>
              <w:left w:val="nil"/>
              <w:bottom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Hispanic</w:t>
            </w:r>
            <w:r w:rsidR="0079059F">
              <w:rPr>
                <w:rFonts w:ascii="Calibri" w:eastAsia="Times New Roman" w:hAnsi="Calibri" w:cs="Times New Roman"/>
                <w:color w:val="000000"/>
              </w:rPr>
              <w:t>/Latino</w:t>
            </w:r>
          </w:p>
        </w:tc>
        <w:tc>
          <w:tcPr>
            <w:tcW w:w="764" w:type="dxa"/>
            <w:tcBorders>
              <w:top w:val="nil"/>
              <w:left w:val="nil"/>
              <w:bottom w:val="nil"/>
              <w:right w:val="nil"/>
            </w:tcBorders>
            <w:shd w:val="clear" w:color="auto" w:fill="auto"/>
            <w:noWrap/>
            <w:vAlign w:val="bottom"/>
            <w:hideMark/>
          </w:tcPr>
          <w:p w:rsidR="00283F76" w:rsidRPr="002B1E1E" w:rsidRDefault="00BD3FFF"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w:t>
            </w:r>
            <w:r w:rsidR="00283F76" w:rsidRPr="002B1E1E">
              <w:rPr>
                <w:rFonts w:ascii="Calibri" w:eastAsia="Times New Roman" w:hAnsi="Calibri" w:cs="Times New Roman"/>
                <w:color w:val="000000"/>
              </w:rPr>
              <w:t>%</w:t>
            </w:r>
          </w:p>
        </w:tc>
        <w:tc>
          <w:tcPr>
            <w:tcW w:w="1288" w:type="dxa"/>
            <w:tcBorders>
              <w:top w:val="nil"/>
              <w:left w:val="nil"/>
              <w:bottom w:val="nil"/>
              <w:right w:val="nil"/>
            </w:tcBorders>
            <w:vAlign w:val="bottom"/>
          </w:tcPr>
          <w:p w:rsidR="00283F76" w:rsidRPr="002B1E1E"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10.2</w:t>
            </w:r>
            <w:r w:rsidR="00283F76">
              <w:rPr>
                <w:rFonts w:ascii="Calibri" w:eastAsia="Times New Roman" w:hAnsi="Calibri" w:cs="Times New Roman"/>
                <w:color w:val="000000"/>
              </w:rPr>
              <w:t>%</w:t>
            </w:r>
          </w:p>
        </w:tc>
      </w:tr>
      <w:tr w:rsidR="00283F76" w:rsidRPr="002B1E1E" w:rsidTr="00283F76">
        <w:trPr>
          <w:trHeight w:val="300"/>
        </w:trPr>
        <w:tc>
          <w:tcPr>
            <w:tcW w:w="3528" w:type="dxa"/>
            <w:tcBorders>
              <w:top w:val="nil"/>
              <w:left w:val="nil"/>
              <w:right w:val="nil"/>
            </w:tcBorders>
            <w:shd w:val="clear" w:color="auto" w:fill="auto"/>
            <w:noWrap/>
            <w:vAlign w:val="bottom"/>
            <w:hideMark/>
          </w:tcPr>
          <w:p w:rsidR="00283F76" w:rsidRPr="002B1E1E" w:rsidRDefault="00283F76" w:rsidP="00283F76">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Multiracial</w:t>
            </w:r>
          </w:p>
        </w:tc>
        <w:tc>
          <w:tcPr>
            <w:tcW w:w="764" w:type="dxa"/>
            <w:tcBorders>
              <w:top w:val="nil"/>
              <w:left w:val="nil"/>
              <w:right w:val="nil"/>
            </w:tcBorders>
            <w:shd w:val="clear" w:color="auto" w:fill="auto"/>
            <w:noWrap/>
            <w:vAlign w:val="bottom"/>
            <w:hideMark/>
          </w:tcPr>
          <w:p w:rsidR="00283F76" w:rsidRPr="002B1E1E" w:rsidRDefault="00283F76" w:rsidP="00BD3FFF">
            <w:pPr>
              <w:spacing w:after="0" w:line="240" w:lineRule="auto"/>
              <w:jc w:val="center"/>
              <w:rPr>
                <w:rFonts w:ascii="Calibri" w:eastAsia="Times New Roman" w:hAnsi="Calibri" w:cs="Times New Roman"/>
                <w:color w:val="000000"/>
              </w:rPr>
            </w:pPr>
            <w:r w:rsidRPr="002B1E1E">
              <w:rPr>
                <w:rFonts w:ascii="Calibri" w:eastAsia="Times New Roman" w:hAnsi="Calibri" w:cs="Times New Roman"/>
                <w:color w:val="000000"/>
              </w:rPr>
              <w:t>0.</w:t>
            </w:r>
            <w:r w:rsidR="00BD3FFF">
              <w:rPr>
                <w:rFonts w:ascii="Calibri" w:eastAsia="Times New Roman" w:hAnsi="Calibri" w:cs="Times New Roman"/>
                <w:color w:val="000000"/>
              </w:rPr>
              <w:t>5</w:t>
            </w:r>
            <w:r w:rsidRPr="002B1E1E">
              <w:rPr>
                <w:rFonts w:ascii="Calibri" w:eastAsia="Times New Roman" w:hAnsi="Calibri" w:cs="Times New Roman"/>
                <w:color w:val="000000"/>
              </w:rPr>
              <w:t>%</w:t>
            </w:r>
          </w:p>
        </w:tc>
        <w:tc>
          <w:tcPr>
            <w:tcW w:w="1288" w:type="dxa"/>
            <w:tcBorders>
              <w:top w:val="nil"/>
              <w:left w:val="nil"/>
              <w:right w:val="nil"/>
            </w:tcBorders>
            <w:vAlign w:val="bottom"/>
          </w:tcPr>
          <w:p w:rsidR="00283F76" w:rsidRPr="002B1E1E"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w:t>
            </w:r>
            <w:r w:rsidR="00283F76">
              <w:rPr>
                <w:rFonts w:ascii="Calibri" w:eastAsia="Times New Roman" w:hAnsi="Calibri" w:cs="Times New Roman"/>
                <w:color w:val="000000"/>
              </w:rPr>
              <w:t>%</w:t>
            </w:r>
          </w:p>
        </w:tc>
      </w:tr>
      <w:tr w:rsidR="00283F76" w:rsidRPr="002B1E1E" w:rsidTr="00283F76">
        <w:trPr>
          <w:trHeight w:val="300"/>
        </w:trPr>
        <w:tc>
          <w:tcPr>
            <w:tcW w:w="3528" w:type="dxa"/>
            <w:tcBorders>
              <w:top w:val="nil"/>
              <w:left w:val="nil"/>
              <w:right w:val="nil"/>
            </w:tcBorders>
            <w:shd w:val="clear" w:color="auto" w:fill="auto"/>
            <w:noWrap/>
            <w:vAlign w:val="bottom"/>
          </w:tcPr>
          <w:p w:rsidR="00283F76" w:rsidRPr="002B1E1E" w:rsidRDefault="00283F76"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Other</w:t>
            </w:r>
          </w:p>
        </w:tc>
        <w:tc>
          <w:tcPr>
            <w:tcW w:w="764" w:type="dxa"/>
            <w:tcBorders>
              <w:top w:val="nil"/>
              <w:left w:val="nil"/>
              <w:right w:val="nil"/>
            </w:tcBorders>
            <w:shd w:val="clear" w:color="auto" w:fill="auto"/>
            <w:noWrap/>
            <w:vAlign w:val="bottom"/>
          </w:tcPr>
          <w:p w:rsidR="00283F76" w:rsidRPr="002B1E1E" w:rsidRDefault="00283F76"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0.0%</w:t>
            </w:r>
          </w:p>
        </w:tc>
        <w:tc>
          <w:tcPr>
            <w:tcW w:w="1288" w:type="dxa"/>
            <w:tcBorders>
              <w:top w:val="nil"/>
              <w:left w:val="nil"/>
              <w:right w:val="nil"/>
            </w:tcBorders>
            <w:vAlign w:val="bottom"/>
          </w:tcPr>
          <w:p w:rsidR="00283F76" w:rsidRDefault="00220F42" w:rsidP="00283F7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w:t>
            </w:r>
            <w:r w:rsidR="00283F76">
              <w:rPr>
                <w:rFonts w:ascii="Calibri" w:eastAsia="Times New Roman" w:hAnsi="Calibri" w:cs="Times New Roman"/>
                <w:color w:val="000000"/>
              </w:rPr>
              <w:t>%</w:t>
            </w:r>
          </w:p>
        </w:tc>
      </w:tr>
      <w:tr w:rsidR="00283F76" w:rsidRPr="002B1E1E" w:rsidTr="00647D76">
        <w:trPr>
          <w:trHeight w:val="300"/>
        </w:trPr>
        <w:tc>
          <w:tcPr>
            <w:tcW w:w="3528" w:type="dxa"/>
            <w:tcBorders>
              <w:top w:val="single" w:sz="4" w:space="0" w:color="7F7F7F" w:themeColor="text1" w:themeTint="80"/>
              <w:left w:val="nil"/>
              <w:bottom w:val="single" w:sz="4" w:space="0" w:color="7F7F7F" w:themeColor="text1" w:themeTint="80"/>
              <w:right w:val="nil"/>
            </w:tcBorders>
            <w:shd w:val="clear" w:color="auto" w:fill="auto"/>
            <w:noWrap/>
            <w:vAlign w:val="bottom"/>
          </w:tcPr>
          <w:p w:rsidR="00283F76" w:rsidRPr="00647D76" w:rsidRDefault="00E77C3E" w:rsidP="002F204B">
            <w:pPr>
              <w:spacing w:after="0" w:line="240" w:lineRule="auto"/>
              <w:jc w:val="center"/>
              <w:rPr>
                <w:rFonts w:ascii="Calibri" w:eastAsia="Times New Roman" w:hAnsi="Calibri" w:cs="Times New Roman"/>
                <w:b/>
                <w:i/>
                <w:color w:val="000000"/>
              </w:rPr>
            </w:pPr>
            <w:r>
              <w:rPr>
                <w:rFonts w:ascii="Calibri" w:eastAsia="Times New Roman" w:hAnsi="Calibri" w:cs="Times New Roman"/>
                <w:b/>
                <w:i/>
                <w:color w:val="000000"/>
              </w:rPr>
              <w:t>Overall Diversity Index</w:t>
            </w:r>
            <w:r w:rsidR="002F204B">
              <w:rPr>
                <w:rFonts w:ascii="Calibri" w:eastAsia="Times New Roman" w:hAnsi="Calibri" w:cs="Times New Roman"/>
                <w:b/>
                <w:i/>
                <w:color w:val="000000"/>
                <w:vertAlign w:val="superscript"/>
              </w:rPr>
              <w:t>4</w:t>
            </w:r>
          </w:p>
        </w:tc>
        <w:tc>
          <w:tcPr>
            <w:tcW w:w="764" w:type="dxa"/>
            <w:tcBorders>
              <w:top w:val="single" w:sz="4" w:space="0" w:color="7F7F7F" w:themeColor="text1" w:themeTint="80"/>
              <w:left w:val="nil"/>
              <w:bottom w:val="single" w:sz="4" w:space="0" w:color="7F7F7F" w:themeColor="text1" w:themeTint="80"/>
              <w:right w:val="nil"/>
            </w:tcBorders>
            <w:shd w:val="clear" w:color="auto" w:fill="auto"/>
            <w:noWrap/>
            <w:vAlign w:val="bottom"/>
          </w:tcPr>
          <w:p w:rsidR="00283F76" w:rsidRPr="00305D20" w:rsidRDefault="00283F76" w:rsidP="00BD3FFF">
            <w:pPr>
              <w:spacing w:after="0" w:line="240" w:lineRule="auto"/>
              <w:jc w:val="center"/>
              <w:rPr>
                <w:rFonts w:ascii="Calibri" w:eastAsia="Times New Roman" w:hAnsi="Calibri" w:cs="Times New Roman"/>
                <w:i/>
                <w:color w:val="000000"/>
              </w:rPr>
            </w:pPr>
            <w:r w:rsidRPr="00305D20">
              <w:rPr>
                <w:rFonts w:ascii="Calibri" w:eastAsia="Times New Roman" w:hAnsi="Calibri" w:cs="Times New Roman"/>
                <w:i/>
                <w:color w:val="000000"/>
              </w:rPr>
              <w:t>1</w:t>
            </w:r>
            <w:r w:rsidR="00BD3FFF">
              <w:rPr>
                <w:rFonts w:ascii="Calibri" w:eastAsia="Times New Roman" w:hAnsi="Calibri" w:cs="Times New Roman"/>
                <w:i/>
                <w:color w:val="000000"/>
              </w:rPr>
              <w:t>9</w:t>
            </w:r>
            <w:r w:rsidRPr="00305D20">
              <w:rPr>
                <w:rFonts w:ascii="Calibri" w:eastAsia="Times New Roman" w:hAnsi="Calibri" w:cs="Times New Roman"/>
                <w:i/>
                <w:color w:val="000000"/>
              </w:rPr>
              <w:t>.</w:t>
            </w:r>
            <w:r w:rsidR="00BD3FFF">
              <w:rPr>
                <w:rFonts w:ascii="Calibri" w:eastAsia="Times New Roman" w:hAnsi="Calibri" w:cs="Times New Roman"/>
                <w:i/>
                <w:color w:val="000000"/>
              </w:rPr>
              <w:t>0</w:t>
            </w:r>
          </w:p>
        </w:tc>
        <w:tc>
          <w:tcPr>
            <w:tcW w:w="1288" w:type="dxa"/>
            <w:tcBorders>
              <w:top w:val="single" w:sz="4" w:space="0" w:color="7F7F7F" w:themeColor="text1" w:themeTint="80"/>
              <w:left w:val="nil"/>
              <w:bottom w:val="single" w:sz="4" w:space="0" w:color="7F7F7F" w:themeColor="text1" w:themeTint="80"/>
              <w:right w:val="nil"/>
            </w:tcBorders>
            <w:vAlign w:val="bottom"/>
          </w:tcPr>
          <w:p w:rsidR="00283F76" w:rsidRPr="00305D20" w:rsidRDefault="00283F76" w:rsidP="00220F42">
            <w:pPr>
              <w:spacing w:after="0" w:line="240" w:lineRule="auto"/>
              <w:jc w:val="center"/>
              <w:rPr>
                <w:rFonts w:ascii="Calibri" w:eastAsia="Times New Roman" w:hAnsi="Calibri" w:cs="Times New Roman"/>
                <w:i/>
                <w:color w:val="000000"/>
              </w:rPr>
            </w:pPr>
            <w:r w:rsidRPr="00305D20">
              <w:rPr>
                <w:rFonts w:ascii="Calibri" w:eastAsia="Times New Roman" w:hAnsi="Calibri" w:cs="Times New Roman"/>
                <w:i/>
                <w:color w:val="000000"/>
              </w:rPr>
              <w:t>4</w:t>
            </w:r>
            <w:r w:rsidR="00220F42">
              <w:rPr>
                <w:rFonts w:ascii="Calibri" w:eastAsia="Times New Roman" w:hAnsi="Calibri" w:cs="Times New Roman"/>
                <w:i/>
                <w:color w:val="000000"/>
              </w:rPr>
              <w:t>1</w:t>
            </w:r>
            <w:r w:rsidRPr="00305D20">
              <w:rPr>
                <w:rFonts w:ascii="Calibri" w:eastAsia="Times New Roman" w:hAnsi="Calibri" w:cs="Times New Roman"/>
                <w:i/>
                <w:color w:val="000000"/>
              </w:rPr>
              <w:t>.</w:t>
            </w:r>
            <w:r w:rsidR="00220F42">
              <w:rPr>
                <w:rFonts w:ascii="Calibri" w:eastAsia="Times New Roman" w:hAnsi="Calibri" w:cs="Times New Roman"/>
                <w:i/>
                <w:color w:val="000000"/>
              </w:rPr>
              <w:t>9</w:t>
            </w:r>
          </w:p>
        </w:tc>
      </w:tr>
    </w:tbl>
    <w:p w:rsidR="00D60196" w:rsidRDefault="00193DF1" w:rsidP="00CB14DB">
      <w:pPr>
        <w:jc w:val="both"/>
        <w:rPr>
          <w:szCs w:val="24"/>
        </w:rPr>
      </w:pPr>
      <w:r w:rsidRPr="00F97657">
        <w:rPr>
          <w:i/>
          <w:noProof/>
          <w:sz w:val="4"/>
          <w:szCs w:val="24"/>
        </w:rPr>
        <mc:AlternateContent>
          <mc:Choice Requires="wps">
            <w:drawing>
              <wp:anchor distT="0" distB="0" distL="114300" distR="114300" simplePos="0" relativeHeight="251737088" behindDoc="0" locked="0" layoutInCell="1" allowOverlap="1" wp14:anchorId="26655F85" wp14:editId="1A0E48D6">
                <wp:simplePos x="0" y="0"/>
                <wp:positionH relativeFrom="column">
                  <wp:posOffset>-3749675</wp:posOffset>
                </wp:positionH>
                <wp:positionV relativeFrom="paragraph">
                  <wp:posOffset>2098865</wp:posOffset>
                </wp:positionV>
                <wp:extent cx="3848735" cy="140398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1403985"/>
                        </a:xfrm>
                        <a:prstGeom prst="rect">
                          <a:avLst/>
                        </a:prstGeom>
                        <a:solidFill>
                          <a:srgbClr val="FFFFFF">
                            <a:alpha val="0"/>
                          </a:srgbClr>
                        </a:solidFill>
                        <a:ln w="9525">
                          <a:noFill/>
                          <a:miter lim="800000"/>
                          <a:headEnd/>
                          <a:tailEnd/>
                        </a:ln>
                      </wps:spPr>
                      <wps:txbx>
                        <w:txbxContent>
                          <w:p w:rsidR="00193DF1" w:rsidRPr="00DD2DC1" w:rsidRDefault="00193DF1" w:rsidP="00193DF1">
                            <w:pPr>
                              <w:rPr>
                                <w:sz w:val="18"/>
                                <w:szCs w:val="24"/>
                              </w:rPr>
                            </w:pPr>
                            <w:r w:rsidRPr="00DD2DC1">
                              <w:rPr>
                                <w:sz w:val="18"/>
                                <w:szCs w:val="24"/>
                              </w:rPr>
                              <w:t xml:space="preserve">* </w:t>
                            </w:r>
                            <w:r>
                              <w:rPr>
                                <w:sz w:val="18"/>
                                <w:szCs w:val="24"/>
                              </w:rPr>
                              <w:t>5.4</w:t>
                            </w:r>
                            <w:r w:rsidRPr="00DD2DC1">
                              <w:rPr>
                                <w:sz w:val="18"/>
                                <w:szCs w:val="24"/>
                              </w:rPr>
                              <w:t>% of</w:t>
                            </w:r>
                            <w:r>
                              <w:rPr>
                                <w:sz w:val="18"/>
                                <w:szCs w:val="24"/>
                              </w:rPr>
                              <w:t xml:space="preserve"> survey respondents declined to answer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5.25pt;margin-top:165.25pt;width:303.05pt;height:110.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" stroked="f">
                <v:fill opacity="0"/>
                <v:textbox style="mso-fit-shape-to-text:t">
                  <w:txbxContent>
                    <w:p w:rsidR="00193DF1" w:rsidRPr="00DD2DC1" w:rsidRDefault="00193DF1" w:rsidP="00193DF1">
                      <w:pPr>
                        <w:rPr>
                          <w:sz w:val="18"/>
                          <w:szCs w:val="24"/>
                        </w:rPr>
                      </w:pPr>
                      <w:r w:rsidRPr="00DD2DC1">
                        <w:rPr>
                          <w:sz w:val="18"/>
                          <w:szCs w:val="24"/>
                        </w:rPr>
                        <w:t xml:space="preserve">* </w:t>
                      </w:r>
                      <w:r>
                        <w:rPr>
                          <w:sz w:val="18"/>
                          <w:szCs w:val="24"/>
                        </w:rPr>
                        <w:t>5.4</w:t>
                      </w:r>
                      <w:r w:rsidRPr="00DD2DC1">
                        <w:rPr>
                          <w:sz w:val="18"/>
                          <w:szCs w:val="24"/>
                        </w:rPr>
                        <w:t>% of</w:t>
                      </w:r>
                      <w:r>
                        <w:rPr>
                          <w:sz w:val="18"/>
                          <w:szCs w:val="24"/>
                        </w:rPr>
                        <w:t xml:space="preserve"> survey respondents declined to answer</w:t>
                      </w:r>
                    </w:p>
                  </w:txbxContent>
                </v:textbox>
              </v:shape>
            </w:pict>
          </mc:Fallback>
        </mc:AlternateContent>
      </w:r>
      <w:r w:rsidR="00283F76">
        <w:rPr>
          <w:szCs w:val="24"/>
        </w:rPr>
        <w:t xml:space="preserve">Table 1 </w:t>
      </w:r>
      <w:r w:rsidR="00EA320D">
        <w:rPr>
          <w:szCs w:val="24"/>
        </w:rPr>
        <w:t>shows the breakdown of RNs and MA residents</w:t>
      </w:r>
      <w:r w:rsidR="00C14607">
        <w:rPr>
          <w:szCs w:val="24"/>
        </w:rPr>
        <w:t xml:space="preserve"> by Race and Hispanic/Latino origin</w:t>
      </w:r>
      <w:r w:rsidR="00EA320D">
        <w:rPr>
          <w:szCs w:val="24"/>
        </w:rPr>
        <w:t xml:space="preserve">. The table indicates that </w:t>
      </w:r>
      <w:r w:rsidR="00BF701C">
        <w:rPr>
          <w:szCs w:val="24"/>
        </w:rPr>
        <w:t>several</w:t>
      </w:r>
      <w:r w:rsidR="00283F76">
        <w:rPr>
          <w:szCs w:val="24"/>
        </w:rPr>
        <w:t xml:space="preserve"> racial and ethnic </w:t>
      </w:r>
      <w:r w:rsidR="005E1F97">
        <w:rPr>
          <w:szCs w:val="24"/>
        </w:rPr>
        <w:t xml:space="preserve">groups </w:t>
      </w:r>
      <w:r w:rsidR="00283F76">
        <w:rPr>
          <w:szCs w:val="24"/>
        </w:rPr>
        <w:t xml:space="preserve">are underrepresented in the nursing workforce. </w:t>
      </w:r>
      <w:r w:rsidR="00EE0D86" w:rsidRPr="00305D20">
        <w:rPr>
          <w:szCs w:val="24"/>
        </w:rPr>
        <w:t>Diversity index</w:t>
      </w:r>
      <w:r w:rsidR="00A77DD9">
        <w:rPr>
          <w:rStyle w:val="FootnoteReference"/>
          <w:szCs w:val="24"/>
        </w:rPr>
        <w:footnoteReference w:id="4"/>
      </w:r>
      <w:r w:rsidR="00EE0D86" w:rsidRPr="00305D20">
        <w:rPr>
          <w:szCs w:val="24"/>
        </w:rPr>
        <w:t xml:space="preserve"> is a measure of racial and ethnic diversity within a population</w:t>
      </w:r>
      <w:r w:rsidR="00D60196">
        <w:rPr>
          <w:szCs w:val="24"/>
        </w:rPr>
        <w:t xml:space="preserve"> on a scale of 0 to 100</w:t>
      </w:r>
      <w:r w:rsidR="00EE0D86" w:rsidRPr="00305D20">
        <w:rPr>
          <w:szCs w:val="24"/>
        </w:rPr>
        <w:t>. A higher diversity</w:t>
      </w:r>
      <w:r w:rsidR="00D35A0D" w:rsidRPr="00305D20">
        <w:rPr>
          <w:szCs w:val="24"/>
        </w:rPr>
        <w:t xml:space="preserve"> index</w:t>
      </w:r>
      <w:r w:rsidR="00EE0D86" w:rsidRPr="00305D20">
        <w:rPr>
          <w:szCs w:val="24"/>
        </w:rPr>
        <w:t xml:space="preserve"> </w:t>
      </w:r>
      <w:r w:rsidR="00D35A0D" w:rsidRPr="00305D20">
        <w:rPr>
          <w:szCs w:val="24"/>
        </w:rPr>
        <w:t xml:space="preserve">means there is </w:t>
      </w:r>
      <w:r w:rsidR="00450AA1" w:rsidRPr="00305D20">
        <w:rPr>
          <w:szCs w:val="24"/>
        </w:rPr>
        <w:t xml:space="preserve">higher racial and ethnic diversity within a group. The RN population in MA has a diversity index of </w:t>
      </w:r>
      <w:r w:rsidR="001B7545" w:rsidRPr="00305D20">
        <w:rPr>
          <w:szCs w:val="24"/>
        </w:rPr>
        <w:t>1</w:t>
      </w:r>
      <w:r w:rsidR="00BD3FFF">
        <w:rPr>
          <w:szCs w:val="24"/>
        </w:rPr>
        <w:t>9.0</w:t>
      </w:r>
      <w:r w:rsidR="00D35A0D" w:rsidRPr="00305D20">
        <w:rPr>
          <w:szCs w:val="24"/>
        </w:rPr>
        <w:t xml:space="preserve"> compared </w:t>
      </w:r>
      <w:r w:rsidR="0010367E" w:rsidRPr="00305D20">
        <w:rPr>
          <w:szCs w:val="24"/>
        </w:rPr>
        <w:t xml:space="preserve">to </w:t>
      </w:r>
      <w:r w:rsidR="00D35A0D" w:rsidRPr="00305D20">
        <w:rPr>
          <w:szCs w:val="24"/>
        </w:rPr>
        <w:t>t</w:t>
      </w:r>
      <w:r w:rsidR="0010367E" w:rsidRPr="00305D20">
        <w:rPr>
          <w:szCs w:val="24"/>
        </w:rPr>
        <w:t>he MA resident population diversity index of 4</w:t>
      </w:r>
      <w:r w:rsidR="005E1F97">
        <w:rPr>
          <w:szCs w:val="24"/>
        </w:rPr>
        <w:t>1</w:t>
      </w:r>
      <w:r w:rsidR="001B7545" w:rsidRPr="00305D20">
        <w:rPr>
          <w:szCs w:val="24"/>
        </w:rPr>
        <w:t>.</w:t>
      </w:r>
      <w:r w:rsidR="005E1F97">
        <w:rPr>
          <w:szCs w:val="24"/>
        </w:rPr>
        <w:t>9</w:t>
      </w:r>
      <w:r w:rsidR="00E559AB" w:rsidRPr="00305D20">
        <w:rPr>
          <w:szCs w:val="24"/>
        </w:rPr>
        <w:t>, indicating</w:t>
      </w:r>
      <w:r w:rsidR="00E36E08" w:rsidRPr="00305D20">
        <w:rPr>
          <w:szCs w:val="24"/>
        </w:rPr>
        <w:t xml:space="preserve"> </w:t>
      </w:r>
      <w:r w:rsidR="00450AA1" w:rsidRPr="00305D20">
        <w:rPr>
          <w:szCs w:val="24"/>
        </w:rPr>
        <w:t xml:space="preserve">that the RN workforce </w:t>
      </w:r>
      <w:r w:rsidR="005E1F97">
        <w:rPr>
          <w:szCs w:val="24"/>
        </w:rPr>
        <w:t xml:space="preserve">overall </w:t>
      </w:r>
      <w:r w:rsidR="00D60196">
        <w:rPr>
          <w:szCs w:val="24"/>
        </w:rPr>
        <w:t>is less diverse than MA residents.</w:t>
      </w:r>
    </w:p>
    <w:p w:rsidR="00155D4D" w:rsidRPr="00486D6A" w:rsidRDefault="00486D6A" w:rsidP="00C14607">
      <w:pPr>
        <w:jc w:val="both"/>
        <w:rPr>
          <w:szCs w:val="24"/>
        </w:rPr>
      </w:pPr>
      <w:r w:rsidRPr="00305D20">
        <w:rPr>
          <w:noProof/>
          <w:sz w:val="16"/>
        </w:rPr>
        <w:drawing>
          <wp:anchor distT="0" distB="0" distL="114300" distR="114300" simplePos="0" relativeHeight="251674624" behindDoc="0" locked="0" layoutInCell="1" allowOverlap="1" wp14:anchorId="10899859" wp14:editId="09A64DA6">
            <wp:simplePos x="0" y="0"/>
            <wp:positionH relativeFrom="column">
              <wp:posOffset>-138430</wp:posOffset>
            </wp:positionH>
            <wp:positionV relativeFrom="paragraph">
              <wp:posOffset>151765</wp:posOffset>
            </wp:positionV>
            <wp:extent cx="6899910" cy="1838960"/>
            <wp:effectExtent l="0" t="0" r="0" b="0"/>
            <wp:wrapSquare wrapText="bothSides"/>
            <wp:docPr id="11" name="Chart 11" descr="Figure 3 displays both the percent of residents and registered nurses that are Hispanic/Latino in the 5 most populated cities in MA: Boston, Springfiled, Worcester, Lowell, and Cambridge. &#10;&#10;In Boston, 18.4% of residents are Hispanic/Latino compared to 2.2% of RNs.&#10;&#10;In Springfield, 41.4% of residents are Hispanic/Latino compared to 4.0% of RNs.&#10;&#10;In Worcester, 20.5% of residents are Hispanic/Latino compared to 2.7% of RNs.&#10;&#10; In Lowell, 18.2% of residents are Hispanic/Latino compared to 1.7% or RNs.&#10;&#10;In Cambridge, 7.4% of residents are Hispanic/Latino compared to 2.4% or RNs.&#10;&#10;Footnote # 3 references Fig. 3." title="Figure 3. Percent of Residents and Practicing RNs that are Hispanic/Latino in Most Populated MA C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14607" w:rsidRPr="00C14607">
        <w:rPr>
          <w:sz w:val="18"/>
          <w:szCs w:val="24"/>
        </w:rPr>
        <w:br/>
      </w:r>
      <w:r w:rsidR="003010EB" w:rsidRPr="00305D20">
        <w:rPr>
          <w:szCs w:val="24"/>
        </w:rPr>
        <w:t>Figure 3 takes a</w:t>
      </w:r>
      <w:r w:rsidR="00155D4D" w:rsidRPr="00305D20">
        <w:rPr>
          <w:szCs w:val="24"/>
        </w:rPr>
        <w:t xml:space="preserve"> closer look at the </w:t>
      </w:r>
      <w:r w:rsidR="0079059F">
        <w:rPr>
          <w:szCs w:val="24"/>
        </w:rPr>
        <w:t xml:space="preserve">percentage of </w:t>
      </w:r>
      <w:r w:rsidR="00117C72">
        <w:rPr>
          <w:szCs w:val="24"/>
        </w:rPr>
        <w:t xml:space="preserve">practicing </w:t>
      </w:r>
      <w:r w:rsidR="0079059F">
        <w:rPr>
          <w:szCs w:val="24"/>
        </w:rPr>
        <w:t>RNs and residents that identify as Hispanic/Latino in</w:t>
      </w:r>
      <w:r w:rsidR="0079059F" w:rsidRPr="00305D20">
        <w:rPr>
          <w:szCs w:val="24"/>
        </w:rPr>
        <w:t xml:space="preserve"> the </w:t>
      </w:r>
      <w:r w:rsidR="0079059F">
        <w:rPr>
          <w:szCs w:val="24"/>
        </w:rPr>
        <w:t>five</w:t>
      </w:r>
      <w:r w:rsidR="0079059F" w:rsidRPr="00305D20">
        <w:rPr>
          <w:szCs w:val="24"/>
        </w:rPr>
        <w:t xml:space="preserve"> most populated cities in Massachusetts</w:t>
      </w:r>
      <w:r w:rsidR="003010EB" w:rsidRPr="00305D20">
        <w:rPr>
          <w:szCs w:val="24"/>
        </w:rPr>
        <w:t xml:space="preserve">. </w:t>
      </w:r>
      <w:r w:rsidR="001B7545" w:rsidRPr="00305D20">
        <w:rPr>
          <w:szCs w:val="24"/>
        </w:rPr>
        <w:t xml:space="preserve">All </w:t>
      </w:r>
      <w:r w:rsidR="00525DB9">
        <w:rPr>
          <w:szCs w:val="24"/>
        </w:rPr>
        <w:t xml:space="preserve">five </w:t>
      </w:r>
      <w:r w:rsidR="00305D20" w:rsidRPr="00305D20">
        <w:rPr>
          <w:szCs w:val="24"/>
        </w:rPr>
        <w:t>of these cities have a</w:t>
      </w:r>
      <w:r w:rsidR="001B7545" w:rsidRPr="00305D20">
        <w:rPr>
          <w:szCs w:val="24"/>
        </w:rPr>
        <w:t xml:space="preserve"> higher percentage of residents that are Hispanic compared to the percentage of RNs that are Hispanic. </w:t>
      </w:r>
      <w:r w:rsidR="00305D20" w:rsidRPr="00305D20">
        <w:rPr>
          <w:szCs w:val="24"/>
        </w:rPr>
        <w:t>These cities also have a higher percentage of black, non-Hispanic residents comp</w:t>
      </w:r>
      <w:r w:rsidR="0015629D">
        <w:rPr>
          <w:szCs w:val="24"/>
        </w:rPr>
        <w:t>ared to black, non-Hispanic RNs</w:t>
      </w:r>
      <w:r w:rsidR="0015629D" w:rsidRPr="00063882">
        <w:rPr>
          <w:szCs w:val="24"/>
        </w:rPr>
        <w:t>.</w:t>
      </w:r>
    </w:p>
    <w:p w:rsidR="002B3D4E" w:rsidRPr="00807215" w:rsidRDefault="00247107" w:rsidP="00C14607">
      <w:pPr>
        <w:jc w:val="both"/>
      </w:pPr>
      <w:r w:rsidRPr="00E81AE7">
        <w:rPr>
          <w:noProof/>
          <w:sz w:val="6"/>
        </w:rPr>
        <w:lastRenderedPageBreak/>
        <w:drawing>
          <wp:anchor distT="0" distB="0" distL="114300" distR="114300" simplePos="0" relativeHeight="251669504" behindDoc="0" locked="0" layoutInCell="1" allowOverlap="1" wp14:anchorId="49BCA80A" wp14:editId="65875C86">
            <wp:simplePos x="0" y="0"/>
            <wp:positionH relativeFrom="column">
              <wp:posOffset>-21590</wp:posOffset>
            </wp:positionH>
            <wp:positionV relativeFrom="paragraph">
              <wp:posOffset>9525</wp:posOffset>
            </wp:positionV>
            <wp:extent cx="6921500" cy="1722120"/>
            <wp:effectExtent l="0" t="0" r="0" b="0"/>
            <wp:wrapSquare wrapText="bothSides"/>
            <wp:docPr id="5" name="Chart 5" descr="Figure 4 displays the age distribution of RNs with an active MA license in 5 year increments, starting with nurses 25 yrs or younger and ending with nurses 71 yrs or older. &#10;&#10;Nurses 25 yrs or younger are the least represented with 3.1% of RNs. The most represented age group is 56-60 with 14.3% of RNs. &#10;&#10;Footnote # 5 references Fig. 4." title="Figure 4. RNs by Age Group in M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59292B">
        <w:rPr>
          <w:rStyle w:val="FootnoteReference"/>
          <w:sz w:val="4"/>
          <w:szCs w:val="24"/>
        </w:rPr>
        <w:footnoteReference w:id="5"/>
      </w:r>
      <w:r w:rsidR="00E81AE7" w:rsidRPr="00807215">
        <w:t xml:space="preserve">Figure </w:t>
      </w:r>
      <w:r w:rsidR="00727FAE">
        <w:t>4</w:t>
      </w:r>
      <w:r w:rsidR="00E81AE7" w:rsidRPr="00807215">
        <w:t xml:space="preserve"> illustrates the age distribution of </w:t>
      </w:r>
      <w:r w:rsidR="004F6686">
        <w:t xml:space="preserve">all </w:t>
      </w:r>
      <w:r w:rsidR="00E81AE7" w:rsidRPr="00807215">
        <w:t>RNs in MA</w:t>
      </w:r>
      <w:r w:rsidR="004F6686">
        <w:t xml:space="preserve"> with an active license. This </w:t>
      </w:r>
      <w:r w:rsidR="0032709D">
        <w:t xml:space="preserve">data in the figure comes from the </w:t>
      </w:r>
      <w:r w:rsidR="00257860">
        <w:t>Division of Health Professions Licensure (DHPL)</w:t>
      </w:r>
      <w:r w:rsidR="0032709D">
        <w:t xml:space="preserve"> and </w:t>
      </w:r>
      <w:r w:rsidR="004F6686">
        <w:t xml:space="preserve">represents all licensed nurses in the state, </w:t>
      </w:r>
      <w:r w:rsidR="0059292B">
        <w:t>including</w:t>
      </w:r>
      <w:r w:rsidR="004F6686">
        <w:t xml:space="preserve"> the ones that were </w:t>
      </w:r>
      <w:r w:rsidR="0059292B">
        <w:t>not administered a workforce survey</w:t>
      </w:r>
      <w:r w:rsidR="004F6686">
        <w:t>. The mean and median ages of RNs were 49 and 51</w:t>
      </w:r>
      <w:r w:rsidR="00F847E9">
        <w:t>,</w:t>
      </w:r>
      <w:r w:rsidR="004F6686">
        <w:t xml:space="preserve"> respectively. </w:t>
      </w:r>
    </w:p>
    <w:p w:rsidR="00E81AE7" w:rsidRPr="009F171F" w:rsidRDefault="00156AD7">
      <w:pPr>
        <w:rPr>
          <w:sz w:val="10"/>
        </w:rPr>
      </w:pPr>
      <w:r w:rsidRPr="009F171F">
        <w:rPr>
          <w:noProof/>
          <w:sz w:val="10"/>
        </w:rPr>
        <w:drawing>
          <wp:anchor distT="0" distB="0" distL="114300" distR="114300" simplePos="0" relativeHeight="251671552" behindDoc="0" locked="0" layoutInCell="1" allowOverlap="1" wp14:anchorId="14F5792B" wp14:editId="28361D19">
            <wp:simplePos x="0" y="0"/>
            <wp:positionH relativeFrom="column">
              <wp:posOffset>-85090</wp:posOffset>
            </wp:positionH>
            <wp:positionV relativeFrom="paragraph">
              <wp:posOffset>168275</wp:posOffset>
            </wp:positionV>
            <wp:extent cx="3795395" cy="2275205"/>
            <wp:effectExtent l="0" t="0" r="0" b="0"/>
            <wp:wrapSquare wrapText="bothSides"/>
            <wp:docPr id="7" name="Chart 7" descr="Fig. 5 compares the percentage of RNs that speak Spanish, Portuguese and Chinese to the percentage of MA residents that speak those languages at home. &#10;&#10;8.3% of MA residents speak Spanish at home compared to 4.4% of RNs that reported fluency in Spanish.&#10;&#10;2.9% of MA residents speak Portuguese at home compared to 1.4% of RNs that reported fluency in Portuguese.&#10;&#10;1.8% of MA residents speak Chinese at home compared to 0.4% of RNs that reported fluency in Chinese.&#10;&#10;Footnote # 7 references 'language fluency' and # 6 cites the data source." title="Figure 5. RNs by Language Fluency and MA Residents by Language Spoken at Ho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EA320D" w:rsidRDefault="00156AD7" w:rsidP="00156AD7">
      <w:pPr>
        <w:jc w:val="both"/>
      </w:pPr>
      <w:r w:rsidRPr="00807215">
        <w:t xml:space="preserve">Figure </w:t>
      </w:r>
      <w:r w:rsidR="00063882">
        <w:t>5</w:t>
      </w:r>
      <w:r w:rsidRPr="00807215">
        <w:t xml:space="preserve"> displays the percent</w:t>
      </w:r>
      <w:r w:rsidR="00A6342C">
        <w:t xml:space="preserve"> of RNs that are fluent in the three</w:t>
      </w:r>
      <w:r w:rsidRPr="00807215">
        <w:t xml:space="preserve"> most common non-English languages spoken at home in MA. </w:t>
      </w:r>
    </w:p>
    <w:p w:rsidR="00EA320D" w:rsidRDefault="00156AD7" w:rsidP="00D66FD1">
      <w:pPr>
        <w:pStyle w:val="ListParagraph"/>
        <w:numPr>
          <w:ilvl w:val="0"/>
          <w:numId w:val="9"/>
        </w:numPr>
        <w:ind w:left="6480" w:hanging="6480"/>
        <w:jc w:val="both"/>
      </w:pPr>
      <w:r w:rsidRPr="00807215">
        <w:t>Over 500,000 residents of MA speak Spanish at home (8.3%</w:t>
      </w:r>
      <w:r w:rsidR="009F171F" w:rsidRPr="00807215">
        <w:t>)</w:t>
      </w:r>
      <w:r w:rsidR="0059292B">
        <w:rPr>
          <w:rStyle w:val="FootnoteReference"/>
        </w:rPr>
        <w:footnoteReference w:id="6"/>
      </w:r>
      <w:r w:rsidRPr="00807215">
        <w:t>, while only 4.4% of nurses are fluent</w:t>
      </w:r>
      <w:r w:rsidR="00EA320D">
        <w:t xml:space="preserve"> in Spanish</w:t>
      </w:r>
      <w:r w:rsidR="00370F1D">
        <w:t>.</w:t>
      </w:r>
      <w:r w:rsidR="0063190E">
        <w:rPr>
          <w:rStyle w:val="FootnoteReference"/>
        </w:rPr>
        <w:footnoteReference w:id="7"/>
      </w:r>
      <w:r w:rsidRPr="00807215">
        <w:t xml:space="preserve"> </w:t>
      </w:r>
    </w:p>
    <w:p w:rsidR="00EA320D" w:rsidRDefault="00156AD7" w:rsidP="00D66FD1">
      <w:pPr>
        <w:pStyle w:val="ListParagraph"/>
        <w:numPr>
          <w:ilvl w:val="0"/>
          <w:numId w:val="9"/>
        </w:numPr>
        <w:ind w:left="6480" w:hanging="6480"/>
        <w:jc w:val="both"/>
      </w:pPr>
      <w:r w:rsidRPr="00807215">
        <w:t xml:space="preserve">Over 87% of RNs reported that they are only able to speak English. </w:t>
      </w:r>
    </w:p>
    <w:p w:rsidR="00156AD7" w:rsidRDefault="009F171F" w:rsidP="00D66FD1">
      <w:pPr>
        <w:pStyle w:val="ListParagraph"/>
        <w:numPr>
          <w:ilvl w:val="0"/>
          <w:numId w:val="9"/>
        </w:numPr>
        <w:ind w:left="6480" w:hanging="6480"/>
        <w:jc w:val="both"/>
      </w:pPr>
      <w:r>
        <w:t xml:space="preserve">The </w:t>
      </w:r>
      <w:r w:rsidR="00EA320D">
        <w:t>most common languages that RNs</w:t>
      </w:r>
      <w:r w:rsidR="00A76C27">
        <w:t xml:space="preserve"> in MA</w:t>
      </w:r>
      <w:r w:rsidR="00EA320D">
        <w:t xml:space="preserve"> are </w:t>
      </w:r>
      <w:r>
        <w:t xml:space="preserve">fluent in are: Spanish (4.4%), French (2.0%), Portuguese (1.4%), and Haitian Creole (1.1%). </w:t>
      </w:r>
    </w:p>
    <w:p w:rsidR="00336B15" w:rsidRPr="0001261D" w:rsidRDefault="007B0DF5" w:rsidP="00336B15">
      <w:pPr>
        <w:pBdr>
          <w:bottom w:val="single" w:sz="4" w:space="1" w:color="auto"/>
        </w:pBdr>
        <w:rPr>
          <w:b/>
          <w:color w:val="7F7F7F" w:themeColor="text1" w:themeTint="80"/>
          <w:sz w:val="28"/>
          <w:szCs w:val="24"/>
        </w:rPr>
      </w:pPr>
      <w:r>
        <w:rPr>
          <w:b/>
          <w:color w:val="7F7F7F" w:themeColor="text1" w:themeTint="80"/>
          <w:sz w:val="28"/>
          <w:szCs w:val="24"/>
        </w:rPr>
        <w:t>Education</w:t>
      </w:r>
      <w:r>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r w:rsidR="00336B15">
        <w:rPr>
          <w:b/>
          <w:color w:val="7F7F7F" w:themeColor="text1" w:themeTint="80"/>
          <w:sz w:val="28"/>
          <w:szCs w:val="24"/>
        </w:rPr>
        <w:tab/>
      </w:r>
    </w:p>
    <w:p w:rsidR="00A74195" w:rsidRDefault="00960F24">
      <w:pPr>
        <w:rPr>
          <w:noProof/>
        </w:rPr>
      </w:pPr>
      <w:r>
        <w:rPr>
          <w:noProof/>
        </w:rPr>
        <w:drawing>
          <wp:anchor distT="0" distB="0" distL="114300" distR="114300" simplePos="0" relativeHeight="251678720" behindDoc="0" locked="0" layoutInCell="1" allowOverlap="1" wp14:anchorId="3F06FD95" wp14:editId="0A3B0B22">
            <wp:simplePos x="0" y="0"/>
            <wp:positionH relativeFrom="column">
              <wp:posOffset>3338195</wp:posOffset>
            </wp:positionH>
            <wp:positionV relativeFrom="paragraph">
              <wp:posOffset>37465</wp:posOffset>
            </wp:positionV>
            <wp:extent cx="3550920" cy="2040890"/>
            <wp:effectExtent l="0" t="0" r="0" b="0"/>
            <wp:wrapSquare wrapText="bothSides"/>
            <wp:docPr id="6" name="Chart 6" descr="Fig. 6 displays the breakdown of RNs by the highest nursing degree that they have obtained. 13.0% have a diploma, 28.8% have an associate degree, 42.0% have a baccalaureate degree, 15.2% have a Masters degree, 0.6% have a doctoral degree, and 0.4% have a practice doctorate." title="Figure 6. Highest Nursing Degree Atta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A74195">
        <w:rPr>
          <w:noProof/>
        </w:rPr>
        <w:t xml:space="preserve">Figure 6 displays the highest nursing degree </w:t>
      </w:r>
      <w:r w:rsidR="0063190E">
        <w:rPr>
          <w:noProof/>
        </w:rPr>
        <w:t>attained</w:t>
      </w:r>
      <w:r w:rsidR="00A74195">
        <w:rPr>
          <w:noProof/>
        </w:rPr>
        <w:t xml:space="preserve"> by RNs in MA.</w:t>
      </w:r>
    </w:p>
    <w:p w:rsidR="00A6342C" w:rsidRPr="00A6342C" w:rsidRDefault="00A6342C" w:rsidP="00473C7F">
      <w:pPr>
        <w:pStyle w:val="ListParagraph"/>
        <w:numPr>
          <w:ilvl w:val="0"/>
          <w:numId w:val="8"/>
        </w:numPr>
        <w:ind w:left="360"/>
        <w:jc w:val="both"/>
        <w:rPr>
          <w:szCs w:val="24"/>
        </w:rPr>
      </w:pPr>
      <w:r w:rsidRPr="00A6342C">
        <w:rPr>
          <w:szCs w:val="24"/>
        </w:rPr>
        <w:t xml:space="preserve">Over </w:t>
      </w:r>
      <w:r>
        <w:rPr>
          <w:szCs w:val="24"/>
        </w:rPr>
        <w:t xml:space="preserve">58% of RNs have a </w:t>
      </w:r>
      <w:r w:rsidR="00247107">
        <w:rPr>
          <w:szCs w:val="24"/>
        </w:rPr>
        <w:t>b</w:t>
      </w:r>
      <w:r>
        <w:rPr>
          <w:szCs w:val="24"/>
        </w:rPr>
        <w:t>achelor’s degree or higher, compared to the national percentage of 55.2%</w:t>
      </w:r>
      <w:r w:rsidR="00370F1D">
        <w:rPr>
          <w:szCs w:val="24"/>
        </w:rPr>
        <w:t>.</w:t>
      </w:r>
      <w:r w:rsidRPr="00A6342C">
        <w:rPr>
          <w:szCs w:val="24"/>
          <w:vertAlign w:val="superscript"/>
        </w:rPr>
        <w:t>8</w:t>
      </w:r>
    </w:p>
    <w:p w:rsidR="00A74195" w:rsidRPr="00A74195" w:rsidRDefault="00A74195" w:rsidP="00473C7F">
      <w:pPr>
        <w:pStyle w:val="ListParagraph"/>
        <w:numPr>
          <w:ilvl w:val="0"/>
          <w:numId w:val="8"/>
        </w:numPr>
        <w:ind w:left="360"/>
        <w:jc w:val="both"/>
        <w:rPr>
          <w:sz w:val="24"/>
          <w:szCs w:val="24"/>
        </w:rPr>
      </w:pPr>
      <w:r>
        <w:rPr>
          <w:noProof/>
        </w:rPr>
        <w:t xml:space="preserve">Over 16% of RNs have a </w:t>
      </w:r>
      <w:r w:rsidR="00247107">
        <w:rPr>
          <w:noProof/>
        </w:rPr>
        <w:t>m</w:t>
      </w:r>
      <w:r>
        <w:rPr>
          <w:noProof/>
        </w:rPr>
        <w:t>aster’s degree or higher, compared to the national percentage of 10.</w:t>
      </w:r>
      <w:r w:rsidR="00A6342C">
        <w:rPr>
          <w:noProof/>
        </w:rPr>
        <w:t>6</w:t>
      </w:r>
      <w:r>
        <w:rPr>
          <w:noProof/>
        </w:rPr>
        <w:t>%</w:t>
      </w:r>
      <w:r w:rsidR="00370F1D">
        <w:rPr>
          <w:noProof/>
        </w:rPr>
        <w:t>.</w:t>
      </w:r>
      <w:r w:rsidR="0063190E">
        <w:rPr>
          <w:rStyle w:val="FootnoteReference"/>
          <w:noProof/>
        </w:rPr>
        <w:footnoteReference w:id="8"/>
      </w:r>
      <w:r>
        <w:rPr>
          <w:noProof/>
        </w:rPr>
        <w:t xml:space="preserve"> </w:t>
      </w:r>
    </w:p>
    <w:p w:rsidR="00A74195" w:rsidRPr="00A6342C" w:rsidRDefault="00A74195" w:rsidP="00473C7F">
      <w:pPr>
        <w:pStyle w:val="ListParagraph"/>
        <w:numPr>
          <w:ilvl w:val="0"/>
          <w:numId w:val="8"/>
        </w:numPr>
        <w:ind w:left="360"/>
        <w:jc w:val="both"/>
        <w:rPr>
          <w:sz w:val="24"/>
          <w:szCs w:val="24"/>
        </w:rPr>
      </w:pPr>
      <w:r>
        <w:rPr>
          <w:noProof/>
        </w:rPr>
        <w:t xml:space="preserve">79.3% of RNs under the age of 35 have a </w:t>
      </w:r>
      <w:r w:rsidR="00247107">
        <w:rPr>
          <w:noProof/>
        </w:rPr>
        <w:t>b</w:t>
      </w:r>
      <w:r w:rsidR="00013D72">
        <w:rPr>
          <w:noProof/>
        </w:rPr>
        <w:t>ach</w:t>
      </w:r>
      <w:r>
        <w:rPr>
          <w:noProof/>
        </w:rPr>
        <w:t xml:space="preserve">elor’s degree or higher, compared to 50.1% of nurses 55 </w:t>
      </w:r>
      <w:r w:rsidR="00EE7B8D">
        <w:rPr>
          <w:noProof/>
        </w:rPr>
        <w:t xml:space="preserve">years </w:t>
      </w:r>
      <w:r>
        <w:rPr>
          <w:noProof/>
        </w:rPr>
        <w:t>and older.</w:t>
      </w:r>
    </w:p>
    <w:p w:rsidR="00A6342C" w:rsidRPr="00A74195" w:rsidRDefault="00301FB3" w:rsidP="00301FB3">
      <w:pPr>
        <w:rPr>
          <w:sz w:val="24"/>
          <w:szCs w:val="24"/>
        </w:rPr>
      </w:pPr>
      <w:r>
        <w:rPr>
          <w:noProof/>
        </w:rPr>
        <w:t>A large percentage of</w:t>
      </w:r>
      <w:r w:rsidR="00A6342C">
        <w:rPr>
          <w:noProof/>
        </w:rPr>
        <w:t xml:space="preserve"> RNs </w:t>
      </w:r>
      <w:r>
        <w:rPr>
          <w:noProof/>
        </w:rPr>
        <w:t xml:space="preserve">(10.3%) </w:t>
      </w:r>
      <w:r w:rsidR="00A6342C">
        <w:rPr>
          <w:noProof/>
        </w:rPr>
        <w:t>were also licensed as a Licensed Practical Nurse</w:t>
      </w:r>
      <w:r w:rsidR="00247107">
        <w:rPr>
          <w:noProof/>
        </w:rPr>
        <w:t xml:space="preserve"> (LPN). </w:t>
      </w:r>
      <w:r>
        <w:rPr>
          <w:noProof/>
        </w:rPr>
        <w:t>Nearly 29</w:t>
      </w:r>
      <w:r w:rsidR="00247107">
        <w:rPr>
          <w:noProof/>
        </w:rPr>
        <w:t>% of RNs with an associate degree as the highest RN degree were also lic</w:t>
      </w:r>
      <w:r>
        <w:rPr>
          <w:noProof/>
        </w:rPr>
        <w:t>ensed as an LPN, compared to 7</w:t>
      </w:r>
      <w:r w:rsidR="00247107">
        <w:rPr>
          <w:noProof/>
        </w:rPr>
        <w:t>% of RNs with a bachelor’s degree or higher.</w:t>
      </w:r>
    </w:p>
    <w:p w:rsidR="005B541A" w:rsidRPr="00EC233E" w:rsidRDefault="0034689A" w:rsidP="0034689A">
      <w:pPr>
        <w:jc w:val="center"/>
        <w:rPr>
          <w:sz w:val="10"/>
          <w:szCs w:val="24"/>
        </w:rPr>
      </w:pPr>
      <w:r w:rsidRPr="00EC233E">
        <w:rPr>
          <w:noProof/>
          <w:sz w:val="8"/>
        </w:rPr>
        <w:lastRenderedPageBreak/>
        <w:drawing>
          <wp:anchor distT="0" distB="0" distL="114300" distR="114300" simplePos="0" relativeHeight="251681792" behindDoc="0" locked="0" layoutInCell="1" allowOverlap="1" wp14:anchorId="1626CE34" wp14:editId="69C152DE">
            <wp:simplePos x="0" y="0"/>
            <wp:positionH relativeFrom="column">
              <wp:posOffset>3514090</wp:posOffset>
            </wp:positionH>
            <wp:positionV relativeFrom="paragraph">
              <wp:posOffset>129540</wp:posOffset>
            </wp:positionV>
            <wp:extent cx="3493770" cy="2115185"/>
            <wp:effectExtent l="0" t="0" r="0" b="0"/>
            <wp:wrapSquare wrapText="bothSides"/>
            <wp:docPr id="14" name="Chart 14" descr="Fig. 8 displays the percentage of nurses with an initial RN degree of a Bachelor's degree or higher by age group. &#10;&#10;71.3% of RNs under the age of 35 obtained a Bachelor's degree or higher as their initial RN degree, compared to 51.6% of RNs 35-44 years old, 41.8% of RNs 45-54 years old, and 30.3% of RNs 55 years and older. " title="Figure 8. Initial RN Degree Obtained Bachelor's Degree or Higher by Age Group"/>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EC233E">
        <w:rPr>
          <w:noProof/>
          <w:sz w:val="8"/>
        </w:rPr>
        <w:drawing>
          <wp:anchor distT="0" distB="0" distL="114300" distR="114300" simplePos="0" relativeHeight="251677696" behindDoc="0" locked="0" layoutInCell="1" allowOverlap="1" wp14:anchorId="3894EE68" wp14:editId="448AEADE">
            <wp:simplePos x="0" y="0"/>
            <wp:positionH relativeFrom="column">
              <wp:posOffset>-75565</wp:posOffset>
            </wp:positionH>
            <wp:positionV relativeFrom="paragraph">
              <wp:posOffset>129540</wp:posOffset>
            </wp:positionV>
            <wp:extent cx="3425190" cy="2115185"/>
            <wp:effectExtent l="0" t="0" r="3810" b="0"/>
            <wp:wrapSquare wrapText="bothSides"/>
            <wp:docPr id="4" name="Chart 4" descr="Fig. 7 displays the breakdown of RNs by the initial RN degree that they obtained that qualified the nurse for their first RN license. &#10;&#10;19.8% obtained a diploma degree, 37.0% obtained an associate degree, 40.4% obtained a baccalaureate degree, and 2.7% obtained a masters degree as their initial RN degree." title="Figure 7. Initial RN Degree Obtained"/>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EC233E" w:rsidRPr="00B31830" w:rsidRDefault="0034689A" w:rsidP="004D50DD">
      <w:pPr>
        <w:jc w:val="both"/>
        <w:rPr>
          <w:szCs w:val="24"/>
        </w:rPr>
      </w:pPr>
      <w:r w:rsidRPr="00B31830">
        <w:rPr>
          <w:szCs w:val="24"/>
        </w:rPr>
        <w:t>Figure</w:t>
      </w:r>
      <w:r w:rsidR="00EC233E" w:rsidRPr="00B31830">
        <w:rPr>
          <w:szCs w:val="24"/>
        </w:rPr>
        <w:t>s</w:t>
      </w:r>
      <w:r w:rsidRPr="00B31830">
        <w:rPr>
          <w:szCs w:val="24"/>
        </w:rPr>
        <w:t xml:space="preserve"> 7</w:t>
      </w:r>
      <w:r w:rsidR="00EC233E" w:rsidRPr="00B31830">
        <w:rPr>
          <w:szCs w:val="24"/>
        </w:rPr>
        <w:t xml:space="preserve"> and 8 </w:t>
      </w:r>
      <w:r w:rsidR="007C0B2D" w:rsidRPr="00B31830">
        <w:rPr>
          <w:szCs w:val="24"/>
        </w:rPr>
        <w:t>present</w:t>
      </w:r>
      <w:r w:rsidR="00EC233E" w:rsidRPr="00B31830">
        <w:rPr>
          <w:szCs w:val="24"/>
        </w:rPr>
        <w:t xml:space="preserve"> </w:t>
      </w:r>
      <w:r w:rsidRPr="00B31830">
        <w:rPr>
          <w:szCs w:val="24"/>
        </w:rPr>
        <w:t xml:space="preserve">data on </w:t>
      </w:r>
      <w:r w:rsidR="00EC233E" w:rsidRPr="00B31830">
        <w:rPr>
          <w:szCs w:val="24"/>
        </w:rPr>
        <w:t xml:space="preserve">the initial nursing degree obtained that qualified </w:t>
      </w:r>
      <w:r w:rsidR="00DA5596">
        <w:rPr>
          <w:szCs w:val="24"/>
        </w:rPr>
        <w:t>a</w:t>
      </w:r>
      <w:r w:rsidR="005A0C05" w:rsidRPr="00B31830">
        <w:rPr>
          <w:szCs w:val="24"/>
        </w:rPr>
        <w:t xml:space="preserve"> nurse </w:t>
      </w:r>
      <w:r w:rsidR="00EC233E" w:rsidRPr="00B31830">
        <w:rPr>
          <w:szCs w:val="24"/>
        </w:rPr>
        <w:t xml:space="preserve">for their first US RN license. </w:t>
      </w:r>
      <w:r w:rsidR="00B67160" w:rsidRPr="00B31830">
        <w:rPr>
          <w:szCs w:val="24"/>
        </w:rPr>
        <w:t>The majority of nurses obtained their RN license either through a diploma or associate degree program</w:t>
      </w:r>
      <w:r w:rsidR="005A0C05" w:rsidRPr="00B31830">
        <w:rPr>
          <w:szCs w:val="24"/>
        </w:rPr>
        <w:t xml:space="preserve"> (Figure 7)</w:t>
      </w:r>
      <w:r w:rsidR="00B67160" w:rsidRPr="00B31830">
        <w:rPr>
          <w:szCs w:val="24"/>
        </w:rPr>
        <w:t xml:space="preserve">. However, </w:t>
      </w:r>
      <w:r w:rsidR="00826C18">
        <w:rPr>
          <w:szCs w:val="24"/>
        </w:rPr>
        <w:t>F</w:t>
      </w:r>
      <w:r w:rsidR="005661E3" w:rsidRPr="00B31830">
        <w:rPr>
          <w:szCs w:val="24"/>
        </w:rPr>
        <w:t>igure 8 shows that a much higher percentage of</w:t>
      </w:r>
      <w:r w:rsidR="00370F1D">
        <w:rPr>
          <w:szCs w:val="24"/>
        </w:rPr>
        <w:t xml:space="preserve"> registered</w:t>
      </w:r>
      <w:r w:rsidR="005661E3" w:rsidRPr="00B31830">
        <w:rPr>
          <w:szCs w:val="24"/>
        </w:rPr>
        <w:t xml:space="preserve"> nurses under 35 are obtaining their initial RN degree through a </w:t>
      </w:r>
      <w:r w:rsidR="00013D72">
        <w:rPr>
          <w:szCs w:val="24"/>
        </w:rPr>
        <w:t>Bach</w:t>
      </w:r>
      <w:r w:rsidR="005661E3" w:rsidRPr="00B31830">
        <w:rPr>
          <w:szCs w:val="24"/>
        </w:rPr>
        <w:t xml:space="preserve">elor’s program or higher compared to older age groups. </w:t>
      </w:r>
    </w:p>
    <w:p w:rsidR="004E4816" w:rsidRDefault="004E4816" w:rsidP="00EC233E">
      <w:pPr>
        <w:rPr>
          <w:szCs w:val="24"/>
        </w:rPr>
      </w:pPr>
      <w:r w:rsidRPr="00B31830">
        <w:rPr>
          <w:szCs w:val="24"/>
        </w:rPr>
        <w:t xml:space="preserve">Nearly 75% of RNs </w:t>
      </w:r>
      <w:r w:rsidR="001A3113" w:rsidRPr="00B31830">
        <w:rPr>
          <w:szCs w:val="24"/>
        </w:rPr>
        <w:t xml:space="preserve">licensed </w:t>
      </w:r>
      <w:r w:rsidRPr="00B31830">
        <w:rPr>
          <w:szCs w:val="24"/>
        </w:rPr>
        <w:t>in the state obtained their initial RN degree in Massachusetts and 23% in another US state or territory. The remaining 2% obtained their license in a foreign country.</w:t>
      </w:r>
    </w:p>
    <w:p w:rsidR="004E4816" w:rsidRPr="00C108AF" w:rsidRDefault="00B31830" w:rsidP="0035689F">
      <w:pPr>
        <w:rPr>
          <w:sz w:val="4"/>
          <w:szCs w:val="24"/>
          <w:u w:val="single"/>
        </w:rPr>
      </w:pPr>
      <w:r w:rsidRPr="00C108AF">
        <w:rPr>
          <w:noProof/>
          <w:sz w:val="2"/>
          <w:u w:val="single"/>
        </w:rPr>
        <w:drawing>
          <wp:anchor distT="0" distB="0" distL="114300" distR="114300" simplePos="0" relativeHeight="251682816" behindDoc="0" locked="0" layoutInCell="1" allowOverlap="1" wp14:anchorId="20610D62" wp14:editId="464B2E0F">
            <wp:simplePos x="0" y="0"/>
            <wp:positionH relativeFrom="column">
              <wp:posOffset>2832100</wp:posOffset>
            </wp:positionH>
            <wp:positionV relativeFrom="paragraph">
              <wp:posOffset>187325</wp:posOffset>
            </wp:positionV>
            <wp:extent cx="4037330" cy="1590675"/>
            <wp:effectExtent l="0" t="0" r="1270" b="0"/>
            <wp:wrapSquare wrapText="bothSides"/>
            <wp:docPr id="15" name="Chart 15" descr="Fig. 9 displays the breakdown of Advanced Practice Registered Nurses (APRNs) by their clinical category. &#10;&#10;78.4% of APRNs are Certified Nurse Practitioners, 10.8% are Certified RN Anesthetists, 7.7% are Psychiatric Clinical Nurse Specialists, and 4.6% are Certified Nurse Midwives. &#10;&#10;Footnote # 9 references Fig. 9." title="Figure 9. Advanced Practice Registered Nurse by Clinical Category"/>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C108AF">
        <w:rPr>
          <w:b/>
          <w:sz w:val="24"/>
          <w:szCs w:val="24"/>
          <w:u w:val="single"/>
        </w:rPr>
        <w:t>Advanced Practice Registered Nurses</w:t>
      </w:r>
      <w:r w:rsidR="00826C18" w:rsidRPr="00826C18">
        <w:rPr>
          <w:rStyle w:val="FootnoteReference"/>
          <w:b/>
          <w:color w:val="FFFFFF" w:themeColor="background1"/>
          <w:sz w:val="24"/>
          <w:szCs w:val="24"/>
          <w:u w:val="single"/>
        </w:rPr>
        <w:footnoteReference w:id="9"/>
      </w:r>
      <w:r w:rsidR="00826C18" w:rsidRPr="00826C18">
        <w:rPr>
          <w:rStyle w:val="FootnoteReference"/>
          <w:b/>
          <w:color w:val="FFFFFF" w:themeColor="background1"/>
          <w:sz w:val="24"/>
          <w:szCs w:val="24"/>
          <w:u w:val="single"/>
        </w:rPr>
        <w:footnoteReference w:id="10"/>
      </w:r>
    </w:p>
    <w:p w:rsidR="002D6688" w:rsidRPr="00B31830" w:rsidRDefault="0035689F" w:rsidP="004D50DD">
      <w:pPr>
        <w:jc w:val="both"/>
        <w:rPr>
          <w:szCs w:val="24"/>
        </w:rPr>
      </w:pPr>
      <w:r>
        <w:rPr>
          <w:szCs w:val="24"/>
        </w:rPr>
        <w:t xml:space="preserve">Advanced practice registered nurses (APRNs) are RNs who are </w:t>
      </w:r>
      <w:r w:rsidR="0067007D">
        <w:rPr>
          <w:szCs w:val="24"/>
        </w:rPr>
        <w:t>authorized</w:t>
      </w:r>
      <w:r>
        <w:rPr>
          <w:szCs w:val="24"/>
        </w:rPr>
        <w:t xml:space="preserve"> to engage in advanced practice nursing, such as advanced a</w:t>
      </w:r>
      <w:r w:rsidR="00A33182">
        <w:rPr>
          <w:szCs w:val="24"/>
        </w:rPr>
        <w:t>ssessment, diagnosis, treatment including ordering tests and prescribing,</w:t>
      </w:r>
      <w:r>
        <w:rPr>
          <w:szCs w:val="24"/>
        </w:rPr>
        <w:t xml:space="preserve"> referrals, and consultations. </w:t>
      </w:r>
      <w:r w:rsidR="00A9756C" w:rsidRPr="00B31830">
        <w:rPr>
          <w:szCs w:val="24"/>
        </w:rPr>
        <w:t>Figure 9 displays the breakdown of APRN</w:t>
      </w:r>
      <w:r>
        <w:rPr>
          <w:szCs w:val="24"/>
        </w:rPr>
        <w:t xml:space="preserve">s </w:t>
      </w:r>
      <w:r w:rsidR="00A9756C" w:rsidRPr="00B31830">
        <w:rPr>
          <w:szCs w:val="24"/>
        </w:rPr>
        <w:t>in MA</w:t>
      </w:r>
      <w:r w:rsidR="004908B7" w:rsidRPr="00B31830">
        <w:rPr>
          <w:szCs w:val="24"/>
        </w:rPr>
        <w:t xml:space="preserve"> by </w:t>
      </w:r>
      <w:r w:rsidR="0067007D">
        <w:rPr>
          <w:szCs w:val="24"/>
        </w:rPr>
        <w:t>clinical categories</w:t>
      </w:r>
      <w:r w:rsidR="00A9756C" w:rsidRPr="00B31830">
        <w:rPr>
          <w:szCs w:val="24"/>
        </w:rPr>
        <w:t xml:space="preserve">. </w:t>
      </w:r>
    </w:p>
    <w:p w:rsidR="002D6688" w:rsidRPr="00B31830" w:rsidRDefault="0035689F" w:rsidP="002D6688">
      <w:pPr>
        <w:pStyle w:val="ListParagraph"/>
        <w:numPr>
          <w:ilvl w:val="0"/>
          <w:numId w:val="11"/>
        </w:numPr>
        <w:jc w:val="both"/>
        <w:rPr>
          <w:szCs w:val="24"/>
        </w:rPr>
      </w:pPr>
      <w:r w:rsidRPr="00B31830">
        <w:rPr>
          <w:noProof/>
          <w:sz w:val="12"/>
        </w:rPr>
        <w:drawing>
          <wp:anchor distT="0" distB="0" distL="114300" distR="114300" simplePos="0" relativeHeight="251683840" behindDoc="0" locked="0" layoutInCell="1" allowOverlap="1" wp14:anchorId="4D32DDE6" wp14:editId="3377A256">
            <wp:simplePos x="0" y="0"/>
            <wp:positionH relativeFrom="column">
              <wp:posOffset>2856865</wp:posOffset>
            </wp:positionH>
            <wp:positionV relativeFrom="paragraph">
              <wp:posOffset>83820</wp:posOffset>
            </wp:positionV>
            <wp:extent cx="4039235" cy="2743200"/>
            <wp:effectExtent l="0" t="0" r="0" b="0"/>
            <wp:wrapSquare wrapText="bothSides"/>
            <wp:docPr id="16" name="Chart 16" descr="Fig. 10 breaks down nurse practitioners by their certification specialty categories. &#10;&#10;The certification specialty category percentages are as follows:&#10;Family 33.4%, Adult 30.7%, Pediatric 13.3%, Acute Care 9.9%, Gerontology 7.2%, Women's Health 6.4%, Psychiatric Mental Health 4.9%, Neonatal 1.2%, and School Nurse 0.3%.&#10;&#10;Footnote # 10 references Fig. 10." title="Figure 10. Nurse Practitioners by Certifcation Specialty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AC5571" w:rsidRPr="00B31830">
        <w:rPr>
          <w:szCs w:val="24"/>
        </w:rPr>
        <w:t xml:space="preserve">Of the 91,877 </w:t>
      </w:r>
      <w:r w:rsidR="00370F1D">
        <w:rPr>
          <w:szCs w:val="24"/>
        </w:rPr>
        <w:t>RNs</w:t>
      </w:r>
      <w:r w:rsidR="00AC5571" w:rsidRPr="00B31830">
        <w:rPr>
          <w:szCs w:val="24"/>
        </w:rPr>
        <w:t xml:space="preserve"> that completed a workforce survey, 8,777 reported having APRN authorization</w:t>
      </w:r>
      <w:r w:rsidR="00A9756C" w:rsidRPr="00B31830">
        <w:rPr>
          <w:szCs w:val="24"/>
        </w:rPr>
        <w:t xml:space="preserve"> </w:t>
      </w:r>
      <w:r w:rsidR="00AC5571" w:rsidRPr="00B31830">
        <w:rPr>
          <w:szCs w:val="24"/>
        </w:rPr>
        <w:t>(9.6%).</w:t>
      </w:r>
    </w:p>
    <w:p w:rsidR="00C80106" w:rsidRPr="00B31830" w:rsidRDefault="00AC5571" w:rsidP="002D6688">
      <w:pPr>
        <w:pStyle w:val="ListParagraph"/>
        <w:numPr>
          <w:ilvl w:val="0"/>
          <w:numId w:val="11"/>
        </w:numPr>
        <w:jc w:val="both"/>
        <w:rPr>
          <w:szCs w:val="24"/>
        </w:rPr>
      </w:pPr>
      <w:r w:rsidRPr="00B31830">
        <w:rPr>
          <w:szCs w:val="24"/>
        </w:rPr>
        <w:t xml:space="preserve"> </w:t>
      </w:r>
      <w:r w:rsidR="002D6688" w:rsidRPr="00B31830">
        <w:rPr>
          <w:szCs w:val="24"/>
        </w:rPr>
        <w:t xml:space="preserve">157 </w:t>
      </w:r>
      <w:r w:rsidR="00C80106" w:rsidRPr="00B31830">
        <w:rPr>
          <w:szCs w:val="24"/>
        </w:rPr>
        <w:t xml:space="preserve">APRNs </w:t>
      </w:r>
      <w:r w:rsidR="002D6688" w:rsidRPr="00B31830">
        <w:rPr>
          <w:szCs w:val="24"/>
        </w:rPr>
        <w:t xml:space="preserve">(1.8%) reported having more than one </w:t>
      </w:r>
      <w:r w:rsidR="0067007D">
        <w:rPr>
          <w:szCs w:val="24"/>
        </w:rPr>
        <w:t>authorization</w:t>
      </w:r>
      <w:r w:rsidR="002D6688" w:rsidRPr="00B31830">
        <w:rPr>
          <w:szCs w:val="24"/>
        </w:rPr>
        <w:t xml:space="preserve"> type.</w:t>
      </w:r>
    </w:p>
    <w:p w:rsidR="00EC233E" w:rsidRPr="00B31830" w:rsidRDefault="009816B1" w:rsidP="002D6688">
      <w:pPr>
        <w:pStyle w:val="ListParagraph"/>
        <w:numPr>
          <w:ilvl w:val="0"/>
          <w:numId w:val="11"/>
        </w:numPr>
        <w:jc w:val="both"/>
        <w:rPr>
          <w:szCs w:val="24"/>
        </w:rPr>
      </w:pPr>
      <w:r w:rsidRPr="00B31830">
        <w:rPr>
          <w:szCs w:val="24"/>
        </w:rPr>
        <w:t>Over 92</w:t>
      </w:r>
      <w:r w:rsidR="0035689F">
        <w:rPr>
          <w:szCs w:val="24"/>
        </w:rPr>
        <w:t xml:space="preserve">% of APRNs reported having </w:t>
      </w:r>
      <w:r w:rsidR="00C80106" w:rsidRPr="00B31830">
        <w:rPr>
          <w:szCs w:val="24"/>
        </w:rPr>
        <w:t xml:space="preserve">a </w:t>
      </w:r>
      <w:r w:rsidR="0067007D">
        <w:rPr>
          <w:szCs w:val="24"/>
        </w:rPr>
        <w:t>m</w:t>
      </w:r>
      <w:r w:rsidR="00C80106" w:rsidRPr="00B31830">
        <w:rPr>
          <w:szCs w:val="24"/>
        </w:rPr>
        <w:t xml:space="preserve">aster’s degree in </w:t>
      </w:r>
      <w:r w:rsidR="0067007D">
        <w:rPr>
          <w:szCs w:val="24"/>
        </w:rPr>
        <w:t>n</w:t>
      </w:r>
      <w:r w:rsidR="00C80106" w:rsidRPr="00B31830">
        <w:rPr>
          <w:szCs w:val="24"/>
        </w:rPr>
        <w:t>ursing</w:t>
      </w:r>
      <w:r w:rsidRPr="00B31830">
        <w:rPr>
          <w:szCs w:val="24"/>
        </w:rPr>
        <w:t xml:space="preserve"> or higher</w:t>
      </w:r>
      <w:r w:rsidR="00C80106" w:rsidRPr="00B31830">
        <w:rPr>
          <w:szCs w:val="24"/>
        </w:rPr>
        <w:t xml:space="preserve">. </w:t>
      </w:r>
    </w:p>
    <w:p w:rsidR="004D50DD" w:rsidRPr="00B31830" w:rsidRDefault="004D50DD" w:rsidP="004D50DD">
      <w:pPr>
        <w:jc w:val="both"/>
        <w:rPr>
          <w:szCs w:val="24"/>
        </w:rPr>
      </w:pPr>
      <w:r w:rsidRPr="00B31830">
        <w:rPr>
          <w:szCs w:val="24"/>
        </w:rPr>
        <w:t>Figure 10 breaks down nurse practitioners</w:t>
      </w:r>
      <w:r w:rsidR="00A76C27">
        <w:rPr>
          <w:szCs w:val="24"/>
        </w:rPr>
        <w:t xml:space="preserve"> (NP</w:t>
      </w:r>
      <w:r w:rsidR="002D6688" w:rsidRPr="00B31830">
        <w:rPr>
          <w:szCs w:val="24"/>
        </w:rPr>
        <w:t>s)</w:t>
      </w:r>
      <w:r w:rsidRPr="00B31830">
        <w:rPr>
          <w:szCs w:val="24"/>
        </w:rPr>
        <w:t xml:space="preserve"> by their reported certification spe</w:t>
      </w:r>
      <w:r w:rsidR="004A3195" w:rsidRPr="00B31830">
        <w:rPr>
          <w:szCs w:val="24"/>
        </w:rPr>
        <w:t xml:space="preserve">cialty categories. </w:t>
      </w:r>
    </w:p>
    <w:p w:rsidR="002D6688" w:rsidRDefault="00A76C27" w:rsidP="002D6688">
      <w:pPr>
        <w:pStyle w:val="ListParagraph"/>
        <w:numPr>
          <w:ilvl w:val="0"/>
          <w:numId w:val="12"/>
        </w:numPr>
        <w:jc w:val="both"/>
        <w:rPr>
          <w:sz w:val="24"/>
          <w:szCs w:val="24"/>
        </w:rPr>
      </w:pPr>
      <w:r>
        <w:rPr>
          <w:szCs w:val="24"/>
        </w:rPr>
        <w:t xml:space="preserve">Approximately 63% of all NPs specialize in adult or family care. </w:t>
      </w:r>
    </w:p>
    <w:p w:rsidR="000D63F5" w:rsidRDefault="009816B1" w:rsidP="009816B1">
      <w:pPr>
        <w:pBdr>
          <w:bottom w:val="single" w:sz="4" w:space="1" w:color="auto"/>
        </w:pBdr>
        <w:rPr>
          <w:sz w:val="24"/>
          <w:szCs w:val="24"/>
        </w:rPr>
      </w:pPr>
      <w:r>
        <w:rPr>
          <w:b/>
          <w:color w:val="7F7F7F" w:themeColor="text1" w:themeTint="80"/>
          <w:sz w:val="28"/>
          <w:szCs w:val="24"/>
        </w:rPr>
        <w:lastRenderedPageBreak/>
        <w:t>Employment</w:t>
      </w:r>
      <w:r w:rsidR="005C1880">
        <w:rPr>
          <w:b/>
          <w:color w:val="7F7F7F" w:themeColor="text1" w:themeTint="80"/>
          <w:sz w:val="28"/>
          <w:szCs w:val="24"/>
        </w:rPr>
        <w:t xml:space="preserve"> Characteristics</w:t>
      </w:r>
      <w:r>
        <w:rPr>
          <w:b/>
          <w:color w:val="7F7F7F" w:themeColor="text1" w:themeTint="80"/>
          <w:sz w:val="28"/>
          <w:szCs w:val="24"/>
        </w:rPr>
        <w:tab/>
      </w:r>
    </w:p>
    <w:p w:rsidR="00565355" w:rsidRDefault="00090B57">
      <w:pPr>
        <w:rPr>
          <w:sz w:val="24"/>
          <w:szCs w:val="24"/>
        </w:rPr>
      </w:pPr>
      <w:r w:rsidRPr="00090B57">
        <w:rPr>
          <w:noProof/>
          <w:szCs w:val="24"/>
        </w:rPr>
        <mc:AlternateContent>
          <mc:Choice Requires="wps">
            <w:drawing>
              <wp:anchor distT="0" distB="0" distL="114300" distR="114300" simplePos="0" relativeHeight="251718656" behindDoc="1" locked="0" layoutInCell="1" allowOverlap="1" wp14:anchorId="0F9B98A8" wp14:editId="5F3C2F95">
                <wp:simplePos x="0" y="0"/>
                <wp:positionH relativeFrom="column">
                  <wp:posOffset>2186143</wp:posOffset>
                </wp:positionH>
                <wp:positionV relativeFrom="paragraph">
                  <wp:posOffset>220980</wp:posOffset>
                </wp:positionV>
                <wp:extent cx="333862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624" cy="1403985"/>
                        </a:xfrm>
                        <a:prstGeom prst="rect">
                          <a:avLst/>
                        </a:prstGeom>
                        <a:noFill/>
                        <a:ln w="9525">
                          <a:noFill/>
                          <a:miter lim="800000"/>
                          <a:headEnd/>
                          <a:tailEnd/>
                        </a:ln>
                      </wps:spPr>
                      <wps:txbx>
                        <w:txbxContent>
                          <w:p w:rsidR="00565355" w:rsidRPr="00565355" w:rsidRDefault="00565355">
                            <w:pPr>
                              <w:rPr>
                                <w:sz w:val="24"/>
                              </w:rPr>
                            </w:pPr>
                            <w:proofErr w:type="gramStart"/>
                            <w:r w:rsidRPr="00565355">
                              <w:rPr>
                                <w:i/>
                                <w:sz w:val="24"/>
                              </w:rPr>
                              <w:t>Figure 11.</w:t>
                            </w:r>
                            <w:proofErr w:type="gramEnd"/>
                            <w:r w:rsidRPr="00565355">
                              <w:rPr>
                                <w:sz w:val="24"/>
                              </w:rPr>
                              <w:t xml:space="preserve"> </w:t>
                            </w:r>
                            <w:r w:rsidR="005B18E2">
                              <w:rPr>
                                <w:b/>
                                <w:sz w:val="24"/>
                              </w:rPr>
                              <w:t xml:space="preserve">2014 </w:t>
                            </w:r>
                            <w:r w:rsidRPr="00565355">
                              <w:rPr>
                                <w:b/>
                                <w:sz w:val="24"/>
                              </w:rPr>
                              <w:t>RN</w:t>
                            </w:r>
                            <w:r w:rsidR="00150921">
                              <w:rPr>
                                <w:b/>
                                <w:sz w:val="24"/>
                              </w:rPr>
                              <w:t>s</w:t>
                            </w:r>
                            <w:r w:rsidRPr="00565355">
                              <w:rPr>
                                <w:b/>
                                <w:sz w:val="24"/>
                              </w:rPr>
                              <w:t xml:space="preserve"> </w:t>
                            </w:r>
                            <w:r w:rsidR="00150921">
                              <w:rPr>
                                <w:b/>
                                <w:sz w:val="24"/>
                              </w:rPr>
                              <w:t xml:space="preserve">by </w:t>
                            </w:r>
                            <w:r w:rsidRPr="00565355">
                              <w:rPr>
                                <w:b/>
                                <w:sz w:val="24"/>
                              </w:rPr>
                              <w:t>Employment 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72.15pt;margin-top:17.4pt;width:262.9pt;height:110.55pt;z-index:-251597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" filled="f" stroked="f">
                <v:textbox style="mso-fit-shape-to-text:t">
                  <w:txbxContent>
                    <w:p w:rsidR="00565355" w:rsidRPr="00565355" w:rsidRDefault="00565355">
                      <w:pPr>
                        <w:rPr>
                          <w:sz w:val="24"/>
                        </w:rPr>
                      </w:pPr>
                      <w:proofErr w:type="gramStart"/>
                      <w:r w:rsidRPr="00565355">
                        <w:rPr>
                          <w:i/>
                          <w:sz w:val="24"/>
                        </w:rPr>
                        <w:t>Figure 11.</w:t>
                      </w:r>
                      <w:proofErr w:type="gramEnd"/>
                      <w:r w:rsidRPr="00565355">
                        <w:rPr>
                          <w:sz w:val="24"/>
                        </w:rPr>
                        <w:t xml:space="preserve"> </w:t>
                      </w:r>
                      <w:r w:rsidR="005B18E2">
                        <w:rPr>
                          <w:b/>
                          <w:sz w:val="24"/>
                        </w:rPr>
                        <w:t xml:space="preserve">2014 </w:t>
                      </w:r>
                      <w:r w:rsidRPr="00565355">
                        <w:rPr>
                          <w:b/>
                          <w:sz w:val="24"/>
                        </w:rPr>
                        <w:t>RN</w:t>
                      </w:r>
                      <w:r w:rsidR="00150921">
                        <w:rPr>
                          <w:b/>
                          <w:sz w:val="24"/>
                        </w:rPr>
                        <w:t>s</w:t>
                      </w:r>
                      <w:r w:rsidRPr="00565355">
                        <w:rPr>
                          <w:b/>
                          <w:sz w:val="24"/>
                        </w:rPr>
                        <w:t xml:space="preserve"> </w:t>
                      </w:r>
                      <w:r w:rsidR="00150921">
                        <w:rPr>
                          <w:b/>
                          <w:sz w:val="24"/>
                        </w:rPr>
                        <w:t xml:space="preserve">by </w:t>
                      </w:r>
                      <w:r w:rsidRPr="00565355">
                        <w:rPr>
                          <w:b/>
                          <w:sz w:val="24"/>
                        </w:rPr>
                        <w:t>Employment Status</w:t>
                      </w:r>
                    </w:p>
                  </w:txbxContent>
                </v:textbox>
              </v:shape>
            </w:pict>
          </mc:Fallback>
        </mc:AlternateContent>
      </w:r>
      <w:r w:rsidRPr="00090B57">
        <w:rPr>
          <w:szCs w:val="24"/>
        </w:rPr>
        <w:t xml:space="preserve">Figure 11 </w:t>
      </w:r>
      <w:r>
        <w:rPr>
          <w:szCs w:val="24"/>
        </w:rPr>
        <w:t xml:space="preserve">displays a breakdown of the RNs that completed the workforce survey by employment status. </w:t>
      </w:r>
    </w:p>
    <w:p w:rsidR="000D63F5" w:rsidRDefault="00090B57">
      <w:pPr>
        <w:rPr>
          <w:sz w:val="24"/>
          <w:szCs w:val="24"/>
        </w:rPr>
      </w:pPr>
      <w:r>
        <w:rPr>
          <w:b/>
          <w:noProof/>
          <w:color w:val="7F7F7F" w:themeColor="text1" w:themeTint="80"/>
          <w:sz w:val="28"/>
          <w:szCs w:val="24"/>
        </w:rPr>
        <mc:AlternateContent>
          <mc:Choice Requires="wpg">
            <w:drawing>
              <wp:anchor distT="0" distB="0" distL="114300" distR="114300" simplePos="0" relativeHeight="251707392" behindDoc="0" locked="0" layoutInCell="1" allowOverlap="1" wp14:anchorId="22FA5D11" wp14:editId="79D12B44">
                <wp:simplePos x="0" y="0"/>
                <wp:positionH relativeFrom="column">
                  <wp:posOffset>733647</wp:posOffset>
                </wp:positionH>
                <wp:positionV relativeFrom="paragraph">
                  <wp:posOffset>195580</wp:posOffset>
                </wp:positionV>
                <wp:extent cx="5411973" cy="3389630"/>
                <wp:effectExtent l="19050" t="19050" r="17780" b="20320"/>
                <wp:wrapNone/>
                <wp:docPr id="50" name="Group 50" descr="Fig.11 breaks down the 91,877 survey respondents by their employment status. &#10;&#10;Of the 91,8777 survey respondents, 80,709 reported currently practicing nursing and 11,168 are not currently practicing (unemployed, retired, or employed in non-nursing field).&#10;&#10;Of the 80,709 nurses that are practicing in nursing, 68,716 reported a primary practice location in MA, 7,598 reported a primary practice location outside of MA, and 4,395 did not report a practice location.&#10;&#10;Of the 68,716 RNs with a primary practice location in MA, 70.5% reported working full-time, 23.0% part-time, 8.6% per diem, and 0.4% volunteering.&#10;&#10;Footnote # 11 references the percentages cited in Fig. 11." title="Figure 11. RNs by Employment Status"/>
                <wp:cNvGraphicFramePr/>
                <a:graphic xmlns:a="http://schemas.openxmlformats.org/drawingml/2006/main">
                  <a:graphicData uri="http://schemas.microsoft.com/office/word/2010/wordprocessingGroup">
                    <wpg:wgp>
                      <wpg:cNvGrpSpPr/>
                      <wpg:grpSpPr>
                        <a:xfrm>
                          <a:off x="0" y="0"/>
                          <a:ext cx="5411973" cy="3389630"/>
                          <a:chOff x="462368" y="743997"/>
                          <a:chExt cx="5412739" cy="3391784"/>
                        </a:xfrm>
                      </wpg:grpSpPr>
                      <wpg:grpSp>
                        <wpg:cNvPr id="44" name="Group 44"/>
                        <wpg:cNvGrpSpPr/>
                        <wpg:grpSpPr>
                          <a:xfrm>
                            <a:off x="462368" y="743997"/>
                            <a:ext cx="5412739" cy="3391784"/>
                            <a:chOff x="217171" y="743997"/>
                            <a:chExt cx="5412739" cy="3391784"/>
                          </a:xfrm>
                        </wpg:grpSpPr>
                        <wpg:grpSp>
                          <wpg:cNvPr id="42" name="Group 42"/>
                          <wpg:cNvGrpSpPr/>
                          <wpg:grpSpPr>
                            <a:xfrm>
                              <a:off x="217171" y="743997"/>
                              <a:ext cx="5412739" cy="3391784"/>
                              <a:chOff x="217171" y="743997"/>
                              <a:chExt cx="5412739" cy="3391784"/>
                            </a:xfrm>
                          </wpg:grpSpPr>
                          <wpg:grpSp>
                            <wpg:cNvPr id="39" name="Group 39"/>
                            <wpg:cNvGrpSpPr/>
                            <wpg:grpSpPr>
                              <a:xfrm>
                                <a:off x="217171" y="743997"/>
                                <a:ext cx="5412739" cy="3391784"/>
                                <a:chOff x="-70420" y="743997"/>
                                <a:chExt cx="5412739" cy="3391784"/>
                              </a:xfrm>
                            </wpg:grpSpPr>
                            <wpg:grpSp>
                              <wpg:cNvPr id="36" name="Group 36"/>
                              <wpg:cNvGrpSpPr/>
                              <wpg:grpSpPr>
                                <a:xfrm>
                                  <a:off x="-70420" y="743997"/>
                                  <a:ext cx="5412739" cy="3391784"/>
                                  <a:chOff x="345283" y="-609893"/>
                                  <a:chExt cx="5413396" cy="3392030"/>
                                </a:xfrm>
                              </wpg:grpSpPr>
                              <wpg:grpSp>
                                <wpg:cNvPr id="18" name="Group 18"/>
                                <wpg:cNvGrpSpPr/>
                                <wpg:grpSpPr>
                                  <a:xfrm>
                                    <a:off x="345283" y="-609893"/>
                                    <a:ext cx="5413396" cy="3392030"/>
                                    <a:chOff x="-818558" y="-223984"/>
                                    <a:chExt cx="5413746" cy="3394240"/>
                                  </a:xfrm>
                                </wpg:grpSpPr>
                                <wpg:grpSp>
                                  <wpg:cNvPr id="19" name="Group 19"/>
                                  <wpg:cNvGrpSpPr/>
                                  <wpg:grpSpPr>
                                    <a:xfrm>
                                      <a:off x="-818558" y="-223984"/>
                                      <a:ext cx="5413746" cy="2506790"/>
                                      <a:chOff x="-818558" y="-80704"/>
                                      <a:chExt cx="5413746" cy="2506790"/>
                                    </a:xfrm>
                                  </wpg:grpSpPr>
                                  <wps:wsp>
                                    <wps:cNvPr id="22" name="Text Box 2"/>
                                    <wps:cNvSpPr txBox="1">
                                      <a:spLocks noChangeArrowheads="1"/>
                                    </wps:cNvSpPr>
                                    <wps:spPr bwMode="auto">
                                      <a:xfrm>
                                        <a:off x="-818558" y="-80704"/>
                                        <a:ext cx="1861347" cy="482863"/>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9816B1" w:rsidRPr="00BB7818" w:rsidRDefault="009816B1" w:rsidP="009816B1">
                                          <w:pPr>
                                            <w:jc w:val="center"/>
                                            <w:rPr>
                                              <w:rFonts w:asciiTheme="majorHAnsi" w:hAnsiTheme="majorHAnsi"/>
                                              <w:sz w:val="20"/>
                                              <w:szCs w:val="20"/>
                                            </w:rPr>
                                          </w:pPr>
                                          <w:r w:rsidRPr="007F548F">
                                            <w:rPr>
                                              <w:rFonts w:asciiTheme="majorHAnsi" w:hAnsiTheme="majorHAnsi"/>
                                              <w:b/>
                                              <w:sz w:val="20"/>
                                              <w:szCs w:val="20"/>
                                            </w:rPr>
                                            <w:t>91,877</w:t>
                                          </w:r>
                                          <w:r w:rsidRPr="00BB7818">
                                            <w:rPr>
                                              <w:rFonts w:asciiTheme="majorHAnsi" w:hAnsiTheme="majorHAnsi"/>
                                              <w:sz w:val="20"/>
                                              <w:szCs w:val="20"/>
                                            </w:rPr>
                                            <w:t xml:space="preserve"> </w:t>
                                          </w:r>
                                          <w:r w:rsidR="007F548F">
                                            <w:rPr>
                                              <w:rFonts w:asciiTheme="majorHAnsi" w:hAnsiTheme="majorHAnsi"/>
                                              <w:sz w:val="20"/>
                                              <w:szCs w:val="20"/>
                                            </w:rPr>
                                            <w:br/>
                                          </w:r>
                                          <w:r w:rsidRPr="00BB7818">
                                            <w:rPr>
                                              <w:rFonts w:asciiTheme="majorHAnsi" w:hAnsiTheme="majorHAnsi"/>
                                              <w:sz w:val="20"/>
                                              <w:szCs w:val="20"/>
                                            </w:rPr>
                                            <w:t xml:space="preserve">Total </w:t>
                                          </w:r>
                                          <w:r>
                                            <w:rPr>
                                              <w:rFonts w:asciiTheme="majorHAnsi" w:hAnsiTheme="majorHAnsi"/>
                                              <w:sz w:val="20"/>
                                              <w:szCs w:val="20"/>
                                            </w:rPr>
                                            <w:t>Survey Respondents</w:t>
                                          </w:r>
                                        </w:p>
                                      </w:txbxContent>
                                    </wps:txbx>
                                    <wps:bodyPr rot="0" vert="horz" wrap="square" lIns="91440" tIns="45720" rIns="91440" bIns="45720" anchor="t" anchorCtr="0">
                                      <a:noAutofit/>
                                    </wps:bodyPr>
                                  </wps:wsp>
                                  <wps:wsp>
                                    <wps:cNvPr id="23" name="Text Box 2"/>
                                    <wps:cNvSpPr txBox="1">
                                      <a:spLocks noChangeArrowheads="1"/>
                                    </wps:cNvSpPr>
                                    <wps:spPr bwMode="auto">
                                      <a:xfrm>
                                        <a:off x="1174021" y="1575705"/>
                                        <a:ext cx="1684638" cy="665563"/>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9816B1" w:rsidRPr="00BB7818" w:rsidRDefault="007F548F" w:rsidP="009816B1">
                                          <w:pPr>
                                            <w:pStyle w:val="ListParagraph"/>
                                            <w:ind w:left="0"/>
                                            <w:jc w:val="center"/>
                                            <w:rPr>
                                              <w:rFonts w:asciiTheme="majorHAnsi" w:hAnsiTheme="majorHAnsi"/>
                                              <w:sz w:val="20"/>
                                              <w:szCs w:val="20"/>
                                            </w:rPr>
                                          </w:pPr>
                                          <w:proofErr w:type="gramStart"/>
                                          <w:r w:rsidRPr="007F548F">
                                            <w:rPr>
                                              <w:rFonts w:asciiTheme="majorHAnsi" w:hAnsiTheme="majorHAnsi"/>
                                              <w:b/>
                                              <w:sz w:val="20"/>
                                              <w:szCs w:val="20"/>
                                            </w:rPr>
                                            <w:t>7,598</w:t>
                                          </w:r>
                                          <w:r>
                                            <w:rPr>
                                              <w:rFonts w:asciiTheme="majorHAnsi" w:hAnsiTheme="majorHAnsi"/>
                                              <w:sz w:val="20"/>
                                              <w:szCs w:val="20"/>
                                            </w:rPr>
                                            <w:br/>
                                            <w:t xml:space="preserve">Primary </w:t>
                                          </w:r>
                                          <w:r w:rsidR="00824755">
                                            <w:rPr>
                                              <w:rFonts w:asciiTheme="majorHAnsi" w:hAnsiTheme="majorHAnsi"/>
                                              <w:sz w:val="20"/>
                                              <w:szCs w:val="20"/>
                                            </w:rPr>
                                            <w:t>Practice Location</w:t>
                                          </w:r>
                                          <w:proofErr w:type="gramEnd"/>
                                          <w:r w:rsidR="009816B1" w:rsidRPr="00BB7818">
                                            <w:rPr>
                                              <w:rFonts w:asciiTheme="majorHAnsi" w:hAnsiTheme="majorHAnsi"/>
                                              <w:sz w:val="20"/>
                                              <w:szCs w:val="20"/>
                                            </w:rPr>
                                            <w:t xml:space="preserve"> </w:t>
                                          </w:r>
                                          <w:r>
                                            <w:rPr>
                                              <w:rFonts w:asciiTheme="majorHAnsi" w:hAnsiTheme="majorHAnsi"/>
                                              <w:sz w:val="20"/>
                                              <w:szCs w:val="20"/>
                                            </w:rPr>
                                            <w:t>Outside of MA</w:t>
                                          </w:r>
                                        </w:p>
                                        <w:p w:rsidR="009816B1" w:rsidRPr="00BB7818" w:rsidRDefault="009816B1" w:rsidP="009816B1">
                                          <w:pPr>
                                            <w:pStyle w:val="ListParagraph"/>
                                            <w:ind w:left="0"/>
                                            <w:jc w:val="center"/>
                                            <w:rPr>
                                              <w:rFonts w:asciiTheme="majorHAnsi" w:hAnsiTheme="majorHAnsi"/>
                                              <w:sz w:val="20"/>
                                              <w:szCs w:val="20"/>
                                            </w:rPr>
                                          </w:pPr>
                                        </w:p>
                                      </w:txbxContent>
                                    </wps:txbx>
                                    <wps:bodyPr rot="0" vert="horz" wrap="square" lIns="91440" tIns="45720" rIns="91440" bIns="45720" anchor="t" anchorCtr="0">
                                      <a:noAutofit/>
                                    </wps:bodyPr>
                                  </wps:wsp>
                                  <wps:wsp>
                                    <wps:cNvPr id="25" name="Text Box 2"/>
                                    <wps:cNvSpPr txBox="1">
                                      <a:spLocks noChangeArrowheads="1"/>
                                    </wps:cNvSpPr>
                                    <wps:spPr bwMode="auto">
                                      <a:xfrm>
                                        <a:off x="1173823" y="630509"/>
                                        <a:ext cx="3421365" cy="685816"/>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7F548F" w:rsidRPr="007F548F" w:rsidRDefault="00EB5F8A" w:rsidP="009816B1">
                                          <w:pPr>
                                            <w:pStyle w:val="ListParagraph"/>
                                            <w:ind w:left="0"/>
                                            <w:jc w:val="center"/>
                                            <w:rPr>
                                              <w:rFonts w:asciiTheme="majorHAnsi" w:hAnsiTheme="majorHAnsi"/>
                                              <w:b/>
                                              <w:sz w:val="20"/>
                                              <w:szCs w:val="20"/>
                                            </w:rPr>
                                          </w:pPr>
                                          <w:r>
                                            <w:rPr>
                                              <w:rFonts w:asciiTheme="majorHAnsi" w:hAnsiTheme="majorHAnsi"/>
                                              <w:b/>
                                              <w:sz w:val="20"/>
                                              <w:szCs w:val="20"/>
                                            </w:rPr>
                                            <w:t>11,168</w:t>
                                          </w:r>
                                        </w:p>
                                        <w:p w:rsidR="00781A2A" w:rsidRDefault="009816B1" w:rsidP="009816B1">
                                          <w:pPr>
                                            <w:pStyle w:val="ListParagraph"/>
                                            <w:ind w:left="0"/>
                                            <w:jc w:val="center"/>
                                            <w:rPr>
                                              <w:rFonts w:asciiTheme="majorHAnsi" w:hAnsiTheme="majorHAnsi"/>
                                              <w:sz w:val="20"/>
                                              <w:szCs w:val="20"/>
                                            </w:rPr>
                                          </w:pPr>
                                          <w:r>
                                            <w:rPr>
                                              <w:rFonts w:asciiTheme="majorHAnsi" w:hAnsiTheme="majorHAnsi"/>
                                              <w:sz w:val="20"/>
                                              <w:szCs w:val="20"/>
                                            </w:rPr>
                                            <w:t xml:space="preserve">Not Currently Practicing </w:t>
                                          </w:r>
                                          <w:r w:rsidR="00785D59">
                                            <w:rPr>
                                              <w:rFonts w:asciiTheme="majorHAnsi" w:hAnsiTheme="majorHAnsi"/>
                                              <w:sz w:val="20"/>
                                              <w:szCs w:val="20"/>
                                            </w:rPr>
                                            <w:t xml:space="preserve">Nursing </w:t>
                                          </w:r>
                                        </w:p>
                                        <w:p w:rsidR="009816B1" w:rsidRPr="00BB7818" w:rsidRDefault="00785D59" w:rsidP="009816B1">
                                          <w:pPr>
                                            <w:pStyle w:val="ListParagraph"/>
                                            <w:ind w:left="0"/>
                                            <w:jc w:val="center"/>
                                            <w:rPr>
                                              <w:rFonts w:asciiTheme="majorHAnsi" w:hAnsiTheme="majorHAnsi"/>
                                              <w:sz w:val="20"/>
                                              <w:szCs w:val="20"/>
                                            </w:rPr>
                                          </w:pPr>
                                          <w:r>
                                            <w:rPr>
                                              <w:rFonts w:asciiTheme="majorHAnsi" w:hAnsiTheme="majorHAnsi"/>
                                              <w:sz w:val="20"/>
                                              <w:szCs w:val="20"/>
                                            </w:rPr>
                                            <w:t>(</w:t>
                                          </w:r>
                                          <w:proofErr w:type="gramStart"/>
                                          <w:r>
                                            <w:rPr>
                                              <w:rFonts w:asciiTheme="majorHAnsi" w:hAnsiTheme="majorHAnsi"/>
                                              <w:sz w:val="20"/>
                                              <w:szCs w:val="20"/>
                                            </w:rPr>
                                            <w:t>unemployed</w:t>
                                          </w:r>
                                          <w:proofErr w:type="gramEnd"/>
                                          <w:r>
                                            <w:rPr>
                                              <w:rFonts w:asciiTheme="majorHAnsi" w:hAnsiTheme="majorHAnsi"/>
                                              <w:sz w:val="20"/>
                                              <w:szCs w:val="20"/>
                                            </w:rPr>
                                            <w:t>, retired, or employed in non-nursing field)</w:t>
                                          </w:r>
                                        </w:p>
                                      </w:txbxContent>
                                    </wps:txbx>
                                    <wps:bodyPr rot="0" vert="horz" wrap="square" lIns="91440" tIns="45720" rIns="91440" bIns="45720" anchor="t" anchorCtr="0">
                                      <a:noAutofit/>
                                    </wps:bodyPr>
                                  </wps:wsp>
                                  <wps:wsp>
                                    <wps:cNvPr id="26" name="Straight Arrow Connector 26"/>
                                    <wps:cNvCnPr>
                                      <a:stCxn id="22" idx="2"/>
                                      <a:endCxn id="40" idx="0"/>
                                    </wps:cNvCnPr>
                                    <wps:spPr>
                                      <a:xfrm>
                                        <a:off x="112116" y="402159"/>
                                        <a:ext cx="2" cy="304036"/>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stCxn id="40" idx="2"/>
                                      <a:endCxn id="45" idx="0"/>
                                    </wps:cNvCnPr>
                                    <wps:spPr>
                                      <a:xfrm flipH="1">
                                        <a:off x="112117" y="1232806"/>
                                        <a:ext cx="1" cy="330431"/>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a:stCxn id="45" idx="2"/>
                                      <a:endCxn id="30" idx="0"/>
                                    </wps:cNvCnPr>
                                    <wps:spPr>
                                      <a:xfrm>
                                        <a:off x="112117" y="2251910"/>
                                        <a:ext cx="1" cy="174176"/>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0" name="Text Box 2"/>
                                  <wps:cNvSpPr txBox="1">
                                    <a:spLocks noChangeArrowheads="1"/>
                                  </wps:cNvSpPr>
                                  <wps:spPr bwMode="auto">
                                    <a:xfrm>
                                      <a:off x="-818557" y="2282806"/>
                                      <a:ext cx="1861348" cy="887450"/>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5C1880" w:rsidRDefault="009816B1" w:rsidP="005C1880">
                                        <w:pPr>
                                          <w:tabs>
                                            <w:tab w:val="left" w:pos="1080"/>
                                          </w:tabs>
                                          <w:ind w:left="450"/>
                                          <w:rPr>
                                            <w:rFonts w:asciiTheme="majorHAnsi" w:hAnsiTheme="majorHAnsi"/>
                                            <w:sz w:val="20"/>
                                            <w:szCs w:val="20"/>
                                          </w:rPr>
                                        </w:pPr>
                                        <w:r>
                                          <w:rPr>
                                            <w:rFonts w:asciiTheme="majorHAnsi" w:hAnsiTheme="majorHAnsi"/>
                                            <w:sz w:val="20"/>
                                            <w:szCs w:val="20"/>
                                          </w:rPr>
                                          <w:t xml:space="preserve">Full-time: </w:t>
                                        </w:r>
                                        <w:r>
                                          <w:rPr>
                                            <w:rFonts w:asciiTheme="majorHAnsi" w:hAnsiTheme="majorHAnsi"/>
                                            <w:sz w:val="20"/>
                                            <w:szCs w:val="20"/>
                                          </w:rPr>
                                          <w:tab/>
                                        </w:r>
                                        <w:r w:rsidR="005C1880">
                                          <w:rPr>
                                            <w:rFonts w:asciiTheme="majorHAnsi" w:hAnsiTheme="majorHAnsi"/>
                                            <w:sz w:val="20"/>
                                            <w:szCs w:val="20"/>
                                          </w:rPr>
                                          <w:t>70.5</w:t>
                                        </w:r>
                                        <w:r>
                                          <w:rPr>
                                            <w:rFonts w:asciiTheme="majorHAnsi" w:hAnsiTheme="majorHAnsi"/>
                                            <w:sz w:val="20"/>
                                            <w:szCs w:val="20"/>
                                          </w:rPr>
                                          <w:t>%</w:t>
                                        </w:r>
                                        <w:r>
                                          <w:rPr>
                                            <w:rFonts w:asciiTheme="majorHAnsi" w:hAnsiTheme="majorHAnsi"/>
                                            <w:sz w:val="20"/>
                                            <w:szCs w:val="20"/>
                                          </w:rPr>
                                          <w:br/>
                                          <w:t xml:space="preserve">Part-time:  </w:t>
                                        </w:r>
                                        <w:r>
                                          <w:rPr>
                                            <w:rFonts w:asciiTheme="majorHAnsi" w:hAnsiTheme="majorHAnsi"/>
                                            <w:sz w:val="20"/>
                                            <w:szCs w:val="20"/>
                                          </w:rPr>
                                          <w:tab/>
                                        </w:r>
                                        <w:r w:rsidR="005C1880">
                                          <w:rPr>
                                            <w:rFonts w:asciiTheme="majorHAnsi" w:hAnsiTheme="majorHAnsi"/>
                                            <w:sz w:val="20"/>
                                            <w:szCs w:val="20"/>
                                          </w:rPr>
                                          <w:t>23.0</w:t>
                                        </w:r>
                                        <w:r>
                                          <w:rPr>
                                            <w:rFonts w:asciiTheme="majorHAnsi" w:hAnsiTheme="majorHAnsi"/>
                                            <w:sz w:val="20"/>
                                            <w:szCs w:val="20"/>
                                          </w:rPr>
                                          <w:t>%</w:t>
                                        </w:r>
                                        <w:r>
                                          <w:rPr>
                                            <w:rFonts w:asciiTheme="majorHAnsi" w:hAnsiTheme="majorHAnsi"/>
                                            <w:sz w:val="20"/>
                                            <w:szCs w:val="20"/>
                                          </w:rPr>
                                          <w:br/>
                                        </w:r>
                                        <w:proofErr w:type="gramStart"/>
                                        <w:r>
                                          <w:rPr>
                                            <w:rFonts w:asciiTheme="majorHAnsi" w:hAnsiTheme="majorHAnsi"/>
                                            <w:sz w:val="20"/>
                                            <w:szCs w:val="20"/>
                                          </w:rPr>
                                          <w:t>Per</w:t>
                                        </w:r>
                                        <w:proofErr w:type="gramEnd"/>
                                        <w:r>
                                          <w:rPr>
                                            <w:rFonts w:asciiTheme="majorHAnsi" w:hAnsiTheme="majorHAnsi"/>
                                            <w:sz w:val="20"/>
                                            <w:szCs w:val="20"/>
                                          </w:rPr>
                                          <w:t xml:space="preserve"> Diem:    </w:t>
                                        </w:r>
                                        <w:r w:rsidR="005C1880">
                                          <w:rPr>
                                            <w:rFonts w:asciiTheme="majorHAnsi" w:hAnsiTheme="majorHAnsi"/>
                                            <w:sz w:val="20"/>
                                            <w:szCs w:val="20"/>
                                          </w:rPr>
                                          <w:t xml:space="preserve">  8.6</w:t>
                                        </w:r>
                                        <w:r>
                                          <w:rPr>
                                            <w:rFonts w:asciiTheme="majorHAnsi" w:hAnsiTheme="majorHAnsi"/>
                                            <w:sz w:val="20"/>
                                            <w:szCs w:val="20"/>
                                          </w:rPr>
                                          <w:t>%</w:t>
                                        </w:r>
                                        <w:r w:rsidR="005C1880">
                                          <w:rPr>
                                            <w:rFonts w:asciiTheme="majorHAnsi" w:hAnsiTheme="majorHAnsi"/>
                                            <w:sz w:val="20"/>
                                            <w:szCs w:val="20"/>
                                          </w:rPr>
                                          <w:br/>
                                          <w:t>Volunteer:</w:t>
                                        </w:r>
                                        <w:r w:rsidR="005C1880">
                                          <w:rPr>
                                            <w:rFonts w:asciiTheme="majorHAnsi" w:hAnsiTheme="majorHAnsi"/>
                                            <w:sz w:val="20"/>
                                            <w:szCs w:val="20"/>
                                          </w:rPr>
                                          <w:tab/>
                                          <w:t xml:space="preserve">  0.4%</w:t>
                                        </w:r>
                                      </w:p>
                                      <w:p w:rsidR="009816B1" w:rsidRPr="00BB7818" w:rsidRDefault="009816B1" w:rsidP="009816B1">
                                        <w:pPr>
                                          <w:tabs>
                                            <w:tab w:val="left" w:pos="1080"/>
                                          </w:tabs>
                                          <w:rPr>
                                            <w:rFonts w:asciiTheme="majorHAnsi" w:hAnsiTheme="majorHAnsi"/>
                                            <w:sz w:val="20"/>
                                            <w:szCs w:val="20"/>
                                          </w:rPr>
                                        </w:pPr>
                                        <w:r>
                                          <w:rPr>
                                            <w:rFonts w:asciiTheme="majorHAnsi" w:hAnsiTheme="majorHAnsi"/>
                                            <w:sz w:val="20"/>
                                            <w:szCs w:val="20"/>
                                          </w:rPr>
                                          <w:br/>
                                        </w:r>
                                        <w:r>
                                          <w:rPr>
                                            <w:rFonts w:asciiTheme="majorHAnsi" w:hAnsiTheme="majorHAnsi"/>
                                            <w:sz w:val="20"/>
                                            <w:szCs w:val="20"/>
                                          </w:rPr>
                                          <w:br/>
                                        </w:r>
                                      </w:p>
                                    </w:txbxContent>
                                  </wps:txbx>
                                  <wps:bodyPr rot="0" vert="horz" wrap="square" lIns="91440" tIns="45720" rIns="91440" bIns="45720" anchor="t" anchorCtr="0">
                                    <a:noAutofit/>
                                  </wps:bodyPr>
                                </wps:wsp>
                              </wpg:grpSp>
                              <wps:wsp>
                                <wps:cNvPr id="34" name="Text Box 2"/>
                                <wps:cNvSpPr txBox="1">
                                  <a:spLocks noChangeArrowheads="1"/>
                                </wps:cNvSpPr>
                                <wps:spPr bwMode="auto">
                                  <a:xfrm>
                                    <a:off x="4110638" y="1045457"/>
                                    <a:ext cx="1460154" cy="665363"/>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7F548F" w:rsidRPr="00BB7818" w:rsidRDefault="007F548F" w:rsidP="007F548F">
                                      <w:pPr>
                                        <w:pStyle w:val="ListParagraph"/>
                                        <w:ind w:left="0"/>
                                        <w:jc w:val="center"/>
                                        <w:rPr>
                                          <w:rFonts w:asciiTheme="majorHAnsi" w:hAnsiTheme="majorHAnsi"/>
                                          <w:sz w:val="20"/>
                                          <w:szCs w:val="20"/>
                                        </w:rPr>
                                      </w:pPr>
                                      <w:r w:rsidRPr="007F548F">
                                        <w:rPr>
                                          <w:rFonts w:asciiTheme="majorHAnsi" w:hAnsiTheme="majorHAnsi"/>
                                          <w:b/>
                                          <w:sz w:val="20"/>
                                          <w:szCs w:val="20"/>
                                        </w:rPr>
                                        <w:t>4,395</w:t>
                                      </w:r>
                                      <w:r>
                                        <w:rPr>
                                          <w:rFonts w:asciiTheme="majorHAnsi" w:hAnsiTheme="majorHAnsi"/>
                                          <w:sz w:val="20"/>
                                          <w:szCs w:val="20"/>
                                        </w:rPr>
                                        <w:t xml:space="preserve"> </w:t>
                                      </w:r>
                                      <w:r>
                                        <w:rPr>
                                          <w:rFonts w:asciiTheme="majorHAnsi" w:hAnsiTheme="majorHAnsi"/>
                                          <w:sz w:val="20"/>
                                          <w:szCs w:val="20"/>
                                        </w:rPr>
                                        <w:br/>
                                      </w:r>
                                      <w:r w:rsidR="00824755">
                                        <w:rPr>
                                          <w:rFonts w:asciiTheme="majorHAnsi" w:hAnsiTheme="majorHAnsi"/>
                                          <w:sz w:val="20"/>
                                          <w:szCs w:val="20"/>
                                        </w:rPr>
                                        <w:t>Did N</w:t>
                                      </w:r>
                                      <w:r>
                                        <w:rPr>
                                          <w:rFonts w:asciiTheme="majorHAnsi" w:hAnsiTheme="majorHAnsi"/>
                                          <w:sz w:val="20"/>
                                          <w:szCs w:val="20"/>
                                        </w:rPr>
                                        <w:t xml:space="preserve">ot </w:t>
                                      </w:r>
                                      <w:r w:rsidR="00824755">
                                        <w:rPr>
                                          <w:rFonts w:asciiTheme="majorHAnsi" w:hAnsiTheme="majorHAnsi"/>
                                          <w:sz w:val="20"/>
                                          <w:szCs w:val="20"/>
                                        </w:rPr>
                                        <w:t>R</w:t>
                                      </w:r>
                                      <w:r>
                                        <w:rPr>
                                          <w:rFonts w:asciiTheme="majorHAnsi" w:hAnsiTheme="majorHAnsi"/>
                                          <w:sz w:val="20"/>
                                          <w:szCs w:val="20"/>
                                        </w:rPr>
                                        <w:t>eport</w:t>
                                      </w:r>
                                      <w:r w:rsidR="00824755">
                                        <w:rPr>
                                          <w:rFonts w:asciiTheme="majorHAnsi" w:hAnsiTheme="majorHAnsi"/>
                                          <w:sz w:val="20"/>
                                          <w:szCs w:val="20"/>
                                        </w:rPr>
                                        <w:t xml:space="preserve"> a</w:t>
                                      </w:r>
                                      <w:r>
                                        <w:rPr>
                                          <w:rFonts w:asciiTheme="majorHAnsi" w:hAnsiTheme="majorHAnsi"/>
                                          <w:sz w:val="20"/>
                                          <w:szCs w:val="20"/>
                                        </w:rPr>
                                        <w:t xml:space="preserve"> </w:t>
                                      </w:r>
                                      <w:r w:rsidR="00824755">
                                        <w:rPr>
                                          <w:rFonts w:asciiTheme="majorHAnsi" w:hAnsiTheme="majorHAnsi"/>
                                          <w:sz w:val="20"/>
                                          <w:szCs w:val="20"/>
                                        </w:rPr>
                                        <w:t>P</w:t>
                                      </w:r>
                                      <w:r>
                                        <w:rPr>
                                          <w:rFonts w:asciiTheme="majorHAnsi" w:hAnsiTheme="majorHAnsi"/>
                                          <w:sz w:val="20"/>
                                          <w:szCs w:val="20"/>
                                        </w:rPr>
                                        <w:t xml:space="preserve">ractice </w:t>
                                      </w:r>
                                      <w:r w:rsidR="00824755">
                                        <w:rPr>
                                          <w:rFonts w:asciiTheme="majorHAnsi" w:hAnsiTheme="majorHAnsi"/>
                                          <w:sz w:val="20"/>
                                          <w:szCs w:val="20"/>
                                        </w:rPr>
                                        <w:t>L</w:t>
                                      </w:r>
                                      <w:r>
                                        <w:rPr>
                                          <w:rFonts w:asciiTheme="majorHAnsi" w:hAnsiTheme="majorHAnsi"/>
                                          <w:sz w:val="20"/>
                                          <w:szCs w:val="20"/>
                                        </w:rPr>
                                        <w:t>ocation</w:t>
                                      </w:r>
                                    </w:p>
                                    <w:p w:rsidR="007F548F" w:rsidRPr="00BB7818" w:rsidRDefault="007F548F" w:rsidP="007F548F">
                                      <w:pPr>
                                        <w:pStyle w:val="ListParagraph"/>
                                        <w:ind w:left="0"/>
                                        <w:jc w:val="center"/>
                                        <w:rPr>
                                          <w:rFonts w:asciiTheme="majorHAnsi" w:hAnsiTheme="majorHAnsi"/>
                                          <w:sz w:val="20"/>
                                          <w:szCs w:val="20"/>
                                        </w:rPr>
                                      </w:pPr>
                                    </w:p>
                                  </w:txbxContent>
                                </wps:txbx>
                                <wps:bodyPr rot="0" vert="horz" wrap="square" lIns="91440" tIns="45720" rIns="91440" bIns="45720" anchor="t" anchorCtr="0">
                                  <a:noAutofit/>
                                </wps:bodyPr>
                              </wps:wsp>
                            </wpg:grpSp>
                            <wps:wsp>
                              <wps:cNvPr id="38" name="Elbow Connector 38"/>
                              <wps:cNvCnPr>
                                <a:stCxn id="22" idx="2"/>
                                <a:endCxn id="25" idx="0"/>
                              </wps:cNvCnPr>
                              <wps:spPr>
                                <a:xfrm rot="16200000" flipH="1">
                                  <a:off x="2131924" y="-45334"/>
                                  <a:ext cx="228185" cy="2771873"/>
                                </a:xfrm>
                                <a:prstGeom prst="bentConnector3">
                                  <a:avLst>
                                    <a:gd name="adj1" fmla="val 50000"/>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0" name="Text Box 2"/>
                            <wps:cNvSpPr txBox="1">
                              <a:spLocks noChangeArrowheads="1"/>
                            </wps:cNvSpPr>
                            <wps:spPr bwMode="auto">
                              <a:xfrm>
                                <a:off x="217171" y="1530327"/>
                                <a:ext cx="1861004" cy="526229"/>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7F548F" w:rsidRPr="007F548F" w:rsidRDefault="00EB5F8A" w:rsidP="007F548F">
                                  <w:pPr>
                                    <w:pStyle w:val="ListParagraph"/>
                                    <w:ind w:left="0"/>
                                    <w:jc w:val="center"/>
                                    <w:rPr>
                                      <w:rFonts w:asciiTheme="majorHAnsi" w:hAnsiTheme="majorHAnsi"/>
                                      <w:b/>
                                      <w:sz w:val="20"/>
                                      <w:szCs w:val="20"/>
                                    </w:rPr>
                                  </w:pPr>
                                  <w:r>
                                    <w:rPr>
                                      <w:rFonts w:asciiTheme="majorHAnsi" w:hAnsiTheme="majorHAnsi"/>
                                      <w:b/>
                                      <w:sz w:val="20"/>
                                      <w:szCs w:val="20"/>
                                    </w:rPr>
                                    <w:t>80,709</w:t>
                                  </w:r>
                                </w:p>
                                <w:p w:rsidR="007F548F" w:rsidRPr="00BB7818" w:rsidRDefault="007F548F" w:rsidP="007F548F">
                                  <w:pPr>
                                    <w:pStyle w:val="ListParagraph"/>
                                    <w:ind w:left="0"/>
                                    <w:jc w:val="center"/>
                                    <w:rPr>
                                      <w:rFonts w:asciiTheme="majorHAnsi" w:hAnsiTheme="majorHAnsi"/>
                                      <w:sz w:val="20"/>
                                      <w:szCs w:val="20"/>
                                    </w:rPr>
                                  </w:pPr>
                                  <w:r>
                                    <w:rPr>
                                      <w:rFonts w:asciiTheme="majorHAnsi" w:hAnsiTheme="majorHAnsi"/>
                                      <w:sz w:val="20"/>
                                      <w:szCs w:val="20"/>
                                    </w:rPr>
                                    <w:t>Currently Practicing Nursing</w:t>
                                  </w:r>
                                </w:p>
                              </w:txbxContent>
                            </wps:txbx>
                            <wps:bodyPr rot="0" vert="horz" wrap="square" lIns="91440" tIns="45720" rIns="91440" bIns="45720" anchor="t" anchorCtr="0">
                              <a:noAutofit/>
                            </wps:bodyPr>
                          </wps:wsp>
                        </wpg:grpSp>
                        <wps:wsp>
                          <wps:cNvPr id="43" name="Elbow Connector 43"/>
                          <wps:cNvCnPr>
                            <a:stCxn id="40" idx="2"/>
                            <a:endCxn id="34" idx="0"/>
                          </wps:cNvCnPr>
                          <wps:spPr>
                            <a:xfrm rot="16200000" flipH="1">
                              <a:off x="2758531" y="445699"/>
                              <a:ext cx="342671" cy="3564384"/>
                            </a:xfrm>
                            <a:prstGeom prst="bentConnector3">
                              <a:avLst>
                                <a:gd name="adj1" fmla="val 50000"/>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5" name="Text Box 2"/>
                        <wps:cNvSpPr txBox="1">
                          <a:spLocks noChangeArrowheads="1"/>
                        </wps:cNvSpPr>
                        <wps:spPr bwMode="auto">
                          <a:xfrm>
                            <a:off x="462368" y="2386748"/>
                            <a:ext cx="1861003" cy="688175"/>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824755" w:rsidRPr="00BB7818" w:rsidRDefault="00412DEF" w:rsidP="00824755">
                              <w:pPr>
                                <w:pStyle w:val="ListParagraph"/>
                                <w:ind w:left="0"/>
                                <w:jc w:val="center"/>
                                <w:rPr>
                                  <w:rFonts w:asciiTheme="majorHAnsi" w:hAnsiTheme="majorHAnsi"/>
                                  <w:sz w:val="20"/>
                                  <w:szCs w:val="20"/>
                                </w:rPr>
                              </w:pPr>
                              <w:r>
                                <w:rPr>
                                  <w:rFonts w:asciiTheme="majorHAnsi" w:hAnsiTheme="majorHAnsi"/>
                                  <w:b/>
                                  <w:sz w:val="20"/>
                                  <w:szCs w:val="20"/>
                                </w:rPr>
                                <w:t>68,71</w:t>
                              </w:r>
                              <w:r w:rsidR="00824755">
                                <w:rPr>
                                  <w:rFonts w:asciiTheme="majorHAnsi" w:hAnsiTheme="majorHAnsi"/>
                                  <w:b/>
                                  <w:sz w:val="20"/>
                                  <w:szCs w:val="20"/>
                                </w:rPr>
                                <w:t>6</w:t>
                              </w:r>
                              <w:r w:rsidR="00824755">
                                <w:rPr>
                                  <w:rFonts w:asciiTheme="majorHAnsi" w:hAnsiTheme="majorHAnsi"/>
                                  <w:sz w:val="20"/>
                                  <w:szCs w:val="20"/>
                                </w:rPr>
                                <w:t xml:space="preserve"> </w:t>
                              </w:r>
                              <w:r w:rsidR="00824755">
                                <w:rPr>
                                  <w:rFonts w:asciiTheme="majorHAnsi" w:hAnsiTheme="majorHAnsi"/>
                                  <w:sz w:val="20"/>
                                  <w:szCs w:val="20"/>
                                </w:rPr>
                                <w:br/>
                              </w:r>
                              <w:proofErr w:type="gramStart"/>
                              <w:r w:rsidR="00824755">
                                <w:rPr>
                                  <w:rFonts w:asciiTheme="majorHAnsi" w:hAnsiTheme="majorHAnsi"/>
                                  <w:sz w:val="20"/>
                                  <w:szCs w:val="20"/>
                                </w:rPr>
                                <w:t>Primary Practice Location</w:t>
                              </w:r>
                              <w:proofErr w:type="gramEnd"/>
                              <w:r w:rsidR="00824755">
                                <w:rPr>
                                  <w:rFonts w:asciiTheme="majorHAnsi" w:hAnsiTheme="majorHAnsi"/>
                                  <w:sz w:val="20"/>
                                  <w:szCs w:val="20"/>
                                </w:rPr>
                                <w:t xml:space="preserve"> in MA</w:t>
                              </w:r>
                            </w:p>
                            <w:p w:rsidR="00824755" w:rsidRPr="00BB7818" w:rsidRDefault="00824755" w:rsidP="00824755">
                              <w:pPr>
                                <w:pStyle w:val="ListParagraph"/>
                                <w:ind w:left="0"/>
                                <w:jc w:val="center"/>
                                <w:rPr>
                                  <w:rFonts w:asciiTheme="majorHAnsi" w:hAnsiTheme="majorHAnsi"/>
                                  <w:sz w:val="20"/>
                                  <w:szCs w:val="20"/>
                                </w:rPr>
                              </w:pPr>
                            </w:p>
                          </w:txbxContent>
                        </wps:txbx>
                        <wps:bodyPr rot="0" vert="horz" wrap="square" lIns="91440" tIns="45720" rIns="91440" bIns="45720" anchor="t" anchorCtr="0">
                          <a:noAutofit/>
                        </wps:bodyPr>
                      </wps:wsp>
                      <wps:wsp>
                        <wps:cNvPr id="46" name="Elbow Connector 46"/>
                        <wps:cNvCnPr>
                          <a:stCxn id="40" idx="2"/>
                          <a:endCxn id="23" idx="0"/>
                        </wps:cNvCnPr>
                        <wps:spPr>
                          <a:xfrm rot="16200000" flipH="1">
                            <a:off x="2173479" y="1275947"/>
                            <a:ext cx="342651" cy="1903868"/>
                          </a:xfrm>
                          <a:prstGeom prst="bentConnector3">
                            <a:avLst>
                              <a:gd name="adj1" fmla="val 50000"/>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0" o:spid="_x0000_s1031" alt="Title: Figure 11. RNs by Employment Status - Description: Fig.11 breaks down the 91,877 survey respondents by their employment status. &#10;&#10;Of the 91,8777 survey respondents, 80,709 reported currently practicing nursing and 11,168 are not currently practicing (unemployed, retired, or employed in non-nursing field).&#10;&#10;Of the 80,709 nurses that are practicing in nursing, 68,716 reported a primary practice location in MA, 7,598 reported a primary practice location outside of MA, and 4,395 did not report a practice location.&#10;&#10;Of the 68,716 RNs with a primary practice location in MA, 70.5% reported working full-time, 23.0% part-time, 8.6% per diem, and 0.4% volunteering.&#10;&#10;Footnote # 11 references the percentages cited in Fig. 11." style="position:absolute;margin-left:57.75pt;margin-top:15.4pt;width:426.15pt;height:266.9pt;z-index:251707392;mso-width-relative:margin;mso-height-relative:margin" coordorigin="4623,7439" coordsize="54127,3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">
                <v:group id="Group 44" o:spid="_x0000_s1032" style="position:absolute;left:4623;top:7439;width:54128;height:33918" coordorigin="2171,7439" coordsize="54127,33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group id="Group 42" o:spid="_x0000_s1033" style="position:absolute;left:2171;top:7439;width:54128;height:33918" coordorigin="2171,7439" coordsize="54127,33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39" o:spid="_x0000_s1034" style="position:absolute;left:2171;top:7439;width:54128;height:33918" coordorigin="-704,7439" coordsize="54127,339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36" o:spid="_x0000_s1035" style="position:absolute;left:-704;top:7439;width:54127;height:33918" coordorigin="3452,-6098" coordsize="54133,3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group id="Group 18" o:spid="_x0000_s1036" style="position:absolute;left:3452;top:-6098;width:54134;height:33919" coordorigin="-8185,-2239" coordsize="54137,33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19" o:spid="_x0000_s1037" style="position:absolute;left:-8185;top:-2239;width:54136;height:25067" coordorigin="-8185,-807" coordsize="54137,25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oundrect id="_x0000_s1038" style="position:absolute;left:-8185;top:-807;width:18612;height:48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MUA&#10;AADbAAAADwAAAGRycy9kb3ducmV2LnhtbESPQWvCQBSE7wX/w/IEb3VjChKiqxhpQQ9FGtuDt0f2&#10;NQnNvk2yW5P+e1coeBxm5htmvR1NI67Uu9qygsU8AkFcWF1zqeDz/PacgHAeWWNjmRT8kYPtZvK0&#10;xlTbgT/omvtSBAi7FBVU3replK6oyKCb25Y4eN+2N+iD7EupexwC3DQyjqKlNFhzWKiwpX1FxU/+&#10;axREMuOsq3en9jhcXpLuoL9e9btSs+m4W4HwNPpH+L990AriGO5fw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74ExQAAANsAAAAPAAAAAAAAAAAAAAAAAJgCAABkcnMv&#10;ZG93bnJldi54bWxQSwUGAAAAAAQABAD1AAAAigMAAAAA&#10;" fillcolor="white [3201]" strokecolor="#17365d [2415]" strokeweight="2.25pt">
                              <v:textbox>
                                <w:txbxContent>
                                  <w:p w:rsidR="009816B1" w:rsidRPr="00BB7818" w:rsidRDefault="009816B1" w:rsidP="009816B1">
                                    <w:pPr>
                                      <w:jc w:val="center"/>
                                      <w:rPr>
                                        <w:rFonts w:asciiTheme="majorHAnsi" w:hAnsiTheme="majorHAnsi"/>
                                        <w:sz w:val="20"/>
                                        <w:szCs w:val="20"/>
                                      </w:rPr>
                                    </w:pPr>
                                    <w:r w:rsidRPr="007F548F">
                                      <w:rPr>
                                        <w:rFonts w:asciiTheme="majorHAnsi" w:hAnsiTheme="majorHAnsi"/>
                                        <w:b/>
                                        <w:sz w:val="20"/>
                                        <w:szCs w:val="20"/>
                                      </w:rPr>
                                      <w:t>91,877</w:t>
                                    </w:r>
                                    <w:r w:rsidRPr="00BB7818">
                                      <w:rPr>
                                        <w:rFonts w:asciiTheme="majorHAnsi" w:hAnsiTheme="majorHAnsi"/>
                                        <w:sz w:val="20"/>
                                        <w:szCs w:val="20"/>
                                      </w:rPr>
                                      <w:t xml:space="preserve"> </w:t>
                                    </w:r>
                                    <w:r w:rsidR="007F548F">
                                      <w:rPr>
                                        <w:rFonts w:asciiTheme="majorHAnsi" w:hAnsiTheme="majorHAnsi"/>
                                        <w:sz w:val="20"/>
                                        <w:szCs w:val="20"/>
                                      </w:rPr>
                                      <w:br/>
                                    </w:r>
                                    <w:r w:rsidRPr="00BB7818">
                                      <w:rPr>
                                        <w:rFonts w:asciiTheme="majorHAnsi" w:hAnsiTheme="majorHAnsi"/>
                                        <w:sz w:val="20"/>
                                        <w:szCs w:val="20"/>
                                      </w:rPr>
                                      <w:t xml:space="preserve">Total </w:t>
                                    </w:r>
                                    <w:r>
                                      <w:rPr>
                                        <w:rFonts w:asciiTheme="majorHAnsi" w:hAnsiTheme="majorHAnsi"/>
                                        <w:sz w:val="20"/>
                                        <w:szCs w:val="20"/>
                                      </w:rPr>
                                      <w:t>Survey Respondents</w:t>
                                    </w:r>
                                  </w:p>
                                </w:txbxContent>
                              </v:textbox>
                            </v:roundrect>
                            <v:roundrect id="_x0000_s1039" style="position:absolute;left:11740;top:15757;width:16846;height:66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mJAMQA&#10;AADbAAAADwAAAGRycy9kb3ducmV2LnhtbESPT2sCMRTE74LfIbxCb5rVosjWKKIIgif/YHt83bzd&#10;LN28LEnqrt++EQo9DjPzG2a57m0j7uRD7VjBZJyBIC6crrlScL3sRwsQISJrbByTggcFWK+GgyXm&#10;2nV8ovs5ViJBOOSowMTY5lKGwpDFMHYtcfJK5y3GJH0ltccuwW0jp1k2lxZrTgsGW9oaKr7PP1bB&#10;zrsym2w+Z+Z46Mrj1+P0cZO9Uq8v/eYdRKQ+/of/2getYPoGz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JiQDEAAAA2wAAAA8AAAAAAAAAAAAAAAAAmAIAAGRycy9k&#10;b3ducmV2LnhtbFBLBQYAAAAABAAEAPUAAACJAwAAAAA=&#10;" fillcolor="white [3201]" strokecolor="#8db3e2 [1311]" strokeweight="2.25pt">
                              <v:textbox>
                                <w:txbxContent>
                                  <w:p w:rsidR="009816B1" w:rsidRPr="00BB7818" w:rsidRDefault="007F548F" w:rsidP="009816B1">
                                    <w:pPr>
                                      <w:pStyle w:val="ListParagraph"/>
                                      <w:ind w:left="0"/>
                                      <w:jc w:val="center"/>
                                      <w:rPr>
                                        <w:rFonts w:asciiTheme="majorHAnsi" w:hAnsiTheme="majorHAnsi"/>
                                        <w:sz w:val="20"/>
                                        <w:szCs w:val="20"/>
                                      </w:rPr>
                                    </w:pPr>
                                    <w:proofErr w:type="gramStart"/>
                                    <w:r w:rsidRPr="007F548F">
                                      <w:rPr>
                                        <w:rFonts w:asciiTheme="majorHAnsi" w:hAnsiTheme="majorHAnsi"/>
                                        <w:b/>
                                        <w:sz w:val="20"/>
                                        <w:szCs w:val="20"/>
                                      </w:rPr>
                                      <w:t>7,598</w:t>
                                    </w:r>
                                    <w:r>
                                      <w:rPr>
                                        <w:rFonts w:asciiTheme="majorHAnsi" w:hAnsiTheme="majorHAnsi"/>
                                        <w:sz w:val="20"/>
                                        <w:szCs w:val="20"/>
                                      </w:rPr>
                                      <w:br/>
                                      <w:t xml:space="preserve">Primary </w:t>
                                    </w:r>
                                    <w:r w:rsidR="00824755">
                                      <w:rPr>
                                        <w:rFonts w:asciiTheme="majorHAnsi" w:hAnsiTheme="majorHAnsi"/>
                                        <w:sz w:val="20"/>
                                        <w:szCs w:val="20"/>
                                      </w:rPr>
                                      <w:t>Practice Location</w:t>
                                    </w:r>
                                    <w:proofErr w:type="gramEnd"/>
                                    <w:r w:rsidR="009816B1" w:rsidRPr="00BB7818">
                                      <w:rPr>
                                        <w:rFonts w:asciiTheme="majorHAnsi" w:hAnsiTheme="majorHAnsi"/>
                                        <w:sz w:val="20"/>
                                        <w:szCs w:val="20"/>
                                      </w:rPr>
                                      <w:t xml:space="preserve"> </w:t>
                                    </w:r>
                                    <w:r>
                                      <w:rPr>
                                        <w:rFonts w:asciiTheme="majorHAnsi" w:hAnsiTheme="majorHAnsi"/>
                                        <w:sz w:val="20"/>
                                        <w:szCs w:val="20"/>
                                      </w:rPr>
                                      <w:t>Outside of MA</w:t>
                                    </w:r>
                                  </w:p>
                                  <w:p w:rsidR="009816B1" w:rsidRPr="00BB7818" w:rsidRDefault="009816B1" w:rsidP="009816B1">
                                    <w:pPr>
                                      <w:pStyle w:val="ListParagraph"/>
                                      <w:ind w:left="0"/>
                                      <w:jc w:val="center"/>
                                      <w:rPr>
                                        <w:rFonts w:asciiTheme="majorHAnsi" w:hAnsiTheme="majorHAnsi"/>
                                        <w:sz w:val="20"/>
                                        <w:szCs w:val="20"/>
                                      </w:rPr>
                                    </w:pPr>
                                  </w:p>
                                </w:txbxContent>
                              </v:textbox>
                            </v:roundrect>
                            <v:roundrect id="_x0000_s1040" style="position:absolute;left:11738;top:6305;width:34213;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078MA&#10;AADbAAAADwAAAGRycy9kb3ducmV2LnhtbESPT2sCMRTE7wW/Q3hCbzWroMjWKFIRBE/+QT2+bt5u&#10;lm5eliR1129vCgWPw8z8hlmsetuIO/lQO1YwHmUgiAuna64UnE/bjzmIEJE1No5JwYMCrJaDtwXm&#10;2nV8oPsxViJBOOSowMTY5lKGwpDFMHItcfJK5y3GJH0ltccuwW0jJ1k2kxZrTgsGW/oyVPwcf62C&#10;jXdlNl7fpma/68r99+Nwvcheqfdhv/4EEamPr/B/e6cVTKbw9yX9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y078MAAADbAAAADwAAAAAAAAAAAAAAAACYAgAAZHJzL2Rv&#10;d25yZXYueG1sUEsFBgAAAAAEAAQA9QAAAIgDAAAAAA==&#10;" fillcolor="white [3201]" strokecolor="#8db3e2 [1311]" strokeweight="2.25pt">
                              <v:textbox>
                                <w:txbxContent>
                                  <w:p w:rsidR="007F548F" w:rsidRPr="007F548F" w:rsidRDefault="00EB5F8A" w:rsidP="009816B1">
                                    <w:pPr>
                                      <w:pStyle w:val="ListParagraph"/>
                                      <w:ind w:left="0"/>
                                      <w:jc w:val="center"/>
                                      <w:rPr>
                                        <w:rFonts w:asciiTheme="majorHAnsi" w:hAnsiTheme="majorHAnsi"/>
                                        <w:b/>
                                        <w:sz w:val="20"/>
                                        <w:szCs w:val="20"/>
                                      </w:rPr>
                                    </w:pPr>
                                    <w:r>
                                      <w:rPr>
                                        <w:rFonts w:asciiTheme="majorHAnsi" w:hAnsiTheme="majorHAnsi"/>
                                        <w:b/>
                                        <w:sz w:val="20"/>
                                        <w:szCs w:val="20"/>
                                      </w:rPr>
                                      <w:t>11,168</w:t>
                                    </w:r>
                                  </w:p>
                                  <w:p w:rsidR="00781A2A" w:rsidRDefault="009816B1" w:rsidP="009816B1">
                                    <w:pPr>
                                      <w:pStyle w:val="ListParagraph"/>
                                      <w:ind w:left="0"/>
                                      <w:jc w:val="center"/>
                                      <w:rPr>
                                        <w:rFonts w:asciiTheme="majorHAnsi" w:hAnsiTheme="majorHAnsi"/>
                                        <w:sz w:val="20"/>
                                        <w:szCs w:val="20"/>
                                      </w:rPr>
                                    </w:pPr>
                                    <w:r>
                                      <w:rPr>
                                        <w:rFonts w:asciiTheme="majorHAnsi" w:hAnsiTheme="majorHAnsi"/>
                                        <w:sz w:val="20"/>
                                        <w:szCs w:val="20"/>
                                      </w:rPr>
                                      <w:t xml:space="preserve">Not Currently Practicing </w:t>
                                    </w:r>
                                    <w:r w:rsidR="00785D59">
                                      <w:rPr>
                                        <w:rFonts w:asciiTheme="majorHAnsi" w:hAnsiTheme="majorHAnsi"/>
                                        <w:sz w:val="20"/>
                                        <w:szCs w:val="20"/>
                                      </w:rPr>
                                      <w:t xml:space="preserve">Nursing </w:t>
                                    </w:r>
                                  </w:p>
                                  <w:p w:rsidR="009816B1" w:rsidRPr="00BB7818" w:rsidRDefault="00785D59" w:rsidP="009816B1">
                                    <w:pPr>
                                      <w:pStyle w:val="ListParagraph"/>
                                      <w:ind w:left="0"/>
                                      <w:jc w:val="center"/>
                                      <w:rPr>
                                        <w:rFonts w:asciiTheme="majorHAnsi" w:hAnsiTheme="majorHAnsi"/>
                                        <w:sz w:val="20"/>
                                        <w:szCs w:val="20"/>
                                      </w:rPr>
                                    </w:pPr>
                                    <w:r>
                                      <w:rPr>
                                        <w:rFonts w:asciiTheme="majorHAnsi" w:hAnsiTheme="majorHAnsi"/>
                                        <w:sz w:val="20"/>
                                        <w:szCs w:val="20"/>
                                      </w:rPr>
                                      <w:t>(</w:t>
                                    </w:r>
                                    <w:proofErr w:type="gramStart"/>
                                    <w:r>
                                      <w:rPr>
                                        <w:rFonts w:asciiTheme="majorHAnsi" w:hAnsiTheme="majorHAnsi"/>
                                        <w:sz w:val="20"/>
                                        <w:szCs w:val="20"/>
                                      </w:rPr>
                                      <w:t>unemployed</w:t>
                                    </w:r>
                                    <w:proofErr w:type="gramEnd"/>
                                    <w:r>
                                      <w:rPr>
                                        <w:rFonts w:asciiTheme="majorHAnsi" w:hAnsiTheme="majorHAnsi"/>
                                        <w:sz w:val="20"/>
                                        <w:szCs w:val="20"/>
                                      </w:rPr>
                                      <w:t>, retired, or employed in non-nursing field)</w:t>
                                    </w:r>
                                  </w:p>
                                </w:txbxContent>
                              </v:textbox>
                            </v:roundrect>
                            <v:shapetype id="_x0000_t32" coordsize="21600,21600" o:spt="32" o:oned="t" path="m,l21600,21600e" filled="f">
                              <v:path arrowok="t" fillok="f" o:connecttype="none"/>
                              <o:lock v:ext="edit" shapetype="t"/>
                            </v:shapetype>
                            <v:shape id="Straight Arrow Connector 26" o:spid="_x0000_s1041" type="#_x0000_t32" style="position:absolute;left:1121;top:4021;width:0;height:30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KEIcMAAADbAAAADwAAAGRycy9kb3ducmV2LnhtbESPQYvCMBSE7wv+h/AEb2uqslKqUURR&#10;CnvSXRFvj+bZFpuX0kRb/fVGWNjjMDPfMPNlZypxp8aVlhWMhhEI4szqknMFvz/bzxiE88gaK8uk&#10;4EEOlovexxwTbVve0/3gcxEg7BJUUHhfJ1K6rCCDbmhr4uBdbGPQB9nkUjfYBrip5DiKptJgyWGh&#10;wJrWBWXXw80o+N6fNpP4FN/SiaHz1/HZyl3aKjXod6sZCE+d/w//tVOtYDyF95fwA+Ti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yhCHDAAAA2wAAAA8AAAAAAAAAAAAA&#10;AAAAoQIAAGRycy9kb3ducmV2LnhtbFBLBQYAAAAABAAEAPkAAACRAwAAAAA=&#10;" strokecolor="#7f7f7f [1612]" strokeweight="2.25pt">
                              <v:stroke endarrow="open"/>
                            </v:shape>
                            <v:shape id="Straight Arrow Connector 27" o:spid="_x0000_s1042" type="#_x0000_t32" style="position:absolute;left:1121;top:12328;width:0;height:33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CNzcMAAADbAAAADwAAAGRycy9kb3ducmV2LnhtbESPQWvCQBSE7wX/w/IEb3Wjlmqiq4hi&#10;afFkFL0+ss8kmH0bsquJ/94tFHocZuYbZrHqTCUe1LjSsoLRMAJBnFldcq7gdNy9z0A4j6yxskwK&#10;nuRgtey9LTDRtuUDPVKfiwBhl6CCwvs6kdJlBRl0Q1sTB+9qG4M+yCaXusE2wE0lx1H0KQ2WHBYK&#10;rGlTUHZL70bBNo3jLr7n1de2pY+fzXmyP0YXpQb9bj0H4anz/+G/9rdWMJ7C75fw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Ajc3DAAAA2wAAAA8AAAAAAAAAAAAA&#10;AAAAoQIAAGRycy9kb3ducmV2LnhtbFBLBQYAAAAABAAEAPkAAACRAwAAAAA=&#10;" strokecolor="#7f7f7f [1612]" strokeweight="2.25pt">
                              <v:stroke endarrow="open"/>
                            </v:shape>
                            <v:shape id="Straight Arrow Connector 29" o:spid="_x0000_s1043" type="#_x0000_t32" style="position:absolute;left:1121;top:22519;width:0;height:1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0QU8UAAADbAAAADwAAAGRycy9kb3ducmV2LnhtbESPQWvCQBSE7wX/w/KE3pqNSiWmboJY&#10;WgI9aRXx9si+JsHs25BdTdpf3y0IPQ4z8w2zzkfTihv1rrGsYBbFIIhLqxuuFBw+354SEM4ja2wt&#10;k4JvcpBnk4c1ptoOvKPb3lciQNilqKD2vkuldGVNBl1kO+LgfdneoA+yr6TucQhw08p5HC+lwYbD&#10;Qo0dbWsqL/urUfCxO70uklNyLRaGzs/Hn0G+F4NSj9Nx8wLC0+j/w/d2oRXMV/D3Jfw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0QU8UAAADbAAAADwAAAAAAAAAA&#10;AAAAAAChAgAAZHJzL2Rvd25yZXYueG1sUEsFBgAAAAAEAAQA+QAAAJMDAAAAAA==&#10;" strokecolor="#7f7f7f [1612]" strokeweight="2.25pt">
                              <v:stroke endarrow="open"/>
                            </v:shape>
                          </v:group>
                          <v:roundrect id="_x0000_s1044" style="position:absolute;left:-8185;top:22828;width:18612;height:88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TNcAA&#10;AADbAAAADwAAAGRycy9kb3ducmV2LnhtbERPy4rCMBTdC/5DuII7TVUQ6RilFQVdiIyPxewuzZ22&#10;THNTm2jr35uFMMvDeS/XnanEkxpXWlYwGUcgiDOrS84VXC+70QKE88gaK8uk4EUO1qt+b4mxti1/&#10;0/PscxFC2MWooPC+jqV0WUEG3djWxIH7tY1BH2CTS91gG8JNJadRNJcGSw4NBda0KSj7Oz+Mgkim&#10;nN7L5FQf2p/Z4r7Xt60+KjUcdMkXCE+d/xd/3HutYBbWhy/hB8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gTNcAAAADbAAAADwAAAAAAAAAAAAAAAACYAgAAZHJzL2Rvd25y&#10;ZXYueG1sUEsFBgAAAAAEAAQA9QAAAIUDAAAAAA==&#10;" fillcolor="white [3201]" strokecolor="#17365d [2415]" strokeweight="2.25pt">
                            <v:textbox>
                              <w:txbxContent>
                                <w:p w:rsidR="005C1880" w:rsidRDefault="009816B1" w:rsidP="005C1880">
                                  <w:pPr>
                                    <w:tabs>
                                      <w:tab w:val="left" w:pos="1080"/>
                                    </w:tabs>
                                    <w:ind w:left="450"/>
                                    <w:rPr>
                                      <w:rFonts w:asciiTheme="majorHAnsi" w:hAnsiTheme="majorHAnsi"/>
                                      <w:sz w:val="20"/>
                                      <w:szCs w:val="20"/>
                                    </w:rPr>
                                  </w:pPr>
                                  <w:r>
                                    <w:rPr>
                                      <w:rFonts w:asciiTheme="majorHAnsi" w:hAnsiTheme="majorHAnsi"/>
                                      <w:sz w:val="20"/>
                                      <w:szCs w:val="20"/>
                                    </w:rPr>
                                    <w:t xml:space="preserve">Full-time: </w:t>
                                  </w:r>
                                  <w:r>
                                    <w:rPr>
                                      <w:rFonts w:asciiTheme="majorHAnsi" w:hAnsiTheme="majorHAnsi"/>
                                      <w:sz w:val="20"/>
                                      <w:szCs w:val="20"/>
                                    </w:rPr>
                                    <w:tab/>
                                  </w:r>
                                  <w:r w:rsidR="005C1880">
                                    <w:rPr>
                                      <w:rFonts w:asciiTheme="majorHAnsi" w:hAnsiTheme="majorHAnsi"/>
                                      <w:sz w:val="20"/>
                                      <w:szCs w:val="20"/>
                                    </w:rPr>
                                    <w:t>70.5</w:t>
                                  </w:r>
                                  <w:r>
                                    <w:rPr>
                                      <w:rFonts w:asciiTheme="majorHAnsi" w:hAnsiTheme="majorHAnsi"/>
                                      <w:sz w:val="20"/>
                                      <w:szCs w:val="20"/>
                                    </w:rPr>
                                    <w:t>%</w:t>
                                  </w:r>
                                  <w:r>
                                    <w:rPr>
                                      <w:rFonts w:asciiTheme="majorHAnsi" w:hAnsiTheme="majorHAnsi"/>
                                      <w:sz w:val="20"/>
                                      <w:szCs w:val="20"/>
                                    </w:rPr>
                                    <w:br/>
                                    <w:t xml:space="preserve">Part-time:  </w:t>
                                  </w:r>
                                  <w:r>
                                    <w:rPr>
                                      <w:rFonts w:asciiTheme="majorHAnsi" w:hAnsiTheme="majorHAnsi"/>
                                      <w:sz w:val="20"/>
                                      <w:szCs w:val="20"/>
                                    </w:rPr>
                                    <w:tab/>
                                  </w:r>
                                  <w:r w:rsidR="005C1880">
                                    <w:rPr>
                                      <w:rFonts w:asciiTheme="majorHAnsi" w:hAnsiTheme="majorHAnsi"/>
                                      <w:sz w:val="20"/>
                                      <w:szCs w:val="20"/>
                                    </w:rPr>
                                    <w:t>23.0</w:t>
                                  </w:r>
                                  <w:r>
                                    <w:rPr>
                                      <w:rFonts w:asciiTheme="majorHAnsi" w:hAnsiTheme="majorHAnsi"/>
                                      <w:sz w:val="20"/>
                                      <w:szCs w:val="20"/>
                                    </w:rPr>
                                    <w:t>%</w:t>
                                  </w:r>
                                  <w:r>
                                    <w:rPr>
                                      <w:rFonts w:asciiTheme="majorHAnsi" w:hAnsiTheme="majorHAnsi"/>
                                      <w:sz w:val="20"/>
                                      <w:szCs w:val="20"/>
                                    </w:rPr>
                                    <w:br/>
                                  </w:r>
                                  <w:proofErr w:type="gramStart"/>
                                  <w:r>
                                    <w:rPr>
                                      <w:rFonts w:asciiTheme="majorHAnsi" w:hAnsiTheme="majorHAnsi"/>
                                      <w:sz w:val="20"/>
                                      <w:szCs w:val="20"/>
                                    </w:rPr>
                                    <w:t>Per</w:t>
                                  </w:r>
                                  <w:proofErr w:type="gramEnd"/>
                                  <w:r>
                                    <w:rPr>
                                      <w:rFonts w:asciiTheme="majorHAnsi" w:hAnsiTheme="majorHAnsi"/>
                                      <w:sz w:val="20"/>
                                      <w:szCs w:val="20"/>
                                    </w:rPr>
                                    <w:t xml:space="preserve"> Diem:    </w:t>
                                  </w:r>
                                  <w:r w:rsidR="005C1880">
                                    <w:rPr>
                                      <w:rFonts w:asciiTheme="majorHAnsi" w:hAnsiTheme="majorHAnsi"/>
                                      <w:sz w:val="20"/>
                                      <w:szCs w:val="20"/>
                                    </w:rPr>
                                    <w:t xml:space="preserve">  8.6</w:t>
                                  </w:r>
                                  <w:r>
                                    <w:rPr>
                                      <w:rFonts w:asciiTheme="majorHAnsi" w:hAnsiTheme="majorHAnsi"/>
                                      <w:sz w:val="20"/>
                                      <w:szCs w:val="20"/>
                                    </w:rPr>
                                    <w:t>%</w:t>
                                  </w:r>
                                  <w:r w:rsidR="005C1880">
                                    <w:rPr>
                                      <w:rFonts w:asciiTheme="majorHAnsi" w:hAnsiTheme="majorHAnsi"/>
                                      <w:sz w:val="20"/>
                                      <w:szCs w:val="20"/>
                                    </w:rPr>
                                    <w:br/>
                                    <w:t>Volunteer:</w:t>
                                  </w:r>
                                  <w:r w:rsidR="005C1880">
                                    <w:rPr>
                                      <w:rFonts w:asciiTheme="majorHAnsi" w:hAnsiTheme="majorHAnsi"/>
                                      <w:sz w:val="20"/>
                                      <w:szCs w:val="20"/>
                                    </w:rPr>
                                    <w:tab/>
                                    <w:t xml:space="preserve">  0.4%</w:t>
                                  </w:r>
                                </w:p>
                                <w:p w:rsidR="009816B1" w:rsidRPr="00BB7818" w:rsidRDefault="009816B1" w:rsidP="009816B1">
                                  <w:pPr>
                                    <w:tabs>
                                      <w:tab w:val="left" w:pos="1080"/>
                                    </w:tabs>
                                    <w:rPr>
                                      <w:rFonts w:asciiTheme="majorHAnsi" w:hAnsiTheme="majorHAnsi"/>
                                      <w:sz w:val="20"/>
                                      <w:szCs w:val="20"/>
                                    </w:rPr>
                                  </w:pPr>
                                  <w:r>
                                    <w:rPr>
                                      <w:rFonts w:asciiTheme="majorHAnsi" w:hAnsiTheme="majorHAnsi"/>
                                      <w:sz w:val="20"/>
                                      <w:szCs w:val="20"/>
                                    </w:rPr>
                                    <w:br/>
                                  </w:r>
                                  <w:r>
                                    <w:rPr>
                                      <w:rFonts w:asciiTheme="majorHAnsi" w:hAnsiTheme="majorHAnsi"/>
                                      <w:sz w:val="20"/>
                                      <w:szCs w:val="20"/>
                                    </w:rPr>
                                    <w:br/>
                                  </w:r>
                                </w:p>
                              </w:txbxContent>
                            </v:textbox>
                          </v:roundrect>
                        </v:group>
                        <v:roundrect id="_x0000_s1045" style="position:absolute;left:41106;top:10454;width:14601;height:66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mHqcQA&#10;AADbAAAADwAAAGRycy9kb3ducmV2LnhtbESPW2sCMRSE3wX/QzhC32rWXqRsjSIWQfDJC9rH083Z&#10;zeLmZEmiu/77plDwcZiZb5jZoreNuJEPtWMFk3EGgrhwuuZKwfGwfv4AESKyxsYxKbhTgMV8OJhh&#10;rl3HO7rtYyUShEOOCkyMbS5lKAxZDGPXEievdN5iTNJXUnvsEtw28iXLptJizWnBYEsrQ8Vlf7UK&#10;vrwrs8ny+91sN125/bnvzifZK/U06pefICL18RH+b2+0gtc3+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5h6nEAAAA2wAAAA8AAAAAAAAAAAAAAAAAmAIAAGRycy9k&#10;b3ducmV2LnhtbFBLBQYAAAAABAAEAPUAAACJAwAAAAA=&#10;" fillcolor="white [3201]" strokecolor="#8db3e2 [1311]" strokeweight="2.25pt">
                          <v:textbox>
                            <w:txbxContent>
                              <w:p w:rsidR="007F548F" w:rsidRPr="00BB7818" w:rsidRDefault="007F548F" w:rsidP="007F548F">
                                <w:pPr>
                                  <w:pStyle w:val="ListParagraph"/>
                                  <w:ind w:left="0"/>
                                  <w:jc w:val="center"/>
                                  <w:rPr>
                                    <w:rFonts w:asciiTheme="majorHAnsi" w:hAnsiTheme="majorHAnsi"/>
                                    <w:sz w:val="20"/>
                                    <w:szCs w:val="20"/>
                                  </w:rPr>
                                </w:pPr>
                                <w:r w:rsidRPr="007F548F">
                                  <w:rPr>
                                    <w:rFonts w:asciiTheme="majorHAnsi" w:hAnsiTheme="majorHAnsi"/>
                                    <w:b/>
                                    <w:sz w:val="20"/>
                                    <w:szCs w:val="20"/>
                                  </w:rPr>
                                  <w:t>4,395</w:t>
                                </w:r>
                                <w:r>
                                  <w:rPr>
                                    <w:rFonts w:asciiTheme="majorHAnsi" w:hAnsiTheme="majorHAnsi"/>
                                    <w:sz w:val="20"/>
                                    <w:szCs w:val="20"/>
                                  </w:rPr>
                                  <w:t xml:space="preserve"> </w:t>
                                </w:r>
                                <w:r>
                                  <w:rPr>
                                    <w:rFonts w:asciiTheme="majorHAnsi" w:hAnsiTheme="majorHAnsi"/>
                                    <w:sz w:val="20"/>
                                    <w:szCs w:val="20"/>
                                  </w:rPr>
                                  <w:br/>
                                </w:r>
                                <w:r w:rsidR="00824755">
                                  <w:rPr>
                                    <w:rFonts w:asciiTheme="majorHAnsi" w:hAnsiTheme="majorHAnsi"/>
                                    <w:sz w:val="20"/>
                                    <w:szCs w:val="20"/>
                                  </w:rPr>
                                  <w:t>Did N</w:t>
                                </w:r>
                                <w:r>
                                  <w:rPr>
                                    <w:rFonts w:asciiTheme="majorHAnsi" w:hAnsiTheme="majorHAnsi"/>
                                    <w:sz w:val="20"/>
                                    <w:szCs w:val="20"/>
                                  </w:rPr>
                                  <w:t xml:space="preserve">ot </w:t>
                                </w:r>
                                <w:r w:rsidR="00824755">
                                  <w:rPr>
                                    <w:rFonts w:asciiTheme="majorHAnsi" w:hAnsiTheme="majorHAnsi"/>
                                    <w:sz w:val="20"/>
                                    <w:szCs w:val="20"/>
                                  </w:rPr>
                                  <w:t>R</w:t>
                                </w:r>
                                <w:r>
                                  <w:rPr>
                                    <w:rFonts w:asciiTheme="majorHAnsi" w:hAnsiTheme="majorHAnsi"/>
                                    <w:sz w:val="20"/>
                                    <w:szCs w:val="20"/>
                                  </w:rPr>
                                  <w:t>eport</w:t>
                                </w:r>
                                <w:r w:rsidR="00824755">
                                  <w:rPr>
                                    <w:rFonts w:asciiTheme="majorHAnsi" w:hAnsiTheme="majorHAnsi"/>
                                    <w:sz w:val="20"/>
                                    <w:szCs w:val="20"/>
                                  </w:rPr>
                                  <w:t xml:space="preserve"> a</w:t>
                                </w:r>
                                <w:r>
                                  <w:rPr>
                                    <w:rFonts w:asciiTheme="majorHAnsi" w:hAnsiTheme="majorHAnsi"/>
                                    <w:sz w:val="20"/>
                                    <w:szCs w:val="20"/>
                                  </w:rPr>
                                  <w:t xml:space="preserve"> </w:t>
                                </w:r>
                                <w:r w:rsidR="00824755">
                                  <w:rPr>
                                    <w:rFonts w:asciiTheme="majorHAnsi" w:hAnsiTheme="majorHAnsi"/>
                                    <w:sz w:val="20"/>
                                    <w:szCs w:val="20"/>
                                  </w:rPr>
                                  <w:t>P</w:t>
                                </w:r>
                                <w:r>
                                  <w:rPr>
                                    <w:rFonts w:asciiTheme="majorHAnsi" w:hAnsiTheme="majorHAnsi"/>
                                    <w:sz w:val="20"/>
                                    <w:szCs w:val="20"/>
                                  </w:rPr>
                                  <w:t xml:space="preserve">ractice </w:t>
                                </w:r>
                                <w:r w:rsidR="00824755">
                                  <w:rPr>
                                    <w:rFonts w:asciiTheme="majorHAnsi" w:hAnsiTheme="majorHAnsi"/>
                                    <w:sz w:val="20"/>
                                    <w:szCs w:val="20"/>
                                  </w:rPr>
                                  <w:t>L</w:t>
                                </w:r>
                                <w:r>
                                  <w:rPr>
                                    <w:rFonts w:asciiTheme="majorHAnsi" w:hAnsiTheme="majorHAnsi"/>
                                    <w:sz w:val="20"/>
                                    <w:szCs w:val="20"/>
                                  </w:rPr>
                                  <w:t>ocation</w:t>
                                </w:r>
                              </w:p>
                              <w:p w:rsidR="007F548F" w:rsidRPr="00BB7818" w:rsidRDefault="007F548F" w:rsidP="007F548F">
                                <w:pPr>
                                  <w:pStyle w:val="ListParagraph"/>
                                  <w:ind w:left="0"/>
                                  <w:jc w:val="center"/>
                                  <w:rPr>
                                    <w:rFonts w:asciiTheme="majorHAnsi" w:hAnsiTheme="majorHAnsi"/>
                                    <w:sz w:val="20"/>
                                    <w:szCs w:val="20"/>
                                  </w:rPr>
                                </w:pPr>
                              </w:p>
                            </w:txbxContent>
                          </v:textbox>
                        </v:round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8" o:spid="_x0000_s1046" type="#_x0000_t34" style="position:absolute;left:21319;top:-454;width:2281;height:2771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Lq7sEAAADbAAAADwAAAGRycy9kb3ducmV2LnhtbERPy4rCMBTdC/5DuII7TX0gUo3iDCiz&#10;GlDLMO6uzbXtTHJTmqj1781CcHk47+W6tUbcqPGVYwWjYQKCOHe64kJBdtwO5iB8QNZoHJOCB3lY&#10;r7qdJaba3XlPt0MoRAxhn6KCMoQ6ldLnJVn0Q1cTR+7iGoshwqaQusF7DLdGjpNkJi1WHBtKrOmz&#10;pPz/cLUKjma3+Z2Y3fX8cZpmRfv3842jsVL9XrtZgAjUhrf45f7SCiZxbPwSf4B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IuruwQAAANsAAAAPAAAAAAAAAAAAAAAA&#10;AKECAABkcnMvZG93bnJldi54bWxQSwUGAAAAAAQABAD5AAAAjwMAAAAA&#10;" strokecolor="#7f7f7f [1612]" strokeweight="2.25pt">
                        <v:stroke endarrow="open"/>
                      </v:shape>
                    </v:group>
                    <v:roundrect id="_x0000_s1047" style="position:absolute;left:2171;top:15303;width:18610;height:52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5gSMEA&#10;AADbAAAADwAAAGRycy9kb3ducmV2LnhtbERPy4rCMBTdC/MP4Q6403RURKqx1EFBFyK+Fu4uzZ22&#10;THNTm2g7fz9ZCC4P571IOlOJJzWutKzgaxiBIM6sLjlXcDlvBjMQziNrrCyTgj9ykCw/eguMtW35&#10;SM+Tz0UIYRejgsL7OpbSZQUZdENbEwfuxzYGfYBNLnWDbQg3lRxF0VQaLDk0FFjTd0HZ7+lhFERy&#10;xat7mR7qXXsbz+5bfV3rvVL9zy6dg/DU+bf45d5qBZOwPnw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YEjBAAAA2wAAAA8AAAAAAAAAAAAAAAAAmAIAAGRycy9kb3du&#10;cmV2LnhtbFBLBQYAAAAABAAEAPUAAACGAwAAAAA=&#10;" fillcolor="white [3201]" strokecolor="#17365d [2415]" strokeweight="2.25pt">
                      <v:textbox>
                        <w:txbxContent>
                          <w:p w:rsidR="007F548F" w:rsidRPr="007F548F" w:rsidRDefault="00EB5F8A" w:rsidP="007F548F">
                            <w:pPr>
                              <w:pStyle w:val="ListParagraph"/>
                              <w:ind w:left="0"/>
                              <w:jc w:val="center"/>
                              <w:rPr>
                                <w:rFonts w:asciiTheme="majorHAnsi" w:hAnsiTheme="majorHAnsi"/>
                                <w:b/>
                                <w:sz w:val="20"/>
                                <w:szCs w:val="20"/>
                              </w:rPr>
                            </w:pPr>
                            <w:r>
                              <w:rPr>
                                <w:rFonts w:asciiTheme="majorHAnsi" w:hAnsiTheme="majorHAnsi"/>
                                <w:b/>
                                <w:sz w:val="20"/>
                                <w:szCs w:val="20"/>
                              </w:rPr>
                              <w:t>80,709</w:t>
                            </w:r>
                          </w:p>
                          <w:p w:rsidR="007F548F" w:rsidRPr="00BB7818" w:rsidRDefault="007F548F" w:rsidP="007F548F">
                            <w:pPr>
                              <w:pStyle w:val="ListParagraph"/>
                              <w:ind w:left="0"/>
                              <w:jc w:val="center"/>
                              <w:rPr>
                                <w:rFonts w:asciiTheme="majorHAnsi" w:hAnsiTheme="majorHAnsi"/>
                                <w:sz w:val="20"/>
                                <w:szCs w:val="20"/>
                              </w:rPr>
                            </w:pPr>
                            <w:r>
                              <w:rPr>
                                <w:rFonts w:asciiTheme="majorHAnsi" w:hAnsiTheme="majorHAnsi"/>
                                <w:sz w:val="20"/>
                                <w:szCs w:val="20"/>
                              </w:rPr>
                              <w:t>Currently Practicing Nursing</w:t>
                            </w:r>
                          </w:p>
                        </w:txbxContent>
                      </v:textbox>
                    </v:roundrect>
                  </v:group>
                  <v:shape id="Elbow Connector 43" o:spid="_x0000_s1048" type="#_x0000_t34" style="position:absolute;left:27584;top:4457;width:3427;height:356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AL4sYAAADbAAAADwAAAGRycy9kb3ducmV2LnhtbESPS2vDMBCE74X8B7GB3hr5EUpxogQn&#10;0NBTIQ9CcttaW9uttDKWkrj/vgoUehxm5htmvhysEVfqfetYQTpJQBBXTrdcKzjsX59eQPiArNE4&#10;JgU/5GG5GD3MsdDuxlu67kItIoR9gQqaELpCSl81ZNFPXEccvU/XWwxR9rXUPd4i3BqZJcmztNhy&#10;XGiwo3VD1ffuYhXszaY85WZz+Vidp4d6+Dq+Y5op9TgeyhmIQEP4D/+137SCaQ73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C+LGAAAA2wAAAA8AAAAAAAAA&#10;AAAAAAAAoQIAAGRycy9kb3ducmV2LnhtbFBLBQYAAAAABAAEAPkAAACUAwAAAAA=&#10;" strokecolor="#7f7f7f [1612]" strokeweight="2.25pt">
                    <v:stroke endarrow="open"/>
                  </v:shape>
                </v:group>
                <v:roundrect id="_x0000_s1049" style="position:absolute;left:4623;top:23867;width:18610;height:68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nD0MQA&#10;AADbAAAADwAAAGRycy9kb3ducmV2LnhtbESPT4vCMBTE7wt+h/CEvWmq7opUo6i4oAcR/x28PZpn&#10;W2xeapO19dubBWGPw8z8hpnMGlOIB1Uut6yg141AECdW55wqOB1/OiMQziNrLCyTgic5mE1bHxOM&#10;ta15T4+DT0WAsItRQeZ9GUvpkowMuq4tiYN3tZVBH2SVSl1hHeCmkP0oGkqDOYeFDEtaZpTcDr9G&#10;QSQXvLjn8125qS+D0X2tzyu9Veqz3czHIDw1/j/8bq+1gq9v+PsSf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Jw9DEAAAA2wAAAA8AAAAAAAAAAAAAAAAAmAIAAGRycy9k&#10;b3ducmV2LnhtbFBLBQYAAAAABAAEAPUAAACJAwAAAAA=&#10;" fillcolor="white [3201]" strokecolor="#17365d [2415]" strokeweight="2.25pt">
                  <v:textbox>
                    <w:txbxContent>
                      <w:p w:rsidR="00824755" w:rsidRPr="00BB7818" w:rsidRDefault="00412DEF" w:rsidP="00824755">
                        <w:pPr>
                          <w:pStyle w:val="ListParagraph"/>
                          <w:ind w:left="0"/>
                          <w:jc w:val="center"/>
                          <w:rPr>
                            <w:rFonts w:asciiTheme="majorHAnsi" w:hAnsiTheme="majorHAnsi"/>
                            <w:sz w:val="20"/>
                            <w:szCs w:val="20"/>
                          </w:rPr>
                        </w:pPr>
                        <w:r>
                          <w:rPr>
                            <w:rFonts w:asciiTheme="majorHAnsi" w:hAnsiTheme="majorHAnsi"/>
                            <w:b/>
                            <w:sz w:val="20"/>
                            <w:szCs w:val="20"/>
                          </w:rPr>
                          <w:t>68,71</w:t>
                        </w:r>
                        <w:r w:rsidR="00824755">
                          <w:rPr>
                            <w:rFonts w:asciiTheme="majorHAnsi" w:hAnsiTheme="majorHAnsi"/>
                            <w:b/>
                            <w:sz w:val="20"/>
                            <w:szCs w:val="20"/>
                          </w:rPr>
                          <w:t>6</w:t>
                        </w:r>
                        <w:r w:rsidR="00824755">
                          <w:rPr>
                            <w:rFonts w:asciiTheme="majorHAnsi" w:hAnsiTheme="majorHAnsi"/>
                            <w:sz w:val="20"/>
                            <w:szCs w:val="20"/>
                          </w:rPr>
                          <w:t xml:space="preserve"> </w:t>
                        </w:r>
                        <w:r w:rsidR="00824755">
                          <w:rPr>
                            <w:rFonts w:asciiTheme="majorHAnsi" w:hAnsiTheme="majorHAnsi"/>
                            <w:sz w:val="20"/>
                            <w:szCs w:val="20"/>
                          </w:rPr>
                          <w:br/>
                        </w:r>
                        <w:proofErr w:type="gramStart"/>
                        <w:r w:rsidR="00824755">
                          <w:rPr>
                            <w:rFonts w:asciiTheme="majorHAnsi" w:hAnsiTheme="majorHAnsi"/>
                            <w:sz w:val="20"/>
                            <w:szCs w:val="20"/>
                          </w:rPr>
                          <w:t>Primary Practice Location</w:t>
                        </w:r>
                        <w:proofErr w:type="gramEnd"/>
                        <w:r w:rsidR="00824755">
                          <w:rPr>
                            <w:rFonts w:asciiTheme="majorHAnsi" w:hAnsiTheme="majorHAnsi"/>
                            <w:sz w:val="20"/>
                            <w:szCs w:val="20"/>
                          </w:rPr>
                          <w:t xml:space="preserve"> in MA</w:t>
                        </w:r>
                      </w:p>
                      <w:p w:rsidR="00824755" w:rsidRPr="00BB7818" w:rsidRDefault="00824755" w:rsidP="00824755">
                        <w:pPr>
                          <w:pStyle w:val="ListParagraph"/>
                          <w:ind w:left="0"/>
                          <w:jc w:val="center"/>
                          <w:rPr>
                            <w:rFonts w:asciiTheme="majorHAnsi" w:hAnsiTheme="majorHAnsi"/>
                            <w:sz w:val="20"/>
                            <w:szCs w:val="20"/>
                          </w:rPr>
                        </w:pPr>
                      </w:p>
                    </w:txbxContent>
                  </v:textbox>
                </v:roundrect>
                <v:shape id="Elbow Connector 46" o:spid="_x0000_s1050" type="#_x0000_t34" style="position:absolute;left:21734;top:12759;width:3427;height:190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oesUAAADbAAAADwAAAGRycy9kb3ducmV2LnhtbESPQWvCQBSE7wX/w/KE3pqNVqREV1Gh&#10;0lNBDaK31+xrknb3bciuSfrv3UKhx2FmvmGW68Ea0VHra8cKJkkKgrhwuuZSQX56fXoB4QOyRuOY&#10;FPyQh/Vq9LDETLueD9QdQykihH2GCqoQmkxKX1Rk0SeuIY7ep2sthijbUuoW+wi3Rk7TdC4t1hwX&#10;KmxoV1HxfbxZBSez31yezf72sb3O8nL4Or/jZKrU43jYLEAEGsJ/+K/9phXM5vD7Jf4A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oesUAAADbAAAADwAAAAAAAAAA&#10;AAAAAAChAgAAZHJzL2Rvd25yZXYueG1sUEsFBgAAAAAEAAQA+QAAAJMDAAAAAA==&#10;" strokecolor="#7f7f7f [1612]" strokeweight="2.25pt">
                  <v:stroke endarrow="open"/>
                </v:shape>
              </v:group>
            </w:pict>
          </mc:Fallback>
        </mc:AlternateContent>
      </w:r>
    </w:p>
    <w:p w:rsidR="009816B1" w:rsidRDefault="009816B1">
      <w:pPr>
        <w:rPr>
          <w:sz w:val="24"/>
          <w:szCs w:val="24"/>
        </w:rPr>
      </w:pPr>
    </w:p>
    <w:p w:rsidR="009816B1" w:rsidRPr="005C1880" w:rsidRDefault="005C1880" w:rsidP="005C1880">
      <w:pPr>
        <w:tabs>
          <w:tab w:val="left" w:pos="8621"/>
        </w:tabs>
        <w:rPr>
          <w:sz w:val="24"/>
          <w:szCs w:val="24"/>
          <w:vertAlign w:val="superscript"/>
        </w:rPr>
      </w:pPr>
      <w:r>
        <w:rPr>
          <w:sz w:val="24"/>
          <w:szCs w:val="24"/>
        </w:rPr>
        <w:tab/>
      </w:r>
    </w:p>
    <w:p w:rsidR="009816B1" w:rsidRDefault="009816B1">
      <w:pPr>
        <w:rPr>
          <w:sz w:val="24"/>
          <w:szCs w:val="24"/>
        </w:rPr>
      </w:pPr>
    </w:p>
    <w:p w:rsidR="009816B1" w:rsidRDefault="009816B1">
      <w:pPr>
        <w:rPr>
          <w:sz w:val="24"/>
          <w:szCs w:val="24"/>
        </w:rPr>
      </w:pPr>
    </w:p>
    <w:p w:rsidR="009816B1" w:rsidRDefault="009816B1">
      <w:pPr>
        <w:rPr>
          <w:sz w:val="24"/>
          <w:szCs w:val="24"/>
        </w:rPr>
      </w:pPr>
    </w:p>
    <w:p w:rsidR="00F311D5" w:rsidRPr="005D0268" w:rsidRDefault="00F311D5">
      <w:pPr>
        <w:rPr>
          <w:sz w:val="8"/>
          <w:szCs w:val="24"/>
        </w:rPr>
      </w:pPr>
    </w:p>
    <w:p w:rsidR="00F311D5" w:rsidRPr="005D0268" w:rsidRDefault="00F311D5">
      <w:pPr>
        <w:rPr>
          <w:sz w:val="2"/>
          <w:szCs w:val="24"/>
        </w:rPr>
      </w:pPr>
    </w:p>
    <w:p w:rsidR="000D63F5" w:rsidRPr="00150921" w:rsidRDefault="005D0268" w:rsidP="005D0268">
      <w:pPr>
        <w:tabs>
          <w:tab w:val="left" w:pos="4140"/>
        </w:tabs>
        <w:rPr>
          <w:sz w:val="14"/>
          <w:szCs w:val="24"/>
        </w:rPr>
      </w:pPr>
      <w:r w:rsidRPr="00150921">
        <w:rPr>
          <w:sz w:val="14"/>
          <w:szCs w:val="24"/>
        </w:rPr>
        <w:tab/>
      </w:r>
    </w:p>
    <w:p w:rsidR="000D63F5" w:rsidRDefault="00150921" w:rsidP="00090B57">
      <w:pPr>
        <w:tabs>
          <w:tab w:val="left" w:pos="4140"/>
        </w:tabs>
        <w:rPr>
          <w:sz w:val="24"/>
          <w:szCs w:val="24"/>
        </w:rPr>
      </w:pPr>
      <w:r>
        <w:rPr>
          <w:sz w:val="24"/>
          <w:szCs w:val="24"/>
        </w:rPr>
        <w:tab/>
      </w:r>
      <w:r w:rsidR="00090B57" w:rsidRPr="005D0268">
        <w:rPr>
          <w:rStyle w:val="FootnoteReference"/>
          <w:szCs w:val="24"/>
        </w:rPr>
        <w:footnoteReference w:id="11"/>
      </w:r>
    </w:p>
    <w:p w:rsidR="000D63F5" w:rsidRDefault="000D63F5">
      <w:pPr>
        <w:rPr>
          <w:sz w:val="24"/>
          <w:szCs w:val="24"/>
        </w:rPr>
      </w:pPr>
    </w:p>
    <w:p w:rsidR="00090B57" w:rsidRPr="00090B57" w:rsidRDefault="00090B57" w:rsidP="00090B57">
      <w:pPr>
        <w:rPr>
          <w:szCs w:val="24"/>
        </w:rPr>
      </w:pPr>
    </w:p>
    <w:p w:rsidR="00090B57" w:rsidRDefault="00395440" w:rsidP="00090B57">
      <w:pPr>
        <w:rPr>
          <w:szCs w:val="24"/>
        </w:rPr>
      </w:pPr>
      <w:r w:rsidRPr="0035689F">
        <w:rPr>
          <w:i/>
          <w:szCs w:val="24"/>
        </w:rPr>
        <w:t>The following data represents</w:t>
      </w:r>
      <w:r w:rsidR="00EC29BD" w:rsidRPr="0035689F">
        <w:rPr>
          <w:i/>
          <w:szCs w:val="24"/>
        </w:rPr>
        <w:t xml:space="preserve"> responses from the 68,7</w:t>
      </w:r>
      <w:r w:rsidR="00412DEF" w:rsidRPr="0035689F">
        <w:rPr>
          <w:i/>
          <w:szCs w:val="24"/>
        </w:rPr>
        <w:t>1</w:t>
      </w:r>
      <w:r w:rsidR="00EC29BD" w:rsidRPr="0035689F">
        <w:rPr>
          <w:i/>
          <w:szCs w:val="24"/>
        </w:rPr>
        <w:t xml:space="preserve">6 nurses who reported working full-time, part-time, per diem, or volunteering </w:t>
      </w:r>
      <w:r w:rsidR="0027193F">
        <w:rPr>
          <w:i/>
          <w:szCs w:val="24"/>
        </w:rPr>
        <w:t xml:space="preserve">in the nursing field </w:t>
      </w:r>
      <w:r w:rsidR="00EC29BD" w:rsidRPr="0035689F">
        <w:rPr>
          <w:i/>
          <w:szCs w:val="24"/>
        </w:rPr>
        <w:t xml:space="preserve">in Massachusetts. </w:t>
      </w:r>
      <w:r w:rsidR="005D0268">
        <w:rPr>
          <w:i/>
          <w:szCs w:val="24"/>
        </w:rPr>
        <w:br/>
      </w:r>
      <w:r w:rsidR="005D0268" w:rsidRPr="005D0268">
        <w:rPr>
          <w:i/>
          <w:sz w:val="10"/>
          <w:szCs w:val="24"/>
        </w:rPr>
        <w:br/>
      </w:r>
      <w:r w:rsidR="00090B57" w:rsidRPr="00801834">
        <w:rPr>
          <w:b/>
          <w:sz w:val="24"/>
          <w:szCs w:val="24"/>
          <w:u w:val="single"/>
        </w:rPr>
        <w:t>Primary Practice Setting</w:t>
      </w:r>
    </w:p>
    <w:p w:rsidR="00090B57" w:rsidRPr="00090B57" w:rsidRDefault="00090B57" w:rsidP="00090B57">
      <w:pPr>
        <w:rPr>
          <w:szCs w:val="24"/>
        </w:rPr>
      </w:pPr>
      <w:r w:rsidRPr="0035689F">
        <w:rPr>
          <w:noProof/>
          <w:sz w:val="20"/>
        </w:rPr>
        <w:drawing>
          <wp:anchor distT="0" distB="0" distL="114300" distR="114300" simplePos="0" relativeHeight="251710464" behindDoc="0" locked="0" layoutInCell="1" allowOverlap="1" wp14:anchorId="6875C497" wp14:editId="0903BC7C">
            <wp:simplePos x="0" y="0"/>
            <wp:positionH relativeFrom="column">
              <wp:posOffset>10160</wp:posOffset>
            </wp:positionH>
            <wp:positionV relativeFrom="paragraph">
              <wp:posOffset>533400</wp:posOffset>
            </wp:positionV>
            <wp:extent cx="6730365" cy="2658110"/>
            <wp:effectExtent l="0" t="0" r="0" b="0"/>
            <wp:wrapSquare wrapText="bothSides"/>
            <wp:docPr id="53" name="Chart 53" descr="Fig. 12 breaks down RNs by their primary practice setting. Only practice settings that received greater than 2% of responses were included in the figure.&#10;&#10;The breakdown of primary practice settings in descending order are as follows:&#10;Community Hospital/Inpatient 20.5%, Academic Medical Center/Inpatient 17.5%, Ambulatory Care Setting - Hospital-based 11.8%, Home Health Nursing Agency 7.1%, Skilled Nursing/Extended Care 6.2%, Physician Office 4.7%, School Nursing (K-12) 4.2%, Chronic Care/Rehabilitation Hospital 2.5%, Community Health Center 2.3%, Ambulatory Care Setting-non-Hospital-based 2.2%. &#10;&#10;Footnote # 12 references Fig. 12." title="Figure 12. RN Primary Practice Set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Pr="0035689F">
        <w:rPr>
          <w:szCs w:val="24"/>
        </w:rPr>
        <w:t>Figure 1</w:t>
      </w:r>
      <w:r>
        <w:rPr>
          <w:szCs w:val="24"/>
        </w:rPr>
        <w:t>2</w:t>
      </w:r>
      <w:r w:rsidRPr="0035689F">
        <w:rPr>
          <w:szCs w:val="24"/>
        </w:rPr>
        <w:t xml:space="preserve"> displays the ten most frequently reported primary practice settings</w:t>
      </w:r>
      <w:r w:rsidR="00BF4944">
        <w:rPr>
          <w:rStyle w:val="FootnoteReference"/>
          <w:szCs w:val="24"/>
        </w:rPr>
        <w:footnoteReference w:id="12"/>
      </w:r>
      <w:r w:rsidRPr="0035689F">
        <w:rPr>
          <w:szCs w:val="24"/>
        </w:rPr>
        <w:t xml:space="preserve">. Over one-third of nurses reported that their primary practice setting is hospital-based. </w:t>
      </w:r>
    </w:p>
    <w:p w:rsidR="00C108AF" w:rsidRPr="00781A2A" w:rsidRDefault="009407A0" w:rsidP="00C108AF">
      <w:pPr>
        <w:jc w:val="center"/>
        <w:rPr>
          <w:sz w:val="2"/>
          <w:szCs w:val="20"/>
        </w:rPr>
      </w:pPr>
      <w:proofErr w:type="gramStart"/>
      <w:r w:rsidRPr="005B18E2">
        <w:rPr>
          <w:i/>
          <w:sz w:val="24"/>
          <w:szCs w:val="24"/>
        </w:rPr>
        <w:lastRenderedPageBreak/>
        <w:t>Table 2.</w:t>
      </w:r>
      <w:proofErr w:type="gramEnd"/>
      <w:r>
        <w:rPr>
          <w:sz w:val="24"/>
          <w:szCs w:val="24"/>
        </w:rPr>
        <w:t xml:space="preserve"> </w:t>
      </w:r>
      <w:r w:rsidR="005B18E2">
        <w:rPr>
          <w:b/>
          <w:sz w:val="24"/>
          <w:szCs w:val="24"/>
        </w:rPr>
        <w:t xml:space="preserve">2014 </w:t>
      </w:r>
      <w:r w:rsidRPr="00B31830">
        <w:rPr>
          <w:b/>
          <w:sz w:val="24"/>
          <w:szCs w:val="24"/>
        </w:rPr>
        <w:t xml:space="preserve">Most Frequently Reported Primary Practice Settings by Highest </w:t>
      </w:r>
      <w:r w:rsidR="002C54D7">
        <w:rPr>
          <w:b/>
          <w:sz w:val="24"/>
          <w:szCs w:val="24"/>
        </w:rPr>
        <w:t>RN</w:t>
      </w:r>
      <w:r w:rsidRPr="00B31830">
        <w:rPr>
          <w:b/>
          <w:sz w:val="24"/>
          <w:szCs w:val="24"/>
        </w:rPr>
        <w:t xml:space="preserve"> Degree</w:t>
      </w:r>
      <w:r w:rsidR="007755AC">
        <w:rPr>
          <w:rStyle w:val="FootnoteReference"/>
          <w:b/>
          <w:sz w:val="24"/>
          <w:szCs w:val="24"/>
        </w:rPr>
        <w:footnoteReference w:id="13"/>
      </w:r>
      <w:r w:rsidR="00C108AF">
        <w:rPr>
          <w:b/>
          <w:sz w:val="24"/>
          <w:szCs w:val="24"/>
        </w:rPr>
        <w:br/>
      </w:r>
    </w:p>
    <w:tbl>
      <w:tblPr>
        <w:tblW w:w="10656" w:type="dxa"/>
        <w:jc w:val="center"/>
        <w:tblLook w:val="04A0" w:firstRow="1" w:lastRow="0" w:firstColumn="1" w:lastColumn="0" w:noHBand="0" w:noVBand="1"/>
        <w:tblCaption w:val="Table 2. Most Frequently Reported Primary Practice Settings by Highest RN Degree"/>
        <w:tblDescription w:val="Table 2 shows the top three most frequently reported primary practice settings stratified by the highest RN degree obtained.&#10;&#10;The top three settings for diploma nurses in descending order are: Community Hospital/Inpatient 22.4%, Academic Medical Center/Inpatient 13.2%, and Ambulatory Care/Hospital-based 13.2%.&#10;&#10;The top three settings for nurses with an associate degree in descending order are: community hospital/inpatient 24.5%, skilled nursing/extended care 10.7%, and home health agencies 10.3%.&#10;&#10;The top three settings for baccalaureate nurses in descending order are: Academic Medical Center/Inpatient 23.2%, Community Hospital/inpatient 21.0%, and Ambulatory Care/Hospital-based 12.6%.&#10;&#10;The top three settings for nurses with a master's degree in descending order are: Academic Medical Center/Inpatient 20.4%, Ambulatory Care/Hospital-based 13.7%, and physician offices 12.0%.&#10;&#10;The top three settings for nurses with a doctoral degree in descending order are: Academic nursing programs 52.9%, Academic Medical Center/Inpatient 17.7%, Ambulatory Care/Hospital-based 5.4%.&#10;&#10;The top three settings for nurses with a practice doctorate in descending order are: Academic nursing programs 25.9%, Academic Medical Center/Inpatient 15.8%, Ambulatory Care/Hospital-based 12.7%.&#10;&#10;&#10;The top three settings for nurses with an associates degree in descending order are: Community Hospital/Inpatient, skilled nursing / extended care, and home health agencies."/>
      </w:tblPr>
      <w:tblGrid>
        <w:gridCol w:w="2178"/>
        <w:gridCol w:w="2700"/>
        <w:gridCol w:w="2880"/>
        <w:gridCol w:w="2898"/>
      </w:tblGrid>
      <w:tr w:rsidR="00C10985" w:rsidRPr="002B1E1E" w:rsidTr="002008D6">
        <w:trPr>
          <w:trHeight w:val="187"/>
          <w:jc w:val="center"/>
        </w:trPr>
        <w:tc>
          <w:tcPr>
            <w:tcW w:w="2178" w:type="dxa"/>
            <w:vMerge w:val="restart"/>
            <w:tcBorders>
              <w:top w:val="single" w:sz="4" w:space="0" w:color="7F7F7F" w:themeColor="text1" w:themeTint="80"/>
              <w:left w:val="nil"/>
              <w:right w:val="nil"/>
            </w:tcBorders>
            <w:shd w:val="clear" w:color="auto" w:fill="D9D9D9" w:themeFill="background1" w:themeFillShade="D9"/>
            <w:noWrap/>
            <w:vAlign w:val="bottom"/>
            <w:hideMark/>
          </w:tcPr>
          <w:p w:rsidR="00C10985" w:rsidRPr="009407A0" w:rsidRDefault="00C10985" w:rsidP="002C54D7">
            <w:pPr>
              <w:spacing w:after="0" w:line="240" w:lineRule="auto"/>
              <w:jc w:val="center"/>
              <w:rPr>
                <w:rFonts w:ascii="Calibri" w:eastAsia="Times New Roman" w:hAnsi="Calibri" w:cs="Times New Roman"/>
                <w:b/>
                <w:color w:val="000000"/>
                <w:sz w:val="20"/>
              </w:rPr>
            </w:pPr>
            <w:r w:rsidRPr="009407A0">
              <w:rPr>
                <w:rFonts w:ascii="Calibri" w:eastAsia="Times New Roman" w:hAnsi="Calibri" w:cs="Times New Roman"/>
                <w:b/>
                <w:color w:val="000000"/>
                <w:sz w:val="20"/>
              </w:rPr>
              <w:t xml:space="preserve">Highest </w:t>
            </w:r>
            <w:r w:rsidR="002C54D7">
              <w:rPr>
                <w:rFonts w:ascii="Calibri" w:eastAsia="Times New Roman" w:hAnsi="Calibri" w:cs="Times New Roman"/>
                <w:b/>
                <w:color w:val="000000"/>
                <w:sz w:val="20"/>
              </w:rPr>
              <w:t>RN</w:t>
            </w:r>
            <w:r w:rsidRPr="009407A0">
              <w:rPr>
                <w:rFonts w:ascii="Calibri" w:eastAsia="Times New Roman" w:hAnsi="Calibri" w:cs="Times New Roman"/>
                <w:b/>
                <w:color w:val="000000"/>
                <w:sz w:val="20"/>
              </w:rPr>
              <w:t xml:space="preserve"> Degree</w:t>
            </w:r>
          </w:p>
        </w:tc>
        <w:tc>
          <w:tcPr>
            <w:tcW w:w="8478" w:type="dxa"/>
            <w:gridSpan w:val="3"/>
            <w:tcBorders>
              <w:top w:val="single" w:sz="4" w:space="0" w:color="7F7F7F" w:themeColor="text1" w:themeTint="80"/>
              <w:left w:val="nil"/>
              <w:bottom w:val="single" w:sz="4" w:space="0" w:color="7F7F7F" w:themeColor="text1" w:themeTint="80"/>
              <w:right w:val="nil"/>
            </w:tcBorders>
            <w:shd w:val="clear" w:color="auto" w:fill="D9D9D9" w:themeFill="background1" w:themeFillShade="D9"/>
            <w:noWrap/>
            <w:vAlign w:val="bottom"/>
            <w:hideMark/>
          </w:tcPr>
          <w:p w:rsidR="00C10985" w:rsidRPr="009407A0" w:rsidRDefault="00C10985" w:rsidP="009407A0">
            <w:pPr>
              <w:spacing w:after="0" w:line="240" w:lineRule="auto"/>
              <w:jc w:val="center"/>
              <w:rPr>
                <w:rFonts w:ascii="Calibri" w:eastAsia="Times New Roman" w:hAnsi="Calibri" w:cs="Times New Roman"/>
                <w:b/>
                <w:color w:val="000000"/>
                <w:sz w:val="20"/>
              </w:rPr>
            </w:pPr>
            <w:r w:rsidRPr="009407A0">
              <w:rPr>
                <w:rFonts w:ascii="Calibri" w:eastAsia="Times New Roman" w:hAnsi="Calibri" w:cs="Times New Roman"/>
                <w:b/>
                <w:color w:val="000000"/>
                <w:sz w:val="20"/>
              </w:rPr>
              <w:t>Top 3 Most Frequently Reported Primary Practice Settings</w:t>
            </w:r>
          </w:p>
        </w:tc>
      </w:tr>
      <w:tr w:rsidR="00392496" w:rsidRPr="002B1E1E" w:rsidTr="00D85FCF">
        <w:trPr>
          <w:trHeight w:val="187"/>
          <w:jc w:val="center"/>
        </w:trPr>
        <w:tc>
          <w:tcPr>
            <w:tcW w:w="2178" w:type="dxa"/>
            <w:vMerge/>
            <w:tcBorders>
              <w:left w:val="nil"/>
              <w:bottom w:val="single" w:sz="4" w:space="0" w:color="7F7F7F" w:themeColor="text1" w:themeTint="80"/>
              <w:right w:val="nil"/>
            </w:tcBorders>
            <w:shd w:val="clear" w:color="auto" w:fill="D9D9D9" w:themeFill="background1" w:themeFillShade="D9"/>
            <w:noWrap/>
            <w:vAlign w:val="bottom"/>
          </w:tcPr>
          <w:p w:rsidR="00C10985" w:rsidRPr="009407A0" w:rsidRDefault="00C10985" w:rsidP="009407A0">
            <w:pPr>
              <w:spacing w:after="0" w:line="240" w:lineRule="auto"/>
              <w:jc w:val="center"/>
              <w:rPr>
                <w:rFonts w:ascii="Calibri" w:eastAsia="Times New Roman" w:hAnsi="Calibri" w:cs="Times New Roman"/>
                <w:b/>
                <w:color w:val="000000"/>
                <w:sz w:val="20"/>
              </w:rPr>
            </w:pPr>
          </w:p>
        </w:tc>
        <w:tc>
          <w:tcPr>
            <w:tcW w:w="2700" w:type="dxa"/>
            <w:tcBorders>
              <w:top w:val="single" w:sz="4" w:space="0" w:color="7F7F7F" w:themeColor="text1" w:themeTint="80"/>
              <w:left w:val="nil"/>
              <w:bottom w:val="single" w:sz="4" w:space="0" w:color="7F7F7F" w:themeColor="text1" w:themeTint="80"/>
              <w:right w:val="nil"/>
            </w:tcBorders>
            <w:shd w:val="clear" w:color="auto" w:fill="D9D9D9" w:themeFill="background1" w:themeFillShade="D9"/>
            <w:noWrap/>
            <w:vAlign w:val="bottom"/>
          </w:tcPr>
          <w:p w:rsidR="00C10985" w:rsidRPr="009407A0" w:rsidRDefault="00C10985" w:rsidP="009407A0">
            <w:pPr>
              <w:spacing w:after="0" w:line="240" w:lineRule="auto"/>
              <w:jc w:val="center"/>
              <w:rPr>
                <w:rFonts w:ascii="Calibri" w:eastAsia="Times New Roman" w:hAnsi="Calibri" w:cs="Times New Roman"/>
                <w:b/>
                <w:color w:val="000000"/>
                <w:sz w:val="20"/>
              </w:rPr>
            </w:pPr>
            <w:r w:rsidRPr="009407A0">
              <w:rPr>
                <w:rFonts w:ascii="Calibri" w:eastAsia="Times New Roman" w:hAnsi="Calibri" w:cs="Times New Roman"/>
                <w:b/>
                <w:color w:val="000000"/>
                <w:sz w:val="20"/>
              </w:rPr>
              <w:t>#1</w:t>
            </w:r>
          </w:p>
        </w:tc>
        <w:tc>
          <w:tcPr>
            <w:tcW w:w="2880" w:type="dxa"/>
            <w:tcBorders>
              <w:top w:val="single" w:sz="4" w:space="0" w:color="7F7F7F" w:themeColor="text1" w:themeTint="80"/>
              <w:left w:val="nil"/>
              <w:bottom w:val="single" w:sz="4" w:space="0" w:color="7F7F7F" w:themeColor="text1" w:themeTint="80"/>
              <w:right w:val="nil"/>
            </w:tcBorders>
            <w:shd w:val="clear" w:color="auto" w:fill="D9D9D9" w:themeFill="background1" w:themeFillShade="D9"/>
            <w:vAlign w:val="bottom"/>
          </w:tcPr>
          <w:p w:rsidR="00C10985" w:rsidRPr="009407A0" w:rsidRDefault="00C10985" w:rsidP="009407A0">
            <w:pPr>
              <w:spacing w:after="0" w:line="240" w:lineRule="auto"/>
              <w:jc w:val="center"/>
              <w:rPr>
                <w:rFonts w:ascii="Calibri" w:eastAsia="Times New Roman" w:hAnsi="Calibri" w:cs="Times New Roman"/>
                <w:b/>
                <w:color w:val="000000"/>
                <w:sz w:val="20"/>
              </w:rPr>
            </w:pPr>
            <w:r w:rsidRPr="009407A0">
              <w:rPr>
                <w:rFonts w:ascii="Calibri" w:eastAsia="Times New Roman" w:hAnsi="Calibri" w:cs="Times New Roman"/>
                <w:b/>
                <w:color w:val="000000"/>
                <w:sz w:val="20"/>
              </w:rPr>
              <w:t>#2</w:t>
            </w:r>
          </w:p>
        </w:tc>
        <w:tc>
          <w:tcPr>
            <w:tcW w:w="2898" w:type="dxa"/>
            <w:tcBorders>
              <w:top w:val="single" w:sz="4" w:space="0" w:color="7F7F7F" w:themeColor="text1" w:themeTint="80"/>
              <w:left w:val="nil"/>
              <w:bottom w:val="single" w:sz="4" w:space="0" w:color="7F7F7F" w:themeColor="text1" w:themeTint="80"/>
              <w:right w:val="nil"/>
            </w:tcBorders>
            <w:shd w:val="clear" w:color="auto" w:fill="D9D9D9" w:themeFill="background1" w:themeFillShade="D9"/>
            <w:vAlign w:val="bottom"/>
          </w:tcPr>
          <w:p w:rsidR="00C10985" w:rsidRPr="009407A0" w:rsidRDefault="00C10985" w:rsidP="009407A0">
            <w:pPr>
              <w:spacing w:after="0" w:line="240" w:lineRule="auto"/>
              <w:jc w:val="center"/>
              <w:rPr>
                <w:rFonts w:ascii="Calibri" w:eastAsia="Times New Roman" w:hAnsi="Calibri" w:cs="Times New Roman"/>
                <w:b/>
                <w:color w:val="000000"/>
                <w:sz w:val="20"/>
              </w:rPr>
            </w:pPr>
            <w:r w:rsidRPr="009407A0">
              <w:rPr>
                <w:rFonts w:ascii="Calibri" w:eastAsia="Times New Roman" w:hAnsi="Calibri" w:cs="Times New Roman"/>
                <w:b/>
                <w:color w:val="000000"/>
                <w:sz w:val="20"/>
              </w:rPr>
              <w:t>#3</w:t>
            </w:r>
          </w:p>
        </w:tc>
      </w:tr>
      <w:tr w:rsidR="001B7BC2" w:rsidRPr="002B1E1E" w:rsidTr="00D85FCF">
        <w:trPr>
          <w:trHeight w:val="300"/>
          <w:jc w:val="center"/>
        </w:trPr>
        <w:tc>
          <w:tcPr>
            <w:tcW w:w="2178" w:type="dxa"/>
            <w:tcBorders>
              <w:top w:val="single" w:sz="4" w:space="0" w:color="7F7F7F" w:themeColor="text1" w:themeTint="80"/>
              <w:left w:val="nil"/>
              <w:bottom w:val="single" w:sz="4" w:space="0" w:color="D9D9D9" w:themeColor="background1" w:themeShade="D9"/>
              <w:right w:val="nil"/>
            </w:tcBorders>
            <w:shd w:val="clear" w:color="auto" w:fill="F2F2F2" w:themeFill="background1" w:themeFillShade="F2"/>
            <w:noWrap/>
            <w:vAlign w:val="center"/>
            <w:hideMark/>
          </w:tcPr>
          <w:p w:rsidR="00C10985" w:rsidRPr="0059297F" w:rsidRDefault="00C10985" w:rsidP="009407A0">
            <w:pPr>
              <w:spacing w:after="0" w:line="240" w:lineRule="auto"/>
              <w:jc w:val="center"/>
              <w:rPr>
                <w:rFonts w:ascii="Calibri" w:eastAsia="Times New Roman" w:hAnsi="Calibri" w:cs="Times New Roman"/>
                <w:b/>
                <w:i/>
                <w:color w:val="000000"/>
                <w:sz w:val="20"/>
              </w:rPr>
            </w:pPr>
            <w:r w:rsidRPr="0059297F">
              <w:rPr>
                <w:rFonts w:ascii="Calibri" w:eastAsia="Times New Roman" w:hAnsi="Calibri" w:cs="Times New Roman"/>
                <w:b/>
                <w:i/>
                <w:color w:val="000000"/>
                <w:sz w:val="20"/>
              </w:rPr>
              <w:t>Diploma</w:t>
            </w:r>
          </w:p>
          <w:p w:rsidR="009407A0" w:rsidRPr="009407A0" w:rsidRDefault="009407A0"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(n=7</w:t>
            </w:r>
            <w:r w:rsidR="005B02A0">
              <w:rPr>
                <w:rFonts w:ascii="Calibri" w:eastAsia="Times New Roman" w:hAnsi="Calibri" w:cs="Times New Roman"/>
                <w:i/>
                <w:color w:val="000000"/>
                <w:sz w:val="20"/>
              </w:rPr>
              <w:t>,</w:t>
            </w:r>
            <w:r>
              <w:rPr>
                <w:rFonts w:ascii="Calibri" w:eastAsia="Times New Roman" w:hAnsi="Calibri" w:cs="Times New Roman"/>
                <w:i/>
                <w:color w:val="000000"/>
                <w:sz w:val="20"/>
              </w:rPr>
              <w:t>921)</w:t>
            </w:r>
          </w:p>
        </w:tc>
        <w:tc>
          <w:tcPr>
            <w:tcW w:w="2700" w:type="dxa"/>
            <w:tcBorders>
              <w:top w:val="single" w:sz="4" w:space="0" w:color="7F7F7F" w:themeColor="text1" w:themeTint="80"/>
              <w:left w:val="nil"/>
              <w:bottom w:val="single" w:sz="4" w:space="0" w:color="D9D9D9" w:themeColor="background1" w:themeShade="D9"/>
              <w:right w:val="nil"/>
            </w:tcBorders>
            <w:shd w:val="clear" w:color="auto" w:fill="auto"/>
            <w:noWrap/>
            <w:vAlign w:val="bottom"/>
          </w:tcPr>
          <w:p w:rsidR="00C10985" w:rsidRPr="009407A0" w:rsidRDefault="007755AC"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Community Hospital/</w:t>
            </w:r>
            <w:proofErr w:type="spellStart"/>
            <w:r w:rsidR="00C10985" w:rsidRPr="009407A0">
              <w:rPr>
                <w:rFonts w:ascii="Calibri" w:eastAsia="Times New Roman" w:hAnsi="Calibri" w:cs="Times New Roman"/>
                <w:color w:val="000000"/>
                <w:sz w:val="20"/>
              </w:rPr>
              <w:t>I</w:t>
            </w:r>
            <w:r>
              <w:rPr>
                <w:rFonts w:ascii="Calibri" w:eastAsia="Times New Roman" w:hAnsi="Calibri" w:cs="Times New Roman"/>
                <w:color w:val="000000"/>
                <w:sz w:val="20"/>
              </w:rPr>
              <w:t>npt</w:t>
            </w:r>
            <w:proofErr w:type="spellEnd"/>
            <w:r>
              <w:rPr>
                <w:rFonts w:ascii="Calibri" w:eastAsia="Times New Roman" w:hAnsi="Calibri" w:cs="Times New Roman"/>
                <w:color w:val="000000"/>
                <w:sz w:val="20"/>
              </w:rPr>
              <w:t>*</w:t>
            </w:r>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22.4%</w:t>
            </w:r>
          </w:p>
        </w:tc>
        <w:tc>
          <w:tcPr>
            <w:tcW w:w="2880" w:type="dxa"/>
            <w:tcBorders>
              <w:top w:val="single" w:sz="4" w:space="0" w:color="7F7F7F" w:themeColor="text1" w:themeTint="80"/>
              <w:left w:val="nil"/>
              <w:bottom w:val="single" w:sz="4" w:space="0" w:color="D9D9D9" w:themeColor="background1" w:themeShade="D9"/>
              <w:right w:val="nil"/>
            </w:tcBorders>
            <w:vAlign w:val="bottom"/>
          </w:tcPr>
          <w:p w:rsidR="00C10985" w:rsidRPr="009407A0" w:rsidRDefault="00C10985" w:rsidP="009407A0">
            <w:pPr>
              <w:spacing w:after="0" w:line="240" w:lineRule="auto"/>
              <w:jc w:val="center"/>
              <w:rPr>
                <w:rFonts w:ascii="Calibri" w:eastAsia="Times New Roman" w:hAnsi="Calibri" w:cs="Times New Roman"/>
                <w:color w:val="000000"/>
                <w:sz w:val="20"/>
              </w:rPr>
            </w:pPr>
            <w:r w:rsidRPr="009407A0">
              <w:rPr>
                <w:rFonts w:ascii="Calibri" w:eastAsia="Times New Roman" w:hAnsi="Calibri" w:cs="Times New Roman"/>
                <w:color w:val="000000"/>
                <w:sz w:val="20"/>
              </w:rPr>
              <w:t>Academic Med</w:t>
            </w:r>
            <w:r w:rsidR="007755AC">
              <w:rPr>
                <w:rFonts w:ascii="Calibri" w:eastAsia="Times New Roman" w:hAnsi="Calibri" w:cs="Times New Roman"/>
                <w:color w:val="000000"/>
                <w:sz w:val="20"/>
              </w:rPr>
              <w:t>ical Center/</w:t>
            </w:r>
            <w:proofErr w:type="spellStart"/>
            <w:r w:rsidR="007755AC">
              <w:rPr>
                <w:rFonts w:ascii="Calibri" w:eastAsia="Times New Roman" w:hAnsi="Calibri" w:cs="Times New Roman"/>
                <w:color w:val="000000"/>
                <w:sz w:val="20"/>
              </w:rPr>
              <w:t>Inpt</w:t>
            </w:r>
            <w:proofErr w:type="spellEnd"/>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13.2%</w:t>
            </w:r>
          </w:p>
        </w:tc>
        <w:tc>
          <w:tcPr>
            <w:tcW w:w="2898" w:type="dxa"/>
            <w:tcBorders>
              <w:top w:val="single" w:sz="4" w:space="0" w:color="7F7F7F" w:themeColor="text1" w:themeTint="80"/>
              <w:left w:val="nil"/>
              <w:bottom w:val="single" w:sz="4" w:space="0" w:color="D9D9D9" w:themeColor="background1" w:themeShade="D9"/>
              <w:right w:val="nil"/>
            </w:tcBorders>
            <w:vAlign w:val="bottom"/>
          </w:tcPr>
          <w:p w:rsidR="00C10985" w:rsidRPr="009407A0" w:rsidRDefault="007755AC"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Ambulatory Care</w:t>
            </w:r>
            <w:r w:rsidR="001B7BC2">
              <w:rPr>
                <w:rFonts w:ascii="Calibri" w:eastAsia="Times New Roman" w:hAnsi="Calibri" w:cs="Times New Roman"/>
                <w:color w:val="000000"/>
                <w:sz w:val="20"/>
              </w:rPr>
              <w:t>/</w:t>
            </w:r>
            <w:r>
              <w:rPr>
                <w:rFonts w:ascii="Calibri" w:eastAsia="Times New Roman" w:hAnsi="Calibri" w:cs="Times New Roman"/>
                <w:color w:val="000000"/>
                <w:sz w:val="20"/>
              </w:rPr>
              <w:t>Hospital-based</w:t>
            </w:r>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13.2%</w:t>
            </w:r>
          </w:p>
        </w:tc>
      </w:tr>
      <w:tr w:rsidR="001B7BC2" w:rsidRPr="002B1E1E" w:rsidTr="00D85FCF">
        <w:trPr>
          <w:trHeight w:val="300"/>
          <w:jc w:val="center"/>
        </w:trPr>
        <w:tc>
          <w:tcPr>
            <w:tcW w:w="217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noWrap/>
            <w:vAlign w:val="center"/>
            <w:hideMark/>
          </w:tcPr>
          <w:p w:rsidR="00C10985" w:rsidRPr="0059297F" w:rsidRDefault="00C10985" w:rsidP="009407A0">
            <w:pPr>
              <w:spacing w:after="0" w:line="240" w:lineRule="auto"/>
              <w:jc w:val="center"/>
              <w:rPr>
                <w:rFonts w:ascii="Calibri" w:eastAsia="Times New Roman" w:hAnsi="Calibri" w:cs="Times New Roman"/>
                <w:b/>
                <w:i/>
                <w:color w:val="000000"/>
                <w:sz w:val="20"/>
              </w:rPr>
            </w:pPr>
            <w:r w:rsidRPr="0059297F">
              <w:rPr>
                <w:rFonts w:ascii="Calibri" w:eastAsia="Times New Roman" w:hAnsi="Calibri" w:cs="Times New Roman"/>
                <w:b/>
                <w:i/>
                <w:color w:val="000000"/>
                <w:sz w:val="20"/>
              </w:rPr>
              <w:t>Associate Degree</w:t>
            </w:r>
          </w:p>
          <w:p w:rsidR="009407A0" w:rsidRPr="009407A0" w:rsidRDefault="009407A0"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(n=20,078)</w:t>
            </w:r>
          </w:p>
        </w:tc>
        <w:tc>
          <w:tcPr>
            <w:tcW w:w="2700"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tcPr>
          <w:p w:rsidR="00C10985" w:rsidRPr="009407A0" w:rsidRDefault="007755AC"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Community Hospital/</w:t>
            </w:r>
            <w:proofErr w:type="spellStart"/>
            <w:r>
              <w:rPr>
                <w:rFonts w:ascii="Calibri" w:eastAsia="Times New Roman" w:hAnsi="Calibri" w:cs="Times New Roman"/>
                <w:color w:val="000000"/>
                <w:sz w:val="20"/>
              </w:rPr>
              <w:t>Inpt</w:t>
            </w:r>
            <w:proofErr w:type="spellEnd"/>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24.5%</w:t>
            </w:r>
          </w:p>
        </w:tc>
        <w:tc>
          <w:tcPr>
            <w:tcW w:w="2880" w:type="dxa"/>
            <w:tcBorders>
              <w:top w:val="single" w:sz="4" w:space="0" w:color="D9D9D9" w:themeColor="background1" w:themeShade="D9"/>
              <w:left w:val="nil"/>
              <w:bottom w:val="single" w:sz="4" w:space="0" w:color="D9D9D9" w:themeColor="background1" w:themeShade="D9"/>
              <w:right w:val="nil"/>
            </w:tcBorders>
            <w:vAlign w:val="bottom"/>
          </w:tcPr>
          <w:p w:rsidR="00C10985" w:rsidRPr="009407A0" w:rsidRDefault="00C10985" w:rsidP="007755AC">
            <w:pPr>
              <w:spacing w:after="0" w:line="240" w:lineRule="auto"/>
              <w:jc w:val="center"/>
              <w:rPr>
                <w:rFonts w:ascii="Calibri" w:eastAsia="Times New Roman" w:hAnsi="Calibri" w:cs="Times New Roman"/>
                <w:color w:val="000000"/>
                <w:sz w:val="20"/>
              </w:rPr>
            </w:pPr>
            <w:r w:rsidRPr="009407A0">
              <w:rPr>
                <w:rFonts w:ascii="Calibri" w:eastAsia="Times New Roman" w:hAnsi="Calibri" w:cs="Times New Roman"/>
                <w:color w:val="000000"/>
                <w:sz w:val="20"/>
              </w:rPr>
              <w:t>Skilled Nursing / Extended Care</w:t>
            </w:r>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10.7%</w:t>
            </w:r>
          </w:p>
        </w:tc>
        <w:tc>
          <w:tcPr>
            <w:tcW w:w="2898" w:type="dxa"/>
            <w:tcBorders>
              <w:top w:val="single" w:sz="4" w:space="0" w:color="D9D9D9" w:themeColor="background1" w:themeShade="D9"/>
              <w:left w:val="nil"/>
              <w:bottom w:val="single" w:sz="4" w:space="0" w:color="D9D9D9" w:themeColor="background1" w:themeShade="D9"/>
              <w:right w:val="nil"/>
            </w:tcBorders>
            <w:vAlign w:val="bottom"/>
          </w:tcPr>
          <w:p w:rsidR="00C10985" w:rsidRPr="009407A0" w:rsidRDefault="00C10985" w:rsidP="007755AC">
            <w:pPr>
              <w:spacing w:after="0" w:line="240" w:lineRule="auto"/>
              <w:jc w:val="center"/>
              <w:rPr>
                <w:rFonts w:ascii="Calibri" w:eastAsia="Times New Roman" w:hAnsi="Calibri" w:cs="Times New Roman"/>
                <w:color w:val="000000"/>
                <w:sz w:val="20"/>
              </w:rPr>
            </w:pPr>
            <w:r w:rsidRPr="009407A0">
              <w:rPr>
                <w:rFonts w:ascii="Calibri" w:eastAsia="Times New Roman" w:hAnsi="Calibri" w:cs="Times New Roman"/>
                <w:color w:val="000000"/>
                <w:sz w:val="20"/>
              </w:rPr>
              <w:t>Home Health Agency</w:t>
            </w:r>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10.3%</w:t>
            </w:r>
          </w:p>
        </w:tc>
      </w:tr>
      <w:tr w:rsidR="001B7BC2" w:rsidRPr="002B1E1E" w:rsidTr="00D85FCF">
        <w:trPr>
          <w:trHeight w:val="300"/>
          <w:jc w:val="center"/>
        </w:trPr>
        <w:tc>
          <w:tcPr>
            <w:tcW w:w="217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noWrap/>
            <w:vAlign w:val="center"/>
            <w:hideMark/>
          </w:tcPr>
          <w:p w:rsidR="00C10985" w:rsidRPr="0059297F" w:rsidRDefault="00C10985" w:rsidP="009407A0">
            <w:pPr>
              <w:spacing w:after="0" w:line="240" w:lineRule="auto"/>
              <w:jc w:val="center"/>
              <w:rPr>
                <w:rFonts w:ascii="Calibri" w:eastAsia="Times New Roman" w:hAnsi="Calibri" w:cs="Times New Roman"/>
                <w:b/>
                <w:i/>
                <w:color w:val="000000"/>
                <w:sz w:val="20"/>
              </w:rPr>
            </w:pPr>
            <w:r w:rsidRPr="0059297F">
              <w:rPr>
                <w:rFonts w:ascii="Calibri" w:eastAsia="Times New Roman" w:hAnsi="Calibri" w:cs="Times New Roman"/>
                <w:b/>
                <w:i/>
                <w:color w:val="000000"/>
                <w:sz w:val="20"/>
              </w:rPr>
              <w:t>Baccalaureate Degree</w:t>
            </w:r>
          </w:p>
          <w:p w:rsidR="009407A0" w:rsidRPr="009407A0" w:rsidRDefault="009407A0"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(n=29,438)</w:t>
            </w:r>
          </w:p>
        </w:tc>
        <w:tc>
          <w:tcPr>
            <w:tcW w:w="2700"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tcPr>
          <w:p w:rsidR="00C10985" w:rsidRPr="009407A0" w:rsidRDefault="001B7BC2"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 xml:space="preserve">Academic Medical </w:t>
            </w:r>
            <w:r w:rsidR="00C10985" w:rsidRPr="009407A0">
              <w:rPr>
                <w:rFonts w:ascii="Calibri" w:eastAsia="Times New Roman" w:hAnsi="Calibri" w:cs="Times New Roman"/>
                <w:color w:val="000000"/>
                <w:sz w:val="20"/>
              </w:rPr>
              <w:t>Center/</w:t>
            </w:r>
            <w:proofErr w:type="spellStart"/>
            <w:r w:rsidR="007755AC">
              <w:rPr>
                <w:rFonts w:ascii="Calibri" w:eastAsia="Times New Roman" w:hAnsi="Calibri" w:cs="Times New Roman"/>
                <w:color w:val="000000"/>
                <w:sz w:val="20"/>
              </w:rPr>
              <w:t>Inpt</w:t>
            </w:r>
            <w:proofErr w:type="spellEnd"/>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23.2%</w:t>
            </w:r>
          </w:p>
        </w:tc>
        <w:tc>
          <w:tcPr>
            <w:tcW w:w="2880" w:type="dxa"/>
            <w:tcBorders>
              <w:top w:val="single" w:sz="4" w:space="0" w:color="D9D9D9" w:themeColor="background1" w:themeShade="D9"/>
              <w:left w:val="nil"/>
              <w:bottom w:val="single" w:sz="4" w:space="0" w:color="D9D9D9" w:themeColor="background1" w:themeShade="D9"/>
              <w:right w:val="nil"/>
            </w:tcBorders>
            <w:vAlign w:val="bottom"/>
          </w:tcPr>
          <w:p w:rsidR="00C10985" w:rsidRPr="009407A0" w:rsidRDefault="00C10985" w:rsidP="007755AC">
            <w:pPr>
              <w:spacing w:after="0" w:line="240" w:lineRule="auto"/>
              <w:jc w:val="center"/>
              <w:rPr>
                <w:rFonts w:ascii="Calibri" w:eastAsia="Times New Roman" w:hAnsi="Calibri" w:cs="Times New Roman"/>
                <w:color w:val="000000"/>
                <w:sz w:val="20"/>
              </w:rPr>
            </w:pPr>
            <w:r w:rsidRPr="009407A0">
              <w:rPr>
                <w:rFonts w:ascii="Calibri" w:eastAsia="Times New Roman" w:hAnsi="Calibri" w:cs="Times New Roman"/>
                <w:color w:val="000000"/>
                <w:sz w:val="20"/>
              </w:rPr>
              <w:t>Community Hospital/</w:t>
            </w:r>
            <w:proofErr w:type="spellStart"/>
            <w:r w:rsidR="007755AC">
              <w:rPr>
                <w:rFonts w:ascii="Calibri" w:eastAsia="Times New Roman" w:hAnsi="Calibri" w:cs="Times New Roman"/>
                <w:color w:val="000000"/>
                <w:sz w:val="20"/>
              </w:rPr>
              <w:t>Inpt</w:t>
            </w:r>
            <w:proofErr w:type="spellEnd"/>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21.0%</w:t>
            </w:r>
          </w:p>
        </w:tc>
        <w:tc>
          <w:tcPr>
            <w:tcW w:w="2898" w:type="dxa"/>
            <w:tcBorders>
              <w:top w:val="single" w:sz="4" w:space="0" w:color="D9D9D9" w:themeColor="background1" w:themeShade="D9"/>
              <w:left w:val="nil"/>
              <w:bottom w:val="single" w:sz="4" w:space="0" w:color="D9D9D9" w:themeColor="background1" w:themeShade="D9"/>
              <w:right w:val="nil"/>
            </w:tcBorders>
            <w:vAlign w:val="bottom"/>
          </w:tcPr>
          <w:p w:rsidR="007755AC" w:rsidRDefault="007755AC" w:rsidP="007755AC">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Ambulatory Care/</w:t>
            </w:r>
            <w:r w:rsidR="00C10985" w:rsidRPr="009407A0">
              <w:rPr>
                <w:rFonts w:ascii="Calibri" w:eastAsia="Times New Roman" w:hAnsi="Calibri" w:cs="Times New Roman"/>
                <w:color w:val="000000"/>
                <w:sz w:val="20"/>
              </w:rPr>
              <w:t>Hospita</w:t>
            </w:r>
            <w:r>
              <w:rPr>
                <w:rFonts w:ascii="Calibri" w:eastAsia="Times New Roman" w:hAnsi="Calibri" w:cs="Times New Roman"/>
                <w:color w:val="000000"/>
                <w:sz w:val="20"/>
              </w:rPr>
              <w:t>l-based</w:t>
            </w:r>
          </w:p>
          <w:p w:rsidR="00C10985" w:rsidRPr="00EA4B1B" w:rsidRDefault="0053409A" w:rsidP="007755AC">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12.6%</w:t>
            </w:r>
          </w:p>
        </w:tc>
      </w:tr>
      <w:tr w:rsidR="001B7BC2" w:rsidRPr="002B1E1E" w:rsidTr="00D85FCF">
        <w:trPr>
          <w:trHeight w:val="300"/>
          <w:jc w:val="center"/>
        </w:trPr>
        <w:tc>
          <w:tcPr>
            <w:tcW w:w="217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noWrap/>
            <w:vAlign w:val="center"/>
            <w:hideMark/>
          </w:tcPr>
          <w:p w:rsidR="00C10985" w:rsidRPr="0059297F" w:rsidRDefault="00C10985" w:rsidP="009407A0">
            <w:pPr>
              <w:spacing w:after="0" w:line="240" w:lineRule="auto"/>
              <w:jc w:val="center"/>
              <w:rPr>
                <w:rFonts w:ascii="Calibri" w:eastAsia="Times New Roman" w:hAnsi="Calibri" w:cs="Times New Roman"/>
                <w:b/>
                <w:i/>
                <w:color w:val="000000"/>
                <w:sz w:val="20"/>
              </w:rPr>
            </w:pPr>
            <w:r w:rsidRPr="0059297F">
              <w:rPr>
                <w:rFonts w:ascii="Calibri" w:eastAsia="Times New Roman" w:hAnsi="Calibri" w:cs="Times New Roman"/>
                <w:b/>
                <w:i/>
                <w:color w:val="000000"/>
                <w:sz w:val="20"/>
              </w:rPr>
              <w:t>Master’s Degree</w:t>
            </w:r>
          </w:p>
          <w:p w:rsidR="009407A0" w:rsidRPr="009407A0" w:rsidRDefault="009407A0"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(n=10,670)</w:t>
            </w:r>
          </w:p>
        </w:tc>
        <w:tc>
          <w:tcPr>
            <w:tcW w:w="2700"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tcPr>
          <w:p w:rsidR="00C10985" w:rsidRPr="009407A0" w:rsidRDefault="00C10985" w:rsidP="009407A0">
            <w:pPr>
              <w:spacing w:after="0" w:line="240" w:lineRule="auto"/>
              <w:jc w:val="center"/>
              <w:rPr>
                <w:rFonts w:ascii="Calibri" w:eastAsia="Times New Roman" w:hAnsi="Calibri" w:cs="Times New Roman"/>
                <w:color w:val="000000"/>
                <w:sz w:val="20"/>
              </w:rPr>
            </w:pPr>
            <w:r w:rsidRPr="009407A0">
              <w:rPr>
                <w:rFonts w:ascii="Calibri" w:eastAsia="Times New Roman" w:hAnsi="Calibri" w:cs="Times New Roman"/>
                <w:color w:val="000000"/>
                <w:sz w:val="20"/>
              </w:rPr>
              <w:t>Academic Medical Center/</w:t>
            </w:r>
            <w:proofErr w:type="spellStart"/>
            <w:r w:rsidR="007755AC">
              <w:rPr>
                <w:rFonts w:ascii="Calibri" w:eastAsia="Times New Roman" w:hAnsi="Calibri" w:cs="Times New Roman"/>
                <w:color w:val="000000"/>
                <w:sz w:val="20"/>
              </w:rPr>
              <w:t>Inpt</w:t>
            </w:r>
            <w:proofErr w:type="spellEnd"/>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20.4%</w:t>
            </w:r>
          </w:p>
        </w:tc>
        <w:tc>
          <w:tcPr>
            <w:tcW w:w="2880" w:type="dxa"/>
            <w:tcBorders>
              <w:top w:val="single" w:sz="4" w:space="0" w:color="D9D9D9" w:themeColor="background1" w:themeShade="D9"/>
              <w:left w:val="nil"/>
              <w:bottom w:val="single" w:sz="4" w:space="0" w:color="D9D9D9" w:themeColor="background1" w:themeShade="D9"/>
              <w:right w:val="nil"/>
            </w:tcBorders>
            <w:vAlign w:val="bottom"/>
          </w:tcPr>
          <w:p w:rsidR="00C10985" w:rsidRPr="009407A0" w:rsidRDefault="001B7BC2"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Ambulatory Care/</w:t>
            </w:r>
            <w:r w:rsidR="00C10985" w:rsidRPr="009407A0">
              <w:rPr>
                <w:rFonts w:ascii="Calibri" w:eastAsia="Times New Roman" w:hAnsi="Calibri" w:cs="Times New Roman"/>
                <w:color w:val="000000"/>
                <w:sz w:val="20"/>
              </w:rPr>
              <w:t>Hospital</w:t>
            </w:r>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13.7%</w:t>
            </w:r>
          </w:p>
        </w:tc>
        <w:tc>
          <w:tcPr>
            <w:tcW w:w="2898" w:type="dxa"/>
            <w:tcBorders>
              <w:top w:val="single" w:sz="4" w:space="0" w:color="D9D9D9" w:themeColor="background1" w:themeShade="D9"/>
              <w:left w:val="nil"/>
              <w:bottom w:val="single" w:sz="4" w:space="0" w:color="D9D9D9" w:themeColor="background1" w:themeShade="D9"/>
              <w:right w:val="nil"/>
            </w:tcBorders>
            <w:vAlign w:val="bottom"/>
          </w:tcPr>
          <w:p w:rsidR="00C10985" w:rsidRPr="009407A0" w:rsidRDefault="00C10985" w:rsidP="009407A0">
            <w:pPr>
              <w:spacing w:after="0" w:line="240" w:lineRule="auto"/>
              <w:jc w:val="center"/>
              <w:rPr>
                <w:rFonts w:ascii="Calibri" w:eastAsia="Times New Roman" w:hAnsi="Calibri" w:cs="Times New Roman"/>
                <w:color w:val="000000"/>
                <w:sz w:val="20"/>
              </w:rPr>
            </w:pPr>
            <w:r w:rsidRPr="009407A0">
              <w:rPr>
                <w:rFonts w:ascii="Calibri" w:eastAsia="Times New Roman" w:hAnsi="Calibri" w:cs="Times New Roman"/>
                <w:color w:val="000000"/>
                <w:sz w:val="20"/>
              </w:rPr>
              <w:t>Physician Office</w:t>
            </w:r>
          </w:p>
          <w:p w:rsidR="00C10985" w:rsidRPr="00EA4B1B" w:rsidRDefault="0053409A" w:rsidP="009407A0">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12.0%</w:t>
            </w:r>
          </w:p>
        </w:tc>
      </w:tr>
      <w:tr w:rsidR="00392496" w:rsidRPr="005B02A0" w:rsidTr="00D85FCF">
        <w:trPr>
          <w:trHeight w:val="300"/>
          <w:jc w:val="center"/>
        </w:trPr>
        <w:tc>
          <w:tcPr>
            <w:tcW w:w="2178" w:type="dxa"/>
            <w:tcBorders>
              <w:top w:val="single" w:sz="4" w:space="0" w:color="D9D9D9" w:themeColor="background1" w:themeShade="D9"/>
              <w:left w:val="nil"/>
              <w:bottom w:val="single" w:sz="4" w:space="0" w:color="D9D9D9" w:themeColor="background1" w:themeShade="D9"/>
              <w:right w:val="nil"/>
            </w:tcBorders>
            <w:shd w:val="clear" w:color="auto" w:fill="F2F2F2" w:themeFill="background1" w:themeFillShade="F2"/>
            <w:noWrap/>
            <w:vAlign w:val="center"/>
            <w:hideMark/>
          </w:tcPr>
          <w:p w:rsidR="00C10985" w:rsidRPr="005B02A0" w:rsidRDefault="00C10985" w:rsidP="00392496">
            <w:pPr>
              <w:spacing w:after="0" w:line="240" w:lineRule="auto"/>
              <w:jc w:val="center"/>
              <w:rPr>
                <w:rFonts w:ascii="Calibri" w:eastAsia="Times New Roman" w:hAnsi="Calibri" w:cs="Times New Roman"/>
                <w:b/>
                <w:color w:val="000000"/>
                <w:sz w:val="20"/>
              </w:rPr>
            </w:pPr>
            <w:r w:rsidRPr="005B02A0">
              <w:rPr>
                <w:rFonts w:ascii="Calibri" w:eastAsia="Times New Roman" w:hAnsi="Calibri" w:cs="Times New Roman"/>
                <w:b/>
                <w:color w:val="000000"/>
                <w:sz w:val="20"/>
              </w:rPr>
              <w:t>Doctora</w:t>
            </w:r>
            <w:r w:rsidR="00392496">
              <w:rPr>
                <w:rFonts w:ascii="Calibri" w:eastAsia="Times New Roman" w:hAnsi="Calibri" w:cs="Times New Roman"/>
                <w:b/>
                <w:color w:val="000000"/>
                <w:sz w:val="20"/>
              </w:rPr>
              <w:t>l Degree</w:t>
            </w:r>
          </w:p>
          <w:p w:rsidR="009407A0" w:rsidRPr="00EA4B1B" w:rsidRDefault="009407A0" w:rsidP="009D7603">
            <w:pPr>
              <w:spacing w:after="0" w:line="240" w:lineRule="auto"/>
              <w:jc w:val="center"/>
              <w:rPr>
                <w:rFonts w:ascii="Calibri" w:eastAsia="Times New Roman" w:hAnsi="Calibri" w:cs="Times New Roman"/>
                <w:i/>
                <w:color w:val="000000"/>
                <w:sz w:val="20"/>
              </w:rPr>
            </w:pPr>
            <w:r w:rsidRPr="00EA4B1B">
              <w:rPr>
                <w:rFonts w:ascii="Calibri" w:eastAsia="Times New Roman" w:hAnsi="Calibri" w:cs="Times New Roman"/>
                <w:i/>
                <w:color w:val="000000"/>
                <w:sz w:val="20"/>
              </w:rPr>
              <w:t>(n=</w:t>
            </w:r>
            <w:r w:rsidR="009D7603">
              <w:rPr>
                <w:rFonts w:ascii="Calibri" w:eastAsia="Times New Roman" w:hAnsi="Calibri" w:cs="Times New Roman"/>
                <w:i/>
                <w:color w:val="000000"/>
                <w:sz w:val="20"/>
              </w:rPr>
              <w:t>350</w:t>
            </w:r>
            <w:r w:rsidRPr="00EA4B1B">
              <w:rPr>
                <w:rFonts w:ascii="Calibri" w:eastAsia="Times New Roman" w:hAnsi="Calibri" w:cs="Times New Roman"/>
                <w:i/>
                <w:color w:val="000000"/>
                <w:sz w:val="20"/>
              </w:rPr>
              <w:t>)</w:t>
            </w:r>
          </w:p>
        </w:tc>
        <w:tc>
          <w:tcPr>
            <w:tcW w:w="2700" w:type="dxa"/>
            <w:tcBorders>
              <w:top w:val="single" w:sz="4" w:space="0" w:color="D9D9D9" w:themeColor="background1" w:themeShade="D9"/>
              <w:left w:val="nil"/>
              <w:bottom w:val="single" w:sz="4" w:space="0" w:color="D9D9D9" w:themeColor="background1" w:themeShade="D9"/>
              <w:right w:val="nil"/>
            </w:tcBorders>
            <w:shd w:val="clear" w:color="auto" w:fill="auto"/>
            <w:noWrap/>
            <w:vAlign w:val="bottom"/>
          </w:tcPr>
          <w:p w:rsidR="00C10985" w:rsidRPr="005B02A0" w:rsidRDefault="00C10985" w:rsidP="009407A0">
            <w:pPr>
              <w:spacing w:after="0" w:line="240" w:lineRule="auto"/>
              <w:jc w:val="center"/>
              <w:rPr>
                <w:rFonts w:ascii="Calibri" w:eastAsia="Times New Roman" w:hAnsi="Calibri" w:cs="Times New Roman"/>
                <w:color w:val="000000"/>
                <w:sz w:val="20"/>
              </w:rPr>
            </w:pPr>
            <w:r w:rsidRPr="005B02A0">
              <w:rPr>
                <w:rFonts w:ascii="Calibri" w:eastAsia="Times New Roman" w:hAnsi="Calibri" w:cs="Times New Roman"/>
                <w:color w:val="000000"/>
                <w:sz w:val="20"/>
              </w:rPr>
              <w:t>Academic Nursing Program</w:t>
            </w:r>
          </w:p>
          <w:p w:rsidR="00C10985" w:rsidRPr="00EA4B1B" w:rsidRDefault="00463635" w:rsidP="00463635">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52.9</w:t>
            </w:r>
            <w:r w:rsidR="0053409A">
              <w:rPr>
                <w:rFonts w:ascii="Calibri" w:eastAsia="Times New Roman" w:hAnsi="Calibri" w:cs="Times New Roman"/>
                <w:i/>
                <w:color w:val="000000"/>
                <w:sz w:val="20"/>
              </w:rPr>
              <w:t>%</w:t>
            </w:r>
          </w:p>
        </w:tc>
        <w:tc>
          <w:tcPr>
            <w:tcW w:w="2880" w:type="dxa"/>
            <w:tcBorders>
              <w:top w:val="single" w:sz="4" w:space="0" w:color="D9D9D9" w:themeColor="background1" w:themeShade="D9"/>
              <w:left w:val="nil"/>
              <w:bottom w:val="single" w:sz="4" w:space="0" w:color="D9D9D9" w:themeColor="background1" w:themeShade="D9"/>
              <w:right w:val="nil"/>
            </w:tcBorders>
            <w:vAlign w:val="bottom"/>
          </w:tcPr>
          <w:p w:rsidR="00C10985" w:rsidRPr="005B02A0" w:rsidRDefault="00C10985" w:rsidP="009407A0">
            <w:pPr>
              <w:spacing w:after="0" w:line="240" w:lineRule="auto"/>
              <w:jc w:val="center"/>
              <w:rPr>
                <w:rFonts w:ascii="Calibri" w:eastAsia="Times New Roman" w:hAnsi="Calibri" w:cs="Times New Roman"/>
                <w:color w:val="000000"/>
                <w:sz w:val="20"/>
              </w:rPr>
            </w:pPr>
            <w:r w:rsidRPr="005B02A0">
              <w:rPr>
                <w:rFonts w:ascii="Calibri" w:eastAsia="Times New Roman" w:hAnsi="Calibri" w:cs="Times New Roman"/>
                <w:color w:val="000000"/>
                <w:sz w:val="20"/>
              </w:rPr>
              <w:t>Academic Medical Center/</w:t>
            </w:r>
            <w:proofErr w:type="spellStart"/>
            <w:r w:rsidR="007755AC">
              <w:rPr>
                <w:rFonts w:ascii="Calibri" w:eastAsia="Times New Roman" w:hAnsi="Calibri" w:cs="Times New Roman"/>
                <w:color w:val="000000"/>
                <w:sz w:val="20"/>
              </w:rPr>
              <w:t>Inpt</w:t>
            </w:r>
            <w:proofErr w:type="spellEnd"/>
          </w:p>
          <w:p w:rsidR="00C10985" w:rsidRPr="00EA4B1B" w:rsidRDefault="00C10985" w:rsidP="00463635">
            <w:pPr>
              <w:spacing w:after="0" w:line="240" w:lineRule="auto"/>
              <w:jc w:val="center"/>
              <w:rPr>
                <w:rFonts w:ascii="Calibri" w:eastAsia="Times New Roman" w:hAnsi="Calibri" w:cs="Times New Roman"/>
                <w:i/>
                <w:color w:val="000000"/>
                <w:sz w:val="20"/>
              </w:rPr>
            </w:pPr>
            <w:r w:rsidRPr="00EA4B1B">
              <w:rPr>
                <w:rFonts w:ascii="Calibri" w:eastAsia="Times New Roman" w:hAnsi="Calibri" w:cs="Times New Roman"/>
                <w:i/>
                <w:color w:val="000000"/>
                <w:sz w:val="20"/>
              </w:rPr>
              <w:t>1</w:t>
            </w:r>
            <w:r w:rsidR="00463635">
              <w:rPr>
                <w:rFonts w:ascii="Calibri" w:eastAsia="Times New Roman" w:hAnsi="Calibri" w:cs="Times New Roman"/>
                <w:i/>
                <w:color w:val="000000"/>
                <w:sz w:val="20"/>
              </w:rPr>
              <w:t>7.7</w:t>
            </w:r>
            <w:r w:rsidR="0053409A">
              <w:rPr>
                <w:rFonts w:ascii="Calibri" w:eastAsia="Times New Roman" w:hAnsi="Calibri" w:cs="Times New Roman"/>
                <w:i/>
                <w:color w:val="000000"/>
                <w:sz w:val="20"/>
              </w:rPr>
              <w:t>%</w:t>
            </w:r>
          </w:p>
        </w:tc>
        <w:tc>
          <w:tcPr>
            <w:tcW w:w="2898" w:type="dxa"/>
            <w:tcBorders>
              <w:top w:val="single" w:sz="4" w:space="0" w:color="D9D9D9" w:themeColor="background1" w:themeShade="D9"/>
              <w:left w:val="nil"/>
              <w:bottom w:val="single" w:sz="4" w:space="0" w:color="D9D9D9" w:themeColor="background1" w:themeShade="D9"/>
              <w:right w:val="nil"/>
            </w:tcBorders>
            <w:vAlign w:val="bottom"/>
          </w:tcPr>
          <w:p w:rsidR="00C10985" w:rsidRPr="005B02A0" w:rsidRDefault="007755AC"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Ambulatory Care/</w:t>
            </w:r>
            <w:r w:rsidR="00C10985" w:rsidRPr="005B02A0">
              <w:rPr>
                <w:rFonts w:ascii="Calibri" w:eastAsia="Times New Roman" w:hAnsi="Calibri" w:cs="Times New Roman"/>
                <w:color w:val="000000"/>
                <w:sz w:val="20"/>
              </w:rPr>
              <w:t>Hospital-based</w:t>
            </w:r>
          </w:p>
          <w:p w:rsidR="00C10985" w:rsidRPr="00EA4B1B" w:rsidRDefault="00463635" w:rsidP="00463635">
            <w:pPr>
              <w:spacing w:after="0" w:line="240" w:lineRule="auto"/>
              <w:jc w:val="center"/>
              <w:rPr>
                <w:rFonts w:ascii="Calibri" w:eastAsia="Times New Roman" w:hAnsi="Calibri" w:cs="Times New Roman"/>
                <w:i/>
                <w:color w:val="000000"/>
                <w:sz w:val="20"/>
              </w:rPr>
            </w:pPr>
            <w:r>
              <w:rPr>
                <w:rFonts w:ascii="Calibri" w:eastAsia="Times New Roman" w:hAnsi="Calibri" w:cs="Times New Roman"/>
                <w:i/>
                <w:color w:val="000000"/>
                <w:sz w:val="20"/>
              </w:rPr>
              <w:t>5.4</w:t>
            </w:r>
            <w:r w:rsidR="0053409A">
              <w:rPr>
                <w:rFonts w:ascii="Calibri" w:eastAsia="Times New Roman" w:hAnsi="Calibri" w:cs="Times New Roman"/>
                <w:i/>
                <w:color w:val="000000"/>
                <w:sz w:val="20"/>
              </w:rPr>
              <w:t>%</w:t>
            </w:r>
          </w:p>
        </w:tc>
      </w:tr>
      <w:tr w:rsidR="00392496" w:rsidRPr="005B02A0" w:rsidTr="00D85FCF">
        <w:trPr>
          <w:trHeight w:val="300"/>
          <w:jc w:val="center"/>
        </w:trPr>
        <w:tc>
          <w:tcPr>
            <w:tcW w:w="2178" w:type="dxa"/>
            <w:tcBorders>
              <w:top w:val="single" w:sz="4" w:space="0" w:color="D9D9D9" w:themeColor="background1" w:themeShade="D9"/>
              <w:left w:val="nil"/>
              <w:bottom w:val="single" w:sz="4" w:space="0" w:color="808080" w:themeColor="background1" w:themeShade="80"/>
              <w:right w:val="nil"/>
            </w:tcBorders>
            <w:shd w:val="clear" w:color="auto" w:fill="F2F2F2" w:themeFill="background1" w:themeFillShade="F2"/>
            <w:noWrap/>
            <w:vAlign w:val="center"/>
          </w:tcPr>
          <w:p w:rsidR="00392496" w:rsidRDefault="00392496" w:rsidP="009407A0">
            <w:pPr>
              <w:spacing w:after="0" w:line="240" w:lineRule="auto"/>
              <w:jc w:val="center"/>
              <w:rPr>
                <w:rFonts w:ascii="Calibri" w:eastAsia="Times New Roman" w:hAnsi="Calibri" w:cs="Times New Roman"/>
                <w:b/>
                <w:color w:val="000000"/>
                <w:sz w:val="20"/>
              </w:rPr>
            </w:pPr>
            <w:r>
              <w:rPr>
                <w:rFonts w:ascii="Calibri" w:eastAsia="Times New Roman" w:hAnsi="Calibri" w:cs="Times New Roman"/>
                <w:b/>
                <w:color w:val="000000"/>
                <w:sz w:val="20"/>
              </w:rPr>
              <w:t>Practice Doctorate</w:t>
            </w:r>
          </w:p>
          <w:p w:rsidR="00392496" w:rsidRPr="00392496" w:rsidRDefault="00392496" w:rsidP="009D7603">
            <w:pPr>
              <w:spacing w:after="0" w:line="240" w:lineRule="auto"/>
              <w:jc w:val="center"/>
              <w:rPr>
                <w:rFonts w:ascii="Calibri" w:eastAsia="Times New Roman" w:hAnsi="Calibri" w:cs="Times New Roman"/>
                <w:i/>
                <w:color w:val="000000"/>
                <w:sz w:val="20"/>
              </w:rPr>
            </w:pPr>
            <w:r w:rsidRPr="00392496">
              <w:rPr>
                <w:rFonts w:ascii="Calibri" w:eastAsia="Times New Roman" w:hAnsi="Calibri" w:cs="Times New Roman"/>
                <w:i/>
                <w:color w:val="000000"/>
                <w:sz w:val="20"/>
              </w:rPr>
              <w:t>(n</w:t>
            </w:r>
            <w:r>
              <w:rPr>
                <w:rFonts w:ascii="Calibri" w:eastAsia="Times New Roman" w:hAnsi="Calibri" w:cs="Times New Roman"/>
                <w:i/>
                <w:color w:val="000000"/>
                <w:sz w:val="20"/>
              </w:rPr>
              <w:t>=</w:t>
            </w:r>
            <w:r w:rsidR="009D7603">
              <w:rPr>
                <w:rFonts w:ascii="Calibri" w:eastAsia="Times New Roman" w:hAnsi="Calibri" w:cs="Times New Roman"/>
                <w:i/>
                <w:color w:val="000000"/>
                <w:sz w:val="20"/>
              </w:rPr>
              <w:t>259</w:t>
            </w:r>
            <w:r>
              <w:rPr>
                <w:rFonts w:ascii="Calibri" w:eastAsia="Times New Roman" w:hAnsi="Calibri" w:cs="Times New Roman"/>
                <w:i/>
                <w:color w:val="000000"/>
                <w:sz w:val="20"/>
              </w:rPr>
              <w:t>)</w:t>
            </w:r>
          </w:p>
        </w:tc>
        <w:tc>
          <w:tcPr>
            <w:tcW w:w="2700" w:type="dxa"/>
            <w:tcBorders>
              <w:top w:val="single" w:sz="4" w:space="0" w:color="D9D9D9" w:themeColor="background1" w:themeShade="D9"/>
              <w:left w:val="nil"/>
              <w:bottom w:val="single" w:sz="4" w:space="0" w:color="808080" w:themeColor="background1" w:themeShade="80"/>
              <w:right w:val="nil"/>
            </w:tcBorders>
            <w:shd w:val="clear" w:color="auto" w:fill="auto"/>
            <w:noWrap/>
            <w:vAlign w:val="bottom"/>
          </w:tcPr>
          <w:p w:rsidR="00392496" w:rsidRDefault="00392496" w:rsidP="009407A0">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Academic Nursing Program</w:t>
            </w:r>
          </w:p>
          <w:p w:rsidR="00392496" w:rsidRPr="007755AC" w:rsidRDefault="00463635" w:rsidP="00463635">
            <w:pPr>
              <w:spacing w:after="0" w:line="240" w:lineRule="auto"/>
              <w:jc w:val="center"/>
              <w:rPr>
                <w:rFonts w:ascii="Calibri" w:eastAsia="Times New Roman" w:hAnsi="Calibri" w:cs="Times New Roman"/>
                <w:i/>
                <w:color w:val="000000"/>
                <w:sz w:val="20"/>
              </w:rPr>
            </w:pPr>
            <w:r w:rsidRPr="007755AC">
              <w:rPr>
                <w:rFonts w:ascii="Calibri" w:eastAsia="Times New Roman" w:hAnsi="Calibri" w:cs="Times New Roman"/>
                <w:i/>
                <w:color w:val="000000"/>
                <w:sz w:val="20"/>
              </w:rPr>
              <w:t>25.9</w:t>
            </w:r>
            <w:r w:rsidR="0053409A" w:rsidRPr="007755AC">
              <w:rPr>
                <w:rFonts w:ascii="Calibri" w:eastAsia="Times New Roman" w:hAnsi="Calibri" w:cs="Times New Roman"/>
                <w:i/>
                <w:color w:val="000000"/>
                <w:sz w:val="20"/>
              </w:rPr>
              <w:t>%</w:t>
            </w:r>
          </w:p>
        </w:tc>
        <w:tc>
          <w:tcPr>
            <w:tcW w:w="2880" w:type="dxa"/>
            <w:tcBorders>
              <w:top w:val="single" w:sz="4" w:space="0" w:color="D9D9D9" w:themeColor="background1" w:themeShade="D9"/>
              <w:left w:val="nil"/>
              <w:bottom w:val="single" w:sz="4" w:space="0" w:color="808080" w:themeColor="background1" w:themeShade="80"/>
              <w:right w:val="nil"/>
            </w:tcBorders>
            <w:vAlign w:val="bottom"/>
          </w:tcPr>
          <w:p w:rsidR="00392496" w:rsidRPr="005B02A0" w:rsidRDefault="00392496" w:rsidP="00392496">
            <w:pPr>
              <w:spacing w:after="0" w:line="240" w:lineRule="auto"/>
              <w:jc w:val="center"/>
              <w:rPr>
                <w:rFonts w:ascii="Calibri" w:eastAsia="Times New Roman" w:hAnsi="Calibri" w:cs="Times New Roman"/>
                <w:color w:val="000000"/>
                <w:sz w:val="20"/>
              </w:rPr>
            </w:pPr>
            <w:r w:rsidRPr="005B02A0">
              <w:rPr>
                <w:rFonts w:ascii="Calibri" w:eastAsia="Times New Roman" w:hAnsi="Calibri" w:cs="Times New Roman"/>
                <w:color w:val="000000"/>
                <w:sz w:val="20"/>
              </w:rPr>
              <w:t>Academic Medical Center/</w:t>
            </w:r>
            <w:proofErr w:type="spellStart"/>
            <w:r w:rsidRPr="005B02A0">
              <w:rPr>
                <w:rFonts w:ascii="Calibri" w:eastAsia="Times New Roman" w:hAnsi="Calibri" w:cs="Times New Roman"/>
                <w:color w:val="000000"/>
                <w:sz w:val="20"/>
              </w:rPr>
              <w:t>Inpt</w:t>
            </w:r>
            <w:proofErr w:type="spellEnd"/>
          </w:p>
          <w:p w:rsidR="00392496" w:rsidRPr="007755AC" w:rsidRDefault="00392496" w:rsidP="00463635">
            <w:pPr>
              <w:spacing w:after="0" w:line="240" w:lineRule="auto"/>
              <w:jc w:val="center"/>
              <w:rPr>
                <w:rFonts w:ascii="Calibri" w:eastAsia="Times New Roman" w:hAnsi="Calibri" w:cs="Times New Roman"/>
                <w:i/>
                <w:color w:val="000000"/>
                <w:sz w:val="20"/>
              </w:rPr>
            </w:pPr>
            <w:r w:rsidRPr="007755AC">
              <w:rPr>
                <w:rFonts w:ascii="Calibri" w:eastAsia="Times New Roman" w:hAnsi="Calibri" w:cs="Times New Roman"/>
                <w:i/>
                <w:color w:val="000000"/>
                <w:sz w:val="20"/>
              </w:rPr>
              <w:t>1</w:t>
            </w:r>
            <w:r w:rsidR="00463635" w:rsidRPr="007755AC">
              <w:rPr>
                <w:rFonts w:ascii="Calibri" w:eastAsia="Times New Roman" w:hAnsi="Calibri" w:cs="Times New Roman"/>
                <w:i/>
                <w:color w:val="000000"/>
                <w:sz w:val="20"/>
              </w:rPr>
              <w:t>5.8</w:t>
            </w:r>
            <w:r w:rsidR="0053409A" w:rsidRPr="007755AC">
              <w:rPr>
                <w:rFonts w:ascii="Calibri" w:eastAsia="Times New Roman" w:hAnsi="Calibri" w:cs="Times New Roman"/>
                <w:i/>
                <w:color w:val="000000"/>
                <w:sz w:val="20"/>
              </w:rPr>
              <w:t>%</w:t>
            </w:r>
          </w:p>
        </w:tc>
        <w:tc>
          <w:tcPr>
            <w:tcW w:w="2898" w:type="dxa"/>
            <w:tcBorders>
              <w:top w:val="single" w:sz="4" w:space="0" w:color="D9D9D9" w:themeColor="background1" w:themeShade="D9"/>
              <w:left w:val="nil"/>
              <w:bottom w:val="single" w:sz="4" w:space="0" w:color="808080" w:themeColor="background1" w:themeShade="80"/>
              <w:right w:val="nil"/>
            </w:tcBorders>
            <w:vAlign w:val="bottom"/>
          </w:tcPr>
          <w:p w:rsidR="00392496" w:rsidRPr="005B02A0" w:rsidRDefault="007755AC" w:rsidP="00392496">
            <w:pPr>
              <w:spacing w:after="0" w:line="240" w:lineRule="auto"/>
              <w:jc w:val="center"/>
              <w:rPr>
                <w:rFonts w:ascii="Calibri" w:eastAsia="Times New Roman" w:hAnsi="Calibri" w:cs="Times New Roman"/>
                <w:color w:val="000000"/>
                <w:sz w:val="20"/>
              </w:rPr>
            </w:pPr>
            <w:r>
              <w:rPr>
                <w:rFonts w:ascii="Calibri" w:eastAsia="Times New Roman" w:hAnsi="Calibri" w:cs="Times New Roman"/>
                <w:color w:val="000000"/>
                <w:sz w:val="20"/>
              </w:rPr>
              <w:t>Ambulatory Care</w:t>
            </w:r>
            <w:r w:rsidR="00392496">
              <w:rPr>
                <w:rFonts w:ascii="Calibri" w:eastAsia="Times New Roman" w:hAnsi="Calibri" w:cs="Times New Roman"/>
                <w:color w:val="000000"/>
                <w:sz w:val="20"/>
              </w:rPr>
              <w:t>/</w:t>
            </w:r>
            <w:r w:rsidR="00392496" w:rsidRPr="005B02A0">
              <w:rPr>
                <w:rFonts w:ascii="Calibri" w:eastAsia="Times New Roman" w:hAnsi="Calibri" w:cs="Times New Roman"/>
                <w:color w:val="000000"/>
                <w:sz w:val="20"/>
              </w:rPr>
              <w:t>Hospital-based</w:t>
            </w:r>
          </w:p>
          <w:p w:rsidR="00392496" w:rsidRPr="007755AC" w:rsidRDefault="00463635" w:rsidP="00463635">
            <w:pPr>
              <w:spacing w:after="0" w:line="240" w:lineRule="auto"/>
              <w:jc w:val="center"/>
              <w:rPr>
                <w:rFonts w:ascii="Calibri" w:eastAsia="Times New Roman" w:hAnsi="Calibri" w:cs="Times New Roman"/>
                <w:i/>
                <w:color w:val="000000"/>
                <w:sz w:val="20"/>
              </w:rPr>
            </w:pPr>
            <w:r w:rsidRPr="007755AC">
              <w:rPr>
                <w:rFonts w:ascii="Calibri" w:eastAsia="Times New Roman" w:hAnsi="Calibri" w:cs="Times New Roman"/>
                <w:i/>
                <w:color w:val="000000"/>
                <w:sz w:val="20"/>
              </w:rPr>
              <w:t>12.7</w:t>
            </w:r>
            <w:r w:rsidR="0053409A" w:rsidRPr="007755AC">
              <w:rPr>
                <w:rFonts w:ascii="Calibri" w:eastAsia="Times New Roman" w:hAnsi="Calibri" w:cs="Times New Roman"/>
                <w:i/>
                <w:color w:val="000000"/>
                <w:sz w:val="20"/>
              </w:rPr>
              <w:t>%</w:t>
            </w:r>
          </w:p>
        </w:tc>
      </w:tr>
    </w:tbl>
    <w:p w:rsidR="007755AC" w:rsidRDefault="007F13E1" w:rsidP="005B02A0">
      <w:pPr>
        <w:pStyle w:val="Footer"/>
        <w:rPr>
          <w:sz w:val="20"/>
        </w:rPr>
      </w:pPr>
      <w:r>
        <w:rPr>
          <w:sz w:val="20"/>
        </w:rPr>
        <w:t>*</w:t>
      </w:r>
      <w:r w:rsidR="003D60B1">
        <w:rPr>
          <w:sz w:val="20"/>
        </w:rPr>
        <w:t xml:space="preserve"> </w:t>
      </w:r>
      <w:proofErr w:type="spellStart"/>
      <w:r w:rsidR="003D60B1">
        <w:rPr>
          <w:sz w:val="20"/>
        </w:rPr>
        <w:t>Inpt</w:t>
      </w:r>
      <w:proofErr w:type="spellEnd"/>
      <w:r w:rsidR="003D60B1">
        <w:rPr>
          <w:sz w:val="20"/>
        </w:rPr>
        <w:t xml:space="preserve"> =</w:t>
      </w:r>
      <w:r w:rsidR="007755AC">
        <w:rPr>
          <w:sz w:val="20"/>
        </w:rPr>
        <w:t xml:space="preserve"> Inpatient Setting</w:t>
      </w:r>
    </w:p>
    <w:p w:rsidR="000D63F5" w:rsidRPr="00B06C27" w:rsidRDefault="00B31830" w:rsidP="00FC743B">
      <w:pPr>
        <w:jc w:val="both"/>
        <w:rPr>
          <w:szCs w:val="24"/>
        </w:rPr>
      </w:pPr>
      <w:r>
        <w:rPr>
          <w:sz w:val="24"/>
          <w:szCs w:val="24"/>
        </w:rPr>
        <w:br/>
      </w:r>
      <w:r w:rsidR="007F13E1">
        <w:rPr>
          <w:szCs w:val="24"/>
        </w:rPr>
        <w:t xml:space="preserve">The </w:t>
      </w:r>
      <w:r w:rsidR="00E16873">
        <w:rPr>
          <w:szCs w:val="24"/>
        </w:rPr>
        <w:t xml:space="preserve">breakdown of </w:t>
      </w:r>
      <w:r w:rsidR="007F13E1">
        <w:rPr>
          <w:szCs w:val="24"/>
        </w:rPr>
        <w:t xml:space="preserve">reported </w:t>
      </w:r>
      <w:r w:rsidR="00392496">
        <w:rPr>
          <w:szCs w:val="24"/>
        </w:rPr>
        <w:t xml:space="preserve">primary </w:t>
      </w:r>
      <w:r w:rsidR="00C108AF" w:rsidRPr="00B06C27">
        <w:rPr>
          <w:szCs w:val="24"/>
        </w:rPr>
        <w:t xml:space="preserve">practice setting </w:t>
      </w:r>
      <w:r w:rsidR="007F13E1">
        <w:rPr>
          <w:szCs w:val="24"/>
        </w:rPr>
        <w:t xml:space="preserve">of RNs </w:t>
      </w:r>
      <w:r w:rsidR="00A76C27">
        <w:rPr>
          <w:szCs w:val="24"/>
        </w:rPr>
        <w:t>varie</w:t>
      </w:r>
      <w:r w:rsidR="00E16873">
        <w:rPr>
          <w:szCs w:val="24"/>
        </w:rPr>
        <w:t>s</w:t>
      </w:r>
      <w:r w:rsidR="00C108AF" w:rsidRPr="00B06C27">
        <w:rPr>
          <w:szCs w:val="24"/>
        </w:rPr>
        <w:t xml:space="preserve"> </w:t>
      </w:r>
      <w:r w:rsidR="00527DA3">
        <w:rPr>
          <w:szCs w:val="24"/>
        </w:rPr>
        <w:t xml:space="preserve">by </w:t>
      </w:r>
      <w:r w:rsidR="00B06C27" w:rsidRPr="00B06C27">
        <w:rPr>
          <w:szCs w:val="24"/>
        </w:rPr>
        <w:t xml:space="preserve">nursing education levels. Table 2 shows the top three most frequently reported practice settings </w:t>
      </w:r>
      <w:r w:rsidR="00527DA3">
        <w:rPr>
          <w:szCs w:val="24"/>
        </w:rPr>
        <w:t>for each</w:t>
      </w:r>
      <w:r w:rsidR="00B06C27">
        <w:rPr>
          <w:szCs w:val="24"/>
        </w:rPr>
        <w:t xml:space="preserve"> nursing degree</w:t>
      </w:r>
      <w:r w:rsidR="00527DA3">
        <w:rPr>
          <w:szCs w:val="24"/>
        </w:rPr>
        <w:t xml:space="preserve"> group</w:t>
      </w:r>
      <w:r w:rsidR="00B06C27">
        <w:rPr>
          <w:szCs w:val="24"/>
        </w:rPr>
        <w:t xml:space="preserve">. </w:t>
      </w:r>
    </w:p>
    <w:p w:rsidR="007F13E1" w:rsidRDefault="007F13E1" w:rsidP="00FC743B">
      <w:pPr>
        <w:pStyle w:val="ListParagraph"/>
        <w:numPr>
          <w:ilvl w:val="0"/>
          <w:numId w:val="12"/>
        </w:numPr>
        <w:jc w:val="both"/>
        <w:rPr>
          <w:szCs w:val="24"/>
        </w:rPr>
      </w:pPr>
      <w:r>
        <w:rPr>
          <w:szCs w:val="24"/>
        </w:rPr>
        <w:t xml:space="preserve">Community Hospital/Inpatient was the most frequently reported practice setting for diploma RNs </w:t>
      </w:r>
      <w:r w:rsidR="00A35585">
        <w:rPr>
          <w:szCs w:val="24"/>
        </w:rPr>
        <w:t>as well as</w:t>
      </w:r>
      <w:r>
        <w:rPr>
          <w:szCs w:val="24"/>
        </w:rPr>
        <w:t xml:space="preserve"> nurses with an associate degree. </w:t>
      </w:r>
    </w:p>
    <w:p w:rsidR="007F13E1" w:rsidRDefault="00A357FD" w:rsidP="00FC743B">
      <w:pPr>
        <w:pStyle w:val="ListParagraph"/>
        <w:numPr>
          <w:ilvl w:val="0"/>
          <w:numId w:val="12"/>
        </w:numPr>
        <w:jc w:val="both"/>
        <w:rPr>
          <w:szCs w:val="24"/>
        </w:rPr>
      </w:pPr>
      <w:r>
        <w:rPr>
          <w:szCs w:val="24"/>
        </w:rPr>
        <w:t>Academic M</w:t>
      </w:r>
      <w:r w:rsidR="007F13E1">
        <w:rPr>
          <w:szCs w:val="24"/>
        </w:rPr>
        <w:t xml:space="preserve">edical </w:t>
      </w:r>
      <w:r>
        <w:rPr>
          <w:szCs w:val="24"/>
        </w:rPr>
        <w:t>C</w:t>
      </w:r>
      <w:r w:rsidR="007F13E1">
        <w:rPr>
          <w:szCs w:val="24"/>
        </w:rPr>
        <w:t xml:space="preserve">enter/Inpatient was the most frequently reported practice setting for </w:t>
      </w:r>
      <w:r w:rsidR="00370F1D">
        <w:rPr>
          <w:szCs w:val="24"/>
        </w:rPr>
        <w:t xml:space="preserve">registered </w:t>
      </w:r>
      <w:r w:rsidR="007F13E1">
        <w:rPr>
          <w:szCs w:val="24"/>
        </w:rPr>
        <w:t xml:space="preserve">nurses with a </w:t>
      </w:r>
      <w:r w:rsidR="00013D72">
        <w:rPr>
          <w:szCs w:val="24"/>
        </w:rPr>
        <w:t>Bach</w:t>
      </w:r>
      <w:r w:rsidR="007F13E1">
        <w:rPr>
          <w:szCs w:val="24"/>
        </w:rPr>
        <w:t xml:space="preserve">elor’s </w:t>
      </w:r>
      <w:r>
        <w:rPr>
          <w:szCs w:val="24"/>
        </w:rPr>
        <w:t>or</w:t>
      </w:r>
      <w:r w:rsidR="007F13E1">
        <w:rPr>
          <w:szCs w:val="24"/>
        </w:rPr>
        <w:t xml:space="preserve"> </w:t>
      </w:r>
      <w:r w:rsidR="00013D72">
        <w:rPr>
          <w:szCs w:val="24"/>
        </w:rPr>
        <w:t>Master</w:t>
      </w:r>
      <w:r w:rsidR="007F13E1">
        <w:rPr>
          <w:szCs w:val="24"/>
        </w:rPr>
        <w:t xml:space="preserve">’s degree. </w:t>
      </w:r>
    </w:p>
    <w:p w:rsidR="00B06C27" w:rsidRDefault="00B06C27" w:rsidP="00FC743B">
      <w:pPr>
        <w:pStyle w:val="ListParagraph"/>
        <w:numPr>
          <w:ilvl w:val="0"/>
          <w:numId w:val="12"/>
        </w:numPr>
        <w:jc w:val="both"/>
        <w:rPr>
          <w:szCs w:val="24"/>
        </w:rPr>
      </w:pPr>
      <w:r w:rsidRPr="00B06C27">
        <w:rPr>
          <w:szCs w:val="24"/>
        </w:rPr>
        <w:t>Nearly 80% of all RNs that reported working at an Academic Nursing Program have a Master’s degree or higher</w:t>
      </w:r>
      <w:r w:rsidR="005B02A0">
        <w:rPr>
          <w:szCs w:val="24"/>
        </w:rPr>
        <w:t>.</w:t>
      </w:r>
    </w:p>
    <w:p w:rsidR="00781A2A" w:rsidRDefault="00781A2A" w:rsidP="00781A2A">
      <w:pPr>
        <w:pStyle w:val="ListParagraph"/>
        <w:jc w:val="both"/>
        <w:rPr>
          <w:szCs w:val="24"/>
        </w:rPr>
      </w:pPr>
    </w:p>
    <w:p w:rsidR="00E81AE7" w:rsidRPr="00801834" w:rsidRDefault="00801834">
      <w:pPr>
        <w:rPr>
          <w:b/>
          <w:sz w:val="24"/>
          <w:szCs w:val="24"/>
          <w:u w:val="single"/>
        </w:rPr>
      </w:pPr>
      <w:r w:rsidRPr="00801834">
        <w:rPr>
          <w:b/>
          <w:sz w:val="24"/>
          <w:szCs w:val="24"/>
          <w:u w:val="single"/>
        </w:rPr>
        <w:t>Primary Role</w:t>
      </w:r>
      <w:r w:rsidR="00AD0BE4" w:rsidRPr="00AD0BE4">
        <w:rPr>
          <w:rStyle w:val="FootnoteReference"/>
          <w:b/>
          <w:color w:val="FFFFFF" w:themeColor="background1"/>
          <w:sz w:val="24"/>
          <w:szCs w:val="24"/>
          <w:u w:val="single"/>
        </w:rPr>
        <w:footnoteReference w:id="14"/>
      </w:r>
    </w:p>
    <w:p w:rsidR="00DA26C8" w:rsidRDefault="00801834" w:rsidP="00FC743B">
      <w:pPr>
        <w:jc w:val="both"/>
        <w:rPr>
          <w:szCs w:val="24"/>
        </w:rPr>
      </w:pPr>
      <w:r w:rsidRPr="00FC743B">
        <w:rPr>
          <w:noProof/>
          <w:sz w:val="20"/>
        </w:rPr>
        <w:drawing>
          <wp:anchor distT="0" distB="0" distL="114300" distR="114300" simplePos="0" relativeHeight="251713536" behindDoc="0" locked="0" layoutInCell="1" allowOverlap="1" wp14:anchorId="6F629C8A" wp14:editId="351C3C84">
            <wp:simplePos x="0" y="0"/>
            <wp:positionH relativeFrom="column">
              <wp:posOffset>2955290</wp:posOffset>
            </wp:positionH>
            <wp:positionV relativeFrom="paragraph">
              <wp:posOffset>36830</wp:posOffset>
            </wp:positionV>
            <wp:extent cx="3604260" cy="2934335"/>
            <wp:effectExtent l="0" t="0" r="0" b="0"/>
            <wp:wrapSquare wrapText="bothSides"/>
            <wp:docPr id="24" name="Chart 24" descr="Fig. 13 displays the breakdown of RNs by their role in their primary nursing position. Only roles that received 4% of responses or higher are included in the figure.&#10;&#10;The percentage breakdown of RNs by nursing role is as follows:&#10;Staff nurse 50.7%, Case Manager 7.7%, Nurse Practitioner 7.0%, Manager/Director 6.6%, Charge Nurse 6.0%, and School Nurse 4.0%.&#10;&#10;Footnote # 14 references Fig. 13." title="Figure 13. RN Role in Primary Nursing Posi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00FC743B">
        <w:rPr>
          <w:szCs w:val="24"/>
        </w:rPr>
        <w:t>Figure 1</w:t>
      </w:r>
      <w:r w:rsidR="00565355">
        <w:rPr>
          <w:szCs w:val="24"/>
        </w:rPr>
        <w:t>3</w:t>
      </w:r>
      <w:r w:rsidR="00FC743B">
        <w:rPr>
          <w:szCs w:val="24"/>
        </w:rPr>
        <w:t xml:space="preserve"> shows the five most frequently reported nursing roles that best describe their primary nursing positions. </w:t>
      </w:r>
    </w:p>
    <w:p w:rsidR="00DA26C8" w:rsidRPr="00DA26C8" w:rsidRDefault="00DA26C8" w:rsidP="00DA26C8">
      <w:pPr>
        <w:pStyle w:val="ListParagraph"/>
        <w:numPr>
          <w:ilvl w:val="0"/>
          <w:numId w:val="14"/>
        </w:numPr>
        <w:jc w:val="both"/>
        <w:rPr>
          <w:szCs w:val="24"/>
        </w:rPr>
      </w:pPr>
      <w:r>
        <w:rPr>
          <w:szCs w:val="24"/>
        </w:rPr>
        <w:t>Over 58%</w:t>
      </w:r>
      <w:r w:rsidR="00FC743B" w:rsidRPr="00DA26C8">
        <w:rPr>
          <w:szCs w:val="24"/>
        </w:rPr>
        <w:t xml:space="preserve"> of nurses </w:t>
      </w:r>
      <w:r>
        <w:rPr>
          <w:szCs w:val="24"/>
        </w:rPr>
        <w:t xml:space="preserve">with a </w:t>
      </w:r>
      <w:r w:rsidR="00013D72">
        <w:rPr>
          <w:szCs w:val="24"/>
        </w:rPr>
        <w:t>Bach</w:t>
      </w:r>
      <w:r>
        <w:rPr>
          <w:szCs w:val="24"/>
        </w:rPr>
        <w:t xml:space="preserve">elor’s degree or below </w:t>
      </w:r>
      <w:r w:rsidR="00FC743B" w:rsidRPr="00DA26C8">
        <w:rPr>
          <w:szCs w:val="24"/>
        </w:rPr>
        <w:t xml:space="preserve">reported </w:t>
      </w:r>
      <w:r w:rsidR="00781A2A">
        <w:rPr>
          <w:szCs w:val="24"/>
        </w:rPr>
        <w:t>“</w:t>
      </w:r>
      <w:r w:rsidR="00FC743B" w:rsidRPr="00DA26C8">
        <w:rPr>
          <w:szCs w:val="24"/>
        </w:rPr>
        <w:t>sta</w:t>
      </w:r>
      <w:r>
        <w:rPr>
          <w:szCs w:val="24"/>
        </w:rPr>
        <w:t>ff nurse</w:t>
      </w:r>
      <w:r w:rsidR="00781A2A">
        <w:rPr>
          <w:szCs w:val="24"/>
        </w:rPr>
        <w:t>”</w:t>
      </w:r>
      <w:r>
        <w:rPr>
          <w:szCs w:val="24"/>
        </w:rPr>
        <w:t xml:space="preserve"> as their primary role, compared to 11.7% of RNs with a Master’s degree or higher. </w:t>
      </w:r>
    </w:p>
    <w:p w:rsidR="00E53FCF" w:rsidRDefault="00063882" w:rsidP="00DA26C8">
      <w:pPr>
        <w:pStyle w:val="ListParagraph"/>
        <w:numPr>
          <w:ilvl w:val="0"/>
          <w:numId w:val="13"/>
        </w:numPr>
        <w:jc w:val="both"/>
        <w:rPr>
          <w:szCs w:val="24"/>
        </w:rPr>
      </w:pPr>
      <w:r>
        <w:rPr>
          <w:szCs w:val="24"/>
        </w:rPr>
        <w:t>“Instructor/Faculty</w:t>
      </w:r>
      <w:r w:rsidR="00DD3BFB">
        <w:rPr>
          <w:szCs w:val="24"/>
        </w:rPr>
        <w:t>”</w:t>
      </w:r>
      <w:r>
        <w:rPr>
          <w:szCs w:val="24"/>
        </w:rPr>
        <w:t xml:space="preserve"> was </w:t>
      </w:r>
      <w:r w:rsidR="00E53FCF">
        <w:rPr>
          <w:szCs w:val="24"/>
        </w:rPr>
        <w:t xml:space="preserve">identified as </w:t>
      </w:r>
      <w:r>
        <w:rPr>
          <w:szCs w:val="24"/>
        </w:rPr>
        <w:t xml:space="preserve">the primary role </w:t>
      </w:r>
      <w:r w:rsidR="00E53FCF">
        <w:rPr>
          <w:szCs w:val="24"/>
        </w:rPr>
        <w:t>for 1.8% of RNs</w:t>
      </w:r>
    </w:p>
    <w:p w:rsidR="00DA26C8" w:rsidRDefault="00DA26C8" w:rsidP="00E53FCF">
      <w:pPr>
        <w:pStyle w:val="ListParagraph"/>
        <w:numPr>
          <w:ilvl w:val="1"/>
          <w:numId w:val="13"/>
        </w:numPr>
        <w:ind w:left="1080" w:hanging="270"/>
        <w:jc w:val="both"/>
        <w:rPr>
          <w:szCs w:val="24"/>
        </w:rPr>
      </w:pPr>
      <w:r>
        <w:rPr>
          <w:szCs w:val="24"/>
        </w:rPr>
        <w:t xml:space="preserve">Over 41% of RNs with a </w:t>
      </w:r>
      <w:r w:rsidR="00013D72">
        <w:rPr>
          <w:szCs w:val="24"/>
        </w:rPr>
        <w:t>Doctor</w:t>
      </w:r>
      <w:r>
        <w:rPr>
          <w:szCs w:val="24"/>
        </w:rPr>
        <w:t xml:space="preserve">al degree reported </w:t>
      </w:r>
      <w:r w:rsidR="00AD0BE4">
        <w:rPr>
          <w:szCs w:val="24"/>
        </w:rPr>
        <w:t>“I</w:t>
      </w:r>
      <w:r>
        <w:rPr>
          <w:szCs w:val="24"/>
        </w:rPr>
        <w:t>nstructor/</w:t>
      </w:r>
      <w:r w:rsidR="00AD0BE4">
        <w:rPr>
          <w:szCs w:val="24"/>
        </w:rPr>
        <w:t>F</w:t>
      </w:r>
      <w:r>
        <w:rPr>
          <w:szCs w:val="24"/>
        </w:rPr>
        <w:t>aculty</w:t>
      </w:r>
      <w:r w:rsidR="00AD0BE4">
        <w:rPr>
          <w:szCs w:val="24"/>
        </w:rPr>
        <w:t>”</w:t>
      </w:r>
      <w:r>
        <w:rPr>
          <w:szCs w:val="24"/>
        </w:rPr>
        <w:t xml:space="preserve"> as their primary role.</w:t>
      </w:r>
    </w:p>
    <w:p w:rsidR="00DA26C8" w:rsidRDefault="00AD0BE4" w:rsidP="00DA26C8">
      <w:pPr>
        <w:pStyle w:val="ListParagraph"/>
        <w:numPr>
          <w:ilvl w:val="0"/>
          <w:numId w:val="13"/>
        </w:numPr>
        <w:jc w:val="both"/>
        <w:rPr>
          <w:szCs w:val="24"/>
        </w:rPr>
      </w:pPr>
      <w:r>
        <w:rPr>
          <w:szCs w:val="24"/>
        </w:rPr>
        <w:t xml:space="preserve">“Supervisor” </w:t>
      </w:r>
      <w:r w:rsidR="00DA26C8">
        <w:rPr>
          <w:szCs w:val="24"/>
        </w:rPr>
        <w:t>was identi</w:t>
      </w:r>
      <w:r w:rsidR="00EA4B1B">
        <w:rPr>
          <w:szCs w:val="24"/>
        </w:rPr>
        <w:t xml:space="preserve">fied as the primary role for </w:t>
      </w:r>
      <w:r>
        <w:rPr>
          <w:szCs w:val="24"/>
        </w:rPr>
        <w:t>2.8</w:t>
      </w:r>
      <w:r w:rsidR="00DA26C8">
        <w:rPr>
          <w:szCs w:val="24"/>
        </w:rPr>
        <w:t>% of RNs</w:t>
      </w:r>
      <w:r>
        <w:rPr>
          <w:szCs w:val="24"/>
        </w:rPr>
        <w:t>.</w:t>
      </w:r>
    </w:p>
    <w:p w:rsidR="007755AC" w:rsidRDefault="007755AC" w:rsidP="007755AC">
      <w:pPr>
        <w:jc w:val="both"/>
        <w:rPr>
          <w:szCs w:val="24"/>
        </w:rPr>
      </w:pPr>
    </w:p>
    <w:p w:rsidR="008E57AB" w:rsidRPr="00E16873" w:rsidRDefault="008012F5" w:rsidP="008E57AB">
      <w:pPr>
        <w:rPr>
          <w:b/>
          <w:sz w:val="24"/>
          <w:szCs w:val="24"/>
          <w:u w:val="single"/>
        </w:rPr>
      </w:pPr>
      <w:r>
        <w:rPr>
          <w:noProof/>
        </w:rPr>
        <w:lastRenderedPageBreak/>
        <w:drawing>
          <wp:anchor distT="0" distB="0" distL="114300" distR="114300" simplePos="0" relativeHeight="251714560" behindDoc="0" locked="0" layoutInCell="1" allowOverlap="1" wp14:anchorId="174A5A77" wp14:editId="1A7D37C9">
            <wp:simplePos x="0" y="0"/>
            <wp:positionH relativeFrom="column">
              <wp:posOffset>3051175</wp:posOffset>
            </wp:positionH>
            <wp:positionV relativeFrom="paragraph">
              <wp:posOffset>254635</wp:posOffset>
            </wp:positionV>
            <wp:extent cx="3902075" cy="2370455"/>
            <wp:effectExtent l="0" t="0" r="3175" b="0"/>
            <wp:wrapSquare wrapText="bothSides"/>
            <wp:docPr id="28" name="Chart 28" descr="Fig.14 displays the percentage of RNs that are providing routine direct care by the highest nursing degree obtained. &#10;&#10;The breakdown of RNs providing direct patient care by nursing education is as follows: &#10;Diploma 79.2%, Associate Degree 85.8%, Baccalaureate Degree 84.9%, Master's Degree 80.5%, Doctoral Degree 35.1%, and Practice Doctorate 66.0%." title="Figure 14. % RNs Providing Routine Direct Patient Care by Nursing Edu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8E57AB" w:rsidRPr="00E16873">
        <w:rPr>
          <w:b/>
          <w:sz w:val="24"/>
          <w:szCs w:val="24"/>
          <w:u w:val="single"/>
        </w:rPr>
        <w:t>Routine Direct Patient Care</w:t>
      </w:r>
    </w:p>
    <w:p w:rsidR="0093489E" w:rsidRPr="00E35D97" w:rsidRDefault="0093489E" w:rsidP="008E57AB">
      <w:pPr>
        <w:jc w:val="both"/>
        <w:rPr>
          <w:szCs w:val="24"/>
        </w:rPr>
      </w:pPr>
      <w:r w:rsidRPr="00E35D97">
        <w:rPr>
          <w:szCs w:val="24"/>
        </w:rPr>
        <w:t>Overall, 83% of RNs reported that they routinely provide direct patient care in their primary nursing position. Figure 1</w:t>
      </w:r>
      <w:r w:rsidR="00565355">
        <w:rPr>
          <w:szCs w:val="24"/>
        </w:rPr>
        <w:t>4</w:t>
      </w:r>
      <w:r w:rsidRPr="00E35D97">
        <w:rPr>
          <w:szCs w:val="24"/>
        </w:rPr>
        <w:t xml:space="preserve"> breaks down this percentage by </w:t>
      </w:r>
      <w:r w:rsidR="006C63D5">
        <w:rPr>
          <w:szCs w:val="24"/>
        </w:rPr>
        <w:t xml:space="preserve">highest </w:t>
      </w:r>
      <w:r w:rsidRPr="00E35D97">
        <w:rPr>
          <w:szCs w:val="24"/>
        </w:rPr>
        <w:t>nursing degree</w:t>
      </w:r>
      <w:r w:rsidR="006C63D5">
        <w:rPr>
          <w:szCs w:val="24"/>
        </w:rPr>
        <w:t xml:space="preserve"> obtained</w:t>
      </w:r>
      <w:r w:rsidRPr="00E35D97">
        <w:rPr>
          <w:szCs w:val="24"/>
        </w:rPr>
        <w:t xml:space="preserve">. </w:t>
      </w:r>
    </w:p>
    <w:p w:rsidR="0093489E" w:rsidRDefault="0093489E" w:rsidP="008012F5">
      <w:pPr>
        <w:pStyle w:val="ListParagraph"/>
        <w:numPr>
          <w:ilvl w:val="0"/>
          <w:numId w:val="19"/>
        </w:numPr>
        <w:ind w:left="360"/>
        <w:jc w:val="both"/>
        <w:rPr>
          <w:szCs w:val="24"/>
        </w:rPr>
      </w:pPr>
      <w:r w:rsidRPr="00E35D97">
        <w:rPr>
          <w:szCs w:val="24"/>
        </w:rPr>
        <w:t xml:space="preserve">Nurses with a </w:t>
      </w:r>
      <w:r w:rsidR="00013D72">
        <w:rPr>
          <w:szCs w:val="24"/>
        </w:rPr>
        <w:t>Doctor</w:t>
      </w:r>
      <w:r w:rsidRPr="00E35D97">
        <w:rPr>
          <w:szCs w:val="24"/>
        </w:rPr>
        <w:t xml:space="preserve">al degree or a </w:t>
      </w:r>
      <w:r w:rsidR="00013D72">
        <w:rPr>
          <w:szCs w:val="24"/>
        </w:rPr>
        <w:t>P</w:t>
      </w:r>
      <w:r w:rsidRPr="00E35D97">
        <w:rPr>
          <w:szCs w:val="24"/>
        </w:rPr>
        <w:t xml:space="preserve">ractice </w:t>
      </w:r>
      <w:r w:rsidR="00013D72">
        <w:rPr>
          <w:szCs w:val="24"/>
        </w:rPr>
        <w:t>D</w:t>
      </w:r>
      <w:r w:rsidRPr="00E35D97">
        <w:rPr>
          <w:szCs w:val="24"/>
        </w:rPr>
        <w:t>octorate less frequently provide routine direct patient care</w:t>
      </w:r>
      <w:r w:rsidR="006C63D5">
        <w:rPr>
          <w:szCs w:val="24"/>
        </w:rPr>
        <w:t xml:space="preserve"> compared to nurses with other nursing degrees</w:t>
      </w:r>
      <w:r w:rsidR="0021407C">
        <w:rPr>
          <w:szCs w:val="24"/>
        </w:rPr>
        <w:t>.</w:t>
      </w:r>
    </w:p>
    <w:p w:rsidR="007F5A5D" w:rsidRPr="00E35D97" w:rsidRDefault="007F5A5D" w:rsidP="008012F5">
      <w:pPr>
        <w:pStyle w:val="ListParagraph"/>
        <w:numPr>
          <w:ilvl w:val="0"/>
          <w:numId w:val="19"/>
        </w:numPr>
        <w:ind w:left="360"/>
        <w:jc w:val="both"/>
        <w:rPr>
          <w:szCs w:val="24"/>
        </w:rPr>
      </w:pPr>
      <w:r>
        <w:rPr>
          <w:szCs w:val="24"/>
        </w:rPr>
        <w:t xml:space="preserve">Nearly 95% of </w:t>
      </w:r>
      <w:r w:rsidR="00370F1D">
        <w:rPr>
          <w:szCs w:val="24"/>
        </w:rPr>
        <w:t>RNs</w:t>
      </w:r>
      <w:r>
        <w:rPr>
          <w:szCs w:val="24"/>
        </w:rPr>
        <w:t xml:space="preserve"> under the age of 35 provide routine direct patient care compared to 79% of </w:t>
      </w:r>
      <w:r w:rsidR="00370F1D">
        <w:rPr>
          <w:szCs w:val="24"/>
        </w:rPr>
        <w:t>RNs</w:t>
      </w:r>
      <w:r>
        <w:rPr>
          <w:szCs w:val="24"/>
        </w:rPr>
        <w:t xml:space="preserve"> 55 years or older. </w:t>
      </w:r>
    </w:p>
    <w:p w:rsidR="008E57AB" w:rsidRPr="00E16873" w:rsidRDefault="008E57AB" w:rsidP="008E57AB">
      <w:pPr>
        <w:rPr>
          <w:b/>
          <w:sz w:val="24"/>
          <w:szCs w:val="24"/>
          <w:u w:val="single"/>
        </w:rPr>
      </w:pPr>
      <w:r w:rsidRPr="00E16873">
        <w:rPr>
          <w:b/>
          <w:sz w:val="24"/>
          <w:szCs w:val="24"/>
          <w:u w:val="single"/>
        </w:rPr>
        <w:t>Patient Populations Treated</w:t>
      </w:r>
      <w:r w:rsidR="008012F5" w:rsidRPr="008012F5">
        <w:rPr>
          <w:rStyle w:val="FootnoteReference"/>
          <w:b/>
          <w:color w:val="FFFFFF" w:themeColor="background1"/>
          <w:sz w:val="24"/>
          <w:szCs w:val="24"/>
          <w:u w:val="single"/>
        </w:rPr>
        <w:footnoteReference w:id="15"/>
      </w:r>
    </w:p>
    <w:p w:rsidR="00E81AE7" w:rsidRDefault="008012F5" w:rsidP="00A42FFD">
      <w:pPr>
        <w:jc w:val="both"/>
        <w:rPr>
          <w:szCs w:val="24"/>
        </w:rPr>
      </w:pPr>
      <w:r w:rsidRPr="00065595">
        <w:rPr>
          <w:noProof/>
          <w:color w:val="FFFFFF" w:themeColor="background1"/>
        </w:rPr>
        <w:drawing>
          <wp:anchor distT="0" distB="0" distL="114300" distR="114300" simplePos="0" relativeHeight="251715584" behindDoc="0" locked="0" layoutInCell="1" allowOverlap="1" wp14:anchorId="50D1E878" wp14:editId="1FD02441">
            <wp:simplePos x="0" y="0"/>
            <wp:positionH relativeFrom="column">
              <wp:posOffset>-85090</wp:posOffset>
            </wp:positionH>
            <wp:positionV relativeFrom="paragraph">
              <wp:posOffset>53975</wp:posOffset>
            </wp:positionV>
            <wp:extent cx="3476625" cy="2136775"/>
            <wp:effectExtent l="0" t="0" r="0" b="0"/>
            <wp:wrapSquare wrapText="bothSides"/>
            <wp:docPr id="20" name="Chart 20" descr="Fig.15 displays the percentage of RNs that treat specific population groups in their primary nursing position. The breakdown of population groups treated is as follows:&#10;Neonatal/Infants 29.1%, Children 30.7%, Adolescents/Young Adults 42.1%, Adults 86.9%, and Elders 57.7%.&#10;&#10;Note that each of the above percentages include nurses that reported working with all age groups. This is described in Footnote # 15 that references Fig. 15." title="Figure 15. Distribution of Patient Populations Treated in Primary Nursing Posi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B929A4">
        <w:rPr>
          <w:szCs w:val="24"/>
        </w:rPr>
        <w:t>Figure 1</w:t>
      </w:r>
      <w:r w:rsidR="00565355">
        <w:rPr>
          <w:szCs w:val="24"/>
        </w:rPr>
        <w:t>5</w:t>
      </w:r>
      <w:r w:rsidR="00B929A4">
        <w:rPr>
          <w:szCs w:val="24"/>
        </w:rPr>
        <w:t xml:space="preserve"> displays the percent</w:t>
      </w:r>
      <w:r w:rsidR="00370F1D">
        <w:rPr>
          <w:szCs w:val="24"/>
        </w:rPr>
        <w:t>age</w:t>
      </w:r>
      <w:r w:rsidR="00B929A4">
        <w:rPr>
          <w:szCs w:val="24"/>
        </w:rPr>
        <w:t xml:space="preserve"> of </w:t>
      </w:r>
      <w:r w:rsidR="00370F1D">
        <w:rPr>
          <w:szCs w:val="24"/>
        </w:rPr>
        <w:t>RNs</w:t>
      </w:r>
      <w:r w:rsidR="00B929A4">
        <w:rPr>
          <w:szCs w:val="24"/>
        </w:rPr>
        <w:t xml:space="preserve"> that treat </w:t>
      </w:r>
      <w:r w:rsidR="001D6E14">
        <w:rPr>
          <w:szCs w:val="24"/>
        </w:rPr>
        <w:t>specific patient population</w:t>
      </w:r>
      <w:r w:rsidR="009F6399">
        <w:rPr>
          <w:szCs w:val="24"/>
        </w:rPr>
        <w:t xml:space="preserve"> groups in their primary nursing position.</w:t>
      </w:r>
    </w:p>
    <w:p w:rsidR="00E16873" w:rsidRPr="00E16873" w:rsidRDefault="00E16873" w:rsidP="008012F5">
      <w:pPr>
        <w:pStyle w:val="ListParagraph"/>
        <w:numPr>
          <w:ilvl w:val="0"/>
          <w:numId w:val="20"/>
        </w:numPr>
        <w:ind w:left="6210" w:hanging="5850"/>
        <w:jc w:val="both"/>
        <w:rPr>
          <w:szCs w:val="24"/>
        </w:rPr>
      </w:pPr>
      <w:r>
        <w:rPr>
          <w:szCs w:val="24"/>
        </w:rPr>
        <w:t xml:space="preserve">Approximately 20% of </w:t>
      </w:r>
      <w:r w:rsidR="00370F1D">
        <w:rPr>
          <w:szCs w:val="24"/>
        </w:rPr>
        <w:t>RNs</w:t>
      </w:r>
      <w:r>
        <w:rPr>
          <w:szCs w:val="24"/>
        </w:rPr>
        <w:t xml:space="preserve"> reported treating all age groups in their primary position.</w:t>
      </w:r>
    </w:p>
    <w:p w:rsidR="001D6E14" w:rsidRDefault="002240BE" w:rsidP="008012F5">
      <w:pPr>
        <w:pStyle w:val="ListParagraph"/>
        <w:numPr>
          <w:ilvl w:val="0"/>
          <w:numId w:val="20"/>
        </w:numPr>
        <w:ind w:left="6210" w:hanging="5850"/>
        <w:jc w:val="both"/>
        <w:rPr>
          <w:szCs w:val="24"/>
        </w:rPr>
      </w:pPr>
      <w:r>
        <w:rPr>
          <w:szCs w:val="24"/>
        </w:rPr>
        <w:t xml:space="preserve">The majority of </w:t>
      </w:r>
      <w:r w:rsidR="00370F1D">
        <w:rPr>
          <w:szCs w:val="24"/>
        </w:rPr>
        <w:t>RNs</w:t>
      </w:r>
      <w:r>
        <w:rPr>
          <w:szCs w:val="24"/>
        </w:rPr>
        <w:t xml:space="preserve"> (93</w:t>
      </w:r>
      <w:r w:rsidR="001D6E14">
        <w:rPr>
          <w:szCs w:val="24"/>
        </w:rPr>
        <w:t>.</w:t>
      </w:r>
      <w:r>
        <w:rPr>
          <w:szCs w:val="24"/>
        </w:rPr>
        <w:t>4</w:t>
      </w:r>
      <w:r w:rsidR="001D6E14">
        <w:rPr>
          <w:szCs w:val="24"/>
        </w:rPr>
        <w:t xml:space="preserve">%) </w:t>
      </w:r>
      <w:r w:rsidR="0021407C">
        <w:rPr>
          <w:szCs w:val="24"/>
        </w:rPr>
        <w:t xml:space="preserve">reported </w:t>
      </w:r>
      <w:r w:rsidR="001D6E14">
        <w:rPr>
          <w:szCs w:val="24"/>
        </w:rPr>
        <w:t>treat</w:t>
      </w:r>
      <w:r w:rsidR="0021407C">
        <w:rPr>
          <w:szCs w:val="24"/>
        </w:rPr>
        <w:t>ing</w:t>
      </w:r>
      <w:r w:rsidR="001D6E14">
        <w:rPr>
          <w:szCs w:val="24"/>
        </w:rPr>
        <w:t xml:space="preserve"> adults </w:t>
      </w:r>
      <w:r>
        <w:rPr>
          <w:szCs w:val="24"/>
        </w:rPr>
        <w:t>and/or elders</w:t>
      </w:r>
      <w:r w:rsidR="00E16873">
        <w:rPr>
          <w:rStyle w:val="FootnoteReference"/>
          <w:szCs w:val="24"/>
        </w:rPr>
        <w:footnoteReference w:id="16"/>
      </w:r>
      <w:r w:rsidR="0021407C">
        <w:rPr>
          <w:szCs w:val="24"/>
        </w:rPr>
        <w:t>.</w:t>
      </w:r>
    </w:p>
    <w:p w:rsidR="00481A7A" w:rsidRDefault="00481A7A" w:rsidP="008012F5">
      <w:pPr>
        <w:pStyle w:val="ListParagraph"/>
        <w:numPr>
          <w:ilvl w:val="0"/>
          <w:numId w:val="20"/>
        </w:numPr>
        <w:ind w:left="6210" w:hanging="5850"/>
        <w:jc w:val="both"/>
        <w:rPr>
          <w:szCs w:val="24"/>
        </w:rPr>
      </w:pPr>
      <w:r>
        <w:rPr>
          <w:szCs w:val="24"/>
        </w:rPr>
        <w:t xml:space="preserve">Excluding </w:t>
      </w:r>
      <w:r w:rsidR="00370F1D">
        <w:rPr>
          <w:szCs w:val="24"/>
        </w:rPr>
        <w:t>RNs</w:t>
      </w:r>
      <w:r>
        <w:rPr>
          <w:szCs w:val="24"/>
        </w:rPr>
        <w:t xml:space="preserve"> that reported working with all age groups, 10.5% reported working spec</w:t>
      </w:r>
      <w:r w:rsidR="008012F5">
        <w:rPr>
          <w:szCs w:val="24"/>
        </w:rPr>
        <w:t>ifically with neonatal/infants and 12.4% with children.</w:t>
      </w:r>
    </w:p>
    <w:p w:rsidR="008E57AB" w:rsidRPr="00E16873" w:rsidRDefault="00194B63" w:rsidP="008E57AB">
      <w:pPr>
        <w:rPr>
          <w:sz w:val="24"/>
          <w:szCs w:val="24"/>
        </w:rPr>
      </w:pPr>
      <w:r>
        <w:rPr>
          <w:b/>
          <w:sz w:val="24"/>
          <w:szCs w:val="24"/>
          <w:u w:val="single"/>
        </w:rPr>
        <w:br/>
      </w:r>
      <w:r w:rsidR="008012F5">
        <w:rPr>
          <w:noProof/>
        </w:rPr>
        <w:drawing>
          <wp:anchor distT="0" distB="0" distL="114300" distR="114300" simplePos="0" relativeHeight="251716608" behindDoc="0" locked="0" layoutInCell="1" allowOverlap="1" wp14:anchorId="0F0B913B" wp14:editId="49CF4014">
            <wp:simplePos x="0" y="0"/>
            <wp:positionH relativeFrom="column">
              <wp:posOffset>2668270</wp:posOffset>
            </wp:positionH>
            <wp:positionV relativeFrom="paragraph">
              <wp:posOffset>125095</wp:posOffset>
            </wp:positionV>
            <wp:extent cx="4199255" cy="2700655"/>
            <wp:effectExtent l="0" t="0" r="0" b="0"/>
            <wp:wrapSquare wrapText="bothSides"/>
            <wp:docPr id="31" name="Chart 31" descr="Fig.16 displays the most frequently reported areas of practice in the RN primary nursing position. The figure only includes areas of practice that received 4% of responses or more. &#10;&#10;The breakdown of areas of practice are as follows:&#10;Acute care 18.6%, critical care 7.2%, home health 6.4%, primary care 6.2%, anesthesia/perioperative 5.3%, long term care 5.2%, emergency/trauma, 5.1%, mental health/substance abuse 5.0%, case management 4.9%, labor &amp; delivery/post partum 4.5%, school health 4.0%. &#10;&#10;Footnote # 17 references Fig. 16." title="Figure 16. Most Frequently Reported Areas of Practice in Primary Nursing Posi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8E57AB" w:rsidRPr="00E16873">
        <w:rPr>
          <w:b/>
          <w:sz w:val="24"/>
          <w:szCs w:val="24"/>
          <w:u w:val="single"/>
        </w:rPr>
        <w:t>Areas of Practice</w:t>
      </w:r>
    </w:p>
    <w:p w:rsidR="00481A7A" w:rsidRDefault="008E57AB" w:rsidP="00481A7A">
      <w:pPr>
        <w:jc w:val="both"/>
        <w:rPr>
          <w:szCs w:val="24"/>
        </w:rPr>
      </w:pPr>
      <w:r w:rsidRPr="008E57AB">
        <w:rPr>
          <w:sz w:val="4"/>
          <w:szCs w:val="24"/>
        </w:rPr>
        <w:br/>
      </w:r>
      <w:r w:rsidR="00A42FFD">
        <w:rPr>
          <w:szCs w:val="24"/>
        </w:rPr>
        <w:t>Figure 1</w:t>
      </w:r>
      <w:r w:rsidR="00565355">
        <w:rPr>
          <w:szCs w:val="24"/>
        </w:rPr>
        <w:t>6</w:t>
      </w:r>
      <w:r w:rsidR="00A42FFD">
        <w:rPr>
          <w:szCs w:val="24"/>
        </w:rPr>
        <w:t xml:space="preserve"> displays the most frequently reported areas of practice that best describe the </w:t>
      </w:r>
      <w:r w:rsidR="00370F1D">
        <w:rPr>
          <w:szCs w:val="24"/>
        </w:rPr>
        <w:t>RNs’</w:t>
      </w:r>
      <w:r w:rsidR="00A42FFD">
        <w:rPr>
          <w:szCs w:val="24"/>
        </w:rPr>
        <w:t xml:space="preserve"> primary nursing position</w:t>
      </w:r>
      <w:r w:rsidR="00BF4944">
        <w:rPr>
          <w:szCs w:val="24"/>
        </w:rPr>
        <w:t>.</w:t>
      </w:r>
      <w:r w:rsidR="00A42FFD" w:rsidRPr="00BF4944">
        <w:rPr>
          <w:rStyle w:val="FootnoteReference"/>
          <w:color w:val="FFFFFF" w:themeColor="background1"/>
          <w:szCs w:val="24"/>
        </w:rPr>
        <w:footnoteReference w:id="17"/>
      </w:r>
    </w:p>
    <w:p w:rsidR="00481A7A" w:rsidRDefault="00A71CEA" w:rsidP="008012F5">
      <w:pPr>
        <w:pStyle w:val="ListParagraph"/>
        <w:numPr>
          <w:ilvl w:val="0"/>
          <w:numId w:val="21"/>
        </w:numPr>
        <w:ind w:left="360"/>
        <w:jc w:val="both"/>
        <w:rPr>
          <w:szCs w:val="24"/>
        </w:rPr>
      </w:pPr>
      <w:r>
        <w:rPr>
          <w:szCs w:val="24"/>
        </w:rPr>
        <w:t xml:space="preserve">Over 34% of </w:t>
      </w:r>
      <w:r w:rsidR="00370F1D">
        <w:rPr>
          <w:szCs w:val="24"/>
        </w:rPr>
        <w:t>RNs</w:t>
      </w:r>
      <w:r>
        <w:rPr>
          <w:szCs w:val="24"/>
        </w:rPr>
        <w:t xml:space="preserve"> with a </w:t>
      </w:r>
      <w:r w:rsidR="00013D72">
        <w:rPr>
          <w:szCs w:val="24"/>
        </w:rPr>
        <w:t>Doctor</w:t>
      </w:r>
      <w:r>
        <w:rPr>
          <w:szCs w:val="24"/>
        </w:rPr>
        <w:t xml:space="preserve">al degree in nursing reported </w:t>
      </w:r>
      <w:r w:rsidR="00013D72">
        <w:rPr>
          <w:szCs w:val="24"/>
        </w:rPr>
        <w:t>“</w:t>
      </w:r>
      <w:r>
        <w:rPr>
          <w:szCs w:val="24"/>
        </w:rPr>
        <w:t>Education</w:t>
      </w:r>
      <w:r w:rsidR="00013D72">
        <w:rPr>
          <w:szCs w:val="24"/>
        </w:rPr>
        <w:t>”</w:t>
      </w:r>
      <w:r>
        <w:rPr>
          <w:szCs w:val="24"/>
        </w:rPr>
        <w:t xml:space="preserve"> as their area of practice.</w:t>
      </w:r>
    </w:p>
    <w:p w:rsidR="00A71CEA" w:rsidRPr="00A71CEA" w:rsidRDefault="00A71CEA" w:rsidP="008012F5">
      <w:pPr>
        <w:pStyle w:val="ListParagraph"/>
        <w:numPr>
          <w:ilvl w:val="0"/>
          <w:numId w:val="21"/>
        </w:numPr>
        <w:ind w:left="360"/>
        <w:jc w:val="both"/>
        <w:rPr>
          <w:szCs w:val="24"/>
        </w:rPr>
      </w:pPr>
      <w:r>
        <w:rPr>
          <w:szCs w:val="24"/>
        </w:rPr>
        <w:t xml:space="preserve">Primary care was the reported area of practice for 14.7% of </w:t>
      </w:r>
      <w:r w:rsidR="00370F1D">
        <w:rPr>
          <w:szCs w:val="24"/>
        </w:rPr>
        <w:t xml:space="preserve">RNs </w:t>
      </w:r>
      <w:r>
        <w:rPr>
          <w:szCs w:val="24"/>
        </w:rPr>
        <w:t xml:space="preserve">with a Master’s degree and 15.1% of nurses with a </w:t>
      </w:r>
      <w:r w:rsidR="00013D72">
        <w:rPr>
          <w:szCs w:val="24"/>
        </w:rPr>
        <w:t>P</w:t>
      </w:r>
      <w:r>
        <w:rPr>
          <w:szCs w:val="24"/>
        </w:rPr>
        <w:t xml:space="preserve">ractice </w:t>
      </w:r>
      <w:r w:rsidR="00013D72">
        <w:rPr>
          <w:szCs w:val="24"/>
        </w:rPr>
        <w:t>D</w:t>
      </w:r>
      <w:r>
        <w:rPr>
          <w:szCs w:val="24"/>
        </w:rPr>
        <w:t>octorate in nursing.</w:t>
      </w:r>
    </w:p>
    <w:p w:rsidR="00E81AE7" w:rsidRDefault="009E4162">
      <w:pPr>
        <w:rPr>
          <w:b/>
          <w:szCs w:val="24"/>
          <w:u w:val="single"/>
        </w:rPr>
      </w:pPr>
      <w:r w:rsidRPr="00B54187">
        <w:rPr>
          <w:noProof/>
          <w:sz w:val="24"/>
        </w:rPr>
        <w:lastRenderedPageBreak/>
        <w:drawing>
          <wp:anchor distT="0" distB="0" distL="114300" distR="114300" simplePos="0" relativeHeight="251719680" behindDoc="0" locked="0" layoutInCell="1" allowOverlap="1" wp14:anchorId="2EDA0939" wp14:editId="7DA08DE5">
            <wp:simplePos x="0" y="0"/>
            <wp:positionH relativeFrom="column">
              <wp:posOffset>3295650</wp:posOffset>
            </wp:positionH>
            <wp:positionV relativeFrom="paragraph">
              <wp:posOffset>222885</wp:posOffset>
            </wp:positionV>
            <wp:extent cx="3699510" cy="2253615"/>
            <wp:effectExtent l="0" t="0" r="0" b="0"/>
            <wp:wrapSquare wrapText="bothSides"/>
            <wp:docPr id="3" name="Chart 3" descr="Fig. 17 displays the percentage of RNs in each of the most commonly reported roles in their secondary nursing position. Nurses that did not report a second nursing position were not included. Roles that received fewer than 4% of responses were also not included. &#10;&#10;The breakdown of secondary nursing roles are as follows:&#10;Staff nurse 42.3%, instructor/faculty 10.0%, nurse practitioner 7.8%, school nurse 5.4%, case manager 4.5%, charge nurse 4.0%&#10;&#10;Footnote # 18 references Fig. 17. " title="Figure 17. RN Role in Second Nursing Posi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8E57AB" w:rsidRPr="00B54187">
        <w:rPr>
          <w:b/>
          <w:sz w:val="24"/>
          <w:szCs w:val="24"/>
          <w:u w:val="single"/>
        </w:rPr>
        <w:t>Second Nursing Position</w:t>
      </w:r>
      <w:r w:rsidR="00480009" w:rsidRPr="00480009">
        <w:rPr>
          <w:rStyle w:val="FootnoteReference"/>
          <w:b/>
          <w:color w:val="FFFFFF" w:themeColor="background1"/>
          <w:sz w:val="24"/>
          <w:szCs w:val="24"/>
          <w:u w:val="single"/>
        </w:rPr>
        <w:footnoteReference w:id="18"/>
      </w:r>
    </w:p>
    <w:p w:rsidR="008E57AB" w:rsidRDefault="009E4162" w:rsidP="00E15491">
      <w:pPr>
        <w:jc w:val="both"/>
        <w:rPr>
          <w:szCs w:val="24"/>
        </w:rPr>
      </w:pPr>
      <w:r>
        <w:rPr>
          <w:szCs w:val="24"/>
        </w:rPr>
        <w:t xml:space="preserve">Of the 68,716 </w:t>
      </w:r>
      <w:r w:rsidR="00370F1D">
        <w:rPr>
          <w:szCs w:val="24"/>
        </w:rPr>
        <w:t xml:space="preserve">RNs </w:t>
      </w:r>
      <w:r>
        <w:rPr>
          <w:szCs w:val="24"/>
        </w:rPr>
        <w:t xml:space="preserve">who are currently practicing in MA, 11,974 </w:t>
      </w:r>
      <w:r w:rsidR="00370F1D">
        <w:rPr>
          <w:szCs w:val="24"/>
        </w:rPr>
        <w:t xml:space="preserve">RNs </w:t>
      </w:r>
      <w:r>
        <w:rPr>
          <w:szCs w:val="24"/>
        </w:rPr>
        <w:t>reported have a second nursing position (17.4%). Figure 17 displays the most commonly reported roles in their second nursing position.</w:t>
      </w:r>
    </w:p>
    <w:p w:rsidR="009E4162" w:rsidRDefault="009E4162" w:rsidP="00E15491">
      <w:pPr>
        <w:pStyle w:val="ListParagraph"/>
        <w:numPr>
          <w:ilvl w:val="0"/>
          <w:numId w:val="22"/>
        </w:numPr>
        <w:jc w:val="both"/>
        <w:rPr>
          <w:szCs w:val="24"/>
        </w:rPr>
      </w:pPr>
      <w:r>
        <w:rPr>
          <w:szCs w:val="24"/>
        </w:rPr>
        <w:t xml:space="preserve">As with the primary nursing roles, </w:t>
      </w:r>
      <w:r w:rsidR="00194B63">
        <w:rPr>
          <w:szCs w:val="24"/>
        </w:rPr>
        <w:t>“S</w:t>
      </w:r>
      <w:r>
        <w:rPr>
          <w:szCs w:val="24"/>
        </w:rPr>
        <w:t xml:space="preserve">taff </w:t>
      </w:r>
      <w:r w:rsidR="00194B63">
        <w:rPr>
          <w:szCs w:val="24"/>
        </w:rPr>
        <w:t>N</w:t>
      </w:r>
      <w:r>
        <w:rPr>
          <w:szCs w:val="24"/>
        </w:rPr>
        <w:t>urse</w:t>
      </w:r>
      <w:r w:rsidR="00194B63">
        <w:rPr>
          <w:szCs w:val="24"/>
        </w:rPr>
        <w:t>”</w:t>
      </w:r>
      <w:r>
        <w:rPr>
          <w:szCs w:val="24"/>
        </w:rPr>
        <w:t xml:space="preserve"> </w:t>
      </w:r>
      <w:r w:rsidR="00194B63">
        <w:rPr>
          <w:szCs w:val="24"/>
        </w:rPr>
        <w:t xml:space="preserve">is </w:t>
      </w:r>
      <w:r>
        <w:rPr>
          <w:szCs w:val="24"/>
        </w:rPr>
        <w:t xml:space="preserve">the most commonly reported role in second nursing position. </w:t>
      </w:r>
    </w:p>
    <w:p w:rsidR="009E4162" w:rsidRPr="009E4162" w:rsidRDefault="009E4162" w:rsidP="00E15491">
      <w:pPr>
        <w:pStyle w:val="ListParagraph"/>
        <w:numPr>
          <w:ilvl w:val="0"/>
          <w:numId w:val="22"/>
        </w:numPr>
        <w:jc w:val="both"/>
        <w:rPr>
          <w:szCs w:val="24"/>
        </w:rPr>
      </w:pPr>
      <w:r>
        <w:rPr>
          <w:szCs w:val="24"/>
        </w:rPr>
        <w:t xml:space="preserve">Nearly 11% of RNs reported instructor/faculty as their second nursing role, compared to 1.8% </w:t>
      </w:r>
      <w:r w:rsidR="005D24DB">
        <w:rPr>
          <w:szCs w:val="24"/>
        </w:rPr>
        <w:t xml:space="preserve">of nurses for their primary nursing role. </w:t>
      </w:r>
    </w:p>
    <w:p w:rsidR="005D24DB" w:rsidRPr="00B54187" w:rsidRDefault="00704C3A" w:rsidP="00E15491">
      <w:pPr>
        <w:jc w:val="both"/>
        <w:rPr>
          <w:sz w:val="24"/>
          <w:szCs w:val="24"/>
        </w:rPr>
      </w:pPr>
      <w:r>
        <w:rPr>
          <w:b/>
          <w:sz w:val="24"/>
          <w:szCs w:val="24"/>
          <w:u w:val="single"/>
        </w:rPr>
        <w:t xml:space="preserve">Mental Health and </w:t>
      </w:r>
      <w:r w:rsidR="005D24DB" w:rsidRPr="00B54187">
        <w:rPr>
          <w:b/>
          <w:sz w:val="24"/>
          <w:szCs w:val="24"/>
          <w:u w:val="single"/>
        </w:rPr>
        <w:t>Disability Training</w:t>
      </w:r>
    </w:p>
    <w:p w:rsidR="005D24DB" w:rsidRDefault="005D24DB" w:rsidP="00E15491">
      <w:pPr>
        <w:jc w:val="both"/>
        <w:rPr>
          <w:szCs w:val="24"/>
        </w:rPr>
      </w:pPr>
      <w:r>
        <w:rPr>
          <w:szCs w:val="24"/>
        </w:rPr>
        <w:t>RNs were asked what trainings they would be interested in attending regarding treating patients with disabilities</w:t>
      </w:r>
      <w:r w:rsidR="00704C3A">
        <w:rPr>
          <w:szCs w:val="24"/>
        </w:rPr>
        <w:t xml:space="preserve"> and mental illness</w:t>
      </w:r>
      <w:r>
        <w:rPr>
          <w:szCs w:val="24"/>
        </w:rPr>
        <w:t xml:space="preserve">. </w:t>
      </w:r>
      <w:r w:rsidR="008C4582">
        <w:rPr>
          <w:szCs w:val="24"/>
        </w:rPr>
        <w:t xml:space="preserve">Over 25% of </w:t>
      </w:r>
      <w:r w:rsidR="00370F1D">
        <w:rPr>
          <w:szCs w:val="24"/>
        </w:rPr>
        <w:t xml:space="preserve">RNs </w:t>
      </w:r>
      <w:r w:rsidR="008C4582">
        <w:rPr>
          <w:szCs w:val="24"/>
        </w:rPr>
        <w:t xml:space="preserve">reported interest in training on mental illness. Other commonly </w:t>
      </w:r>
      <w:r w:rsidR="00A76C27">
        <w:rPr>
          <w:szCs w:val="24"/>
        </w:rPr>
        <w:t>requested</w:t>
      </w:r>
      <w:r w:rsidR="008C4582">
        <w:rPr>
          <w:szCs w:val="24"/>
        </w:rPr>
        <w:t xml:space="preserve"> training topics include: brain injuries (17.8%), intellectual or developmental disabilities (15.9%), mobility impairment (12.2%), deafness or hard of hearing (11.0%), blindness and low vision (8.4%), and epilepsy (7.0%). </w:t>
      </w:r>
    </w:p>
    <w:p w:rsidR="008C4582" w:rsidRPr="00B54187" w:rsidRDefault="008C4582">
      <w:pPr>
        <w:rPr>
          <w:sz w:val="24"/>
          <w:szCs w:val="24"/>
        </w:rPr>
      </w:pPr>
      <w:r w:rsidRPr="00B54187">
        <w:rPr>
          <w:b/>
          <w:sz w:val="24"/>
          <w:szCs w:val="24"/>
          <w:u w:val="single"/>
        </w:rPr>
        <w:t>Unemployment</w:t>
      </w:r>
    </w:p>
    <w:p w:rsidR="0086574F" w:rsidRDefault="0086574F" w:rsidP="001526F7">
      <w:pPr>
        <w:jc w:val="both"/>
        <w:rPr>
          <w:szCs w:val="24"/>
        </w:rPr>
      </w:pPr>
      <w:r>
        <w:rPr>
          <w:noProof/>
        </w:rPr>
        <w:drawing>
          <wp:anchor distT="0" distB="0" distL="114300" distR="114300" simplePos="0" relativeHeight="251720704" behindDoc="0" locked="0" layoutInCell="1" allowOverlap="1" wp14:anchorId="6BEFBA03" wp14:editId="66C006CA">
            <wp:simplePos x="0" y="0"/>
            <wp:positionH relativeFrom="column">
              <wp:posOffset>5715</wp:posOffset>
            </wp:positionH>
            <wp:positionV relativeFrom="paragraph">
              <wp:posOffset>53975</wp:posOffset>
            </wp:positionV>
            <wp:extent cx="3895090" cy="1733550"/>
            <wp:effectExtent l="0" t="0" r="0" b="0"/>
            <wp:wrapSquare wrapText="bothSides"/>
            <wp:docPr id="8" name="Chart 8" descr="Fig.18 displays the most commonly reported reasons for unemployment among RNs that completed the workforce survey. This figure only includes RNs that reported being unemployed. &#10;&#10;The breakdown of primary reason is as follows:&#10;Taking care of home/family 45.3%, disabled 15.9%, cannot find a nursing position 14.9%, enrolled in school 6.1%.&#10;&#10;Footnote # 19 references Fig. 18." title="Figure 18. Most Commonly Reported Reasons for Unemployment Among RN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8C4582">
        <w:rPr>
          <w:szCs w:val="24"/>
        </w:rPr>
        <w:t xml:space="preserve">Of the </w:t>
      </w:r>
      <w:r w:rsidR="00370F1D">
        <w:rPr>
          <w:szCs w:val="24"/>
        </w:rPr>
        <w:t xml:space="preserve">RNs </w:t>
      </w:r>
      <w:r w:rsidR="008C4582">
        <w:rPr>
          <w:szCs w:val="24"/>
        </w:rPr>
        <w:t xml:space="preserve">that completed the workforce survey, 4.8% reported being currently unemployed. </w:t>
      </w:r>
    </w:p>
    <w:p w:rsidR="00E15491" w:rsidRPr="00E15491" w:rsidRDefault="0086574F" w:rsidP="001526F7">
      <w:pPr>
        <w:jc w:val="both"/>
        <w:rPr>
          <w:szCs w:val="24"/>
        </w:rPr>
      </w:pPr>
      <w:r>
        <w:rPr>
          <w:szCs w:val="24"/>
        </w:rPr>
        <w:t>Figure 18 displays the most commonly reported reasons for unemployment</w:t>
      </w:r>
      <w:r w:rsidR="0050352E">
        <w:rPr>
          <w:szCs w:val="24"/>
        </w:rPr>
        <w:t xml:space="preserve"> among RNs that completed the workforce survey</w:t>
      </w:r>
      <w:r w:rsidR="00BA3B52">
        <w:rPr>
          <w:rStyle w:val="FootnoteReference"/>
          <w:szCs w:val="24"/>
        </w:rPr>
        <w:footnoteReference w:id="19"/>
      </w:r>
      <w:r>
        <w:rPr>
          <w:szCs w:val="24"/>
        </w:rPr>
        <w:t xml:space="preserve">. </w:t>
      </w:r>
      <w:r w:rsidR="00086B38">
        <w:rPr>
          <w:szCs w:val="24"/>
        </w:rPr>
        <w:t>Nearly half</w:t>
      </w:r>
      <w:r w:rsidR="00E15491" w:rsidRPr="00E15491">
        <w:rPr>
          <w:szCs w:val="24"/>
        </w:rPr>
        <w:t xml:space="preserve"> of </w:t>
      </w:r>
      <w:r w:rsidR="00086B38">
        <w:rPr>
          <w:szCs w:val="24"/>
        </w:rPr>
        <w:t xml:space="preserve">the unemployed </w:t>
      </w:r>
      <w:r w:rsidR="00370F1D">
        <w:rPr>
          <w:szCs w:val="24"/>
        </w:rPr>
        <w:t>RNs</w:t>
      </w:r>
      <w:r w:rsidR="00370F1D" w:rsidRPr="00E15491">
        <w:rPr>
          <w:szCs w:val="24"/>
        </w:rPr>
        <w:t xml:space="preserve"> </w:t>
      </w:r>
      <w:r w:rsidR="00E15491" w:rsidRPr="00E15491">
        <w:rPr>
          <w:szCs w:val="24"/>
        </w:rPr>
        <w:t>are 55 years</w:t>
      </w:r>
      <w:r w:rsidR="00086B38">
        <w:rPr>
          <w:szCs w:val="24"/>
        </w:rPr>
        <w:t xml:space="preserve"> of age</w:t>
      </w:r>
      <w:r w:rsidR="00E15491" w:rsidRPr="00E15491">
        <w:rPr>
          <w:szCs w:val="24"/>
        </w:rPr>
        <w:t xml:space="preserve"> or older (47.9%).</w:t>
      </w:r>
    </w:p>
    <w:p w:rsidR="0050352E" w:rsidRPr="0050352E" w:rsidRDefault="00B54187">
      <w:pPr>
        <w:rPr>
          <w:b/>
          <w:szCs w:val="24"/>
          <w:u w:val="single"/>
        </w:rPr>
      </w:pPr>
      <w:r w:rsidRPr="00480009">
        <w:rPr>
          <w:noProof/>
          <w:sz w:val="14"/>
        </w:rPr>
        <w:drawing>
          <wp:anchor distT="0" distB="0" distL="114300" distR="114300" simplePos="0" relativeHeight="251721728" behindDoc="0" locked="0" layoutInCell="1" allowOverlap="1" wp14:anchorId="5C2D3062" wp14:editId="4CA608BA">
            <wp:simplePos x="0" y="0"/>
            <wp:positionH relativeFrom="column">
              <wp:posOffset>-1633855</wp:posOffset>
            </wp:positionH>
            <wp:positionV relativeFrom="paragraph">
              <wp:posOffset>347980</wp:posOffset>
            </wp:positionV>
            <wp:extent cx="4613910" cy="2275205"/>
            <wp:effectExtent l="0" t="0" r="0" b="0"/>
            <wp:wrapSquare wrapText="bothSides"/>
            <wp:docPr id="12" name="Chart 12" descr="Fig.19 displays the breakdown of RNs and their future plans within the next 5 years. &#10;&#10;The percentage breakdown of future plans is as follows: &#10;Work the same as now 44.9%, seek additional education 16.5%, retire 9.0%, change nursing position 7.4%, reduce hours of nursing work 5.0%, increase nursing hours 4.1%, return to nursing 3.2%, leave nursing but not retire 0.6%, other/no response 9.2%." title="Figure 19. RN Future Plans Within the Next 5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1526F7" w:rsidRPr="00480009">
        <w:rPr>
          <w:b/>
          <w:sz w:val="12"/>
          <w:szCs w:val="24"/>
          <w:u w:val="single"/>
        </w:rPr>
        <w:br/>
      </w:r>
      <w:r w:rsidR="0050352E" w:rsidRPr="00B54187">
        <w:rPr>
          <w:b/>
          <w:sz w:val="24"/>
          <w:szCs w:val="24"/>
          <w:u w:val="single"/>
        </w:rPr>
        <w:t>Future Plans</w:t>
      </w:r>
    </w:p>
    <w:p w:rsidR="00086B38" w:rsidRDefault="00370F1D" w:rsidP="00721818">
      <w:pPr>
        <w:jc w:val="both"/>
        <w:rPr>
          <w:szCs w:val="24"/>
        </w:rPr>
      </w:pPr>
      <w:r>
        <w:rPr>
          <w:szCs w:val="24"/>
        </w:rPr>
        <w:t xml:space="preserve">RNs </w:t>
      </w:r>
      <w:r w:rsidR="001526F7">
        <w:rPr>
          <w:szCs w:val="24"/>
        </w:rPr>
        <w:t xml:space="preserve">were asked to report on their plans regarding their nursing practice within the next five years. Figure </w:t>
      </w:r>
      <w:r w:rsidR="00086B38">
        <w:rPr>
          <w:szCs w:val="24"/>
        </w:rPr>
        <w:t>1</w:t>
      </w:r>
      <w:r w:rsidR="001526F7">
        <w:rPr>
          <w:szCs w:val="24"/>
        </w:rPr>
        <w:t xml:space="preserve">9 is a breakdown of their responses. </w:t>
      </w:r>
    </w:p>
    <w:p w:rsidR="00B929A4" w:rsidRDefault="001526F7" w:rsidP="00721818">
      <w:pPr>
        <w:jc w:val="both"/>
        <w:rPr>
          <w:szCs w:val="24"/>
        </w:rPr>
      </w:pPr>
      <w:r>
        <w:rPr>
          <w:szCs w:val="24"/>
        </w:rPr>
        <w:t xml:space="preserve">For the </w:t>
      </w:r>
      <w:r w:rsidR="00370F1D">
        <w:rPr>
          <w:szCs w:val="24"/>
        </w:rPr>
        <w:t xml:space="preserve">RNs </w:t>
      </w:r>
      <w:r>
        <w:rPr>
          <w:szCs w:val="24"/>
        </w:rPr>
        <w:t xml:space="preserve">that reported that they were leaving the nursing field but </w:t>
      </w:r>
      <w:r w:rsidR="003D1889">
        <w:rPr>
          <w:szCs w:val="24"/>
        </w:rPr>
        <w:t>do not plan to retire</w:t>
      </w:r>
      <w:r w:rsidR="00086B38">
        <w:rPr>
          <w:szCs w:val="24"/>
        </w:rPr>
        <w:t xml:space="preserve">, </w:t>
      </w:r>
      <w:r>
        <w:rPr>
          <w:szCs w:val="24"/>
        </w:rPr>
        <w:t xml:space="preserve">35% reported leaving due to dissatisfaction with job, 18% for family/personal reasons, and 11% due to the physical requirements of the job. </w:t>
      </w:r>
    </w:p>
    <w:p w:rsidR="00B929A4" w:rsidRDefault="00B61D56" w:rsidP="00B61D56">
      <w:pPr>
        <w:pBdr>
          <w:bottom w:val="single" w:sz="4" w:space="1" w:color="auto"/>
        </w:pBdr>
        <w:rPr>
          <w:szCs w:val="24"/>
        </w:rPr>
      </w:pPr>
      <w:r>
        <w:rPr>
          <w:b/>
          <w:color w:val="7F7F7F" w:themeColor="text1" w:themeTint="80"/>
          <w:sz w:val="28"/>
          <w:szCs w:val="24"/>
        </w:rPr>
        <w:lastRenderedPageBreak/>
        <w:t>Geographic Distribution</w:t>
      </w:r>
    </w:p>
    <w:p w:rsidR="009E04AB" w:rsidRDefault="006132D0">
      <w:pPr>
        <w:rPr>
          <w:szCs w:val="24"/>
        </w:rPr>
      </w:pPr>
      <w:r w:rsidRPr="009E04AB">
        <w:rPr>
          <w:noProof/>
          <w:szCs w:val="24"/>
        </w:rPr>
        <mc:AlternateContent>
          <mc:Choice Requires="wps">
            <w:drawing>
              <wp:anchor distT="0" distB="0" distL="114300" distR="114300" simplePos="0" relativeHeight="251723776" behindDoc="0" locked="0" layoutInCell="1" allowOverlap="1" wp14:anchorId="18A99B58" wp14:editId="3DB9354B">
                <wp:simplePos x="0" y="0"/>
                <wp:positionH relativeFrom="column">
                  <wp:posOffset>903605</wp:posOffset>
                </wp:positionH>
                <wp:positionV relativeFrom="paragraph">
                  <wp:posOffset>588172</wp:posOffset>
                </wp:positionV>
                <wp:extent cx="4976126"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6126" cy="1403985"/>
                        </a:xfrm>
                        <a:prstGeom prst="rect">
                          <a:avLst/>
                        </a:prstGeom>
                        <a:noFill/>
                        <a:ln w="9525">
                          <a:noFill/>
                          <a:miter lim="800000"/>
                          <a:headEnd/>
                          <a:tailEnd/>
                        </a:ln>
                      </wps:spPr>
                      <wps:txbx>
                        <w:txbxContent>
                          <w:p w:rsidR="009E04AB" w:rsidRPr="009E04AB" w:rsidRDefault="009E04AB" w:rsidP="009E04AB">
                            <w:pPr>
                              <w:jc w:val="center"/>
                              <w:rPr>
                                <w:sz w:val="24"/>
                              </w:rPr>
                            </w:pPr>
                            <w:proofErr w:type="gramStart"/>
                            <w:r w:rsidRPr="009E04AB">
                              <w:rPr>
                                <w:i/>
                                <w:sz w:val="24"/>
                              </w:rPr>
                              <w:t>Figure 20.</w:t>
                            </w:r>
                            <w:proofErr w:type="gramEnd"/>
                            <w:r w:rsidRPr="009E04AB">
                              <w:rPr>
                                <w:sz w:val="24"/>
                              </w:rPr>
                              <w:t xml:space="preserve"> </w:t>
                            </w:r>
                            <w:r w:rsidR="005B18E2">
                              <w:rPr>
                                <w:b/>
                                <w:sz w:val="24"/>
                              </w:rPr>
                              <w:t xml:space="preserve">2014 </w:t>
                            </w:r>
                            <w:r w:rsidR="006132D0">
                              <w:rPr>
                                <w:b/>
                                <w:sz w:val="24"/>
                              </w:rPr>
                              <w:t xml:space="preserve">Number of RNs per 1,000 </w:t>
                            </w:r>
                            <w:r w:rsidR="003D2CCE">
                              <w:rPr>
                                <w:b/>
                                <w:sz w:val="24"/>
                              </w:rPr>
                              <w:t>P</w:t>
                            </w:r>
                            <w:r w:rsidR="006132D0">
                              <w:rPr>
                                <w:b/>
                                <w:sz w:val="24"/>
                              </w:rPr>
                              <w:t>opulation</w:t>
                            </w:r>
                            <w:r w:rsidRPr="009E04AB">
                              <w:rPr>
                                <w:b/>
                                <w:sz w:val="24"/>
                              </w:rPr>
                              <w:t xml:space="preserve"> at City/Town Level</w:t>
                            </w:r>
                            <w:r>
                              <w:rPr>
                                <w:b/>
                                <w:vertAlign w:val="superscript"/>
                              </w:rPr>
                              <w:br/>
                            </w:r>
                            <w:r w:rsidRPr="009E04AB">
                              <w:rPr>
                                <w:sz w:val="20"/>
                              </w:rPr>
                              <w:t>n=68,160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margin-left:71.15pt;margin-top:46.3pt;width:391.8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" filled="f" stroked="f">
                <v:textbox style="mso-fit-shape-to-text:t">
                  <w:txbxContent>
                    <w:p w:rsidR="009E04AB" w:rsidRPr="009E04AB" w:rsidRDefault="009E04AB" w:rsidP="009E04AB">
                      <w:pPr>
                        <w:jc w:val="center"/>
                        <w:rPr>
                          <w:sz w:val="24"/>
                        </w:rPr>
                      </w:pPr>
                      <w:proofErr w:type="gramStart"/>
                      <w:r w:rsidRPr="009E04AB">
                        <w:rPr>
                          <w:i/>
                          <w:sz w:val="24"/>
                        </w:rPr>
                        <w:t>Figure 20.</w:t>
                      </w:r>
                      <w:proofErr w:type="gramEnd"/>
                      <w:r w:rsidRPr="009E04AB">
                        <w:rPr>
                          <w:sz w:val="24"/>
                        </w:rPr>
                        <w:t xml:space="preserve"> </w:t>
                      </w:r>
                      <w:r w:rsidR="005B18E2">
                        <w:rPr>
                          <w:b/>
                          <w:sz w:val="24"/>
                        </w:rPr>
                        <w:t xml:space="preserve">2014 </w:t>
                      </w:r>
                      <w:r w:rsidR="006132D0">
                        <w:rPr>
                          <w:b/>
                          <w:sz w:val="24"/>
                        </w:rPr>
                        <w:t xml:space="preserve">Number of RNs per 1,000 </w:t>
                      </w:r>
                      <w:r w:rsidR="003D2CCE">
                        <w:rPr>
                          <w:b/>
                          <w:sz w:val="24"/>
                        </w:rPr>
                        <w:t>P</w:t>
                      </w:r>
                      <w:r w:rsidR="006132D0">
                        <w:rPr>
                          <w:b/>
                          <w:sz w:val="24"/>
                        </w:rPr>
                        <w:t>opulation</w:t>
                      </w:r>
                      <w:r w:rsidRPr="009E04AB">
                        <w:rPr>
                          <w:b/>
                          <w:sz w:val="24"/>
                        </w:rPr>
                        <w:t xml:space="preserve"> at City/Town Level</w:t>
                      </w:r>
                      <w:r>
                        <w:rPr>
                          <w:b/>
                          <w:vertAlign w:val="superscript"/>
                        </w:rPr>
                        <w:br/>
                      </w:r>
                      <w:r w:rsidRPr="009E04AB">
                        <w:rPr>
                          <w:sz w:val="20"/>
                        </w:rPr>
                        <w:t>n=68,160</w:t>
                      </w:r>
                    </w:p>
                  </w:txbxContent>
                </v:textbox>
              </v:shape>
            </w:pict>
          </mc:Fallback>
        </mc:AlternateContent>
      </w:r>
      <w:r w:rsidR="009E04AB">
        <w:rPr>
          <w:szCs w:val="24"/>
        </w:rPr>
        <w:t xml:space="preserve">Figure 20 displays </w:t>
      </w:r>
      <w:r w:rsidR="00040FCA">
        <w:rPr>
          <w:szCs w:val="24"/>
        </w:rPr>
        <w:t xml:space="preserve">a map of the </w:t>
      </w:r>
      <w:r>
        <w:rPr>
          <w:szCs w:val="24"/>
        </w:rPr>
        <w:t xml:space="preserve">RN to population ratios </w:t>
      </w:r>
      <w:r w:rsidR="009E04AB">
        <w:rPr>
          <w:szCs w:val="24"/>
        </w:rPr>
        <w:t>at the city/town level</w:t>
      </w:r>
      <w:r w:rsidR="00230D9E">
        <w:rPr>
          <w:szCs w:val="24"/>
        </w:rPr>
        <w:t>.</w:t>
      </w:r>
      <w:r w:rsidR="009E04AB">
        <w:rPr>
          <w:rStyle w:val="FootnoteReference"/>
          <w:szCs w:val="24"/>
        </w:rPr>
        <w:footnoteReference w:id="20"/>
      </w:r>
      <w:r w:rsidR="009E04AB">
        <w:rPr>
          <w:szCs w:val="24"/>
        </w:rPr>
        <w:t xml:space="preserve"> Communi</w:t>
      </w:r>
      <w:r w:rsidR="00040FCA">
        <w:rPr>
          <w:szCs w:val="24"/>
        </w:rPr>
        <w:t xml:space="preserve">ties with a higher provider to population ratio are depicted in darker shades of blue, while communities with a lower provider to population ratio are in light blue. Communities where no </w:t>
      </w:r>
      <w:r w:rsidR="00370F1D">
        <w:rPr>
          <w:szCs w:val="24"/>
        </w:rPr>
        <w:t xml:space="preserve">RNs </w:t>
      </w:r>
      <w:r w:rsidR="00040FCA">
        <w:rPr>
          <w:szCs w:val="24"/>
        </w:rPr>
        <w:t xml:space="preserve">reported a primary practice location are </w:t>
      </w:r>
      <w:r w:rsidR="00496DFD">
        <w:rPr>
          <w:szCs w:val="24"/>
        </w:rPr>
        <w:t>depicted in white</w:t>
      </w:r>
      <w:r w:rsidR="00040FCA">
        <w:rPr>
          <w:szCs w:val="24"/>
        </w:rPr>
        <w:t xml:space="preserve"> with red stripes. </w:t>
      </w:r>
    </w:p>
    <w:p w:rsidR="00040FCA" w:rsidRPr="0024214C" w:rsidRDefault="00131515">
      <w:pPr>
        <w:rPr>
          <w:sz w:val="2"/>
          <w:szCs w:val="24"/>
        </w:rPr>
      </w:pPr>
      <w:r>
        <w:rPr>
          <w:noProof/>
          <w:szCs w:val="24"/>
        </w:rPr>
        <w:drawing>
          <wp:anchor distT="0" distB="0" distL="114300" distR="114300" simplePos="0" relativeHeight="251727872" behindDoc="1" locked="0" layoutInCell="1" allowOverlap="1" wp14:anchorId="3A384318" wp14:editId="1B72D3C0">
            <wp:simplePos x="0" y="0"/>
            <wp:positionH relativeFrom="column">
              <wp:posOffset>1050925</wp:posOffset>
            </wp:positionH>
            <wp:positionV relativeFrom="paragraph">
              <wp:posOffset>51245</wp:posOffset>
            </wp:positionV>
            <wp:extent cx="4755515" cy="2968625"/>
            <wp:effectExtent l="0" t="0" r="6985" b="3175"/>
            <wp:wrapNone/>
            <wp:docPr id="13" name="Picture 13" descr="Fig.20 displays a map of Massachusetts and the RN to population ratios at the city town level. The categories for RN to popluation ratios are: no RNs, less than 2.5, 2.5 to 5.99, 6 to 9.99, 10 to 16.99, and 17 to 45.&#10;&#10;Communities with no RNs are concentrated in the western portion of the state." title="Figure 20. Number of RNs per 1000 Population at City/Town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 Distribution Map.jpg"/>
                    <pic:cNvPicPr/>
                  </pic:nvPicPr>
                  <pic:blipFill rotWithShape="1">
                    <a:blip r:embed="rId33" cstate="print">
                      <a:extLst>
                        <a:ext uri="{28A0092B-C50C-407E-A947-70E740481C1C}">
                          <a14:useLocalDpi xmlns:a14="http://schemas.microsoft.com/office/drawing/2010/main" val="0"/>
                        </a:ext>
                      </a:extLst>
                    </a:blip>
                    <a:srcRect l="5544" t="13901" r="4540" b="13452"/>
                    <a:stretch/>
                  </pic:blipFill>
                  <pic:spPr bwMode="auto">
                    <a:xfrm>
                      <a:off x="0" y="0"/>
                      <a:ext cx="47555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29A4" w:rsidRDefault="00B929A4" w:rsidP="009E04AB">
      <w:pPr>
        <w:jc w:val="center"/>
        <w:rPr>
          <w:szCs w:val="24"/>
        </w:rPr>
      </w:pPr>
    </w:p>
    <w:p w:rsidR="0024214C" w:rsidRDefault="0024214C" w:rsidP="009E04AB">
      <w:pPr>
        <w:jc w:val="center"/>
        <w:rPr>
          <w:szCs w:val="24"/>
        </w:rPr>
      </w:pPr>
    </w:p>
    <w:p w:rsidR="0024214C" w:rsidRDefault="0024214C" w:rsidP="009E04AB">
      <w:pPr>
        <w:jc w:val="center"/>
        <w:rPr>
          <w:szCs w:val="24"/>
        </w:rPr>
      </w:pPr>
    </w:p>
    <w:p w:rsidR="0024214C" w:rsidRDefault="0024214C" w:rsidP="009E04AB">
      <w:pPr>
        <w:jc w:val="center"/>
        <w:rPr>
          <w:szCs w:val="24"/>
        </w:rPr>
      </w:pPr>
    </w:p>
    <w:p w:rsidR="0024214C" w:rsidRDefault="0024214C" w:rsidP="009E04AB">
      <w:pPr>
        <w:jc w:val="center"/>
        <w:rPr>
          <w:szCs w:val="24"/>
        </w:rPr>
      </w:pPr>
    </w:p>
    <w:p w:rsidR="006132D0" w:rsidRDefault="006132D0" w:rsidP="009E04AB">
      <w:pPr>
        <w:jc w:val="center"/>
        <w:rPr>
          <w:szCs w:val="24"/>
        </w:rPr>
      </w:pPr>
    </w:p>
    <w:p w:rsidR="0024214C" w:rsidRDefault="0024214C" w:rsidP="009E04AB">
      <w:pPr>
        <w:jc w:val="center"/>
        <w:rPr>
          <w:szCs w:val="24"/>
        </w:rPr>
      </w:pPr>
    </w:p>
    <w:p w:rsidR="0024214C" w:rsidRDefault="0024214C" w:rsidP="009E04AB">
      <w:pPr>
        <w:jc w:val="center"/>
        <w:rPr>
          <w:szCs w:val="24"/>
        </w:rPr>
      </w:pPr>
    </w:p>
    <w:p w:rsidR="0024214C" w:rsidRPr="00FF229D" w:rsidRDefault="0024214C" w:rsidP="009E04AB">
      <w:pPr>
        <w:jc w:val="center"/>
        <w:rPr>
          <w:sz w:val="14"/>
          <w:szCs w:val="24"/>
        </w:rPr>
      </w:pPr>
    </w:p>
    <w:p w:rsidR="00B929A4" w:rsidRDefault="00131515">
      <w:pPr>
        <w:rPr>
          <w:szCs w:val="24"/>
        </w:rPr>
      </w:pPr>
      <w:r w:rsidRPr="009E04AB">
        <w:rPr>
          <w:noProof/>
          <w:szCs w:val="24"/>
        </w:rPr>
        <mc:AlternateContent>
          <mc:Choice Requires="wps">
            <w:drawing>
              <wp:anchor distT="0" distB="0" distL="114300" distR="114300" simplePos="0" relativeHeight="251725824" behindDoc="0" locked="0" layoutInCell="1" allowOverlap="1" wp14:anchorId="1F323309" wp14:editId="63DCA248">
                <wp:simplePos x="0" y="0"/>
                <wp:positionH relativeFrom="column">
                  <wp:posOffset>446567</wp:posOffset>
                </wp:positionH>
                <wp:positionV relativeFrom="paragraph">
                  <wp:posOffset>787769</wp:posOffset>
                </wp:positionV>
                <wp:extent cx="5592711" cy="140398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711" cy="1403985"/>
                        </a:xfrm>
                        <a:prstGeom prst="rect">
                          <a:avLst/>
                        </a:prstGeom>
                        <a:noFill/>
                        <a:ln w="9525">
                          <a:noFill/>
                          <a:miter lim="800000"/>
                          <a:headEnd/>
                          <a:tailEnd/>
                        </a:ln>
                      </wps:spPr>
                      <wps:txbx>
                        <w:txbxContent>
                          <w:p w:rsidR="0024214C" w:rsidRPr="0024214C" w:rsidRDefault="0024214C" w:rsidP="0024214C">
                            <w:pPr>
                              <w:jc w:val="center"/>
                              <w:rPr>
                                <w:b/>
                                <w:sz w:val="24"/>
                              </w:rPr>
                            </w:pPr>
                            <w:proofErr w:type="gramStart"/>
                            <w:r w:rsidRPr="009E04AB">
                              <w:rPr>
                                <w:i/>
                                <w:sz w:val="24"/>
                              </w:rPr>
                              <w:t>Figure 2</w:t>
                            </w:r>
                            <w:r>
                              <w:rPr>
                                <w:i/>
                                <w:sz w:val="24"/>
                              </w:rPr>
                              <w:t>1</w:t>
                            </w:r>
                            <w:r w:rsidRPr="009E04AB">
                              <w:rPr>
                                <w:i/>
                                <w:sz w:val="24"/>
                              </w:rPr>
                              <w:t>.</w:t>
                            </w:r>
                            <w:proofErr w:type="gramEnd"/>
                            <w:r w:rsidRPr="009E04AB">
                              <w:rPr>
                                <w:sz w:val="24"/>
                              </w:rPr>
                              <w:t xml:space="preserve"> </w:t>
                            </w:r>
                            <w:r w:rsidR="005B18E2">
                              <w:rPr>
                                <w:b/>
                                <w:sz w:val="24"/>
                              </w:rPr>
                              <w:t xml:space="preserve">2014 </w:t>
                            </w:r>
                            <w:r w:rsidRPr="0024214C">
                              <w:rPr>
                                <w:b/>
                                <w:sz w:val="24"/>
                              </w:rPr>
                              <w:t xml:space="preserve">Clusters of </w:t>
                            </w:r>
                            <w:r>
                              <w:rPr>
                                <w:b/>
                                <w:sz w:val="24"/>
                              </w:rPr>
                              <w:t>Communities with High and Low RN to Population Ratios</w:t>
                            </w:r>
                            <w:r>
                              <w:rPr>
                                <w:b/>
                                <w:sz w:val="24"/>
                              </w:rPr>
                              <w:br/>
                            </w:r>
                            <w:r w:rsidRPr="009E04AB">
                              <w:rPr>
                                <w:sz w:val="20"/>
                              </w:rPr>
                              <w:t>n=68,160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margin-left:35.15pt;margin-top:62.05pt;width:440.35pt;height:110.5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" filled="f" stroked="f">
                <v:textbox style="mso-fit-shape-to-text:t">
                  <w:txbxContent>
                    <w:p w:rsidR="0024214C" w:rsidRPr="0024214C" w:rsidRDefault="0024214C" w:rsidP="0024214C">
                      <w:pPr>
                        <w:jc w:val="center"/>
                        <w:rPr>
                          <w:b/>
                          <w:sz w:val="24"/>
                        </w:rPr>
                      </w:pPr>
                      <w:proofErr w:type="gramStart"/>
                      <w:r w:rsidRPr="009E04AB">
                        <w:rPr>
                          <w:i/>
                          <w:sz w:val="24"/>
                        </w:rPr>
                        <w:t>Figure 2</w:t>
                      </w:r>
                      <w:r>
                        <w:rPr>
                          <w:i/>
                          <w:sz w:val="24"/>
                        </w:rPr>
                        <w:t>1</w:t>
                      </w:r>
                      <w:r w:rsidRPr="009E04AB">
                        <w:rPr>
                          <w:i/>
                          <w:sz w:val="24"/>
                        </w:rPr>
                        <w:t>.</w:t>
                      </w:r>
                      <w:proofErr w:type="gramEnd"/>
                      <w:r w:rsidRPr="009E04AB">
                        <w:rPr>
                          <w:sz w:val="24"/>
                        </w:rPr>
                        <w:t xml:space="preserve"> </w:t>
                      </w:r>
                      <w:r w:rsidR="005B18E2">
                        <w:rPr>
                          <w:b/>
                          <w:sz w:val="24"/>
                        </w:rPr>
                        <w:t xml:space="preserve">2014 </w:t>
                      </w:r>
                      <w:r w:rsidRPr="0024214C">
                        <w:rPr>
                          <w:b/>
                          <w:sz w:val="24"/>
                        </w:rPr>
                        <w:t xml:space="preserve">Clusters of </w:t>
                      </w:r>
                      <w:r>
                        <w:rPr>
                          <w:b/>
                          <w:sz w:val="24"/>
                        </w:rPr>
                        <w:t>Communities with High and Low RN to Population Ratios</w:t>
                      </w:r>
                      <w:r>
                        <w:rPr>
                          <w:b/>
                          <w:sz w:val="24"/>
                        </w:rPr>
                        <w:br/>
                      </w:r>
                      <w:r w:rsidRPr="009E04AB">
                        <w:rPr>
                          <w:sz w:val="20"/>
                        </w:rPr>
                        <w:t>n=68,160</w:t>
                      </w:r>
                    </w:p>
                  </w:txbxContent>
                </v:textbox>
              </v:shape>
            </w:pict>
          </mc:Fallback>
        </mc:AlternateContent>
      </w:r>
      <w:r w:rsidR="0024214C">
        <w:rPr>
          <w:szCs w:val="24"/>
        </w:rPr>
        <w:t xml:space="preserve">Figure 21 </w:t>
      </w:r>
      <w:r w:rsidR="006132D0">
        <w:rPr>
          <w:szCs w:val="24"/>
        </w:rPr>
        <w:t>shows</w:t>
      </w:r>
      <w:r w:rsidR="0024214C">
        <w:rPr>
          <w:szCs w:val="24"/>
        </w:rPr>
        <w:t xml:space="preserve"> a hot spot analysis of RN to population ratios at the city/town level</w:t>
      </w:r>
      <w:r w:rsidR="00230D9E">
        <w:rPr>
          <w:szCs w:val="24"/>
        </w:rPr>
        <w:t>.</w:t>
      </w:r>
      <w:r w:rsidR="0015629D">
        <w:rPr>
          <w:rStyle w:val="FootnoteReference"/>
          <w:szCs w:val="24"/>
        </w:rPr>
        <w:footnoteReference w:id="21"/>
      </w:r>
      <w:r w:rsidR="0024214C">
        <w:rPr>
          <w:szCs w:val="24"/>
        </w:rPr>
        <w:t xml:space="preserve"> The analysis identifies significant clusters of communities with high RN to population ratios (depicted in red) and low RN to population ratios (depicted in blue). </w:t>
      </w:r>
      <w:r>
        <w:rPr>
          <w:szCs w:val="24"/>
        </w:rPr>
        <w:t xml:space="preserve">Significant clusters of communities with higher RN density are located in the Boston, Metro West, and Northeast regions of the state. Clusters of communities with lower RN density are located in the Western and Central regions. </w:t>
      </w:r>
    </w:p>
    <w:p w:rsidR="00515B2E" w:rsidRDefault="00FF229D" w:rsidP="00515B2E">
      <w:pPr>
        <w:jc w:val="center"/>
        <w:rPr>
          <w:szCs w:val="24"/>
        </w:rPr>
        <w:sectPr w:rsidR="00515B2E" w:rsidSect="00FC237F">
          <w:footerReference w:type="default" r:id="rId34"/>
          <w:pgSz w:w="12240" w:h="15840"/>
          <w:pgMar w:top="720" w:right="720" w:bottom="720" w:left="720" w:header="720" w:footer="720" w:gutter="0"/>
          <w:cols w:space="720"/>
          <w:docGrid w:linePitch="360"/>
        </w:sectPr>
      </w:pPr>
      <w:r w:rsidRPr="00FF229D">
        <w:rPr>
          <w:noProof/>
          <w:szCs w:val="24"/>
        </w:rPr>
        <mc:AlternateContent>
          <mc:Choice Requires="wps">
            <w:drawing>
              <wp:anchor distT="0" distB="0" distL="114300" distR="114300" simplePos="0" relativeHeight="251735040" behindDoc="0" locked="0" layoutInCell="1" allowOverlap="1" wp14:anchorId="224A7EF9" wp14:editId="1EF5CFA1">
                <wp:simplePos x="0" y="0"/>
                <wp:positionH relativeFrom="column">
                  <wp:posOffset>-29845</wp:posOffset>
                </wp:positionH>
                <wp:positionV relativeFrom="paragraph">
                  <wp:posOffset>2827655</wp:posOffset>
                </wp:positionV>
                <wp:extent cx="1412875" cy="55753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557530"/>
                        </a:xfrm>
                        <a:prstGeom prst="rect">
                          <a:avLst/>
                        </a:prstGeom>
                        <a:noFill/>
                        <a:ln w="9525">
                          <a:noFill/>
                          <a:miter lim="800000"/>
                          <a:headEnd/>
                          <a:tailEnd/>
                        </a:ln>
                      </wps:spPr>
                      <wps:txbx>
                        <w:txbxContent>
                          <w:p w:rsidR="00FF229D" w:rsidRPr="00FF229D" w:rsidRDefault="00FF229D" w:rsidP="00FF229D">
                            <w:pPr>
                              <w:jc w:val="center"/>
                              <w:rPr>
                                <w:sz w:val="18"/>
                              </w:rPr>
                            </w:pPr>
                            <w:r w:rsidRPr="00FF229D">
                              <w:rPr>
                                <w:sz w:val="18"/>
                              </w:rPr>
                              <w:t xml:space="preserve">Cluster of Communities with </w:t>
                            </w:r>
                            <w:r>
                              <w:rPr>
                                <w:sz w:val="18"/>
                              </w:rPr>
                              <w:t>Higher</w:t>
                            </w:r>
                            <w:r w:rsidRPr="00FF229D">
                              <w:rPr>
                                <w:sz w:val="18"/>
                              </w:rPr>
                              <w:t xml:space="preserve"> RN to Population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35pt;margin-top:222.65pt;width:111.25pt;height:4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" filled="f" stroked="f">
                <v:textbox>
                  <w:txbxContent>
                    <w:p w:rsidR="00FF229D" w:rsidRPr="00FF229D" w:rsidRDefault="00FF229D" w:rsidP="00FF229D">
                      <w:pPr>
                        <w:jc w:val="center"/>
                        <w:rPr>
                          <w:sz w:val="18"/>
                        </w:rPr>
                      </w:pPr>
                      <w:r w:rsidRPr="00FF229D">
                        <w:rPr>
                          <w:sz w:val="18"/>
                        </w:rPr>
                        <w:t xml:space="preserve">Cluster of Communities with </w:t>
                      </w:r>
                      <w:r>
                        <w:rPr>
                          <w:sz w:val="18"/>
                        </w:rPr>
                        <w:t>Higher</w:t>
                      </w:r>
                      <w:r w:rsidRPr="00FF229D">
                        <w:rPr>
                          <w:sz w:val="18"/>
                        </w:rPr>
                        <w:t xml:space="preserve"> RN to Population Ratios</w:t>
                      </w:r>
                    </w:p>
                  </w:txbxContent>
                </v:textbox>
              </v:shape>
            </w:pict>
          </mc:Fallback>
        </mc:AlternateContent>
      </w:r>
      <w:r w:rsidRPr="00FF229D">
        <w:rPr>
          <w:noProof/>
          <w:szCs w:val="24"/>
        </w:rPr>
        <mc:AlternateContent>
          <mc:Choice Requires="wps">
            <w:drawing>
              <wp:anchor distT="0" distB="0" distL="114300" distR="114300" simplePos="0" relativeHeight="251732992" behindDoc="0" locked="0" layoutInCell="1" allowOverlap="1" wp14:anchorId="572B1DAB" wp14:editId="2C1DFC38">
                <wp:simplePos x="0" y="0"/>
                <wp:positionH relativeFrom="column">
                  <wp:posOffset>-29845</wp:posOffset>
                </wp:positionH>
                <wp:positionV relativeFrom="paragraph">
                  <wp:posOffset>2210435</wp:posOffset>
                </wp:positionV>
                <wp:extent cx="1412875" cy="61722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617220"/>
                        </a:xfrm>
                        <a:prstGeom prst="rect">
                          <a:avLst/>
                        </a:prstGeom>
                        <a:noFill/>
                        <a:ln w="9525">
                          <a:noFill/>
                          <a:miter lim="800000"/>
                          <a:headEnd/>
                          <a:tailEnd/>
                        </a:ln>
                      </wps:spPr>
                      <wps:txbx>
                        <w:txbxContent>
                          <w:p w:rsidR="00FF229D" w:rsidRPr="00FF229D" w:rsidRDefault="00FF229D" w:rsidP="00FF229D">
                            <w:pPr>
                              <w:jc w:val="center"/>
                              <w:rPr>
                                <w:sz w:val="18"/>
                              </w:rPr>
                            </w:pPr>
                            <w:r w:rsidRPr="00FF229D">
                              <w:rPr>
                                <w:sz w:val="18"/>
                              </w:rPr>
                              <w:t>Cluster of Communities with Lower RN to Population Ratios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35pt;margin-top:174.05pt;width:111.25pt;height:48.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" filled="f" stroked="f">
                <v:textbox>
                  <w:txbxContent>
                    <w:p w:rsidR="00FF229D" w:rsidRPr="00FF229D" w:rsidRDefault="00FF229D" w:rsidP="00FF229D">
                      <w:pPr>
                        <w:jc w:val="center"/>
                        <w:rPr>
                          <w:sz w:val="18"/>
                        </w:rPr>
                      </w:pPr>
                      <w:r w:rsidRPr="00FF229D">
                        <w:rPr>
                          <w:sz w:val="18"/>
                        </w:rPr>
                        <w:t>Cluster of Communities with Lower RN to Population Ratios</w:t>
                      </w:r>
                    </w:p>
                  </w:txbxContent>
                </v:textbox>
              </v:shape>
            </w:pict>
          </mc:Fallback>
        </mc:AlternateContent>
      </w:r>
      <w:r>
        <w:rPr>
          <w:noProof/>
          <w:szCs w:val="24"/>
        </w:rPr>
        <mc:AlternateContent>
          <mc:Choice Requires="wps">
            <w:drawing>
              <wp:anchor distT="0" distB="0" distL="114300" distR="114300" simplePos="0" relativeHeight="251728896" behindDoc="0" locked="0" layoutInCell="1" allowOverlap="1" wp14:anchorId="1561B4AE" wp14:editId="605D43DC">
                <wp:simplePos x="0" y="0"/>
                <wp:positionH relativeFrom="column">
                  <wp:posOffset>1249045</wp:posOffset>
                </wp:positionH>
                <wp:positionV relativeFrom="paragraph">
                  <wp:posOffset>2328100</wp:posOffset>
                </wp:positionV>
                <wp:extent cx="82550" cy="391795"/>
                <wp:effectExtent l="0" t="0" r="12700" b="27305"/>
                <wp:wrapNone/>
                <wp:docPr id="21" name="Left Brace 21"/>
                <wp:cNvGraphicFramePr/>
                <a:graphic xmlns:a="http://schemas.openxmlformats.org/drawingml/2006/main">
                  <a:graphicData uri="http://schemas.microsoft.com/office/word/2010/wordprocessingShape">
                    <wps:wsp>
                      <wps:cNvSpPr/>
                      <wps:spPr>
                        <a:xfrm>
                          <a:off x="0" y="0"/>
                          <a:ext cx="82550" cy="39179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1" o:spid="_x0000_s1026" type="#_x0000_t87" style="position:absolute;margin-left:98.35pt;margin-top:183.3pt;width:6.5pt;height:30.8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" adj="379" strokecolor="#4579b8 [3044]"/>
            </w:pict>
          </mc:Fallback>
        </mc:AlternateContent>
      </w:r>
      <w:r>
        <w:rPr>
          <w:noProof/>
          <w:szCs w:val="24"/>
        </w:rPr>
        <mc:AlternateContent>
          <mc:Choice Requires="wps">
            <w:drawing>
              <wp:anchor distT="0" distB="0" distL="114300" distR="114300" simplePos="0" relativeHeight="251730944" behindDoc="0" locked="0" layoutInCell="1" allowOverlap="1" wp14:anchorId="75014827" wp14:editId="4D39FC53">
                <wp:simplePos x="0" y="0"/>
                <wp:positionH relativeFrom="column">
                  <wp:posOffset>1249045</wp:posOffset>
                </wp:positionH>
                <wp:positionV relativeFrom="paragraph">
                  <wp:posOffset>2918460</wp:posOffset>
                </wp:positionV>
                <wp:extent cx="82550" cy="391795"/>
                <wp:effectExtent l="0" t="0" r="12700" b="27305"/>
                <wp:wrapNone/>
                <wp:docPr id="35" name="Left Brace 35"/>
                <wp:cNvGraphicFramePr/>
                <a:graphic xmlns:a="http://schemas.openxmlformats.org/drawingml/2006/main">
                  <a:graphicData uri="http://schemas.microsoft.com/office/word/2010/wordprocessingShape">
                    <wps:wsp>
                      <wps:cNvSpPr/>
                      <wps:spPr>
                        <a:xfrm>
                          <a:off x="0" y="0"/>
                          <a:ext cx="82550" cy="391795"/>
                        </a:xfrm>
                        <a:prstGeom prst="lef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35" o:spid="_x0000_s1026" type="#_x0000_t87" style="position:absolute;margin-left:98.35pt;margin-top:229.8pt;width:6.5pt;height:30.8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" adj="379" strokecolor="#bc4542 [3045]"/>
            </w:pict>
          </mc:Fallback>
        </mc:AlternateContent>
      </w:r>
      <w:r w:rsidR="0024214C">
        <w:rPr>
          <w:noProof/>
          <w:szCs w:val="24"/>
        </w:rPr>
        <w:drawing>
          <wp:anchor distT="0" distB="0" distL="114300" distR="114300" simplePos="0" relativeHeight="251726848" behindDoc="1" locked="0" layoutInCell="1" allowOverlap="1" wp14:anchorId="4491D53E" wp14:editId="29AE843D">
            <wp:simplePos x="0" y="0"/>
            <wp:positionH relativeFrom="column">
              <wp:posOffset>798304</wp:posOffset>
            </wp:positionH>
            <wp:positionV relativeFrom="paragraph">
              <wp:posOffset>78740</wp:posOffset>
            </wp:positionV>
            <wp:extent cx="5241290" cy="3300730"/>
            <wp:effectExtent l="0" t="0" r="0" b="0"/>
            <wp:wrapNone/>
            <wp:docPr id="32" name="Picture 32" descr="Fig.21 displays a map of massachusetts and clusters of communities with either high RN to population ratios (depicted in shades of red) or low ratios (depicted in shades of blue). This hot spot analysis shows that clusters of communities with low RN to population ratios can be seen in the western and central portions of the state, while clusters of high RN to population ratios are seen in the eastern and northeastern areas. " title="Figure 21. Clusters of Communities with High and Low RN to Population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 Hot Spot Analysis.jpg"/>
                    <pic:cNvPicPr/>
                  </pic:nvPicPr>
                  <pic:blipFill rotWithShape="1">
                    <a:blip r:embed="rId35" cstate="print">
                      <a:extLst>
                        <a:ext uri="{28A0092B-C50C-407E-A947-70E740481C1C}">
                          <a14:useLocalDpi xmlns:a14="http://schemas.microsoft.com/office/drawing/2010/main" val="0"/>
                        </a:ext>
                      </a:extLst>
                    </a:blip>
                    <a:srcRect l="5197" t="13677" r="5407" b="13454"/>
                    <a:stretch/>
                  </pic:blipFill>
                  <pic:spPr bwMode="auto">
                    <a:xfrm>
                      <a:off x="0" y="0"/>
                      <a:ext cx="5241290" cy="3300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207B">
        <w:rPr>
          <w:szCs w:val="24"/>
        </w:rPr>
        <w:tab/>
      </w: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FF229D" w:rsidRDefault="00FF229D" w:rsidP="00515B2E">
      <w:pPr>
        <w:spacing w:after="0" w:line="240" w:lineRule="auto"/>
        <w:jc w:val="center"/>
      </w:pPr>
    </w:p>
    <w:p w:rsidR="00FF229D" w:rsidRDefault="00FF229D"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Default="00515B2E" w:rsidP="00515B2E">
      <w:pPr>
        <w:spacing w:after="0" w:line="240" w:lineRule="auto"/>
        <w:jc w:val="center"/>
      </w:pPr>
    </w:p>
    <w:p w:rsidR="00515B2E" w:rsidRPr="00E51719" w:rsidRDefault="00515B2E" w:rsidP="00515B2E">
      <w:pPr>
        <w:spacing w:after="0" w:line="240" w:lineRule="auto"/>
        <w:jc w:val="center"/>
      </w:pPr>
    </w:p>
    <w:p w:rsidR="00515B2E" w:rsidRPr="00E51719" w:rsidRDefault="00515B2E" w:rsidP="00515B2E">
      <w:pPr>
        <w:spacing w:after="0" w:line="240" w:lineRule="auto"/>
        <w:jc w:val="center"/>
      </w:pPr>
      <w:r w:rsidRPr="00E51719">
        <w:t>This report was developed by the</w:t>
      </w:r>
    </w:p>
    <w:p w:rsidR="00515B2E" w:rsidRPr="00E51719" w:rsidRDefault="00515B2E" w:rsidP="00515B2E">
      <w:pPr>
        <w:spacing w:after="0" w:line="240" w:lineRule="auto"/>
        <w:jc w:val="center"/>
        <w:rPr>
          <w:b/>
          <w:bCs/>
        </w:rPr>
      </w:pPr>
      <w:r w:rsidRPr="00E51719">
        <w:t xml:space="preserve"> </w:t>
      </w:r>
      <w:r w:rsidRPr="00E51719">
        <w:rPr>
          <w:b/>
          <w:bCs/>
        </w:rPr>
        <w:t>Massachusetts Department of Public Health</w:t>
      </w:r>
    </w:p>
    <w:p w:rsidR="00515B2E" w:rsidRPr="00E51719" w:rsidRDefault="00515B2E" w:rsidP="00515B2E">
      <w:pPr>
        <w:spacing w:after="0" w:line="240" w:lineRule="auto"/>
        <w:jc w:val="center"/>
        <w:rPr>
          <w:b/>
          <w:bCs/>
          <w:sz w:val="10"/>
        </w:rPr>
      </w:pPr>
    </w:p>
    <w:p w:rsidR="00515B2E" w:rsidRDefault="00515B2E" w:rsidP="00515B2E">
      <w:pPr>
        <w:spacing w:after="0" w:line="240" w:lineRule="auto"/>
        <w:jc w:val="center"/>
      </w:pPr>
      <w:r w:rsidRPr="00E51719">
        <w:t>Bureau of Community Health and Prevention</w:t>
      </w:r>
    </w:p>
    <w:p w:rsidR="003D1889" w:rsidRPr="00E51719" w:rsidRDefault="003D1889" w:rsidP="00515B2E">
      <w:pPr>
        <w:spacing w:after="0" w:line="240" w:lineRule="auto"/>
        <w:jc w:val="center"/>
      </w:pPr>
      <w:r>
        <w:t>Division of Health Access</w:t>
      </w:r>
    </w:p>
    <w:p w:rsidR="00515B2E" w:rsidRPr="00E51719" w:rsidRDefault="00515B2E" w:rsidP="00515B2E">
      <w:pPr>
        <w:spacing w:after="0" w:line="240" w:lineRule="auto"/>
        <w:jc w:val="center"/>
      </w:pPr>
      <w:r w:rsidRPr="00E51719">
        <w:t>Health Care Workforce Center</w:t>
      </w:r>
    </w:p>
    <w:p w:rsidR="00515B2E" w:rsidRPr="00E51719" w:rsidRDefault="00515B2E" w:rsidP="00515B2E">
      <w:pPr>
        <w:spacing w:after="0" w:line="240" w:lineRule="auto"/>
        <w:jc w:val="center"/>
        <w:rPr>
          <w:sz w:val="10"/>
        </w:rPr>
      </w:pPr>
    </w:p>
    <w:p w:rsidR="00515B2E" w:rsidRPr="00E51719" w:rsidRDefault="00515B2E" w:rsidP="00515B2E">
      <w:pPr>
        <w:spacing w:after="0" w:line="240" w:lineRule="auto"/>
        <w:jc w:val="center"/>
      </w:pPr>
      <w:r w:rsidRPr="00E51719">
        <w:t>Bureau of Health Care Safety and Quality</w:t>
      </w:r>
    </w:p>
    <w:p w:rsidR="00515B2E" w:rsidRPr="00E51719" w:rsidRDefault="00515B2E" w:rsidP="00515B2E">
      <w:pPr>
        <w:spacing w:after="0" w:line="240" w:lineRule="auto"/>
        <w:jc w:val="center"/>
      </w:pPr>
      <w:r w:rsidRPr="00E51719">
        <w:t>Division Health Professions Licensure</w:t>
      </w:r>
    </w:p>
    <w:p w:rsidR="00515B2E" w:rsidRDefault="00515B2E" w:rsidP="00515B2E">
      <w:pPr>
        <w:spacing w:after="0" w:line="240" w:lineRule="auto"/>
        <w:jc w:val="center"/>
      </w:pPr>
      <w:r w:rsidRPr="00E51719">
        <w:t xml:space="preserve">Board of Registration in </w:t>
      </w:r>
      <w:r>
        <w:t>Nursing</w:t>
      </w:r>
    </w:p>
    <w:p w:rsidR="003D1889" w:rsidRPr="00E51719" w:rsidRDefault="003D1889" w:rsidP="00515B2E">
      <w:pPr>
        <w:spacing w:after="0" w:line="240" w:lineRule="auto"/>
        <w:jc w:val="center"/>
      </w:pPr>
    </w:p>
    <w:p w:rsidR="00515B2E" w:rsidRPr="00E51719" w:rsidRDefault="00515B2E" w:rsidP="00515B2E">
      <w:pPr>
        <w:spacing w:after="0" w:line="240" w:lineRule="auto"/>
        <w:jc w:val="center"/>
        <w:rPr>
          <w:sz w:val="10"/>
        </w:rPr>
      </w:pPr>
    </w:p>
    <w:p w:rsidR="00515B2E" w:rsidRDefault="00515B2E" w:rsidP="00515B2E">
      <w:pPr>
        <w:spacing w:after="0" w:line="240" w:lineRule="auto"/>
        <w:jc w:val="center"/>
        <w:rPr>
          <w:color w:val="000000"/>
        </w:rPr>
      </w:pPr>
      <w:r w:rsidRPr="00E51719">
        <w:t xml:space="preserve">For additional information about the </w:t>
      </w:r>
      <w:r w:rsidRPr="00E51719">
        <w:rPr>
          <w:i/>
          <w:iCs/>
        </w:rPr>
        <w:t>Health Professions</w:t>
      </w:r>
      <w:r>
        <w:rPr>
          <w:i/>
          <w:iCs/>
        </w:rPr>
        <w:t xml:space="preserve"> </w:t>
      </w:r>
      <w:r w:rsidRPr="00E51719">
        <w:rPr>
          <w:i/>
          <w:iCs/>
        </w:rPr>
        <w:t>Data Series</w:t>
      </w:r>
      <w:r w:rsidRPr="00E51719">
        <w:t xml:space="preserve"> or this </w:t>
      </w:r>
      <w:r>
        <w:t>RN Report, please contact:</w:t>
      </w:r>
    </w:p>
    <w:p w:rsidR="00515B2E" w:rsidRDefault="00515B2E" w:rsidP="00515B2E">
      <w:pPr>
        <w:spacing w:after="0" w:line="240" w:lineRule="auto"/>
        <w:jc w:val="center"/>
        <w:rPr>
          <w:color w:val="000000"/>
        </w:rPr>
      </w:pPr>
    </w:p>
    <w:p w:rsidR="00515B2E" w:rsidRDefault="00515B2E" w:rsidP="00515B2E">
      <w:pPr>
        <w:spacing w:after="0" w:line="240" w:lineRule="auto"/>
        <w:jc w:val="center"/>
        <w:rPr>
          <w:color w:val="000000"/>
        </w:rPr>
      </w:pPr>
      <w:r w:rsidRPr="00E51719">
        <w:rPr>
          <w:color w:val="000000"/>
        </w:rPr>
        <w:t xml:space="preserve">Massachusetts Health Care Workforce Center </w:t>
      </w:r>
    </w:p>
    <w:p w:rsidR="00515B2E" w:rsidRPr="00E51719" w:rsidRDefault="00515B2E" w:rsidP="00515B2E">
      <w:pPr>
        <w:spacing w:after="0" w:line="240" w:lineRule="auto"/>
        <w:jc w:val="center"/>
        <w:rPr>
          <w:color w:val="000000"/>
        </w:rPr>
      </w:pPr>
      <w:proofErr w:type="gramStart"/>
      <w:r w:rsidRPr="00E51719">
        <w:rPr>
          <w:color w:val="000000"/>
        </w:rPr>
        <w:t>at</w:t>
      </w:r>
      <w:proofErr w:type="gramEnd"/>
      <w:r w:rsidRPr="00E51719">
        <w:rPr>
          <w:color w:val="000000"/>
        </w:rPr>
        <w:t xml:space="preserve"> the </w:t>
      </w:r>
    </w:p>
    <w:p w:rsidR="00515B2E" w:rsidRPr="00E51719" w:rsidRDefault="00515B2E" w:rsidP="00515B2E">
      <w:pPr>
        <w:spacing w:after="0" w:line="240" w:lineRule="auto"/>
        <w:jc w:val="center"/>
        <w:rPr>
          <w:color w:val="000000"/>
        </w:rPr>
      </w:pPr>
      <w:r w:rsidRPr="00E51719">
        <w:rPr>
          <w:color w:val="000000"/>
        </w:rPr>
        <w:t xml:space="preserve">Massachusetts Department of Public Health </w:t>
      </w:r>
    </w:p>
    <w:p w:rsidR="00515B2E" w:rsidRPr="00E51719" w:rsidRDefault="00515B2E" w:rsidP="00515B2E">
      <w:pPr>
        <w:spacing w:after="0" w:line="240" w:lineRule="auto"/>
        <w:jc w:val="center"/>
        <w:rPr>
          <w:color w:val="000000"/>
          <w:sz w:val="10"/>
        </w:rPr>
      </w:pPr>
    </w:p>
    <w:p w:rsidR="00515B2E" w:rsidRPr="00E51719" w:rsidRDefault="00515B2E" w:rsidP="00515B2E">
      <w:pPr>
        <w:spacing w:after="0" w:line="240" w:lineRule="auto"/>
        <w:jc w:val="center"/>
        <w:rPr>
          <w:color w:val="663366"/>
        </w:rPr>
      </w:pPr>
      <w:r w:rsidRPr="00E51719">
        <w:t>Website:</w:t>
      </w:r>
      <w:r w:rsidRPr="00E51719">
        <w:rPr>
          <w:color w:val="663366"/>
        </w:rPr>
        <w:t xml:space="preserve"> </w:t>
      </w:r>
      <w:hyperlink r:id="rId36" w:tgtFrame="_parent" w:history="1">
        <w:r w:rsidRPr="00E51719">
          <w:rPr>
            <w:color w:val="0000FF"/>
            <w:u w:val="single"/>
          </w:rPr>
          <w:t>mass.gov/dph/</w:t>
        </w:r>
        <w:proofErr w:type="spellStart"/>
        <w:r w:rsidRPr="00E51719">
          <w:rPr>
            <w:color w:val="0000FF"/>
            <w:u w:val="single"/>
          </w:rPr>
          <w:t>hcworkforcecenter</w:t>
        </w:r>
        <w:proofErr w:type="spellEnd"/>
      </w:hyperlink>
      <w:r w:rsidRPr="00E51719">
        <w:rPr>
          <w:color w:val="663366"/>
        </w:rPr>
        <w:t xml:space="preserve">  </w:t>
      </w:r>
    </w:p>
    <w:p w:rsidR="00515B2E" w:rsidRPr="00E51719" w:rsidRDefault="00515B2E" w:rsidP="00515B2E">
      <w:pPr>
        <w:spacing w:after="0" w:line="240" w:lineRule="auto"/>
        <w:jc w:val="center"/>
      </w:pPr>
      <w:r w:rsidRPr="00E51719">
        <w:t>Email:</w:t>
      </w:r>
      <w:r w:rsidRPr="00E51719">
        <w:rPr>
          <w:color w:val="663366"/>
        </w:rPr>
        <w:t xml:space="preserve"> </w:t>
      </w:r>
      <w:hyperlink r:id="rId37" w:tgtFrame="_parent" w:history="1">
        <w:r w:rsidRPr="00E51719">
          <w:rPr>
            <w:color w:val="0000FF"/>
            <w:u w:val="single"/>
          </w:rPr>
          <w:t>HCWorkforceCenter@state.ma.us</w:t>
        </w:r>
      </w:hyperlink>
    </w:p>
    <w:p w:rsidR="00515B2E" w:rsidRPr="00A66EC7" w:rsidRDefault="00515B2E" w:rsidP="00515B2E">
      <w:pPr>
        <w:tabs>
          <w:tab w:val="left" w:pos="6105"/>
        </w:tabs>
        <w:jc w:val="center"/>
        <w:rPr>
          <w:rFonts w:asciiTheme="majorHAnsi" w:hAnsiTheme="majorHAnsi"/>
          <w:sz w:val="10"/>
        </w:rPr>
      </w:pPr>
    </w:p>
    <w:p w:rsidR="00E51719" w:rsidRPr="00E51719" w:rsidRDefault="00515B2E" w:rsidP="00515B2E">
      <w:pPr>
        <w:tabs>
          <w:tab w:val="left" w:pos="1170"/>
        </w:tabs>
        <w:jc w:val="center"/>
      </w:pPr>
      <w:r w:rsidRPr="00FF1B34">
        <w:rPr>
          <w:rFonts w:asciiTheme="majorHAnsi" w:hAnsiTheme="majorHAnsi"/>
          <w:noProof/>
        </w:rPr>
        <w:drawing>
          <wp:inline distT="0" distB="0" distL="0" distR="0" wp14:anchorId="2713F466" wp14:editId="4393B789">
            <wp:extent cx="1546578" cy="1377245"/>
            <wp:effectExtent l="0" t="0" r="0" b="0"/>
            <wp:docPr id="115" name="Picture 31" descr="MDPH-state seal (blue against white background)" title="DPH-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51313" cy="1381462"/>
                    </a:xfrm>
                    <a:prstGeom prst="rect">
                      <a:avLst/>
                    </a:prstGeom>
                    <a:noFill/>
                    <a:ln>
                      <a:noFill/>
                    </a:ln>
                  </pic:spPr>
                </pic:pic>
              </a:graphicData>
            </a:graphic>
          </wp:inline>
        </w:drawing>
      </w:r>
    </w:p>
    <w:sectPr w:rsidR="00E51719" w:rsidRPr="00E51719" w:rsidSect="00BE5A5F">
      <w:footerReference w:type="default" r:id="rId39"/>
      <w:pgSz w:w="12240" w:h="15840"/>
      <w:pgMar w:top="720" w:right="720" w:bottom="720" w:left="720" w:header="720" w:footer="720"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E9" w:rsidRDefault="001917E9" w:rsidP="00D529E0">
      <w:pPr>
        <w:spacing w:after="0" w:line="240" w:lineRule="auto"/>
      </w:pPr>
      <w:r>
        <w:separator/>
      </w:r>
    </w:p>
  </w:endnote>
  <w:endnote w:type="continuationSeparator" w:id="0">
    <w:p w:rsidR="001917E9" w:rsidRDefault="001917E9" w:rsidP="00D5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07073"/>
      <w:docPartObj>
        <w:docPartGallery w:val="Page Numbers (Bottom of Page)"/>
        <w:docPartUnique/>
      </w:docPartObj>
    </w:sdtPr>
    <w:sdtEndPr>
      <w:rPr>
        <w:noProof/>
      </w:rPr>
    </w:sdtEndPr>
    <w:sdtContent>
      <w:p w:rsidR="00D529E0" w:rsidRDefault="00D529E0">
        <w:pPr>
          <w:pStyle w:val="Footer"/>
          <w:jc w:val="right"/>
        </w:pPr>
        <w:r>
          <w:fldChar w:fldCharType="begin"/>
        </w:r>
        <w:r>
          <w:instrText xml:space="preserve"> PAGE   \* MERGEFORMAT </w:instrText>
        </w:r>
        <w:r>
          <w:fldChar w:fldCharType="separate"/>
        </w:r>
        <w:r w:rsidR="004375D2">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2E" w:rsidRDefault="00515B2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E9" w:rsidRDefault="001917E9" w:rsidP="00D529E0">
      <w:pPr>
        <w:spacing w:after="0" w:line="240" w:lineRule="auto"/>
      </w:pPr>
      <w:r>
        <w:separator/>
      </w:r>
    </w:p>
  </w:footnote>
  <w:footnote w:type="continuationSeparator" w:id="0">
    <w:p w:rsidR="001917E9" w:rsidRDefault="001917E9" w:rsidP="00D529E0">
      <w:pPr>
        <w:spacing w:after="0" w:line="240" w:lineRule="auto"/>
      </w:pPr>
      <w:r>
        <w:continuationSeparator/>
      </w:r>
    </w:p>
  </w:footnote>
  <w:footnote w:id="1">
    <w:p w:rsidR="00E77C3E" w:rsidRPr="00E77C3E" w:rsidRDefault="00E77C3E" w:rsidP="00E77C3E">
      <w:pPr>
        <w:pStyle w:val="Footer"/>
        <w:ind w:left="90" w:hanging="90"/>
        <w:rPr>
          <w:sz w:val="20"/>
        </w:rPr>
      </w:pPr>
      <w:r>
        <w:rPr>
          <w:rStyle w:val="FootnoteReference"/>
        </w:rPr>
        <w:footnoteRef/>
      </w:r>
      <w:r>
        <w:t xml:space="preserve"> </w:t>
      </w:r>
      <w:proofErr w:type="gramStart"/>
      <w:r>
        <w:rPr>
          <w:sz w:val="20"/>
        </w:rPr>
        <w:t>Data from the Division of Health Professions Licensure</w:t>
      </w:r>
      <w:r w:rsidR="00A47817">
        <w:rPr>
          <w:sz w:val="20"/>
        </w:rPr>
        <w:t>.</w:t>
      </w:r>
      <w:proofErr w:type="gramEnd"/>
      <w:r w:rsidR="00A47817">
        <w:rPr>
          <w:sz w:val="20"/>
        </w:rPr>
        <w:t xml:space="preserve"> This is the total number of RNs with an active MA license as of </w:t>
      </w:r>
      <w:r>
        <w:rPr>
          <w:sz w:val="20"/>
        </w:rPr>
        <w:t xml:space="preserve">March 31, 2015. This </w:t>
      </w:r>
      <w:r w:rsidR="00A47817">
        <w:rPr>
          <w:sz w:val="20"/>
        </w:rPr>
        <w:t xml:space="preserve">includes RNs </w:t>
      </w:r>
      <w:r w:rsidR="000F1A1B">
        <w:rPr>
          <w:sz w:val="20"/>
        </w:rPr>
        <w:t xml:space="preserve">that were </w:t>
      </w:r>
      <w:r w:rsidR="00A47817">
        <w:rPr>
          <w:sz w:val="20"/>
        </w:rPr>
        <w:t>exempt from renewing</w:t>
      </w:r>
      <w:r w:rsidR="00BE0CB1">
        <w:rPr>
          <w:sz w:val="20"/>
        </w:rPr>
        <w:t xml:space="preserve"> </w:t>
      </w:r>
      <w:r w:rsidR="00A47817">
        <w:rPr>
          <w:sz w:val="20"/>
        </w:rPr>
        <w:t xml:space="preserve">their license </w:t>
      </w:r>
      <w:r>
        <w:rPr>
          <w:sz w:val="20"/>
        </w:rPr>
        <w:t xml:space="preserve">during the 2014 cycle. </w:t>
      </w:r>
    </w:p>
  </w:footnote>
  <w:footnote w:id="2">
    <w:p w:rsidR="00E77C3E" w:rsidRDefault="00E77C3E">
      <w:pPr>
        <w:pStyle w:val="FootnoteText"/>
      </w:pPr>
      <w:r>
        <w:rPr>
          <w:rStyle w:val="FootnoteReference"/>
        </w:rPr>
        <w:footnoteRef/>
      </w:r>
      <w:r>
        <w:t xml:space="preserve"> 2013 National Nursing Workforce Study, National Council of State Boards of Nursing</w:t>
      </w:r>
    </w:p>
  </w:footnote>
  <w:footnote w:id="3">
    <w:p w:rsidR="00A77DD9" w:rsidRDefault="00A77DD9">
      <w:pPr>
        <w:pStyle w:val="FootnoteText"/>
      </w:pPr>
      <w:r>
        <w:rPr>
          <w:rStyle w:val="FootnoteReference"/>
        </w:rPr>
        <w:footnoteRef/>
      </w:r>
      <w:r>
        <w:t xml:space="preserve"> Source</w:t>
      </w:r>
      <w:r w:rsidR="00DD3BFB">
        <w:t xml:space="preserve"> for resident race/ethnicity data</w:t>
      </w:r>
      <w:r>
        <w:t>: US Census Bureau, 2010-2014 American Community Survey 5-Year Estimates.</w:t>
      </w:r>
    </w:p>
  </w:footnote>
  <w:footnote w:id="4">
    <w:p w:rsidR="00A77DD9" w:rsidRDefault="00A77DD9" w:rsidP="00BF4944">
      <w:pPr>
        <w:pStyle w:val="FootnoteText"/>
        <w:ind w:left="90" w:hanging="90"/>
      </w:pPr>
      <w:r>
        <w:rPr>
          <w:rStyle w:val="FootnoteReference"/>
        </w:rPr>
        <w:footnoteRef/>
      </w:r>
      <w:r>
        <w:t xml:space="preserve"> Diversity index is the likelihood that two persons chosen at random will differ by race/ethnicity. This is calculated by taking the sum of the squares of the percentages for each race/ethnicity category and then subtracting the total value from 1.</w:t>
      </w:r>
    </w:p>
  </w:footnote>
  <w:footnote w:id="5">
    <w:p w:rsidR="0059292B" w:rsidRDefault="0059292B">
      <w:pPr>
        <w:pStyle w:val="FootnoteText"/>
      </w:pPr>
      <w:r>
        <w:rPr>
          <w:rStyle w:val="FootnoteReference"/>
        </w:rPr>
        <w:footnoteRef/>
      </w:r>
      <w:r>
        <w:t xml:space="preserve"> Data derived from DHPL nurse license database of </w:t>
      </w:r>
      <w:r w:rsidR="00A53FF2">
        <w:t>RNs with an active license as of</w:t>
      </w:r>
      <w:r>
        <w:t xml:space="preserve"> March 31, 2015</w:t>
      </w:r>
    </w:p>
  </w:footnote>
  <w:footnote w:id="6">
    <w:p w:rsidR="0059292B" w:rsidRDefault="0059292B">
      <w:pPr>
        <w:pStyle w:val="FootnoteText"/>
      </w:pPr>
      <w:r>
        <w:rPr>
          <w:rStyle w:val="FootnoteReference"/>
        </w:rPr>
        <w:footnoteRef/>
      </w:r>
      <w:r>
        <w:t xml:space="preserve"> </w:t>
      </w:r>
      <w:r w:rsidR="0063190E">
        <w:t>Source: US Census Bureau, 2010-2014 American Community Survey 5-Year Estimates</w:t>
      </w:r>
    </w:p>
  </w:footnote>
  <w:footnote w:id="7">
    <w:p w:rsidR="0063190E" w:rsidRDefault="0063190E">
      <w:pPr>
        <w:pStyle w:val="FootnoteText"/>
      </w:pPr>
      <w:r>
        <w:rPr>
          <w:rStyle w:val="FootnoteReference"/>
        </w:rPr>
        <w:footnoteRef/>
      </w:r>
      <w:r>
        <w:t xml:space="preserve"> </w:t>
      </w:r>
      <w:r w:rsidRPr="0010367E">
        <w:t xml:space="preserve">Language fluency is </w:t>
      </w:r>
      <w:r>
        <w:t>defined as the ability to communicate with and provide adequate care to patients without a translator</w:t>
      </w:r>
    </w:p>
  </w:footnote>
  <w:footnote w:id="8">
    <w:p w:rsidR="0063190E" w:rsidRDefault="0063190E">
      <w:pPr>
        <w:pStyle w:val="FootnoteText"/>
      </w:pPr>
      <w:r>
        <w:rPr>
          <w:rStyle w:val="FootnoteReference"/>
        </w:rPr>
        <w:footnoteRef/>
      </w:r>
      <w:r>
        <w:t xml:space="preserve"> Health Resources and Services Administration: The U.S. Nursing Workforce: Trends in Supply and Education, </w:t>
      </w:r>
      <w:r w:rsidR="00A6342C">
        <w:t>October</w:t>
      </w:r>
      <w:r>
        <w:t xml:space="preserve"> 2013</w:t>
      </w:r>
    </w:p>
  </w:footnote>
  <w:footnote w:id="9">
    <w:p w:rsidR="00826C18" w:rsidRDefault="00826C18">
      <w:pPr>
        <w:pStyle w:val="FootnoteText"/>
      </w:pPr>
      <w:r>
        <w:rPr>
          <w:rStyle w:val="FootnoteReference"/>
        </w:rPr>
        <w:footnoteRef/>
      </w:r>
      <w:r>
        <w:t xml:space="preserve"> </w:t>
      </w:r>
      <w:r w:rsidR="00782DF4">
        <w:t>Percentages do not add up to 100%</w:t>
      </w:r>
      <w:r>
        <w:t xml:space="preserve"> Respondents can </w:t>
      </w:r>
      <w:r w:rsidR="00782DF4">
        <w:t xml:space="preserve">be authorized in more than one clinical category. </w:t>
      </w:r>
    </w:p>
  </w:footnote>
  <w:footnote w:id="10">
    <w:p w:rsidR="00826C18" w:rsidRDefault="00826C18">
      <w:pPr>
        <w:pStyle w:val="FootnoteText"/>
      </w:pPr>
      <w:r>
        <w:rPr>
          <w:rStyle w:val="FootnoteReference"/>
        </w:rPr>
        <w:footnoteRef/>
      </w:r>
      <w:r>
        <w:t xml:space="preserve"> Percentages do not add up to 100%. Respondents can choose more than one certification specialty.</w:t>
      </w:r>
    </w:p>
  </w:footnote>
  <w:footnote w:id="11">
    <w:p w:rsidR="00090B57" w:rsidRDefault="00090B57" w:rsidP="00090B57">
      <w:pPr>
        <w:pStyle w:val="FootnoteText"/>
      </w:pPr>
      <w:r>
        <w:rPr>
          <w:rStyle w:val="FootnoteReference"/>
        </w:rPr>
        <w:footnoteRef/>
      </w:r>
      <w:r>
        <w:t xml:space="preserve"> Percentages do not add up to 100%. Respondents can choose more than one employment status</w:t>
      </w:r>
    </w:p>
  </w:footnote>
  <w:footnote w:id="12">
    <w:p w:rsidR="00BF4944" w:rsidRDefault="00BF4944" w:rsidP="00BF4944">
      <w:pPr>
        <w:pStyle w:val="FootnoteText"/>
        <w:ind w:left="180" w:hanging="180"/>
      </w:pPr>
      <w:r>
        <w:rPr>
          <w:rStyle w:val="FootnoteReference"/>
        </w:rPr>
        <w:footnoteRef/>
      </w:r>
      <w:r>
        <w:t xml:space="preserve"> Percentages do not add up to 100%. Respondents can choose more than one practice settings and settings receiving fewer than 2% of responses are not represented in the figure. </w:t>
      </w:r>
    </w:p>
  </w:footnote>
  <w:footnote w:id="13">
    <w:p w:rsidR="007755AC" w:rsidRPr="007755AC" w:rsidRDefault="007755AC" w:rsidP="007755AC">
      <w:pPr>
        <w:pStyle w:val="Footer"/>
        <w:rPr>
          <w:sz w:val="20"/>
        </w:rPr>
      </w:pPr>
      <w:r>
        <w:rPr>
          <w:rStyle w:val="FootnoteReference"/>
        </w:rPr>
        <w:footnoteRef/>
      </w:r>
      <w:r>
        <w:t xml:space="preserve"> </w:t>
      </w:r>
      <w:r w:rsidRPr="005B02A0">
        <w:rPr>
          <w:sz w:val="20"/>
        </w:rPr>
        <w:t>The percent</w:t>
      </w:r>
      <w:r>
        <w:rPr>
          <w:sz w:val="20"/>
        </w:rPr>
        <w:t>ages</w:t>
      </w:r>
      <w:r w:rsidRPr="005B02A0">
        <w:rPr>
          <w:sz w:val="20"/>
        </w:rPr>
        <w:t xml:space="preserve"> displayed in </w:t>
      </w:r>
      <w:r>
        <w:rPr>
          <w:sz w:val="20"/>
        </w:rPr>
        <w:t>T</w:t>
      </w:r>
      <w:r w:rsidRPr="005B02A0">
        <w:rPr>
          <w:sz w:val="20"/>
        </w:rPr>
        <w:t xml:space="preserve">able 2 </w:t>
      </w:r>
      <w:r>
        <w:rPr>
          <w:sz w:val="20"/>
        </w:rPr>
        <w:t>are the</w:t>
      </w:r>
      <w:r w:rsidRPr="005B02A0">
        <w:rPr>
          <w:sz w:val="20"/>
        </w:rPr>
        <w:t xml:space="preserve"> percent of all RNs within that education group that </w:t>
      </w:r>
      <w:r>
        <w:rPr>
          <w:sz w:val="20"/>
        </w:rPr>
        <w:t xml:space="preserve">reported working </w:t>
      </w:r>
      <w:r w:rsidRPr="005B02A0">
        <w:rPr>
          <w:sz w:val="20"/>
        </w:rPr>
        <w:t>at that particular practice setting</w:t>
      </w:r>
      <w:r>
        <w:rPr>
          <w:sz w:val="20"/>
        </w:rPr>
        <w:t xml:space="preserve">. </w:t>
      </w:r>
    </w:p>
  </w:footnote>
  <w:footnote w:id="14">
    <w:p w:rsidR="00AD0BE4" w:rsidRDefault="00AD0BE4">
      <w:pPr>
        <w:pStyle w:val="FootnoteText"/>
      </w:pPr>
      <w:r>
        <w:rPr>
          <w:rStyle w:val="FootnoteReference"/>
        </w:rPr>
        <w:footnoteRef/>
      </w:r>
      <w:r>
        <w:t xml:space="preserve"> Percentages do not add up to 100%. Roles that received less than 4% of responses were not included in the figure. </w:t>
      </w:r>
    </w:p>
  </w:footnote>
  <w:footnote w:id="15">
    <w:p w:rsidR="008012F5" w:rsidRDefault="008012F5">
      <w:pPr>
        <w:pStyle w:val="FootnoteText"/>
      </w:pPr>
      <w:r>
        <w:rPr>
          <w:rStyle w:val="FootnoteReference"/>
        </w:rPr>
        <w:footnoteRef/>
      </w:r>
      <w:r>
        <w:t xml:space="preserve"> Percentages do not add up to 100%. RNs were able to report more than one population group that they treat. </w:t>
      </w:r>
      <w:r w:rsidR="00704C3A">
        <w:t xml:space="preserve">Each population category includes nurses that reported working with all age groups. </w:t>
      </w:r>
    </w:p>
  </w:footnote>
  <w:footnote w:id="16">
    <w:p w:rsidR="00E16873" w:rsidRDefault="00E16873">
      <w:pPr>
        <w:pStyle w:val="FootnoteText"/>
      </w:pPr>
      <w:r>
        <w:rPr>
          <w:rStyle w:val="FootnoteReference"/>
        </w:rPr>
        <w:footnoteRef/>
      </w:r>
      <w:r>
        <w:t xml:space="preserve"> This percentage includes RNs that reported treating all age groups, but not specifically treating adults and/or elders. </w:t>
      </w:r>
    </w:p>
  </w:footnote>
  <w:footnote w:id="17">
    <w:p w:rsidR="00A42FFD" w:rsidRDefault="00A42FFD">
      <w:pPr>
        <w:pStyle w:val="FootnoteText"/>
      </w:pPr>
      <w:r>
        <w:rPr>
          <w:rStyle w:val="FootnoteReference"/>
        </w:rPr>
        <w:footnoteRef/>
      </w:r>
      <w:r>
        <w:t xml:space="preserve"> </w:t>
      </w:r>
      <w:r w:rsidR="00BF4944">
        <w:t>Percentages do not add up to 100%. A</w:t>
      </w:r>
      <w:r>
        <w:t xml:space="preserve">reas of practice </w:t>
      </w:r>
      <w:r w:rsidR="00BF4944">
        <w:t xml:space="preserve">that </w:t>
      </w:r>
      <w:r>
        <w:t xml:space="preserve">received fewer than 4% of responses </w:t>
      </w:r>
      <w:r w:rsidR="00BF4944">
        <w:t>were not included in the figure.</w:t>
      </w:r>
      <w:r>
        <w:t xml:space="preserve"> </w:t>
      </w:r>
    </w:p>
  </w:footnote>
  <w:footnote w:id="18">
    <w:p w:rsidR="00480009" w:rsidRDefault="00480009">
      <w:pPr>
        <w:pStyle w:val="FootnoteText"/>
      </w:pPr>
      <w:r>
        <w:rPr>
          <w:rStyle w:val="FootnoteReference"/>
        </w:rPr>
        <w:footnoteRef/>
      </w:r>
      <w:r>
        <w:t xml:space="preserve"> Percentages do not add up to 100%. Roles that received less than 4% of responses were not included in the figure.</w:t>
      </w:r>
    </w:p>
  </w:footnote>
  <w:footnote w:id="19">
    <w:p w:rsidR="00BA3B52" w:rsidRDefault="00BA3B52">
      <w:pPr>
        <w:pStyle w:val="FootnoteText"/>
      </w:pPr>
      <w:r>
        <w:rPr>
          <w:rStyle w:val="FootnoteReference"/>
        </w:rPr>
        <w:footnoteRef/>
      </w:r>
      <w:r>
        <w:t xml:space="preserve"> Percentages do not add up to 100%. Reasons for unemployment that received fewer than 6% of responses were not included.</w:t>
      </w:r>
    </w:p>
  </w:footnote>
  <w:footnote w:id="20">
    <w:p w:rsidR="009E04AB" w:rsidRDefault="009E04AB" w:rsidP="00496DFD">
      <w:pPr>
        <w:pStyle w:val="FootnoteText"/>
        <w:ind w:left="180" w:hanging="180"/>
      </w:pPr>
      <w:r>
        <w:rPr>
          <w:rStyle w:val="FootnoteReference"/>
        </w:rPr>
        <w:footnoteRef/>
      </w:r>
      <w:r>
        <w:t xml:space="preserve"> </w:t>
      </w:r>
      <w:r w:rsidR="00131515">
        <w:t>R</w:t>
      </w:r>
      <w:r>
        <w:t>eporte</w:t>
      </w:r>
      <w:r w:rsidR="00040FCA">
        <w:t>d</w:t>
      </w:r>
      <w:r w:rsidR="00131515">
        <w:t xml:space="preserve"> RN</w:t>
      </w:r>
      <w:r w:rsidR="00040FCA">
        <w:t xml:space="preserve"> primary practice locations </w:t>
      </w:r>
      <w:r w:rsidR="00131515">
        <w:t xml:space="preserve">are used </w:t>
      </w:r>
      <w:r w:rsidR="00040FCA">
        <w:t>to calculate provider to population ratios</w:t>
      </w:r>
      <w:r w:rsidR="00131515">
        <w:t xml:space="preserve"> for each city/town</w:t>
      </w:r>
      <w:r w:rsidR="00040FCA">
        <w:t xml:space="preserve">. </w:t>
      </w:r>
      <w:r w:rsidR="00131515">
        <w:t xml:space="preserve">The calculations do not take into account secondary practice locations. </w:t>
      </w:r>
      <w:r w:rsidR="00040FCA">
        <w:t xml:space="preserve"> </w:t>
      </w:r>
    </w:p>
  </w:footnote>
  <w:footnote w:id="21">
    <w:p w:rsidR="0015629D" w:rsidRDefault="0015629D">
      <w:pPr>
        <w:pStyle w:val="FootnoteText"/>
      </w:pPr>
      <w:r>
        <w:rPr>
          <w:rStyle w:val="FootnoteReference"/>
        </w:rPr>
        <w:footnoteRef/>
      </w:r>
      <w:r>
        <w:t xml:space="preserve"> Hot spot analysis (</w:t>
      </w:r>
      <w:proofErr w:type="spellStart"/>
      <w:r>
        <w:t>Getis</w:t>
      </w:r>
      <w:proofErr w:type="spellEnd"/>
      <w:r>
        <w:t>-Ord GI*) was conducted using the fixed distance band method in ArcGIS 9.3.</w:t>
      </w:r>
      <w:r w:rsidR="00FF229D">
        <w:t>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07D"/>
    <w:multiLevelType w:val="hybridMultilevel"/>
    <w:tmpl w:val="BE0EBB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B16D7"/>
    <w:multiLevelType w:val="hybridMultilevel"/>
    <w:tmpl w:val="E904BF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B3666"/>
    <w:multiLevelType w:val="hybridMultilevel"/>
    <w:tmpl w:val="E7FA26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556F6"/>
    <w:multiLevelType w:val="hybridMultilevel"/>
    <w:tmpl w:val="BCC8D0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179B1"/>
    <w:multiLevelType w:val="hybridMultilevel"/>
    <w:tmpl w:val="BF06EA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E6D70"/>
    <w:multiLevelType w:val="hybridMultilevel"/>
    <w:tmpl w:val="7F66F3D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769B2"/>
    <w:multiLevelType w:val="hybridMultilevel"/>
    <w:tmpl w:val="286C35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74503"/>
    <w:multiLevelType w:val="hybridMultilevel"/>
    <w:tmpl w:val="AA1EAE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52BB1"/>
    <w:multiLevelType w:val="hybridMultilevel"/>
    <w:tmpl w:val="A43894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8449F4"/>
    <w:multiLevelType w:val="hybridMultilevel"/>
    <w:tmpl w:val="9808E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371D7"/>
    <w:multiLevelType w:val="hybridMultilevel"/>
    <w:tmpl w:val="40AC8E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5304A"/>
    <w:multiLevelType w:val="hybridMultilevel"/>
    <w:tmpl w:val="7DACC8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3149B"/>
    <w:multiLevelType w:val="hybridMultilevel"/>
    <w:tmpl w:val="6696E5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EA1B0D"/>
    <w:multiLevelType w:val="hybridMultilevel"/>
    <w:tmpl w:val="EAE61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03217"/>
    <w:multiLevelType w:val="hybridMultilevel"/>
    <w:tmpl w:val="016871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C5D6B"/>
    <w:multiLevelType w:val="hybridMultilevel"/>
    <w:tmpl w:val="2F66E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D7E44"/>
    <w:multiLevelType w:val="hybridMultilevel"/>
    <w:tmpl w:val="6F8842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CD575C"/>
    <w:multiLevelType w:val="hybridMultilevel"/>
    <w:tmpl w:val="04801A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C3F12"/>
    <w:multiLevelType w:val="hybridMultilevel"/>
    <w:tmpl w:val="9E3A84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FC1669"/>
    <w:multiLevelType w:val="hybridMultilevel"/>
    <w:tmpl w:val="CA187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30479B"/>
    <w:multiLevelType w:val="hybridMultilevel"/>
    <w:tmpl w:val="7BC6E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120314"/>
    <w:multiLevelType w:val="hybridMultilevel"/>
    <w:tmpl w:val="9B3E0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10400"/>
    <w:multiLevelType w:val="hybridMultilevel"/>
    <w:tmpl w:val="554828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8"/>
  </w:num>
  <w:num w:numId="4">
    <w:abstractNumId w:val="14"/>
  </w:num>
  <w:num w:numId="5">
    <w:abstractNumId w:val="2"/>
  </w:num>
  <w:num w:numId="6">
    <w:abstractNumId w:val="12"/>
  </w:num>
  <w:num w:numId="7">
    <w:abstractNumId w:val="4"/>
  </w:num>
  <w:num w:numId="8">
    <w:abstractNumId w:val="1"/>
  </w:num>
  <w:num w:numId="9">
    <w:abstractNumId w:val="15"/>
  </w:num>
  <w:num w:numId="10">
    <w:abstractNumId w:val="11"/>
  </w:num>
  <w:num w:numId="11">
    <w:abstractNumId w:val="3"/>
  </w:num>
  <w:num w:numId="12">
    <w:abstractNumId w:val="7"/>
  </w:num>
  <w:num w:numId="13">
    <w:abstractNumId w:val="5"/>
  </w:num>
  <w:num w:numId="14">
    <w:abstractNumId w:val="13"/>
  </w:num>
  <w:num w:numId="15">
    <w:abstractNumId w:val="20"/>
  </w:num>
  <w:num w:numId="16">
    <w:abstractNumId w:val="0"/>
  </w:num>
  <w:num w:numId="17">
    <w:abstractNumId w:val="16"/>
  </w:num>
  <w:num w:numId="18">
    <w:abstractNumId w:val="6"/>
  </w:num>
  <w:num w:numId="19">
    <w:abstractNumId w:val="19"/>
  </w:num>
  <w:num w:numId="20">
    <w:abstractNumId w:val="21"/>
  </w:num>
  <w:num w:numId="21">
    <w:abstractNumId w:val="17"/>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7F"/>
    <w:rsid w:val="0001261D"/>
    <w:rsid w:val="00013414"/>
    <w:rsid w:val="00013CE8"/>
    <w:rsid w:val="00013D72"/>
    <w:rsid w:val="00024CA9"/>
    <w:rsid w:val="00034B80"/>
    <w:rsid w:val="00040FCA"/>
    <w:rsid w:val="00041895"/>
    <w:rsid w:val="0004262B"/>
    <w:rsid w:val="0005617E"/>
    <w:rsid w:val="0006077F"/>
    <w:rsid w:val="00063882"/>
    <w:rsid w:val="00065595"/>
    <w:rsid w:val="00076D14"/>
    <w:rsid w:val="00086B38"/>
    <w:rsid w:val="00090B57"/>
    <w:rsid w:val="00093422"/>
    <w:rsid w:val="00093CDA"/>
    <w:rsid w:val="000A78CF"/>
    <w:rsid w:val="000C415D"/>
    <w:rsid w:val="000D63F5"/>
    <w:rsid w:val="000F02FA"/>
    <w:rsid w:val="000F1A1B"/>
    <w:rsid w:val="0010367E"/>
    <w:rsid w:val="00104E7E"/>
    <w:rsid w:val="00105D7A"/>
    <w:rsid w:val="00113615"/>
    <w:rsid w:val="00117C72"/>
    <w:rsid w:val="0013041D"/>
    <w:rsid w:val="00131515"/>
    <w:rsid w:val="00135B27"/>
    <w:rsid w:val="00150921"/>
    <w:rsid w:val="001526F7"/>
    <w:rsid w:val="00155D4D"/>
    <w:rsid w:val="0015629D"/>
    <w:rsid w:val="00156AD7"/>
    <w:rsid w:val="00161818"/>
    <w:rsid w:val="001618AE"/>
    <w:rsid w:val="00181E08"/>
    <w:rsid w:val="001917E9"/>
    <w:rsid w:val="00193DF1"/>
    <w:rsid w:val="00194B63"/>
    <w:rsid w:val="00195F0C"/>
    <w:rsid w:val="001A3113"/>
    <w:rsid w:val="001B16CE"/>
    <w:rsid w:val="001B7545"/>
    <w:rsid w:val="001B7BC2"/>
    <w:rsid w:val="001C6149"/>
    <w:rsid w:val="001D002C"/>
    <w:rsid w:val="001D143D"/>
    <w:rsid w:val="001D34E5"/>
    <w:rsid w:val="001D6E14"/>
    <w:rsid w:val="001D74C9"/>
    <w:rsid w:val="001E10A7"/>
    <w:rsid w:val="001E6A46"/>
    <w:rsid w:val="002008D6"/>
    <w:rsid w:val="002062E1"/>
    <w:rsid w:val="0021407C"/>
    <w:rsid w:val="00220F42"/>
    <w:rsid w:val="002240BE"/>
    <w:rsid w:val="00230D9E"/>
    <w:rsid w:val="0024214C"/>
    <w:rsid w:val="00247107"/>
    <w:rsid w:val="00247B80"/>
    <w:rsid w:val="00257860"/>
    <w:rsid w:val="0027193F"/>
    <w:rsid w:val="002722AD"/>
    <w:rsid w:val="00283F76"/>
    <w:rsid w:val="002B1E1E"/>
    <w:rsid w:val="002B3D4E"/>
    <w:rsid w:val="002C54D7"/>
    <w:rsid w:val="002D6688"/>
    <w:rsid w:val="002F204B"/>
    <w:rsid w:val="002F5FBA"/>
    <w:rsid w:val="00300AE6"/>
    <w:rsid w:val="003010EB"/>
    <w:rsid w:val="00301EF1"/>
    <w:rsid w:val="00301FB3"/>
    <w:rsid w:val="00303488"/>
    <w:rsid w:val="00305D20"/>
    <w:rsid w:val="0030780D"/>
    <w:rsid w:val="00317DDB"/>
    <w:rsid w:val="0032709D"/>
    <w:rsid w:val="00333455"/>
    <w:rsid w:val="00336B15"/>
    <w:rsid w:val="0034689A"/>
    <w:rsid w:val="00346D3E"/>
    <w:rsid w:val="00347FE7"/>
    <w:rsid w:val="0035689F"/>
    <w:rsid w:val="00361635"/>
    <w:rsid w:val="00367570"/>
    <w:rsid w:val="00370F1D"/>
    <w:rsid w:val="00392496"/>
    <w:rsid w:val="00392D59"/>
    <w:rsid w:val="003930D6"/>
    <w:rsid w:val="00393D2C"/>
    <w:rsid w:val="00395440"/>
    <w:rsid w:val="003A23E4"/>
    <w:rsid w:val="003A7BDE"/>
    <w:rsid w:val="003B48D9"/>
    <w:rsid w:val="003B758E"/>
    <w:rsid w:val="003B7C88"/>
    <w:rsid w:val="003D0C09"/>
    <w:rsid w:val="003D1889"/>
    <w:rsid w:val="003D2CCE"/>
    <w:rsid w:val="003D60B1"/>
    <w:rsid w:val="00400056"/>
    <w:rsid w:val="00400EBE"/>
    <w:rsid w:val="00411B1A"/>
    <w:rsid w:val="00412DEF"/>
    <w:rsid w:val="00415E2C"/>
    <w:rsid w:val="00426BF1"/>
    <w:rsid w:val="004375D2"/>
    <w:rsid w:val="004430D3"/>
    <w:rsid w:val="00445E91"/>
    <w:rsid w:val="00450AA1"/>
    <w:rsid w:val="00460671"/>
    <w:rsid w:val="00463635"/>
    <w:rsid w:val="0047153F"/>
    <w:rsid w:val="00473C7F"/>
    <w:rsid w:val="00480009"/>
    <w:rsid w:val="00481A7A"/>
    <w:rsid w:val="00486D6A"/>
    <w:rsid w:val="004908B7"/>
    <w:rsid w:val="00490A5A"/>
    <w:rsid w:val="00496DFD"/>
    <w:rsid w:val="004A3195"/>
    <w:rsid w:val="004A69CA"/>
    <w:rsid w:val="004B3988"/>
    <w:rsid w:val="004D50DD"/>
    <w:rsid w:val="004E4816"/>
    <w:rsid w:val="004F6686"/>
    <w:rsid w:val="00502745"/>
    <w:rsid w:val="0050352E"/>
    <w:rsid w:val="00503CA2"/>
    <w:rsid w:val="005079B3"/>
    <w:rsid w:val="00514D56"/>
    <w:rsid w:val="00515B2E"/>
    <w:rsid w:val="00525DB9"/>
    <w:rsid w:val="00527DA3"/>
    <w:rsid w:val="00530CF3"/>
    <w:rsid w:val="00531D2E"/>
    <w:rsid w:val="0053409A"/>
    <w:rsid w:val="00534B20"/>
    <w:rsid w:val="005429DF"/>
    <w:rsid w:val="00565355"/>
    <w:rsid w:val="005661E3"/>
    <w:rsid w:val="005760D8"/>
    <w:rsid w:val="00576126"/>
    <w:rsid w:val="00585E0C"/>
    <w:rsid w:val="00590894"/>
    <w:rsid w:val="005923DA"/>
    <w:rsid w:val="0059292B"/>
    <w:rsid w:val="0059297F"/>
    <w:rsid w:val="00592E0E"/>
    <w:rsid w:val="005A0C05"/>
    <w:rsid w:val="005A455A"/>
    <w:rsid w:val="005A73C5"/>
    <w:rsid w:val="005B02A0"/>
    <w:rsid w:val="005B18E2"/>
    <w:rsid w:val="005B541A"/>
    <w:rsid w:val="005C1880"/>
    <w:rsid w:val="005C4BF5"/>
    <w:rsid w:val="005C5548"/>
    <w:rsid w:val="005D0268"/>
    <w:rsid w:val="005D24DB"/>
    <w:rsid w:val="005E1F97"/>
    <w:rsid w:val="005E58AA"/>
    <w:rsid w:val="00612020"/>
    <w:rsid w:val="006132D0"/>
    <w:rsid w:val="0062699B"/>
    <w:rsid w:val="0063190E"/>
    <w:rsid w:val="00647D76"/>
    <w:rsid w:val="00651EE1"/>
    <w:rsid w:val="00653890"/>
    <w:rsid w:val="00662C10"/>
    <w:rsid w:val="00666504"/>
    <w:rsid w:val="0067007D"/>
    <w:rsid w:val="00682A85"/>
    <w:rsid w:val="006A5024"/>
    <w:rsid w:val="006B4376"/>
    <w:rsid w:val="006C42B1"/>
    <w:rsid w:val="006C63D5"/>
    <w:rsid w:val="006D5174"/>
    <w:rsid w:val="006D7A71"/>
    <w:rsid w:val="006E3ED7"/>
    <w:rsid w:val="006E6649"/>
    <w:rsid w:val="006F615F"/>
    <w:rsid w:val="006F7852"/>
    <w:rsid w:val="00704C3A"/>
    <w:rsid w:val="00712F0A"/>
    <w:rsid w:val="00714714"/>
    <w:rsid w:val="007171AA"/>
    <w:rsid w:val="00717445"/>
    <w:rsid w:val="00717850"/>
    <w:rsid w:val="00717941"/>
    <w:rsid w:val="00721818"/>
    <w:rsid w:val="00727FAE"/>
    <w:rsid w:val="00742470"/>
    <w:rsid w:val="00750C60"/>
    <w:rsid w:val="00751B18"/>
    <w:rsid w:val="007755AC"/>
    <w:rsid w:val="00781A2A"/>
    <w:rsid w:val="00782DF4"/>
    <w:rsid w:val="00785D59"/>
    <w:rsid w:val="0079059F"/>
    <w:rsid w:val="007A253E"/>
    <w:rsid w:val="007A66C0"/>
    <w:rsid w:val="007B0DF5"/>
    <w:rsid w:val="007C0B2D"/>
    <w:rsid w:val="007D4B80"/>
    <w:rsid w:val="007E4C02"/>
    <w:rsid w:val="007F13E1"/>
    <w:rsid w:val="007F548F"/>
    <w:rsid w:val="007F5A5D"/>
    <w:rsid w:val="008012F5"/>
    <w:rsid w:val="00801834"/>
    <w:rsid w:val="00807215"/>
    <w:rsid w:val="00824755"/>
    <w:rsid w:val="00826C18"/>
    <w:rsid w:val="008465CD"/>
    <w:rsid w:val="0086574F"/>
    <w:rsid w:val="00866BA6"/>
    <w:rsid w:val="00877B95"/>
    <w:rsid w:val="00885A3E"/>
    <w:rsid w:val="008A3B15"/>
    <w:rsid w:val="008B1B10"/>
    <w:rsid w:val="008B5650"/>
    <w:rsid w:val="008C4582"/>
    <w:rsid w:val="008C7EF8"/>
    <w:rsid w:val="008D13D4"/>
    <w:rsid w:val="008D3F7B"/>
    <w:rsid w:val="008E57AB"/>
    <w:rsid w:val="0093489E"/>
    <w:rsid w:val="009407A0"/>
    <w:rsid w:val="00942941"/>
    <w:rsid w:val="00960122"/>
    <w:rsid w:val="00960F24"/>
    <w:rsid w:val="0097002E"/>
    <w:rsid w:val="0097181A"/>
    <w:rsid w:val="00977605"/>
    <w:rsid w:val="009816B1"/>
    <w:rsid w:val="00987F9B"/>
    <w:rsid w:val="009A01DD"/>
    <w:rsid w:val="009A0E25"/>
    <w:rsid w:val="009B43E5"/>
    <w:rsid w:val="009C35B4"/>
    <w:rsid w:val="009D46A4"/>
    <w:rsid w:val="009D7603"/>
    <w:rsid w:val="009E04AB"/>
    <w:rsid w:val="009E4162"/>
    <w:rsid w:val="009E4779"/>
    <w:rsid w:val="009F171F"/>
    <w:rsid w:val="009F6399"/>
    <w:rsid w:val="00A07F2F"/>
    <w:rsid w:val="00A21987"/>
    <w:rsid w:val="00A33182"/>
    <w:rsid w:val="00A35585"/>
    <w:rsid w:val="00A357FD"/>
    <w:rsid w:val="00A35E32"/>
    <w:rsid w:val="00A42FFD"/>
    <w:rsid w:val="00A47817"/>
    <w:rsid w:val="00A53FF2"/>
    <w:rsid w:val="00A543DC"/>
    <w:rsid w:val="00A56D19"/>
    <w:rsid w:val="00A6093F"/>
    <w:rsid w:val="00A6342C"/>
    <w:rsid w:val="00A71CEA"/>
    <w:rsid w:val="00A74195"/>
    <w:rsid w:val="00A76C27"/>
    <w:rsid w:val="00A77DD9"/>
    <w:rsid w:val="00A80297"/>
    <w:rsid w:val="00A80B12"/>
    <w:rsid w:val="00A84C25"/>
    <w:rsid w:val="00A86C02"/>
    <w:rsid w:val="00A9756C"/>
    <w:rsid w:val="00AC5571"/>
    <w:rsid w:val="00AD0BE4"/>
    <w:rsid w:val="00AE73A6"/>
    <w:rsid w:val="00AF123C"/>
    <w:rsid w:val="00B06C27"/>
    <w:rsid w:val="00B31830"/>
    <w:rsid w:val="00B461C0"/>
    <w:rsid w:val="00B54187"/>
    <w:rsid w:val="00B5525C"/>
    <w:rsid w:val="00B561C2"/>
    <w:rsid w:val="00B61D56"/>
    <w:rsid w:val="00B67160"/>
    <w:rsid w:val="00B73B80"/>
    <w:rsid w:val="00B929A4"/>
    <w:rsid w:val="00B965BC"/>
    <w:rsid w:val="00BA3B52"/>
    <w:rsid w:val="00BB60A8"/>
    <w:rsid w:val="00BD3FFF"/>
    <w:rsid w:val="00BE0CB1"/>
    <w:rsid w:val="00BE1CC7"/>
    <w:rsid w:val="00BE4807"/>
    <w:rsid w:val="00BE5A5F"/>
    <w:rsid w:val="00BF4944"/>
    <w:rsid w:val="00BF701C"/>
    <w:rsid w:val="00C00A04"/>
    <w:rsid w:val="00C102D7"/>
    <w:rsid w:val="00C108AF"/>
    <w:rsid w:val="00C10985"/>
    <w:rsid w:val="00C14607"/>
    <w:rsid w:val="00C277A6"/>
    <w:rsid w:val="00C45FC2"/>
    <w:rsid w:val="00C71FF1"/>
    <w:rsid w:val="00C80106"/>
    <w:rsid w:val="00C81F74"/>
    <w:rsid w:val="00C905C7"/>
    <w:rsid w:val="00C92CE6"/>
    <w:rsid w:val="00CB14DB"/>
    <w:rsid w:val="00CC7032"/>
    <w:rsid w:val="00CE5CCA"/>
    <w:rsid w:val="00D01421"/>
    <w:rsid w:val="00D01735"/>
    <w:rsid w:val="00D26607"/>
    <w:rsid w:val="00D31BC8"/>
    <w:rsid w:val="00D34B5D"/>
    <w:rsid w:val="00D35A0D"/>
    <w:rsid w:val="00D529E0"/>
    <w:rsid w:val="00D5479D"/>
    <w:rsid w:val="00D56578"/>
    <w:rsid w:val="00D60196"/>
    <w:rsid w:val="00D61B21"/>
    <w:rsid w:val="00D66FD1"/>
    <w:rsid w:val="00D7427A"/>
    <w:rsid w:val="00D828AB"/>
    <w:rsid w:val="00D85FCF"/>
    <w:rsid w:val="00D931DE"/>
    <w:rsid w:val="00DA26C8"/>
    <w:rsid w:val="00DA3D36"/>
    <w:rsid w:val="00DA5596"/>
    <w:rsid w:val="00DA7E9F"/>
    <w:rsid w:val="00DB1FDB"/>
    <w:rsid w:val="00DB7427"/>
    <w:rsid w:val="00DD15C0"/>
    <w:rsid w:val="00DD1C4B"/>
    <w:rsid w:val="00DD3BFB"/>
    <w:rsid w:val="00DE4172"/>
    <w:rsid w:val="00E0790A"/>
    <w:rsid w:val="00E15491"/>
    <w:rsid w:val="00E16873"/>
    <w:rsid w:val="00E35D97"/>
    <w:rsid w:val="00E36E08"/>
    <w:rsid w:val="00E51719"/>
    <w:rsid w:val="00E53FCF"/>
    <w:rsid w:val="00E559AB"/>
    <w:rsid w:val="00E675CA"/>
    <w:rsid w:val="00E77C3E"/>
    <w:rsid w:val="00E81AE7"/>
    <w:rsid w:val="00E928C3"/>
    <w:rsid w:val="00E94EBB"/>
    <w:rsid w:val="00EA320D"/>
    <w:rsid w:val="00EA4B1B"/>
    <w:rsid w:val="00EA7818"/>
    <w:rsid w:val="00EB5F8A"/>
    <w:rsid w:val="00EB7D5A"/>
    <w:rsid w:val="00EC233E"/>
    <w:rsid w:val="00EC29BD"/>
    <w:rsid w:val="00EC7603"/>
    <w:rsid w:val="00ED484B"/>
    <w:rsid w:val="00ED76EA"/>
    <w:rsid w:val="00EE0D86"/>
    <w:rsid w:val="00EE2245"/>
    <w:rsid w:val="00EE7B8D"/>
    <w:rsid w:val="00EF1B0E"/>
    <w:rsid w:val="00F063A1"/>
    <w:rsid w:val="00F1155C"/>
    <w:rsid w:val="00F12012"/>
    <w:rsid w:val="00F1207B"/>
    <w:rsid w:val="00F311D5"/>
    <w:rsid w:val="00F331F6"/>
    <w:rsid w:val="00F4352F"/>
    <w:rsid w:val="00F55D02"/>
    <w:rsid w:val="00F564BF"/>
    <w:rsid w:val="00F6521B"/>
    <w:rsid w:val="00F67520"/>
    <w:rsid w:val="00F847E9"/>
    <w:rsid w:val="00F9762D"/>
    <w:rsid w:val="00FB3C49"/>
    <w:rsid w:val="00FC237F"/>
    <w:rsid w:val="00FC743B"/>
    <w:rsid w:val="00FE74B9"/>
    <w:rsid w:val="00FF229D"/>
    <w:rsid w:val="00FF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7F"/>
    <w:rPr>
      <w:rFonts w:ascii="Tahoma" w:hAnsi="Tahoma" w:cs="Tahoma"/>
      <w:sz w:val="16"/>
      <w:szCs w:val="16"/>
    </w:rPr>
  </w:style>
  <w:style w:type="character" w:styleId="FootnoteReference">
    <w:name w:val="footnote reference"/>
    <w:basedOn w:val="DefaultParagraphFont"/>
    <w:semiHidden/>
    <w:rsid w:val="00FC237F"/>
    <w:rPr>
      <w:vertAlign w:val="superscript"/>
    </w:rPr>
  </w:style>
  <w:style w:type="paragraph" w:styleId="Header">
    <w:name w:val="header"/>
    <w:basedOn w:val="Normal"/>
    <w:link w:val="HeaderChar"/>
    <w:uiPriority w:val="99"/>
    <w:unhideWhenUsed/>
    <w:rsid w:val="00D5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E0"/>
  </w:style>
  <w:style w:type="paragraph" w:styleId="Footer">
    <w:name w:val="footer"/>
    <w:basedOn w:val="Normal"/>
    <w:link w:val="FooterChar"/>
    <w:uiPriority w:val="99"/>
    <w:unhideWhenUsed/>
    <w:rsid w:val="00D5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9E0"/>
  </w:style>
  <w:style w:type="paragraph" w:styleId="ListParagraph">
    <w:name w:val="List Paragraph"/>
    <w:basedOn w:val="Normal"/>
    <w:uiPriority w:val="34"/>
    <w:qFormat/>
    <w:rsid w:val="00333455"/>
    <w:pPr>
      <w:ind w:left="720"/>
      <w:contextualSpacing/>
    </w:pPr>
  </w:style>
  <w:style w:type="table" w:styleId="TableGrid">
    <w:name w:val="Table Grid"/>
    <w:basedOn w:val="TableNormal"/>
    <w:uiPriority w:val="59"/>
    <w:rsid w:val="0036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2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8AB"/>
    <w:rPr>
      <w:sz w:val="20"/>
      <w:szCs w:val="20"/>
    </w:rPr>
  </w:style>
  <w:style w:type="character" w:styleId="CommentReference">
    <w:name w:val="annotation reference"/>
    <w:basedOn w:val="DefaultParagraphFont"/>
    <w:uiPriority w:val="99"/>
    <w:semiHidden/>
    <w:unhideWhenUsed/>
    <w:rsid w:val="00DE4172"/>
    <w:rPr>
      <w:sz w:val="16"/>
      <w:szCs w:val="16"/>
    </w:rPr>
  </w:style>
  <w:style w:type="paragraph" w:styleId="CommentText">
    <w:name w:val="annotation text"/>
    <w:basedOn w:val="Normal"/>
    <w:link w:val="CommentTextChar"/>
    <w:uiPriority w:val="99"/>
    <w:semiHidden/>
    <w:unhideWhenUsed/>
    <w:rsid w:val="00DE4172"/>
    <w:pPr>
      <w:spacing w:line="240" w:lineRule="auto"/>
    </w:pPr>
    <w:rPr>
      <w:sz w:val="20"/>
      <w:szCs w:val="20"/>
    </w:rPr>
  </w:style>
  <w:style w:type="character" w:customStyle="1" w:styleId="CommentTextChar">
    <w:name w:val="Comment Text Char"/>
    <w:basedOn w:val="DefaultParagraphFont"/>
    <w:link w:val="CommentText"/>
    <w:uiPriority w:val="99"/>
    <w:semiHidden/>
    <w:rsid w:val="00DE4172"/>
    <w:rPr>
      <w:sz w:val="20"/>
      <w:szCs w:val="20"/>
    </w:rPr>
  </w:style>
  <w:style w:type="paragraph" w:styleId="CommentSubject">
    <w:name w:val="annotation subject"/>
    <w:basedOn w:val="CommentText"/>
    <w:next w:val="CommentText"/>
    <w:link w:val="CommentSubjectChar"/>
    <w:uiPriority w:val="99"/>
    <w:semiHidden/>
    <w:unhideWhenUsed/>
    <w:rsid w:val="00DE4172"/>
    <w:rPr>
      <w:b/>
      <w:bCs/>
    </w:rPr>
  </w:style>
  <w:style w:type="character" w:customStyle="1" w:styleId="CommentSubjectChar">
    <w:name w:val="Comment Subject Char"/>
    <w:basedOn w:val="CommentTextChar"/>
    <w:link w:val="CommentSubject"/>
    <w:uiPriority w:val="99"/>
    <w:semiHidden/>
    <w:rsid w:val="00DE41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37F"/>
    <w:rPr>
      <w:rFonts w:ascii="Tahoma" w:hAnsi="Tahoma" w:cs="Tahoma"/>
      <w:sz w:val="16"/>
      <w:szCs w:val="16"/>
    </w:rPr>
  </w:style>
  <w:style w:type="character" w:styleId="FootnoteReference">
    <w:name w:val="footnote reference"/>
    <w:basedOn w:val="DefaultParagraphFont"/>
    <w:semiHidden/>
    <w:rsid w:val="00FC237F"/>
    <w:rPr>
      <w:vertAlign w:val="superscript"/>
    </w:rPr>
  </w:style>
  <w:style w:type="paragraph" w:styleId="Header">
    <w:name w:val="header"/>
    <w:basedOn w:val="Normal"/>
    <w:link w:val="HeaderChar"/>
    <w:uiPriority w:val="99"/>
    <w:unhideWhenUsed/>
    <w:rsid w:val="00D5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E0"/>
  </w:style>
  <w:style w:type="paragraph" w:styleId="Footer">
    <w:name w:val="footer"/>
    <w:basedOn w:val="Normal"/>
    <w:link w:val="FooterChar"/>
    <w:uiPriority w:val="99"/>
    <w:unhideWhenUsed/>
    <w:rsid w:val="00D5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9E0"/>
  </w:style>
  <w:style w:type="paragraph" w:styleId="ListParagraph">
    <w:name w:val="List Paragraph"/>
    <w:basedOn w:val="Normal"/>
    <w:uiPriority w:val="34"/>
    <w:qFormat/>
    <w:rsid w:val="00333455"/>
    <w:pPr>
      <w:ind w:left="720"/>
      <w:contextualSpacing/>
    </w:pPr>
  </w:style>
  <w:style w:type="table" w:styleId="TableGrid">
    <w:name w:val="Table Grid"/>
    <w:basedOn w:val="TableNormal"/>
    <w:uiPriority w:val="59"/>
    <w:rsid w:val="0036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2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8AB"/>
    <w:rPr>
      <w:sz w:val="20"/>
      <w:szCs w:val="20"/>
    </w:rPr>
  </w:style>
  <w:style w:type="character" w:styleId="CommentReference">
    <w:name w:val="annotation reference"/>
    <w:basedOn w:val="DefaultParagraphFont"/>
    <w:uiPriority w:val="99"/>
    <w:semiHidden/>
    <w:unhideWhenUsed/>
    <w:rsid w:val="00DE4172"/>
    <w:rPr>
      <w:sz w:val="16"/>
      <w:szCs w:val="16"/>
    </w:rPr>
  </w:style>
  <w:style w:type="paragraph" w:styleId="CommentText">
    <w:name w:val="annotation text"/>
    <w:basedOn w:val="Normal"/>
    <w:link w:val="CommentTextChar"/>
    <w:uiPriority w:val="99"/>
    <w:semiHidden/>
    <w:unhideWhenUsed/>
    <w:rsid w:val="00DE4172"/>
    <w:pPr>
      <w:spacing w:line="240" w:lineRule="auto"/>
    </w:pPr>
    <w:rPr>
      <w:sz w:val="20"/>
      <w:szCs w:val="20"/>
    </w:rPr>
  </w:style>
  <w:style w:type="character" w:customStyle="1" w:styleId="CommentTextChar">
    <w:name w:val="Comment Text Char"/>
    <w:basedOn w:val="DefaultParagraphFont"/>
    <w:link w:val="CommentText"/>
    <w:uiPriority w:val="99"/>
    <w:semiHidden/>
    <w:rsid w:val="00DE4172"/>
    <w:rPr>
      <w:sz w:val="20"/>
      <w:szCs w:val="20"/>
    </w:rPr>
  </w:style>
  <w:style w:type="paragraph" w:styleId="CommentSubject">
    <w:name w:val="annotation subject"/>
    <w:basedOn w:val="CommentText"/>
    <w:next w:val="CommentText"/>
    <w:link w:val="CommentSubjectChar"/>
    <w:uiPriority w:val="99"/>
    <w:semiHidden/>
    <w:unhideWhenUsed/>
    <w:rsid w:val="00DE4172"/>
    <w:rPr>
      <w:b/>
      <w:bCs/>
    </w:rPr>
  </w:style>
  <w:style w:type="character" w:customStyle="1" w:styleId="CommentSubjectChar">
    <w:name w:val="Comment Subject Char"/>
    <w:basedOn w:val="CommentTextChar"/>
    <w:link w:val="CommentSubject"/>
    <w:uiPriority w:val="99"/>
    <w:semiHidden/>
    <w:rsid w:val="00DE41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image" Target="media/image2.jpeg"/><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yperlink" Target="mailto:HCWorkforceCenter@state.ma.u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yperlink" Target="http://www.mass.gov/dph/hcworkforcecenter" TargetMode="Externa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chart" Target="charts/chart17.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h-nas\Users\tlin\My%20Documents\PCO\RN\2014\Report%20and%20Data%20Tables\RN%202014%20Report%20Tables%201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 1.</a:t>
            </a:r>
            <a:r>
              <a:rPr lang="en-US" sz="1200" b="0"/>
              <a:t> </a:t>
            </a:r>
            <a:r>
              <a:rPr lang="en-US" sz="1200"/>
              <a:t>2014 RN</a:t>
            </a:r>
            <a:r>
              <a:rPr lang="en-US" sz="1200" baseline="0"/>
              <a:t> Workforce Survey Response Rates </a:t>
            </a:r>
            <a:r>
              <a:rPr lang="en-US" sz="1200"/>
              <a:t>by Age</a:t>
            </a:r>
            <a:r>
              <a:rPr lang="en-US" sz="1200" baseline="0"/>
              <a:t> Group</a:t>
            </a:r>
            <a:endParaRPr lang="en-US" sz="1000"/>
          </a:p>
        </c:rich>
      </c:tx>
      <c:layout>
        <c:manualLayout>
          <c:xMode val="edge"/>
          <c:yMode val="edge"/>
          <c:x val="0.19543383645672194"/>
          <c:y val="0"/>
        </c:manualLayout>
      </c:layout>
      <c:overlay val="0"/>
    </c:title>
    <c:autoTitleDeleted val="0"/>
    <c:plotArea>
      <c:layout>
        <c:manualLayout>
          <c:layoutTarget val="inner"/>
          <c:xMode val="edge"/>
          <c:yMode val="edge"/>
          <c:x val="0.10647391033816954"/>
          <c:y val="0.18417694811971499"/>
          <c:w val="0.87306164593415181"/>
          <c:h val="0.60924812352346447"/>
        </c:manualLayout>
      </c:layout>
      <c:barChart>
        <c:barDir val="col"/>
        <c:grouping val="clustered"/>
        <c:varyColors val="0"/>
        <c:ser>
          <c:idx val="0"/>
          <c:order val="0"/>
          <c:tx>
            <c:strRef>
              <c:f>MLO!$D$19</c:f>
              <c:strCache>
                <c:ptCount val="1"/>
                <c:pt idx="0">
                  <c:v>% Surveyed</c:v>
                </c:pt>
              </c:strCache>
            </c:strRef>
          </c:tx>
          <c:spPr>
            <a:solidFill>
              <a:schemeClr val="accent1">
                <a:lumMod val="5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MLO!$A$20:$A$30</c:f>
              <c:strCache>
                <c:ptCount val="11"/>
                <c:pt idx="0">
                  <c:v>25 or Younger</c:v>
                </c:pt>
                <c:pt idx="1">
                  <c:v>26-30</c:v>
                </c:pt>
                <c:pt idx="2">
                  <c:v>31-35</c:v>
                </c:pt>
                <c:pt idx="3">
                  <c:v>36-40</c:v>
                </c:pt>
                <c:pt idx="4">
                  <c:v>41-45</c:v>
                </c:pt>
                <c:pt idx="5">
                  <c:v>46-50</c:v>
                </c:pt>
                <c:pt idx="6">
                  <c:v>51-55</c:v>
                </c:pt>
                <c:pt idx="7">
                  <c:v>56-60</c:v>
                </c:pt>
                <c:pt idx="8">
                  <c:v>61-65</c:v>
                </c:pt>
                <c:pt idx="9">
                  <c:v>66-70</c:v>
                </c:pt>
                <c:pt idx="10">
                  <c:v>71 or Older</c:v>
                </c:pt>
              </c:strCache>
            </c:strRef>
          </c:cat>
          <c:val>
            <c:numRef>
              <c:f>MLO!$D$20:$D$30</c:f>
              <c:numCache>
                <c:formatCode>0.0%</c:formatCode>
                <c:ptCount val="11"/>
                <c:pt idx="0">
                  <c:v>0.1770806326160228</c:v>
                </c:pt>
                <c:pt idx="1">
                  <c:v>0.57621153325512142</c:v>
                </c:pt>
                <c:pt idx="2">
                  <c:v>0.70426719481454803</c:v>
                </c:pt>
                <c:pt idx="3">
                  <c:v>0.79986039090546468</c:v>
                </c:pt>
                <c:pt idx="4">
                  <c:v>0.82173233813574031</c:v>
                </c:pt>
                <c:pt idx="5">
                  <c:v>0.8759573628108962</c:v>
                </c:pt>
                <c:pt idx="6">
                  <c:v>0.85482945489321005</c:v>
                </c:pt>
                <c:pt idx="7">
                  <c:v>0.8513987994110318</c:v>
                </c:pt>
                <c:pt idx="8">
                  <c:v>0.74367611541883816</c:v>
                </c:pt>
                <c:pt idx="9">
                  <c:v>0.64554147209250612</c:v>
                </c:pt>
                <c:pt idx="10">
                  <c:v>0.44376130198915009</c:v>
                </c:pt>
              </c:numCache>
            </c:numRef>
          </c:val>
        </c:ser>
        <c:dLbls>
          <c:showLegendKey val="0"/>
          <c:showVal val="0"/>
          <c:showCatName val="0"/>
          <c:showSerName val="0"/>
          <c:showPercent val="0"/>
          <c:showBubbleSize val="0"/>
        </c:dLbls>
        <c:gapWidth val="150"/>
        <c:axId val="28882048"/>
        <c:axId val="28883968"/>
      </c:barChart>
      <c:catAx>
        <c:axId val="28882048"/>
        <c:scaling>
          <c:orientation val="minMax"/>
        </c:scaling>
        <c:delete val="0"/>
        <c:axPos val="b"/>
        <c:numFmt formatCode="General" sourceLinked="1"/>
        <c:majorTickMark val="out"/>
        <c:minorTickMark val="none"/>
        <c:tickLblPos val="nextTo"/>
        <c:crossAx val="28883968"/>
        <c:crosses val="autoZero"/>
        <c:auto val="1"/>
        <c:lblAlgn val="ctr"/>
        <c:lblOffset val="100"/>
        <c:noMultiLvlLbl val="0"/>
      </c:catAx>
      <c:valAx>
        <c:axId val="28883968"/>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spPr>
          <a:ln>
            <a:solidFill>
              <a:schemeClr val="bg1">
                <a:lumMod val="75000"/>
              </a:schemeClr>
            </a:solidFill>
          </a:ln>
        </c:spPr>
        <c:txPr>
          <a:bodyPr/>
          <a:lstStyle/>
          <a:p>
            <a:pPr>
              <a:defRPr>
                <a:solidFill>
                  <a:schemeClr val="bg1">
                    <a:lumMod val="50000"/>
                  </a:schemeClr>
                </a:solidFill>
              </a:defRPr>
            </a:pPr>
            <a:endParaRPr lang="en-US"/>
          </a:p>
        </c:txPr>
        <c:crossAx val="28882048"/>
        <c:crosses val="autoZero"/>
        <c:crossBetween val="between"/>
        <c:majorUnit val="0.25"/>
      </c:valAx>
    </c:plotArea>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 10.</a:t>
            </a:r>
            <a:r>
              <a:rPr lang="en-US" sz="1200" b="0" i="1" baseline="0"/>
              <a:t> </a:t>
            </a:r>
            <a:r>
              <a:rPr lang="en-US" sz="1200" b="1" i="0" baseline="0"/>
              <a:t>2014 </a:t>
            </a:r>
            <a:r>
              <a:rPr lang="en-US" sz="1200"/>
              <a:t>Nurse</a:t>
            </a:r>
            <a:r>
              <a:rPr lang="en-US" sz="1200" baseline="0"/>
              <a:t> Practitioners by Certification Specialty Categories</a:t>
            </a:r>
            <a:r>
              <a:rPr lang="en-US" sz="1100" baseline="30000"/>
              <a:t>10</a:t>
            </a:r>
            <a:r>
              <a:rPr lang="en-US" sz="1100" baseline="0"/>
              <a:t/>
            </a:r>
            <a:br>
              <a:rPr lang="en-US" sz="1100" baseline="0"/>
            </a:br>
            <a:r>
              <a:rPr lang="en-US" sz="1000" b="0" baseline="0"/>
              <a:t>n=6,903</a:t>
            </a:r>
            <a:endParaRPr lang="en-US" sz="1000" b="0"/>
          </a:p>
        </c:rich>
      </c:tx>
      <c:layout>
        <c:manualLayout>
          <c:xMode val="edge"/>
          <c:yMode val="edge"/>
          <c:x val="0.18392390547873619"/>
          <c:y val="2.7777777777777776E-2"/>
        </c:manualLayout>
      </c:layout>
      <c:overlay val="0"/>
    </c:title>
    <c:autoTitleDeleted val="0"/>
    <c:plotArea>
      <c:layout>
        <c:manualLayout>
          <c:layoutTarget val="inner"/>
          <c:xMode val="edge"/>
          <c:yMode val="edge"/>
          <c:x val="0.37725065075626424"/>
          <c:y val="0.22817147856517936"/>
          <c:w val="0.56095759620171337"/>
          <c:h val="0.65584864391951003"/>
        </c:manualLayout>
      </c:layout>
      <c:barChart>
        <c:barDir val="bar"/>
        <c:grouping val="clustered"/>
        <c:varyColors val="0"/>
        <c:ser>
          <c:idx val="0"/>
          <c:order val="0"/>
          <c:tx>
            <c:strRef>
              <c:f>'RN 2014'!$G$136</c:f>
              <c:strCache>
                <c:ptCount val="1"/>
                <c:pt idx="0">
                  <c:v>%</c:v>
                </c:pt>
              </c:strCache>
            </c:strRef>
          </c:tx>
          <c:spPr>
            <a:solidFill>
              <a:schemeClr val="accent1">
                <a:lumMod val="5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2014'!$E$137:$E$145</c:f>
              <c:strCache>
                <c:ptCount val="9"/>
                <c:pt idx="0">
                  <c:v>School Nurse</c:v>
                </c:pt>
                <c:pt idx="1">
                  <c:v>Neonatal</c:v>
                </c:pt>
                <c:pt idx="2">
                  <c:v>Psychiatric Mental Health</c:v>
                </c:pt>
                <c:pt idx="3">
                  <c:v>Women's Health</c:v>
                </c:pt>
                <c:pt idx="4">
                  <c:v>Gerontology</c:v>
                </c:pt>
                <c:pt idx="5">
                  <c:v>Acute Care</c:v>
                </c:pt>
                <c:pt idx="6">
                  <c:v>Pediatric</c:v>
                </c:pt>
                <c:pt idx="7">
                  <c:v>Adult</c:v>
                </c:pt>
                <c:pt idx="8">
                  <c:v>Family</c:v>
                </c:pt>
              </c:strCache>
            </c:strRef>
          </c:cat>
          <c:val>
            <c:numRef>
              <c:f>'RN 2014'!$G$137:$G$145</c:f>
              <c:numCache>
                <c:formatCode>0.0%</c:formatCode>
                <c:ptCount val="9"/>
                <c:pt idx="0">
                  <c:v>3.4767492394611041E-3</c:v>
                </c:pt>
                <c:pt idx="1">
                  <c:v>1.2313486889758076E-2</c:v>
                </c:pt>
                <c:pt idx="2">
                  <c:v>4.9109083007388095E-2</c:v>
                </c:pt>
                <c:pt idx="3">
                  <c:v>6.431986093003042E-2</c:v>
                </c:pt>
                <c:pt idx="4">
                  <c:v>7.2432275822106332E-2</c:v>
                </c:pt>
                <c:pt idx="5">
                  <c:v>9.8942488772997245E-2</c:v>
                </c:pt>
                <c:pt idx="6">
                  <c:v>0.1326959293060988</c:v>
                </c:pt>
                <c:pt idx="7">
                  <c:v>0.30725771403737506</c:v>
                </c:pt>
                <c:pt idx="8">
                  <c:v>0.33449224974648706</c:v>
                </c:pt>
              </c:numCache>
            </c:numRef>
          </c:val>
        </c:ser>
        <c:dLbls>
          <c:showLegendKey val="0"/>
          <c:showVal val="0"/>
          <c:showCatName val="0"/>
          <c:showSerName val="0"/>
          <c:showPercent val="0"/>
          <c:showBubbleSize val="0"/>
        </c:dLbls>
        <c:gapWidth val="150"/>
        <c:axId val="26114688"/>
        <c:axId val="26116480"/>
      </c:barChart>
      <c:catAx>
        <c:axId val="26114688"/>
        <c:scaling>
          <c:orientation val="minMax"/>
        </c:scaling>
        <c:delete val="0"/>
        <c:axPos val="l"/>
        <c:majorTickMark val="out"/>
        <c:minorTickMark val="none"/>
        <c:tickLblPos val="nextTo"/>
        <c:crossAx val="26116480"/>
        <c:crosses val="autoZero"/>
        <c:auto val="1"/>
        <c:lblAlgn val="ctr"/>
        <c:lblOffset val="100"/>
        <c:noMultiLvlLbl val="0"/>
      </c:catAx>
      <c:valAx>
        <c:axId val="26116480"/>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26114688"/>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 12. </a:t>
            </a:r>
            <a:r>
              <a:rPr lang="en-US" sz="1200" b="1" i="0"/>
              <a:t>2014 </a:t>
            </a:r>
            <a:r>
              <a:rPr lang="en-US" sz="1200"/>
              <a:t>RN Primary Practice Setting</a:t>
            </a:r>
            <a:r>
              <a:rPr lang="en-US" sz="1100" baseline="30000"/>
              <a:t>12</a:t>
            </a:r>
            <a:endParaRPr lang="en-US" sz="1200" baseline="30000"/>
          </a:p>
          <a:p>
            <a:pPr>
              <a:defRPr/>
            </a:pPr>
            <a:r>
              <a:rPr lang="en-US" sz="1000" b="0"/>
              <a:t>n=68,716</a:t>
            </a:r>
          </a:p>
        </c:rich>
      </c:tx>
      <c:layout/>
      <c:overlay val="0"/>
    </c:title>
    <c:autoTitleDeleted val="0"/>
    <c:plotArea>
      <c:layout>
        <c:manualLayout>
          <c:layoutTarget val="inner"/>
          <c:xMode val="edge"/>
          <c:yMode val="edge"/>
          <c:x val="0.3800617200250278"/>
          <c:y val="0.19086209102021093"/>
          <c:w val="0.57572227860031377"/>
          <c:h val="0.7186564205038849"/>
        </c:manualLayout>
      </c:layout>
      <c:barChart>
        <c:barDir val="bar"/>
        <c:grouping val="clustered"/>
        <c:varyColors val="0"/>
        <c:ser>
          <c:idx val="0"/>
          <c:order val="0"/>
          <c:tx>
            <c:strRef>
              <c:f>'RN 2014'!$G$193</c:f>
              <c:strCache>
                <c:ptCount val="1"/>
                <c:pt idx="0">
                  <c:v>%</c:v>
                </c:pt>
              </c:strCache>
            </c:strRef>
          </c:tx>
          <c:spPr>
            <a:solidFill>
              <a:schemeClr val="accent4">
                <a:lumMod val="75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2014'!$E$194:$E$203</c:f>
              <c:strCache>
                <c:ptCount val="10"/>
                <c:pt idx="0">
                  <c:v>Ambulatory Care Setting - non-Hospital-based</c:v>
                </c:pt>
                <c:pt idx="1">
                  <c:v>Community Health Center</c:v>
                </c:pt>
                <c:pt idx="2">
                  <c:v>Chronic Care/Rehabilitation Hospital</c:v>
                </c:pt>
                <c:pt idx="3">
                  <c:v>School Nursing (K-12)</c:v>
                </c:pt>
                <c:pt idx="4">
                  <c:v>Physician Office</c:v>
                </c:pt>
                <c:pt idx="5">
                  <c:v>Skilled Nursing/Extended Care</c:v>
                </c:pt>
                <c:pt idx="6">
                  <c:v>Home Health Nursing Agency</c:v>
                </c:pt>
                <c:pt idx="7">
                  <c:v>Ambulatory Care Setting - Hospital-based</c:v>
                </c:pt>
                <c:pt idx="8">
                  <c:v>Academic Medical Center/Inpatient</c:v>
                </c:pt>
                <c:pt idx="9">
                  <c:v>Community Hospital/Inpatient</c:v>
                </c:pt>
              </c:strCache>
            </c:strRef>
          </c:cat>
          <c:val>
            <c:numRef>
              <c:f>'RN 2014'!$G$194:$G$203</c:f>
              <c:numCache>
                <c:formatCode>0.0%</c:formatCode>
                <c:ptCount val="10"/>
                <c:pt idx="0">
                  <c:v>2.2294662087432329E-2</c:v>
                </c:pt>
                <c:pt idx="1">
                  <c:v>2.315326852552535E-2</c:v>
                </c:pt>
                <c:pt idx="2">
                  <c:v>2.4797718144245882E-2</c:v>
                </c:pt>
                <c:pt idx="3">
                  <c:v>4.2391873799406253E-2</c:v>
                </c:pt>
                <c:pt idx="4">
                  <c:v>4.7121485534664415E-2</c:v>
                </c:pt>
                <c:pt idx="5">
                  <c:v>6.2037953315094013E-2</c:v>
                </c:pt>
                <c:pt idx="6">
                  <c:v>7.116246580126899E-2</c:v>
                </c:pt>
                <c:pt idx="7">
                  <c:v>0.11848768845683684</c:v>
                </c:pt>
                <c:pt idx="8">
                  <c:v>0.1752139239769486</c:v>
                </c:pt>
                <c:pt idx="9">
                  <c:v>0.20494499097735608</c:v>
                </c:pt>
              </c:numCache>
            </c:numRef>
          </c:val>
        </c:ser>
        <c:dLbls>
          <c:showLegendKey val="0"/>
          <c:showVal val="0"/>
          <c:showCatName val="0"/>
          <c:showSerName val="0"/>
          <c:showPercent val="0"/>
          <c:showBubbleSize val="0"/>
        </c:dLbls>
        <c:gapWidth val="150"/>
        <c:axId val="26687744"/>
        <c:axId val="26689536"/>
      </c:barChart>
      <c:catAx>
        <c:axId val="26687744"/>
        <c:scaling>
          <c:orientation val="minMax"/>
        </c:scaling>
        <c:delete val="0"/>
        <c:axPos val="l"/>
        <c:majorTickMark val="out"/>
        <c:minorTickMark val="none"/>
        <c:tickLblPos val="nextTo"/>
        <c:crossAx val="26689536"/>
        <c:crosses val="autoZero"/>
        <c:auto val="1"/>
        <c:lblAlgn val="l"/>
        <c:lblOffset val="100"/>
        <c:noMultiLvlLbl val="0"/>
      </c:catAx>
      <c:valAx>
        <c:axId val="26689536"/>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26687744"/>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200" b="0" i="1"/>
              <a:t>Figure 13.</a:t>
            </a:r>
            <a:r>
              <a:rPr lang="en-US" sz="1200" b="0" i="1" baseline="0"/>
              <a:t> </a:t>
            </a:r>
            <a:r>
              <a:rPr lang="en-US" sz="1200" b="1" i="0" baseline="0"/>
              <a:t>2014 RN </a:t>
            </a:r>
            <a:r>
              <a:rPr lang="en-US" sz="1200"/>
              <a:t>Role in Primary Nursing Position</a:t>
            </a:r>
            <a:r>
              <a:rPr lang="en-US" sz="1100" baseline="30000"/>
              <a:t>14</a:t>
            </a:r>
            <a:endParaRPr lang="en-US" sz="1200" baseline="30000"/>
          </a:p>
          <a:p>
            <a:pPr>
              <a:defRPr sz="1100"/>
            </a:pPr>
            <a:r>
              <a:rPr lang="en-US" sz="1000" b="0"/>
              <a:t>n=68,716</a:t>
            </a:r>
          </a:p>
        </c:rich>
      </c:tx>
      <c:layout/>
      <c:overlay val="0"/>
    </c:title>
    <c:autoTitleDeleted val="0"/>
    <c:plotArea>
      <c:layout>
        <c:manualLayout>
          <c:layoutTarget val="inner"/>
          <c:xMode val="edge"/>
          <c:yMode val="edge"/>
          <c:x val="0.31734276393234229"/>
          <c:y val="0.24022955797480519"/>
          <c:w val="0.6134394913824267"/>
          <c:h val="0.65143073302809662"/>
        </c:manualLayout>
      </c:layout>
      <c:barChart>
        <c:barDir val="bar"/>
        <c:grouping val="clustered"/>
        <c:varyColors val="0"/>
        <c:ser>
          <c:idx val="0"/>
          <c:order val="0"/>
          <c:tx>
            <c:strRef>
              <c:f>'RN 2014'!$G$282</c:f>
              <c:strCache>
                <c:ptCount val="1"/>
                <c:pt idx="0">
                  <c:v>Percent</c:v>
                </c:pt>
              </c:strCache>
            </c:strRef>
          </c:tx>
          <c:spPr>
            <a:solidFill>
              <a:schemeClr val="accent2">
                <a:lumMod val="60000"/>
                <a:lumOff val="4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2014'!$E$283:$E$288</c:f>
              <c:strCache>
                <c:ptCount val="6"/>
                <c:pt idx="0">
                  <c:v>School Nurse</c:v>
                </c:pt>
                <c:pt idx="1">
                  <c:v>Charge Nurse</c:v>
                </c:pt>
                <c:pt idx="2">
                  <c:v>Manager/Director</c:v>
                </c:pt>
                <c:pt idx="3">
                  <c:v>Nurse Practitioner</c:v>
                </c:pt>
                <c:pt idx="4">
                  <c:v>Case Manager</c:v>
                </c:pt>
                <c:pt idx="5">
                  <c:v>Staff Nurse</c:v>
                </c:pt>
              </c:strCache>
            </c:strRef>
          </c:cat>
          <c:val>
            <c:numRef>
              <c:f>'RN 2014'!$G$283:$G$288</c:f>
              <c:numCache>
                <c:formatCode>0.0%</c:formatCode>
                <c:ptCount val="6"/>
                <c:pt idx="0">
                  <c:v>3.9888817742592703E-2</c:v>
                </c:pt>
                <c:pt idx="1">
                  <c:v>5.9782292333663195E-2</c:v>
                </c:pt>
                <c:pt idx="2">
                  <c:v>6.5821642703300542E-2</c:v>
                </c:pt>
                <c:pt idx="3">
                  <c:v>7.0129227545258743E-2</c:v>
                </c:pt>
                <c:pt idx="4">
                  <c:v>7.6517841550730548E-2</c:v>
                </c:pt>
                <c:pt idx="5">
                  <c:v>0.50657779847488216</c:v>
                </c:pt>
              </c:numCache>
            </c:numRef>
          </c:val>
        </c:ser>
        <c:dLbls>
          <c:showLegendKey val="0"/>
          <c:showVal val="0"/>
          <c:showCatName val="0"/>
          <c:showSerName val="0"/>
          <c:showPercent val="0"/>
          <c:showBubbleSize val="0"/>
        </c:dLbls>
        <c:gapWidth val="150"/>
        <c:axId val="28475392"/>
        <c:axId val="28476928"/>
      </c:barChart>
      <c:catAx>
        <c:axId val="28475392"/>
        <c:scaling>
          <c:orientation val="minMax"/>
        </c:scaling>
        <c:delete val="0"/>
        <c:axPos val="l"/>
        <c:majorTickMark val="out"/>
        <c:minorTickMark val="none"/>
        <c:tickLblPos val="nextTo"/>
        <c:crossAx val="28476928"/>
        <c:crosses val="autoZero"/>
        <c:auto val="1"/>
        <c:lblAlgn val="ctr"/>
        <c:lblOffset val="100"/>
        <c:noMultiLvlLbl val="0"/>
      </c:catAx>
      <c:valAx>
        <c:axId val="28476928"/>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28475392"/>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a:t>Figure 14. </a:t>
            </a:r>
            <a:r>
              <a:rPr lang="en-US" sz="1200" b="1" i="0"/>
              <a:t>2014 </a:t>
            </a:r>
            <a:r>
              <a:rPr lang="en-US" sz="1200"/>
              <a:t>% RNs Providing Routine Direct Patient Care by Nursing</a:t>
            </a:r>
            <a:r>
              <a:rPr lang="en-US" sz="1200" baseline="0"/>
              <a:t> Education</a:t>
            </a:r>
            <a:endParaRPr lang="en-US" sz="1200"/>
          </a:p>
          <a:p>
            <a:pPr>
              <a:defRPr sz="1200"/>
            </a:pPr>
            <a:r>
              <a:rPr lang="en-US" sz="1000" b="0"/>
              <a:t>n=68,716</a:t>
            </a:r>
          </a:p>
        </c:rich>
      </c:tx>
      <c:layout/>
      <c:overlay val="0"/>
    </c:title>
    <c:autoTitleDeleted val="0"/>
    <c:plotArea>
      <c:layout>
        <c:manualLayout>
          <c:layoutTarget val="inner"/>
          <c:xMode val="edge"/>
          <c:yMode val="edge"/>
          <c:x val="0.34074608632320291"/>
          <c:y val="0.29201735531786094"/>
          <c:w val="0.58706651129928666"/>
          <c:h val="0.57402102128072463"/>
        </c:manualLayout>
      </c:layout>
      <c:barChart>
        <c:barDir val="bar"/>
        <c:grouping val="clustered"/>
        <c:varyColors val="0"/>
        <c:ser>
          <c:idx val="0"/>
          <c:order val="0"/>
          <c:tx>
            <c:strRef>
              <c:f>'RN 2014'!$Q$327</c:f>
              <c:strCache>
                <c:ptCount val="1"/>
                <c:pt idx="0">
                  <c:v>% Providing Routine Direct Patient Care</c:v>
                </c:pt>
              </c:strCache>
            </c:strRef>
          </c:tx>
          <c:spPr>
            <a:solidFill>
              <a:schemeClr val="accent6">
                <a:lumMod val="60000"/>
                <a:lumOff val="4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2014'!$P$328:$P$333</c:f>
              <c:strCache>
                <c:ptCount val="6"/>
                <c:pt idx="0">
                  <c:v>Practice Doctorate</c:v>
                </c:pt>
                <c:pt idx="1">
                  <c:v>Doctoral Degree</c:v>
                </c:pt>
                <c:pt idx="2">
                  <c:v>Master's Degree</c:v>
                </c:pt>
                <c:pt idx="3">
                  <c:v>Baccalaureate Degree</c:v>
                </c:pt>
                <c:pt idx="4">
                  <c:v>Associate Degree</c:v>
                </c:pt>
                <c:pt idx="5">
                  <c:v>Diploma</c:v>
                </c:pt>
              </c:strCache>
            </c:strRef>
          </c:cat>
          <c:val>
            <c:numRef>
              <c:f>'RN 2014'!$Q$328:$Q$333</c:f>
              <c:numCache>
                <c:formatCode>0.0%</c:formatCode>
                <c:ptCount val="6"/>
                <c:pt idx="0">
                  <c:v>0.66023166023166024</c:v>
                </c:pt>
                <c:pt idx="1">
                  <c:v>0.35142857142857142</c:v>
                </c:pt>
                <c:pt idx="2">
                  <c:v>0.8053420805998126</c:v>
                </c:pt>
                <c:pt idx="3">
                  <c:v>0.84924247571166522</c:v>
                </c:pt>
                <c:pt idx="4">
                  <c:v>0.85760533917720894</c:v>
                </c:pt>
                <c:pt idx="5">
                  <c:v>0.79219795480368638</c:v>
                </c:pt>
              </c:numCache>
            </c:numRef>
          </c:val>
        </c:ser>
        <c:dLbls>
          <c:showLegendKey val="0"/>
          <c:showVal val="0"/>
          <c:showCatName val="0"/>
          <c:showSerName val="0"/>
          <c:showPercent val="0"/>
          <c:showBubbleSize val="0"/>
        </c:dLbls>
        <c:gapWidth val="150"/>
        <c:axId val="28505600"/>
        <c:axId val="28507136"/>
      </c:barChart>
      <c:catAx>
        <c:axId val="28505600"/>
        <c:scaling>
          <c:orientation val="minMax"/>
        </c:scaling>
        <c:delete val="0"/>
        <c:axPos val="l"/>
        <c:majorTickMark val="out"/>
        <c:minorTickMark val="none"/>
        <c:tickLblPos val="nextTo"/>
        <c:crossAx val="28507136"/>
        <c:crosses val="autoZero"/>
        <c:auto val="1"/>
        <c:lblAlgn val="ctr"/>
        <c:lblOffset val="100"/>
        <c:noMultiLvlLbl val="0"/>
      </c:catAx>
      <c:valAx>
        <c:axId val="28507136"/>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28505600"/>
        <c:crosses val="autoZero"/>
        <c:crossBetween val="between"/>
        <c:majorUnit val="0.25"/>
      </c:valAx>
    </c:plotArea>
    <c:plotVisOnly val="1"/>
    <c:dispBlanksAs val="gap"/>
    <c:showDLblsOverMax val="0"/>
  </c:chart>
  <c:spPr>
    <a:solidFill>
      <a:schemeClr val="bg1">
        <a:lumMod val="95000"/>
      </a:schemeClr>
    </a:solid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a:t>Figure 15. </a:t>
            </a:r>
            <a:r>
              <a:rPr lang="en-US" sz="1200" b="1" i="0"/>
              <a:t>2014 Distribution of Patient Populations Treated in </a:t>
            </a:r>
          </a:p>
          <a:p>
            <a:pPr>
              <a:defRPr sz="1200"/>
            </a:pPr>
            <a:r>
              <a:rPr lang="en-US" sz="1200" b="1" i="0"/>
              <a:t>Primary</a:t>
            </a:r>
            <a:r>
              <a:rPr lang="en-US" sz="1200" b="1" i="0" baseline="0"/>
              <a:t> Nursing Position</a:t>
            </a:r>
            <a:r>
              <a:rPr lang="en-US" sz="1100" baseline="30000"/>
              <a:t>15</a:t>
            </a:r>
            <a:endParaRPr lang="en-US" sz="1200" baseline="30000"/>
          </a:p>
          <a:p>
            <a:pPr>
              <a:defRPr sz="1200"/>
            </a:pPr>
            <a:r>
              <a:rPr lang="en-US" sz="1000" b="0"/>
              <a:t>n=68,716</a:t>
            </a:r>
          </a:p>
        </c:rich>
      </c:tx>
      <c:layout/>
      <c:overlay val="0"/>
    </c:title>
    <c:autoTitleDeleted val="0"/>
    <c:plotArea>
      <c:layout>
        <c:manualLayout>
          <c:layoutTarget val="inner"/>
          <c:xMode val="edge"/>
          <c:yMode val="edge"/>
          <c:x val="0.44081427455268929"/>
          <c:y val="0.39517029167787909"/>
          <c:w val="0.4753687260213092"/>
          <c:h val="0.47108563138374421"/>
        </c:manualLayout>
      </c:layout>
      <c:barChart>
        <c:barDir val="bar"/>
        <c:grouping val="clustered"/>
        <c:varyColors val="0"/>
        <c:ser>
          <c:idx val="0"/>
          <c:order val="0"/>
          <c:tx>
            <c:strRef>
              <c:f>'RN 2014'!$G$337</c:f>
              <c:strCache>
                <c:ptCount val="1"/>
                <c:pt idx="0">
                  <c:v>%</c:v>
                </c:pt>
              </c:strCache>
            </c:strRef>
          </c:tx>
          <c:spPr>
            <a:solidFill>
              <a:schemeClr val="tx2">
                <a:lumMod val="75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2014'!$F$338:$F$342</c:f>
              <c:strCache>
                <c:ptCount val="5"/>
                <c:pt idx="0">
                  <c:v>Elders</c:v>
                </c:pt>
                <c:pt idx="1">
                  <c:v>Adults</c:v>
                </c:pt>
                <c:pt idx="2">
                  <c:v>Adolescents/Young Adults</c:v>
                </c:pt>
                <c:pt idx="3">
                  <c:v>Children</c:v>
                </c:pt>
                <c:pt idx="4">
                  <c:v>Neonatal/Infants</c:v>
                </c:pt>
              </c:strCache>
            </c:strRef>
          </c:cat>
          <c:val>
            <c:numRef>
              <c:f>'RN 2014'!$G$338:$G$342</c:f>
              <c:numCache>
                <c:formatCode>0.0%</c:formatCode>
                <c:ptCount val="5"/>
                <c:pt idx="0">
                  <c:v>0.57726002677687871</c:v>
                </c:pt>
                <c:pt idx="1">
                  <c:v>0.86944816345538156</c:v>
                </c:pt>
                <c:pt idx="2">
                  <c:v>0.42054252284766286</c:v>
                </c:pt>
                <c:pt idx="3">
                  <c:v>0.30669713021712558</c:v>
                </c:pt>
                <c:pt idx="4">
                  <c:v>0.29127131963443742</c:v>
                </c:pt>
              </c:numCache>
            </c:numRef>
          </c:val>
        </c:ser>
        <c:dLbls>
          <c:showLegendKey val="0"/>
          <c:showVal val="0"/>
          <c:showCatName val="0"/>
          <c:showSerName val="0"/>
          <c:showPercent val="0"/>
          <c:showBubbleSize val="0"/>
        </c:dLbls>
        <c:gapWidth val="150"/>
        <c:axId val="28867584"/>
        <c:axId val="28893952"/>
      </c:barChart>
      <c:catAx>
        <c:axId val="28867584"/>
        <c:scaling>
          <c:orientation val="minMax"/>
        </c:scaling>
        <c:delete val="0"/>
        <c:axPos val="l"/>
        <c:majorTickMark val="out"/>
        <c:minorTickMark val="none"/>
        <c:tickLblPos val="nextTo"/>
        <c:crossAx val="28893952"/>
        <c:crosses val="autoZero"/>
        <c:auto val="1"/>
        <c:lblAlgn val="ctr"/>
        <c:lblOffset val="100"/>
        <c:noMultiLvlLbl val="0"/>
      </c:catAx>
      <c:valAx>
        <c:axId val="28893952"/>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28867584"/>
        <c:crosses val="autoZero"/>
        <c:crossBetween val="between"/>
        <c:majorUnit val="0.25"/>
      </c:valAx>
    </c:plotArea>
    <c:plotVisOnly val="1"/>
    <c:dispBlanksAs val="gap"/>
    <c:showDLblsOverMax val="0"/>
  </c:chart>
  <c:spPr>
    <a:solidFill>
      <a:schemeClr val="bg1">
        <a:lumMod val="95000"/>
      </a:schemeClr>
    </a:solidFill>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 16. </a:t>
            </a:r>
            <a:r>
              <a:rPr lang="en-US" sz="1200" b="1" i="0"/>
              <a:t>2014 </a:t>
            </a:r>
            <a:r>
              <a:rPr lang="en-US" sz="1200"/>
              <a:t>Most Frequently</a:t>
            </a:r>
            <a:r>
              <a:rPr lang="en-US" sz="1200" baseline="0"/>
              <a:t> Reported </a:t>
            </a:r>
            <a:r>
              <a:rPr lang="en-US" sz="1200"/>
              <a:t>Areas of Practice in Primary Nursing Position</a:t>
            </a:r>
            <a:r>
              <a:rPr lang="en-US" sz="1200" baseline="30000"/>
              <a:t>17</a:t>
            </a:r>
            <a:r>
              <a:rPr lang="en-US" sz="1200"/>
              <a:t/>
            </a:r>
            <a:br>
              <a:rPr lang="en-US" sz="1200"/>
            </a:br>
            <a:r>
              <a:rPr lang="en-US" sz="1000" b="0"/>
              <a:t>n=68,716</a:t>
            </a:r>
            <a:endParaRPr lang="en-US" sz="1200" b="0"/>
          </a:p>
        </c:rich>
      </c:tx>
      <c:layout/>
      <c:overlay val="0"/>
    </c:title>
    <c:autoTitleDeleted val="0"/>
    <c:plotArea>
      <c:layout>
        <c:manualLayout>
          <c:layoutTarget val="inner"/>
          <c:xMode val="edge"/>
          <c:yMode val="edge"/>
          <c:x val="0.46407898543908382"/>
          <c:y val="0.24842380568153363"/>
          <c:w val="0.48179546133778489"/>
          <c:h val="0.64232306650714599"/>
        </c:manualLayout>
      </c:layout>
      <c:barChart>
        <c:barDir val="bar"/>
        <c:grouping val="clustered"/>
        <c:varyColors val="0"/>
        <c:ser>
          <c:idx val="0"/>
          <c:order val="0"/>
          <c:tx>
            <c:strRef>
              <c:f>'RN 2014'!$G$353</c:f>
              <c:strCache>
                <c:ptCount val="1"/>
                <c:pt idx="0">
                  <c:v>Percent</c:v>
                </c:pt>
              </c:strCache>
            </c:strRef>
          </c:tx>
          <c:spPr>
            <a:solidFill>
              <a:schemeClr val="accent5">
                <a:lumMod val="75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2014'!$F$354:$F$364</c:f>
              <c:strCache>
                <c:ptCount val="11"/>
                <c:pt idx="0">
                  <c:v>School Health</c:v>
                </c:pt>
                <c:pt idx="1">
                  <c:v>Labor &amp; Delivery/Post Partum</c:v>
                </c:pt>
                <c:pt idx="2">
                  <c:v>Case Management</c:v>
                </c:pt>
                <c:pt idx="3">
                  <c:v>Mental Health/Substance Abuse</c:v>
                </c:pt>
                <c:pt idx="4">
                  <c:v>Emergency/Trauma</c:v>
                </c:pt>
                <c:pt idx="5">
                  <c:v>Long term care</c:v>
                </c:pt>
                <c:pt idx="6">
                  <c:v>Anesthesia/Perioperative</c:v>
                </c:pt>
                <c:pt idx="7">
                  <c:v>Primary Care</c:v>
                </c:pt>
                <c:pt idx="8">
                  <c:v>Home Health</c:v>
                </c:pt>
                <c:pt idx="9">
                  <c:v>Critical Care</c:v>
                </c:pt>
                <c:pt idx="10">
                  <c:v>Acute Care</c:v>
                </c:pt>
              </c:strCache>
            </c:strRef>
          </c:cat>
          <c:val>
            <c:numRef>
              <c:f>'RN 2014'!$G$354:$G$364</c:f>
              <c:numCache>
                <c:formatCode>0.0%</c:formatCode>
                <c:ptCount val="11"/>
                <c:pt idx="0">
                  <c:v>3.9568659409744453E-2</c:v>
                </c:pt>
                <c:pt idx="1">
                  <c:v>4.4749403341288782E-2</c:v>
                </c:pt>
                <c:pt idx="2">
                  <c:v>4.8765935153384947E-2</c:v>
                </c:pt>
                <c:pt idx="3">
                  <c:v>4.9886489318353801E-2</c:v>
                </c:pt>
                <c:pt idx="4">
                  <c:v>5.1283543861691601E-2</c:v>
                </c:pt>
                <c:pt idx="5">
                  <c:v>5.2404098026660455E-2</c:v>
                </c:pt>
                <c:pt idx="6">
                  <c:v>5.3364573025205191E-2</c:v>
                </c:pt>
                <c:pt idx="7">
                  <c:v>6.1514057861342335E-2</c:v>
                </c:pt>
                <c:pt idx="8">
                  <c:v>6.3653297630828332E-2</c:v>
                </c:pt>
                <c:pt idx="9">
                  <c:v>7.1511729437103447E-2</c:v>
                </c:pt>
                <c:pt idx="10">
                  <c:v>0.18557541184003726</c:v>
                </c:pt>
              </c:numCache>
            </c:numRef>
          </c:val>
        </c:ser>
        <c:dLbls>
          <c:showLegendKey val="0"/>
          <c:showVal val="0"/>
          <c:showCatName val="0"/>
          <c:showSerName val="0"/>
          <c:showPercent val="0"/>
          <c:showBubbleSize val="0"/>
        </c:dLbls>
        <c:gapWidth val="150"/>
        <c:axId val="30126848"/>
        <c:axId val="30128384"/>
      </c:barChart>
      <c:catAx>
        <c:axId val="30126848"/>
        <c:scaling>
          <c:orientation val="minMax"/>
        </c:scaling>
        <c:delete val="0"/>
        <c:axPos val="l"/>
        <c:majorTickMark val="out"/>
        <c:minorTickMark val="none"/>
        <c:tickLblPos val="nextTo"/>
        <c:crossAx val="30128384"/>
        <c:crosses val="autoZero"/>
        <c:auto val="1"/>
        <c:lblAlgn val="ctr"/>
        <c:lblOffset val="100"/>
        <c:noMultiLvlLbl val="0"/>
      </c:catAx>
      <c:valAx>
        <c:axId val="30128384"/>
        <c:scaling>
          <c:orientation val="minMax"/>
          <c:max val="0.25"/>
          <c:min val="0"/>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30126848"/>
        <c:crosses val="autoZero"/>
        <c:crossBetween val="between"/>
        <c:majorUnit val="5.000000000000001E-2"/>
        <c:minorUnit val="2.0000000000000004E-2"/>
      </c:valAx>
    </c:plotArea>
    <c:plotVisOnly val="1"/>
    <c:dispBlanksAs val="gap"/>
    <c:showDLblsOverMax val="0"/>
  </c:chart>
  <c:spPr>
    <a:solidFill>
      <a:schemeClr val="bg1">
        <a:lumMod val="95000"/>
      </a:schemeClr>
    </a:solidFill>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a:t>Figure 17. </a:t>
            </a:r>
            <a:r>
              <a:rPr lang="en-US" sz="1200" b="1" i="0"/>
              <a:t>2014 </a:t>
            </a:r>
            <a:r>
              <a:rPr lang="en-US" sz="1200"/>
              <a:t>RN Role in Second</a:t>
            </a:r>
            <a:r>
              <a:rPr lang="en-US" sz="1200" baseline="0"/>
              <a:t> Nursing Position</a:t>
            </a:r>
            <a:r>
              <a:rPr lang="en-US" sz="1100" baseline="30000"/>
              <a:t>18</a:t>
            </a:r>
            <a:endParaRPr lang="en-US" sz="1200" baseline="30000"/>
          </a:p>
          <a:p>
            <a:pPr>
              <a:defRPr sz="1200"/>
            </a:pPr>
            <a:r>
              <a:rPr lang="en-US" sz="1000" b="0" baseline="0"/>
              <a:t>n=11,974</a:t>
            </a:r>
            <a:endParaRPr lang="en-US" sz="1000" b="0"/>
          </a:p>
        </c:rich>
      </c:tx>
      <c:layout/>
      <c:overlay val="0"/>
    </c:title>
    <c:autoTitleDeleted val="0"/>
    <c:plotArea>
      <c:layout>
        <c:manualLayout>
          <c:layoutTarget val="inner"/>
          <c:xMode val="edge"/>
          <c:yMode val="edge"/>
          <c:x val="0.30913562496452829"/>
          <c:y val="0.30342849155689861"/>
          <c:w val="0.62343674411439598"/>
          <c:h val="0.58357252688653838"/>
        </c:manualLayout>
      </c:layout>
      <c:barChart>
        <c:barDir val="bar"/>
        <c:grouping val="clustered"/>
        <c:varyColors val="0"/>
        <c:ser>
          <c:idx val="0"/>
          <c:order val="0"/>
          <c:tx>
            <c:strRef>
              <c:f>'RN 2014'!$K$400</c:f>
              <c:strCache>
                <c:ptCount val="1"/>
                <c:pt idx="0">
                  <c:v>%</c:v>
                </c:pt>
              </c:strCache>
            </c:strRef>
          </c:tx>
          <c:spPr>
            <a:solidFill>
              <a:schemeClr val="accent4">
                <a:lumMod val="60000"/>
                <a:lumOff val="40000"/>
              </a:schemeClr>
            </a:solidFill>
          </c:spPr>
          <c:invertIfNegative val="0"/>
          <c:dLbls>
            <c:numFmt formatCode="0.0%" sourceLinked="0"/>
            <c:txPr>
              <a:bodyPr/>
              <a:lstStyle/>
              <a:p>
                <a:pPr>
                  <a:defRPr b="1"/>
                </a:pPr>
                <a:endParaRPr lang="en-US"/>
              </a:p>
            </c:txPr>
            <c:dLblPos val="outEnd"/>
            <c:showLegendKey val="0"/>
            <c:showVal val="1"/>
            <c:showCatName val="0"/>
            <c:showSerName val="0"/>
            <c:showPercent val="0"/>
            <c:showBubbleSize val="0"/>
            <c:showLeaderLines val="0"/>
          </c:dLbls>
          <c:cat>
            <c:strRef>
              <c:f>'RN 2014'!$J$401:$J$406</c:f>
              <c:strCache>
                <c:ptCount val="6"/>
                <c:pt idx="0">
                  <c:v>Charge Nurse</c:v>
                </c:pt>
                <c:pt idx="1">
                  <c:v>Case Manager</c:v>
                </c:pt>
                <c:pt idx="2">
                  <c:v>School Nurse</c:v>
                </c:pt>
                <c:pt idx="3">
                  <c:v>Nurse Practitioner</c:v>
                </c:pt>
                <c:pt idx="4">
                  <c:v>Instructor/Faculty</c:v>
                </c:pt>
                <c:pt idx="5">
                  <c:v>Staff Nurse</c:v>
                </c:pt>
              </c:strCache>
            </c:strRef>
          </c:cat>
          <c:val>
            <c:numRef>
              <c:f>'RN 2014'!$K$401:$K$406</c:f>
              <c:numCache>
                <c:formatCode>General</c:formatCode>
                <c:ptCount val="6"/>
                <c:pt idx="0">
                  <c:v>4.0300000000000002E-2</c:v>
                </c:pt>
                <c:pt idx="1">
                  <c:v>4.4800000000000006E-2</c:v>
                </c:pt>
                <c:pt idx="2">
                  <c:v>5.3800000000000001E-2</c:v>
                </c:pt>
                <c:pt idx="3">
                  <c:v>7.7699999999999991E-2</c:v>
                </c:pt>
                <c:pt idx="4">
                  <c:v>0.1002</c:v>
                </c:pt>
                <c:pt idx="5">
                  <c:v>0.42320000000000002</c:v>
                </c:pt>
              </c:numCache>
            </c:numRef>
          </c:val>
        </c:ser>
        <c:dLbls>
          <c:showLegendKey val="0"/>
          <c:showVal val="0"/>
          <c:showCatName val="0"/>
          <c:showSerName val="0"/>
          <c:showPercent val="0"/>
          <c:showBubbleSize val="0"/>
        </c:dLbls>
        <c:gapWidth val="150"/>
        <c:axId val="30492544"/>
        <c:axId val="30494080"/>
      </c:barChart>
      <c:catAx>
        <c:axId val="30492544"/>
        <c:scaling>
          <c:orientation val="minMax"/>
        </c:scaling>
        <c:delete val="0"/>
        <c:axPos val="l"/>
        <c:majorTickMark val="out"/>
        <c:minorTickMark val="none"/>
        <c:tickLblPos val="nextTo"/>
        <c:crossAx val="30494080"/>
        <c:crosses val="autoZero"/>
        <c:auto val="1"/>
        <c:lblAlgn val="ctr"/>
        <c:lblOffset val="100"/>
        <c:noMultiLvlLbl val="0"/>
      </c:catAx>
      <c:valAx>
        <c:axId val="30494080"/>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txPr>
          <a:bodyPr/>
          <a:lstStyle/>
          <a:p>
            <a:pPr>
              <a:defRPr>
                <a:solidFill>
                  <a:schemeClr val="bg1">
                    <a:lumMod val="50000"/>
                  </a:schemeClr>
                </a:solidFill>
              </a:defRPr>
            </a:pPr>
            <a:endParaRPr lang="en-US"/>
          </a:p>
        </c:txPr>
        <c:crossAx val="30492544"/>
        <c:crosses val="autoZero"/>
        <c:crossBetween val="between"/>
        <c:majorUnit val="0.1"/>
      </c:valAx>
    </c:plotArea>
    <c:plotVisOnly val="1"/>
    <c:dispBlanksAs val="gap"/>
    <c:showDLblsOverMax val="0"/>
  </c:chart>
  <c:spPr>
    <a:solidFill>
      <a:schemeClr val="bg1">
        <a:lumMod val="95000"/>
      </a:schemeClr>
    </a:solidFill>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u="none"/>
              <a:t>Figure 18. </a:t>
            </a:r>
            <a:r>
              <a:rPr lang="en-US" sz="1200" b="1" i="0" u="none"/>
              <a:t>2014 </a:t>
            </a:r>
            <a:r>
              <a:rPr lang="en-US" sz="1200"/>
              <a:t>Most Commonly Reported Reasons for Unemployment Among RNs</a:t>
            </a:r>
            <a:r>
              <a:rPr lang="en-US" sz="1200" baseline="30000"/>
              <a:t>19</a:t>
            </a:r>
          </a:p>
          <a:p>
            <a:pPr>
              <a:defRPr sz="1200"/>
            </a:pPr>
            <a:r>
              <a:rPr lang="en-US" sz="1000" b="0" i="0"/>
              <a:t>n=4,562</a:t>
            </a:r>
          </a:p>
        </c:rich>
      </c:tx>
      <c:layout/>
      <c:overlay val="0"/>
    </c:title>
    <c:autoTitleDeleted val="0"/>
    <c:plotArea>
      <c:layout>
        <c:manualLayout>
          <c:layoutTarget val="inner"/>
          <c:xMode val="edge"/>
          <c:yMode val="edge"/>
          <c:x val="0.44465930183898195"/>
          <c:y val="0.42334300522984403"/>
          <c:w val="0.50754667332730996"/>
          <c:h val="0.42972072699492875"/>
        </c:manualLayout>
      </c:layout>
      <c:barChart>
        <c:barDir val="bar"/>
        <c:grouping val="clustered"/>
        <c:varyColors val="0"/>
        <c:ser>
          <c:idx val="0"/>
          <c:order val="0"/>
          <c:tx>
            <c:strRef>
              <c:f>'RN 2014'!$F$447</c:f>
              <c:strCache>
                <c:ptCount val="1"/>
                <c:pt idx="0">
                  <c:v>%</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2014'!$E$448:$E$451</c:f>
              <c:strCache>
                <c:ptCount val="4"/>
                <c:pt idx="0">
                  <c:v>Enrolled in School</c:v>
                </c:pt>
                <c:pt idx="1">
                  <c:v>Cannot Find a Nursing Position</c:v>
                </c:pt>
                <c:pt idx="2">
                  <c:v>Disabled</c:v>
                </c:pt>
                <c:pt idx="3">
                  <c:v>Taking Care of Home / Family</c:v>
                </c:pt>
              </c:strCache>
            </c:strRef>
          </c:cat>
          <c:val>
            <c:numRef>
              <c:f>'RN 2014'!$F$448:$F$451</c:f>
              <c:numCache>
                <c:formatCode>0.0%</c:formatCode>
                <c:ptCount val="4"/>
                <c:pt idx="0">
                  <c:v>6.071898290223586E-2</c:v>
                </c:pt>
                <c:pt idx="1">
                  <c:v>0.14927663305567734</c:v>
                </c:pt>
                <c:pt idx="2">
                  <c:v>0.15870232354230601</c:v>
                </c:pt>
                <c:pt idx="3">
                  <c:v>0.45309074967119684</c:v>
                </c:pt>
              </c:numCache>
            </c:numRef>
          </c:val>
        </c:ser>
        <c:dLbls>
          <c:showLegendKey val="0"/>
          <c:showVal val="0"/>
          <c:showCatName val="0"/>
          <c:showSerName val="0"/>
          <c:showPercent val="0"/>
          <c:showBubbleSize val="0"/>
        </c:dLbls>
        <c:gapWidth val="150"/>
        <c:axId val="30556928"/>
        <c:axId val="30558464"/>
      </c:barChart>
      <c:catAx>
        <c:axId val="30556928"/>
        <c:scaling>
          <c:orientation val="minMax"/>
        </c:scaling>
        <c:delete val="0"/>
        <c:axPos val="l"/>
        <c:majorTickMark val="out"/>
        <c:minorTickMark val="none"/>
        <c:tickLblPos val="nextTo"/>
        <c:crossAx val="30558464"/>
        <c:crosses val="autoZero"/>
        <c:auto val="1"/>
        <c:lblAlgn val="ctr"/>
        <c:lblOffset val="100"/>
        <c:noMultiLvlLbl val="0"/>
      </c:catAx>
      <c:valAx>
        <c:axId val="30558464"/>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30556928"/>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a:t>Figure</a:t>
            </a:r>
            <a:r>
              <a:rPr lang="en-US" sz="1200" b="0" i="1" baseline="0"/>
              <a:t> 19. </a:t>
            </a:r>
            <a:r>
              <a:rPr lang="en-US" sz="1200" b="1" i="0" baseline="0"/>
              <a:t>2014 </a:t>
            </a:r>
            <a:r>
              <a:rPr lang="en-US" sz="1200"/>
              <a:t>RN Future Plans Within the Next 5 Years</a:t>
            </a:r>
          </a:p>
          <a:p>
            <a:pPr>
              <a:defRPr sz="1200"/>
            </a:pPr>
            <a:r>
              <a:rPr lang="en-US" sz="1000" b="0"/>
              <a:t>n=91,877</a:t>
            </a:r>
          </a:p>
        </c:rich>
      </c:tx>
      <c:layout/>
      <c:overlay val="0"/>
    </c:title>
    <c:autoTitleDeleted val="0"/>
    <c:plotArea>
      <c:layout>
        <c:manualLayout>
          <c:layoutTarget val="inner"/>
          <c:xMode val="edge"/>
          <c:yMode val="edge"/>
          <c:x val="0.4489972753147618"/>
          <c:y val="0.20518971128608923"/>
          <c:w val="0.50431758733615129"/>
          <c:h val="0.67396661417322834"/>
        </c:manualLayout>
      </c:layout>
      <c:barChart>
        <c:barDir val="bar"/>
        <c:grouping val="clustered"/>
        <c:varyColors val="0"/>
        <c:ser>
          <c:idx val="0"/>
          <c:order val="0"/>
          <c:tx>
            <c:strRef>
              <c:f>'RN 2014'!$F$463</c:f>
              <c:strCache>
                <c:ptCount val="1"/>
                <c:pt idx="0">
                  <c:v>Percent</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2014'!$E$464:$E$472</c:f>
              <c:strCache>
                <c:ptCount val="9"/>
                <c:pt idx="0">
                  <c:v>Other/No Response</c:v>
                </c:pt>
                <c:pt idx="1">
                  <c:v>Leave Nursing but not Retire</c:v>
                </c:pt>
                <c:pt idx="2">
                  <c:v>Return to Nursing</c:v>
                </c:pt>
                <c:pt idx="3">
                  <c:v>Increase Nursing Hours</c:v>
                </c:pt>
                <c:pt idx="4">
                  <c:v>Reduce Hours of Nursing Work</c:v>
                </c:pt>
                <c:pt idx="5">
                  <c:v>Change Nursing Position</c:v>
                </c:pt>
                <c:pt idx="6">
                  <c:v>Retire</c:v>
                </c:pt>
                <c:pt idx="7">
                  <c:v>Seek Additional Education</c:v>
                </c:pt>
                <c:pt idx="8">
                  <c:v>Work the Same as Now</c:v>
                </c:pt>
              </c:strCache>
            </c:strRef>
          </c:cat>
          <c:val>
            <c:numRef>
              <c:f>'RN 2014'!$F$464:$F$472</c:f>
              <c:numCache>
                <c:formatCode>0.0%</c:formatCode>
                <c:ptCount val="9"/>
                <c:pt idx="0">
                  <c:v>9.2406151702820072E-2</c:v>
                </c:pt>
                <c:pt idx="1">
                  <c:v>6.160410113521338E-3</c:v>
                </c:pt>
                <c:pt idx="2">
                  <c:v>3.1890462248440853E-2</c:v>
                </c:pt>
                <c:pt idx="3">
                  <c:v>4.0771901564047586E-2</c:v>
                </c:pt>
                <c:pt idx="4">
                  <c:v>5.0436997289854915E-2</c:v>
                </c:pt>
                <c:pt idx="5">
                  <c:v>7.4338517800973045E-2</c:v>
                </c:pt>
                <c:pt idx="6">
                  <c:v>8.9576281332651261E-2</c:v>
                </c:pt>
                <c:pt idx="7">
                  <c:v>0.16513382021615855</c:v>
                </c:pt>
                <c:pt idx="8">
                  <c:v>0.44928545773153239</c:v>
                </c:pt>
              </c:numCache>
            </c:numRef>
          </c:val>
        </c:ser>
        <c:dLbls>
          <c:showLegendKey val="0"/>
          <c:showVal val="0"/>
          <c:showCatName val="0"/>
          <c:showSerName val="0"/>
          <c:showPercent val="0"/>
          <c:showBubbleSize val="0"/>
        </c:dLbls>
        <c:gapWidth val="150"/>
        <c:axId val="30862336"/>
        <c:axId val="31396608"/>
      </c:barChart>
      <c:catAx>
        <c:axId val="30862336"/>
        <c:scaling>
          <c:orientation val="minMax"/>
        </c:scaling>
        <c:delete val="0"/>
        <c:axPos val="l"/>
        <c:majorTickMark val="out"/>
        <c:minorTickMark val="none"/>
        <c:tickLblPos val="nextTo"/>
        <c:crossAx val="31396608"/>
        <c:crosses val="autoZero"/>
        <c:auto val="1"/>
        <c:lblAlgn val="ctr"/>
        <c:lblOffset val="100"/>
        <c:noMultiLvlLbl val="0"/>
      </c:catAx>
      <c:valAx>
        <c:axId val="31396608"/>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30862336"/>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b="0" i="1"/>
              <a:t>Figure 2. </a:t>
            </a:r>
            <a:r>
              <a:rPr lang="en-US" sz="1200" b="1" i="0"/>
              <a:t>2014 </a:t>
            </a:r>
            <a:r>
              <a:rPr lang="en-US" sz="1200"/>
              <a:t>RNs</a:t>
            </a:r>
            <a:r>
              <a:rPr lang="en-US" sz="1200" baseline="0"/>
              <a:t> by </a:t>
            </a:r>
            <a:r>
              <a:rPr lang="en-US" sz="1200"/>
              <a:t>Sex</a:t>
            </a:r>
            <a:br>
              <a:rPr lang="en-US" sz="1200"/>
            </a:br>
            <a:r>
              <a:rPr lang="en-US" sz="1000" b="0"/>
              <a:t>n=91,877</a:t>
            </a:r>
          </a:p>
        </c:rich>
      </c:tx>
      <c:layout>
        <c:manualLayout>
          <c:xMode val="edge"/>
          <c:yMode val="edge"/>
          <c:x val="0.29275920748560247"/>
          <c:y val="0"/>
        </c:manualLayout>
      </c:layout>
      <c:overlay val="0"/>
    </c:title>
    <c:autoTitleDeleted val="0"/>
    <c:plotArea>
      <c:layout>
        <c:manualLayout>
          <c:layoutTarget val="inner"/>
          <c:xMode val="edge"/>
          <c:yMode val="edge"/>
          <c:x val="0.21467082495117815"/>
          <c:y val="0.26755570447311106"/>
          <c:w val="0.64987845108805586"/>
          <c:h val="0.48865519469640761"/>
        </c:manualLayout>
      </c:layout>
      <c:barChart>
        <c:barDir val="bar"/>
        <c:grouping val="clustered"/>
        <c:varyColors val="0"/>
        <c:ser>
          <c:idx val="0"/>
          <c:order val="0"/>
          <c:tx>
            <c:strRef>
              <c:f>'RN 2014'!$C$3</c:f>
              <c:strCache>
                <c:ptCount val="1"/>
                <c:pt idx="0">
                  <c:v>Percent</c:v>
                </c:pt>
              </c:strCache>
            </c:strRef>
          </c:tx>
          <c:invertIfNegative val="0"/>
          <c:dPt>
            <c:idx val="0"/>
            <c:invertIfNegative val="0"/>
            <c:bubble3D val="0"/>
            <c:spPr>
              <a:solidFill>
                <a:schemeClr val="accent4">
                  <a:lumMod val="75000"/>
                </a:schemeClr>
              </a:solidFill>
            </c:spPr>
          </c:dPt>
          <c:dPt>
            <c:idx val="1"/>
            <c:invertIfNegative val="0"/>
            <c:bubble3D val="0"/>
            <c:spPr>
              <a:solidFill>
                <a:schemeClr val="accent4">
                  <a:lumMod val="40000"/>
                  <a:lumOff val="60000"/>
                </a:schemeClr>
              </a:solidFill>
            </c:spPr>
          </c:dPt>
          <c:dLbls>
            <c:txPr>
              <a:bodyPr/>
              <a:lstStyle/>
              <a:p>
                <a:pPr>
                  <a:defRPr b="1"/>
                </a:pPr>
                <a:endParaRPr lang="en-US"/>
              </a:p>
            </c:txPr>
            <c:dLblPos val="outEnd"/>
            <c:showLegendKey val="0"/>
            <c:showVal val="1"/>
            <c:showCatName val="0"/>
            <c:showSerName val="0"/>
            <c:showPercent val="0"/>
            <c:showBubbleSize val="0"/>
            <c:showLeaderLines val="0"/>
          </c:dLbls>
          <c:cat>
            <c:strRef>
              <c:f>'RN 2014'!$A$4:$A$5</c:f>
              <c:strCache>
                <c:ptCount val="2"/>
                <c:pt idx="0">
                  <c:v>Female</c:v>
                </c:pt>
                <c:pt idx="1">
                  <c:v>Male</c:v>
                </c:pt>
              </c:strCache>
            </c:strRef>
          </c:cat>
          <c:val>
            <c:numRef>
              <c:f>'RN 2014'!$C$4:$C$5</c:f>
              <c:numCache>
                <c:formatCode>0.0%</c:formatCode>
                <c:ptCount val="2"/>
                <c:pt idx="0">
                  <c:v>0.93202869053190673</c:v>
                </c:pt>
                <c:pt idx="1">
                  <c:v>6.7971309468093211E-2</c:v>
                </c:pt>
              </c:numCache>
            </c:numRef>
          </c:val>
        </c:ser>
        <c:dLbls>
          <c:showLegendKey val="0"/>
          <c:showVal val="0"/>
          <c:showCatName val="0"/>
          <c:showSerName val="0"/>
          <c:showPercent val="0"/>
          <c:showBubbleSize val="0"/>
        </c:dLbls>
        <c:gapWidth val="0"/>
        <c:axId val="30953856"/>
        <c:axId val="30956928"/>
      </c:barChart>
      <c:catAx>
        <c:axId val="30953856"/>
        <c:scaling>
          <c:orientation val="minMax"/>
        </c:scaling>
        <c:delete val="0"/>
        <c:axPos val="l"/>
        <c:majorTickMark val="out"/>
        <c:minorTickMark val="none"/>
        <c:tickLblPos val="nextTo"/>
        <c:txPr>
          <a:bodyPr/>
          <a:lstStyle/>
          <a:p>
            <a:pPr>
              <a:defRPr sz="1000" b="1"/>
            </a:pPr>
            <a:endParaRPr lang="en-US"/>
          </a:p>
        </c:txPr>
        <c:crossAx val="30956928"/>
        <c:crosses val="autoZero"/>
        <c:auto val="1"/>
        <c:lblAlgn val="ctr"/>
        <c:lblOffset val="100"/>
        <c:noMultiLvlLbl val="0"/>
      </c:catAx>
      <c:valAx>
        <c:axId val="30956928"/>
        <c:scaling>
          <c:orientation val="minMax"/>
          <c:max val="1"/>
          <c:min val="0"/>
        </c:scaling>
        <c:delete val="0"/>
        <c:axPos val="b"/>
        <c:majorGridlines>
          <c:spPr>
            <a:ln>
              <a:noFill/>
            </a:ln>
          </c:spPr>
        </c:majorGridlines>
        <c:numFmt formatCode="0%" sourceLinked="0"/>
        <c:majorTickMark val="out"/>
        <c:minorTickMark val="none"/>
        <c:tickLblPos val="nextTo"/>
        <c:spPr>
          <a:ln>
            <a:solidFill>
              <a:schemeClr val="bg1">
                <a:lumMod val="75000"/>
              </a:schemeClr>
            </a:solidFill>
          </a:ln>
        </c:spPr>
        <c:txPr>
          <a:bodyPr/>
          <a:lstStyle/>
          <a:p>
            <a:pPr>
              <a:defRPr>
                <a:solidFill>
                  <a:schemeClr val="bg1">
                    <a:lumMod val="50000"/>
                  </a:schemeClr>
                </a:solidFill>
              </a:defRPr>
            </a:pPr>
            <a:endParaRPr lang="en-US"/>
          </a:p>
        </c:txPr>
        <c:crossAx val="30953856"/>
        <c:crosses val="autoZero"/>
        <c:crossBetween val="between"/>
        <c:majorUnit val="0.25"/>
      </c:valAx>
      <c:spPr>
        <a:solidFill>
          <a:schemeClr val="bg1">
            <a:lumMod val="95000"/>
          </a:schemeClr>
        </a:solidFill>
      </c:spPr>
    </c:plotArea>
    <c:plotVisOnly val="1"/>
    <c:dispBlanksAs val="gap"/>
    <c:showDLblsOverMax val="0"/>
  </c:chart>
  <c:spPr>
    <a:solidFill>
      <a:schemeClr val="bg1">
        <a:lumMod val="95000"/>
      </a:schemeClr>
    </a:solid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a:t>Figure 3. </a:t>
            </a:r>
            <a:r>
              <a:rPr lang="en-US" sz="1200" b="1" i="0"/>
              <a:t>2014 </a:t>
            </a:r>
            <a:r>
              <a:rPr lang="en-US" sz="1200"/>
              <a:t>Percent</a:t>
            </a:r>
            <a:r>
              <a:rPr lang="en-US" sz="1200" baseline="0"/>
              <a:t> of Residents and Practicing RNs that are Hispanic/Latino in </a:t>
            </a:r>
          </a:p>
          <a:p>
            <a:pPr>
              <a:defRPr sz="1200"/>
            </a:pPr>
            <a:r>
              <a:rPr lang="en-US" sz="1200" baseline="0"/>
              <a:t>Most Populated MA Cities</a:t>
            </a:r>
            <a:r>
              <a:rPr lang="en-US" sz="1050" baseline="30000"/>
              <a:t>3</a:t>
            </a:r>
          </a:p>
        </c:rich>
      </c:tx>
      <c:layout>
        <c:manualLayout>
          <c:xMode val="edge"/>
          <c:yMode val="edge"/>
          <c:x val="0.14482018047889078"/>
          <c:y val="4.1172728063688172E-2"/>
        </c:manualLayout>
      </c:layout>
      <c:overlay val="0"/>
    </c:title>
    <c:autoTitleDeleted val="0"/>
    <c:plotArea>
      <c:layout>
        <c:manualLayout>
          <c:layoutTarget val="inner"/>
          <c:xMode val="edge"/>
          <c:yMode val="edge"/>
          <c:x val="6.075956106969909E-2"/>
          <c:y val="0.28911993735589681"/>
          <c:w val="0.91902757153756254"/>
          <c:h val="0.42869351588233984"/>
        </c:manualLayout>
      </c:layout>
      <c:barChart>
        <c:barDir val="col"/>
        <c:grouping val="clustered"/>
        <c:varyColors val="0"/>
        <c:ser>
          <c:idx val="0"/>
          <c:order val="0"/>
          <c:tx>
            <c:strRef>
              <c:f>'Race Top 4 Cities'!$O$1</c:f>
              <c:strCache>
                <c:ptCount val="1"/>
                <c:pt idx="0">
                  <c:v>% Hispanic - Population</c:v>
                </c:pt>
              </c:strCache>
            </c:strRef>
          </c:tx>
          <c:spPr>
            <a:pattFill prst="wdDnDiag">
              <a:fgClr>
                <a:schemeClr val="accent4">
                  <a:lumMod val="40000"/>
                  <a:lumOff val="60000"/>
                </a:schemeClr>
              </a:fgClr>
              <a:bgClr>
                <a:schemeClr val="accent4">
                  <a:lumMod val="50000"/>
                </a:schemeClr>
              </a:bgClr>
            </a:patt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'Race Top 4 Cities'!$N$2:$N$6</c:f>
              <c:strCache>
                <c:ptCount val="5"/>
                <c:pt idx="0">
                  <c:v>Boston</c:v>
                </c:pt>
                <c:pt idx="1">
                  <c:v>Springfield</c:v>
                </c:pt>
                <c:pt idx="2">
                  <c:v>Worcester</c:v>
                </c:pt>
                <c:pt idx="3">
                  <c:v>Lowell</c:v>
                </c:pt>
                <c:pt idx="4">
                  <c:v>Cambridge</c:v>
                </c:pt>
              </c:strCache>
            </c:strRef>
          </c:cat>
          <c:val>
            <c:numRef>
              <c:f>'Race Top 4 Cities'!$O$2:$O$6</c:f>
              <c:numCache>
                <c:formatCode>0.0%</c:formatCode>
                <c:ptCount val="5"/>
                <c:pt idx="0">
                  <c:v>0.184</c:v>
                </c:pt>
                <c:pt idx="1">
                  <c:v>0.41399999999999998</c:v>
                </c:pt>
                <c:pt idx="2">
                  <c:v>0.20499999999999999</c:v>
                </c:pt>
                <c:pt idx="3">
                  <c:v>0.182</c:v>
                </c:pt>
                <c:pt idx="4">
                  <c:v>7.3999999999999996E-2</c:v>
                </c:pt>
              </c:numCache>
            </c:numRef>
          </c:val>
        </c:ser>
        <c:ser>
          <c:idx val="1"/>
          <c:order val="1"/>
          <c:tx>
            <c:strRef>
              <c:f>'Race Top 4 Cities'!$P$1</c:f>
              <c:strCache>
                <c:ptCount val="1"/>
                <c:pt idx="0">
                  <c:v>% Hispanic - Practicing RNs</c:v>
                </c:pt>
              </c:strCache>
            </c:strRef>
          </c:tx>
          <c:spPr>
            <a:solidFill>
              <a:schemeClr val="tx2">
                <a:lumMod val="75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'Race Top 4 Cities'!$N$2:$N$6</c:f>
              <c:strCache>
                <c:ptCount val="5"/>
                <c:pt idx="0">
                  <c:v>Boston</c:v>
                </c:pt>
                <c:pt idx="1">
                  <c:v>Springfield</c:v>
                </c:pt>
                <c:pt idx="2">
                  <c:v>Worcester</c:v>
                </c:pt>
                <c:pt idx="3">
                  <c:v>Lowell</c:v>
                </c:pt>
                <c:pt idx="4">
                  <c:v>Cambridge</c:v>
                </c:pt>
              </c:strCache>
            </c:strRef>
          </c:cat>
          <c:val>
            <c:numRef>
              <c:f>'Race Top 4 Cities'!$P$2:$P$6</c:f>
              <c:numCache>
                <c:formatCode>0.0%</c:formatCode>
                <c:ptCount val="5"/>
                <c:pt idx="0">
                  <c:v>2.2179569204521219E-2</c:v>
                </c:pt>
                <c:pt idx="1">
                  <c:v>3.9799072642967545E-2</c:v>
                </c:pt>
                <c:pt idx="2">
                  <c:v>2.7397260273972601E-2</c:v>
                </c:pt>
                <c:pt idx="3">
                  <c:v>1.658374792703151E-2</c:v>
                </c:pt>
                <c:pt idx="4">
                  <c:v>2.358887952822241E-2</c:v>
                </c:pt>
              </c:numCache>
            </c:numRef>
          </c:val>
        </c:ser>
        <c:dLbls>
          <c:showLegendKey val="0"/>
          <c:showVal val="0"/>
          <c:showCatName val="0"/>
          <c:showSerName val="0"/>
          <c:showPercent val="0"/>
          <c:showBubbleSize val="0"/>
        </c:dLbls>
        <c:gapWidth val="76"/>
        <c:overlap val="10"/>
        <c:axId val="31451008"/>
        <c:axId val="31452544"/>
      </c:barChart>
      <c:catAx>
        <c:axId val="31451008"/>
        <c:scaling>
          <c:orientation val="minMax"/>
        </c:scaling>
        <c:delete val="0"/>
        <c:axPos val="b"/>
        <c:numFmt formatCode="General" sourceLinked="1"/>
        <c:majorTickMark val="out"/>
        <c:minorTickMark val="none"/>
        <c:tickLblPos val="nextTo"/>
        <c:crossAx val="31452544"/>
        <c:crosses val="autoZero"/>
        <c:auto val="1"/>
        <c:lblAlgn val="ctr"/>
        <c:lblOffset val="100"/>
        <c:noMultiLvlLbl val="0"/>
      </c:catAx>
      <c:valAx>
        <c:axId val="31452544"/>
        <c:scaling>
          <c:orientation val="minMax"/>
          <c:max val="0.5"/>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a:solidFill>
                  <a:schemeClr val="bg1">
                    <a:lumMod val="50000"/>
                  </a:schemeClr>
                </a:solidFill>
              </a:defRPr>
            </a:pPr>
            <a:endParaRPr lang="en-US"/>
          </a:p>
        </c:txPr>
        <c:crossAx val="31451008"/>
        <c:crosses val="autoZero"/>
        <c:crossBetween val="between"/>
        <c:majorUnit val="0.1"/>
      </c:valAx>
      <c:spPr>
        <a:solidFill>
          <a:schemeClr val="bg1"/>
        </a:solidFill>
      </c:spPr>
    </c:plotArea>
    <c:legend>
      <c:legendPos val="b"/>
      <c:layout>
        <c:manualLayout>
          <c:xMode val="edge"/>
          <c:yMode val="edge"/>
          <c:x val="0.24984588140331249"/>
          <c:y val="0.87515008483055645"/>
          <c:w val="0.50030809227697004"/>
          <c:h val="0.12484988580720255"/>
        </c:manualLayout>
      </c:layout>
      <c:overlay val="0"/>
    </c:legend>
    <c:plotVisOnly val="1"/>
    <c:dispBlanksAs val="gap"/>
    <c:showDLblsOverMax val="0"/>
  </c:chart>
  <c:spPr>
    <a:solidFill>
      <a:schemeClr val="bg1">
        <a:lumMod val="95000"/>
      </a:schemeClr>
    </a:solid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baseline="0">
                <a:effectLst/>
              </a:rPr>
              <a:t>Figure 4. </a:t>
            </a:r>
            <a:r>
              <a:rPr lang="en-US" sz="1200" b="1" i="0" baseline="0">
                <a:effectLst/>
              </a:rPr>
              <a:t>2014 RNs by Age Group in MA</a:t>
            </a:r>
            <a:r>
              <a:rPr lang="en-US" sz="1100" b="1" i="0" baseline="30000">
                <a:effectLst/>
              </a:rPr>
              <a:t>5</a:t>
            </a:r>
            <a:r>
              <a:rPr lang="en-US" sz="1200" b="1" i="0" baseline="0">
                <a:effectLst/>
              </a:rPr>
              <a:t/>
            </a:r>
            <a:br>
              <a:rPr lang="en-US" sz="1200" b="1" i="0" baseline="0">
                <a:effectLst/>
              </a:rPr>
            </a:br>
            <a:r>
              <a:rPr lang="en-US" sz="1000" b="0" i="0" baseline="0">
                <a:effectLst/>
              </a:rPr>
              <a:t>n = 123,862</a:t>
            </a:r>
            <a:endParaRPr lang="en-US" sz="1000">
              <a:effectLst/>
            </a:endParaRPr>
          </a:p>
        </c:rich>
      </c:tx>
      <c:layout>
        <c:manualLayout>
          <c:xMode val="edge"/>
          <c:yMode val="edge"/>
          <c:x val="0.30006349509050761"/>
          <c:y val="4.4247787610619468E-2"/>
        </c:manualLayout>
      </c:layout>
      <c:overlay val="0"/>
    </c:title>
    <c:autoTitleDeleted val="0"/>
    <c:plotArea>
      <c:layout>
        <c:manualLayout>
          <c:layoutTarget val="inner"/>
          <c:xMode val="edge"/>
          <c:yMode val="edge"/>
          <c:x val="5.8832866638207769E-2"/>
          <c:y val="0.29683100742255447"/>
          <c:w val="0.92159521890492824"/>
          <c:h val="0.47002927693181151"/>
        </c:manualLayout>
      </c:layout>
      <c:barChart>
        <c:barDir val="col"/>
        <c:grouping val="clustered"/>
        <c:varyColors val="0"/>
        <c:ser>
          <c:idx val="0"/>
          <c:order val="0"/>
          <c:tx>
            <c:strRef>
              <c:f>'RN 2014'!$I$23</c:f>
              <c:strCache>
                <c:ptCount val="1"/>
                <c:pt idx="0">
                  <c:v>MA</c:v>
                </c:pt>
              </c:strCache>
            </c:strRef>
          </c:tx>
          <c:spPr>
            <a:pattFill prst="ltUpDiag">
              <a:fgClr>
                <a:schemeClr val="accent1"/>
              </a:fgClr>
              <a:bgClr>
                <a:schemeClr val="tx2"/>
              </a:bgClr>
            </a:patt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2014'!$H$24:$H$34</c:f>
              <c:strCache>
                <c:ptCount val="11"/>
                <c:pt idx="0">
                  <c:v>25 or Younger</c:v>
                </c:pt>
                <c:pt idx="1">
                  <c:v>26-30</c:v>
                </c:pt>
                <c:pt idx="2">
                  <c:v>31-35</c:v>
                </c:pt>
                <c:pt idx="3">
                  <c:v>36-40</c:v>
                </c:pt>
                <c:pt idx="4">
                  <c:v>41-45</c:v>
                </c:pt>
                <c:pt idx="5">
                  <c:v>46-50</c:v>
                </c:pt>
                <c:pt idx="6">
                  <c:v>51-55</c:v>
                </c:pt>
                <c:pt idx="7">
                  <c:v>56-60</c:v>
                </c:pt>
                <c:pt idx="8">
                  <c:v>61-65</c:v>
                </c:pt>
                <c:pt idx="9">
                  <c:v>66-70</c:v>
                </c:pt>
                <c:pt idx="10">
                  <c:v>71 or Older</c:v>
                </c:pt>
              </c:strCache>
            </c:strRef>
          </c:cat>
          <c:val>
            <c:numRef>
              <c:f>'RN 2014'!$I$24:$I$34</c:f>
              <c:numCache>
                <c:formatCode>0.0%</c:formatCode>
                <c:ptCount val="11"/>
                <c:pt idx="0">
                  <c:v>3.1139493952947635E-2</c:v>
                </c:pt>
                <c:pt idx="1">
                  <c:v>8.9462466293132675E-2</c:v>
                </c:pt>
                <c:pt idx="2">
                  <c:v>8.9680450824304467E-2</c:v>
                </c:pt>
                <c:pt idx="3">
                  <c:v>8.0961069577432945E-2</c:v>
                </c:pt>
                <c:pt idx="4">
                  <c:v>9.3022880302271876E-2</c:v>
                </c:pt>
                <c:pt idx="5">
                  <c:v>0.10225089212187757</c:v>
                </c:pt>
                <c:pt idx="6">
                  <c:v>0.12663286560849979</c:v>
                </c:pt>
                <c:pt idx="7">
                  <c:v>0.14256188338634931</c:v>
                </c:pt>
                <c:pt idx="8">
                  <c:v>0.1270284671650708</c:v>
                </c:pt>
                <c:pt idx="9">
                  <c:v>7.2613069383668918E-2</c:v>
                </c:pt>
                <c:pt idx="10">
                  <c:v>4.4646461384443975E-2</c:v>
                </c:pt>
              </c:numCache>
            </c:numRef>
          </c:val>
        </c:ser>
        <c:dLbls>
          <c:showLegendKey val="0"/>
          <c:showVal val="0"/>
          <c:showCatName val="0"/>
          <c:showSerName val="0"/>
          <c:showPercent val="0"/>
          <c:showBubbleSize val="0"/>
        </c:dLbls>
        <c:gapWidth val="36"/>
        <c:overlap val="50"/>
        <c:axId val="86932096"/>
        <c:axId val="87044480"/>
      </c:barChart>
      <c:catAx>
        <c:axId val="86932096"/>
        <c:scaling>
          <c:orientation val="minMax"/>
        </c:scaling>
        <c:delete val="0"/>
        <c:axPos val="b"/>
        <c:majorTickMark val="out"/>
        <c:minorTickMark val="none"/>
        <c:tickLblPos val="nextTo"/>
        <c:txPr>
          <a:bodyPr/>
          <a:lstStyle/>
          <a:p>
            <a:pPr>
              <a:defRPr b="0"/>
            </a:pPr>
            <a:endParaRPr lang="en-US"/>
          </a:p>
        </c:txPr>
        <c:crossAx val="87044480"/>
        <c:crosses val="autoZero"/>
        <c:auto val="1"/>
        <c:lblAlgn val="ctr"/>
        <c:lblOffset val="100"/>
        <c:noMultiLvlLbl val="0"/>
      </c:catAx>
      <c:valAx>
        <c:axId val="87044480"/>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crossAx val="86932096"/>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0" i="1"/>
              <a:t>Figure 5.</a:t>
            </a:r>
            <a:r>
              <a:rPr lang="en-US" sz="1200"/>
              <a:t> 2014</a:t>
            </a:r>
            <a:r>
              <a:rPr lang="en-US" sz="1200" baseline="0"/>
              <a:t> </a:t>
            </a:r>
            <a:r>
              <a:rPr lang="en-US" sz="1200"/>
              <a:t>RNs by Language Fluency</a:t>
            </a:r>
            <a:r>
              <a:rPr lang="en-US" sz="1200" baseline="30000"/>
              <a:t>7</a:t>
            </a:r>
            <a:r>
              <a:rPr lang="en-US" sz="1200"/>
              <a:t> and MA Residents by </a:t>
            </a:r>
            <a:r>
              <a:rPr lang="en-US" sz="1200" b="1" i="0" u="none" strike="noStrike" baseline="0">
                <a:effectLst/>
              </a:rPr>
              <a:t>Language Spoken at Home</a:t>
            </a:r>
            <a:r>
              <a:rPr lang="en-US" sz="1200" b="1" i="0" u="none" strike="noStrike" baseline="30000">
                <a:effectLst/>
              </a:rPr>
              <a:t>6</a:t>
            </a:r>
            <a:endParaRPr lang="en-US" sz="1200" baseline="30000"/>
          </a:p>
        </c:rich>
      </c:tx>
      <c:layout>
        <c:manualLayout>
          <c:xMode val="edge"/>
          <c:yMode val="edge"/>
          <c:x val="0.12313914192098536"/>
          <c:y val="3.2256434035614389E-3"/>
        </c:manualLayout>
      </c:layout>
      <c:overlay val="0"/>
    </c:title>
    <c:autoTitleDeleted val="0"/>
    <c:plotArea>
      <c:layout>
        <c:manualLayout>
          <c:layoutTarget val="inner"/>
          <c:xMode val="edge"/>
          <c:yMode val="edge"/>
          <c:x val="0.10000250044353105"/>
          <c:y val="0.21831173887119937"/>
          <c:w val="0.82800571922357047"/>
          <c:h val="0.53992554817121907"/>
        </c:manualLayout>
      </c:layout>
      <c:barChart>
        <c:barDir val="col"/>
        <c:grouping val="clustered"/>
        <c:varyColors val="0"/>
        <c:ser>
          <c:idx val="0"/>
          <c:order val="0"/>
          <c:tx>
            <c:strRef>
              <c:f>'RN 2014'!$J$57</c:f>
              <c:strCache>
                <c:ptCount val="1"/>
                <c:pt idx="0">
                  <c:v>% MA Residents</c:v>
                </c:pt>
              </c:strCache>
            </c:strRef>
          </c:tx>
          <c:spPr>
            <a:solidFill>
              <a:schemeClr val="accent6">
                <a:lumMod val="40000"/>
                <a:lumOff val="6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2014'!$I$58:$I$60</c:f>
              <c:strCache>
                <c:ptCount val="3"/>
                <c:pt idx="0">
                  <c:v>Spanish</c:v>
                </c:pt>
                <c:pt idx="1">
                  <c:v>Portuguese</c:v>
                </c:pt>
                <c:pt idx="2">
                  <c:v>Chinese</c:v>
                </c:pt>
              </c:strCache>
            </c:strRef>
          </c:cat>
          <c:val>
            <c:numRef>
              <c:f>'RN 2014'!$J$58:$J$60</c:f>
              <c:numCache>
                <c:formatCode>0.0%</c:formatCode>
                <c:ptCount val="3"/>
                <c:pt idx="0">
                  <c:v>8.2569969459087594E-2</c:v>
                </c:pt>
                <c:pt idx="1">
                  <c:v>2.8807092561088182E-2</c:v>
                </c:pt>
                <c:pt idx="2">
                  <c:v>1.8114594538237171E-2</c:v>
                </c:pt>
              </c:numCache>
            </c:numRef>
          </c:val>
        </c:ser>
        <c:ser>
          <c:idx val="1"/>
          <c:order val="1"/>
          <c:tx>
            <c:strRef>
              <c:f>'RN 2014'!$K$57</c:f>
              <c:strCache>
                <c:ptCount val="1"/>
                <c:pt idx="0">
                  <c:v>% RNs</c:v>
                </c:pt>
              </c:strCache>
            </c:strRef>
          </c:tx>
          <c:spPr>
            <a:pattFill prst="dkUpDiag">
              <a:fgClr>
                <a:schemeClr val="accent6">
                  <a:lumMod val="20000"/>
                  <a:lumOff val="80000"/>
                </a:schemeClr>
              </a:fgClr>
              <a:bgClr>
                <a:schemeClr val="accent6">
                  <a:lumMod val="50000"/>
                </a:schemeClr>
              </a:bgClr>
            </a:patt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2014'!$I$58:$I$60</c:f>
              <c:strCache>
                <c:ptCount val="3"/>
                <c:pt idx="0">
                  <c:v>Spanish</c:v>
                </c:pt>
                <c:pt idx="1">
                  <c:v>Portuguese</c:v>
                </c:pt>
                <c:pt idx="2">
                  <c:v>Chinese</c:v>
                </c:pt>
              </c:strCache>
            </c:strRef>
          </c:cat>
          <c:val>
            <c:numRef>
              <c:f>'RN 2014'!$K$58:$K$60</c:f>
              <c:numCache>
                <c:formatCode>0.0%</c:formatCode>
                <c:ptCount val="3"/>
                <c:pt idx="0">
                  <c:v>4.4000000000000004E-2</c:v>
                </c:pt>
                <c:pt idx="1">
                  <c:v>1.3999999999999999E-2</c:v>
                </c:pt>
                <c:pt idx="2">
                  <c:v>4.0000000000000001E-3</c:v>
                </c:pt>
              </c:numCache>
            </c:numRef>
          </c:val>
        </c:ser>
        <c:dLbls>
          <c:showLegendKey val="0"/>
          <c:showVal val="0"/>
          <c:showCatName val="0"/>
          <c:showSerName val="0"/>
          <c:showPercent val="0"/>
          <c:showBubbleSize val="0"/>
        </c:dLbls>
        <c:gapWidth val="61"/>
        <c:overlap val="13"/>
        <c:axId val="102706560"/>
        <c:axId val="114189440"/>
      </c:barChart>
      <c:catAx>
        <c:axId val="102706560"/>
        <c:scaling>
          <c:orientation val="minMax"/>
        </c:scaling>
        <c:delete val="0"/>
        <c:axPos val="b"/>
        <c:majorTickMark val="out"/>
        <c:minorTickMark val="none"/>
        <c:tickLblPos val="nextTo"/>
        <c:crossAx val="114189440"/>
        <c:crosses val="autoZero"/>
        <c:auto val="1"/>
        <c:lblAlgn val="ctr"/>
        <c:lblOffset val="100"/>
        <c:noMultiLvlLbl val="0"/>
      </c:catAx>
      <c:valAx>
        <c:axId val="114189440"/>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crossAx val="102706560"/>
        <c:crosses val="autoZero"/>
        <c:crossBetween val="between"/>
        <c:majorUnit val="5.000000000000001E-2"/>
      </c:valAx>
    </c:plotArea>
    <c:legend>
      <c:legendPos val="b"/>
      <c:layout/>
      <c:overlay val="0"/>
    </c:legend>
    <c:plotVisOnly val="1"/>
    <c:dispBlanksAs val="gap"/>
    <c:showDLblsOverMax val="0"/>
  </c:chart>
  <c:spPr>
    <a:solidFill>
      <a:schemeClr val="bg1">
        <a:lumMod val="95000"/>
      </a:schemeClr>
    </a:solid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a:t>
            </a:r>
            <a:r>
              <a:rPr lang="en-US" sz="1200" b="0" i="1" baseline="0"/>
              <a:t> 6. </a:t>
            </a:r>
            <a:r>
              <a:rPr lang="en-US" sz="1200" b="1" i="0" baseline="0"/>
              <a:t>2014 </a:t>
            </a:r>
            <a:r>
              <a:rPr lang="en-US" sz="1200"/>
              <a:t>Highest Nursing Degree Attained</a:t>
            </a:r>
            <a:br>
              <a:rPr lang="en-US" sz="1200"/>
            </a:br>
            <a:r>
              <a:rPr lang="en-US" sz="1000" b="0"/>
              <a:t>n=91,877</a:t>
            </a:r>
            <a:endParaRPr lang="en-US" sz="1400" b="0"/>
          </a:p>
        </c:rich>
      </c:tx>
      <c:layout/>
      <c:overlay val="0"/>
    </c:title>
    <c:autoTitleDeleted val="0"/>
    <c:plotArea>
      <c:layout>
        <c:manualLayout>
          <c:layoutTarget val="inner"/>
          <c:xMode val="edge"/>
          <c:yMode val="edge"/>
          <c:x val="0.35713385094545969"/>
          <c:y val="0.31099162173693806"/>
          <c:w val="0.56953861355700164"/>
          <c:h val="0.56553760521314145"/>
        </c:manualLayout>
      </c:layout>
      <c:barChart>
        <c:barDir val="bar"/>
        <c:grouping val="clustered"/>
        <c:varyColors val="0"/>
        <c:ser>
          <c:idx val="0"/>
          <c:order val="0"/>
          <c:tx>
            <c:strRef>
              <c:f>'RN 2014'!$K$103</c:f>
              <c:strCache>
                <c:ptCount val="1"/>
                <c:pt idx="0">
                  <c:v>Percent</c:v>
                </c:pt>
              </c:strCache>
            </c:strRef>
          </c:tx>
          <c:spPr>
            <a:solidFill>
              <a:schemeClr val="tx1">
                <a:lumMod val="50000"/>
                <a:lumOff val="5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2014'!$I$104:$I$109</c:f>
              <c:strCache>
                <c:ptCount val="6"/>
                <c:pt idx="0">
                  <c:v>Practice Doctorate</c:v>
                </c:pt>
                <c:pt idx="1">
                  <c:v>Doctoral Degree</c:v>
                </c:pt>
                <c:pt idx="2">
                  <c:v>Masters Degree</c:v>
                </c:pt>
                <c:pt idx="3">
                  <c:v>Baccalaureate Degree</c:v>
                </c:pt>
                <c:pt idx="4">
                  <c:v>Associate Degree</c:v>
                </c:pt>
                <c:pt idx="5">
                  <c:v>Diploma</c:v>
                </c:pt>
              </c:strCache>
            </c:strRef>
          </c:cat>
          <c:val>
            <c:numRef>
              <c:f>'RN 2014'!$K$104:$K$109</c:f>
              <c:numCache>
                <c:formatCode>0.0%</c:formatCode>
                <c:ptCount val="6"/>
                <c:pt idx="0">
                  <c:v>3.7985567661112138E-3</c:v>
                </c:pt>
                <c:pt idx="1">
                  <c:v>5.9753801277795315E-3</c:v>
                </c:pt>
                <c:pt idx="2">
                  <c:v>0.15213818474699869</c:v>
                </c:pt>
                <c:pt idx="3">
                  <c:v>0.42015956115241027</c:v>
                </c:pt>
                <c:pt idx="4">
                  <c:v>0.2883420224865853</c:v>
                </c:pt>
                <c:pt idx="5">
                  <c:v>0.12958629472011493</c:v>
                </c:pt>
              </c:numCache>
            </c:numRef>
          </c:val>
        </c:ser>
        <c:dLbls>
          <c:dLblPos val="outEnd"/>
          <c:showLegendKey val="0"/>
          <c:showVal val="1"/>
          <c:showCatName val="0"/>
          <c:showSerName val="0"/>
          <c:showPercent val="0"/>
          <c:showBubbleSize val="0"/>
        </c:dLbls>
        <c:gapWidth val="150"/>
        <c:axId val="117503872"/>
        <c:axId val="117667328"/>
      </c:barChart>
      <c:catAx>
        <c:axId val="117503872"/>
        <c:scaling>
          <c:orientation val="minMax"/>
        </c:scaling>
        <c:delete val="0"/>
        <c:axPos val="l"/>
        <c:majorTickMark val="out"/>
        <c:minorTickMark val="none"/>
        <c:tickLblPos val="nextTo"/>
        <c:txPr>
          <a:bodyPr/>
          <a:lstStyle/>
          <a:p>
            <a:pPr>
              <a:defRPr sz="1050"/>
            </a:pPr>
            <a:endParaRPr lang="en-US"/>
          </a:p>
        </c:txPr>
        <c:crossAx val="117667328"/>
        <c:crosses val="autoZero"/>
        <c:auto val="1"/>
        <c:lblAlgn val="ctr"/>
        <c:lblOffset val="100"/>
        <c:noMultiLvlLbl val="0"/>
      </c:catAx>
      <c:valAx>
        <c:axId val="117667328"/>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17503872"/>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 8. </a:t>
            </a:r>
            <a:r>
              <a:rPr lang="en-US" sz="1200" b="1" i="0"/>
              <a:t>2014 </a:t>
            </a:r>
            <a:r>
              <a:rPr lang="en-US" sz="1200"/>
              <a:t>Initial RN Degree Obtained   Bachelor's Degree or Higher </a:t>
            </a:r>
            <a:r>
              <a:rPr lang="en-US" sz="1200" baseline="0"/>
              <a:t>by Age Group</a:t>
            </a:r>
            <a:br>
              <a:rPr lang="en-US" sz="1200" baseline="0"/>
            </a:br>
            <a:r>
              <a:rPr lang="en-US" sz="1000" b="0" baseline="0"/>
              <a:t>n=91,877</a:t>
            </a:r>
            <a:endParaRPr lang="en-US" sz="1000"/>
          </a:p>
        </c:rich>
      </c:tx>
      <c:layout>
        <c:manualLayout>
          <c:xMode val="edge"/>
          <c:yMode val="edge"/>
          <c:x val="0.11099894499611601"/>
          <c:y val="3.5565210608055557E-2"/>
        </c:manualLayout>
      </c:layout>
      <c:overlay val="0"/>
    </c:title>
    <c:autoTitleDeleted val="0"/>
    <c:plotArea>
      <c:layout>
        <c:manualLayout>
          <c:layoutTarget val="inner"/>
          <c:xMode val="edge"/>
          <c:yMode val="edge"/>
          <c:x val="0.14610444175972792"/>
          <c:y val="0.36937129578466921"/>
          <c:w val="0.81436986654066734"/>
          <c:h val="0.50963390909069417"/>
        </c:manualLayout>
      </c:layout>
      <c:barChart>
        <c:barDir val="col"/>
        <c:grouping val="clustered"/>
        <c:varyColors val="0"/>
        <c:ser>
          <c:idx val="0"/>
          <c:order val="0"/>
          <c:tx>
            <c:strRef>
              <c:f>'RN 2014'!$V$89</c:f>
              <c:strCache>
                <c:ptCount val="1"/>
                <c:pt idx="0">
                  <c:v>Bachelor's or Higher</c:v>
                </c:pt>
              </c:strCache>
            </c:strRef>
          </c:tx>
          <c:spPr>
            <a:solidFill>
              <a:schemeClr val="accent5">
                <a:lumMod val="75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2014'!$W$88:$Z$88</c:f>
              <c:strCache>
                <c:ptCount val="4"/>
                <c:pt idx="0">
                  <c:v>&lt;35</c:v>
                </c:pt>
                <c:pt idx="1">
                  <c:v>35-44</c:v>
                </c:pt>
                <c:pt idx="2">
                  <c:v>45-54</c:v>
                </c:pt>
                <c:pt idx="3">
                  <c:v>55+</c:v>
                </c:pt>
              </c:strCache>
            </c:strRef>
          </c:cat>
          <c:val>
            <c:numRef>
              <c:f>'RN 2014'!$W$89:$Z$89</c:f>
              <c:numCache>
                <c:formatCode>0.0%</c:formatCode>
                <c:ptCount val="4"/>
                <c:pt idx="0">
                  <c:v>0.71339352896914976</c:v>
                </c:pt>
                <c:pt idx="1">
                  <c:v>0.51554933193301833</c:v>
                </c:pt>
                <c:pt idx="2">
                  <c:v>0.41782870623920465</c:v>
                </c:pt>
                <c:pt idx="3">
                  <c:v>0.30349234971228556</c:v>
                </c:pt>
              </c:numCache>
            </c:numRef>
          </c:val>
        </c:ser>
        <c:dLbls>
          <c:showLegendKey val="0"/>
          <c:showVal val="0"/>
          <c:showCatName val="0"/>
          <c:showSerName val="0"/>
          <c:showPercent val="0"/>
          <c:showBubbleSize val="0"/>
        </c:dLbls>
        <c:gapWidth val="150"/>
        <c:axId val="118693248"/>
        <c:axId val="120145024"/>
      </c:barChart>
      <c:catAx>
        <c:axId val="118693248"/>
        <c:scaling>
          <c:orientation val="minMax"/>
        </c:scaling>
        <c:delete val="0"/>
        <c:axPos val="b"/>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20145024"/>
        <c:crosses val="autoZero"/>
        <c:auto val="1"/>
        <c:lblAlgn val="ctr"/>
        <c:lblOffset val="100"/>
        <c:noMultiLvlLbl val="0"/>
      </c:catAx>
      <c:valAx>
        <c:axId val="120145024"/>
        <c:scaling>
          <c:orientation val="minMax"/>
        </c:scaling>
        <c:delete val="0"/>
        <c:axPos val="l"/>
        <c:majorGridlines>
          <c:spPr>
            <a:ln>
              <a:solidFill>
                <a:schemeClr val="bg1">
                  <a:lumMod val="85000"/>
                </a:schemeClr>
              </a:solidFill>
            </a:ln>
          </c:spPr>
        </c:majorGridlines>
        <c:numFmt formatCode="0%" sourceLinked="0"/>
        <c:majorTickMark val="out"/>
        <c:minorTickMark val="none"/>
        <c:tickLblPos val="nextTo"/>
        <c:crossAx val="118693248"/>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0" i="1">
                <a:effectLst/>
              </a:rPr>
              <a:t>Figure 7. </a:t>
            </a:r>
            <a:r>
              <a:rPr lang="en-US" sz="1200" b="1" i="0">
                <a:effectLst/>
              </a:rPr>
              <a:t>2014 Initial</a:t>
            </a:r>
            <a:r>
              <a:rPr lang="en-US" sz="1200" b="1" i="0" baseline="0">
                <a:effectLst/>
              </a:rPr>
              <a:t> </a:t>
            </a:r>
            <a:r>
              <a:rPr lang="en-US" sz="1200" b="1" i="0">
                <a:effectLst/>
              </a:rPr>
              <a:t>RN </a:t>
            </a:r>
            <a:r>
              <a:rPr lang="en-US" sz="1200" b="1">
                <a:effectLst/>
              </a:rPr>
              <a:t>Degree Obtained</a:t>
            </a:r>
            <a:br>
              <a:rPr lang="en-US" sz="1200" b="1">
                <a:effectLst/>
              </a:rPr>
            </a:br>
            <a:r>
              <a:rPr lang="en-US" sz="1000" b="0">
                <a:effectLst/>
              </a:rPr>
              <a:t>n=91,877</a:t>
            </a:r>
            <a:endParaRPr lang="en-US"/>
          </a:p>
        </c:rich>
      </c:tx>
      <c:layout>
        <c:manualLayout>
          <c:xMode val="edge"/>
          <c:yMode val="edge"/>
          <c:x val="0.20489520738678002"/>
          <c:y val="4.8002420592052231E-2"/>
        </c:manualLayout>
      </c:layout>
      <c:overlay val="0"/>
    </c:title>
    <c:autoTitleDeleted val="0"/>
    <c:plotArea>
      <c:layout>
        <c:manualLayout>
          <c:layoutTarget val="inner"/>
          <c:xMode val="edge"/>
          <c:yMode val="edge"/>
          <c:x val="0.39061160669214784"/>
          <c:y val="0.25205553200669123"/>
          <c:w val="0.54388487800239671"/>
          <c:h val="0.62706335379647649"/>
        </c:manualLayout>
      </c:layout>
      <c:barChart>
        <c:barDir val="bar"/>
        <c:grouping val="clustered"/>
        <c:varyColors val="0"/>
        <c:ser>
          <c:idx val="0"/>
          <c:order val="0"/>
          <c:tx>
            <c:strRef>
              <c:f>'RN 2014'!$G$77</c:f>
              <c:strCache>
                <c:ptCount val="1"/>
                <c:pt idx="0">
                  <c:v>Percent</c:v>
                </c:pt>
              </c:strCache>
            </c:strRef>
          </c:tx>
          <c:spPr>
            <a:solidFill>
              <a:schemeClr val="accent4">
                <a:lumMod val="75000"/>
              </a:schemeClr>
            </a:solidFill>
          </c:spPr>
          <c:invertIfNegative val="0"/>
          <c:dPt>
            <c:idx val="0"/>
            <c:invertIfNegative val="0"/>
            <c:bubble3D val="0"/>
          </c:dPt>
          <c:dPt>
            <c:idx val="1"/>
            <c:invertIfNegative val="0"/>
            <c:bubble3D val="0"/>
          </c:dPt>
          <c:dLbls>
            <c:txPr>
              <a:bodyPr/>
              <a:lstStyle/>
              <a:p>
                <a:pPr>
                  <a:defRPr b="1"/>
                </a:pPr>
                <a:endParaRPr lang="en-US"/>
              </a:p>
            </c:txPr>
            <c:dLblPos val="outEnd"/>
            <c:showLegendKey val="0"/>
            <c:showVal val="1"/>
            <c:showCatName val="0"/>
            <c:showSerName val="0"/>
            <c:showPercent val="0"/>
            <c:showBubbleSize val="0"/>
            <c:showLeaderLines val="0"/>
          </c:dLbls>
          <c:cat>
            <c:strRef>
              <c:f>'RN 2014'!$E$78:$E$81</c:f>
              <c:strCache>
                <c:ptCount val="4"/>
                <c:pt idx="0">
                  <c:v>Masters Degree</c:v>
                </c:pt>
                <c:pt idx="1">
                  <c:v>Baccalaureate Degree</c:v>
                </c:pt>
                <c:pt idx="2">
                  <c:v>Associate Degree</c:v>
                </c:pt>
                <c:pt idx="3">
                  <c:v>Diploma</c:v>
                </c:pt>
              </c:strCache>
            </c:strRef>
          </c:cat>
          <c:val>
            <c:numRef>
              <c:f>'RN 2014'!$G$78:$G$81</c:f>
              <c:numCache>
                <c:formatCode>0.0%</c:formatCode>
                <c:ptCount val="4"/>
                <c:pt idx="0">
                  <c:v>2.7427974357020799E-2</c:v>
                </c:pt>
                <c:pt idx="1">
                  <c:v>0.40445378059797338</c:v>
                </c:pt>
                <c:pt idx="2">
                  <c:v>0.36970079562893871</c:v>
                </c:pt>
                <c:pt idx="3">
                  <c:v>0.19841744941606712</c:v>
                </c:pt>
              </c:numCache>
            </c:numRef>
          </c:val>
        </c:ser>
        <c:dLbls>
          <c:showLegendKey val="0"/>
          <c:showVal val="0"/>
          <c:showCatName val="0"/>
          <c:showSerName val="0"/>
          <c:showPercent val="0"/>
          <c:showBubbleSize val="0"/>
        </c:dLbls>
        <c:gapWidth val="150"/>
        <c:axId val="123147776"/>
        <c:axId val="123149312"/>
      </c:barChart>
      <c:catAx>
        <c:axId val="123147776"/>
        <c:scaling>
          <c:orientation val="minMax"/>
        </c:scaling>
        <c:delete val="0"/>
        <c:axPos val="l"/>
        <c:majorTickMark val="out"/>
        <c:minorTickMark val="none"/>
        <c:tickLblPos val="nextTo"/>
        <c:crossAx val="123149312"/>
        <c:crosses val="autoZero"/>
        <c:auto val="1"/>
        <c:lblAlgn val="ctr"/>
        <c:lblOffset val="100"/>
        <c:noMultiLvlLbl val="0"/>
      </c:catAx>
      <c:valAx>
        <c:axId val="123149312"/>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23147776"/>
        <c:crosses val="autoZero"/>
        <c:crossBetween val="between"/>
      </c:valAx>
    </c:plotArea>
    <c:plotVisOnly val="1"/>
    <c:dispBlanksAs val="gap"/>
    <c:showDLblsOverMax val="0"/>
  </c:chart>
  <c:spPr>
    <a:solidFill>
      <a:schemeClr val="bg1">
        <a:lumMod val="95000"/>
      </a:schemeClr>
    </a:solid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i="1"/>
              <a:t>Figure 9. </a:t>
            </a:r>
            <a:r>
              <a:rPr lang="en-US" sz="1200" b="1" i="0"/>
              <a:t>2014 Advanced</a:t>
            </a:r>
            <a:r>
              <a:rPr lang="en-US" sz="1200" b="1" i="0" baseline="0"/>
              <a:t> Practice Registered Nurses </a:t>
            </a:r>
            <a:r>
              <a:rPr lang="en-US" sz="1200"/>
              <a:t>by</a:t>
            </a:r>
            <a:r>
              <a:rPr lang="en-US" sz="1200" baseline="0"/>
              <a:t> Clinical Category</a:t>
            </a:r>
            <a:r>
              <a:rPr lang="en-US" sz="1100" baseline="30000"/>
              <a:t>9</a:t>
            </a:r>
            <a:endParaRPr lang="en-US" sz="1200" baseline="30000"/>
          </a:p>
          <a:p>
            <a:pPr>
              <a:defRPr/>
            </a:pPr>
            <a:r>
              <a:rPr lang="en-US" sz="1000" b="0"/>
              <a:t>n = 8,777</a:t>
            </a:r>
            <a:endParaRPr lang="en-US" sz="1000" b="0" baseline="30000"/>
          </a:p>
        </c:rich>
      </c:tx>
      <c:layout>
        <c:manualLayout>
          <c:xMode val="edge"/>
          <c:yMode val="edge"/>
          <c:x val="0.10845013566816727"/>
          <c:y val="0"/>
        </c:manualLayout>
      </c:layout>
      <c:overlay val="0"/>
    </c:title>
    <c:autoTitleDeleted val="0"/>
    <c:plotArea>
      <c:layout>
        <c:manualLayout>
          <c:layoutTarget val="inner"/>
          <c:xMode val="edge"/>
          <c:yMode val="edge"/>
          <c:x val="0.53486437819053678"/>
          <c:y val="0.38963458908953746"/>
          <c:w val="0.41109348072566565"/>
          <c:h val="0.45027224550500222"/>
        </c:manualLayout>
      </c:layout>
      <c:barChart>
        <c:barDir val="bar"/>
        <c:grouping val="clustered"/>
        <c:varyColors val="0"/>
        <c:ser>
          <c:idx val="0"/>
          <c:order val="0"/>
          <c:tx>
            <c:strRef>
              <c:f>'RN 2014'!$H$125</c:f>
              <c:strCache>
                <c:ptCount val="1"/>
                <c:pt idx="0">
                  <c:v>% of APRNs</c:v>
                </c:pt>
              </c:strCache>
            </c:strRef>
          </c:tx>
          <c:spPr>
            <a:solidFill>
              <a:schemeClr val="bg1">
                <a:lumMod val="50000"/>
              </a:schemeClr>
            </a:solidFill>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'RN 2014'!$E$126:$E$129</c:f>
              <c:strCache>
                <c:ptCount val="4"/>
                <c:pt idx="0">
                  <c:v>Certified Nurse Midwife (CNM)</c:v>
                </c:pt>
                <c:pt idx="1">
                  <c:v>Psych Clinical Nurse Specialist (PCNS)</c:v>
                </c:pt>
                <c:pt idx="2">
                  <c:v>Certified RN Anesthetist (CRNA)</c:v>
                </c:pt>
                <c:pt idx="3">
                  <c:v>Certified Nurse Practitioner (CNP)</c:v>
                </c:pt>
              </c:strCache>
            </c:strRef>
          </c:cat>
          <c:val>
            <c:numRef>
              <c:f>'RN 2014'!$H$126:$H$129</c:f>
              <c:numCache>
                <c:formatCode>0.0%</c:formatCode>
                <c:ptCount val="4"/>
                <c:pt idx="0">
                  <c:v>4.5915460863620826E-2</c:v>
                </c:pt>
                <c:pt idx="1">
                  <c:v>7.7247351031104028E-2</c:v>
                </c:pt>
                <c:pt idx="2">
                  <c:v>0.10846530705252364</c:v>
                </c:pt>
                <c:pt idx="3">
                  <c:v>0.7837529907713342</c:v>
                </c:pt>
              </c:numCache>
            </c:numRef>
          </c:val>
        </c:ser>
        <c:dLbls>
          <c:dLblPos val="outEnd"/>
          <c:showLegendKey val="0"/>
          <c:showVal val="1"/>
          <c:showCatName val="0"/>
          <c:showSerName val="0"/>
          <c:showPercent val="0"/>
          <c:showBubbleSize val="0"/>
        </c:dLbls>
        <c:gapWidth val="150"/>
        <c:axId val="25988096"/>
        <c:axId val="25991040"/>
      </c:barChart>
      <c:catAx>
        <c:axId val="25988096"/>
        <c:scaling>
          <c:orientation val="minMax"/>
        </c:scaling>
        <c:delete val="0"/>
        <c:axPos val="l"/>
        <c:majorTickMark val="out"/>
        <c:minorTickMark val="none"/>
        <c:tickLblPos val="nextTo"/>
        <c:crossAx val="25991040"/>
        <c:crosses val="autoZero"/>
        <c:auto val="1"/>
        <c:lblAlgn val="ctr"/>
        <c:lblOffset val="0"/>
        <c:noMultiLvlLbl val="0"/>
      </c:catAx>
      <c:valAx>
        <c:axId val="25991040"/>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25988096"/>
        <c:crosses val="autoZero"/>
        <c:crossBetween val="between"/>
        <c:majorUnit val="0.25"/>
      </c:valAx>
      <c:spPr>
        <a:solidFill>
          <a:schemeClr val="bg1"/>
        </a:solidFill>
      </c:spPr>
    </c:plotArea>
    <c:plotVisOnly val="1"/>
    <c:dispBlanksAs val="gap"/>
    <c:showDLblsOverMax val="0"/>
  </c:chart>
  <c:spPr>
    <a:solidFill>
      <a:schemeClr val="bg1">
        <a:lumMod val="95000"/>
      </a:schemeClr>
    </a:solid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E84CC7-FBDE-4903-ABD5-424F405A6722}" type="doc">
      <dgm:prSet loTypeId="urn:microsoft.com/office/officeart/2005/8/layout/process1" loCatId="process" qsTypeId="urn:microsoft.com/office/officeart/2005/8/quickstyle/simple1" qsCatId="simple" csTypeId="urn:microsoft.com/office/officeart/2005/8/colors/accent6_2" csCatId="accent6" phldr="1"/>
      <dgm:spPr/>
    </dgm:pt>
    <dgm:pt modelId="{E15BC44B-15E0-434F-AF3F-898EE909C187}">
      <dgm:prSet phldrT="[Text]" custT="1"/>
      <dgm:spPr/>
      <dgm:t>
        <a:bodyPr/>
        <a:lstStyle/>
        <a:p>
          <a:pPr algn="ctr"/>
          <a:r>
            <a:rPr lang="en-US" sz="1100" b="1">
              <a:solidFill>
                <a:sysClr val="windowText" lastClr="000000"/>
              </a:solidFill>
            </a:rPr>
            <a:t>123,862 </a:t>
          </a:r>
          <a:r>
            <a:rPr lang="en-US" sz="1100" b="0">
              <a:solidFill>
                <a:sysClr val="windowText" lastClr="000000"/>
              </a:solidFill>
            </a:rPr>
            <a:t>RNs with Active MA License </a:t>
          </a:r>
          <a:r>
            <a:rPr lang="en-US" sz="1100" b="0" baseline="30000">
              <a:solidFill>
                <a:sysClr val="windowText" lastClr="000000"/>
              </a:solidFill>
            </a:rPr>
            <a:t>1</a:t>
          </a:r>
        </a:p>
      </dgm:t>
    </dgm:pt>
    <dgm:pt modelId="{33954B0D-6020-419F-B0F2-51853D4A598B}" type="parTrans" cxnId="{18C1ACCC-BCA9-41E5-80CB-B7B66011F37D}">
      <dgm:prSet/>
      <dgm:spPr/>
      <dgm:t>
        <a:bodyPr/>
        <a:lstStyle/>
        <a:p>
          <a:pPr algn="ctr"/>
          <a:endParaRPr lang="en-US" sz="1100" b="1">
            <a:solidFill>
              <a:sysClr val="windowText" lastClr="000000"/>
            </a:solidFill>
          </a:endParaRPr>
        </a:p>
      </dgm:t>
    </dgm:pt>
    <dgm:pt modelId="{8E781846-6E07-42D6-AED4-11ABEBB35AE1}" type="sibTrans" cxnId="{18C1ACCC-BCA9-41E5-80CB-B7B66011F37D}">
      <dgm:prSet custT="1"/>
      <dgm:spPr/>
      <dgm:t>
        <a:bodyPr/>
        <a:lstStyle/>
        <a:p>
          <a:pPr algn="ctr"/>
          <a:endParaRPr lang="en-US" sz="1100" b="1">
            <a:solidFill>
              <a:sysClr val="windowText" lastClr="000000"/>
            </a:solidFill>
          </a:endParaRPr>
        </a:p>
      </dgm:t>
    </dgm:pt>
    <dgm:pt modelId="{6123B870-92B8-4102-BFD9-46143883B269}">
      <dgm:prSet phldrT="[Text]" custT="1"/>
      <dgm:spPr/>
      <dgm:t>
        <a:bodyPr/>
        <a:lstStyle/>
        <a:p>
          <a:pPr algn="ctr"/>
          <a:r>
            <a:rPr lang="en-US" sz="1100" b="1">
              <a:solidFill>
                <a:sysClr val="windowText" lastClr="000000"/>
              </a:solidFill>
            </a:rPr>
            <a:t>105,094 </a:t>
          </a:r>
          <a:r>
            <a:rPr lang="en-US" sz="1100" b="0">
              <a:solidFill>
                <a:sysClr val="windowText" lastClr="000000"/>
              </a:solidFill>
            </a:rPr>
            <a:t>RNs Renewed License During 2014 Cycle</a:t>
          </a:r>
        </a:p>
      </dgm:t>
    </dgm:pt>
    <dgm:pt modelId="{D5128C9B-260D-4752-B5C7-93FC9CCDDC5B}" type="parTrans" cxnId="{48FBAF13-1809-4DA4-B1A6-B0B967C5EDED}">
      <dgm:prSet/>
      <dgm:spPr/>
      <dgm:t>
        <a:bodyPr/>
        <a:lstStyle/>
        <a:p>
          <a:pPr algn="ctr"/>
          <a:endParaRPr lang="en-US" sz="1100" b="1">
            <a:solidFill>
              <a:sysClr val="windowText" lastClr="000000"/>
            </a:solidFill>
          </a:endParaRPr>
        </a:p>
      </dgm:t>
    </dgm:pt>
    <dgm:pt modelId="{D14A4BDB-0FE2-4ECE-9F6B-E86095761AB2}" type="sibTrans" cxnId="{48FBAF13-1809-4DA4-B1A6-B0B967C5EDED}">
      <dgm:prSet custT="1"/>
      <dgm:spPr/>
      <dgm:t>
        <a:bodyPr/>
        <a:lstStyle/>
        <a:p>
          <a:pPr algn="ctr"/>
          <a:endParaRPr lang="en-US" sz="1100" b="1">
            <a:solidFill>
              <a:sysClr val="windowText" lastClr="000000"/>
            </a:solidFill>
          </a:endParaRPr>
        </a:p>
      </dgm:t>
    </dgm:pt>
    <dgm:pt modelId="{3A498DFC-CB9B-4CCB-B25B-67A729B45D56}">
      <dgm:prSet phldrT="[Text]" custT="1"/>
      <dgm:spPr/>
      <dgm:t>
        <a:bodyPr/>
        <a:lstStyle/>
        <a:p>
          <a:pPr algn="ctr"/>
          <a:r>
            <a:rPr lang="en-US" sz="1100" b="1">
              <a:solidFill>
                <a:sysClr val="windowText" lastClr="000000"/>
              </a:solidFill>
            </a:rPr>
            <a:t>91,877 </a:t>
          </a:r>
          <a:r>
            <a:rPr lang="en-US" sz="1100" b="0">
              <a:solidFill>
                <a:sysClr val="windowText" lastClr="000000"/>
              </a:solidFill>
            </a:rPr>
            <a:t>Completed RN Workforce Survey </a:t>
          </a:r>
          <a:r>
            <a:rPr lang="en-US" sz="1100" b="1">
              <a:solidFill>
                <a:sysClr val="windowText" lastClr="000000"/>
              </a:solidFill>
            </a:rPr>
            <a:t/>
          </a:r>
          <a:br>
            <a:rPr lang="en-US" sz="1100" b="1">
              <a:solidFill>
                <a:sysClr val="windowText" lastClr="000000"/>
              </a:solidFill>
            </a:rPr>
          </a:br>
          <a:r>
            <a:rPr lang="en-US" sz="1100" b="0">
              <a:solidFill>
                <a:sysClr val="windowText" lastClr="000000"/>
              </a:solidFill>
            </a:rPr>
            <a:t>(</a:t>
          </a:r>
          <a:r>
            <a:rPr lang="en-US" sz="1100" b="0" i="1">
              <a:solidFill>
                <a:sysClr val="windowText" lastClr="000000"/>
              </a:solidFill>
            </a:rPr>
            <a:t>87% of renewals,</a:t>
          </a:r>
          <a:br>
            <a:rPr lang="en-US" sz="1100" b="0" i="1">
              <a:solidFill>
                <a:sysClr val="windowText" lastClr="000000"/>
              </a:solidFill>
            </a:rPr>
          </a:br>
          <a:r>
            <a:rPr lang="en-US" sz="1100" b="0" i="1">
              <a:solidFill>
                <a:sysClr val="windowText" lastClr="000000"/>
              </a:solidFill>
            </a:rPr>
            <a:t>74% of active RNs</a:t>
          </a:r>
          <a:r>
            <a:rPr lang="en-US" sz="1100" b="0">
              <a:solidFill>
                <a:sysClr val="windowText" lastClr="000000"/>
              </a:solidFill>
            </a:rPr>
            <a:t>)</a:t>
          </a:r>
        </a:p>
      </dgm:t>
    </dgm:pt>
    <dgm:pt modelId="{0CF71F74-02FF-4029-9355-26B3DDA82313}" type="parTrans" cxnId="{6066AEDE-B39F-4C9F-8380-D9CA460A4D45}">
      <dgm:prSet/>
      <dgm:spPr/>
      <dgm:t>
        <a:bodyPr/>
        <a:lstStyle/>
        <a:p>
          <a:pPr algn="ctr"/>
          <a:endParaRPr lang="en-US" sz="1100" b="1">
            <a:solidFill>
              <a:sysClr val="windowText" lastClr="000000"/>
            </a:solidFill>
          </a:endParaRPr>
        </a:p>
      </dgm:t>
    </dgm:pt>
    <dgm:pt modelId="{E0B6E400-092B-4AB8-BABC-06028BD0485A}" type="sibTrans" cxnId="{6066AEDE-B39F-4C9F-8380-D9CA460A4D45}">
      <dgm:prSet/>
      <dgm:spPr/>
      <dgm:t>
        <a:bodyPr/>
        <a:lstStyle/>
        <a:p>
          <a:pPr algn="ctr"/>
          <a:endParaRPr lang="en-US" sz="1100" b="1">
            <a:solidFill>
              <a:sysClr val="windowText" lastClr="000000"/>
            </a:solidFill>
          </a:endParaRPr>
        </a:p>
      </dgm:t>
    </dgm:pt>
    <dgm:pt modelId="{C6E39619-B1DB-4047-868D-AE2D3D9FBDA5}" type="pres">
      <dgm:prSet presAssocID="{3AE84CC7-FBDE-4903-ABD5-424F405A6722}" presName="Name0" presStyleCnt="0">
        <dgm:presLayoutVars>
          <dgm:dir/>
          <dgm:resizeHandles val="exact"/>
        </dgm:presLayoutVars>
      </dgm:prSet>
      <dgm:spPr/>
    </dgm:pt>
    <dgm:pt modelId="{F5BBB8D0-EDCF-4029-9D9E-AEBDFEF4FD7E}" type="pres">
      <dgm:prSet presAssocID="{E15BC44B-15E0-434F-AF3F-898EE909C187}" presName="node" presStyleLbl="node1" presStyleIdx="0" presStyleCnt="3">
        <dgm:presLayoutVars>
          <dgm:bulletEnabled val="1"/>
        </dgm:presLayoutVars>
      </dgm:prSet>
      <dgm:spPr/>
      <dgm:t>
        <a:bodyPr/>
        <a:lstStyle/>
        <a:p>
          <a:endParaRPr lang="en-US"/>
        </a:p>
      </dgm:t>
    </dgm:pt>
    <dgm:pt modelId="{4ACFA9FB-0A06-4343-8060-A9B92E7D5280}" type="pres">
      <dgm:prSet presAssocID="{8E781846-6E07-42D6-AED4-11ABEBB35AE1}" presName="sibTrans" presStyleLbl="sibTrans2D1" presStyleIdx="0" presStyleCnt="2"/>
      <dgm:spPr/>
      <dgm:t>
        <a:bodyPr/>
        <a:lstStyle/>
        <a:p>
          <a:endParaRPr lang="en-US"/>
        </a:p>
      </dgm:t>
    </dgm:pt>
    <dgm:pt modelId="{8538B1E8-0B7E-4707-8B91-8D00D55D756C}" type="pres">
      <dgm:prSet presAssocID="{8E781846-6E07-42D6-AED4-11ABEBB35AE1}" presName="connectorText" presStyleLbl="sibTrans2D1" presStyleIdx="0" presStyleCnt="2"/>
      <dgm:spPr/>
      <dgm:t>
        <a:bodyPr/>
        <a:lstStyle/>
        <a:p>
          <a:endParaRPr lang="en-US"/>
        </a:p>
      </dgm:t>
    </dgm:pt>
    <dgm:pt modelId="{72EEA498-0EDA-4D3E-A999-D5D28CE44A71}" type="pres">
      <dgm:prSet presAssocID="{6123B870-92B8-4102-BFD9-46143883B269}" presName="node" presStyleLbl="node1" presStyleIdx="1" presStyleCnt="3">
        <dgm:presLayoutVars>
          <dgm:bulletEnabled val="1"/>
        </dgm:presLayoutVars>
      </dgm:prSet>
      <dgm:spPr/>
      <dgm:t>
        <a:bodyPr/>
        <a:lstStyle/>
        <a:p>
          <a:endParaRPr lang="en-US"/>
        </a:p>
      </dgm:t>
    </dgm:pt>
    <dgm:pt modelId="{4A9F4242-E846-4ECE-9D04-B03595DA149F}" type="pres">
      <dgm:prSet presAssocID="{D14A4BDB-0FE2-4ECE-9F6B-E86095761AB2}" presName="sibTrans" presStyleLbl="sibTrans2D1" presStyleIdx="1" presStyleCnt="2"/>
      <dgm:spPr/>
      <dgm:t>
        <a:bodyPr/>
        <a:lstStyle/>
        <a:p>
          <a:endParaRPr lang="en-US"/>
        </a:p>
      </dgm:t>
    </dgm:pt>
    <dgm:pt modelId="{C401814A-BDF5-4BF9-83D9-0A28C75E724A}" type="pres">
      <dgm:prSet presAssocID="{D14A4BDB-0FE2-4ECE-9F6B-E86095761AB2}" presName="connectorText" presStyleLbl="sibTrans2D1" presStyleIdx="1" presStyleCnt="2"/>
      <dgm:spPr/>
      <dgm:t>
        <a:bodyPr/>
        <a:lstStyle/>
        <a:p>
          <a:endParaRPr lang="en-US"/>
        </a:p>
      </dgm:t>
    </dgm:pt>
    <dgm:pt modelId="{9445CBDA-DD32-4719-A0FF-820CF992D8F6}" type="pres">
      <dgm:prSet presAssocID="{3A498DFC-CB9B-4CCB-B25B-67A729B45D56}" presName="node" presStyleLbl="node1" presStyleIdx="2" presStyleCnt="3">
        <dgm:presLayoutVars>
          <dgm:bulletEnabled val="1"/>
        </dgm:presLayoutVars>
      </dgm:prSet>
      <dgm:spPr/>
      <dgm:t>
        <a:bodyPr/>
        <a:lstStyle/>
        <a:p>
          <a:endParaRPr lang="en-US"/>
        </a:p>
      </dgm:t>
    </dgm:pt>
  </dgm:ptLst>
  <dgm:cxnLst>
    <dgm:cxn modelId="{18C1ACCC-BCA9-41E5-80CB-B7B66011F37D}" srcId="{3AE84CC7-FBDE-4903-ABD5-424F405A6722}" destId="{E15BC44B-15E0-434F-AF3F-898EE909C187}" srcOrd="0" destOrd="0" parTransId="{33954B0D-6020-419F-B0F2-51853D4A598B}" sibTransId="{8E781846-6E07-42D6-AED4-11ABEBB35AE1}"/>
    <dgm:cxn modelId="{48FBAF13-1809-4DA4-B1A6-B0B967C5EDED}" srcId="{3AE84CC7-FBDE-4903-ABD5-424F405A6722}" destId="{6123B870-92B8-4102-BFD9-46143883B269}" srcOrd="1" destOrd="0" parTransId="{D5128C9B-260D-4752-B5C7-93FC9CCDDC5B}" sibTransId="{D14A4BDB-0FE2-4ECE-9F6B-E86095761AB2}"/>
    <dgm:cxn modelId="{1B072876-6270-4410-A74D-2A61934CEB71}" type="presOf" srcId="{8E781846-6E07-42D6-AED4-11ABEBB35AE1}" destId="{4ACFA9FB-0A06-4343-8060-A9B92E7D5280}" srcOrd="0" destOrd="0" presId="urn:microsoft.com/office/officeart/2005/8/layout/process1"/>
    <dgm:cxn modelId="{E4C0F4EF-0A9C-425E-9809-A000F1C78A80}" type="presOf" srcId="{3A498DFC-CB9B-4CCB-B25B-67A729B45D56}" destId="{9445CBDA-DD32-4719-A0FF-820CF992D8F6}" srcOrd="0" destOrd="0" presId="urn:microsoft.com/office/officeart/2005/8/layout/process1"/>
    <dgm:cxn modelId="{6066AEDE-B39F-4C9F-8380-D9CA460A4D45}" srcId="{3AE84CC7-FBDE-4903-ABD5-424F405A6722}" destId="{3A498DFC-CB9B-4CCB-B25B-67A729B45D56}" srcOrd="2" destOrd="0" parTransId="{0CF71F74-02FF-4029-9355-26B3DDA82313}" sibTransId="{E0B6E400-092B-4AB8-BABC-06028BD0485A}"/>
    <dgm:cxn modelId="{3EAFDEE4-A4D1-4E3E-AC50-B70BB5D4769B}" type="presOf" srcId="{6123B870-92B8-4102-BFD9-46143883B269}" destId="{72EEA498-0EDA-4D3E-A999-D5D28CE44A71}" srcOrd="0" destOrd="0" presId="urn:microsoft.com/office/officeart/2005/8/layout/process1"/>
    <dgm:cxn modelId="{BC4AB68D-10A8-4C5D-A396-32BCD73401EB}" type="presOf" srcId="{E15BC44B-15E0-434F-AF3F-898EE909C187}" destId="{F5BBB8D0-EDCF-4029-9D9E-AEBDFEF4FD7E}" srcOrd="0" destOrd="0" presId="urn:microsoft.com/office/officeart/2005/8/layout/process1"/>
    <dgm:cxn modelId="{23BDF127-C8CC-490F-A3C3-343EB3EE2E2F}" type="presOf" srcId="{8E781846-6E07-42D6-AED4-11ABEBB35AE1}" destId="{8538B1E8-0B7E-4707-8B91-8D00D55D756C}" srcOrd="1" destOrd="0" presId="urn:microsoft.com/office/officeart/2005/8/layout/process1"/>
    <dgm:cxn modelId="{B9E42AD5-B9FA-46E4-8CAF-51BB81EE9510}" type="presOf" srcId="{D14A4BDB-0FE2-4ECE-9F6B-E86095761AB2}" destId="{C401814A-BDF5-4BF9-83D9-0A28C75E724A}" srcOrd="1" destOrd="0" presId="urn:microsoft.com/office/officeart/2005/8/layout/process1"/>
    <dgm:cxn modelId="{EF72D4F1-E485-4DF6-89E1-C262C7BE22AB}" type="presOf" srcId="{3AE84CC7-FBDE-4903-ABD5-424F405A6722}" destId="{C6E39619-B1DB-4047-868D-AE2D3D9FBDA5}" srcOrd="0" destOrd="0" presId="urn:microsoft.com/office/officeart/2005/8/layout/process1"/>
    <dgm:cxn modelId="{AA1548D6-D535-4E13-8F10-5C9D31FD0C3F}" type="presOf" srcId="{D14A4BDB-0FE2-4ECE-9F6B-E86095761AB2}" destId="{4A9F4242-E846-4ECE-9D04-B03595DA149F}" srcOrd="0" destOrd="0" presId="urn:microsoft.com/office/officeart/2005/8/layout/process1"/>
    <dgm:cxn modelId="{E25C4420-0B16-450C-B826-6BD5A3AEA886}" type="presParOf" srcId="{C6E39619-B1DB-4047-868D-AE2D3D9FBDA5}" destId="{F5BBB8D0-EDCF-4029-9D9E-AEBDFEF4FD7E}" srcOrd="0" destOrd="0" presId="urn:microsoft.com/office/officeart/2005/8/layout/process1"/>
    <dgm:cxn modelId="{2DE85144-0D0B-4B33-A277-FED993849378}" type="presParOf" srcId="{C6E39619-B1DB-4047-868D-AE2D3D9FBDA5}" destId="{4ACFA9FB-0A06-4343-8060-A9B92E7D5280}" srcOrd="1" destOrd="0" presId="urn:microsoft.com/office/officeart/2005/8/layout/process1"/>
    <dgm:cxn modelId="{87232D8F-0AB4-4A29-A48C-999C21EF84E7}" type="presParOf" srcId="{4ACFA9FB-0A06-4343-8060-A9B92E7D5280}" destId="{8538B1E8-0B7E-4707-8B91-8D00D55D756C}" srcOrd="0" destOrd="0" presId="urn:microsoft.com/office/officeart/2005/8/layout/process1"/>
    <dgm:cxn modelId="{2914732B-8D52-448D-8399-584D37E98366}" type="presParOf" srcId="{C6E39619-B1DB-4047-868D-AE2D3D9FBDA5}" destId="{72EEA498-0EDA-4D3E-A999-D5D28CE44A71}" srcOrd="2" destOrd="0" presId="urn:microsoft.com/office/officeart/2005/8/layout/process1"/>
    <dgm:cxn modelId="{FE20F317-FC8D-4641-8166-3EB41360A204}" type="presParOf" srcId="{C6E39619-B1DB-4047-868D-AE2D3D9FBDA5}" destId="{4A9F4242-E846-4ECE-9D04-B03595DA149F}" srcOrd="3" destOrd="0" presId="urn:microsoft.com/office/officeart/2005/8/layout/process1"/>
    <dgm:cxn modelId="{4518434F-86FB-4963-8ED4-AB15DAA5029C}" type="presParOf" srcId="{4A9F4242-E846-4ECE-9D04-B03595DA149F}" destId="{C401814A-BDF5-4BF9-83D9-0A28C75E724A}" srcOrd="0" destOrd="0" presId="urn:microsoft.com/office/officeart/2005/8/layout/process1"/>
    <dgm:cxn modelId="{1E7E55EB-5299-4E52-BB45-29B21C13C71F}" type="presParOf" srcId="{C6E39619-B1DB-4047-868D-AE2D3D9FBDA5}" destId="{9445CBDA-DD32-4719-A0FF-820CF992D8F6}"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BBB8D0-EDCF-4029-9D9E-AEBDFEF4FD7E}">
      <dsp:nvSpPr>
        <dsp:cNvPr id="0" name=""/>
        <dsp:cNvSpPr/>
      </dsp:nvSpPr>
      <dsp:spPr>
        <a:xfrm>
          <a:off x="9268" y="0"/>
          <a:ext cx="1780272" cy="72301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123,862 </a:t>
          </a:r>
          <a:r>
            <a:rPr lang="en-US" sz="1100" b="0" kern="1200">
              <a:solidFill>
                <a:sysClr val="windowText" lastClr="000000"/>
              </a:solidFill>
            </a:rPr>
            <a:t>RNs with Active MA License </a:t>
          </a:r>
          <a:r>
            <a:rPr lang="en-US" sz="1100" b="0" kern="1200" baseline="30000">
              <a:solidFill>
                <a:sysClr val="windowText" lastClr="000000"/>
              </a:solidFill>
            </a:rPr>
            <a:t>1</a:t>
          </a:r>
        </a:p>
      </dsp:txBody>
      <dsp:txXfrm>
        <a:off x="30444" y="21176"/>
        <a:ext cx="1737920" cy="680661"/>
      </dsp:txXfrm>
    </dsp:sp>
    <dsp:sp modelId="{4ACFA9FB-0A06-4343-8060-A9B92E7D5280}">
      <dsp:nvSpPr>
        <dsp:cNvPr id="0" name=""/>
        <dsp:cNvSpPr/>
      </dsp:nvSpPr>
      <dsp:spPr>
        <a:xfrm>
          <a:off x="1967568" y="140753"/>
          <a:ext cx="377417" cy="44150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b="1" kern="1200">
            <a:solidFill>
              <a:sysClr val="windowText" lastClr="000000"/>
            </a:solidFill>
          </a:endParaRPr>
        </a:p>
      </dsp:txBody>
      <dsp:txXfrm>
        <a:off x="1967568" y="229054"/>
        <a:ext cx="264192" cy="264905"/>
      </dsp:txXfrm>
    </dsp:sp>
    <dsp:sp modelId="{72EEA498-0EDA-4D3E-A999-D5D28CE44A71}">
      <dsp:nvSpPr>
        <dsp:cNvPr id="0" name=""/>
        <dsp:cNvSpPr/>
      </dsp:nvSpPr>
      <dsp:spPr>
        <a:xfrm>
          <a:off x="2501649" y="0"/>
          <a:ext cx="1780272" cy="72301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105,094 </a:t>
          </a:r>
          <a:r>
            <a:rPr lang="en-US" sz="1100" b="0" kern="1200">
              <a:solidFill>
                <a:sysClr val="windowText" lastClr="000000"/>
              </a:solidFill>
            </a:rPr>
            <a:t>RNs Renewed License During 2014 Cycle</a:t>
          </a:r>
        </a:p>
      </dsp:txBody>
      <dsp:txXfrm>
        <a:off x="2522825" y="21176"/>
        <a:ext cx="1737920" cy="680661"/>
      </dsp:txXfrm>
    </dsp:sp>
    <dsp:sp modelId="{4A9F4242-E846-4ECE-9D04-B03595DA149F}">
      <dsp:nvSpPr>
        <dsp:cNvPr id="0" name=""/>
        <dsp:cNvSpPr/>
      </dsp:nvSpPr>
      <dsp:spPr>
        <a:xfrm>
          <a:off x="4459949" y="140753"/>
          <a:ext cx="377417" cy="441507"/>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b="1" kern="1200">
            <a:solidFill>
              <a:sysClr val="windowText" lastClr="000000"/>
            </a:solidFill>
          </a:endParaRPr>
        </a:p>
      </dsp:txBody>
      <dsp:txXfrm>
        <a:off x="4459949" y="229054"/>
        <a:ext cx="264192" cy="264905"/>
      </dsp:txXfrm>
    </dsp:sp>
    <dsp:sp modelId="{9445CBDA-DD32-4719-A0FF-820CF992D8F6}">
      <dsp:nvSpPr>
        <dsp:cNvPr id="0" name=""/>
        <dsp:cNvSpPr/>
      </dsp:nvSpPr>
      <dsp:spPr>
        <a:xfrm>
          <a:off x="4994031" y="0"/>
          <a:ext cx="1780272" cy="72301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91,877 </a:t>
          </a:r>
          <a:r>
            <a:rPr lang="en-US" sz="1100" b="0" kern="1200">
              <a:solidFill>
                <a:sysClr val="windowText" lastClr="000000"/>
              </a:solidFill>
            </a:rPr>
            <a:t>Completed RN Workforce Survey </a:t>
          </a:r>
          <a:r>
            <a:rPr lang="en-US" sz="1100" b="1" kern="1200">
              <a:solidFill>
                <a:sysClr val="windowText" lastClr="000000"/>
              </a:solidFill>
            </a:rPr>
            <a:t/>
          </a:r>
          <a:br>
            <a:rPr lang="en-US" sz="1100" b="1" kern="1200">
              <a:solidFill>
                <a:sysClr val="windowText" lastClr="000000"/>
              </a:solidFill>
            </a:rPr>
          </a:br>
          <a:r>
            <a:rPr lang="en-US" sz="1100" b="0" kern="1200">
              <a:solidFill>
                <a:sysClr val="windowText" lastClr="000000"/>
              </a:solidFill>
            </a:rPr>
            <a:t>(</a:t>
          </a:r>
          <a:r>
            <a:rPr lang="en-US" sz="1100" b="0" i="1" kern="1200">
              <a:solidFill>
                <a:sysClr val="windowText" lastClr="000000"/>
              </a:solidFill>
            </a:rPr>
            <a:t>87% of renewals,</a:t>
          </a:r>
          <a:br>
            <a:rPr lang="en-US" sz="1100" b="0" i="1" kern="1200">
              <a:solidFill>
                <a:sysClr val="windowText" lastClr="000000"/>
              </a:solidFill>
            </a:rPr>
          </a:br>
          <a:r>
            <a:rPr lang="en-US" sz="1100" b="0" i="1" kern="1200">
              <a:solidFill>
                <a:sysClr val="windowText" lastClr="000000"/>
              </a:solidFill>
            </a:rPr>
            <a:t>74% of active RNs</a:t>
          </a:r>
          <a:r>
            <a:rPr lang="en-US" sz="1100" b="0" kern="1200">
              <a:solidFill>
                <a:sysClr val="windowText" lastClr="000000"/>
              </a:solidFill>
            </a:rPr>
            <a:t>)</a:t>
          </a:r>
        </a:p>
      </dsp:txBody>
      <dsp:txXfrm>
        <a:off x="5015207" y="21176"/>
        <a:ext cx="1737920" cy="6806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E92FC-BBD6-4717-83D3-698D9611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Ta-wei Lin</dc:creator>
  <cp:lastModifiedBy> Ta-wei Lin</cp:lastModifiedBy>
  <cp:revision>7</cp:revision>
  <cp:lastPrinted>2017-08-10T13:47:00Z</cp:lastPrinted>
  <dcterms:created xsi:type="dcterms:W3CDTF">2017-07-19T20:59:00Z</dcterms:created>
  <dcterms:modified xsi:type="dcterms:W3CDTF">2017-08-10T13:47:00Z</dcterms:modified>
</cp:coreProperties>
</file>