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8270" w:type="dxa"/>
        <w:tblInd w:w="175" w:type="dxa"/>
        <w:tblLook w:val="04A0" w:firstRow="1" w:lastRow="0" w:firstColumn="1" w:lastColumn="0" w:noHBand="0" w:noVBand="1"/>
        <w:tblCaption w:val="Theory of Change "/>
        <w:tblDescription w:val="Vroon VanDenBerg states that the Theory of Change (TOC) is the theoretical foundation of the wraparound process, it’s why wraparound works. It shows how the wraparound process will create sustainable outcomes and why it’s different from other services. The TOC grid is broken out into four key components. The chart offers examples of wraparound activities that align with the TOC. This tool should be used in supervision and regular practice for CCs and FPs to ensure that families attain long-term success."/>
      </w:tblPr>
      <w:tblGrid>
        <w:gridCol w:w="3870"/>
        <w:gridCol w:w="3330"/>
        <w:gridCol w:w="3510"/>
        <w:gridCol w:w="3870"/>
        <w:gridCol w:w="3690"/>
      </w:tblGrid>
      <w:tr w:rsidR="00985D93" w:rsidTr="0020356B">
        <w:trPr>
          <w:tblHeader/>
        </w:trPr>
        <w:tc>
          <w:tcPr>
            <w:tcW w:w="3870" w:type="dxa"/>
            <w:vMerge w:val="restart"/>
            <w:shd w:val="clear" w:color="auto" w:fill="538135" w:themeFill="accent6" w:themeFillShade="BF"/>
          </w:tcPr>
          <w:p w:rsidR="00985D93" w:rsidRPr="00985D93" w:rsidRDefault="009C644A" w:rsidP="009C644A">
            <w:pPr>
              <w:tabs>
                <w:tab w:val="left" w:pos="225"/>
                <w:tab w:val="center" w:pos="1827"/>
              </w:tabs>
              <w:rPr>
                <w:b/>
              </w:rPr>
            </w:pPr>
            <w:r>
              <w:rPr>
                <w:b/>
                <w:color w:val="FFFFFF" w:themeColor="background1"/>
                <w:sz w:val="32"/>
              </w:rPr>
              <w:tab/>
            </w:r>
            <w:r>
              <w:rPr>
                <w:b/>
                <w:color w:val="FFFFFF" w:themeColor="background1"/>
                <w:sz w:val="32"/>
              </w:rPr>
              <w:tab/>
            </w:r>
            <w:r w:rsidR="00985D93" w:rsidRPr="00985D93">
              <w:rPr>
                <w:b/>
                <w:color w:val="FFFFFF" w:themeColor="background1"/>
                <w:sz w:val="32"/>
              </w:rPr>
              <w:t>Wraparound Activities</w:t>
            </w:r>
          </w:p>
        </w:tc>
        <w:tc>
          <w:tcPr>
            <w:tcW w:w="14400" w:type="dxa"/>
            <w:gridSpan w:val="4"/>
            <w:shd w:val="clear" w:color="auto" w:fill="1F4E79" w:themeFill="accent1" w:themeFillShade="80"/>
          </w:tcPr>
          <w:p w:rsidR="00985D93" w:rsidRPr="00985D93" w:rsidRDefault="00985D93" w:rsidP="00985D93">
            <w:pPr>
              <w:jc w:val="center"/>
              <w:rPr>
                <w:b/>
                <w:color w:val="FFFFFF" w:themeColor="background1"/>
                <w:sz w:val="32"/>
              </w:rPr>
            </w:pPr>
            <w:r w:rsidRPr="00985D93">
              <w:rPr>
                <w:b/>
                <w:color w:val="FFFFFF" w:themeColor="background1"/>
                <w:sz w:val="32"/>
              </w:rPr>
              <w:t>Four Components of the Theory of Change (TOC)</w:t>
            </w:r>
          </w:p>
        </w:tc>
      </w:tr>
      <w:tr w:rsidR="00985D93" w:rsidTr="0020356B">
        <w:tc>
          <w:tcPr>
            <w:tcW w:w="3870" w:type="dxa"/>
            <w:vMerge/>
            <w:shd w:val="clear" w:color="auto" w:fill="538135" w:themeFill="accent6" w:themeFillShade="BF"/>
          </w:tcPr>
          <w:p w:rsidR="00985D93" w:rsidRDefault="00985D93" w:rsidP="00985D93"/>
        </w:tc>
        <w:tc>
          <w:tcPr>
            <w:tcW w:w="3330" w:type="dxa"/>
            <w:tcBorders>
              <w:top w:val="single" w:sz="4" w:space="0" w:color="auto"/>
              <w:left w:val="nil"/>
              <w:bottom w:val="single" w:sz="4" w:space="0" w:color="auto"/>
              <w:right w:val="single" w:sz="4" w:space="0" w:color="auto"/>
            </w:tcBorders>
            <w:shd w:val="clear" w:color="000000" w:fill="ED7D31"/>
            <w:vAlign w:val="bottom"/>
          </w:tcPr>
          <w:p w:rsidR="00985D93" w:rsidRPr="00985D93" w:rsidRDefault="00985D93" w:rsidP="00985D93">
            <w:pPr>
              <w:jc w:val="center"/>
              <w:rPr>
                <w:rFonts w:ascii="Calibri" w:hAnsi="Calibri" w:cs="Calibri"/>
                <w:b/>
                <w:bCs/>
                <w:color w:val="FFFFFF"/>
                <w:sz w:val="26"/>
                <w:szCs w:val="26"/>
              </w:rPr>
            </w:pPr>
            <w:r w:rsidRPr="00985D93">
              <w:rPr>
                <w:rFonts w:ascii="Calibri" w:hAnsi="Calibri" w:cs="Calibri"/>
                <w:b/>
                <w:bCs/>
                <w:color w:val="FFFFFF"/>
                <w:sz w:val="26"/>
                <w:szCs w:val="26"/>
              </w:rPr>
              <w:t>Prioritized Needs</w:t>
            </w:r>
          </w:p>
        </w:tc>
        <w:tc>
          <w:tcPr>
            <w:tcW w:w="3510" w:type="dxa"/>
            <w:tcBorders>
              <w:top w:val="single" w:sz="4" w:space="0" w:color="auto"/>
              <w:left w:val="nil"/>
              <w:bottom w:val="single" w:sz="4" w:space="0" w:color="auto"/>
              <w:right w:val="single" w:sz="4" w:space="0" w:color="auto"/>
            </w:tcBorders>
            <w:shd w:val="clear" w:color="000000" w:fill="ED7D31"/>
            <w:vAlign w:val="bottom"/>
          </w:tcPr>
          <w:p w:rsidR="00985D93" w:rsidRPr="00985D93" w:rsidRDefault="00985D93" w:rsidP="00985D93">
            <w:pPr>
              <w:jc w:val="center"/>
              <w:rPr>
                <w:rFonts w:ascii="Calibri" w:hAnsi="Calibri" w:cs="Calibri"/>
                <w:b/>
                <w:bCs/>
                <w:color w:val="FFFFFF"/>
                <w:sz w:val="26"/>
                <w:szCs w:val="26"/>
              </w:rPr>
            </w:pPr>
            <w:r w:rsidRPr="00985D93">
              <w:rPr>
                <w:rFonts w:ascii="Calibri" w:hAnsi="Calibri" w:cs="Calibri"/>
                <w:b/>
                <w:bCs/>
                <w:color w:val="FFFFFF"/>
                <w:sz w:val="26"/>
                <w:szCs w:val="26"/>
              </w:rPr>
              <w:t>Self-Efficacy</w:t>
            </w:r>
          </w:p>
        </w:tc>
        <w:tc>
          <w:tcPr>
            <w:tcW w:w="3870" w:type="dxa"/>
            <w:tcBorders>
              <w:top w:val="single" w:sz="4" w:space="0" w:color="auto"/>
              <w:left w:val="nil"/>
              <w:bottom w:val="single" w:sz="4" w:space="0" w:color="auto"/>
              <w:right w:val="single" w:sz="4" w:space="0" w:color="auto"/>
            </w:tcBorders>
            <w:shd w:val="clear" w:color="000000" w:fill="ED7D31"/>
            <w:vAlign w:val="bottom"/>
          </w:tcPr>
          <w:p w:rsidR="00985D93" w:rsidRPr="00985D93" w:rsidRDefault="002A1213" w:rsidP="00985D93">
            <w:pPr>
              <w:jc w:val="center"/>
              <w:rPr>
                <w:rFonts w:ascii="Calibri" w:hAnsi="Calibri" w:cs="Calibri"/>
                <w:b/>
                <w:bCs/>
                <w:color w:val="FFFFFF"/>
                <w:sz w:val="26"/>
                <w:szCs w:val="26"/>
              </w:rPr>
            </w:pPr>
            <w:r>
              <w:rPr>
                <w:rFonts w:ascii="Calibri" w:hAnsi="Calibri" w:cs="Calibri"/>
                <w:b/>
                <w:bCs/>
                <w:color w:val="FFFFFF"/>
                <w:sz w:val="26"/>
                <w:szCs w:val="26"/>
              </w:rPr>
              <w:t>Natural Supports</w:t>
            </w:r>
          </w:p>
        </w:tc>
        <w:tc>
          <w:tcPr>
            <w:tcW w:w="3690" w:type="dxa"/>
            <w:tcBorders>
              <w:top w:val="single" w:sz="4" w:space="0" w:color="auto"/>
              <w:left w:val="nil"/>
              <w:bottom w:val="single" w:sz="4" w:space="0" w:color="auto"/>
              <w:right w:val="single" w:sz="8" w:space="0" w:color="auto"/>
            </w:tcBorders>
            <w:shd w:val="clear" w:color="000000" w:fill="ED7D31"/>
            <w:vAlign w:val="bottom"/>
          </w:tcPr>
          <w:p w:rsidR="00985D93" w:rsidRPr="00985D93" w:rsidRDefault="00985D93" w:rsidP="00985D93">
            <w:pPr>
              <w:jc w:val="center"/>
              <w:rPr>
                <w:rFonts w:ascii="Calibri" w:hAnsi="Calibri" w:cs="Calibri"/>
                <w:b/>
                <w:bCs/>
                <w:color w:val="FFFFFF"/>
                <w:sz w:val="26"/>
                <w:szCs w:val="26"/>
              </w:rPr>
            </w:pPr>
            <w:r w:rsidRPr="00985D93">
              <w:rPr>
                <w:rFonts w:ascii="Calibri" w:hAnsi="Calibri" w:cs="Calibri"/>
                <w:b/>
                <w:bCs/>
                <w:color w:val="FFFFFF"/>
                <w:sz w:val="26"/>
                <w:szCs w:val="26"/>
              </w:rPr>
              <w:t>Integrated Plan</w:t>
            </w:r>
          </w:p>
        </w:tc>
      </w:tr>
      <w:tr w:rsidR="00420215" w:rsidTr="0020356B">
        <w:tc>
          <w:tcPr>
            <w:tcW w:w="3870" w:type="dxa"/>
            <w:tcBorders>
              <w:top w:val="single" w:sz="4" w:space="0" w:color="auto"/>
              <w:left w:val="single" w:sz="8" w:space="0" w:color="auto"/>
              <w:bottom w:val="single" w:sz="4" w:space="0" w:color="auto"/>
              <w:right w:val="single" w:sz="4" w:space="0" w:color="auto"/>
            </w:tcBorders>
            <w:shd w:val="clear" w:color="000000" w:fill="E2EFDA"/>
          </w:tcPr>
          <w:p w:rsidR="00985D93" w:rsidRDefault="00985D93" w:rsidP="00985D93">
            <w:pPr>
              <w:rPr>
                <w:rFonts w:ascii="Calibri" w:hAnsi="Calibri" w:cs="Calibri"/>
                <w:color w:val="000000"/>
              </w:rPr>
            </w:pPr>
            <w:r>
              <w:rPr>
                <w:rFonts w:ascii="Calibri" w:hAnsi="Calibri" w:cs="Calibri"/>
                <w:b/>
                <w:bCs/>
                <w:color w:val="000000"/>
              </w:rPr>
              <w:t xml:space="preserve">Initial Engagement: </w:t>
            </w:r>
            <w:r>
              <w:rPr>
                <w:rFonts w:ascii="Calibri" w:hAnsi="Calibri" w:cs="Calibri"/>
                <w:color w:val="000000"/>
              </w:rPr>
              <w:t>We meet with the youth and family and actively listen to their concerns and needs to let them know this process focuses on what they need.</w:t>
            </w:r>
          </w:p>
        </w:tc>
        <w:tc>
          <w:tcPr>
            <w:tcW w:w="3330" w:type="dxa"/>
            <w:tcBorders>
              <w:top w:val="single" w:sz="4" w:space="0" w:color="auto"/>
              <w:left w:val="single" w:sz="4" w:space="0" w:color="auto"/>
              <w:bottom w:val="single" w:sz="4" w:space="0" w:color="auto"/>
              <w:right w:val="single" w:sz="4" w:space="0" w:color="auto"/>
            </w:tcBorders>
            <w:shd w:val="clear" w:color="000000" w:fill="FFFFFF"/>
          </w:tcPr>
          <w:p w:rsidR="00985D93" w:rsidRDefault="00985D93" w:rsidP="00127282">
            <w:pPr>
              <w:rPr>
                <w:rFonts w:ascii="Calibri" w:hAnsi="Calibri" w:cs="Calibri"/>
              </w:rPr>
            </w:pPr>
            <w:r>
              <w:rPr>
                <w:rFonts w:ascii="Calibri" w:hAnsi="Calibri" w:cs="Calibri"/>
              </w:rPr>
              <w:t>When</w:t>
            </w:r>
            <w:r w:rsidR="00127282">
              <w:rPr>
                <w:rFonts w:ascii="Calibri" w:hAnsi="Calibri" w:cs="Calibri"/>
              </w:rPr>
              <w:t xml:space="preserve"> the youth and family identifies</w:t>
            </w:r>
            <w:r>
              <w:rPr>
                <w:rFonts w:ascii="Calibri" w:hAnsi="Calibri" w:cs="Calibri"/>
              </w:rPr>
              <w:t xml:space="preserve"> their own </w:t>
            </w:r>
            <w:r w:rsidR="00420215">
              <w:rPr>
                <w:rFonts w:ascii="Calibri" w:hAnsi="Calibri" w:cs="Calibri"/>
              </w:rPr>
              <w:t>needs,</w:t>
            </w:r>
            <w:r>
              <w:rPr>
                <w:rFonts w:ascii="Calibri" w:hAnsi="Calibri" w:cs="Calibri"/>
              </w:rPr>
              <w:t xml:space="preserve"> progress is more sustainable.</w:t>
            </w:r>
          </w:p>
        </w:tc>
        <w:tc>
          <w:tcPr>
            <w:tcW w:w="3510" w:type="dxa"/>
            <w:tcBorders>
              <w:top w:val="single" w:sz="4" w:space="0" w:color="auto"/>
              <w:left w:val="single" w:sz="4" w:space="0" w:color="auto"/>
              <w:bottom w:val="single" w:sz="4" w:space="0" w:color="auto"/>
              <w:right w:val="single" w:sz="4" w:space="0" w:color="auto"/>
            </w:tcBorders>
            <w:shd w:val="clear" w:color="000000" w:fill="FFFFFF"/>
          </w:tcPr>
          <w:p w:rsidR="00985D93" w:rsidRDefault="00985D93" w:rsidP="00985D93">
            <w:pPr>
              <w:rPr>
                <w:rFonts w:ascii="Calibri" w:hAnsi="Calibri" w:cs="Calibri"/>
              </w:rPr>
            </w:pPr>
            <w:r>
              <w:rPr>
                <w:rFonts w:ascii="Calibri" w:hAnsi="Calibri" w:cs="Calibri"/>
              </w:rPr>
              <w:t>People who identify their own needs and goals are more likely to take ownership and feel more confident in achieving the goals.</w:t>
            </w:r>
          </w:p>
        </w:tc>
        <w:tc>
          <w:tcPr>
            <w:tcW w:w="3870" w:type="dxa"/>
            <w:tcBorders>
              <w:top w:val="single" w:sz="4" w:space="0" w:color="auto"/>
              <w:left w:val="single" w:sz="4" w:space="0" w:color="auto"/>
              <w:bottom w:val="single" w:sz="4" w:space="0" w:color="auto"/>
              <w:right w:val="single" w:sz="4" w:space="0" w:color="auto"/>
            </w:tcBorders>
            <w:shd w:val="clear" w:color="000000" w:fill="FFFFFF"/>
          </w:tcPr>
          <w:p w:rsidR="00985D93" w:rsidRDefault="00985D93" w:rsidP="00985D93">
            <w:pPr>
              <w:rPr>
                <w:rFonts w:ascii="Calibri" w:hAnsi="Calibri" w:cs="Calibri"/>
              </w:rPr>
            </w:pPr>
            <w:r>
              <w:rPr>
                <w:rFonts w:ascii="Calibri" w:hAnsi="Calibri" w:cs="Calibri"/>
              </w:rPr>
              <w:t>Actively listening to the youth and family's priority concerns and priority needs may identify potential relationships to family members, social networks, communities and cultural connections.</w:t>
            </w:r>
          </w:p>
          <w:p w:rsidR="0020356B" w:rsidRDefault="0020356B" w:rsidP="00985D93">
            <w:pPr>
              <w:rPr>
                <w:rFonts w:ascii="Calibri" w:hAnsi="Calibri" w:cs="Calibri"/>
              </w:rPr>
            </w:pPr>
          </w:p>
        </w:tc>
        <w:tc>
          <w:tcPr>
            <w:tcW w:w="3690" w:type="dxa"/>
            <w:tcBorders>
              <w:top w:val="single" w:sz="4" w:space="0" w:color="auto"/>
              <w:left w:val="single" w:sz="4" w:space="0" w:color="auto"/>
              <w:bottom w:val="single" w:sz="4" w:space="0" w:color="auto"/>
              <w:right w:val="single" w:sz="8" w:space="0" w:color="auto"/>
            </w:tcBorders>
            <w:shd w:val="clear" w:color="000000" w:fill="FFFFFF"/>
          </w:tcPr>
          <w:p w:rsidR="00985D93" w:rsidRDefault="00985D93" w:rsidP="00985D93">
            <w:pPr>
              <w:rPr>
                <w:rFonts w:ascii="Calibri" w:hAnsi="Calibri" w:cs="Calibri"/>
              </w:rPr>
            </w:pPr>
            <w:r>
              <w:rPr>
                <w:rFonts w:ascii="Calibri" w:hAnsi="Calibri" w:cs="Calibri"/>
              </w:rPr>
              <w:t xml:space="preserve">For the youth and family to focus on needs within each life domain with an integrated plan improves outcomes. </w:t>
            </w:r>
          </w:p>
        </w:tc>
      </w:tr>
      <w:tr w:rsidR="00420215" w:rsidTr="0020356B">
        <w:tc>
          <w:tcPr>
            <w:tcW w:w="3870" w:type="dxa"/>
            <w:tcBorders>
              <w:top w:val="nil"/>
              <w:left w:val="single" w:sz="8" w:space="0" w:color="auto"/>
              <w:bottom w:val="single" w:sz="4" w:space="0" w:color="auto"/>
              <w:right w:val="single" w:sz="4" w:space="0" w:color="auto"/>
            </w:tcBorders>
            <w:shd w:val="clear" w:color="000000" w:fill="E2EFDA"/>
          </w:tcPr>
          <w:p w:rsidR="00985D93" w:rsidRDefault="00985D93" w:rsidP="00985D93">
            <w:pPr>
              <w:rPr>
                <w:rFonts w:ascii="Calibri" w:hAnsi="Calibri" w:cs="Calibri"/>
                <w:color w:val="000000"/>
              </w:rPr>
            </w:pPr>
            <w:r>
              <w:rPr>
                <w:rFonts w:ascii="Calibri" w:hAnsi="Calibri" w:cs="Calibri"/>
                <w:b/>
                <w:bCs/>
                <w:color w:val="000000"/>
              </w:rPr>
              <w:t>Orient the</w:t>
            </w:r>
            <w:r w:rsidR="00127282">
              <w:rPr>
                <w:rFonts w:ascii="Calibri" w:hAnsi="Calibri" w:cs="Calibri"/>
                <w:b/>
                <w:bCs/>
                <w:color w:val="000000"/>
              </w:rPr>
              <w:t xml:space="preserve"> Youth and</w:t>
            </w:r>
            <w:r>
              <w:rPr>
                <w:rFonts w:ascii="Calibri" w:hAnsi="Calibri" w:cs="Calibri"/>
                <w:b/>
                <w:bCs/>
                <w:color w:val="000000"/>
              </w:rPr>
              <w:t xml:space="preserve"> Family to Wraparound: </w:t>
            </w:r>
            <w:r>
              <w:rPr>
                <w:rFonts w:ascii="Calibri" w:hAnsi="Calibri" w:cs="Calibri"/>
                <w:color w:val="000000"/>
              </w:rPr>
              <w:t>Explaining how wraparound works and how it brings systems together (including natural supports).</w:t>
            </w:r>
          </w:p>
        </w:tc>
        <w:tc>
          <w:tcPr>
            <w:tcW w:w="3330" w:type="dxa"/>
            <w:tcBorders>
              <w:top w:val="nil"/>
              <w:left w:val="single" w:sz="4" w:space="0" w:color="auto"/>
              <w:bottom w:val="single" w:sz="4" w:space="0" w:color="auto"/>
              <w:right w:val="single" w:sz="4" w:space="0" w:color="auto"/>
            </w:tcBorders>
            <w:shd w:val="clear" w:color="000000" w:fill="DDEBF7"/>
          </w:tcPr>
          <w:p w:rsidR="00985D93" w:rsidRDefault="00985D93" w:rsidP="00985D93">
            <w:pPr>
              <w:rPr>
                <w:rFonts w:ascii="Calibri" w:hAnsi="Calibri" w:cs="Calibri"/>
              </w:rPr>
            </w:pPr>
            <w:r>
              <w:rPr>
                <w:rFonts w:ascii="Calibri" w:hAnsi="Calibri" w:cs="Calibri"/>
              </w:rPr>
              <w:t>Letting the</w:t>
            </w:r>
            <w:r w:rsidR="00127282">
              <w:rPr>
                <w:rFonts w:ascii="Calibri" w:hAnsi="Calibri" w:cs="Calibri"/>
              </w:rPr>
              <w:t xml:space="preserve"> youth and</w:t>
            </w:r>
            <w:r>
              <w:rPr>
                <w:rFonts w:ascii="Calibri" w:hAnsi="Calibri" w:cs="Calibri"/>
              </w:rPr>
              <w:t xml:space="preserve"> family know</w:t>
            </w:r>
            <w:r w:rsidR="00127282">
              <w:rPr>
                <w:rFonts w:ascii="Calibri" w:hAnsi="Calibri" w:cs="Calibri"/>
              </w:rPr>
              <w:t xml:space="preserve"> that </w:t>
            </w:r>
            <w:r>
              <w:rPr>
                <w:rFonts w:ascii="Calibri" w:hAnsi="Calibri" w:cs="Calibri"/>
              </w:rPr>
              <w:t xml:space="preserve">they identify the needs to be addressed </w:t>
            </w:r>
            <w:r w:rsidR="00127282">
              <w:rPr>
                <w:rFonts w:ascii="Calibri" w:hAnsi="Calibri" w:cs="Calibri"/>
              </w:rPr>
              <w:t xml:space="preserve">which </w:t>
            </w:r>
            <w:r>
              <w:rPr>
                <w:rFonts w:ascii="Calibri" w:hAnsi="Calibri" w:cs="Calibri"/>
              </w:rPr>
              <w:t>helps them take responsibility for those needs.</w:t>
            </w:r>
          </w:p>
        </w:tc>
        <w:tc>
          <w:tcPr>
            <w:tcW w:w="3510" w:type="dxa"/>
            <w:tcBorders>
              <w:top w:val="nil"/>
              <w:left w:val="single" w:sz="4" w:space="0" w:color="auto"/>
              <w:bottom w:val="single" w:sz="4" w:space="0" w:color="auto"/>
              <w:right w:val="single" w:sz="4" w:space="0" w:color="auto"/>
            </w:tcBorders>
            <w:shd w:val="clear" w:color="000000" w:fill="DDEBF7"/>
          </w:tcPr>
          <w:p w:rsidR="00985D93" w:rsidRDefault="00410072" w:rsidP="00985D93">
            <w:pPr>
              <w:rPr>
                <w:rFonts w:ascii="Calibri" w:hAnsi="Calibri" w:cs="Calibri"/>
              </w:rPr>
            </w:pPr>
            <w:r>
              <w:rPr>
                <w:rFonts w:ascii="Calibri" w:hAnsi="Calibri" w:cs="Calibri"/>
              </w:rPr>
              <w:t>S</w:t>
            </w:r>
            <w:r w:rsidRPr="00410072">
              <w:rPr>
                <w:rFonts w:ascii="Calibri" w:hAnsi="Calibri" w:cs="Calibri"/>
              </w:rPr>
              <w:t>haring stories of success of other families with similar challenges helps build optimism that the youth and family can succeed and at the same ti</w:t>
            </w:r>
            <w:r>
              <w:rPr>
                <w:rFonts w:ascii="Calibri" w:hAnsi="Calibri" w:cs="Calibri"/>
              </w:rPr>
              <w:t>me, show them that it is a time-</w:t>
            </w:r>
            <w:r w:rsidRPr="00410072">
              <w:rPr>
                <w:rFonts w:ascii="Calibri" w:hAnsi="Calibri" w:cs="Calibri"/>
              </w:rPr>
              <w:t>limited process.</w:t>
            </w:r>
          </w:p>
          <w:p w:rsidR="0020356B" w:rsidRDefault="0020356B" w:rsidP="00985D93">
            <w:pPr>
              <w:rPr>
                <w:rFonts w:ascii="Calibri" w:hAnsi="Calibri" w:cs="Calibri"/>
              </w:rPr>
            </w:pPr>
          </w:p>
        </w:tc>
        <w:tc>
          <w:tcPr>
            <w:tcW w:w="3870" w:type="dxa"/>
            <w:tcBorders>
              <w:top w:val="nil"/>
              <w:left w:val="single" w:sz="4" w:space="0" w:color="auto"/>
              <w:bottom w:val="single" w:sz="4" w:space="0" w:color="auto"/>
              <w:right w:val="single" w:sz="4" w:space="0" w:color="auto"/>
            </w:tcBorders>
            <w:shd w:val="clear" w:color="000000" w:fill="DDEBF7"/>
          </w:tcPr>
          <w:p w:rsidR="00985D93" w:rsidRDefault="00985D93" w:rsidP="00985D93">
            <w:pPr>
              <w:rPr>
                <w:rFonts w:ascii="Calibri" w:hAnsi="Calibri" w:cs="Calibri"/>
              </w:rPr>
            </w:pPr>
            <w:r>
              <w:rPr>
                <w:rFonts w:ascii="Calibri" w:hAnsi="Calibri" w:cs="Calibri"/>
              </w:rPr>
              <w:t>Start assessing the current status and needs for natural supports and planting the seed that natural supports are important to sustaining success.</w:t>
            </w:r>
          </w:p>
        </w:tc>
        <w:tc>
          <w:tcPr>
            <w:tcW w:w="3690" w:type="dxa"/>
            <w:tcBorders>
              <w:top w:val="nil"/>
              <w:left w:val="single" w:sz="4" w:space="0" w:color="auto"/>
              <w:bottom w:val="single" w:sz="4" w:space="0" w:color="auto"/>
              <w:right w:val="single" w:sz="8" w:space="0" w:color="auto"/>
            </w:tcBorders>
            <w:shd w:val="clear" w:color="000000" w:fill="DDEBF7"/>
          </w:tcPr>
          <w:p w:rsidR="00985D93" w:rsidRDefault="00985D93" w:rsidP="00985D93">
            <w:pPr>
              <w:rPr>
                <w:rFonts w:ascii="Calibri" w:hAnsi="Calibri" w:cs="Calibri"/>
              </w:rPr>
            </w:pPr>
            <w:r>
              <w:rPr>
                <w:rFonts w:ascii="Calibri" w:hAnsi="Calibri" w:cs="Calibri"/>
              </w:rPr>
              <w:t xml:space="preserve">Let the youth and family know that service providers can be part of a team and that when ready the family will manage own team. </w:t>
            </w:r>
          </w:p>
        </w:tc>
      </w:tr>
      <w:tr w:rsidR="00420215" w:rsidTr="0020356B">
        <w:tc>
          <w:tcPr>
            <w:tcW w:w="3870" w:type="dxa"/>
            <w:tcBorders>
              <w:top w:val="nil"/>
              <w:left w:val="single" w:sz="8" w:space="0" w:color="auto"/>
              <w:bottom w:val="single" w:sz="4" w:space="0" w:color="auto"/>
              <w:right w:val="single" w:sz="4" w:space="0" w:color="auto"/>
            </w:tcBorders>
            <w:shd w:val="clear" w:color="000000" w:fill="E2EFDA"/>
          </w:tcPr>
          <w:p w:rsidR="00985D93" w:rsidRDefault="00985D93" w:rsidP="00985D93">
            <w:pPr>
              <w:rPr>
                <w:rFonts w:ascii="Calibri" w:hAnsi="Calibri" w:cs="Calibri"/>
                <w:color w:val="000000"/>
              </w:rPr>
            </w:pPr>
            <w:r>
              <w:rPr>
                <w:rFonts w:ascii="Calibri" w:hAnsi="Calibri" w:cs="Calibri"/>
                <w:b/>
                <w:bCs/>
                <w:color w:val="000000"/>
              </w:rPr>
              <w:t xml:space="preserve">Stabilizing Crises: </w:t>
            </w:r>
            <w:r>
              <w:rPr>
                <w:rFonts w:ascii="Calibri" w:hAnsi="Calibri" w:cs="Calibri"/>
                <w:color w:val="000000"/>
              </w:rPr>
              <w:t>Often the youth and family entering wraparound have immediate crisis or urgent needs. This activity develops a plan for the need using a simplified wraparound process.</w:t>
            </w:r>
          </w:p>
          <w:p w:rsidR="0020356B" w:rsidRDefault="0020356B" w:rsidP="00985D93">
            <w:pPr>
              <w:rPr>
                <w:rFonts w:ascii="Calibri" w:hAnsi="Calibri" w:cs="Calibri"/>
                <w:color w:val="000000"/>
              </w:rPr>
            </w:pPr>
          </w:p>
        </w:tc>
        <w:tc>
          <w:tcPr>
            <w:tcW w:w="3330" w:type="dxa"/>
            <w:tcBorders>
              <w:top w:val="nil"/>
              <w:left w:val="nil"/>
              <w:bottom w:val="single" w:sz="4" w:space="0" w:color="auto"/>
              <w:right w:val="single" w:sz="4" w:space="0" w:color="auto"/>
            </w:tcBorders>
            <w:shd w:val="clear" w:color="000000" w:fill="FFFFFF"/>
          </w:tcPr>
          <w:p w:rsidR="00985D93" w:rsidRDefault="00985D93" w:rsidP="00985D93">
            <w:pPr>
              <w:rPr>
                <w:rFonts w:ascii="Calibri" w:hAnsi="Calibri" w:cs="Calibri"/>
              </w:rPr>
            </w:pPr>
            <w:r>
              <w:rPr>
                <w:rFonts w:ascii="Calibri" w:hAnsi="Calibri" w:cs="Calibri"/>
              </w:rPr>
              <w:t>Supporting the youth and family to recognize the needs in crisis situations helps them to manage future crisis situations.</w:t>
            </w:r>
          </w:p>
        </w:tc>
        <w:tc>
          <w:tcPr>
            <w:tcW w:w="3510" w:type="dxa"/>
            <w:tcBorders>
              <w:top w:val="nil"/>
              <w:left w:val="nil"/>
              <w:bottom w:val="single" w:sz="4" w:space="0" w:color="auto"/>
              <w:right w:val="single" w:sz="4" w:space="0" w:color="auto"/>
            </w:tcBorders>
            <w:shd w:val="clear" w:color="000000" w:fill="FFFFFF"/>
          </w:tcPr>
          <w:p w:rsidR="00985D93" w:rsidRDefault="00985D93" w:rsidP="00985D93">
            <w:pPr>
              <w:rPr>
                <w:rFonts w:ascii="Calibri" w:hAnsi="Calibri" w:cs="Calibri"/>
              </w:rPr>
            </w:pPr>
            <w:r>
              <w:rPr>
                <w:rFonts w:ascii="Calibri" w:hAnsi="Calibri" w:cs="Calibri"/>
              </w:rPr>
              <w:t>Setting short and reachable goals for crisis stabilization and celebrating success builds confidence that they can deal with future crisis situations.</w:t>
            </w:r>
          </w:p>
        </w:tc>
        <w:tc>
          <w:tcPr>
            <w:tcW w:w="3870" w:type="dxa"/>
            <w:tcBorders>
              <w:top w:val="nil"/>
              <w:left w:val="nil"/>
              <w:bottom w:val="single" w:sz="4" w:space="0" w:color="auto"/>
              <w:right w:val="single" w:sz="4" w:space="0" w:color="auto"/>
            </w:tcBorders>
            <w:shd w:val="clear" w:color="000000" w:fill="FFFFFF"/>
          </w:tcPr>
          <w:p w:rsidR="00985D93" w:rsidRDefault="00985D93" w:rsidP="00985D93">
            <w:pPr>
              <w:rPr>
                <w:rFonts w:ascii="Calibri" w:hAnsi="Calibri" w:cs="Calibri"/>
              </w:rPr>
            </w:pPr>
            <w:r>
              <w:rPr>
                <w:rFonts w:ascii="Calibri" w:hAnsi="Calibri" w:cs="Calibri"/>
              </w:rPr>
              <w:t>While building natural supports into safety plan, talk about how involving social networks is a good way to get natural supports involved.</w:t>
            </w:r>
          </w:p>
        </w:tc>
        <w:tc>
          <w:tcPr>
            <w:tcW w:w="3690" w:type="dxa"/>
            <w:tcBorders>
              <w:top w:val="nil"/>
              <w:left w:val="nil"/>
              <w:bottom w:val="single" w:sz="4" w:space="0" w:color="auto"/>
              <w:right w:val="single" w:sz="8" w:space="0" w:color="auto"/>
            </w:tcBorders>
            <w:shd w:val="clear" w:color="000000" w:fill="FFFFFF"/>
          </w:tcPr>
          <w:p w:rsidR="00985D93" w:rsidRDefault="00985D93" w:rsidP="00985D93">
            <w:pPr>
              <w:rPr>
                <w:rFonts w:ascii="Calibri" w:hAnsi="Calibri" w:cs="Calibri"/>
              </w:rPr>
            </w:pPr>
            <w:r>
              <w:rPr>
                <w:rFonts w:ascii="Calibri" w:hAnsi="Calibri" w:cs="Calibri"/>
              </w:rPr>
              <w:t>Help the youth and family understand how an integrated plan can be developed using multiple resources.</w:t>
            </w:r>
          </w:p>
        </w:tc>
      </w:tr>
      <w:tr w:rsidR="00420215" w:rsidTr="0020356B">
        <w:tc>
          <w:tcPr>
            <w:tcW w:w="3870" w:type="dxa"/>
            <w:tcBorders>
              <w:top w:val="nil"/>
              <w:left w:val="single" w:sz="8" w:space="0" w:color="auto"/>
              <w:bottom w:val="single" w:sz="4" w:space="0" w:color="auto"/>
              <w:right w:val="single" w:sz="4" w:space="0" w:color="auto"/>
            </w:tcBorders>
            <w:shd w:val="clear" w:color="000000" w:fill="E2EFDA"/>
          </w:tcPr>
          <w:p w:rsidR="00985D93" w:rsidRDefault="00985D93" w:rsidP="00985D93">
            <w:pPr>
              <w:rPr>
                <w:rFonts w:ascii="Calibri" w:hAnsi="Calibri" w:cs="Calibri"/>
                <w:color w:val="000000"/>
              </w:rPr>
            </w:pPr>
            <w:r>
              <w:rPr>
                <w:rFonts w:ascii="Calibri" w:hAnsi="Calibri" w:cs="Calibri"/>
                <w:b/>
                <w:bCs/>
                <w:color w:val="000000"/>
              </w:rPr>
              <w:t xml:space="preserve">Strengths, Needs and Culture Discovery: </w:t>
            </w:r>
            <w:r>
              <w:rPr>
                <w:rFonts w:ascii="Calibri" w:hAnsi="Calibri" w:cs="Calibri"/>
                <w:color w:val="000000"/>
              </w:rPr>
              <w:t>This process engages all core family members in identifying strengths, culture, and needs and develops a vision, priority needs and team.</w:t>
            </w:r>
          </w:p>
        </w:tc>
        <w:tc>
          <w:tcPr>
            <w:tcW w:w="3330" w:type="dxa"/>
            <w:tcBorders>
              <w:top w:val="single" w:sz="4" w:space="0" w:color="auto"/>
              <w:left w:val="single" w:sz="4" w:space="0" w:color="auto"/>
              <w:bottom w:val="single" w:sz="4" w:space="0" w:color="auto"/>
              <w:right w:val="single" w:sz="4" w:space="0" w:color="auto"/>
            </w:tcBorders>
            <w:shd w:val="clear" w:color="000000" w:fill="DDEBF7"/>
          </w:tcPr>
          <w:p w:rsidR="00985D93" w:rsidRDefault="00985D93" w:rsidP="00985D93">
            <w:pPr>
              <w:rPr>
                <w:rFonts w:ascii="Calibri" w:hAnsi="Calibri" w:cs="Calibri"/>
              </w:rPr>
            </w:pPr>
            <w:r>
              <w:rPr>
                <w:rFonts w:ascii="Calibri" w:hAnsi="Calibri" w:cs="Calibri"/>
              </w:rPr>
              <w:t>By first setting their sights on a long-range vision and having them identify the needs that must be met to achieve it, the family develops strategies for doing this for themselves.</w:t>
            </w:r>
          </w:p>
          <w:p w:rsidR="0020356B" w:rsidRDefault="0020356B" w:rsidP="00985D93">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shd w:val="clear" w:color="000000" w:fill="DDEBF7"/>
          </w:tcPr>
          <w:p w:rsidR="00985D93" w:rsidRDefault="00985D93" w:rsidP="00985D93">
            <w:pPr>
              <w:rPr>
                <w:rFonts w:ascii="Calibri" w:hAnsi="Calibri" w:cs="Calibri"/>
              </w:rPr>
            </w:pPr>
            <w:r>
              <w:rPr>
                <w:rFonts w:ascii="Calibri" w:hAnsi="Calibri" w:cs="Calibri"/>
              </w:rPr>
              <w:t xml:space="preserve">Using the youth and family's strengths and culture to create a unique plan to reach their vision affirms personal values and confidence.  </w:t>
            </w:r>
          </w:p>
        </w:tc>
        <w:tc>
          <w:tcPr>
            <w:tcW w:w="3870" w:type="dxa"/>
            <w:tcBorders>
              <w:top w:val="single" w:sz="4" w:space="0" w:color="auto"/>
              <w:left w:val="single" w:sz="4" w:space="0" w:color="auto"/>
              <w:bottom w:val="single" w:sz="4" w:space="0" w:color="auto"/>
              <w:right w:val="single" w:sz="4" w:space="0" w:color="auto"/>
            </w:tcBorders>
            <w:shd w:val="clear" w:color="000000" w:fill="DDEBF7"/>
          </w:tcPr>
          <w:p w:rsidR="00985D93" w:rsidRDefault="00985D93" w:rsidP="00985D93">
            <w:pPr>
              <w:rPr>
                <w:rFonts w:ascii="Calibri" w:hAnsi="Calibri" w:cs="Calibri"/>
              </w:rPr>
            </w:pPr>
            <w:r>
              <w:rPr>
                <w:rFonts w:ascii="Calibri" w:hAnsi="Calibri" w:cs="Calibri"/>
              </w:rPr>
              <w:t>The SNCD offers many opportunities to identify natural supports and the current or past reciprocal relationships.</w:t>
            </w:r>
          </w:p>
        </w:tc>
        <w:tc>
          <w:tcPr>
            <w:tcW w:w="3690" w:type="dxa"/>
            <w:tcBorders>
              <w:top w:val="nil"/>
              <w:left w:val="single" w:sz="4" w:space="0" w:color="auto"/>
              <w:bottom w:val="single" w:sz="4" w:space="0" w:color="auto"/>
              <w:right w:val="single" w:sz="8" w:space="0" w:color="auto"/>
            </w:tcBorders>
            <w:shd w:val="clear" w:color="000000" w:fill="DDEBF7"/>
          </w:tcPr>
          <w:p w:rsidR="00985D93" w:rsidRDefault="00985D93" w:rsidP="00985D93">
            <w:pPr>
              <w:rPr>
                <w:rFonts w:ascii="Calibri" w:hAnsi="Calibri" w:cs="Calibri"/>
              </w:rPr>
            </w:pPr>
            <w:r>
              <w:rPr>
                <w:rFonts w:ascii="Calibri" w:hAnsi="Calibri" w:cs="Calibri"/>
              </w:rPr>
              <w:t xml:space="preserve">During the discovery part of the SNCD, people who are supporting the youth and family are identified and often engaged; these people may be a part of the family's team. </w:t>
            </w:r>
          </w:p>
        </w:tc>
      </w:tr>
      <w:tr w:rsidR="00420215" w:rsidTr="0020356B">
        <w:tc>
          <w:tcPr>
            <w:tcW w:w="3870" w:type="dxa"/>
            <w:tcBorders>
              <w:top w:val="nil"/>
              <w:left w:val="single" w:sz="8" w:space="0" w:color="auto"/>
              <w:bottom w:val="single" w:sz="4" w:space="0" w:color="auto"/>
              <w:right w:val="single" w:sz="4" w:space="0" w:color="auto"/>
            </w:tcBorders>
            <w:shd w:val="clear" w:color="000000" w:fill="E2EFDA"/>
          </w:tcPr>
          <w:p w:rsidR="00985D93" w:rsidRDefault="00985D93" w:rsidP="00985D93">
            <w:pPr>
              <w:rPr>
                <w:rFonts w:ascii="Calibri" w:hAnsi="Calibri" w:cs="Calibri"/>
                <w:color w:val="000000"/>
              </w:rPr>
            </w:pPr>
            <w:r>
              <w:rPr>
                <w:rFonts w:ascii="Calibri" w:hAnsi="Calibri" w:cs="Calibri"/>
                <w:b/>
                <w:bCs/>
                <w:color w:val="000000"/>
              </w:rPr>
              <w:t>Preparing for the First Meeting:</w:t>
            </w:r>
            <w:r>
              <w:rPr>
                <w:rFonts w:ascii="Calibri" w:hAnsi="Calibri" w:cs="Calibri"/>
                <w:color w:val="000000"/>
              </w:rPr>
              <w:t xml:space="preserve"> In this activity, the</w:t>
            </w:r>
            <w:r w:rsidR="00127282">
              <w:rPr>
                <w:rFonts w:ascii="Calibri" w:hAnsi="Calibri" w:cs="Calibri"/>
                <w:color w:val="000000"/>
              </w:rPr>
              <w:t xml:space="preserve"> youth and</w:t>
            </w:r>
            <w:r>
              <w:rPr>
                <w:rFonts w:ascii="Calibri" w:hAnsi="Calibri" w:cs="Calibri"/>
                <w:color w:val="000000"/>
              </w:rPr>
              <w:t xml:space="preserve"> family reaches consensus on all SNCD elements, plans the first meeting, and plans to engage team members.</w:t>
            </w:r>
          </w:p>
        </w:tc>
        <w:tc>
          <w:tcPr>
            <w:tcW w:w="3330" w:type="dxa"/>
            <w:tcBorders>
              <w:top w:val="nil"/>
              <w:left w:val="nil"/>
              <w:bottom w:val="single" w:sz="4" w:space="0" w:color="auto"/>
              <w:right w:val="single" w:sz="4" w:space="0" w:color="auto"/>
            </w:tcBorders>
            <w:shd w:val="clear" w:color="000000" w:fill="FFFFFF"/>
          </w:tcPr>
          <w:p w:rsidR="00985D93" w:rsidRDefault="00985D93" w:rsidP="00985D93">
            <w:pPr>
              <w:rPr>
                <w:rFonts w:ascii="Calibri" w:hAnsi="Calibri" w:cs="Calibri"/>
              </w:rPr>
            </w:pPr>
            <w:r>
              <w:rPr>
                <w:rFonts w:ascii="Calibri" w:hAnsi="Calibri" w:cs="Calibri"/>
              </w:rPr>
              <w:t>Identifying needs to develop and manage their own plan helps the youth and family to begin this process in manageable steps.</w:t>
            </w:r>
          </w:p>
        </w:tc>
        <w:tc>
          <w:tcPr>
            <w:tcW w:w="3510" w:type="dxa"/>
            <w:tcBorders>
              <w:top w:val="nil"/>
              <w:left w:val="nil"/>
              <w:bottom w:val="single" w:sz="4" w:space="0" w:color="auto"/>
              <w:right w:val="single" w:sz="4" w:space="0" w:color="auto"/>
            </w:tcBorders>
            <w:shd w:val="clear" w:color="000000" w:fill="FFFFFF"/>
          </w:tcPr>
          <w:p w:rsidR="00985D93" w:rsidRDefault="00985D93" w:rsidP="00985D93">
            <w:pPr>
              <w:rPr>
                <w:rFonts w:ascii="Calibri" w:hAnsi="Calibri" w:cs="Calibri"/>
              </w:rPr>
            </w:pPr>
            <w:r>
              <w:rPr>
                <w:rFonts w:ascii="Calibri" w:hAnsi="Calibri" w:cs="Calibri"/>
              </w:rPr>
              <w:t>Describing the process in planning agendas and goals teaches the youth and family through manageable tasks builds confidence.</w:t>
            </w:r>
          </w:p>
        </w:tc>
        <w:tc>
          <w:tcPr>
            <w:tcW w:w="3870" w:type="dxa"/>
            <w:tcBorders>
              <w:top w:val="nil"/>
              <w:left w:val="nil"/>
              <w:bottom w:val="single" w:sz="4" w:space="0" w:color="auto"/>
              <w:right w:val="single" w:sz="4" w:space="0" w:color="auto"/>
            </w:tcBorders>
            <w:shd w:val="clear" w:color="000000" w:fill="FFFFFF"/>
          </w:tcPr>
          <w:p w:rsidR="00985D93" w:rsidRDefault="00985D93" w:rsidP="00985D93">
            <w:pPr>
              <w:rPr>
                <w:rFonts w:ascii="Calibri" w:hAnsi="Calibri" w:cs="Calibri"/>
              </w:rPr>
            </w:pPr>
            <w:r>
              <w:rPr>
                <w:rFonts w:ascii="Calibri" w:hAnsi="Calibri" w:cs="Calibri"/>
              </w:rPr>
              <w:t>Spending time to address concerns about natural support i</w:t>
            </w:r>
            <w:r w:rsidR="00420215">
              <w:rPr>
                <w:rFonts w:ascii="Calibri" w:hAnsi="Calibri" w:cs="Calibri"/>
              </w:rPr>
              <w:t xml:space="preserve">nvolvement and encouraging the </w:t>
            </w:r>
            <w:r>
              <w:rPr>
                <w:rFonts w:ascii="Calibri" w:hAnsi="Calibri" w:cs="Calibri"/>
              </w:rPr>
              <w:t>youth and family to define roles for natural supports strengthens these connections.</w:t>
            </w:r>
          </w:p>
        </w:tc>
        <w:tc>
          <w:tcPr>
            <w:tcW w:w="3690" w:type="dxa"/>
            <w:tcBorders>
              <w:top w:val="nil"/>
              <w:left w:val="nil"/>
              <w:bottom w:val="single" w:sz="4" w:space="0" w:color="auto"/>
              <w:right w:val="single" w:sz="8" w:space="0" w:color="auto"/>
            </w:tcBorders>
            <w:shd w:val="clear" w:color="000000" w:fill="FFFFFF"/>
          </w:tcPr>
          <w:p w:rsidR="00985D93" w:rsidRDefault="00985D93" w:rsidP="00985D93">
            <w:pPr>
              <w:rPr>
                <w:rFonts w:ascii="Calibri" w:hAnsi="Calibri" w:cs="Calibri"/>
              </w:rPr>
            </w:pPr>
            <w:r>
              <w:rPr>
                <w:rFonts w:ascii="Calibri" w:hAnsi="Calibri" w:cs="Calibri"/>
              </w:rPr>
              <w:t>Partnering with the youth and family on team member's engagement builds integration.</w:t>
            </w:r>
          </w:p>
        </w:tc>
      </w:tr>
      <w:tr w:rsidR="00420215" w:rsidTr="0020356B">
        <w:tc>
          <w:tcPr>
            <w:tcW w:w="3870" w:type="dxa"/>
            <w:tcBorders>
              <w:top w:val="nil"/>
              <w:left w:val="single" w:sz="8" w:space="0" w:color="auto"/>
              <w:bottom w:val="single" w:sz="4" w:space="0" w:color="auto"/>
              <w:right w:val="single" w:sz="4" w:space="0" w:color="auto"/>
            </w:tcBorders>
            <w:shd w:val="clear" w:color="000000" w:fill="E2EFDA"/>
          </w:tcPr>
          <w:p w:rsidR="00985D93" w:rsidRPr="0020356B" w:rsidRDefault="00985D93" w:rsidP="00985D93">
            <w:pPr>
              <w:rPr>
                <w:rFonts w:ascii="Calibri" w:hAnsi="Calibri" w:cs="Calibri"/>
                <w:color w:val="000000"/>
              </w:rPr>
            </w:pPr>
            <w:r w:rsidRPr="0020356B">
              <w:rPr>
                <w:rFonts w:ascii="Calibri" w:hAnsi="Calibri" w:cs="Calibri"/>
                <w:b/>
                <w:bCs/>
                <w:color w:val="000000"/>
              </w:rPr>
              <w:lastRenderedPageBreak/>
              <w:t>Engaging the Team:</w:t>
            </w:r>
            <w:r w:rsidRPr="0020356B">
              <w:rPr>
                <w:rFonts w:ascii="Calibri" w:hAnsi="Calibri" w:cs="Calibri"/>
                <w:color w:val="000000"/>
              </w:rPr>
              <w:t xml:space="preserve"> In this activity, the youth and family and wraparound staff engage and prepare team members for the first meeting.</w:t>
            </w:r>
          </w:p>
        </w:tc>
        <w:tc>
          <w:tcPr>
            <w:tcW w:w="3330" w:type="dxa"/>
            <w:tcBorders>
              <w:top w:val="single" w:sz="4" w:space="0" w:color="auto"/>
              <w:left w:val="nil"/>
              <w:bottom w:val="single" w:sz="4" w:space="0" w:color="auto"/>
              <w:right w:val="single" w:sz="4" w:space="0" w:color="auto"/>
            </w:tcBorders>
            <w:shd w:val="clear" w:color="000000" w:fill="DDEBF7"/>
          </w:tcPr>
          <w:p w:rsidR="00985D93" w:rsidRDefault="00420215" w:rsidP="00985D93">
            <w:pPr>
              <w:rPr>
                <w:rFonts w:ascii="Calibri" w:hAnsi="Calibri" w:cs="Calibri"/>
              </w:rPr>
            </w:pPr>
            <w:r>
              <w:rPr>
                <w:rFonts w:ascii="Calibri" w:hAnsi="Calibri" w:cs="Calibri"/>
              </w:rPr>
              <w:t>Identify needs to engage</w:t>
            </w:r>
            <w:r w:rsidR="00985D93">
              <w:rPr>
                <w:rFonts w:ascii="Calibri" w:hAnsi="Calibri" w:cs="Calibri"/>
              </w:rPr>
              <w:t xml:space="preserve"> team members throughout the process, helps improve the outcome of Wraparound.</w:t>
            </w:r>
          </w:p>
        </w:tc>
        <w:tc>
          <w:tcPr>
            <w:tcW w:w="3510" w:type="dxa"/>
            <w:tcBorders>
              <w:top w:val="single" w:sz="4" w:space="0" w:color="auto"/>
              <w:left w:val="nil"/>
              <w:bottom w:val="single" w:sz="4" w:space="0" w:color="auto"/>
              <w:right w:val="single" w:sz="4" w:space="0" w:color="auto"/>
            </w:tcBorders>
            <w:shd w:val="clear" w:color="000000" w:fill="DDEBF7"/>
          </w:tcPr>
          <w:p w:rsidR="00985D93" w:rsidRDefault="00985D93" w:rsidP="00985D93">
            <w:pPr>
              <w:rPr>
                <w:rFonts w:ascii="Calibri" w:hAnsi="Calibri" w:cs="Calibri"/>
              </w:rPr>
            </w:pPr>
            <w:r>
              <w:rPr>
                <w:rFonts w:ascii="Calibri" w:hAnsi="Calibri" w:cs="Calibri"/>
              </w:rPr>
              <w:t>Learning that people care enough to come together and are willing to help the</w:t>
            </w:r>
            <w:r w:rsidR="00127282">
              <w:rPr>
                <w:rFonts w:ascii="Calibri" w:hAnsi="Calibri" w:cs="Calibri"/>
              </w:rPr>
              <w:t xml:space="preserve"> youth and</w:t>
            </w:r>
            <w:r>
              <w:rPr>
                <w:rFonts w:ascii="Calibri" w:hAnsi="Calibri" w:cs="Calibri"/>
              </w:rPr>
              <w:t xml:space="preserve"> family and be on their team can build self-efficacy. </w:t>
            </w:r>
          </w:p>
        </w:tc>
        <w:tc>
          <w:tcPr>
            <w:tcW w:w="3870" w:type="dxa"/>
            <w:tcBorders>
              <w:top w:val="single" w:sz="4" w:space="0" w:color="auto"/>
              <w:left w:val="nil"/>
              <w:bottom w:val="single" w:sz="4" w:space="0" w:color="auto"/>
              <w:right w:val="single" w:sz="4" w:space="0" w:color="auto"/>
            </w:tcBorders>
            <w:shd w:val="clear" w:color="000000" w:fill="DDEBF7"/>
          </w:tcPr>
          <w:p w:rsidR="0020356B" w:rsidRDefault="00985D93" w:rsidP="00985D93">
            <w:pPr>
              <w:rPr>
                <w:rFonts w:ascii="Calibri" w:hAnsi="Calibri" w:cs="Calibri"/>
              </w:rPr>
            </w:pPr>
            <w:r>
              <w:rPr>
                <w:rFonts w:ascii="Calibri" w:hAnsi="Calibri" w:cs="Calibri"/>
              </w:rPr>
              <w:t>The wraparound team experience can serve as a model for interactions outside the team setting and thus strengthen social networks for</w:t>
            </w:r>
            <w:r w:rsidR="00127282">
              <w:rPr>
                <w:rFonts w:ascii="Calibri" w:hAnsi="Calibri" w:cs="Calibri"/>
              </w:rPr>
              <w:t xml:space="preserve"> the youth and family</w:t>
            </w:r>
            <w:r>
              <w:rPr>
                <w:rFonts w:ascii="Calibri" w:hAnsi="Calibri" w:cs="Calibri"/>
              </w:rPr>
              <w:t>. Taking time to engage natural supports prior to their first team meeting will enhance their feeling of being valued and commitment to the process.</w:t>
            </w:r>
          </w:p>
        </w:tc>
        <w:tc>
          <w:tcPr>
            <w:tcW w:w="3690" w:type="dxa"/>
            <w:tcBorders>
              <w:top w:val="nil"/>
              <w:left w:val="single" w:sz="4" w:space="0" w:color="auto"/>
              <w:bottom w:val="single" w:sz="4" w:space="0" w:color="auto"/>
              <w:right w:val="single" w:sz="8" w:space="0" w:color="auto"/>
            </w:tcBorders>
            <w:shd w:val="clear" w:color="000000" w:fill="DDEBF7"/>
          </w:tcPr>
          <w:p w:rsidR="00985D93" w:rsidRDefault="00985D93" w:rsidP="00985D93">
            <w:pPr>
              <w:rPr>
                <w:rFonts w:ascii="Calibri" w:hAnsi="Calibri" w:cs="Calibri"/>
              </w:rPr>
            </w:pPr>
            <w:r>
              <w:rPr>
                <w:rFonts w:ascii="Calibri" w:hAnsi="Calibri" w:cs="Calibri"/>
              </w:rPr>
              <w:t>Anticipating and minimizing conflicts is an important part of preparing team members. While disagreement is often healthy, conflict can harm the process.</w:t>
            </w:r>
          </w:p>
        </w:tc>
      </w:tr>
      <w:tr w:rsidR="00420215" w:rsidTr="0020356B">
        <w:tc>
          <w:tcPr>
            <w:tcW w:w="3870" w:type="dxa"/>
            <w:tcBorders>
              <w:top w:val="nil"/>
              <w:left w:val="single" w:sz="8" w:space="0" w:color="auto"/>
              <w:bottom w:val="single" w:sz="4" w:space="0" w:color="auto"/>
              <w:right w:val="single" w:sz="4" w:space="0" w:color="auto"/>
            </w:tcBorders>
            <w:shd w:val="clear" w:color="000000" w:fill="E2EFDA"/>
          </w:tcPr>
          <w:p w:rsidR="00985D93" w:rsidRDefault="00985D93" w:rsidP="00985D93">
            <w:pPr>
              <w:rPr>
                <w:rFonts w:ascii="Calibri" w:hAnsi="Calibri" w:cs="Calibri"/>
                <w:color w:val="000000"/>
              </w:rPr>
            </w:pPr>
            <w:r>
              <w:rPr>
                <w:rFonts w:ascii="Calibri" w:hAnsi="Calibri" w:cs="Calibri"/>
                <w:b/>
                <w:bCs/>
                <w:color w:val="000000"/>
              </w:rPr>
              <w:t>Team Introductions:</w:t>
            </w:r>
            <w:r>
              <w:rPr>
                <w:rFonts w:ascii="Calibri" w:hAnsi="Calibri" w:cs="Calibri"/>
                <w:color w:val="000000"/>
              </w:rPr>
              <w:t xml:space="preserve"> The family introduces the team noting each members' strengths and what they bring to the team.</w:t>
            </w:r>
          </w:p>
        </w:tc>
        <w:tc>
          <w:tcPr>
            <w:tcW w:w="3330" w:type="dxa"/>
            <w:tcBorders>
              <w:top w:val="single" w:sz="4" w:space="0" w:color="auto"/>
              <w:left w:val="single" w:sz="4" w:space="0" w:color="auto"/>
              <w:bottom w:val="single" w:sz="4" w:space="0" w:color="auto"/>
              <w:right w:val="single" w:sz="4" w:space="0" w:color="auto"/>
            </w:tcBorders>
            <w:shd w:val="clear" w:color="auto" w:fill="FFFFFF" w:themeFill="background1"/>
          </w:tcPr>
          <w:p w:rsidR="00985D93" w:rsidRDefault="00985D93" w:rsidP="00985D93">
            <w:pPr>
              <w:rPr>
                <w:rFonts w:ascii="Calibri" w:hAnsi="Calibri" w:cs="Calibri"/>
              </w:rPr>
            </w:pPr>
            <w:r>
              <w:rPr>
                <w:rFonts w:ascii="Calibri" w:hAnsi="Calibri" w:cs="Calibri"/>
              </w:rPr>
              <w:t>By valuing what each team member brings to the team and what they need from Wraparound, the team process will be strengthened.</w:t>
            </w:r>
          </w:p>
          <w:p w:rsidR="0020356B" w:rsidRDefault="0020356B" w:rsidP="00985D93">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shd w:val="clear" w:color="auto" w:fill="FFFFFF" w:themeFill="background1"/>
          </w:tcPr>
          <w:p w:rsidR="00985D93" w:rsidRDefault="00985D93" w:rsidP="00985D93">
            <w:pPr>
              <w:rPr>
                <w:rFonts w:ascii="Calibri" w:hAnsi="Calibri" w:cs="Calibri"/>
              </w:rPr>
            </w:pPr>
            <w:r>
              <w:rPr>
                <w:rFonts w:ascii="Calibri" w:hAnsi="Calibri" w:cs="Calibri"/>
              </w:rPr>
              <w:t>The focus on strengths builds self-efficacy for the whole team.</w:t>
            </w:r>
          </w:p>
        </w:tc>
        <w:tc>
          <w:tcPr>
            <w:tcW w:w="3870" w:type="dxa"/>
            <w:tcBorders>
              <w:top w:val="single" w:sz="4" w:space="0" w:color="auto"/>
              <w:left w:val="single" w:sz="4" w:space="0" w:color="auto"/>
              <w:bottom w:val="single" w:sz="4" w:space="0" w:color="auto"/>
              <w:right w:val="single" w:sz="4" w:space="0" w:color="auto"/>
            </w:tcBorders>
            <w:shd w:val="clear" w:color="auto" w:fill="FFFFFF" w:themeFill="background1"/>
          </w:tcPr>
          <w:p w:rsidR="00985D93" w:rsidRDefault="00985D93" w:rsidP="00985D93">
            <w:pPr>
              <w:rPr>
                <w:rFonts w:ascii="Calibri" w:hAnsi="Calibri" w:cs="Calibri"/>
              </w:rPr>
            </w:pPr>
            <w:r>
              <w:rPr>
                <w:rFonts w:ascii="Calibri" w:hAnsi="Calibri" w:cs="Calibri"/>
              </w:rPr>
              <w:t>Recognizing the strengths and contributions of natural supports increases their sense of value and the value given to them by team members.</w:t>
            </w:r>
          </w:p>
        </w:tc>
        <w:tc>
          <w:tcPr>
            <w:tcW w:w="3690" w:type="dxa"/>
            <w:tcBorders>
              <w:top w:val="nil"/>
              <w:left w:val="single" w:sz="4" w:space="0" w:color="auto"/>
              <w:bottom w:val="single" w:sz="4" w:space="0" w:color="auto"/>
              <w:right w:val="single" w:sz="8" w:space="0" w:color="auto"/>
            </w:tcBorders>
            <w:shd w:val="clear" w:color="auto" w:fill="FFFFFF" w:themeFill="background1"/>
          </w:tcPr>
          <w:p w:rsidR="00985D93" w:rsidRDefault="00985D93" w:rsidP="00985D93">
            <w:pPr>
              <w:rPr>
                <w:rFonts w:ascii="Calibri" w:hAnsi="Calibri" w:cs="Calibri"/>
              </w:rPr>
            </w:pPr>
            <w:r>
              <w:rPr>
                <w:rFonts w:ascii="Calibri" w:hAnsi="Calibri" w:cs="Calibri"/>
              </w:rPr>
              <w:t xml:space="preserve">Identifying the strengths of team members helps them to appreciate each other and improves team cohesion. </w:t>
            </w:r>
          </w:p>
        </w:tc>
      </w:tr>
      <w:tr w:rsidR="00420215" w:rsidTr="0020356B">
        <w:tc>
          <w:tcPr>
            <w:tcW w:w="3870" w:type="dxa"/>
            <w:tcBorders>
              <w:top w:val="nil"/>
              <w:left w:val="single" w:sz="8" w:space="0" w:color="auto"/>
              <w:bottom w:val="single" w:sz="4" w:space="0" w:color="auto"/>
              <w:right w:val="single" w:sz="4" w:space="0" w:color="auto"/>
            </w:tcBorders>
            <w:shd w:val="clear" w:color="000000" w:fill="E2EFDA"/>
          </w:tcPr>
          <w:p w:rsidR="00985D93" w:rsidRDefault="00985D93" w:rsidP="00985D93">
            <w:pPr>
              <w:rPr>
                <w:rFonts w:ascii="Calibri" w:hAnsi="Calibri" w:cs="Calibri"/>
                <w:color w:val="000000"/>
              </w:rPr>
            </w:pPr>
            <w:r>
              <w:rPr>
                <w:rFonts w:ascii="Calibri" w:hAnsi="Calibri" w:cs="Calibri"/>
                <w:b/>
                <w:bCs/>
                <w:color w:val="000000"/>
              </w:rPr>
              <w:t>Team Process:</w:t>
            </w:r>
            <w:r>
              <w:rPr>
                <w:rFonts w:ascii="Calibri" w:hAnsi="Calibri" w:cs="Calibri"/>
                <w:color w:val="000000"/>
              </w:rPr>
              <w:t xml:space="preserve"> The team develops ground rules to define how they will work together, agreements on confidentiality, and consensus on how they will make decisions.</w:t>
            </w:r>
          </w:p>
        </w:tc>
        <w:tc>
          <w:tcPr>
            <w:tcW w:w="3330" w:type="dxa"/>
            <w:tcBorders>
              <w:top w:val="nil"/>
              <w:left w:val="nil"/>
              <w:bottom w:val="single" w:sz="4" w:space="0" w:color="auto"/>
              <w:right w:val="single" w:sz="4" w:space="0" w:color="auto"/>
            </w:tcBorders>
            <w:shd w:val="clear" w:color="000000" w:fill="DDEBF7"/>
          </w:tcPr>
          <w:p w:rsidR="00985D93" w:rsidRDefault="00985D93" w:rsidP="00985D93">
            <w:pPr>
              <w:rPr>
                <w:rFonts w:ascii="Calibri" w:hAnsi="Calibri" w:cs="Calibri"/>
              </w:rPr>
            </w:pPr>
            <w:r>
              <w:rPr>
                <w:rFonts w:ascii="Calibri" w:hAnsi="Calibri" w:cs="Calibri"/>
              </w:rPr>
              <w:t>Identifying needs of the team to ensure meaningful youth and family participation in planning to prepare them to take over the process.</w:t>
            </w:r>
          </w:p>
        </w:tc>
        <w:tc>
          <w:tcPr>
            <w:tcW w:w="3510" w:type="dxa"/>
            <w:tcBorders>
              <w:top w:val="nil"/>
              <w:left w:val="nil"/>
              <w:bottom w:val="single" w:sz="4" w:space="0" w:color="auto"/>
              <w:right w:val="single" w:sz="4" w:space="0" w:color="auto"/>
            </w:tcBorders>
            <w:shd w:val="clear" w:color="000000" w:fill="DDEBF7"/>
          </w:tcPr>
          <w:p w:rsidR="00985D93" w:rsidRDefault="00985D93" w:rsidP="00985D93">
            <w:pPr>
              <w:rPr>
                <w:rFonts w:ascii="Calibri" w:hAnsi="Calibri" w:cs="Calibri"/>
              </w:rPr>
            </w:pPr>
            <w:r>
              <w:rPr>
                <w:rFonts w:ascii="Calibri" w:hAnsi="Calibri" w:cs="Calibri"/>
              </w:rPr>
              <w:t>Having the youth and family central to establishing meeting norms builds confidence in the process and their preferences.</w:t>
            </w:r>
          </w:p>
        </w:tc>
        <w:tc>
          <w:tcPr>
            <w:tcW w:w="3870" w:type="dxa"/>
            <w:tcBorders>
              <w:top w:val="nil"/>
              <w:left w:val="nil"/>
              <w:bottom w:val="single" w:sz="4" w:space="0" w:color="auto"/>
              <w:right w:val="single" w:sz="4" w:space="0" w:color="auto"/>
            </w:tcBorders>
            <w:shd w:val="clear" w:color="000000" w:fill="DDEBF7"/>
          </w:tcPr>
          <w:p w:rsidR="00985D93" w:rsidRDefault="00985D93" w:rsidP="00985D93">
            <w:pPr>
              <w:rPr>
                <w:rFonts w:ascii="Calibri" w:hAnsi="Calibri" w:cs="Calibri"/>
              </w:rPr>
            </w:pPr>
            <w:r>
              <w:rPr>
                <w:rFonts w:ascii="Calibri" w:hAnsi="Calibri" w:cs="Calibri"/>
              </w:rPr>
              <w:t>Assigning natural support team members roles in the team (</w:t>
            </w:r>
            <w:r w:rsidR="00420215">
              <w:rPr>
                <w:rFonts w:ascii="Calibri" w:hAnsi="Calibri" w:cs="Calibri"/>
              </w:rPr>
              <w:t>timekeeper, identifying jargon, etc.</w:t>
            </w:r>
            <w:r>
              <w:rPr>
                <w:rFonts w:ascii="Calibri" w:hAnsi="Calibri" w:cs="Calibri"/>
              </w:rPr>
              <w:t>) can help build them into more substantial team members later.</w:t>
            </w:r>
          </w:p>
        </w:tc>
        <w:tc>
          <w:tcPr>
            <w:tcW w:w="3690" w:type="dxa"/>
            <w:tcBorders>
              <w:top w:val="nil"/>
              <w:left w:val="nil"/>
              <w:bottom w:val="single" w:sz="4" w:space="0" w:color="auto"/>
              <w:right w:val="single" w:sz="8" w:space="0" w:color="auto"/>
            </w:tcBorders>
            <w:shd w:val="clear" w:color="000000" w:fill="DDEBF7"/>
          </w:tcPr>
          <w:p w:rsidR="00985D93" w:rsidRDefault="00985D93" w:rsidP="00985D93">
            <w:pPr>
              <w:rPr>
                <w:rFonts w:ascii="Calibri" w:hAnsi="Calibri" w:cs="Calibri"/>
              </w:rPr>
            </w:pPr>
            <w:r>
              <w:rPr>
                <w:rFonts w:ascii="Calibri" w:hAnsi="Calibri" w:cs="Calibri"/>
              </w:rPr>
              <w:t>Developing consensus on how they interact and enforce the plan when conflict arises builds team cohesion and success for the youth and family in the future.</w:t>
            </w:r>
          </w:p>
        </w:tc>
      </w:tr>
      <w:tr w:rsidR="00420215" w:rsidTr="0020356B">
        <w:tc>
          <w:tcPr>
            <w:tcW w:w="3870" w:type="dxa"/>
            <w:tcBorders>
              <w:top w:val="nil"/>
              <w:left w:val="single" w:sz="8" w:space="0" w:color="auto"/>
              <w:bottom w:val="single" w:sz="4" w:space="0" w:color="auto"/>
              <w:right w:val="single" w:sz="4" w:space="0" w:color="auto"/>
            </w:tcBorders>
            <w:shd w:val="clear" w:color="000000" w:fill="E2EFDA"/>
          </w:tcPr>
          <w:p w:rsidR="00985D93" w:rsidRDefault="00985D93" w:rsidP="00985D93">
            <w:pPr>
              <w:rPr>
                <w:rFonts w:ascii="Calibri" w:hAnsi="Calibri" w:cs="Calibri"/>
                <w:color w:val="000000"/>
              </w:rPr>
            </w:pPr>
            <w:r>
              <w:rPr>
                <w:rFonts w:ascii="Calibri" w:hAnsi="Calibri" w:cs="Calibri"/>
                <w:b/>
                <w:bCs/>
                <w:color w:val="000000"/>
              </w:rPr>
              <w:t xml:space="preserve">Determining the Vision and Needs: </w:t>
            </w:r>
            <w:r>
              <w:rPr>
                <w:rFonts w:ascii="Calibri" w:hAnsi="Calibri" w:cs="Calibri"/>
                <w:color w:val="000000"/>
              </w:rPr>
              <w:t xml:space="preserve">Working as a team, a vision, mission, and priority needs are agreed upon by the team. </w:t>
            </w:r>
          </w:p>
        </w:tc>
        <w:tc>
          <w:tcPr>
            <w:tcW w:w="3330" w:type="dxa"/>
            <w:tcBorders>
              <w:top w:val="single" w:sz="4" w:space="0" w:color="auto"/>
              <w:left w:val="single" w:sz="4" w:space="0" w:color="auto"/>
              <w:bottom w:val="single" w:sz="4" w:space="0" w:color="auto"/>
              <w:right w:val="single" w:sz="4" w:space="0" w:color="auto"/>
            </w:tcBorders>
            <w:shd w:val="clear" w:color="auto" w:fill="FFFFFF" w:themeFill="background1"/>
          </w:tcPr>
          <w:p w:rsidR="00985D93" w:rsidRPr="00985D93" w:rsidRDefault="00985D93" w:rsidP="00985D93">
            <w:pPr>
              <w:rPr>
                <w:rFonts w:ascii="Calibri" w:hAnsi="Calibri" w:cs="Calibri"/>
              </w:rPr>
            </w:pPr>
            <w:r w:rsidRPr="00985D93">
              <w:rPr>
                <w:rFonts w:ascii="Calibri" w:hAnsi="Calibri" w:cs="Calibri"/>
              </w:rPr>
              <w:t>The focus of planning is addressing and meeting the needs that are prioritized by the youth and family. This is a key skill for them to be successful in transition.</w:t>
            </w:r>
          </w:p>
        </w:tc>
        <w:tc>
          <w:tcPr>
            <w:tcW w:w="3510" w:type="dxa"/>
            <w:tcBorders>
              <w:top w:val="single" w:sz="4" w:space="0" w:color="auto"/>
              <w:left w:val="single" w:sz="4" w:space="0" w:color="auto"/>
              <w:bottom w:val="single" w:sz="4" w:space="0" w:color="auto"/>
              <w:right w:val="single" w:sz="4" w:space="0" w:color="auto"/>
            </w:tcBorders>
            <w:shd w:val="clear" w:color="auto" w:fill="FFFFFF" w:themeFill="background1"/>
          </w:tcPr>
          <w:p w:rsidR="00985D93" w:rsidRPr="00985D93" w:rsidRDefault="00985D93" w:rsidP="00985D93">
            <w:pPr>
              <w:rPr>
                <w:rFonts w:ascii="Calibri" w:hAnsi="Calibri" w:cs="Calibri"/>
              </w:rPr>
            </w:pPr>
            <w:r w:rsidRPr="00985D93">
              <w:rPr>
                <w:rFonts w:ascii="Calibri" w:hAnsi="Calibri" w:cs="Calibri"/>
              </w:rPr>
              <w:t>Having a team affirm their support for the youth and family vision and agreeing on prioritized needs creates positive momentum and hope that things can change.</w:t>
            </w:r>
          </w:p>
        </w:tc>
        <w:tc>
          <w:tcPr>
            <w:tcW w:w="3870" w:type="dxa"/>
            <w:tcBorders>
              <w:top w:val="single" w:sz="4" w:space="0" w:color="auto"/>
              <w:left w:val="single" w:sz="4" w:space="0" w:color="auto"/>
              <w:bottom w:val="single" w:sz="4" w:space="0" w:color="auto"/>
              <w:right w:val="single" w:sz="4" w:space="0" w:color="auto"/>
            </w:tcBorders>
            <w:shd w:val="clear" w:color="auto" w:fill="FFFFFF" w:themeFill="background1"/>
          </w:tcPr>
          <w:p w:rsidR="00985D93" w:rsidRPr="00985D93" w:rsidRDefault="00985D93" w:rsidP="00985D93">
            <w:pPr>
              <w:rPr>
                <w:rFonts w:ascii="Calibri" w:hAnsi="Calibri" w:cs="Calibri"/>
              </w:rPr>
            </w:pPr>
            <w:r w:rsidRPr="00985D93">
              <w:rPr>
                <w:rFonts w:ascii="Calibri" w:hAnsi="Calibri" w:cs="Calibri"/>
              </w:rPr>
              <w:t>Reaching consensus on goals with all team members can help natural supports focus on interactions around primary needs.</w:t>
            </w:r>
          </w:p>
        </w:tc>
        <w:tc>
          <w:tcPr>
            <w:tcW w:w="3690" w:type="dxa"/>
            <w:tcBorders>
              <w:top w:val="nil"/>
              <w:left w:val="single" w:sz="4" w:space="0" w:color="auto"/>
              <w:bottom w:val="single" w:sz="4" w:space="0" w:color="auto"/>
              <w:right w:val="single" w:sz="8" w:space="0" w:color="auto"/>
            </w:tcBorders>
            <w:shd w:val="clear" w:color="auto" w:fill="FFFFFF" w:themeFill="background1"/>
          </w:tcPr>
          <w:p w:rsidR="00985D93" w:rsidRPr="00985D93" w:rsidRDefault="00985D93" w:rsidP="00985D93">
            <w:pPr>
              <w:rPr>
                <w:rFonts w:ascii="Calibri" w:hAnsi="Calibri" w:cs="Calibri"/>
              </w:rPr>
            </w:pPr>
            <w:r w:rsidRPr="00985D93">
              <w:rPr>
                <w:rFonts w:ascii="Calibri" w:hAnsi="Calibri" w:cs="Calibri"/>
              </w:rPr>
              <w:t xml:space="preserve">Demonstrating how all team members can support the youth and family in achieving their vision by focusing on priority needs through short-term goals.  </w:t>
            </w:r>
          </w:p>
        </w:tc>
      </w:tr>
      <w:tr w:rsidR="00420215" w:rsidTr="0020356B">
        <w:tc>
          <w:tcPr>
            <w:tcW w:w="3870" w:type="dxa"/>
            <w:tcBorders>
              <w:top w:val="nil"/>
              <w:left w:val="single" w:sz="8" w:space="0" w:color="auto"/>
              <w:bottom w:val="single" w:sz="4" w:space="0" w:color="auto"/>
              <w:right w:val="single" w:sz="4" w:space="0" w:color="auto"/>
            </w:tcBorders>
            <w:shd w:val="clear" w:color="000000" w:fill="E2EFDA"/>
          </w:tcPr>
          <w:p w:rsidR="00985D93" w:rsidRDefault="00985D93" w:rsidP="00420215">
            <w:pPr>
              <w:rPr>
                <w:rFonts w:ascii="Calibri" w:hAnsi="Calibri" w:cs="Calibri"/>
                <w:b/>
                <w:bCs/>
                <w:color w:val="000000"/>
              </w:rPr>
            </w:pPr>
            <w:r>
              <w:rPr>
                <w:rFonts w:ascii="Calibri" w:hAnsi="Calibri" w:cs="Calibri"/>
                <w:b/>
                <w:bCs/>
                <w:color w:val="000000"/>
              </w:rPr>
              <w:t xml:space="preserve">Developing the Care Plan: </w:t>
            </w:r>
            <w:r w:rsidR="00420215">
              <w:rPr>
                <w:rFonts w:ascii="Calibri" w:hAnsi="Calibri" w:cs="Calibri"/>
                <w:color w:val="000000"/>
              </w:rPr>
              <w:t>T</w:t>
            </w:r>
            <w:r>
              <w:rPr>
                <w:rFonts w:ascii="Calibri" w:hAnsi="Calibri" w:cs="Calibri"/>
                <w:color w:val="000000"/>
              </w:rPr>
              <w:t>he strengths and culture of the family are the basis for brainstorming multiple options from which the youth and family choose.</w:t>
            </w:r>
          </w:p>
        </w:tc>
        <w:tc>
          <w:tcPr>
            <w:tcW w:w="3330" w:type="dxa"/>
            <w:tcBorders>
              <w:top w:val="nil"/>
              <w:left w:val="nil"/>
              <w:bottom w:val="single" w:sz="4" w:space="0" w:color="auto"/>
              <w:right w:val="single" w:sz="4" w:space="0" w:color="auto"/>
            </w:tcBorders>
            <w:shd w:val="clear" w:color="000000" w:fill="DDEBF7"/>
          </w:tcPr>
          <w:p w:rsidR="00985D93" w:rsidRDefault="00985D93" w:rsidP="00985D93">
            <w:pPr>
              <w:rPr>
                <w:rFonts w:ascii="Calibri" w:hAnsi="Calibri" w:cs="Calibri"/>
              </w:rPr>
            </w:pPr>
            <w:r>
              <w:rPr>
                <w:rFonts w:ascii="Calibri" w:hAnsi="Calibri" w:cs="Calibri"/>
              </w:rPr>
              <w:t>Teaching</w:t>
            </w:r>
            <w:r w:rsidR="00127282">
              <w:rPr>
                <w:rFonts w:ascii="Calibri" w:hAnsi="Calibri" w:cs="Calibri"/>
              </w:rPr>
              <w:t xml:space="preserve"> the youth and family</w:t>
            </w:r>
            <w:r>
              <w:rPr>
                <w:rFonts w:ascii="Calibri" w:hAnsi="Calibri" w:cs="Calibri"/>
              </w:rPr>
              <w:t xml:space="preserve"> to brainstorm multiple options to meet needs, including natural and community supports, creates sustainable strategies in the plan.</w:t>
            </w:r>
          </w:p>
        </w:tc>
        <w:tc>
          <w:tcPr>
            <w:tcW w:w="3510" w:type="dxa"/>
            <w:tcBorders>
              <w:top w:val="nil"/>
              <w:left w:val="nil"/>
              <w:bottom w:val="single" w:sz="4" w:space="0" w:color="auto"/>
              <w:right w:val="single" w:sz="4" w:space="0" w:color="auto"/>
            </w:tcBorders>
            <w:shd w:val="clear" w:color="000000" w:fill="DDEBF7"/>
          </w:tcPr>
          <w:p w:rsidR="00985D93" w:rsidRDefault="00985D93" w:rsidP="00985D93">
            <w:pPr>
              <w:rPr>
                <w:rFonts w:ascii="Calibri" w:hAnsi="Calibri" w:cs="Calibri"/>
              </w:rPr>
            </w:pPr>
            <w:r>
              <w:rPr>
                <w:rFonts w:ascii="Calibri" w:hAnsi="Calibri" w:cs="Calibri"/>
              </w:rPr>
              <w:t>Supporting options based on strengths and culture of the youth and family provides confirmation of team support and confidence in success.</w:t>
            </w:r>
          </w:p>
          <w:p w:rsidR="009C644A" w:rsidRDefault="009C644A" w:rsidP="00985D93">
            <w:pPr>
              <w:rPr>
                <w:rFonts w:ascii="Calibri" w:hAnsi="Calibri" w:cs="Calibri"/>
              </w:rPr>
            </w:pPr>
          </w:p>
        </w:tc>
        <w:tc>
          <w:tcPr>
            <w:tcW w:w="3870" w:type="dxa"/>
            <w:tcBorders>
              <w:top w:val="nil"/>
              <w:left w:val="nil"/>
              <w:bottom w:val="single" w:sz="4" w:space="0" w:color="auto"/>
              <w:right w:val="single" w:sz="4" w:space="0" w:color="auto"/>
            </w:tcBorders>
            <w:shd w:val="clear" w:color="000000" w:fill="DDEBF7"/>
          </w:tcPr>
          <w:p w:rsidR="00985D93" w:rsidRDefault="00985D93" w:rsidP="00985D93">
            <w:pPr>
              <w:rPr>
                <w:rFonts w:ascii="Calibri" w:hAnsi="Calibri" w:cs="Calibri"/>
              </w:rPr>
            </w:pPr>
            <w:r>
              <w:rPr>
                <w:rFonts w:ascii="Calibri" w:hAnsi="Calibri" w:cs="Calibri"/>
              </w:rPr>
              <w:t>Identifying action steps by natural supports strengthens their commitment to the team and sustains support for the youth and family</w:t>
            </w:r>
            <w:r w:rsidR="00127282">
              <w:rPr>
                <w:rFonts w:ascii="Calibri" w:hAnsi="Calibri" w:cs="Calibri"/>
              </w:rPr>
              <w:t>.</w:t>
            </w:r>
          </w:p>
        </w:tc>
        <w:tc>
          <w:tcPr>
            <w:tcW w:w="3690" w:type="dxa"/>
            <w:tcBorders>
              <w:top w:val="nil"/>
              <w:left w:val="nil"/>
              <w:bottom w:val="single" w:sz="4" w:space="0" w:color="auto"/>
              <w:right w:val="single" w:sz="8" w:space="0" w:color="auto"/>
            </w:tcBorders>
            <w:shd w:val="clear" w:color="000000" w:fill="DDEBF7"/>
          </w:tcPr>
          <w:p w:rsidR="00985D93" w:rsidRDefault="00985D93" w:rsidP="00985D93">
            <w:pPr>
              <w:rPr>
                <w:rFonts w:ascii="Calibri" w:hAnsi="Calibri" w:cs="Calibri"/>
              </w:rPr>
            </w:pPr>
            <w:r>
              <w:rPr>
                <w:rFonts w:ascii="Calibri" w:hAnsi="Calibri" w:cs="Calibri"/>
              </w:rPr>
              <w:t>Teams are more likely to be effective when they generate multiple options before developing plans.</w:t>
            </w:r>
          </w:p>
        </w:tc>
      </w:tr>
      <w:tr w:rsidR="00420215" w:rsidTr="0020356B">
        <w:tc>
          <w:tcPr>
            <w:tcW w:w="3870" w:type="dxa"/>
            <w:tcBorders>
              <w:top w:val="nil"/>
              <w:left w:val="single" w:sz="8" w:space="0" w:color="auto"/>
              <w:bottom w:val="single" w:sz="4" w:space="0" w:color="auto"/>
              <w:right w:val="single" w:sz="4" w:space="0" w:color="auto"/>
            </w:tcBorders>
            <w:shd w:val="clear" w:color="000000" w:fill="E2EFDA"/>
          </w:tcPr>
          <w:p w:rsidR="00985D93" w:rsidRDefault="00985D93" w:rsidP="00985D93">
            <w:pPr>
              <w:rPr>
                <w:rFonts w:ascii="Calibri" w:hAnsi="Calibri" w:cs="Calibri"/>
                <w:color w:val="000000"/>
              </w:rPr>
            </w:pPr>
            <w:r>
              <w:rPr>
                <w:rFonts w:ascii="Calibri" w:hAnsi="Calibri" w:cs="Calibri"/>
                <w:b/>
                <w:bCs/>
                <w:color w:val="000000"/>
              </w:rPr>
              <w:lastRenderedPageBreak/>
              <w:t xml:space="preserve">Functional Assessment: </w:t>
            </w:r>
            <w:r w:rsidR="00420215">
              <w:rPr>
                <w:rFonts w:ascii="Calibri" w:hAnsi="Calibri" w:cs="Calibri"/>
                <w:color w:val="000000"/>
              </w:rPr>
              <w:t>T</w:t>
            </w:r>
            <w:r>
              <w:rPr>
                <w:rFonts w:ascii="Calibri" w:hAnsi="Calibri" w:cs="Calibri"/>
                <w:color w:val="000000"/>
              </w:rPr>
              <w:t>he youth and family and supportive team define the crisis or behavior, triggers, signs it is beginning and functional alternative.</w:t>
            </w:r>
          </w:p>
        </w:tc>
        <w:tc>
          <w:tcPr>
            <w:tcW w:w="3330" w:type="dxa"/>
            <w:tcBorders>
              <w:top w:val="single" w:sz="4" w:space="0" w:color="auto"/>
              <w:left w:val="single" w:sz="4" w:space="0" w:color="auto"/>
              <w:bottom w:val="single" w:sz="4" w:space="0" w:color="auto"/>
              <w:right w:val="single" w:sz="4" w:space="0" w:color="auto"/>
            </w:tcBorders>
            <w:shd w:val="clear" w:color="auto" w:fill="FFFFFF" w:themeFill="background1"/>
          </w:tcPr>
          <w:p w:rsidR="00985D93" w:rsidRDefault="00985D93" w:rsidP="00985D93">
            <w:pPr>
              <w:rPr>
                <w:rFonts w:ascii="Calibri" w:hAnsi="Calibri" w:cs="Calibri"/>
              </w:rPr>
            </w:pPr>
            <w:r>
              <w:rPr>
                <w:rFonts w:ascii="Calibri" w:hAnsi="Calibri" w:cs="Calibri"/>
              </w:rPr>
              <w:t>Youth and family prioritize needs related to crisis and behavior challenges to understand the function of the behavior.</w:t>
            </w:r>
          </w:p>
        </w:tc>
        <w:tc>
          <w:tcPr>
            <w:tcW w:w="3510" w:type="dxa"/>
            <w:tcBorders>
              <w:top w:val="single" w:sz="4" w:space="0" w:color="auto"/>
              <w:left w:val="single" w:sz="4" w:space="0" w:color="auto"/>
              <w:bottom w:val="single" w:sz="4" w:space="0" w:color="auto"/>
              <w:right w:val="single" w:sz="4" w:space="0" w:color="auto"/>
            </w:tcBorders>
            <w:shd w:val="clear" w:color="auto" w:fill="FFFFFF" w:themeFill="background1"/>
          </w:tcPr>
          <w:p w:rsidR="00985D93" w:rsidRDefault="00985D93" w:rsidP="00985D93">
            <w:pPr>
              <w:rPr>
                <w:rFonts w:ascii="Calibri" w:hAnsi="Calibri" w:cs="Calibri"/>
              </w:rPr>
            </w:pPr>
            <w:r>
              <w:rPr>
                <w:rFonts w:ascii="Calibri" w:hAnsi="Calibri" w:cs="Calibri"/>
              </w:rPr>
              <w:t xml:space="preserve">The functional assessment provides a framework to understand crisis situations and builds confidence on how to respond. </w:t>
            </w:r>
          </w:p>
        </w:tc>
        <w:tc>
          <w:tcPr>
            <w:tcW w:w="3870" w:type="dxa"/>
            <w:tcBorders>
              <w:top w:val="single" w:sz="4" w:space="0" w:color="auto"/>
              <w:left w:val="single" w:sz="4" w:space="0" w:color="auto"/>
              <w:bottom w:val="single" w:sz="4" w:space="0" w:color="auto"/>
              <w:right w:val="single" w:sz="4" w:space="0" w:color="auto"/>
            </w:tcBorders>
            <w:shd w:val="clear" w:color="auto" w:fill="FFFFFF" w:themeFill="background1"/>
          </w:tcPr>
          <w:p w:rsidR="00985D93" w:rsidRDefault="00985D93" w:rsidP="00985D93">
            <w:pPr>
              <w:rPr>
                <w:rFonts w:ascii="Calibri" w:hAnsi="Calibri" w:cs="Calibri"/>
              </w:rPr>
            </w:pPr>
            <w:r>
              <w:rPr>
                <w:rFonts w:ascii="Calibri" w:hAnsi="Calibri" w:cs="Calibri"/>
              </w:rPr>
              <w:t>Natural supports provide different perspectives and that can lead to a better understanding of crisis situations that lays the foundation to the crisis response plan.</w:t>
            </w:r>
          </w:p>
          <w:p w:rsidR="0020356B" w:rsidRDefault="0020356B" w:rsidP="00985D93">
            <w:pPr>
              <w:rPr>
                <w:rFonts w:ascii="Calibri" w:hAnsi="Calibri" w:cs="Calibri"/>
              </w:rPr>
            </w:pPr>
          </w:p>
        </w:tc>
        <w:tc>
          <w:tcPr>
            <w:tcW w:w="3690" w:type="dxa"/>
            <w:tcBorders>
              <w:top w:val="nil"/>
              <w:left w:val="single" w:sz="4" w:space="0" w:color="auto"/>
              <w:bottom w:val="single" w:sz="4" w:space="0" w:color="auto"/>
              <w:right w:val="single" w:sz="8" w:space="0" w:color="auto"/>
            </w:tcBorders>
            <w:shd w:val="clear" w:color="auto" w:fill="FFFFFF" w:themeFill="background1"/>
          </w:tcPr>
          <w:p w:rsidR="00985D93" w:rsidRDefault="00985D93" w:rsidP="00985D93">
            <w:pPr>
              <w:rPr>
                <w:rFonts w:ascii="Calibri" w:hAnsi="Calibri" w:cs="Calibri"/>
              </w:rPr>
            </w:pPr>
            <w:r>
              <w:rPr>
                <w:rFonts w:ascii="Calibri" w:hAnsi="Calibri" w:cs="Calibri"/>
              </w:rPr>
              <w:t>The diverse perspectives of the people who know and care about the youth and family provide a better and integrated plan.</w:t>
            </w:r>
          </w:p>
        </w:tc>
      </w:tr>
      <w:tr w:rsidR="00420215" w:rsidTr="0020356B">
        <w:tc>
          <w:tcPr>
            <w:tcW w:w="3870" w:type="dxa"/>
            <w:tcBorders>
              <w:top w:val="nil"/>
              <w:left w:val="single" w:sz="8" w:space="0" w:color="auto"/>
              <w:bottom w:val="single" w:sz="4" w:space="0" w:color="auto"/>
              <w:right w:val="single" w:sz="4" w:space="0" w:color="auto"/>
            </w:tcBorders>
            <w:shd w:val="clear" w:color="000000" w:fill="E2EFDA"/>
          </w:tcPr>
          <w:p w:rsidR="00985D93" w:rsidRDefault="00985D93" w:rsidP="00985D93">
            <w:pPr>
              <w:rPr>
                <w:rFonts w:ascii="Calibri" w:hAnsi="Calibri" w:cs="Calibri"/>
                <w:b/>
                <w:bCs/>
                <w:color w:val="000000"/>
              </w:rPr>
            </w:pPr>
            <w:r>
              <w:rPr>
                <w:rFonts w:ascii="Calibri" w:hAnsi="Calibri" w:cs="Calibri"/>
                <w:b/>
                <w:bCs/>
                <w:color w:val="000000"/>
              </w:rPr>
              <w:t xml:space="preserve">Safety Planning: </w:t>
            </w:r>
            <w:r>
              <w:rPr>
                <w:rFonts w:ascii="Calibri" w:hAnsi="Calibri" w:cs="Calibri"/>
                <w:color w:val="000000"/>
              </w:rPr>
              <w:t>From the functional assessment, a plan is developed to prevent, intervene early, teach alternative behaviors, and respond to crisis and behavior challenges.</w:t>
            </w:r>
          </w:p>
        </w:tc>
        <w:tc>
          <w:tcPr>
            <w:tcW w:w="3330" w:type="dxa"/>
            <w:tcBorders>
              <w:top w:val="nil"/>
              <w:left w:val="nil"/>
              <w:bottom w:val="single" w:sz="4" w:space="0" w:color="auto"/>
              <w:right w:val="single" w:sz="4" w:space="0" w:color="auto"/>
            </w:tcBorders>
            <w:shd w:val="clear" w:color="000000" w:fill="DDEBF7"/>
          </w:tcPr>
          <w:p w:rsidR="00985D93" w:rsidRDefault="00985D93" w:rsidP="00985D93">
            <w:pPr>
              <w:rPr>
                <w:rFonts w:ascii="Calibri" w:hAnsi="Calibri" w:cs="Calibri"/>
              </w:rPr>
            </w:pPr>
            <w:r>
              <w:rPr>
                <w:rFonts w:ascii="Calibri" w:hAnsi="Calibri" w:cs="Calibri"/>
              </w:rPr>
              <w:t>Safety planning provides concrete steps to prevent crisis and behavior challenges to reduce the intensity and duration when or if they occur. Teaching</w:t>
            </w:r>
            <w:r w:rsidR="00127282">
              <w:rPr>
                <w:rFonts w:ascii="Calibri" w:hAnsi="Calibri" w:cs="Calibri"/>
              </w:rPr>
              <w:t xml:space="preserve"> the youth and family</w:t>
            </w:r>
            <w:r>
              <w:rPr>
                <w:rFonts w:ascii="Calibri" w:hAnsi="Calibri" w:cs="Calibri"/>
              </w:rPr>
              <w:t xml:space="preserve"> the process prepares them for future crisis.</w:t>
            </w:r>
          </w:p>
        </w:tc>
        <w:tc>
          <w:tcPr>
            <w:tcW w:w="3510" w:type="dxa"/>
            <w:tcBorders>
              <w:top w:val="nil"/>
              <w:left w:val="nil"/>
              <w:bottom w:val="single" w:sz="4" w:space="0" w:color="auto"/>
              <w:right w:val="single" w:sz="4" w:space="0" w:color="auto"/>
            </w:tcBorders>
            <w:shd w:val="clear" w:color="000000" w:fill="DDEBF7"/>
          </w:tcPr>
          <w:p w:rsidR="00985D93" w:rsidRDefault="00127282" w:rsidP="00127282">
            <w:pPr>
              <w:rPr>
                <w:rFonts w:ascii="Calibri" w:hAnsi="Calibri" w:cs="Calibri"/>
              </w:rPr>
            </w:pPr>
            <w:r>
              <w:rPr>
                <w:rFonts w:ascii="Calibri" w:hAnsi="Calibri" w:cs="Calibri"/>
              </w:rPr>
              <w:t>The youth and family</w:t>
            </w:r>
            <w:r w:rsidR="00985D93">
              <w:rPr>
                <w:rFonts w:ascii="Calibri" w:hAnsi="Calibri" w:cs="Calibri"/>
              </w:rPr>
              <w:t xml:space="preserve"> feel</w:t>
            </w:r>
            <w:r>
              <w:rPr>
                <w:rFonts w:ascii="Calibri" w:hAnsi="Calibri" w:cs="Calibri"/>
              </w:rPr>
              <w:t>s</w:t>
            </w:r>
            <w:r w:rsidR="00985D93">
              <w:rPr>
                <w:rFonts w:ascii="Calibri" w:hAnsi="Calibri" w:cs="Calibri"/>
              </w:rPr>
              <w:t xml:space="preserve"> in control to manage a crisis through prevention, de-escalation and response. </w:t>
            </w:r>
          </w:p>
        </w:tc>
        <w:tc>
          <w:tcPr>
            <w:tcW w:w="3870" w:type="dxa"/>
            <w:tcBorders>
              <w:top w:val="nil"/>
              <w:left w:val="nil"/>
              <w:bottom w:val="single" w:sz="4" w:space="0" w:color="auto"/>
              <w:right w:val="single" w:sz="4" w:space="0" w:color="auto"/>
            </w:tcBorders>
            <w:shd w:val="clear" w:color="000000" w:fill="DDEBF7"/>
          </w:tcPr>
          <w:p w:rsidR="00985D93" w:rsidRDefault="00985D93" w:rsidP="00985D93">
            <w:pPr>
              <w:rPr>
                <w:rFonts w:ascii="Calibri" w:hAnsi="Calibri" w:cs="Calibri"/>
                <w:color w:val="000000"/>
              </w:rPr>
            </w:pPr>
            <w:r>
              <w:rPr>
                <w:rFonts w:ascii="Calibri" w:hAnsi="Calibri" w:cs="Calibri"/>
                <w:color w:val="000000"/>
              </w:rPr>
              <w:t>When natural supports consistently follow through on the prevention, early intervention and crisis response strategies, and encourage the youth and family to do so too, results can be greatly enhanced.</w:t>
            </w:r>
          </w:p>
        </w:tc>
        <w:tc>
          <w:tcPr>
            <w:tcW w:w="3690" w:type="dxa"/>
            <w:tcBorders>
              <w:top w:val="nil"/>
              <w:left w:val="nil"/>
              <w:bottom w:val="single" w:sz="4" w:space="0" w:color="auto"/>
              <w:right w:val="single" w:sz="8" w:space="0" w:color="auto"/>
            </w:tcBorders>
            <w:shd w:val="clear" w:color="000000" w:fill="DDEBF7"/>
          </w:tcPr>
          <w:p w:rsidR="00985D93" w:rsidRDefault="00985D93" w:rsidP="00985D93">
            <w:pPr>
              <w:rPr>
                <w:rFonts w:ascii="Calibri" w:hAnsi="Calibri" w:cs="Calibri"/>
              </w:rPr>
            </w:pPr>
            <w:r>
              <w:rPr>
                <w:rFonts w:ascii="Calibri" w:hAnsi="Calibri" w:cs="Calibri"/>
              </w:rPr>
              <w:t>The creation of an integrated safety plan across providers and natural supports reduces the occurrence and intensity of crisis and behavior challenges.</w:t>
            </w:r>
          </w:p>
        </w:tc>
      </w:tr>
      <w:tr w:rsidR="00420215" w:rsidTr="0020356B">
        <w:tc>
          <w:tcPr>
            <w:tcW w:w="3870" w:type="dxa"/>
            <w:tcBorders>
              <w:top w:val="nil"/>
              <w:left w:val="single" w:sz="8" w:space="0" w:color="auto"/>
              <w:bottom w:val="single" w:sz="4" w:space="0" w:color="auto"/>
              <w:right w:val="single" w:sz="4" w:space="0" w:color="auto"/>
            </w:tcBorders>
            <w:shd w:val="clear" w:color="000000" w:fill="E2EFDA"/>
          </w:tcPr>
          <w:p w:rsidR="00985D93" w:rsidRDefault="00985D93" w:rsidP="00985D93">
            <w:pPr>
              <w:rPr>
                <w:rFonts w:ascii="Calibri" w:hAnsi="Calibri" w:cs="Calibri"/>
                <w:color w:val="000000"/>
              </w:rPr>
            </w:pPr>
            <w:r>
              <w:rPr>
                <w:rFonts w:ascii="Calibri" w:hAnsi="Calibri" w:cs="Calibri"/>
                <w:b/>
                <w:bCs/>
                <w:color w:val="000000"/>
              </w:rPr>
              <w:t xml:space="preserve">Debriefing: </w:t>
            </w:r>
            <w:r>
              <w:rPr>
                <w:rFonts w:ascii="Calibri" w:hAnsi="Calibri" w:cs="Calibri"/>
                <w:color w:val="000000"/>
              </w:rPr>
              <w:t>Debriefing satisfaction with the plan and process and ensuring needed support is used to refine future planning and implementation management.</w:t>
            </w:r>
          </w:p>
        </w:tc>
        <w:tc>
          <w:tcPr>
            <w:tcW w:w="3330" w:type="dxa"/>
            <w:tcBorders>
              <w:top w:val="single" w:sz="4" w:space="0" w:color="auto"/>
              <w:left w:val="single" w:sz="4" w:space="0" w:color="auto"/>
              <w:bottom w:val="single" w:sz="4" w:space="0" w:color="auto"/>
              <w:right w:val="single" w:sz="4" w:space="0" w:color="auto"/>
            </w:tcBorders>
            <w:shd w:val="clear" w:color="auto" w:fill="FFFFFF" w:themeFill="background1"/>
          </w:tcPr>
          <w:p w:rsidR="00985D93" w:rsidRDefault="00985D93" w:rsidP="00985D93">
            <w:pPr>
              <w:rPr>
                <w:rFonts w:ascii="Calibri" w:hAnsi="Calibri" w:cs="Calibri"/>
              </w:rPr>
            </w:pPr>
            <w:r>
              <w:rPr>
                <w:rFonts w:ascii="Calibri" w:hAnsi="Calibri" w:cs="Calibri"/>
              </w:rPr>
              <w:t>When debriefing with the family and team, make sure the</w:t>
            </w:r>
            <w:r w:rsidR="004A4D8C">
              <w:rPr>
                <w:rFonts w:ascii="Calibri" w:hAnsi="Calibri" w:cs="Calibri"/>
              </w:rPr>
              <w:t xml:space="preserve"> youth and</w:t>
            </w:r>
            <w:r>
              <w:rPr>
                <w:rFonts w:ascii="Calibri" w:hAnsi="Calibri" w:cs="Calibri"/>
              </w:rPr>
              <w:t xml:space="preserve"> family's prioritized needs were addressed improves outcomes.</w:t>
            </w:r>
          </w:p>
        </w:tc>
        <w:tc>
          <w:tcPr>
            <w:tcW w:w="3510" w:type="dxa"/>
            <w:tcBorders>
              <w:top w:val="single" w:sz="4" w:space="0" w:color="auto"/>
              <w:left w:val="single" w:sz="4" w:space="0" w:color="auto"/>
              <w:bottom w:val="single" w:sz="4" w:space="0" w:color="auto"/>
              <w:right w:val="single" w:sz="4" w:space="0" w:color="auto"/>
            </w:tcBorders>
            <w:shd w:val="clear" w:color="auto" w:fill="FFFFFF" w:themeFill="background1"/>
          </w:tcPr>
          <w:p w:rsidR="00985D93" w:rsidRDefault="00985D93" w:rsidP="00985D93">
            <w:pPr>
              <w:rPr>
                <w:rFonts w:ascii="Calibri" w:hAnsi="Calibri" w:cs="Calibri"/>
              </w:rPr>
            </w:pPr>
            <w:r>
              <w:rPr>
                <w:rFonts w:ascii="Calibri" w:hAnsi="Calibri" w:cs="Calibri"/>
              </w:rPr>
              <w:t>By confirming with the</w:t>
            </w:r>
            <w:r w:rsidR="004A4D8C">
              <w:rPr>
                <w:rFonts w:ascii="Calibri" w:hAnsi="Calibri" w:cs="Calibri"/>
              </w:rPr>
              <w:t xml:space="preserve"> youth and</w:t>
            </w:r>
            <w:r w:rsidR="009C3731">
              <w:rPr>
                <w:rFonts w:ascii="Calibri" w:hAnsi="Calibri" w:cs="Calibri"/>
              </w:rPr>
              <w:t xml:space="preserve"> </w:t>
            </w:r>
            <w:r>
              <w:rPr>
                <w:rFonts w:ascii="Calibri" w:hAnsi="Calibri" w:cs="Calibri"/>
              </w:rPr>
              <w:t>family the intent to create a process that works for them and their input is necessary to ensure success and their pivotal role in that success.</w:t>
            </w:r>
          </w:p>
          <w:p w:rsidR="0020356B" w:rsidRDefault="0020356B" w:rsidP="00985D93">
            <w:pPr>
              <w:rPr>
                <w:rFonts w:ascii="Calibri" w:hAnsi="Calibri" w:cs="Calibri"/>
              </w:rPr>
            </w:pPr>
          </w:p>
        </w:tc>
        <w:tc>
          <w:tcPr>
            <w:tcW w:w="3870" w:type="dxa"/>
            <w:tcBorders>
              <w:top w:val="single" w:sz="4" w:space="0" w:color="auto"/>
              <w:left w:val="single" w:sz="4" w:space="0" w:color="auto"/>
              <w:bottom w:val="single" w:sz="4" w:space="0" w:color="auto"/>
              <w:right w:val="single" w:sz="4" w:space="0" w:color="auto"/>
            </w:tcBorders>
            <w:shd w:val="clear" w:color="auto" w:fill="FFFFFF" w:themeFill="background1"/>
          </w:tcPr>
          <w:p w:rsidR="00985D93" w:rsidRDefault="00985D93" w:rsidP="00985D93">
            <w:pPr>
              <w:rPr>
                <w:rFonts w:ascii="Calibri" w:hAnsi="Calibri" w:cs="Calibri"/>
              </w:rPr>
            </w:pPr>
            <w:r>
              <w:rPr>
                <w:rFonts w:ascii="Calibri" w:hAnsi="Calibri" w:cs="Calibri"/>
              </w:rPr>
              <w:t>Debriefing natural supports increases their sense of value, commitment, and connection to the youth and family and planning process.</w:t>
            </w:r>
          </w:p>
        </w:tc>
        <w:tc>
          <w:tcPr>
            <w:tcW w:w="3690" w:type="dxa"/>
            <w:tcBorders>
              <w:top w:val="nil"/>
              <w:left w:val="single" w:sz="4" w:space="0" w:color="auto"/>
              <w:bottom w:val="single" w:sz="4" w:space="0" w:color="auto"/>
              <w:right w:val="single" w:sz="8" w:space="0" w:color="auto"/>
            </w:tcBorders>
            <w:shd w:val="clear" w:color="auto" w:fill="FFFFFF" w:themeFill="background1"/>
          </w:tcPr>
          <w:p w:rsidR="00985D93" w:rsidRDefault="00985D93" w:rsidP="00985D93">
            <w:pPr>
              <w:rPr>
                <w:rFonts w:ascii="Calibri" w:hAnsi="Calibri" w:cs="Calibri"/>
              </w:rPr>
            </w:pPr>
            <w:r>
              <w:rPr>
                <w:rFonts w:ascii="Calibri" w:hAnsi="Calibri" w:cs="Calibri"/>
              </w:rPr>
              <w:t xml:space="preserve">This ensures the process is working for all team </w:t>
            </w:r>
            <w:r w:rsidR="00420215">
              <w:rPr>
                <w:rFonts w:ascii="Calibri" w:hAnsi="Calibri" w:cs="Calibri"/>
              </w:rPr>
              <w:t>members, which</w:t>
            </w:r>
            <w:r>
              <w:rPr>
                <w:rFonts w:ascii="Calibri" w:hAnsi="Calibri" w:cs="Calibri"/>
              </w:rPr>
              <w:t xml:space="preserve"> increases integration of effort and commitment to the team process. </w:t>
            </w:r>
          </w:p>
        </w:tc>
      </w:tr>
      <w:tr w:rsidR="00420215" w:rsidTr="0020356B">
        <w:tc>
          <w:tcPr>
            <w:tcW w:w="3870" w:type="dxa"/>
            <w:tcBorders>
              <w:top w:val="nil"/>
              <w:left w:val="single" w:sz="8" w:space="0" w:color="auto"/>
              <w:bottom w:val="single" w:sz="4" w:space="0" w:color="auto"/>
              <w:right w:val="single" w:sz="4" w:space="0" w:color="auto"/>
            </w:tcBorders>
            <w:shd w:val="clear" w:color="000000" w:fill="E2EFDA"/>
          </w:tcPr>
          <w:p w:rsidR="00985D93" w:rsidRDefault="00985D93" w:rsidP="00985D93">
            <w:pPr>
              <w:rPr>
                <w:rFonts w:ascii="Calibri" w:hAnsi="Calibri" w:cs="Calibri"/>
                <w:b/>
                <w:bCs/>
                <w:color w:val="000000"/>
              </w:rPr>
            </w:pPr>
            <w:r>
              <w:rPr>
                <w:rFonts w:ascii="Calibri" w:hAnsi="Calibri" w:cs="Calibri"/>
                <w:b/>
                <w:bCs/>
                <w:color w:val="000000"/>
              </w:rPr>
              <w:t xml:space="preserve">Manage Implementation:  </w:t>
            </w:r>
            <w:r w:rsidR="00420215">
              <w:rPr>
                <w:rFonts w:ascii="Calibri" w:hAnsi="Calibri" w:cs="Calibri"/>
                <w:color w:val="000000"/>
              </w:rPr>
              <w:t>T</w:t>
            </w:r>
            <w:r>
              <w:rPr>
                <w:rFonts w:ascii="Calibri" w:hAnsi="Calibri" w:cs="Calibri"/>
                <w:color w:val="000000"/>
              </w:rPr>
              <w:t>he youth and family and wraparound staff monitor and support implementation.</w:t>
            </w:r>
          </w:p>
        </w:tc>
        <w:tc>
          <w:tcPr>
            <w:tcW w:w="3330" w:type="dxa"/>
            <w:tcBorders>
              <w:top w:val="nil"/>
              <w:left w:val="nil"/>
              <w:bottom w:val="single" w:sz="4" w:space="0" w:color="auto"/>
              <w:right w:val="single" w:sz="4" w:space="0" w:color="auto"/>
            </w:tcBorders>
            <w:shd w:val="clear" w:color="auto" w:fill="DEEAF6" w:themeFill="accent1" w:themeFillTint="33"/>
          </w:tcPr>
          <w:p w:rsidR="00985D93" w:rsidRDefault="00985D93" w:rsidP="00985D93">
            <w:pPr>
              <w:rPr>
                <w:rFonts w:ascii="Calibri" w:hAnsi="Calibri" w:cs="Calibri"/>
              </w:rPr>
            </w:pPr>
            <w:r>
              <w:rPr>
                <w:rFonts w:ascii="Calibri" w:hAnsi="Calibri" w:cs="Calibri"/>
              </w:rPr>
              <w:t>The plan is adjusted as indicated to ensure the</w:t>
            </w:r>
            <w:r w:rsidR="004A4D8C">
              <w:rPr>
                <w:rFonts w:ascii="Calibri" w:hAnsi="Calibri" w:cs="Calibri"/>
              </w:rPr>
              <w:t xml:space="preserve"> youth and</w:t>
            </w:r>
            <w:r>
              <w:rPr>
                <w:rFonts w:ascii="Calibri" w:hAnsi="Calibri" w:cs="Calibri"/>
              </w:rPr>
              <w:t xml:space="preserve"> family's prioritized needs are met. </w:t>
            </w:r>
          </w:p>
        </w:tc>
        <w:tc>
          <w:tcPr>
            <w:tcW w:w="3510" w:type="dxa"/>
            <w:tcBorders>
              <w:top w:val="nil"/>
              <w:left w:val="nil"/>
              <w:bottom w:val="single" w:sz="4" w:space="0" w:color="auto"/>
              <w:right w:val="single" w:sz="4" w:space="0" w:color="auto"/>
            </w:tcBorders>
            <w:shd w:val="clear" w:color="auto" w:fill="DEEAF6" w:themeFill="accent1" w:themeFillTint="33"/>
          </w:tcPr>
          <w:p w:rsidR="00985D93" w:rsidRDefault="00985D93" w:rsidP="004A4D8C">
            <w:pPr>
              <w:rPr>
                <w:rFonts w:ascii="Calibri" w:hAnsi="Calibri" w:cs="Calibri"/>
              </w:rPr>
            </w:pPr>
            <w:r>
              <w:rPr>
                <w:rFonts w:ascii="Calibri" w:hAnsi="Calibri" w:cs="Calibri"/>
              </w:rPr>
              <w:t>Identify and celebrate successes in action steps</w:t>
            </w:r>
            <w:r w:rsidR="004A4D8C">
              <w:rPr>
                <w:rFonts w:ascii="Calibri" w:hAnsi="Calibri" w:cs="Calibri"/>
              </w:rPr>
              <w:t xml:space="preserve"> and goal achievement.  The youth and family</w:t>
            </w:r>
            <w:r>
              <w:rPr>
                <w:rFonts w:ascii="Calibri" w:hAnsi="Calibri" w:cs="Calibri"/>
              </w:rPr>
              <w:t xml:space="preserve"> will feel the positive momentum and increase confidence in reaching their vision.</w:t>
            </w:r>
          </w:p>
        </w:tc>
        <w:tc>
          <w:tcPr>
            <w:tcW w:w="3870" w:type="dxa"/>
            <w:tcBorders>
              <w:top w:val="nil"/>
              <w:left w:val="nil"/>
              <w:bottom w:val="single" w:sz="4" w:space="0" w:color="auto"/>
              <w:right w:val="single" w:sz="4" w:space="0" w:color="auto"/>
            </w:tcBorders>
            <w:shd w:val="clear" w:color="auto" w:fill="DEEAF6" w:themeFill="accent1" w:themeFillTint="33"/>
          </w:tcPr>
          <w:p w:rsidR="00985D93" w:rsidRDefault="00985D93" w:rsidP="00985D93">
            <w:pPr>
              <w:rPr>
                <w:rFonts w:ascii="Calibri" w:hAnsi="Calibri" w:cs="Calibri"/>
              </w:rPr>
            </w:pPr>
            <w:r>
              <w:rPr>
                <w:rFonts w:ascii="Calibri" w:hAnsi="Calibri" w:cs="Calibri"/>
              </w:rPr>
              <w:t>Following up with natural supports on implementation and providing them with needed support to implement and be successful with their action steps strengthens their support for the youth and family.</w:t>
            </w:r>
          </w:p>
          <w:p w:rsidR="0020356B" w:rsidRDefault="0020356B" w:rsidP="00985D93">
            <w:pPr>
              <w:rPr>
                <w:rFonts w:ascii="Calibri" w:hAnsi="Calibri" w:cs="Calibri"/>
              </w:rPr>
            </w:pPr>
          </w:p>
        </w:tc>
        <w:tc>
          <w:tcPr>
            <w:tcW w:w="3690" w:type="dxa"/>
            <w:tcBorders>
              <w:top w:val="nil"/>
              <w:left w:val="nil"/>
              <w:bottom w:val="single" w:sz="4" w:space="0" w:color="auto"/>
              <w:right w:val="single" w:sz="8" w:space="0" w:color="auto"/>
            </w:tcBorders>
            <w:shd w:val="clear" w:color="auto" w:fill="DEEAF6" w:themeFill="accent1" w:themeFillTint="33"/>
          </w:tcPr>
          <w:p w:rsidR="00985D93" w:rsidRDefault="00985D93" w:rsidP="00985D93">
            <w:pPr>
              <w:rPr>
                <w:rFonts w:ascii="Calibri" w:hAnsi="Calibri" w:cs="Calibri"/>
              </w:rPr>
            </w:pPr>
            <w:r>
              <w:rPr>
                <w:rFonts w:ascii="Calibri" w:hAnsi="Calibri" w:cs="Calibri"/>
              </w:rPr>
              <w:t>Following up with all team members on plans reinforces the importance of the team's plan and build team cohesion.</w:t>
            </w:r>
          </w:p>
        </w:tc>
      </w:tr>
      <w:tr w:rsidR="00410072" w:rsidTr="0020356B">
        <w:tc>
          <w:tcPr>
            <w:tcW w:w="3870" w:type="dxa"/>
            <w:tcBorders>
              <w:top w:val="nil"/>
              <w:left w:val="single" w:sz="8" w:space="0" w:color="auto"/>
              <w:bottom w:val="single" w:sz="4" w:space="0" w:color="auto"/>
              <w:right w:val="single" w:sz="4" w:space="0" w:color="auto"/>
            </w:tcBorders>
            <w:shd w:val="clear" w:color="000000" w:fill="E2EFDA"/>
          </w:tcPr>
          <w:p w:rsidR="00410072" w:rsidRDefault="00410072" w:rsidP="00410072">
            <w:pPr>
              <w:rPr>
                <w:rFonts w:ascii="Calibri" w:hAnsi="Calibri" w:cs="Calibri"/>
                <w:b/>
                <w:bCs/>
                <w:color w:val="000000"/>
              </w:rPr>
            </w:pPr>
            <w:r>
              <w:rPr>
                <w:rFonts w:ascii="Calibri" w:hAnsi="Calibri" w:cs="Calibri"/>
                <w:b/>
                <w:bCs/>
                <w:color w:val="000000"/>
              </w:rPr>
              <w:t xml:space="preserve">Evaluate Success: </w:t>
            </w:r>
            <w:r>
              <w:rPr>
                <w:rFonts w:ascii="Calibri" w:hAnsi="Calibri" w:cs="Calibri"/>
                <w:color w:val="000000"/>
              </w:rPr>
              <w:t>during implementation, management there is a focus on outcomes.</w:t>
            </w:r>
          </w:p>
        </w:tc>
        <w:tc>
          <w:tcPr>
            <w:tcW w:w="3330" w:type="dxa"/>
            <w:tcBorders>
              <w:top w:val="single" w:sz="4" w:space="0" w:color="auto"/>
              <w:left w:val="single" w:sz="4" w:space="0" w:color="auto"/>
              <w:bottom w:val="single" w:sz="4" w:space="0" w:color="auto"/>
              <w:right w:val="single" w:sz="4" w:space="0" w:color="auto"/>
            </w:tcBorders>
            <w:shd w:val="clear" w:color="auto" w:fill="FFFFFF" w:themeFill="background1"/>
          </w:tcPr>
          <w:p w:rsidR="00410072" w:rsidRDefault="00410072" w:rsidP="00410072">
            <w:pPr>
              <w:rPr>
                <w:rFonts w:ascii="Calibri" w:hAnsi="Calibri" w:cs="Calibri"/>
              </w:rPr>
            </w:pPr>
            <w:r>
              <w:rPr>
                <w:rFonts w:ascii="Calibri" w:hAnsi="Calibri" w:cs="Calibri"/>
              </w:rPr>
              <w:t>Frequent monitoring of success promotes fine-tuning plans to better meet needs.</w:t>
            </w:r>
          </w:p>
        </w:tc>
        <w:tc>
          <w:tcPr>
            <w:tcW w:w="3510" w:type="dxa"/>
            <w:tcBorders>
              <w:top w:val="single" w:sz="4" w:space="0" w:color="auto"/>
              <w:left w:val="single" w:sz="4" w:space="0" w:color="auto"/>
              <w:bottom w:val="single" w:sz="4" w:space="0" w:color="auto"/>
              <w:right w:val="single" w:sz="4" w:space="0" w:color="auto"/>
            </w:tcBorders>
            <w:shd w:val="clear" w:color="auto" w:fill="FFFFFF" w:themeFill="background1"/>
          </w:tcPr>
          <w:p w:rsidR="00410072" w:rsidRDefault="00410072" w:rsidP="00410072">
            <w:pPr>
              <w:rPr>
                <w:rFonts w:ascii="Calibri" w:hAnsi="Calibri" w:cs="Calibri"/>
              </w:rPr>
            </w:pPr>
            <w:r>
              <w:rPr>
                <w:rFonts w:ascii="Calibri" w:hAnsi="Calibri" w:cs="Calibri"/>
              </w:rPr>
              <w:t xml:space="preserve">Monitoring success and ensuring success promotes the assumption that the youth and family can enjoy success. </w:t>
            </w:r>
          </w:p>
        </w:tc>
        <w:tc>
          <w:tcPr>
            <w:tcW w:w="3870" w:type="dxa"/>
            <w:tcBorders>
              <w:top w:val="single" w:sz="4" w:space="0" w:color="auto"/>
              <w:left w:val="nil"/>
              <w:bottom w:val="single" w:sz="4" w:space="0" w:color="auto"/>
              <w:right w:val="single" w:sz="4" w:space="0" w:color="auto"/>
            </w:tcBorders>
            <w:shd w:val="clear" w:color="000000" w:fill="FFFFFF"/>
          </w:tcPr>
          <w:p w:rsidR="00410072" w:rsidRDefault="00410072" w:rsidP="00410072">
            <w:pPr>
              <w:rPr>
                <w:rFonts w:ascii="Calibri" w:hAnsi="Calibri" w:cs="Calibri"/>
              </w:rPr>
            </w:pPr>
            <w:r>
              <w:rPr>
                <w:rFonts w:ascii="Calibri" w:hAnsi="Calibri" w:cs="Calibri"/>
              </w:rPr>
              <w:t>Monitoring success by natural supports can identify when things are working and when they are not, to refine strategies. Both strengthen their willingness to participate and sustain the youth and family in the future.</w:t>
            </w:r>
          </w:p>
        </w:tc>
        <w:tc>
          <w:tcPr>
            <w:tcW w:w="3690" w:type="dxa"/>
            <w:tcBorders>
              <w:top w:val="nil"/>
              <w:left w:val="single" w:sz="4" w:space="0" w:color="auto"/>
              <w:bottom w:val="single" w:sz="4" w:space="0" w:color="auto"/>
              <w:right w:val="single" w:sz="8" w:space="0" w:color="auto"/>
            </w:tcBorders>
            <w:shd w:val="clear" w:color="auto" w:fill="FFFFFF" w:themeFill="background1"/>
          </w:tcPr>
          <w:p w:rsidR="00410072" w:rsidRDefault="00410072" w:rsidP="00410072">
            <w:pPr>
              <w:rPr>
                <w:rFonts w:ascii="Calibri" w:hAnsi="Calibri" w:cs="Calibri"/>
              </w:rPr>
            </w:pPr>
            <w:r>
              <w:rPr>
                <w:rFonts w:ascii="Calibri" w:hAnsi="Calibri" w:cs="Calibri"/>
              </w:rPr>
              <w:t xml:space="preserve">Frequently measuring progress towards goals strengthens team cohesion and results in better outcomes. </w:t>
            </w:r>
          </w:p>
        </w:tc>
      </w:tr>
      <w:tr w:rsidR="00410072" w:rsidTr="0020356B">
        <w:tc>
          <w:tcPr>
            <w:tcW w:w="3870" w:type="dxa"/>
            <w:tcBorders>
              <w:top w:val="nil"/>
              <w:left w:val="single" w:sz="8" w:space="0" w:color="auto"/>
              <w:bottom w:val="single" w:sz="4" w:space="0" w:color="auto"/>
              <w:right w:val="single" w:sz="4" w:space="0" w:color="auto"/>
            </w:tcBorders>
            <w:shd w:val="clear" w:color="000000" w:fill="E2EFDA"/>
          </w:tcPr>
          <w:p w:rsidR="00410072" w:rsidRDefault="00410072" w:rsidP="00410072">
            <w:pPr>
              <w:rPr>
                <w:rFonts w:ascii="Calibri" w:hAnsi="Calibri" w:cs="Calibri"/>
                <w:color w:val="000000"/>
              </w:rPr>
            </w:pPr>
            <w:r>
              <w:rPr>
                <w:rFonts w:ascii="Calibri" w:hAnsi="Calibri" w:cs="Calibri"/>
                <w:b/>
                <w:bCs/>
                <w:color w:val="000000"/>
              </w:rPr>
              <w:lastRenderedPageBreak/>
              <w:t xml:space="preserve">Refine Plan as Needed: </w:t>
            </w:r>
            <w:r>
              <w:rPr>
                <w:rFonts w:ascii="Calibri" w:hAnsi="Calibri" w:cs="Calibri"/>
                <w:color w:val="000000"/>
              </w:rPr>
              <w:t>Planning is an ongoing process and the plan is refined and expanded as revealed through implementation management.</w:t>
            </w:r>
          </w:p>
        </w:tc>
        <w:tc>
          <w:tcPr>
            <w:tcW w:w="3330" w:type="dxa"/>
            <w:tcBorders>
              <w:top w:val="nil"/>
              <w:left w:val="nil"/>
              <w:bottom w:val="single" w:sz="4" w:space="0" w:color="auto"/>
              <w:right w:val="single" w:sz="4" w:space="0" w:color="auto"/>
            </w:tcBorders>
            <w:shd w:val="clear" w:color="auto" w:fill="DEEAF6" w:themeFill="accent1" w:themeFillTint="33"/>
          </w:tcPr>
          <w:p w:rsidR="00410072" w:rsidRDefault="00410072" w:rsidP="00410072">
            <w:pPr>
              <w:rPr>
                <w:rFonts w:ascii="Calibri" w:hAnsi="Calibri" w:cs="Calibri"/>
              </w:rPr>
            </w:pPr>
            <w:r>
              <w:rPr>
                <w:rFonts w:ascii="Calibri" w:hAnsi="Calibri" w:cs="Calibri"/>
              </w:rPr>
              <w:t>Continually refining the plan to reprioritize needs and to revise plans will improve outcomes moving the youth and family towards transition.</w:t>
            </w:r>
          </w:p>
        </w:tc>
        <w:tc>
          <w:tcPr>
            <w:tcW w:w="3510" w:type="dxa"/>
            <w:tcBorders>
              <w:top w:val="nil"/>
              <w:left w:val="nil"/>
              <w:bottom w:val="single" w:sz="4" w:space="0" w:color="auto"/>
              <w:right w:val="single" w:sz="4" w:space="0" w:color="auto"/>
            </w:tcBorders>
            <w:shd w:val="clear" w:color="auto" w:fill="DEEAF6" w:themeFill="accent1" w:themeFillTint="33"/>
          </w:tcPr>
          <w:p w:rsidR="00410072" w:rsidRDefault="00410072" w:rsidP="00410072">
            <w:pPr>
              <w:rPr>
                <w:rFonts w:ascii="Calibri" w:hAnsi="Calibri" w:cs="Calibri"/>
              </w:rPr>
            </w:pPr>
            <w:r>
              <w:rPr>
                <w:rFonts w:ascii="Calibri" w:hAnsi="Calibri" w:cs="Calibri"/>
              </w:rPr>
              <w:t>Refining the plan often with more short-term goals produces more success and thus increased confidence.</w:t>
            </w:r>
          </w:p>
        </w:tc>
        <w:tc>
          <w:tcPr>
            <w:tcW w:w="387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410072" w:rsidRDefault="00410072" w:rsidP="00410072">
            <w:pPr>
              <w:rPr>
                <w:rFonts w:ascii="Calibri" w:hAnsi="Calibri" w:cs="Calibri"/>
              </w:rPr>
            </w:pPr>
            <w:r>
              <w:rPr>
                <w:rFonts w:ascii="Calibri" w:hAnsi="Calibri" w:cs="Calibri"/>
              </w:rPr>
              <w:t xml:space="preserve">Listening to natural supports as important team members and refining plans to increase activities and tasks done by the natural supports, strengthens the youth and family system. </w:t>
            </w:r>
          </w:p>
        </w:tc>
        <w:tc>
          <w:tcPr>
            <w:tcW w:w="3690" w:type="dxa"/>
            <w:tcBorders>
              <w:top w:val="nil"/>
              <w:left w:val="nil"/>
              <w:bottom w:val="single" w:sz="4" w:space="0" w:color="auto"/>
              <w:right w:val="single" w:sz="8" w:space="0" w:color="auto"/>
            </w:tcBorders>
            <w:shd w:val="clear" w:color="auto" w:fill="DEEAF6" w:themeFill="accent1" w:themeFillTint="33"/>
          </w:tcPr>
          <w:p w:rsidR="00410072" w:rsidRDefault="00410072" w:rsidP="00410072">
            <w:pPr>
              <w:rPr>
                <w:rFonts w:ascii="Calibri" w:hAnsi="Calibri" w:cs="Calibri"/>
              </w:rPr>
            </w:pPr>
            <w:r>
              <w:rPr>
                <w:rFonts w:ascii="Calibri" w:hAnsi="Calibri" w:cs="Calibri"/>
              </w:rPr>
              <w:t>Refining the plan when needed builds team commitment and cohesion.</w:t>
            </w:r>
          </w:p>
        </w:tc>
      </w:tr>
      <w:tr w:rsidR="00410072" w:rsidTr="0020356B">
        <w:tc>
          <w:tcPr>
            <w:tcW w:w="3870" w:type="dxa"/>
            <w:tcBorders>
              <w:top w:val="nil"/>
              <w:left w:val="single" w:sz="8" w:space="0" w:color="auto"/>
              <w:bottom w:val="single" w:sz="4" w:space="0" w:color="auto"/>
              <w:right w:val="single" w:sz="4" w:space="0" w:color="auto"/>
            </w:tcBorders>
            <w:shd w:val="clear" w:color="000000" w:fill="E2EFDA"/>
          </w:tcPr>
          <w:p w:rsidR="00410072" w:rsidRDefault="00410072" w:rsidP="00410072">
            <w:pPr>
              <w:rPr>
                <w:rFonts w:ascii="Calibri" w:hAnsi="Calibri" w:cs="Calibri"/>
                <w:color w:val="000000"/>
              </w:rPr>
            </w:pPr>
            <w:r>
              <w:rPr>
                <w:rFonts w:ascii="Calibri" w:hAnsi="Calibri" w:cs="Calibri"/>
                <w:b/>
                <w:bCs/>
                <w:color w:val="000000"/>
              </w:rPr>
              <w:t>Move to Culture of Support:</w:t>
            </w:r>
            <w:r>
              <w:rPr>
                <w:rFonts w:ascii="Calibri" w:hAnsi="Calibri" w:cs="Calibri"/>
                <w:color w:val="000000"/>
              </w:rPr>
              <w:t xml:space="preserve"> Defining the youth and family's culture of support and changing the process to reflect this.</w:t>
            </w:r>
          </w:p>
        </w:tc>
        <w:tc>
          <w:tcPr>
            <w:tcW w:w="3330" w:type="dxa"/>
            <w:tcBorders>
              <w:top w:val="single" w:sz="4" w:space="0" w:color="auto"/>
              <w:left w:val="nil"/>
              <w:bottom w:val="single" w:sz="4" w:space="0" w:color="auto"/>
              <w:right w:val="single" w:sz="4" w:space="0" w:color="auto"/>
            </w:tcBorders>
            <w:shd w:val="clear" w:color="auto" w:fill="FFFFFF" w:themeFill="background1"/>
          </w:tcPr>
          <w:p w:rsidR="00410072" w:rsidRDefault="00410072" w:rsidP="00410072">
            <w:pPr>
              <w:rPr>
                <w:rFonts w:ascii="Calibri" w:hAnsi="Calibri" w:cs="Calibri"/>
              </w:rPr>
            </w:pPr>
            <w:r>
              <w:rPr>
                <w:rFonts w:ascii="Calibri" w:hAnsi="Calibri" w:cs="Calibri"/>
              </w:rPr>
              <w:t>The way a plan utilizes family's supports system to meet their needs increases long-term sustainability and outcomes.</w:t>
            </w:r>
          </w:p>
        </w:tc>
        <w:tc>
          <w:tcPr>
            <w:tcW w:w="3510" w:type="dxa"/>
            <w:tcBorders>
              <w:top w:val="single" w:sz="4" w:space="0" w:color="auto"/>
              <w:left w:val="nil"/>
              <w:bottom w:val="single" w:sz="4" w:space="0" w:color="auto"/>
              <w:right w:val="single" w:sz="4" w:space="0" w:color="auto"/>
            </w:tcBorders>
            <w:shd w:val="clear" w:color="auto" w:fill="FFFFFF" w:themeFill="background1"/>
          </w:tcPr>
          <w:p w:rsidR="00410072" w:rsidRDefault="00410072" w:rsidP="00410072">
            <w:pPr>
              <w:rPr>
                <w:rFonts w:ascii="Calibri" w:hAnsi="Calibri" w:cs="Calibri"/>
              </w:rPr>
            </w:pPr>
            <w:r>
              <w:rPr>
                <w:rFonts w:ascii="Calibri" w:hAnsi="Calibri" w:cs="Calibri"/>
              </w:rPr>
              <w:t>Moving to a culture of supports increases confidence the youth and family can sustain progress and address new needs after transition.</w:t>
            </w:r>
          </w:p>
        </w:tc>
        <w:tc>
          <w:tcPr>
            <w:tcW w:w="3870" w:type="dxa"/>
            <w:tcBorders>
              <w:top w:val="nil"/>
              <w:left w:val="nil"/>
              <w:bottom w:val="single" w:sz="4" w:space="0" w:color="auto"/>
              <w:right w:val="single" w:sz="4" w:space="0" w:color="auto"/>
            </w:tcBorders>
            <w:shd w:val="clear" w:color="auto" w:fill="FFFFFF" w:themeFill="background1"/>
          </w:tcPr>
          <w:p w:rsidR="00410072" w:rsidRDefault="00410072" w:rsidP="00410072">
            <w:pPr>
              <w:rPr>
                <w:rFonts w:ascii="Calibri" w:hAnsi="Calibri" w:cs="Calibri"/>
              </w:rPr>
            </w:pPr>
            <w:r>
              <w:rPr>
                <w:rFonts w:ascii="Calibri" w:hAnsi="Calibri" w:cs="Calibri"/>
              </w:rPr>
              <w:t>Defining and moving to a structure the youth and family is comfortable with increases natural support involvement after wraparound ends.</w:t>
            </w:r>
          </w:p>
        </w:tc>
        <w:tc>
          <w:tcPr>
            <w:tcW w:w="3690" w:type="dxa"/>
            <w:tcBorders>
              <w:top w:val="nil"/>
              <w:left w:val="single" w:sz="4" w:space="0" w:color="auto"/>
              <w:bottom w:val="single" w:sz="4" w:space="0" w:color="auto"/>
              <w:right w:val="single" w:sz="8" w:space="0" w:color="auto"/>
            </w:tcBorders>
            <w:shd w:val="clear" w:color="auto" w:fill="FFFFFF" w:themeFill="background1"/>
          </w:tcPr>
          <w:p w:rsidR="00410072" w:rsidRDefault="00410072" w:rsidP="00410072">
            <w:pPr>
              <w:rPr>
                <w:rFonts w:ascii="Calibri" w:hAnsi="Calibri" w:cs="Calibri"/>
              </w:rPr>
            </w:pPr>
            <w:r>
              <w:rPr>
                <w:rFonts w:ascii="Calibri" w:hAnsi="Calibri" w:cs="Calibri"/>
              </w:rPr>
              <w:t xml:space="preserve">The final transition to the sustainable family support system will enable the ongoing integration of plans. </w:t>
            </w:r>
          </w:p>
        </w:tc>
      </w:tr>
      <w:tr w:rsidR="00410072" w:rsidTr="0020356B">
        <w:tc>
          <w:tcPr>
            <w:tcW w:w="3870" w:type="dxa"/>
            <w:tcBorders>
              <w:top w:val="nil"/>
              <w:left w:val="single" w:sz="8" w:space="0" w:color="auto"/>
              <w:bottom w:val="single" w:sz="4" w:space="0" w:color="auto"/>
              <w:right w:val="single" w:sz="4" w:space="0" w:color="auto"/>
            </w:tcBorders>
            <w:shd w:val="clear" w:color="000000" w:fill="E2EFDA"/>
          </w:tcPr>
          <w:p w:rsidR="00410072" w:rsidRDefault="00410072" w:rsidP="00410072">
            <w:pPr>
              <w:rPr>
                <w:rFonts w:ascii="Calibri" w:hAnsi="Calibri" w:cs="Calibri"/>
                <w:color w:val="000000"/>
              </w:rPr>
            </w:pPr>
            <w:r>
              <w:rPr>
                <w:rFonts w:ascii="Calibri" w:hAnsi="Calibri" w:cs="Calibri"/>
                <w:b/>
                <w:bCs/>
                <w:color w:val="000000"/>
              </w:rPr>
              <w:t>Nurture Team Cohesion &amp; Trust:</w:t>
            </w:r>
            <w:r>
              <w:rPr>
                <w:rFonts w:ascii="Calibri" w:hAnsi="Calibri" w:cs="Calibri"/>
                <w:color w:val="000000"/>
              </w:rPr>
              <w:t xml:space="preserve"> The youth and family and wraparound staff continually work to engage and nurture team member commitment and engagement.</w:t>
            </w:r>
          </w:p>
        </w:tc>
        <w:tc>
          <w:tcPr>
            <w:tcW w:w="333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410072" w:rsidRDefault="00410072" w:rsidP="00410072">
            <w:pPr>
              <w:rPr>
                <w:rFonts w:ascii="Calibri" w:hAnsi="Calibri" w:cs="Calibri"/>
              </w:rPr>
            </w:pPr>
            <w:r>
              <w:rPr>
                <w:rFonts w:ascii="Calibri" w:hAnsi="Calibri" w:cs="Calibri"/>
              </w:rPr>
              <w:t>Needs are addressed through the help received from others. Needs are best met through consistent simplified plans from teams who work well together.</w:t>
            </w:r>
          </w:p>
        </w:tc>
        <w:tc>
          <w:tcPr>
            <w:tcW w:w="351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410072" w:rsidRDefault="00410072" w:rsidP="00410072">
            <w:pPr>
              <w:rPr>
                <w:rFonts w:ascii="Calibri" w:hAnsi="Calibri" w:cs="Calibri"/>
              </w:rPr>
            </w:pPr>
            <w:r>
              <w:rPr>
                <w:rFonts w:ascii="Calibri" w:hAnsi="Calibri" w:cs="Calibri"/>
              </w:rPr>
              <w:t xml:space="preserve">Holding everyone accountable, be willing to address and resolve conflict when it arises and talk honestly about barriers and never giving up creates a 'can do' environment. </w:t>
            </w:r>
          </w:p>
        </w:tc>
        <w:tc>
          <w:tcPr>
            <w:tcW w:w="387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410072" w:rsidRDefault="00410072" w:rsidP="00410072">
            <w:pPr>
              <w:rPr>
                <w:rFonts w:ascii="Calibri" w:hAnsi="Calibri" w:cs="Calibri"/>
              </w:rPr>
            </w:pPr>
            <w:r>
              <w:rPr>
                <w:rFonts w:ascii="Calibri" w:hAnsi="Calibri" w:cs="Calibri"/>
              </w:rPr>
              <w:t>All of the activities to build and strengthen team cohesion directly impact the strength of the natural support system for the youth and family.</w:t>
            </w:r>
          </w:p>
        </w:tc>
        <w:tc>
          <w:tcPr>
            <w:tcW w:w="3690" w:type="dxa"/>
            <w:tcBorders>
              <w:top w:val="nil"/>
              <w:left w:val="single" w:sz="4" w:space="0" w:color="auto"/>
              <w:bottom w:val="single" w:sz="4" w:space="0" w:color="auto"/>
              <w:right w:val="single" w:sz="8" w:space="0" w:color="auto"/>
            </w:tcBorders>
            <w:shd w:val="clear" w:color="auto" w:fill="DEEAF6" w:themeFill="accent1" w:themeFillTint="33"/>
          </w:tcPr>
          <w:p w:rsidR="00410072" w:rsidRDefault="00410072" w:rsidP="00410072">
            <w:pPr>
              <w:rPr>
                <w:rFonts w:ascii="Calibri" w:hAnsi="Calibri" w:cs="Calibri"/>
              </w:rPr>
            </w:pPr>
            <w:r>
              <w:rPr>
                <w:rFonts w:ascii="Calibri" w:hAnsi="Calibri" w:cs="Calibri"/>
              </w:rPr>
              <w:t>All of the successful strategies for increasing team cohesion strengthen support for the integrated plan.</w:t>
            </w:r>
          </w:p>
        </w:tc>
      </w:tr>
      <w:tr w:rsidR="00410072" w:rsidTr="0020356B">
        <w:tc>
          <w:tcPr>
            <w:tcW w:w="3870" w:type="dxa"/>
            <w:tcBorders>
              <w:top w:val="nil"/>
              <w:left w:val="single" w:sz="8" w:space="0" w:color="auto"/>
              <w:bottom w:val="single" w:sz="4" w:space="0" w:color="auto"/>
              <w:right w:val="single" w:sz="4" w:space="0" w:color="auto"/>
            </w:tcBorders>
            <w:shd w:val="clear" w:color="000000" w:fill="E2EFDA"/>
          </w:tcPr>
          <w:p w:rsidR="00410072" w:rsidRDefault="00410072" w:rsidP="00410072">
            <w:pPr>
              <w:rPr>
                <w:rFonts w:ascii="Calibri" w:hAnsi="Calibri" w:cs="Calibri"/>
                <w:b/>
                <w:bCs/>
                <w:color w:val="000000"/>
              </w:rPr>
            </w:pPr>
            <w:r>
              <w:rPr>
                <w:rFonts w:ascii="Calibri" w:hAnsi="Calibri" w:cs="Calibri"/>
                <w:b/>
                <w:bCs/>
                <w:color w:val="000000"/>
              </w:rPr>
              <w:t xml:space="preserve">System of Care Development: </w:t>
            </w:r>
            <w:r>
              <w:rPr>
                <w:rFonts w:ascii="Calibri" w:hAnsi="Calibri" w:cs="Calibri"/>
                <w:color w:val="000000"/>
              </w:rPr>
              <w:t>Wraparound staff support and model system of care development.</w:t>
            </w:r>
          </w:p>
        </w:tc>
        <w:tc>
          <w:tcPr>
            <w:tcW w:w="3330" w:type="dxa"/>
            <w:tcBorders>
              <w:top w:val="nil"/>
              <w:left w:val="nil"/>
              <w:bottom w:val="single" w:sz="4" w:space="0" w:color="auto"/>
              <w:right w:val="single" w:sz="4" w:space="0" w:color="auto"/>
            </w:tcBorders>
            <w:shd w:val="clear" w:color="auto" w:fill="FFFFFF" w:themeFill="background1"/>
          </w:tcPr>
          <w:p w:rsidR="00410072" w:rsidRDefault="00410072" w:rsidP="00410072">
            <w:pPr>
              <w:rPr>
                <w:rFonts w:ascii="Calibri" w:hAnsi="Calibri" w:cs="Calibri"/>
              </w:rPr>
            </w:pPr>
            <w:r>
              <w:rPr>
                <w:rFonts w:ascii="Calibri" w:hAnsi="Calibri" w:cs="Calibri"/>
              </w:rPr>
              <w:t>Some options to meet needs for the youth and family must be developed at the system of care level.</w:t>
            </w:r>
          </w:p>
        </w:tc>
        <w:tc>
          <w:tcPr>
            <w:tcW w:w="3510" w:type="dxa"/>
            <w:tcBorders>
              <w:top w:val="nil"/>
              <w:left w:val="nil"/>
              <w:bottom w:val="single" w:sz="4" w:space="0" w:color="auto"/>
              <w:right w:val="single" w:sz="4" w:space="0" w:color="auto"/>
            </w:tcBorders>
            <w:shd w:val="clear" w:color="auto" w:fill="FFFFFF" w:themeFill="background1"/>
          </w:tcPr>
          <w:p w:rsidR="00410072" w:rsidRDefault="00410072" w:rsidP="00410072">
            <w:pPr>
              <w:rPr>
                <w:rFonts w:ascii="Calibri" w:hAnsi="Calibri" w:cs="Calibri"/>
              </w:rPr>
            </w:pPr>
            <w:r>
              <w:rPr>
                <w:rFonts w:ascii="Calibri" w:hAnsi="Calibri" w:cs="Calibri"/>
              </w:rPr>
              <w:t>Living in and being part of a system of care community gives the youth and family hope and confidence that they have access to resources and community champions.</w:t>
            </w:r>
          </w:p>
        </w:tc>
        <w:tc>
          <w:tcPr>
            <w:tcW w:w="3870" w:type="dxa"/>
            <w:tcBorders>
              <w:top w:val="nil"/>
              <w:left w:val="nil"/>
              <w:bottom w:val="single" w:sz="4" w:space="0" w:color="auto"/>
              <w:right w:val="single" w:sz="4" w:space="0" w:color="auto"/>
            </w:tcBorders>
            <w:shd w:val="clear" w:color="auto" w:fill="FFFFFF" w:themeFill="background1"/>
          </w:tcPr>
          <w:p w:rsidR="00410072" w:rsidRDefault="00410072" w:rsidP="00410072">
            <w:pPr>
              <w:rPr>
                <w:rFonts w:ascii="Calibri" w:hAnsi="Calibri" w:cs="Calibri"/>
              </w:rPr>
            </w:pPr>
            <w:r>
              <w:rPr>
                <w:rFonts w:ascii="Calibri" w:hAnsi="Calibri" w:cs="Calibri"/>
              </w:rPr>
              <w:t>Strong systems of care integrate efforts of multiple community supports and natural supports.</w:t>
            </w:r>
          </w:p>
        </w:tc>
        <w:tc>
          <w:tcPr>
            <w:tcW w:w="3690" w:type="dxa"/>
            <w:tcBorders>
              <w:top w:val="nil"/>
              <w:left w:val="nil"/>
              <w:bottom w:val="single" w:sz="4" w:space="0" w:color="auto"/>
              <w:right w:val="single" w:sz="8" w:space="0" w:color="auto"/>
            </w:tcBorders>
            <w:shd w:val="clear" w:color="auto" w:fill="FFFFFF" w:themeFill="background1"/>
          </w:tcPr>
          <w:p w:rsidR="00410072" w:rsidRDefault="00410072" w:rsidP="00410072">
            <w:pPr>
              <w:rPr>
                <w:rFonts w:ascii="Calibri" w:hAnsi="Calibri" w:cs="Calibri"/>
              </w:rPr>
            </w:pPr>
            <w:r>
              <w:rPr>
                <w:rFonts w:ascii="Calibri" w:hAnsi="Calibri" w:cs="Calibri"/>
              </w:rPr>
              <w:t>Systems of care are focused on different programs, agencies, and groups working together at the system and individual family level.</w:t>
            </w:r>
          </w:p>
        </w:tc>
      </w:tr>
      <w:tr w:rsidR="00410072" w:rsidTr="0020356B">
        <w:tc>
          <w:tcPr>
            <w:tcW w:w="3870" w:type="dxa"/>
            <w:tcBorders>
              <w:top w:val="nil"/>
              <w:left w:val="single" w:sz="8" w:space="0" w:color="auto"/>
              <w:bottom w:val="single" w:sz="8" w:space="0" w:color="auto"/>
              <w:right w:val="single" w:sz="4" w:space="0" w:color="auto"/>
            </w:tcBorders>
            <w:shd w:val="clear" w:color="000000" w:fill="E2EFDA"/>
          </w:tcPr>
          <w:p w:rsidR="00410072" w:rsidRDefault="00410072" w:rsidP="00410072">
            <w:pPr>
              <w:rPr>
                <w:rFonts w:ascii="Calibri" w:hAnsi="Calibri" w:cs="Calibri"/>
                <w:color w:val="000000"/>
              </w:rPr>
            </w:pPr>
            <w:r>
              <w:rPr>
                <w:rFonts w:ascii="Calibri" w:hAnsi="Calibri" w:cs="Calibri"/>
                <w:b/>
                <w:bCs/>
                <w:color w:val="000000"/>
              </w:rPr>
              <w:t xml:space="preserve">Transition: </w:t>
            </w:r>
            <w:r>
              <w:rPr>
                <w:rFonts w:ascii="Calibri" w:hAnsi="Calibri" w:cs="Calibri"/>
                <w:color w:val="000000"/>
              </w:rPr>
              <w:t>This phase summarizes transition readiness, progress, and ensures the youth and family are ready for graduation.</w:t>
            </w:r>
          </w:p>
          <w:p w:rsidR="00410072" w:rsidRDefault="00410072" w:rsidP="00410072">
            <w:pPr>
              <w:rPr>
                <w:rFonts w:ascii="Calibri" w:hAnsi="Calibri" w:cs="Calibri"/>
                <w:b/>
                <w:bCs/>
                <w:color w:val="000000"/>
              </w:rPr>
            </w:pPr>
          </w:p>
        </w:tc>
        <w:tc>
          <w:tcPr>
            <w:tcW w:w="3330" w:type="dxa"/>
            <w:tcBorders>
              <w:top w:val="single" w:sz="4" w:space="0" w:color="auto"/>
              <w:left w:val="single" w:sz="4" w:space="0" w:color="auto"/>
              <w:bottom w:val="single" w:sz="8" w:space="0" w:color="auto"/>
              <w:right w:val="single" w:sz="4" w:space="0" w:color="auto"/>
            </w:tcBorders>
            <w:shd w:val="clear" w:color="auto" w:fill="DEEAF6" w:themeFill="accent1" w:themeFillTint="33"/>
          </w:tcPr>
          <w:p w:rsidR="00410072" w:rsidRDefault="00410072" w:rsidP="00410072">
            <w:pPr>
              <w:rPr>
                <w:rFonts w:ascii="Calibri" w:hAnsi="Calibri" w:cs="Calibri"/>
              </w:rPr>
            </w:pPr>
            <w:r>
              <w:rPr>
                <w:rFonts w:ascii="Calibri" w:hAnsi="Calibri" w:cs="Calibri"/>
              </w:rPr>
              <w:t>Transition plans focus on the needs the youth and family will have after formal wraparound ends.</w:t>
            </w:r>
          </w:p>
        </w:tc>
        <w:tc>
          <w:tcPr>
            <w:tcW w:w="3510" w:type="dxa"/>
            <w:tcBorders>
              <w:top w:val="single" w:sz="4" w:space="0" w:color="auto"/>
              <w:left w:val="nil"/>
              <w:bottom w:val="single" w:sz="8" w:space="0" w:color="auto"/>
              <w:right w:val="single" w:sz="4" w:space="0" w:color="auto"/>
            </w:tcBorders>
            <w:shd w:val="clear" w:color="auto" w:fill="DEEAF6" w:themeFill="accent1" w:themeFillTint="33"/>
          </w:tcPr>
          <w:p w:rsidR="00410072" w:rsidRDefault="00410072" w:rsidP="00410072">
            <w:pPr>
              <w:rPr>
                <w:rFonts w:ascii="Calibri" w:hAnsi="Calibri" w:cs="Calibri"/>
              </w:rPr>
            </w:pPr>
            <w:r>
              <w:rPr>
                <w:rFonts w:ascii="Calibri" w:hAnsi="Calibri" w:cs="Calibri"/>
              </w:rPr>
              <w:t xml:space="preserve">Making sure the family has a plan for sustaining gains and they have already taken over planning and implementation management give them the confidence to succeed after transition. </w:t>
            </w:r>
          </w:p>
        </w:tc>
        <w:tc>
          <w:tcPr>
            <w:tcW w:w="3870" w:type="dxa"/>
            <w:tcBorders>
              <w:top w:val="single" w:sz="4" w:space="0" w:color="auto"/>
              <w:left w:val="single" w:sz="4" w:space="0" w:color="auto"/>
              <w:bottom w:val="single" w:sz="8" w:space="0" w:color="auto"/>
              <w:right w:val="single" w:sz="4" w:space="0" w:color="auto"/>
            </w:tcBorders>
            <w:shd w:val="clear" w:color="auto" w:fill="DEEAF6" w:themeFill="accent1" w:themeFillTint="33"/>
          </w:tcPr>
          <w:p w:rsidR="00410072" w:rsidRDefault="00410072" w:rsidP="00410072">
            <w:pPr>
              <w:rPr>
                <w:rFonts w:ascii="Calibri" w:hAnsi="Calibri" w:cs="Calibri"/>
              </w:rPr>
            </w:pPr>
            <w:r>
              <w:rPr>
                <w:rFonts w:ascii="Calibri" w:hAnsi="Calibri" w:cs="Calibri"/>
              </w:rPr>
              <w:t>Celebrating the accomplishments and contributions of natural supports and defining their support roles post wraparound strengthens the natural support system of the youth and family.</w:t>
            </w:r>
          </w:p>
        </w:tc>
        <w:tc>
          <w:tcPr>
            <w:tcW w:w="3690" w:type="dxa"/>
            <w:tcBorders>
              <w:top w:val="nil"/>
              <w:left w:val="single" w:sz="4" w:space="0" w:color="auto"/>
              <w:bottom w:val="single" w:sz="8" w:space="0" w:color="auto"/>
              <w:right w:val="single" w:sz="8" w:space="0" w:color="auto"/>
            </w:tcBorders>
            <w:shd w:val="clear" w:color="auto" w:fill="DEEAF6" w:themeFill="accent1" w:themeFillTint="33"/>
          </w:tcPr>
          <w:p w:rsidR="00410072" w:rsidRDefault="00410072" w:rsidP="00410072">
            <w:pPr>
              <w:rPr>
                <w:rFonts w:ascii="Calibri" w:hAnsi="Calibri" w:cs="Calibri"/>
              </w:rPr>
            </w:pPr>
            <w:r>
              <w:rPr>
                <w:rFonts w:ascii="Calibri" w:hAnsi="Calibri" w:cs="Calibri"/>
              </w:rPr>
              <w:t xml:space="preserve">Celebrating the accomplishments and contributions of team members and celebrating youth and family progress solidifies wraparound efficacy. </w:t>
            </w:r>
          </w:p>
        </w:tc>
      </w:tr>
    </w:tbl>
    <w:p w:rsidR="00312C19" w:rsidRDefault="00312C19"/>
    <w:sectPr w:rsidR="00312C19" w:rsidSect="009C644A">
      <w:footerReference w:type="default" r:id="rId7"/>
      <w:headerReference w:type="first" r:id="rId8"/>
      <w:pgSz w:w="20160" w:h="12240" w:orient="landscape" w:code="5"/>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E1F" w:rsidRDefault="00610E1F" w:rsidP="00420215">
      <w:pPr>
        <w:spacing w:after="0" w:line="240" w:lineRule="auto"/>
      </w:pPr>
      <w:r>
        <w:separator/>
      </w:r>
    </w:p>
  </w:endnote>
  <w:endnote w:type="continuationSeparator" w:id="0">
    <w:p w:rsidR="00610E1F" w:rsidRDefault="00610E1F" w:rsidP="00420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2"/>
        <w:szCs w:val="22"/>
      </w:rPr>
      <w:id w:val="723879587"/>
      <w:docPartObj>
        <w:docPartGallery w:val="Page Numbers (Bottom of Page)"/>
        <w:docPartUnique/>
      </w:docPartObj>
    </w:sdtPr>
    <w:sdtEndPr>
      <w:rPr>
        <w:color w:val="7F7F7F" w:themeColor="background1" w:themeShade="7F"/>
        <w:spacing w:val="60"/>
      </w:rPr>
    </w:sdtEndPr>
    <w:sdtContent>
      <w:p w:rsidR="0020356B" w:rsidRPr="00707E83" w:rsidRDefault="0020356B" w:rsidP="0020356B">
        <w:pPr>
          <w:pStyle w:val="FootnoteText"/>
        </w:pPr>
        <w:r>
          <w:fldChar w:fldCharType="begin"/>
        </w:r>
        <w:r>
          <w:instrText xml:space="preserve"> PAGE   \* MERGEFORMAT </w:instrText>
        </w:r>
        <w:r>
          <w:fldChar w:fldCharType="separate"/>
        </w:r>
        <w:r w:rsidR="00C57A83" w:rsidRPr="00C57A83">
          <w:rPr>
            <w:b/>
            <w:bCs/>
            <w:noProof/>
          </w:rPr>
          <w:t>2</w:t>
        </w:r>
        <w:r>
          <w:rPr>
            <w:b/>
            <w:bCs/>
            <w:noProof/>
          </w:rPr>
          <w:fldChar w:fldCharType="end"/>
        </w:r>
        <w:r>
          <w:rPr>
            <w:b/>
            <w:bCs/>
          </w:rPr>
          <w:t xml:space="preserve"> | </w:t>
        </w:r>
        <w:r>
          <w:rPr>
            <w:color w:val="7F7F7F" w:themeColor="background1" w:themeShade="7F"/>
            <w:spacing w:val="60"/>
          </w:rPr>
          <w:t>Page</w:t>
        </w:r>
        <w:bookmarkStart w:id="0" w:name="_GoBack"/>
        <w:r>
          <w:rPr>
            <w:color w:val="7F7F7F" w:themeColor="background1" w:themeShade="7F"/>
            <w:spacing w:val="60"/>
          </w:rPr>
          <w:tab/>
        </w:r>
        <w:r>
          <w:rPr>
            <w:color w:val="7F7F7F" w:themeColor="background1" w:themeShade="7F"/>
            <w:spacing w:val="60"/>
          </w:rPr>
          <w:tab/>
        </w:r>
        <w:r>
          <w:rPr>
            <w:color w:val="7F7F7F" w:themeColor="background1" w:themeShade="7F"/>
            <w:spacing w:val="60"/>
          </w:rPr>
          <w:tab/>
        </w:r>
        <w:r>
          <w:rPr>
            <w:color w:val="7F7F7F" w:themeColor="background1" w:themeShade="7F"/>
            <w:spacing w:val="60"/>
          </w:rPr>
          <w:tab/>
        </w:r>
        <w:bookmarkEnd w:id="0"/>
        <w:r w:rsidRPr="00707E83">
          <w:t>Adapted with permission from: Rast, J. &amp; Rastsmith, B. (2015). The foundations of high-fidelity wraparound: The wraparound facilitator textbook. Aurora, CO: Vroon VDB.</w:t>
        </w:r>
      </w:p>
      <w:p w:rsidR="0020356B" w:rsidRDefault="0020356B" w:rsidP="0020356B">
        <w:pPr>
          <w:pStyle w:val="Header"/>
          <w:jc w:val="right"/>
        </w:pPr>
      </w:p>
      <w:p w:rsidR="0020356B" w:rsidRDefault="00610E1F">
        <w:pPr>
          <w:pStyle w:val="Footer"/>
          <w:pBdr>
            <w:top w:val="single" w:sz="4" w:space="1" w:color="D9D9D9" w:themeColor="background1" w:themeShade="D9"/>
          </w:pBdr>
          <w:rPr>
            <w:b/>
            <w:bCs/>
          </w:rPr>
        </w:pPr>
      </w:p>
    </w:sdtContent>
  </w:sdt>
  <w:p w:rsidR="0020356B" w:rsidRDefault="002035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E1F" w:rsidRDefault="00610E1F" w:rsidP="00420215">
      <w:pPr>
        <w:spacing w:after="0" w:line="240" w:lineRule="auto"/>
      </w:pPr>
      <w:r>
        <w:separator/>
      </w:r>
    </w:p>
  </w:footnote>
  <w:footnote w:type="continuationSeparator" w:id="0">
    <w:p w:rsidR="00610E1F" w:rsidRDefault="00610E1F" w:rsidP="00420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44A" w:rsidRPr="009C644A" w:rsidRDefault="009C644A" w:rsidP="009C644A">
    <w:pPr>
      <w:rPr>
        <w:rFonts w:ascii="Calibri" w:hAnsi="Calibri" w:cs="Calibri"/>
      </w:rPr>
    </w:pPr>
    <w:r w:rsidRPr="009C644A">
      <w:rPr>
        <w:rFonts w:ascii="Calibri" w:hAnsi="Calibri" w:cs="Calibri"/>
      </w:rPr>
      <w:t xml:space="preserve">Vroon VanDenBerg states that the </w:t>
    </w:r>
    <w:r w:rsidRPr="009C644A">
      <w:rPr>
        <w:rFonts w:ascii="Calibri" w:hAnsi="Calibri" w:cs="Calibri"/>
        <w:b/>
        <w:bCs/>
      </w:rPr>
      <w:t>Theory of Change (TOC)</w:t>
    </w:r>
    <w:r w:rsidRPr="009C644A">
      <w:rPr>
        <w:rFonts w:ascii="Calibri" w:hAnsi="Calibri" w:cs="Calibri"/>
      </w:rPr>
      <w:t xml:space="preserve"> is the theoretical foundation of the wraparound process, it’s </w:t>
    </w:r>
    <w:r w:rsidRPr="009C644A">
      <w:rPr>
        <w:rFonts w:ascii="Calibri" w:hAnsi="Calibri" w:cs="Calibri"/>
        <w:b/>
        <w:bCs/>
        <w:i/>
        <w:iCs/>
      </w:rPr>
      <w:t>why wraparound works</w:t>
    </w:r>
    <w:r w:rsidRPr="009C644A">
      <w:rPr>
        <w:rFonts w:ascii="Calibri" w:hAnsi="Calibri" w:cs="Calibri"/>
      </w:rPr>
      <w:t>. It shows how the wraparound process will create sustainable outcomes and why it’s different from other services. The TOC grid is broken out into four key components. The chart offers examples of wraparound activities that align with the TOC. This tool should be used in supervision and regular practice fo</w:t>
    </w:r>
    <w:r>
      <w:rPr>
        <w:rFonts w:ascii="Calibri" w:hAnsi="Calibri" w:cs="Calibri"/>
      </w:rPr>
      <w:t xml:space="preserve">r </w:t>
    </w:r>
    <w:r w:rsidRPr="009C644A">
      <w:rPr>
        <w:rFonts w:ascii="Calibri" w:hAnsi="Calibri" w:cs="Calibri"/>
      </w:rPr>
      <w:t>CCs and FPs to ensure that families attain long-term success.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19"/>
    <w:rsid w:val="00127282"/>
    <w:rsid w:val="0020356B"/>
    <w:rsid w:val="002A1213"/>
    <w:rsid w:val="002B6AC1"/>
    <w:rsid w:val="00312C19"/>
    <w:rsid w:val="00410072"/>
    <w:rsid w:val="00420215"/>
    <w:rsid w:val="004A4D8C"/>
    <w:rsid w:val="0057779A"/>
    <w:rsid w:val="005C0900"/>
    <w:rsid w:val="005D67CD"/>
    <w:rsid w:val="00610E1F"/>
    <w:rsid w:val="007F5C06"/>
    <w:rsid w:val="00985D93"/>
    <w:rsid w:val="009C3731"/>
    <w:rsid w:val="009C644A"/>
    <w:rsid w:val="00C57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F5E77E8-9118-4681-816C-89E62C959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2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02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215"/>
  </w:style>
  <w:style w:type="paragraph" w:styleId="Footer">
    <w:name w:val="footer"/>
    <w:basedOn w:val="Normal"/>
    <w:link w:val="FooterChar"/>
    <w:uiPriority w:val="99"/>
    <w:unhideWhenUsed/>
    <w:rsid w:val="00420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215"/>
  </w:style>
  <w:style w:type="paragraph" w:styleId="FootnoteText">
    <w:name w:val="footnote text"/>
    <w:basedOn w:val="Normal"/>
    <w:link w:val="FootnoteTextChar"/>
    <w:uiPriority w:val="99"/>
    <w:unhideWhenUsed/>
    <w:rsid w:val="0020356B"/>
    <w:pPr>
      <w:spacing w:after="0" w:line="240" w:lineRule="auto"/>
    </w:pPr>
    <w:rPr>
      <w:rFonts w:ascii="Arial" w:hAnsi="Arial"/>
      <w:sz w:val="20"/>
      <w:szCs w:val="20"/>
    </w:rPr>
  </w:style>
  <w:style w:type="character" w:customStyle="1" w:styleId="FootnoteTextChar">
    <w:name w:val="Footnote Text Char"/>
    <w:basedOn w:val="DefaultParagraphFont"/>
    <w:link w:val="FootnoteText"/>
    <w:uiPriority w:val="99"/>
    <w:rsid w:val="0020356B"/>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652">
      <w:bodyDiv w:val="1"/>
      <w:marLeft w:val="0"/>
      <w:marRight w:val="0"/>
      <w:marTop w:val="0"/>
      <w:marBottom w:val="0"/>
      <w:divBdr>
        <w:top w:val="none" w:sz="0" w:space="0" w:color="auto"/>
        <w:left w:val="none" w:sz="0" w:space="0" w:color="auto"/>
        <w:bottom w:val="none" w:sz="0" w:space="0" w:color="auto"/>
        <w:right w:val="none" w:sz="0" w:space="0" w:color="auto"/>
      </w:divBdr>
    </w:div>
    <w:div w:id="1322155990">
      <w:bodyDiv w:val="1"/>
      <w:marLeft w:val="0"/>
      <w:marRight w:val="0"/>
      <w:marTop w:val="0"/>
      <w:marBottom w:val="0"/>
      <w:divBdr>
        <w:top w:val="none" w:sz="0" w:space="0" w:color="auto"/>
        <w:left w:val="none" w:sz="0" w:space="0" w:color="auto"/>
        <w:bottom w:val="none" w:sz="0" w:space="0" w:color="auto"/>
        <w:right w:val="none" w:sz="0" w:space="0" w:color="auto"/>
      </w:divBdr>
    </w:div>
    <w:div w:id="183379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A2C7C-72EE-4A3F-BF93-55E50D1A7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2105</Words>
  <Characters>12002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Technical Assistance Collaborative, Inc.</Company>
  <LinksUpToDate>false</LinksUpToDate>
  <CharactersWithSpaces>14079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Tobey</dc:creator>
  <cp:keywords/>
  <dc:description/>
  <cp:lastModifiedBy>Lam, Vivian (EHS)</cp:lastModifiedBy>
  <cp:revision>5</cp:revision>
  <dcterms:created xsi:type="dcterms:W3CDTF">2021-04-08T19:01:00Z</dcterms:created>
  <dcterms:modified xsi:type="dcterms:W3CDTF">2021-12-22T19:33:00Z</dcterms:modified>
</cp:coreProperties>
</file>