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0BACB0" w14:textId="77777777" w:rsidR="009E1023" w:rsidRPr="0005604E" w:rsidRDefault="009E1023" w:rsidP="009E1023">
      <w:pPr>
        <w:jc w:val="center"/>
        <w:outlineLvl w:val="0"/>
        <w:rPr>
          <w:rFonts w:ascii="Courier New" w:hAnsi="Courier New" w:cs="Courier New"/>
          <w:b/>
        </w:rPr>
      </w:pPr>
      <w:r w:rsidRPr="0005604E">
        <w:rPr>
          <w:rFonts w:ascii="Courier New" w:hAnsi="Courier New" w:cs="Courier New"/>
          <w:b/>
        </w:rPr>
        <w:t>COMMONWEALTH OF MASSACHUSETTS</w:t>
      </w:r>
    </w:p>
    <w:p w14:paraId="6AECCDC0" w14:textId="77777777" w:rsidR="009E1023" w:rsidRPr="0005604E" w:rsidRDefault="009E1023" w:rsidP="009E1023">
      <w:pPr>
        <w:jc w:val="center"/>
        <w:rPr>
          <w:rFonts w:ascii="Courier New" w:hAnsi="Courier New" w:cs="Courier New"/>
          <w:b/>
        </w:rPr>
      </w:pPr>
    </w:p>
    <w:p w14:paraId="199E3B95" w14:textId="77777777" w:rsidR="009E1023" w:rsidRPr="0005604E" w:rsidRDefault="009E1023" w:rsidP="009E1023">
      <w:pPr>
        <w:jc w:val="center"/>
        <w:outlineLvl w:val="0"/>
        <w:rPr>
          <w:rFonts w:ascii="Courier New" w:hAnsi="Courier New" w:cs="Courier New"/>
          <w:b/>
        </w:rPr>
      </w:pPr>
      <w:r w:rsidRPr="0005604E">
        <w:rPr>
          <w:rFonts w:ascii="Courier New" w:hAnsi="Courier New" w:cs="Courier New"/>
          <w:b/>
        </w:rPr>
        <w:t>APPELLATE TAX BOARD</w:t>
      </w:r>
    </w:p>
    <w:p w14:paraId="66608E48" w14:textId="77777777" w:rsidR="009E1023" w:rsidRPr="0005604E" w:rsidRDefault="009E1023" w:rsidP="009E1023">
      <w:pPr>
        <w:rPr>
          <w:rFonts w:ascii="Courier New" w:hAnsi="Courier New" w:cs="Courier New"/>
          <w:b/>
        </w:rPr>
      </w:pPr>
    </w:p>
    <w:p w14:paraId="213F411E" w14:textId="77777777" w:rsidR="009E1023" w:rsidRPr="0005604E" w:rsidRDefault="009E1023" w:rsidP="009E1023">
      <w:pPr>
        <w:rPr>
          <w:rFonts w:ascii="Courier New" w:hAnsi="Courier New" w:cs="Courier New"/>
          <w:b/>
        </w:rPr>
      </w:pPr>
    </w:p>
    <w:p w14:paraId="12B1D107" w14:textId="6F9EDDDA" w:rsidR="009E1023" w:rsidRDefault="009E1023" w:rsidP="009E1023">
      <w:pPr>
        <w:rPr>
          <w:rFonts w:ascii="Courier New" w:hAnsi="Courier New" w:cs="Courier New"/>
          <w:b/>
        </w:rPr>
      </w:pPr>
      <w:r>
        <w:rPr>
          <w:rFonts w:ascii="Courier New" w:hAnsi="Courier New" w:cs="Courier New"/>
          <w:b/>
        </w:rPr>
        <w:t>THOMAS JEFFERSON MEMORIAL</w:t>
      </w:r>
      <w:r>
        <w:rPr>
          <w:rFonts w:ascii="Courier New" w:hAnsi="Courier New" w:cs="Courier New"/>
          <w:b/>
        </w:rPr>
        <w:tab/>
      </w:r>
      <w:r w:rsidR="00192E37">
        <w:rPr>
          <w:rFonts w:ascii="Courier New" w:hAnsi="Courier New" w:cs="Courier New"/>
          <w:b/>
        </w:rPr>
        <w:t> </w:t>
      </w:r>
      <w:r>
        <w:rPr>
          <w:rFonts w:ascii="Courier New" w:hAnsi="Courier New" w:cs="Courier New"/>
          <w:b/>
        </w:rPr>
        <w:t>v.</w:t>
      </w:r>
      <w:r>
        <w:rPr>
          <w:rFonts w:ascii="Courier New" w:hAnsi="Courier New" w:cs="Courier New"/>
          <w:b/>
        </w:rPr>
        <w:tab/>
        <w:t>BOARD OF ASSESSORS OF THE</w:t>
      </w:r>
    </w:p>
    <w:p w14:paraId="56E37948" w14:textId="7CFF4F80" w:rsidR="00BC66E0" w:rsidRDefault="00BC66E0" w:rsidP="009E1023">
      <w:pPr>
        <w:rPr>
          <w:rFonts w:ascii="Courier New" w:hAnsi="Courier New" w:cs="Courier New"/>
          <w:b/>
        </w:rPr>
      </w:pPr>
      <w:r>
        <w:rPr>
          <w:rFonts w:ascii="Courier New" w:hAnsi="Courier New" w:cs="Courier New"/>
          <w:b/>
        </w:rPr>
        <w:t>CENTER AT COOLIDGE POINT,</w:t>
      </w:r>
      <w:r w:rsidR="00D23BBE">
        <w:rPr>
          <w:rFonts w:ascii="Courier New" w:hAnsi="Courier New" w:cs="Courier New"/>
          <w:b/>
        </w:rPr>
        <w:t xml:space="preserve"> INC.</w:t>
      </w:r>
      <w:r>
        <w:rPr>
          <w:rFonts w:ascii="Courier New" w:hAnsi="Courier New" w:cs="Courier New"/>
          <w:b/>
        </w:rPr>
        <w:t xml:space="preserve"> </w:t>
      </w:r>
      <w:r>
        <w:rPr>
          <w:rFonts w:ascii="Courier New" w:hAnsi="Courier New" w:cs="Courier New"/>
          <w:b/>
        </w:rPr>
        <w:tab/>
      </w:r>
      <w:r w:rsidR="009E1023">
        <w:rPr>
          <w:rFonts w:ascii="Courier New" w:hAnsi="Courier New" w:cs="Courier New"/>
          <w:b/>
        </w:rPr>
        <w:t>TOWN OF MANCHESTER-BY-THE-SEA</w:t>
      </w:r>
    </w:p>
    <w:p w14:paraId="62328CB8" w14:textId="77777777" w:rsidR="008433E8" w:rsidRDefault="008433E8" w:rsidP="009E1023">
      <w:pPr>
        <w:rPr>
          <w:rFonts w:ascii="Courier New" w:hAnsi="Courier New" w:cs="Courier New"/>
          <w:b/>
        </w:rPr>
      </w:pPr>
    </w:p>
    <w:p w14:paraId="5C3758D8" w14:textId="77777777" w:rsidR="009E1023" w:rsidRPr="00310508" w:rsidRDefault="009E1023" w:rsidP="009E1023">
      <w:pPr>
        <w:rPr>
          <w:rFonts w:ascii="Courier New" w:hAnsi="Courier New" w:cs="Courier New"/>
          <w:b/>
        </w:rPr>
      </w:pPr>
    </w:p>
    <w:p w14:paraId="52582CEF" w14:textId="79B3EBE0" w:rsidR="009E1023" w:rsidRPr="00776A60" w:rsidRDefault="009E1023" w:rsidP="009E1023">
      <w:pPr>
        <w:rPr>
          <w:rFonts w:ascii="Courier New" w:hAnsi="Courier New" w:cs="Courier New"/>
        </w:rPr>
      </w:pPr>
      <w:r>
        <w:rPr>
          <w:rFonts w:ascii="Courier New" w:hAnsi="Courier New" w:cs="Courier New"/>
        </w:rPr>
        <w:t>Docket Nos.</w:t>
      </w:r>
      <w:r w:rsidR="008433E8">
        <w:rPr>
          <w:rFonts w:ascii="Courier New" w:hAnsi="Courier New" w:cs="Courier New"/>
        </w:rPr>
        <w:t>:</w:t>
      </w:r>
      <w:r>
        <w:rPr>
          <w:rFonts w:ascii="Courier New" w:hAnsi="Courier New" w:cs="Courier New"/>
        </w:rPr>
        <w:t xml:space="preserve"> F325113, F</w:t>
      </w:r>
      <w:r w:rsidR="008433E8">
        <w:rPr>
          <w:rFonts w:ascii="Courier New" w:hAnsi="Courier New" w:cs="Courier New"/>
        </w:rPr>
        <w:t>3</w:t>
      </w:r>
      <w:r>
        <w:rPr>
          <w:rFonts w:ascii="Courier New" w:hAnsi="Courier New" w:cs="Courier New"/>
        </w:rPr>
        <w:t>25602</w:t>
      </w:r>
      <w:r>
        <w:rPr>
          <w:rFonts w:ascii="Courier New" w:hAnsi="Courier New" w:cs="Courier New"/>
        </w:rPr>
        <w:tab/>
      </w:r>
      <w:r>
        <w:rPr>
          <w:rFonts w:ascii="Courier New" w:hAnsi="Courier New" w:cs="Courier New"/>
        </w:rPr>
        <w:tab/>
        <w:t>Promulgated:</w:t>
      </w:r>
      <w:r w:rsidRPr="00021E2E">
        <w:rPr>
          <w:rFonts w:ascii="Courier New" w:hAnsi="Courier New" w:cs="Courier New"/>
          <w:b/>
        </w:rPr>
        <w:t xml:space="preserve">   </w:t>
      </w:r>
    </w:p>
    <w:p w14:paraId="3CCE0C9C" w14:textId="33B91C4A" w:rsidR="008433E8" w:rsidRDefault="009E1023" w:rsidP="008433E8">
      <w:pPr>
        <w:pStyle w:val="NoSpacing"/>
        <w:tabs>
          <w:tab w:val="left" w:pos="0"/>
        </w:tabs>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00355C0F">
        <w:rPr>
          <w:rFonts w:ascii="Courier New" w:hAnsi="Courier New" w:cs="Courier New"/>
          <w:sz w:val="24"/>
          <w:szCs w:val="24"/>
        </w:rPr>
        <w:t>March 29, 2018</w:t>
      </w:r>
    </w:p>
    <w:p w14:paraId="25A9125F" w14:textId="77777777" w:rsidR="008433E8" w:rsidRDefault="008433E8" w:rsidP="008433E8">
      <w:pPr>
        <w:pStyle w:val="NoSpacing"/>
        <w:tabs>
          <w:tab w:val="left" w:pos="0"/>
        </w:tabs>
        <w:rPr>
          <w:rFonts w:ascii="Courier New" w:hAnsi="Courier New" w:cs="Courier New"/>
          <w:sz w:val="24"/>
          <w:szCs w:val="24"/>
        </w:rPr>
      </w:pPr>
    </w:p>
    <w:p w14:paraId="1BC0BE31" w14:textId="47C68354" w:rsidR="009E1023" w:rsidRPr="0005604E" w:rsidRDefault="009E1023" w:rsidP="008433E8">
      <w:pPr>
        <w:pStyle w:val="NoSpacing"/>
        <w:tabs>
          <w:tab w:val="left" w:pos="0"/>
        </w:tabs>
        <w:rPr>
          <w:rFonts w:ascii="Courier New" w:hAnsi="Courier New" w:cs="Courier New"/>
          <w:sz w:val="24"/>
          <w:szCs w:val="24"/>
        </w:rPr>
      </w:pPr>
      <w:r>
        <w:rPr>
          <w:rFonts w:ascii="Courier New" w:hAnsi="Courier New" w:cs="Courier New"/>
          <w:sz w:val="24"/>
          <w:szCs w:val="24"/>
        </w:rPr>
        <w:tab/>
      </w:r>
      <w:r>
        <w:rPr>
          <w:rFonts w:ascii="Courier New" w:hAnsi="Courier New" w:cs="Courier New"/>
          <w:b/>
        </w:rPr>
        <w:tab/>
      </w:r>
    </w:p>
    <w:p w14:paraId="4C4D30D2" w14:textId="5AAA1949" w:rsidR="009E1023" w:rsidRPr="0005604E" w:rsidRDefault="009E1023" w:rsidP="009E1023">
      <w:pPr>
        <w:tabs>
          <w:tab w:val="left" w:pos="6390"/>
        </w:tabs>
        <w:spacing w:line="480" w:lineRule="auto"/>
        <w:ind w:firstLine="720"/>
        <w:jc w:val="both"/>
        <w:rPr>
          <w:rFonts w:ascii="Courier New" w:hAnsi="Courier New" w:cs="Courier New"/>
        </w:rPr>
      </w:pPr>
      <w:r>
        <w:rPr>
          <w:rFonts w:ascii="Courier New" w:hAnsi="Courier New" w:cs="Courier New"/>
        </w:rPr>
        <w:t xml:space="preserve">These </w:t>
      </w:r>
      <w:r w:rsidR="00192E37">
        <w:rPr>
          <w:rFonts w:ascii="Courier New" w:hAnsi="Courier New" w:cs="Courier New"/>
        </w:rPr>
        <w:t>are appeals</w:t>
      </w:r>
      <w:r w:rsidR="008433E8">
        <w:rPr>
          <w:rFonts w:ascii="Courier New" w:hAnsi="Courier New" w:cs="Courier New"/>
        </w:rPr>
        <w:t xml:space="preserve"> </w:t>
      </w:r>
      <w:r w:rsidRPr="0005604E">
        <w:rPr>
          <w:rFonts w:ascii="Courier New" w:hAnsi="Courier New" w:cs="Courier New"/>
        </w:rPr>
        <w:t xml:space="preserve">filed under the formal procedure pursuant to G.L. c. </w:t>
      </w:r>
      <w:r>
        <w:rPr>
          <w:rFonts w:ascii="Courier New" w:hAnsi="Courier New" w:cs="Courier New"/>
        </w:rPr>
        <w:t>58A, § 7 and G.L. c. 59</w:t>
      </w:r>
      <w:r w:rsidRPr="0005604E">
        <w:rPr>
          <w:rFonts w:ascii="Courier New" w:hAnsi="Courier New" w:cs="Courier New"/>
        </w:rPr>
        <w:t>, §</w:t>
      </w:r>
      <w:r>
        <w:rPr>
          <w:rFonts w:ascii="Courier New" w:hAnsi="Courier New" w:cs="Courier New"/>
        </w:rPr>
        <w:t>§ 64 and 65</w:t>
      </w:r>
      <w:r w:rsidRPr="0005604E">
        <w:rPr>
          <w:rFonts w:ascii="Courier New" w:hAnsi="Courier New" w:cs="Courier New"/>
        </w:rPr>
        <w:t xml:space="preserve"> from the refusa</w:t>
      </w:r>
      <w:r>
        <w:rPr>
          <w:rFonts w:ascii="Courier New" w:hAnsi="Courier New" w:cs="Courier New"/>
        </w:rPr>
        <w:t>l of the Board of Assessors of the Town of Manchester-By-The-Sea</w:t>
      </w:r>
      <w:r w:rsidRPr="0005604E">
        <w:rPr>
          <w:rFonts w:ascii="Courier New" w:hAnsi="Courier New" w:cs="Courier New"/>
        </w:rPr>
        <w:t xml:space="preserve"> (“appelle</w:t>
      </w:r>
      <w:r>
        <w:rPr>
          <w:rFonts w:ascii="Courier New" w:hAnsi="Courier New" w:cs="Courier New"/>
        </w:rPr>
        <w:t>e”) to abate a tax on certain real estate, located in the Town of Manchester-By-The-Sea, owned by and assessed to Thomas Jefferson Memorial Center at Coolidge Point, Inc. (</w:t>
      </w:r>
      <w:r w:rsidR="000E6CF6">
        <w:rPr>
          <w:rFonts w:ascii="Courier New" w:hAnsi="Courier New" w:cs="Courier New"/>
        </w:rPr>
        <w:t xml:space="preserve">“TJMC” or </w:t>
      </w:r>
      <w:r>
        <w:rPr>
          <w:rFonts w:ascii="Courier New" w:hAnsi="Courier New" w:cs="Courier New"/>
        </w:rPr>
        <w:t>“appellant”) under G.L. c. 59, §§ 11 and 38, for fiscal years 2014 and 2015 (“fiscal years at issue”).</w:t>
      </w:r>
    </w:p>
    <w:p w14:paraId="4856CC05" w14:textId="1D645DFF" w:rsidR="009E1023" w:rsidRPr="0005604E" w:rsidRDefault="009E1023" w:rsidP="009E1023">
      <w:pPr>
        <w:spacing w:line="480" w:lineRule="auto"/>
        <w:ind w:firstLine="720"/>
        <w:jc w:val="both"/>
        <w:rPr>
          <w:rFonts w:ascii="Courier New" w:hAnsi="Courier New" w:cs="Courier New"/>
        </w:rPr>
      </w:pPr>
      <w:r w:rsidRPr="0005604E">
        <w:rPr>
          <w:rFonts w:ascii="Courier New" w:hAnsi="Courier New" w:cs="Courier New"/>
        </w:rPr>
        <w:t xml:space="preserve">Commissioner </w:t>
      </w:r>
      <w:r w:rsidR="00457324">
        <w:rPr>
          <w:rFonts w:ascii="Courier New" w:hAnsi="Courier New" w:cs="Courier New"/>
        </w:rPr>
        <w:t>Chmielinski heard the appeals</w:t>
      </w:r>
      <w:r w:rsidR="00F7215F">
        <w:rPr>
          <w:rFonts w:ascii="Courier New" w:hAnsi="Courier New" w:cs="Courier New"/>
        </w:rPr>
        <w:t>.</w:t>
      </w:r>
      <w:r>
        <w:rPr>
          <w:rFonts w:ascii="Courier New" w:hAnsi="Courier New" w:cs="Courier New"/>
        </w:rPr>
        <w:t xml:space="preserve">  He was joined by Chairman Hammond and Commission</w:t>
      </w:r>
      <w:r w:rsidR="00457324">
        <w:rPr>
          <w:rFonts w:ascii="Courier New" w:hAnsi="Courier New" w:cs="Courier New"/>
        </w:rPr>
        <w:t>ers Scharaffa, Rose and Good</w:t>
      </w:r>
      <w:r w:rsidR="00F7215F">
        <w:rPr>
          <w:rFonts w:ascii="Courier New" w:hAnsi="Courier New" w:cs="Courier New"/>
        </w:rPr>
        <w:t xml:space="preserve"> in </w:t>
      </w:r>
      <w:r w:rsidR="006932E2">
        <w:rPr>
          <w:rFonts w:ascii="Courier New" w:hAnsi="Courier New" w:cs="Courier New"/>
        </w:rPr>
        <w:t xml:space="preserve">allowing the </w:t>
      </w:r>
      <w:r w:rsidR="00426898">
        <w:rPr>
          <w:rFonts w:ascii="Courier New" w:hAnsi="Courier New" w:cs="Courier New"/>
        </w:rPr>
        <w:t xml:space="preserve">Post-Trial </w:t>
      </w:r>
      <w:r w:rsidR="006932E2">
        <w:rPr>
          <w:rFonts w:ascii="Courier New" w:hAnsi="Courier New" w:cs="Courier New"/>
        </w:rPr>
        <w:t xml:space="preserve">Motion to Dismiss </w:t>
      </w:r>
      <w:r w:rsidR="008433E8">
        <w:rPr>
          <w:rFonts w:ascii="Courier New" w:hAnsi="Courier New" w:cs="Courier New"/>
        </w:rPr>
        <w:t xml:space="preserve">for Lack of Jurisdiction in </w:t>
      </w:r>
      <w:r w:rsidR="006932E2">
        <w:rPr>
          <w:rFonts w:ascii="Courier New" w:hAnsi="Courier New" w:cs="Courier New"/>
        </w:rPr>
        <w:t xml:space="preserve">the appeal for fiscal year 2014 and </w:t>
      </w:r>
      <w:r w:rsidR="008433E8">
        <w:rPr>
          <w:rFonts w:ascii="Courier New" w:hAnsi="Courier New" w:cs="Courier New"/>
        </w:rPr>
        <w:t xml:space="preserve">in </w:t>
      </w:r>
      <w:r w:rsidR="00F7215F">
        <w:rPr>
          <w:rFonts w:ascii="Courier New" w:hAnsi="Courier New" w:cs="Courier New"/>
        </w:rPr>
        <w:t>the decision for the appelle</w:t>
      </w:r>
      <w:r w:rsidR="00457324">
        <w:rPr>
          <w:rFonts w:ascii="Courier New" w:hAnsi="Courier New" w:cs="Courier New"/>
        </w:rPr>
        <w:t>e</w:t>
      </w:r>
      <w:r w:rsidR="006932E2">
        <w:rPr>
          <w:rFonts w:ascii="Courier New" w:hAnsi="Courier New" w:cs="Courier New"/>
        </w:rPr>
        <w:t xml:space="preserve"> for fiscal year 2015</w:t>
      </w:r>
      <w:r>
        <w:rPr>
          <w:rFonts w:ascii="Courier New" w:hAnsi="Courier New"/>
        </w:rPr>
        <w:t>.</w:t>
      </w:r>
    </w:p>
    <w:p w14:paraId="44DDAC97" w14:textId="77777777" w:rsidR="009E1023" w:rsidRPr="0005604E" w:rsidRDefault="009E1023" w:rsidP="009E1023">
      <w:pPr>
        <w:spacing w:line="480" w:lineRule="auto"/>
        <w:jc w:val="both"/>
        <w:rPr>
          <w:rFonts w:ascii="Courier New" w:hAnsi="Courier New" w:cs="Courier New"/>
        </w:rPr>
      </w:pPr>
      <w:r w:rsidRPr="0005604E">
        <w:rPr>
          <w:rFonts w:ascii="Courier New" w:hAnsi="Courier New" w:cs="Courier New"/>
        </w:rPr>
        <w:tab/>
      </w:r>
      <w:r w:rsidRPr="001F6FB9">
        <w:rPr>
          <w:rFonts w:ascii="Courier New" w:hAnsi="Courier New" w:cs="Courier New"/>
        </w:rPr>
        <w:t xml:space="preserve">These findings of fact and report are made pursuant to </w:t>
      </w:r>
      <w:r>
        <w:rPr>
          <w:rFonts w:ascii="Courier New" w:hAnsi="Courier New" w:cs="Courier New"/>
        </w:rPr>
        <w:t xml:space="preserve">a </w:t>
      </w:r>
      <w:r w:rsidRPr="006932E2">
        <w:rPr>
          <w:rFonts w:ascii="Courier New" w:hAnsi="Courier New" w:cs="Courier New"/>
        </w:rPr>
        <w:t>request by the appellant</w:t>
      </w:r>
      <w:r w:rsidRPr="001F6FB9">
        <w:rPr>
          <w:rFonts w:ascii="Courier New" w:hAnsi="Courier New" w:cs="Courier New"/>
        </w:rPr>
        <w:t xml:space="preserve"> under G.L. c. 58A, § 13 and 831 CMR 1.32.</w:t>
      </w:r>
    </w:p>
    <w:p w14:paraId="0732EF5B" w14:textId="654FCBAB" w:rsidR="009E1023" w:rsidRPr="00192E37" w:rsidRDefault="00F7215F" w:rsidP="00192E37">
      <w:pPr>
        <w:ind w:firstLine="720"/>
        <w:rPr>
          <w:rFonts w:ascii="Courier New" w:hAnsi="Courier New" w:cs="Courier New"/>
        </w:rPr>
      </w:pPr>
      <w:r w:rsidRPr="00192E37">
        <w:rPr>
          <w:rFonts w:ascii="Courier New" w:hAnsi="Courier New" w:cs="Courier New"/>
          <w:i/>
        </w:rPr>
        <w:lastRenderedPageBreak/>
        <w:t>Jillian</w:t>
      </w:r>
      <w:r w:rsidR="00192E37">
        <w:rPr>
          <w:rFonts w:ascii="Courier New" w:hAnsi="Courier New" w:cs="Courier New"/>
          <w:i/>
        </w:rPr>
        <w:t> </w:t>
      </w:r>
      <w:r w:rsidRPr="00192E37">
        <w:rPr>
          <w:rFonts w:ascii="Courier New" w:hAnsi="Courier New" w:cs="Courier New"/>
          <w:i/>
        </w:rPr>
        <w:t>B.</w:t>
      </w:r>
      <w:r w:rsidR="00754BD0" w:rsidRPr="00192E37">
        <w:rPr>
          <w:rFonts w:ascii="Courier New" w:hAnsi="Courier New" w:cs="Courier New"/>
          <w:i/>
        </w:rPr>
        <w:t> </w:t>
      </w:r>
      <w:r w:rsidRPr="00192E37">
        <w:rPr>
          <w:rFonts w:ascii="Courier New" w:hAnsi="Courier New" w:cs="Courier New"/>
          <w:i/>
        </w:rPr>
        <w:t>Hirsch,</w:t>
      </w:r>
      <w:r w:rsidR="00754BD0" w:rsidRPr="00192E37">
        <w:rPr>
          <w:rFonts w:ascii="Courier New" w:hAnsi="Courier New" w:cs="Courier New"/>
          <w:i/>
        </w:rPr>
        <w:t> </w:t>
      </w:r>
      <w:r w:rsidRPr="00192E37">
        <w:rPr>
          <w:rFonts w:ascii="Courier New" w:hAnsi="Courier New" w:cs="Courier New"/>
          <w:i/>
        </w:rPr>
        <w:t>Esq.</w:t>
      </w:r>
      <w:r w:rsidR="008433E8" w:rsidRPr="00192E37">
        <w:rPr>
          <w:rFonts w:ascii="Courier New" w:hAnsi="Courier New" w:cs="Courier New"/>
          <w:i/>
        </w:rPr>
        <w:t>,</w:t>
      </w:r>
      <w:r w:rsidR="00754BD0" w:rsidRPr="00192E37">
        <w:rPr>
          <w:rFonts w:ascii="Courier New" w:hAnsi="Courier New" w:cs="Courier New"/>
          <w:i/>
        </w:rPr>
        <w:t> </w:t>
      </w:r>
      <w:r w:rsidR="008433E8" w:rsidRPr="00192E37">
        <w:rPr>
          <w:rFonts w:ascii="Courier New" w:hAnsi="Courier New" w:cs="Courier New"/>
          <w:i/>
        </w:rPr>
        <w:t>Da</w:t>
      </w:r>
      <w:r w:rsidR="00754BD0" w:rsidRPr="00192E37">
        <w:rPr>
          <w:rFonts w:ascii="Courier New" w:hAnsi="Courier New" w:cs="Courier New"/>
          <w:i/>
        </w:rPr>
        <w:t>rian M. Butcher, </w:t>
      </w:r>
      <w:r w:rsidR="008433E8" w:rsidRPr="00192E37">
        <w:rPr>
          <w:rFonts w:ascii="Courier New" w:hAnsi="Courier New" w:cs="Courier New"/>
          <w:i/>
        </w:rPr>
        <w:t>Esq.,</w:t>
      </w:r>
      <w:r w:rsidR="00192E37">
        <w:rPr>
          <w:rFonts w:ascii="Courier New" w:hAnsi="Courier New" w:cs="Courier New"/>
          <w:i/>
        </w:rPr>
        <w:t>  </w:t>
      </w:r>
      <w:r w:rsidR="008433E8" w:rsidRPr="00192E37">
        <w:rPr>
          <w:rFonts w:ascii="Courier New" w:hAnsi="Courier New" w:cs="Courier New"/>
          <w:i/>
        </w:rPr>
        <w:t>William</w:t>
      </w:r>
      <w:r w:rsidR="00192E37">
        <w:rPr>
          <w:rFonts w:ascii="Courier New" w:hAnsi="Courier New" w:cs="Courier New"/>
          <w:i/>
        </w:rPr>
        <w:t xml:space="preserve"> E.</w:t>
      </w:r>
      <w:r w:rsidR="008433E8" w:rsidRPr="00192E37">
        <w:rPr>
          <w:rFonts w:ascii="Courier New" w:hAnsi="Courier New" w:cs="Courier New"/>
          <w:i/>
        </w:rPr>
        <w:t xml:space="preserve"> </w:t>
      </w:r>
      <w:proofErr w:type="spellStart"/>
      <w:r w:rsidR="008433E8" w:rsidRPr="00192E37">
        <w:rPr>
          <w:rFonts w:ascii="Courier New" w:hAnsi="Courier New" w:cs="Courier New"/>
          <w:i/>
        </w:rPr>
        <w:t>Halmkin</w:t>
      </w:r>
      <w:proofErr w:type="spellEnd"/>
      <w:r w:rsidR="00754BD0" w:rsidRPr="00192E37">
        <w:rPr>
          <w:rFonts w:ascii="Courier New" w:hAnsi="Courier New" w:cs="Courier New"/>
          <w:i/>
        </w:rPr>
        <w:t>, </w:t>
      </w:r>
      <w:r w:rsidR="008433E8" w:rsidRPr="00192E37">
        <w:rPr>
          <w:rFonts w:ascii="Courier New" w:hAnsi="Courier New" w:cs="Courier New"/>
          <w:i/>
        </w:rPr>
        <w:t>Esq., R</w:t>
      </w:r>
      <w:r w:rsidR="00147329" w:rsidRPr="00192E37">
        <w:rPr>
          <w:rFonts w:ascii="Courier New" w:hAnsi="Courier New" w:cs="Courier New"/>
          <w:i/>
        </w:rPr>
        <w:t>ichard L. Jones, Esq.</w:t>
      </w:r>
      <w:r w:rsidR="009E1023" w:rsidRPr="00192E37">
        <w:rPr>
          <w:rFonts w:ascii="Courier New" w:hAnsi="Courier New" w:cs="Courier New"/>
          <w:i/>
        </w:rPr>
        <w:t xml:space="preserve"> </w:t>
      </w:r>
      <w:r w:rsidR="008433E8" w:rsidRPr="00192E37">
        <w:rPr>
          <w:rFonts w:ascii="Courier New" w:hAnsi="Courier New" w:cs="Courier New"/>
          <w:i/>
        </w:rPr>
        <w:t xml:space="preserve">and Judith G. Edington Esq. </w:t>
      </w:r>
      <w:r w:rsidR="009E1023" w:rsidRPr="00192E37">
        <w:rPr>
          <w:rFonts w:ascii="Courier New" w:hAnsi="Courier New" w:cs="Courier New"/>
        </w:rPr>
        <w:t>for the appellant.</w:t>
      </w:r>
    </w:p>
    <w:p w14:paraId="48152902" w14:textId="77777777" w:rsidR="009E1023" w:rsidRPr="00BF0F9F" w:rsidRDefault="009E1023" w:rsidP="00192E37">
      <w:pPr>
        <w:rPr>
          <w:rFonts w:ascii="Courier New" w:hAnsi="Courier New" w:cs="Courier New"/>
          <w:i/>
        </w:rPr>
      </w:pPr>
    </w:p>
    <w:p w14:paraId="084FE9AA" w14:textId="18C341E8" w:rsidR="00326692" w:rsidRDefault="009E1023" w:rsidP="009E1023">
      <w:pPr>
        <w:jc w:val="both"/>
        <w:rPr>
          <w:rFonts w:ascii="Courier New" w:hAnsi="Courier New" w:cs="Courier New"/>
          <w:i/>
        </w:rPr>
      </w:pPr>
      <w:r w:rsidRPr="00BF0F9F">
        <w:rPr>
          <w:rFonts w:ascii="Courier New" w:hAnsi="Courier New" w:cs="Courier New"/>
          <w:i/>
        </w:rPr>
        <w:tab/>
      </w:r>
      <w:proofErr w:type="gramStart"/>
      <w:r w:rsidR="00F7215F">
        <w:rPr>
          <w:rFonts w:ascii="Courier New" w:hAnsi="Courier New" w:cs="Courier New"/>
          <w:i/>
        </w:rPr>
        <w:t xml:space="preserve">Anthony M. </w:t>
      </w:r>
      <w:proofErr w:type="spellStart"/>
      <w:r w:rsidR="00F7215F">
        <w:rPr>
          <w:rFonts w:ascii="Courier New" w:hAnsi="Courier New" w:cs="Courier New"/>
          <w:i/>
        </w:rPr>
        <w:t>Ambriano</w:t>
      </w:r>
      <w:proofErr w:type="spellEnd"/>
      <w:r>
        <w:rPr>
          <w:rFonts w:ascii="Courier New" w:hAnsi="Courier New" w:cs="Courier New"/>
          <w:i/>
        </w:rPr>
        <w:t>,</w:t>
      </w:r>
      <w:r w:rsidRPr="00BF0F9F">
        <w:rPr>
          <w:rFonts w:ascii="Courier New" w:hAnsi="Courier New" w:cs="Courier New"/>
          <w:i/>
        </w:rPr>
        <w:t xml:space="preserve"> </w:t>
      </w:r>
      <w:r w:rsidRPr="00D8438E">
        <w:rPr>
          <w:rFonts w:ascii="Courier New" w:hAnsi="Courier New" w:cs="Courier New"/>
        </w:rPr>
        <w:t>Esq.</w:t>
      </w:r>
      <w:r>
        <w:rPr>
          <w:rFonts w:ascii="Courier New" w:hAnsi="Courier New" w:cs="Courier New"/>
        </w:rPr>
        <w:t>,</w:t>
      </w:r>
      <w:r>
        <w:rPr>
          <w:rFonts w:ascii="Courier New" w:hAnsi="Courier New" w:cs="Courier New"/>
          <w:i/>
        </w:rPr>
        <w:t xml:space="preserve"> </w:t>
      </w:r>
      <w:r w:rsidRPr="00192E37">
        <w:rPr>
          <w:rFonts w:ascii="Courier New" w:hAnsi="Courier New" w:cs="Courier New"/>
        </w:rPr>
        <w:t>for the appellee.</w:t>
      </w:r>
      <w:proofErr w:type="gramEnd"/>
    </w:p>
    <w:p w14:paraId="78C8F2BC" w14:textId="77777777" w:rsidR="00754BD0" w:rsidRDefault="00754BD0" w:rsidP="009E1023">
      <w:pPr>
        <w:jc w:val="both"/>
        <w:rPr>
          <w:rFonts w:ascii="Courier New" w:hAnsi="Courier New" w:cs="Courier New"/>
          <w:i/>
        </w:rPr>
      </w:pPr>
    </w:p>
    <w:p w14:paraId="0E0EE6A3" w14:textId="77777777" w:rsidR="008433E8" w:rsidRDefault="008433E8" w:rsidP="009E1023">
      <w:pPr>
        <w:jc w:val="both"/>
        <w:rPr>
          <w:rFonts w:ascii="Courier New" w:hAnsi="Courier New" w:cs="Courier New"/>
          <w:i/>
        </w:rPr>
      </w:pPr>
    </w:p>
    <w:p w14:paraId="6CB2ADB7" w14:textId="77777777" w:rsidR="008433E8" w:rsidRPr="00AA329B" w:rsidRDefault="008433E8" w:rsidP="009E1023">
      <w:pPr>
        <w:jc w:val="both"/>
        <w:rPr>
          <w:rFonts w:ascii="Courier New" w:hAnsi="Courier New" w:cs="Courier New"/>
          <w:i/>
        </w:rPr>
      </w:pPr>
    </w:p>
    <w:p w14:paraId="09530447" w14:textId="77777777" w:rsidR="009E1023" w:rsidRPr="0005604E" w:rsidRDefault="009E1023" w:rsidP="009E1023">
      <w:pPr>
        <w:pStyle w:val="NoSpacing"/>
        <w:tabs>
          <w:tab w:val="left" w:pos="0"/>
        </w:tabs>
        <w:spacing w:line="480" w:lineRule="auto"/>
        <w:jc w:val="center"/>
        <w:rPr>
          <w:rFonts w:ascii="Courier New" w:hAnsi="Courier New" w:cs="Courier New"/>
          <w:b/>
          <w:sz w:val="24"/>
          <w:szCs w:val="24"/>
        </w:rPr>
      </w:pPr>
      <w:r w:rsidRPr="0005604E">
        <w:rPr>
          <w:rFonts w:ascii="Courier New" w:hAnsi="Courier New" w:cs="Courier New"/>
          <w:b/>
          <w:sz w:val="24"/>
          <w:szCs w:val="24"/>
        </w:rPr>
        <w:t>FINDINGS OF FACT AND REPORT</w:t>
      </w:r>
    </w:p>
    <w:p w14:paraId="10DE3880" w14:textId="013509CC" w:rsidR="00EE3C00" w:rsidRDefault="00EE3C00" w:rsidP="009E1023">
      <w:pPr>
        <w:spacing w:line="480" w:lineRule="auto"/>
        <w:ind w:firstLine="720"/>
        <w:jc w:val="both"/>
        <w:rPr>
          <w:rFonts w:ascii="Courier New" w:hAnsi="Courier New" w:cs="Courier New"/>
        </w:rPr>
      </w:pPr>
      <w:r>
        <w:rPr>
          <w:rFonts w:ascii="Courier New" w:hAnsi="Courier New" w:cs="Courier New"/>
        </w:rPr>
        <w:t xml:space="preserve">On the basis of </w:t>
      </w:r>
      <w:r w:rsidR="003F5456">
        <w:rPr>
          <w:rFonts w:ascii="Courier New" w:hAnsi="Courier New" w:cs="Courier New"/>
        </w:rPr>
        <w:t xml:space="preserve">a </w:t>
      </w:r>
      <w:r>
        <w:rPr>
          <w:rFonts w:ascii="Courier New" w:hAnsi="Courier New" w:cs="Courier New"/>
        </w:rPr>
        <w:t>Statement of Agreed Facts, as well as testimony and exhibits entered into evidence at the hearing of these appeals, the Appellate Tax Board (“Board”) made</w:t>
      </w:r>
      <w:r w:rsidR="009B58B5">
        <w:rPr>
          <w:rFonts w:ascii="Courier New" w:hAnsi="Courier New" w:cs="Courier New"/>
        </w:rPr>
        <w:t xml:space="preserve"> the following findings of fact.  </w:t>
      </w:r>
    </w:p>
    <w:p w14:paraId="1B7B95B3" w14:textId="044E4FD3" w:rsidR="00351F2A" w:rsidRDefault="003D0C9B" w:rsidP="009E1023">
      <w:pPr>
        <w:spacing w:line="480" w:lineRule="auto"/>
        <w:ind w:firstLine="720"/>
        <w:jc w:val="both"/>
        <w:rPr>
          <w:rFonts w:ascii="Courier New" w:hAnsi="Courier New" w:cs="Courier New"/>
        </w:rPr>
      </w:pPr>
      <w:r>
        <w:rPr>
          <w:rFonts w:ascii="Courier New" w:hAnsi="Courier New" w:cs="Courier New"/>
        </w:rPr>
        <w:t>On January 1, 2013 and January 1, 2014</w:t>
      </w:r>
      <w:r w:rsidR="009E1023">
        <w:rPr>
          <w:rFonts w:ascii="Courier New" w:hAnsi="Courier New" w:cs="Courier New"/>
        </w:rPr>
        <w:t>, the relevant assessment date</w:t>
      </w:r>
      <w:r>
        <w:rPr>
          <w:rFonts w:ascii="Courier New" w:hAnsi="Courier New" w:cs="Courier New"/>
        </w:rPr>
        <w:t>s</w:t>
      </w:r>
      <w:r w:rsidR="009E1023">
        <w:rPr>
          <w:rFonts w:ascii="Courier New" w:hAnsi="Courier New" w:cs="Courier New"/>
        </w:rPr>
        <w:t xml:space="preserve"> for the fiscal year</w:t>
      </w:r>
      <w:r>
        <w:rPr>
          <w:rFonts w:ascii="Courier New" w:hAnsi="Courier New" w:cs="Courier New"/>
        </w:rPr>
        <w:t>s</w:t>
      </w:r>
      <w:r w:rsidR="009E1023">
        <w:rPr>
          <w:rFonts w:ascii="Courier New" w:hAnsi="Courier New" w:cs="Courier New"/>
        </w:rPr>
        <w:t xml:space="preserve"> at issue, the appellant was the owner of </w:t>
      </w:r>
      <w:r>
        <w:rPr>
          <w:rFonts w:ascii="Courier New" w:hAnsi="Courier New" w:cs="Courier New"/>
        </w:rPr>
        <w:t>two contiguous parcels of real property</w:t>
      </w:r>
      <w:r w:rsidR="005B74A3">
        <w:rPr>
          <w:rFonts w:ascii="Courier New" w:hAnsi="Courier New" w:cs="Courier New"/>
        </w:rPr>
        <w:t>, one identified by the assessors as Book 32998</w:t>
      </w:r>
      <w:r w:rsidR="00351F2A">
        <w:rPr>
          <w:rFonts w:ascii="Courier New" w:hAnsi="Courier New" w:cs="Courier New"/>
        </w:rPr>
        <w:t>,</w:t>
      </w:r>
      <w:r w:rsidR="005B74A3">
        <w:rPr>
          <w:rFonts w:ascii="Courier New" w:hAnsi="Courier New" w:cs="Courier New"/>
        </w:rPr>
        <w:t xml:space="preserve"> Page 298</w:t>
      </w:r>
      <w:r w:rsidR="00351F2A">
        <w:rPr>
          <w:rFonts w:ascii="Courier New" w:hAnsi="Courier New" w:cs="Courier New"/>
        </w:rPr>
        <w:t>, Parcel Identification number 0004-00000-00012 and</w:t>
      </w:r>
      <w:r>
        <w:rPr>
          <w:rFonts w:ascii="Courier New" w:hAnsi="Courier New" w:cs="Courier New"/>
        </w:rPr>
        <w:t xml:space="preserve"> located at 9 Coolidge Point</w:t>
      </w:r>
      <w:r w:rsidR="00A061E7">
        <w:rPr>
          <w:rFonts w:ascii="Courier New" w:hAnsi="Courier New" w:cs="Courier New"/>
        </w:rPr>
        <w:t xml:space="preserve"> (“improved parcel</w:t>
      </w:r>
      <w:r w:rsidR="00351F2A">
        <w:rPr>
          <w:rFonts w:ascii="Courier New" w:hAnsi="Courier New" w:cs="Courier New"/>
        </w:rPr>
        <w:t>”) and the other identified by the assessors as Book 32998, Page</w:t>
      </w:r>
      <w:r>
        <w:rPr>
          <w:rFonts w:ascii="Courier New" w:hAnsi="Courier New" w:cs="Courier New"/>
        </w:rPr>
        <w:t xml:space="preserve"> </w:t>
      </w:r>
      <w:r w:rsidR="00351F2A">
        <w:rPr>
          <w:rFonts w:ascii="Courier New" w:hAnsi="Courier New" w:cs="Courier New"/>
        </w:rPr>
        <w:t>298, Parcel Identific</w:t>
      </w:r>
      <w:r w:rsidR="00A061E7">
        <w:rPr>
          <w:rFonts w:ascii="Courier New" w:hAnsi="Courier New" w:cs="Courier New"/>
        </w:rPr>
        <w:t>ation number 0003-00000-00001 (“vacant parcel</w:t>
      </w:r>
      <w:r w:rsidR="00351F2A">
        <w:rPr>
          <w:rFonts w:ascii="Courier New" w:hAnsi="Courier New" w:cs="Courier New"/>
        </w:rPr>
        <w:t>”)</w:t>
      </w:r>
      <w:r>
        <w:rPr>
          <w:rFonts w:ascii="Courier New" w:hAnsi="Courier New" w:cs="Courier New"/>
        </w:rPr>
        <w:t xml:space="preserve"> in Manchester-By-The-Sea (collectively “subject properties</w:t>
      </w:r>
      <w:r w:rsidR="009E1023">
        <w:rPr>
          <w:rFonts w:ascii="Courier New" w:hAnsi="Courier New" w:cs="Courier New"/>
        </w:rPr>
        <w:t>”</w:t>
      </w:r>
      <w:r w:rsidR="00351F2A">
        <w:rPr>
          <w:rFonts w:ascii="Courier New" w:hAnsi="Courier New" w:cs="Courier New"/>
        </w:rPr>
        <w:t>)</w:t>
      </w:r>
      <w:r w:rsidR="009E1023" w:rsidRPr="00966943">
        <w:rPr>
          <w:rFonts w:ascii="Courier New" w:hAnsi="Courier New" w:cs="Courier New"/>
        </w:rPr>
        <w:t>.</w:t>
      </w:r>
      <w:r w:rsidR="009E1023">
        <w:rPr>
          <w:rFonts w:ascii="Courier New" w:hAnsi="Courier New" w:cs="Courier New"/>
        </w:rPr>
        <w:t xml:space="preserve">  </w:t>
      </w:r>
    </w:p>
    <w:p w14:paraId="37E80F7D" w14:textId="3CD21219" w:rsidR="000B1D5C" w:rsidRDefault="00A061E7" w:rsidP="001D69F4">
      <w:pPr>
        <w:spacing w:line="480" w:lineRule="auto"/>
        <w:ind w:firstLine="720"/>
        <w:jc w:val="both"/>
        <w:rPr>
          <w:rFonts w:ascii="Courier New" w:hAnsi="Courier New" w:cs="Courier New"/>
        </w:rPr>
      </w:pPr>
      <w:r>
        <w:rPr>
          <w:rFonts w:ascii="Courier New" w:hAnsi="Courier New" w:cs="Courier New"/>
        </w:rPr>
        <w:t>The improved parcel</w:t>
      </w:r>
      <w:r w:rsidR="009B3C70">
        <w:rPr>
          <w:rFonts w:ascii="Courier New" w:hAnsi="Courier New" w:cs="Courier New"/>
        </w:rPr>
        <w:t xml:space="preserve"> is a 10.7</w:t>
      </w:r>
      <w:r w:rsidR="001D69F4">
        <w:rPr>
          <w:rFonts w:ascii="Courier New" w:hAnsi="Courier New" w:cs="Courier New"/>
        </w:rPr>
        <w:t>-acre parcel of land with a</w:t>
      </w:r>
      <w:r w:rsidR="009B3C70">
        <w:rPr>
          <w:rFonts w:ascii="Courier New" w:hAnsi="Courier New" w:cs="Courier New"/>
        </w:rPr>
        <w:t xml:space="preserve"> Gregorian-style brick house</w:t>
      </w:r>
      <w:r w:rsidR="001D69F4">
        <w:rPr>
          <w:rFonts w:ascii="Courier New" w:hAnsi="Courier New" w:cs="Courier New"/>
        </w:rPr>
        <w:t xml:space="preserve"> that was built in 1968</w:t>
      </w:r>
      <w:r w:rsidR="009B3C70">
        <w:rPr>
          <w:rFonts w:ascii="Courier New" w:hAnsi="Courier New" w:cs="Courier New"/>
        </w:rPr>
        <w:t xml:space="preserve"> (“Brick House”) and an adjacent</w:t>
      </w:r>
      <w:r w:rsidR="00A466C2">
        <w:rPr>
          <w:rFonts w:ascii="Courier New" w:hAnsi="Courier New" w:cs="Courier New"/>
        </w:rPr>
        <w:t xml:space="preserve"> detached</w:t>
      </w:r>
      <w:r w:rsidR="009B3C70">
        <w:rPr>
          <w:rFonts w:ascii="Courier New" w:hAnsi="Courier New" w:cs="Courier New"/>
        </w:rPr>
        <w:t xml:space="preserve"> three-car garage that has been converted into a conference center (“Conference Center”).  The landscape is comprised of lawn, garden, woods, coastal waterfront access, and a tidal stream lined </w:t>
      </w:r>
      <w:r w:rsidR="00B9311B">
        <w:rPr>
          <w:rFonts w:ascii="Courier New" w:hAnsi="Courier New" w:cs="Courier New"/>
        </w:rPr>
        <w:t xml:space="preserve">by stone walls and </w:t>
      </w:r>
      <w:r w:rsidR="00B9311B">
        <w:rPr>
          <w:rFonts w:ascii="Courier New" w:hAnsi="Courier New" w:cs="Courier New"/>
        </w:rPr>
        <w:lastRenderedPageBreak/>
        <w:t>stone riprap that is</w:t>
      </w:r>
      <w:r w:rsidR="009B3C70">
        <w:rPr>
          <w:rFonts w:ascii="Courier New" w:hAnsi="Courier New" w:cs="Courier New"/>
        </w:rPr>
        <w:t xml:space="preserve"> designed to contain the outflow and inflow from the Clarke Pond watershed.  </w:t>
      </w:r>
      <w:r w:rsidR="009F50F8">
        <w:rPr>
          <w:rFonts w:ascii="Courier New" w:hAnsi="Courier New" w:cs="Courier New"/>
        </w:rPr>
        <w:t>The Brick House</w:t>
      </w:r>
      <w:r w:rsidR="001D69F4">
        <w:rPr>
          <w:rFonts w:ascii="Courier New" w:hAnsi="Courier New" w:cs="Courier New"/>
        </w:rPr>
        <w:t xml:space="preserve"> was designed to resemble, in part, President Jefferson’s residence in Williamsburg, </w:t>
      </w:r>
      <w:r w:rsidR="00DB2623">
        <w:rPr>
          <w:rFonts w:ascii="Courier New" w:hAnsi="Courier New" w:cs="Courier New"/>
        </w:rPr>
        <w:t xml:space="preserve">Virginia, </w:t>
      </w:r>
      <w:r w:rsidR="001D69F4">
        <w:rPr>
          <w:rFonts w:ascii="Courier New" w:hAnsi="Courier New" w:cs="Courier New"/>
        </w:rPr>
        <w:t xml:space="preserve">with wooden shutters and a fireplace in each room.  However, Dr. </w:t>
      </w:r>
      <w:r w:rsidR="003F5456">
        <w:rPr>
          <w:rFonts w:ascii="Courier New" w:hAnsi="Courier New" w:cs="Courier New"/>
        </w:rPr>
        <w:t xml:space="preserve">Catherine Coolidge </w:t>
      </w:r>
      <w:proofErr w:type="spellStart"/>
      <w:r w:rsidR="001D69F4">
        <w:rPr>
          <w:rFonts w:ascii="Courier New" w:hAnsi="Courier New" w:cs="Courier New"/>
        </w:rPr>
        <w:t>Lastavica</w:t>
      </w:r>
      <w:proofErr w:type="spellEnd"/>
      <w:r w:rsidR="00E40A2E">
        <w:rPr>
          <w:rFonts w:ascii="Courier New" w:hAnsi="Courier New" w:cs="Courier New"/>
        </w:rPr>
        <w:t xml:space="preserve"> (“Dr.</w:t>
      </w:r>
      <w:r w:rsidR="00754BD0">
        <w:rPr>
          <w:rFonts w:ascii="Courier New" w:hAnsi="Courier New" w:cs="Courier New"/>
        </w:rPr>
        <w:t> </w:t>
      </w:r>
      <w:proofErr w:type="spellStart"/>
      <w:r w:rsidR="00E40A2E">
        <w:rPr>
          <w:rFonts w:ascii="Courier New" w:hAnsi="Courier New" w:cs="Courier New"/>
        </w:rPr>
        <w:t>Lasta</w:t>
      </w:r>
      <w:r w:rsidR="003F5456">
        <w:rPr>
          <w:rFonts w:ascii="Courier New" w:hAnsi="Courier New" w:cs="Courier New"/>
        </w:rPr>
        <w:t>vica</w:t>
      </w:r>
      <w:proofErr w:type="spellEnd"/>
      <w:r w:rsidR="003F5456">
        <w:rPr>
          <w:rFonts w:ascii="Courier New" w:hAnsi="Courier New" w:cs="Courier New"/>
        </w:rPr>
        <w:t>”), who together with her late husband</w:t>
      </w:r>
      <w:r w:rsidR="00FB4021">
        <w:rPr>
          <w:rFonts w:ascii="Courier New" w:hAnsi="Courier New" w:cs="Courier New"/>
        </w:rPr>
        <w:t>, John</w:t>
      </w:r>
      <w:r w:rsidR="00754BD0">
        <w:rPr>
          <w:rFonts w:ascii="Courier New" w:hAnsi="Courier New" w:cs="Courier New"/>
        </w:rPr>
        <w:t> </w:t>
      </w:r>
      <w:proofErr w:type="spellStart"/>
      <w:r w:rsidR="00FB4021">
        <w:rPr>
          <w:rFonts w:ascii="Courier New" w:hAnsi="Courier New" w:cs="Courier New"/>
        </w:rPr>
        <w:t>Lastavica</w:t>
      </w:r>
      <w:proofErr w:type="spellEnd"/>
      <w:r w:rsidR="00FB4021">
        <w:rPr>
          <w:rFonts w:ascii="Courier New" w:hAnsi="Courier New" w:cs="Courier New"/>
        </w:rPr>
        <w:t>,</w:t>
      </w:r>
      <w:r w:rsidR="003F5456">
        <w:rPr>
          <w:rFonts w:ascii="Courier New" w:hAnsi="Courier New" w:cs="Courier New"/>
        </w:rPr>
        <w:t xml:space="preserve"> founded TJMC,</w:t>
      </w:r>
      <w:r w:rsidR="00D33878">
        <w:rPr>
          <w:rFonts w:ascii="Courier New" w:hAnsi="Courier New" w:cs="Courier New"/>
        </w:rPr>
        <w:t xml:space="preserve"> had the Brick House</w:t>
      </w:r>
      <w:r w:rsidR="001D69F4">
        <w:rPr>
          <w:rFonts w:ascii="Courier New" w:hAnsi="Courier New" w:cs="Courier New"/>
        </w:rPr>
        <w:t xml:space="preserve"> built to serve as her </w:t>
      </w:r>
      <w:r w:rsidR="00C0261B">
        <w:rPr>
          <w:rFonts w:ascii="Courier New" w:hAnsi="Courier New" w:cs="Courier New"/>
        </w:rPr>
        <w:t xml:space="preserve">personal </w:t>
      </w:r>
      <w:r w:rsidR="001D69F4">
        <w:rPr>
          <w:rFonts w:ascii="Courier New" w:hAnsi="Courier New" w:cs="Courier New"/>
        </w:rPr>
        <w:t>residence</w:t>
      </w:r>
      <w:r w:rsidR="00C533B7">
        <w:rPr>
          <w:rFonts w:ascii="Courier New" w:hAnsi="Courier New" w:cs="Courier New"/>
        </w:rPr>
        <w:t xml:space="preserve">.  </w:t>
      </w:r>
      <w:r w:rsidR="00552033">
        <w:rPr>
          <w:rFonts w:ascii="Courier New" w:hAnsi="Courier New" w:cs="Courier New"/>
        </w:rPr>
        <w:t>As such</w:t>
      </w:r>
      <w:r w:rsidR="001D69F4">
        <w:rPr>
          <w:rFonts w:ascii="Courier New" w:hAnsi="Courier New" w:cs="Courier New"/>
        </w:rPr>
        <w:t>, the int</w:t>
      </w:r>
      <w:r w:rsidR="005F20EC">
        <w:rPr>
          <w:rFonts w:ascii="Courier New" w:hAnsi="Courier New" w:cs="Courier New"/>
        </w:rPr>
        <w:t>erior of the Brick</w:t>
      </w:r>
      <w:r w:rsidR="00D33878">
        <w:rPr>
          <w:rFonts w:ascii="Courier New" w:hAnsi="Courier New" w:cs="Courier New"/>
        </w:rPr>
        <w:t xml:space="preserve"> House</w:t>
      </w:r>
      <w:r w:rsidR="005F20EC">
        <w:rPr>
          <w:rFonts w:ascii="Courier New" w:hAnsi="Courier New" w:cs="Courier New"/>
        </w:rPr>
        <w:t xml:space="preserve"> is</w:t>
      </w:r>
      <w:r w:rsidR="001D69F4">
        <w:rPr>
          <w:rFonts w:ascii="Courier New" w:hAnsi="Courier New" w:cs="Courier New"/>
        </w:rPr>
        <w:t xml:space="preserve"> modern, with a kitchen and bathrooms</w:t>
      </w:r>
      <w:r w:rsidR="00C533B7">
        <w:rPr>
          <w:rFonts w:ascii="Courier New" w:hAnsi="Courier New" w:cs="Courier New"/>
        </w:rPr>
        <w:t>, and it complied with the relevant code</w:t>
      </w:r>
      <w:r w:rsidR="00F040C7">
        <w:rPr>
          <w:rFonts w:ascii="Courier New" w:hAnsi="Courier New" w:cs="Courier New"/>
        </w:rPr>
        <w:t xml:space="preserve"> requirements that were in effect</w:t>
      </w:r>
      <w:r w:rsidR="00C533B7">
        <w:rPr>
          <w:rFonts w:ascii="Courier New" w:hAnsi="Courier New" w:cs="Courier New"/>
        </w:rPr>
        <w:t xml:space="preserve"> at the time of its construction, including electrical service requirements</w:t>
      </w:r>
      <w:r w:rsidR="001D69F4">
        <w:rPr>
          <w:rFonts w:ascii="Courier New" w:hAnsi="Courier New" w:cs="Courier New"/>
        </w:rPr>
        <w:t>.  The Brick House contains a library and it</w:t>
      </w:r>
      <w:r w:rsidR="009F50F8">
        <w:rPr>
          <w:rFonts w:ascii="Courier New" w:hAnsi="Courier New" w:cs="Courier New"/>
        </w:rPr>
        <w:t xml:space="preserve"> is furnished with period furniture and displays various pieces of Jefferson memorabilia and portraits by </w:t>
      </w:r>
      <w:r w:rsidR="00D33878">
        <w:rPr>
          <w:rFonts w:ascii="Courier New" w:hAnsi="Courier New" w:cs="Courier New"/>
        </w:rPr>
        <w:t>18</w:t>
      </w:r>
      <w:r w:rsidR="00D33878" w:rsidRPr="00D33878">
        <w:rPr>
          <w:rFonts w:ascii="Courier New" w:hAnsi="Courier New" w:cs="Courier New"/>
          <w:vertAlign w:val="superscript"/>
        </w:rPr>
        <w:t>th</w:t>
      </w:r>
      <w:r w:rsidR="00D33878">
        <w:rPr>
          <w:rFonts w:ascii="Courier New" w:hAnsi="Courier New" w:cs="Courier New"/>
        </w:rPr>
        <w:t xml:space="preserve"> century artists </w:t>
      </w:r>
      <w:r w:rsidR="009F50F8">
        <w:rPr>
          <w:rFonts w:ascii="Courier New" w:hAnsi="Courier New" w:cs="Courier New"/>
        </w:rPr>
        <w:t>Robert Feke, George Cha</w:t>
      </w:r>
      <w:r w:rsidR="001D69F4">
        <w:rPr>
          <w:rFonts w:ascii="Courier New" w:hAnsi="Courier New" w:cs="Courier New"/>
        </w:rPr>
        <w:t xml:space="preserve">lmers and Gilbert Stuart. </w:t>
      </w:r>
      <w:r w:rsidR="009F50F8">
        <w:rPr>
          <w:rFonts w:ascii="Courier New" w:hAnsi="Courier New" w:cs="Courier New"/>
        </w:rPr>
        <w:t xml:space="preserve"> </w:t>
      </w:r>
      <w:r w:rsidR="000B1D5C">
        <w:rPr>
          <w:rFonts w:ascii="Courier New" w:hAnsi="Courier New" w:cs="Courier New"/>
        </w:rPr>
        <w:t xml:space="preserve">The Brick House is not registered as a historic building.  </w:t>
      </w:r>
    </w:p>
    <w:p w14:paraId="5D506367" w14:textId="48B889A0" w:rsidR="000E6CF6" w:rsidRDefault="00A061E7" w:rsidP="001D69F4">
      <w:pPr>
        <w:spacing w:line="480" w:lineRule="auto"/>
        <w:ind w:firstLine="720"/>
        <w:jc w:val="both"/>
        <w:rPr>
          <w:rFonts w:ascii="Courier New" w:hAnsi="Courier New" w:cs="Courier New"/>
        </w:rPr>
      </w:pPr>
      <w:r>
        <w:rPr>
          <w:rFonts w:ascii="Courier New" w:hAnsi="Courier New" w:cs="Courier New"/>
        </w:rPr>
        <w:t>The vacant parcel</w:t>
      </w:r>
      <w:r w:rsidR="009B3C70">
        <w:rPr>
          <w:rFonts w:ascii="Courier New" w:hAnsi="Courier New" w:cs="Courier New"/>
        </w:rPr>
        <w:t xml:space="preserve"> is </w:t>
      </w:r>
      <w:r w:rsidR="00C21EF8">
        <w:rPr>
          <w:rFonts w:ascii="Courier New" w:hAnsi="Courier New" w:cs="Courier New"/>
        </w:rPr>
        <w:t>an abutting 4.5-acre parcel of unimproved land</w:t>
      </w:r>
      <w:r w:rsidR="005E6C2C">
        <w:rPr>
          <w:rFonts w:ascii="Courier New" w:hAnsi="Courier New" w:cs="Courier New"/>
        </w:rPr>
        <w:t xml:space="preserve"> comprised mainly of wooded hill and coastal</w:t>
      </w:r>
      <w:r>
        <w:rPr>
          <w:rFonts w:ascii="Courier New" w:hAnsi="Courier New" w:cs="Courier New"/>
        </w:rPr>
        <w:t xml:space="preserve"> waterfront access.  </w:t>
      </w:r>
      <w:r w:rsidR="005E6C2C">
        <w:rPr>
          <w:rFonts w:ascii="Courier New" w:hAnsi="Courier New" w:cs="Courier New"/>
        </w:rPr>
        <w:t xml:space="preserve"> </w:t>
      </w:r>
    </w:p>
    <w:p w14:paraId="07E1B440" w14:textId="71572C53" w:rsidR="00E1410B" w:rsidRDefault="00DA54D8" w:rsidP="00E1410B">
      <w:pPr>
        <w:spacing w:line="480" w:lineRule="auto"/>
        <w:jc w:val="both"/>
        <w:rPr>
          <w:rFonts w:ascii="Courier New" w:hAnsi="Courier New" w:cs="Courier New"/>
          <w:u w:val="single"/>
        </w:rPr>
      </w:pPr>
      <w:r>
        <w:rPr>
          <w:rFonts w:ascii="Courier New" w:hAnsi="Courier New" w:cs="Courier New"/>
          <w:u w:val="single"/>
        </w:rPr>
        <w:t>1. Facts related</w:t>
      </w:r>
      <w:r w:rsidR="00E1410B" w:rsidRPr="00E1410B">
        <w:rPr>
          <w:rFonts w:ascii="Courier New" w:hAnsi="Courier New" w:cs="Courier New"/>
          <w:u w:val="single"/>
        </w:rPr>
        <w:t xml:space="preserve"> to jurisdiction</w:t>
      </w:r>
    </w:p>
    <w:p w14:paraId="3E6009B7" w14:textId="39F3A3CB" w:rsidR="00457324" w:rsidRPr="006C3BE9" w:rsidRDefault="00DA54D8" w:rsidP="006C3BE9">
      <w:pPr>
        <w:spacing w:line="480" w:lineRule="auto"/>
        <w:jc w:val="both"/>
        <w:rPr>
          <w:rFonts w:ascii="Courier New" w:hAnsi="Courier New" w:cs="Courier New"/>
          <w:i/>
        </w:rPr>
      </w:pPr>
      <w:r>
        <w:rPr>
          <w:rFonts w:ascii="Courier New" w:hAnsi="Courier New" w:cs="Courier New"/>
          <w:i/>
        </w:rPr>
        <w:t>a</w:t>
      </w:r>
      <w:r w:rsidR="00E1410B">
        <w:rPr>
          <w:rFonts w:ascii="Courier New" w:hAnsi="Courier New" w:cs="Courier New"/>
          <w:i/>
        </w:rPr>
        <w:t>. Fiscal year 2014</w:t>
      </w:r>
    </w:p>
    <w:p w14:paraId="2B87FE5F" w14:textId="12D2FEA3" w:rsidR="00EE6E1F" w:rsidRDefault="00DA5920" w:rsidP="00457324">
      <w:pPr>
        <w:spacing w:line="480" w:lineRule="auto"/>
        <w:ind w:firstLine="720"/>
        <w:jc w:val="both"/>
        <w:rPr>
          <w:rFonts w:ascii="Courier New" w:hAnsi="Courier New" w:cs="Courier New"/>
        </w:rPr>
      </w:pPr>
      <w:r>
        <w:rPr>
          <w:rFonts w:ascii="Courier New" w:hAnsi="Courier New" w:cs="Courier New"/>
        </w:rPr>
        <w:t xml:space="preserve">On December 27, 2013, the appellee </w:t>
      </w:r>
      <w:r w:rsidR="00D33878">
        <w:rPr>
          <w:rFonts w:ascii="Courier New" w:hAnsi="Courier New" w:cs="Courier New"/>
        </w:rPr>
        <w:t>mailed out the actual tax bill</w:t>
      </w:r>
      <w:r>
        <w:rPr>
          <w:rFonts w:ascii="Courier New" w:hAnsi="Courier New" w:cs="Courier New"/>
        </w:rPr>
        <w:t xml:space="preserve"> for fiscal year 2014</w:t>
      </w:r>
      <w:r w:rsidR="00373B65">
        <w:rPr>
          <w:rFonts w:ascii="Courier New" w:hAnsi="Courier New" w:cs="Courier New"/>
        </w:rPr>
        <w:t>.</w:t>
      </w:r>
      <w:r w:rsidR="00754075">
        <w:rPr>
          <w:rFonts w:ascii="Courier New" w:hAnsi="Courier New" w:cs="Courier New"/>
        </w:rPr>
        <w:t xml:space="preserve"> </w:t>
      </w:r>
      <w:r w:rsidR="00373B65">
        <w:rPr>
          <w:rFonts w:ascii="Courier New" w:hAnsi="Courier New" w:cs="Courier New"/>
        </w:rPr>
        <w:t xml:space="preserve"> </w:t>
      </w:r>
      <w:r w:rsidR="00754075">
        <w:rPr>
          <w:rFonts w:ascii="Courier New" w:hAnsi="Courier New" w:cs="Courier New"/>
        </w:rPr>
        <w:t>The a</w:t>
      </w:r>
      <w:r w:rsidR="00A061E7">
        <w:rPr>
          <w:rFonts w:ascii="Courier New" w:hAnsi="Courier New" w:cs="Courier New"/>
        </w:rPr>
        <w:t>ssessors valued the improved parcel</w:t>
      </w:r>
      <w:r w:rsidR="00754075">
        <w:rPr>
          <w:rFonts w:ascii="Courier New" w:hAnsi="Courier New" w:cs="Courier New"/>
        </w:rPr>
        <w:t xml:space="preserve"> at $4,622,100 and assessed a tax thereon, at the </w:t>
      </w:r>
      <w:r w:rsidR="00754075">
        <w:rPr>
          <w:rFonts w:ascii="Courier New" w:hAnsi="Courier New" w:cs="Courier New"/>
        </w:rPr>
        <w:lastRenderedPageBreak/>
        <w:t>rate of $10.45 per thousand, in the total amount of $49,025.46.</w:t>
      </w:r>
      <w:r w:rsidR="00754075">
        <w:rPr>
          <w:rStyle w:val="FootnoteReference"/>
          <w:rFonts w:ascii="Courier New" w:hAnsi="Courier New" w:cs="Courier New"/>
        </w:rPr>
        <w:footnoteReference w:id="1"/>
      </w:r>
      <w:r w:rsidR="00754075">
        <w:rPr>
          <w:rFonts w:ascii="Courier New" w:hAnsi="Courier New" w:cs="Courier New"/>
        </w:rPr>
        <w:t xml:space="preserve"> That same fiscal year, the as</w:t>
      </w:r>
      <w:r w:rsidR="00A061E7">
        <w:rPr>
          <w:rFonts w:ascii="Courier New" w:hAnsi="Courier New" w:cs="Courier New"/>
        </w:rPr>
        <w:t>sessors valued the vacant parcel</w:t>
      </w:r>
      <w:r w:rsidR="00754075">
        <w:rPr>
          <w:rFonts w:ascii="Courier New" w:hAnsi="Courier New" w:cs="Courier New"/>
        </w:rPr>
        <w:t xml:space="preserve"> at $2,489,000 and assessed a tax thereon, also at the rate of $10.45 per thousand, in the total amount of $26,400.20.</w:t>
      </w:r>
      <w:r w:rsidR="00754075">
        <w:rPr>
          <w:rStyle w:val="FootnoteReference"/>
          <w:rFonts w:ascii="Courier New" w:hAnsi="Courier New" w:cs="Courier New"/>
        </w:rPr>
        <w:footnoteReference w:id="2"/>
      </w:r>
      <w:r w:rsidR="00754075">
        <w:rPr>
          <w:rFonts w:ascii="Courier New" w:hAnsi="Courier New" w:cs="Courier New"/>
        </w:rPr>
        <w:t xml:space="preserve"> The appellant paid the taxes </w:t>
      </w:r>
      <w:r w:rsidR="00D33878">
        <w:rPr>
          <w:rFonts w:ascii="Courier New" w:hAnsi="Courier New" w:cs="Courier New"/>
        </w:rPr>
        <w:t>late and incurred</w:t>
      </w:r>
      <w:r w:rsidR="00754075">
        <w:rPr>
          <w:rFonts w:ascii="Courier New" w:hAnsi="Courier New" w:cs="Courier New"/>
        </w:rPr>
        <w:t xml:space="preserve"> interest in the amount of $159.82</w:t>
      </w:r>
      <w:r w:rsidR="00D33878">
        <w:rPr>
          <w:rFonts w:ascii="Courier New" w:hAnsi="Courier New" w:cs="Courier New"/>
        </w:rPr>
        <w:t xml:space="preserve"> plus</w:t>
      </w:r>
      <w:r w:rsidR="00754075">
        <w:rPr>
          <w:rFonts w:ascii="Courier New" w:hAnsi="Courier New" w:cs="Courier New"/>
        </w:rPr>
        <w:t xml:space="preserve"> a demand fee of $5.00 for the 4</w:t>
      </w:r>
      <w:r w:rsidR="00754075" w:rsidRPr="007C63F6">
        <w:rPr>
          <w:rFonts w:ascii="Courier New" w:hAnsi="Courier New" w:cs="Courier New"/>
          <w:vertAlign w:val="superscript"/>
        </w:rPr>
        <w:t>th</w:t>
      </w:r>
      <w:r w:rsidR="00754075">
        <w:rPr>
          <w:rFonts w:ascii="Courier New" w:hAnsi="Courier New" w:cs="Courier New"/>
        </w:rPr>
        <w:t xml:space="preserve"> Qu</w:t>
      </w:r>
      <w:r w:rsidR="00A061E7">
        <w:rPr>
          <w:rFonts w:ascii="Courier New" w:hAnsi="Courier New" w:cs="Courier New"/>
        </w:rPr>
        <w:t>arter taxes for the improved parcel</w:t>
      </w:r>
      <w:r w:rsidR="002D25EB">
        <w:rPr>
          <w:rFonts w:ascii="Courier New" w:hAnsi="Courier New" w:cs="Courier New"/>
        </w:rPr>
        <w:t>,</w:t>
      </w:r>
      <w:r w:rsidR="00754075">
        <w:rPr>
          <w:rFonts w:ascii="Courier New" w:hAnsi="Courier New" w:cs="Courier New"/>
        </w:rPr>
        <w:t xml:space="preserve"> and </w:t>
      </w:r>
      <w:r w:rsidR="002D25EB">
        <w:rPr>
          <w:rFonts w:ascii="Courier New" w:hAnsi="Courier New" w:cs="Courier New"/>
        </w:rPr>
        <w:t xml:space="preserve">it paid </w:t>
      </w:r>
      <w:r w:rsidR="00754075">
        <w:rPr>
          <w:rFonts w:ascii="Courier New" w:hAnsi="Courier New" w:cs="Courier New"/>
        </w:rPr>
        <w:t>interest in the amount of $86.07 and a demand fee of $5.00 for the 4</w:t>
      </w:r>
      <w:r w:rsidR="00754075" w:rsidRPr="007C63F6">
        <w:rPr>
          <w:rFonts w:ascii="Courier New" w:hAnsi="Courier New" w:cs="Courier New"/>
          <w:vertAlign w:val="superscript"/>
        </w:rPr>
        <w:t>th</w:t>
      </w:r>
      <w:r w:rsidR="00754075">
        <w:rPr>
          <w:rFonts w:ascii="Courier New" w:hAnsi="Courier New" w:cs="Courier New"/>
        </w:rPr>
        <w:t xml:space="preserve"> Qua</w:t>
      </w:r>
      <w:r w:rsidR="00A061E7">
        <w:rPr>
          <w:rFonts w:ascii="Courier New" w:hAnsi="Courier New" w:cs="Courier New"/>
        </w:rPr>
        <w:t>rter taxes for the vacant parcel</w:t>
      </w:r>
      <w:r w:rsidR="00754075">
        <w:rPr>
          <w:rFonts w:ascii="Courier New" w:hAnsi="Courier New" w:cs="Courier New"/>
        </w:rPr>
        <w:t xml:space="preserve">. </w:t>
      </w:r>
      <w:r w:rsidR="00373B65">
        <w:rPr>
          <w:rFonts w:ascii="Courier New" w:hAnsi="Courier New" w:cs="Courier New"/>
        </w:rPr>
        <w:t xml:space="preserve"> On January 30, 2014, the appellant </w:t>
      </w:r>
      <w:r w:rsidR="003C6B6E">
        <w:rPr>
          <w:rFonts w:ascii="Courier New" w:hAnsi="Courier New" w:cs="Courier New"/>
        </w:rPr>
        <w:t>filed A</w:t>
      </w:r>
      <w:r w:rsidR="00F24386">
        <w:rPr>
          <w:rFonts w:ascii="Courier New" w:hAnsi="Courier New" w:cs="Courier New"/>
        </w:rPr>
        <w:t>pplications</w:t>
      </w:r>
      <w:r w:rsidR="00373B65">
        <w:rPr>
          <w:rFonts w:ascii="Courier New" w:hAnsi="Courier New" w:cs="Courier New"/>
        </w:rPr>
        <w:t xml:space="preserve"> </w:t>
      </w:r>
      <w:r w:rsidR="003C6B6E">
        <w:rPr>
          <w:rFonts w:ascii="Courier New" w:hAnsi="Courier New" w:cs="Courier New"/>
        </w:rPr>
        <w:t>for Abatement</w:t>
      </w:r>
      <w:r w:rsidR="00373B65">
        <w:rPr>
          <w:rFonts w:ascii="Courier New" w:hAnsi="Courier New" w:cs="Courier New"/>
        </w:rPr>
        <w:t xml:space="preserve"> for both properties as well as Statutory Exemption Forms 1B-3 for both </w:t>
      </w:r>
      <w:r w:rsidR="00A061E7">
        <w:rPr>
          <w:rFonts w:ascii="Courier New" w:hAnsi="Courier New" w:cs="Courier New"/>
        </w:rPr>
        <w:t xml:space="preserve">subject </w:t>
      </w:r>
      <w:r w:rsidR="00373B65">
        <w:rPr>
          <w:rFonts w:ascii="Courier New" w:hAnsi="Courier New" w:cs="Courier New"/>
        </w:rPr>
        <w:t>properties</w:t>
      </w:r>
      <w:r w:rsidR="00EE6E1F">
        <w:rPr>
          <w:rFonts w:ascii="Courier New" w:hAnsi="Courier New" w:cs="Courier New"/>
        </w:rPr>
        <w:t xml:space="preserve"> </w:t>
      </w:r>
      <w:r w:rsidR="00373B65">
        <w:rPr>
          <w:rFonts w:ascii="Courier New" w:hAnsi="Courier New" w:cs="Courier New"/>
        </w:rPr>
        <w:t>with the appellee.</w:t>
      </w:r>
      <w:r w:rsidR="00D33878">
        <w:rPr>
          <w:rStyle w:val="FootnoteReference"/>
          <w:rFonts w:ascii="Courier New" w:hAnsi="Courier New" w:cs="Courier New"/>
        </w:rPr>
        <w:footnoteReference w:id="3"/>
      </w:r>
      <w:r w:rsidR="00754075">
        <w:rPr>
          <w:rFonts w:ascii="Courier New" w:hAnsi="Courier New" w:cs="Courier New"/>
        </w:rPr>
        <w:t xml:space="preserve"> </w:t>
      </w:r>
      <w:r w:rsidR="00373B65">
        <w:rPr>
          <w:rFonts w:ascii="Courier New" w:hAnsi="Courier New" w:cs="Courier New"/>
        </w:rPr>
        <w:t xml:space="preserve"> </w:t>
      </w:r>
      <w:r w:rsidR="00754075">
        <w:rPr>
          <w:rFonts w:ascii="Courier New" w:hAnsi="Courier New" w:cs="Courier New"/>
        </w:rPr>
        <w:t>On April 29, 2014, the appellee de</w:t>
      </w:r>
      <w:r w:rsidR="00CD1585">
        <w:rPr>
          <w:rFonts w:ascii="Courier New" w:hAnsi="Courier New" w:cs="Courier New"/>
        </w:rPr>
        <w:t>nied the appellant’s A</w:t>
      </w:r>
      <w:r w:rsidR="00754075">
        <w:rPr>
          <w:rFonts w:ascii="Courier New" w:hAnsi="Courier New" w:cs="Courier New"/>
        </w:rPr>
        <w:t>pplications</w:t>
      </w:r>
      <w:r w:rsidR="00CD1585">
        <w:rPr>
          <w:rFonts w:ascii="Courier New" w:hAnsi="Courier New" w:cs="Courier New"/>
        </w:rPr>
        <w:t xml:space="preserve"> for Abatement</w:t>
      </w:r>
      <w:r w:rsidR="00754075">
        <w:rPr>
          <w:rFonts w:ascii="Courier New" w:hAnsi="Courier New" w:cs="Courier New"/>
        </w:rPr>
        <w:t xml:space="preserve">.  On July 23, 2014, the appellant filed Petitions </w:t>
      </w:r>
      <w:proofErr w:type="gramStart"/>
      <w:r w:rsidR="00754075">
        <w:rPr>
          <w:rFonts w:ascii="Courier New" w:hAnsi="Courier New" w:cs="Courier New"/>
        </w:rPr>
        <w:t>Under</w:t>
      </w:r>
      <w:proofErr w:type="gramEnd"/>
      <w:r w:rsidR="00754075">
        <w:rPr>
          <w:rFonts w:ascii="Courier New" w:hAnsi="Courier New" w:cs="Courier New"/>
        </w:rPr>
        <w:t xml:space="preserve"> Formal Procedure</w:t>
      </w:r>
      <w:r w:rsidR="00DB2623">
        <w:rPr>
          <w:rFonts w:ascii="Courier New" w:hAnsi="Courier New" w:cs="Courier New"/>
        </w:rPr>
        <w:t xml:space="preserve"> with the Board</w:t>
      </w:r>
      <w:r w:rsidR="00754075">
        <w:rPr>
          <w:rFonts w:ascii="Courier New" w:hAnsi="Courier New" w:cs="Courier New"/>
        </w:rPr>
        <w:t xml:space="preserve"> for both subject properties.</w:t>
      </w:r>
    </w:p>
    <w:p w14:paraId="385FFADB" w14:textId="5747D95B" w:rsidR="00457324" w:rsidRDefault="00457324" w:rsidP="00754BD0">
      <w:pPr>
        <w:spacing w:line="480" w:lineRule="auto"/>
        <w:ind w:firstLine="720"/>
        <w:jc w:val="both"/>
        <w:rPr>
          <w:rFonts w:ascii="Courier New" w:hAnsi="Courier New" w:cs="Courier New"/>
        </w:rPr>
      </w:pPr>
      <w:r>
        <w:rPr>
          <w:rFonts w:ascii="Courier New" w:hAnsi="Courier New" w:cs="Courier New"/>
        </w:rPr>
        <w:t xml:space="preserve">On September 5, 2014, the appellee filed a Motion to Dismiss for </w:t>
      </w:r>
      <w:r w:rsidR="00754BD0">
        <w:rPr>
          <w:rFonts w:ascii="Courier New" w:hAnsi="Courier New" w:cs="Courier New"/>
        </w:rPr>
        <w:t>L</w:t>
      </w:r>
      <w:r>
        <w:rPr>
          <w:rFonts w:ascii="Courier New" w:hAnsi="Courier New" w:cs="Courier New"/>
        </w:rPr>
        <w:t xml:space="preserve">ack of </w:t>
      </w:r>
      <w:r w:rsidR="00754BD0">
        <w:rPr>
          <w:rFonts w:ascii="Courier New" w:hAnsi="Courier New" w:cs="Courier New"/>
        </w:rPr>
        <w:t>J</w:t>
      </w:r>
      <w:r>
        <w:rPr>
          <w:rFonts w:ascii="Courier New" w:hAnsi="Courier New" w:cs="Courier New"/>
        </w:rPr>
        <w:t>urisdiction.  The appellant subsequently filed a Motion to Amend Petition</w:t>
      </w:r>
      <w:r w:rsidR="00E73C09">
        <w:rPr>
          <w:rFonts w:ascii="Courier New" w:hAnsi="Courier New" w:cs="Courier New"/>
        </w:rPr>
        <w:t xml:space="preserve"> to add, in the alternative, that the appeal was being filed under G.L. c. 59, </w:t>
      </w:r>
      <w:r w:rsidR="00F55DEC">
        <w:rPr>
          <w:rFonts w:ascii="Courier New" w:hAnsi="Courier New" w:cs="Courier New"/>
        </w:rPr>
        <w:t>§ 5B.</w:t>
      </w:r>
      <w:r w:rsidR="00630A2E">
        <w:rPr>
          <w:rFonts w:ascii="Courier New" w:hAnsi="Courier New" w:cs="Courier New"/>
        </w:rPr>
        <w:t xml:space="preserve">  On</w:t>
      </w:r>
      <w:r w:rsidR="00D33878">
        <w:rPr>
          <w:rFonts w:ascii="Courier New" w:hAnsi="Courier New" w:cs="Courier New"/>
        </w:rPr>
        <w:t xml:space="preserve"> the basis of the record</w:t>
      </w:r>
      <w:r w:rsidR="00B2719A">
        <w:rPr>
          <w:rFonts w:ascii="Courier New" w:hAnsi="Courier New" w:cs="Courier New"/>
        </w:rPr>
        <w:t xml:space="preserve"> then before it, the Board initially</w:t>
      </w:r>
      <w:r w:rsidR="00630A2E">
        <w:rPr>
          <w:rFonts w:ascii="Courier New" w:hAnsi="Courier New" w:cs="Courier New"/>
        </w:rPr>
        <w:t xml:space="preserve"> denied the appellee’s Motion to Dismiss </w:t>
      </w:r>
      <w:r w:rsidR="00192E37">
        <w:rPr>
          <w:rFonts w:ascii="Courier New" w:hAnsi="Courier New" w:cs="Courier New"/>
        </w:rPr>
        <w:t xml:space="preserve">for Lack of Jurisdiction </w:t>
      </w:r>
      <w:r w:rsidR="00630A2E">
        <w:rPr>
          <w:rFonts w:ascii="Courier New" w:hAnsi="Courier New" w:cs="Courier New"/>
        </w:rPr>
        <w:t>and granted the appellant’s Motion to Amend Petition</w:t>
      </w:r>
      <w:r w:rsidR="00B2719A">
        <w:rPr>
          <w:rFonts w:ascii="Courier New" w:hAnsi="Courier New" w:cs="Courier New"/>
        </w:rPr>
        <w:t xml:space="preserve"> on October 6, </w:t>
      </w:r>
      <w:r w:rsidR="00B2719A">
        <w:rPr>
          <w:rFonts w:ascii="Courier New" w:hAnsi="Courier New" w:cs="Courier New"/>
        </w:rPr>
        <w:lastRenderedPageBreak/>
        <w:t>2014</w:t>
      </w:r>
      <w:r w:rsidR="00630A2E">
        <w:rPr>
          <w:rFonts w:ascii="Courier New" w:hAnsi="Courier New" w:cs="Courier New"/>
        </w:rPr>
        <w:t>.</w:t>
      </w:r>
      <w:r w:rsidR="00EB1059">
        <w:rPr>
          <w:rFonts w:ascii="Courier New" w:hAnsi="Courier New" w:cs="Courier New"/>
        </w:rPr>
        <w:t xml:space="preserve"> </w:t>
      </w:r>
      <w:r>
        <w:rPr>
          <w:rFonts w:ascii="Courier New" w:hAnsi="Courier New" w:cs="Courier New"/>
        </w:rPr>
        <w:t xml:space="preserve"> </w:t>
      </w:r>
      <w:r w:rsidR="00130D0D">
        <w:rPr>
          <w:rFonts w:ascii="Courier New" w:hAnsi="Courier New" w:cs="Courier New"/>
        </w:rPr>
        <w:t xml:space="preserve">The Board held a hearing on December 14 and 15, 2015 and January 26, 2016.  </w:t>
      </w:r>
      <w:r w:rsidR="00130D0D" w:rsidRPr="00130D0D">
        <w:rPr>
          <w:rFonts w:ascii="Courier New" w:hAnsi="Courier New" w:cs="Courier New"/>
        </w:rPr>
        <w:t xml:space="preserve">On March 18, 2016, the appellee filed a </w:t>
      </w:r>
      <w:r w:rsidR="000E08DD" w:rsidRPr="00130D0D">
        <w:rPr>
          <w:rFonts w:ascii="Courier New" w:hAnsi="Courier New" w:cs="Courier New"/>
        </w:rPr>
        <w:t>Post-Trial Motion to Dismiss</w:t>
      </w:r>
      <w:r w:rsidR="00130D0D">
        <w:rPr>
          <w:rFonts w:ascii="Courier New" w:hAnsi="Courier New" w:cs="Courier New"/>
        </w:rPr>
        <w:t xml:space="preserve"> for </w:t>
      </w:r>
      <w:r w:rsidR="00192E37">
        <w:rPr>
          <w:rFonts w:ascii="Courier New" w:hAnsi="Courier New" w:cs="Courier New"/>
        </w:rPr>
        <w:t>L</w:t>
      </w:r>
      <w:r w:rsidR="00130D0D">
        <w:rPr>
          <w:rFonts w:ascii="Courier New" w:hAnsi="Courier New" w:cs="Courier New"/>
        </w:rPr>
        <w:t xml:space="preserve">ack of </w:t>
      </w:r>
      <w:r w:rsidR="00192E37">
        <w:rPr>
          <w:rFonts w:ascii="Courier New" w:hAnsi="Courier New" w:cs="Courier New"/>
        </w:rPr>
        <w:t>J</w:t>
      </w:r>
      <w:r w:rsidR="00130D0D">
        <w:rPr>
          <w:rFonts w:ascii="Courier New" w:hAnsi="Courier New" w:cs="Courier New"/>
        </w:rPr>
        <w:t>urisdiction.</w:t>
      </w:r>
      <w:r>
        <w:rPr>
          <w:rFonts w:ascii="Courier New" w:hAnsi="Courier New" w:cs="Courier New"/>
        </w:rPr>
        <w:t xml:space="preserve"> </w:t>
      </w:r>
    </w:p>
    <w:p w14:paraId="5D563F6E" w14:textId="4EEB8435" w:rsidR="000D2B14" w:rsidRDefault="000D2B14" w:rsidP="009E1023">
      <w:pPr>
        <w:spacing w:line="480" w:lineRule="auto"/>
        <w:ind w:firstLine="720"/>
        <w:jc w:val="both"/>
        <w:rPr>
          <w:rFonts w:ascii="Courier New" w:hAnsi="Courier New" w:cs="Courier New"/>
        </w:rPr>
      </w:pPr>
      <w:r w:rsidRPr="00966943">
        <w:rPr>
          <w:rFonts w:ascii="Courier New" w:hAnsi="Courier New" w:cs="Courier New"/>
        </w:rPr>
        <w:t>On the</w:t>
      </w:r>
      <w:r>
        <w:rPr>
          <w:rFonts w:ascii="Courier New" w:hAnsi="Courier New" w:cs="Courier New"/>
        </w:rPr>
        <w:t xml:space="preserve"> basis of these facts, and as will be further explained in the Opinion, the Boar</w:t>
      </w:r>
      <w:r w:rsidR="00630A2E">
        <w:rPr>
          <w:rFonts w:ascii="Courier New" w:hAnsi="Courier New" w:cs="Courier New"/>
        </w:rPr>
        <w:t>d found and ruled that it</w:t>
      </w:r>
      <w:r w:rsidR="00E218D3">
        <w:rPr>
          <w:rFonts w:ascii="Courier New" w:hAnsi="Courier New" w:cs="Courier New"/>
        </w:rPr>
        <w:t xml:space="preserve"> did not have</w:t>
      </w:r>
      <w:r>
        <w:rPr>
          <w:rFonts w:ascii="Courier New" w:hAnsi="Courier New" w:cs="Courier New"/>
        </w:rPr>
        <w:t xml:space="preserve"> </w:t>
      </w:r>
      <w:r w:rsidRPr="00966943">
        <w:rPr>
          <w:rFonts w:ascii="Courier New" w:hAnsi="Courier New" w:cs="Courier New"/>
        </w:rPr>
        <w:t>jurisdiction</w:t>
      </w:r>
      <w:r w:rsidR="00630A2E">
        <w:rPr>
          <w:rFonts w:ascii="Courier New" w:hAnsi="Courier New" w:cs="Courier New"/>
        </w:rPr>
        <w:t xml:space="preserve"> to hear and decide</w:t>
      </w:r>
      <w:r>
        <w:rPr>
          <w:rFonts w:ascii="Courier New" w:hAnsi="Courier New" w:cs="Courier New"/>
        </w:rPr>
        <w:t xml:space="preserve"> </w:t>
      </w:r>
      <w:r w:rsidR="00340A07">
        <w:rPr>
          <w:rFonts w:ascii="Courier New" w:hAnsi="Courier New" w:cs="Courier New"/>
        </w:rPr>
        <w:t xml:space="preserve">the appeal for fiscal year </w:t>
      </w:r>
      <w:r>
        <w:rPr>
          <w:rFonts w:ascii="Courier New" w:hAnsi="Courier New" w:cs="Courier New"/>
        </w:rPr>
        <w:t xml:space="preserve">2014. </w:t>
      </w:r>
      <w:r w:rsidR="000A5AF9">
        <w:rPr>
          <w:rFonts w:ascii="Courier New" w:hAnsi="Courier New" w:cs="Courier New"/>
        </w:rPr>
        <w:t xml:space="preserve"> Accordingly, the Board allowed the appellee’s motion and issued a decision for the appellee for fiscal year 2014</w:t>
      </w:r>
      <w:r w:rsidR="00A31A76">
        <w:rPr>
          <w:rFonts w:ascii="Courier New" w:hAnsi="Courier New" w:cs="Courier New"/>
        </w:rPr>
        <w:t>.</w:t>
      </w:r>
    </w:p>
    <w:p w14:paraId="3CB6604E" w14:textId="723C15C8" w:rsidR="00E1410B" w:rsidRPr="00E1410B" w:rsidRDefault="00DA54D8" w:rsidP="00E1410B">
      <w:pPr>
        <w:spacing w:line="480" w:lineRule="auto"/>
        <w:jc w:val="both"/>
        <w:rPr>
          <w:rFonts w:ascii="Courier New" w:hAnsi="Courier New" w:cs="Courier New"/>
          <w:i/>
        </w:rPr>
      </w:pPr>
      <w:r>
        <w:rPr>
          <w:rFonts w:ascii="Courier New" w:hAnsi="Courier New" w:cs="Courier New"/>
          <w:i/>
        </w:rPr>
        <w:t>b</w:t>
      </w:r>
      <w:r w:rsidR="00E1410B" w:rsidRPr="00E1410B">
        <w:rPr>
          <w:rFonts w:ascii="Courier New" w:hAnsi="Courier New" w:cs="Courier New"/>
          <w:i/>
        </w:rPr>
        <w:t>. Fiscal year 2015</w:t>
      </w:r>
    </w:p>
    <w:p w14:paraId="1D3DA360" w14:textId="14AEC377" w:rsidR="00223D5E" w:rsidRDefault="0041110A" w:rsidP="009E1023">
      <w:pPr>
        <w:spacing w:line="480" w:lineRule="auto"/>
        <w:ind w:firstLine="720"/>
        <w:jc w:val="both"/>
        <w:rPr>
          <w:rFonts w:ascii="Courier New" w:hAnsi="Courier New" w:cs="Courier New"/>
        </w:rPr>
      </w:pPr>
      <w:r>
        <w:rPr>
          <w:rFonts w:ascii="Courier New" w:hAnsi="Courier New" w:cs="Courier New"/>
        </w:rPr>
        <w:t>For fiscal year 2015</w:t>
      </w:r>
      <w:r w:rsidR="009E1023">
        <w:rPr>
          <w:rFonts w:ascii="Courier New" w:hAnsi="Courier New" w:cs="Courier New"/>
        </w:rPr>
        <w:t>, the asses</w:t>
      </w:r>
      <w:r w:rsidR="00A061E7">
        <w:rPr>
          <w:rFonts w:ascii="Courier New" w:hAnsi="Courier New" w:cs="Courier New"/>
        </w:rPr>
        <w:t>sors valued the improved parcel</w:t>
      </w:r>
      <w:r>
        <w:rPr>
          <w:rFonts w:ascii="Courier New" w:hAnsi="Courier New" w:cs="Courier New"/>
        </w:rPr>
        <w:t xml:space="preserve"> at $</w:t>
      </w:r>
      <w:r w:rsidR="00EF51E5">
        <w:rPr>
          <w:rFonts w:ascii="Courier New" w:hAnsi="Courier New" w:cs="Courier New"/>
        </w:rPr>
        <w:t>4,701,700</w:t>
      </w:r>
      <w:r w:rsidR="009E1023" w:rsidRPr="00966943">
        <w:rPr>
          <w:rFonts w:ascii="Courier New" w:hAnsi="Courier New" w:cs="Courier New"/>
        </w:rPr>
        <w:t xml:space="preserve"> and assessed a tax thereon, at the rate of $</w:t>
      </w:r>
      <w:r w:rsidR="00CD0B22">
        <w:rPr>
          <w:rFonts w:ascii="Courier New" w:hAnsi="Courier New" w:cs="Courier New"/>
        </w:rPr>
        <w:t>10.84</w:t>
      </w:r>
      <w:r>
        <w:rPr>
          <w:rFonts w:ascii="Courier New" w:hAnsi="Courier New" w:cs="Courier New"/>
        </w:rPr>
        <w:t xml:space="preserve"> per thousand, in the </w:t>
      </w:r>
      <w:r w:rsidR="00CD0B22">
        <w:rPr>
          <w:rFonts w:ascii="Courier New" w:hAnsi="Courier New" w:cs="Courier New"/>
        </w:rPr>
        <w:t xml:space="preserve">total </w:t>
      </w:r>
      <w:r w:rsidR="009E1023" w:rsidRPr="00966943">
        <w:rPr>
          <w:rFonts w:ascii="Courier New" w:hAnsi="Courier New" w:cs="Courier New"/>
        </w:rPr>
        <w:t>amount of $</w:t>
      </w:r>
      <w:r w:rsidR="007A3EF7">
        <w:rPr>
          <w:rFonts w:ascii="Courier New" w:hAnsi="Courier New" w:cs="Courier New"/>
        </w:rPr>
        <w:t>52,495.42.</w:t>
      </w:r>
      <w:r w:rsidR="007A3EF7">
        <w:rPr>
          <w:rStyle w:val="FootnoteReference"/>
          <w:rFonts w:ascii="Courier New" w:hAnsi="Courier New" w:cs="Courier New"/>
        </w:rPr>
        <w:footnoteReference w:id="4"/>
      </w:r>
      <w:r w:rsidR="00CD0B22">
        <w:rPr>
          <w:rFonts w:ascii="Courier New" w:hAnsi="Courier New" w:cs="Courier New"/>
        </w:rPr>
        <w:t xml:space="preserve"> That same fiscal year,</w:t>
      </w:r>
      <w:r>
        <w:rPr>
          <w:rFonts w:ascii="Courier New" w:hAnsi="Courier New" w:cs="Courier New"/>
        </w:rPr>
        <w:t xml:space="preserve"> the as</w:t>
      </w:r>
      <w:r w:rsidR="00A061E7">
        <w:rPr>
          <w:rFonts w:ascii="Courier New" w:hAnsi="Courier New" w:cs="Courier New"/>
        </w:rPr>
        <w:t>sessors valued the vacant parcel</w:t>
      </w:r>
      <w:r>
        <w:rPr>
          <w:rFonts w:ascii="Courier New" w:hAnsi="Courier New" w:cs="Courier New"/>
        </w:rPr>
        <w:t xml:space="preserve"> at $</w:t>
      </w:r>
      <w:r w:rsidR="00EF51E5">
        <w:rPr>
          <w:rFonts w:ascii="Courier New" w:hAnsi="Courier New" w:cs="Courier New"/>
        </w:rPr>
        <w:t>2,489,000</w:t>
      </w:r>
      <w:r>
        <w:rPr>
          <w:rFonts w:ascii="Courier New" w:hAnsi="Courier New" w:cs="Courier New"/>
        </w:rPr>
        <w:t xml:space="preserve"> and assessed a tax thereon, </w:t>
      </w:r>
      <w:r w:rsidR="008E69B0">
        <w:rPr>
          <w:rFonts w:ascii="Courier New" w:hAnsi="Courier New" w:cs="Courier New"/>
        </w:rPr>
        <w:t xml:space="preserve">also </w:t>
      </w:r>
      <w:r>
        <w:rPr>
          <w:rFonts w:ascii="Courier New" w:hAnsi="Courier New" w:cs="Courier New"/>
        </w:rPr>
        <w:t>at the rate of $</w:t>
      </w:r>
      <w:r w:rsidR="008E69B0">
        <w:rPr>
          <w:rFonts w:ascii="Courier New" w:hAnsi="Courier New" w:cs="Courier New"/>
        </w:rPr>
        <w:t>10.84</w:t>
      </w:r>
      <w:r>
        <w:rPr>
          <w:rFonts w:ascii="Courier New" w:hAnsi="Courier New" w:cs="Courier New"/>
        </w:rPr>
        <w:t xml:space="preserve"> per thousa</w:t>
      </w:r>
      <w:r w:rsidR="008E69B0">
        <w:rPr>
          <w:rFonts w:ascii="Courier New" w:hAnsi="Courier New" w:cs="Courier New"/>
        </w:rPr>
        <w:t>nd, in the total amount of $27,790.18.</w:t>
      </w:r>
      <w:r w:rsidR="008E69B0">
        <w:rPr>
          <w:rStyle w:val="FootnoteReference"/>
          <w:rFonts w:ascii="Courier New" w:hAnsi="Courier New" w:cs="Courier New"/>
        </w:rPr>
        <w:footnoteReference w:id="5"/>
      </w:r>
      <w:r w:rsidR="009E1023">
        <w:rPr>
          <w:rFonts w:ascii="Courier New" w:hAnsi="Courier New" w:cs="Courier New"/>
        </w:rPr>
        <w:t xml:space="preserve"> </w:t>
      </w:r>
      <w:r w:rsidR="00B57408">
        <w:rPr>
          <w:rFonts w:ascii="Courier New" w:hAnsi="Courier New" w:cs="Courier New"/>
        </w:rPr>
        <w:t xml:space="preserve">The appellant </w:t>
      </w:r>
      <w:r w:rsidR="00F040C7">
        <w:rPr>
          <w:rFonts w:ascii="Courier New" w:hAnsi="Courier New" w:cs="Courier New"/>
        </w:rPr>
        <w:t xml:space="preserve">timely </w:t>
      </w:r>
      <w:r w:rsidR="00B57408">
        <w:rPr>
          <w:rFonts w:ascii="Courier New" w:hAnsi="Courier New" w:cs="Courier New"/>
        </w:rPr>
        <w:t xml:space="preserve">paid the </w:t>
      </w:r>
      <w:r w:rsidR="009E1023" w:rsidRPr="00966943">
        <w:rPr>
          <w:rFonts w:ascii="Courier New" w:hAnsi="Courier New" w:cs="Courier New"/>
        </w:rPr>
        <w:t>tax</w:t>
      </w:r>
      <w:r w:rsidR="00B57408">
        <w:rPr>
          <w:rFonts w:ascii="Courier New" w:hAnsi="Courier New" w:cs="Courier New"/>
        </w:rPr>
        <w:t>es</w:t>
      </w:r>
      <w:r w:rsidR="009E1023" w:rsidRPr="00966943">
        <w:rPr>
          <w:rFonts w:ascii="Courier New" w:hAnsi="Courier New" w:cs="Courier New"/>
        </w:rPr>
        <w:t xml:space="preserve"> due</w:t>
      </w:r>
      <w:r w:rsidR="00B57408">
        <w:rPr>
          <w:rFonts w:ascii="Courier New" w:hAnsi="Courier New" w:cs="Courier New"/>
        </w:rPr>
        <w:t xml:space="preserve"> on the subject properties</w:t>
      </w:r>
      <w:r w:rsidR="009E1023" w:rsidRPr="00966943">
        <w:rPr>
          <w:rFonts w:ascii="Courier New" w:hAnsi="Courier New" w:cs="Courier New"/>
        </w:rPr>
        <w:t xml:space="preserve"> without i</w:t>
      </w:r>
      <w:r w:rsidR="009E1023">
        <w:rPr>
          <w:rFonts w:ascii="Courier New" w:hAnsi="Courier New" w:cs="Courier New"/>
        </w:rPr>
        <w:t xml:space="preserve">ncurring interest. </w:t>
      </w:r>
      <w:r w:rsidR="00B77B58">
        <w:rPr>
          <w:rFonts w:ascii="Courier New" w:hAnsi="Courier New" w:cs="Courier New"/>
        </w:rPr>
        <w:t xml:space="preserve"> </w:t>
      </w:r>
      <w:r w:rsidR="0004773A">
        <w:rPr>
          <w:rFonts w:ascii="Courier New" w:hAnsi="Courier New" w:cs="Courier New"/>
        </w:rPr>
        <w:t>On January 8, 2015, the appellant filed a Petition Under Formal Procedure with the Board</w:t>
      </w:r>
      <w:r w:rsidR="003F5456">
        <w:rPr>
          <w:rFonts w:ascii="Courier New" w:hAnsi="Courier New" w:cs="Courier New"/>
        </w:rPr>
        <w:t xml:space="preserve"> pursuant to G.L. c. 59, § 5B</w:t>
      </w:r>
      <w:r w:rsidR="0004773A">
        <w:rPr>
          <w:rFonts w:ascii="Courier New" w:hAnsi="Courier New" w:cs="Courier New"/>
        </w:rPr>
        <w:t xml:space="preserve">.  </w:t>
      </w:r>
      <w:r w:rsidR="00AB1E94">
        <w:rPr>
          <w:rFonts w:ascii="Courier New" w:hAnsi="Courier New" w:cs="Courier New"/>
        </w:rPr>
        <w:t>On January 29</w:t>
      </w:r>
      <w:r w:rsidR="009E1023" w:rsidRPr="00966943">
        <w:rPr>
          <w:rFonts w:ascii="Courier New" w:hAnsi="Courier New" w:cs="Courier New"/>
        </w:rPr>
        <w:t>,</w:t>
      </w:r>
      <w:r w:rsidR="00AB1E94">
        <w:rPr>
          <w:rFonts w:ascii="Courier New" w:hAnsi="Courier New" w:cs="Courier New"/>
        </w:rPr>
        <w:t xml:space="preserve"> 2015</w:t>
      </w:r>
      <w:r w:rsidR="009E1023">
        <w:rPr>
          <w:rFonts w:ascii="Courier New" w:hAnsi="Courier New" w:cs="Courier New"/>
        </w:rPr>
        <w:t>,</w:t>
      </w:r>
      <w:r w:rsidR="009E1023" w:rsidRPr="00966943">
        <w:rPr>
          <w:rFonts w:ascii="Courier New" w:hAnsi="Courier New" w:cs="Courier New"/>
        </w:rPr>
        <w:t xml:space="preserve"> </w:t>
      </w:r>
      <w:r w:rsidR="00C33169">
        <w:rPr>
          <w:rFonts w:ascii="Courier New" w:hAnsi="Courier New" w:cs="Courier New"/>
        </w:rPr>
        <w:t>in accordance with</w:t>
      </w:r>
      <w:r w:rsidR="00416C7A">
        <w:rPr>
          <w:rFonts w:ascii="Courier New" w:hAnsi="Courier New" w:cs="Courier New"/>
        </w:rPr>
        <w:br w:type="page"/>
      </w:r>
      <w:r w:rsidR="00C33169">
        <w:rPr>
          <w:rFonts w:ascii="Courier New" w:hAnsi="Courier New" w:cs="Courier New"/>
        </w:rPr>
        <w:lastRenderedPageBreak/>
        <w:t>G.L. c.</w:t>
      </w:r>
      <w:r w:rsidR="009E1023">
        <w:rPr>
          <w:rFonts w:ascii="Courier New" w:hAnsi="Courier New" w:cs="Courier New"/>
        </w:rPr>
        <w:t> 59, § 59</w:t>
      </w:r>
      <w:r w:rsidR="00AB1E94">
        <w:rPr>
          <w:rFonts w:ascii="Courier New" w:hAnsi="Courier New" w:cs="Courier New"/>
        </w:rPr>
        <w:t>, the appellant timely filed A</w:t>
      </w:r>
      <w:r w:rsidR="009E1023">
        <w:rPr>
          <w:rFonts w:ascii="Courier New" w:hAnsi="Courier New" w:cs="Courier New"/>
        </w:rPr>
        <w:t>pplication</w:t>
      </w:r>
      <w:r w:rsidR="002C65D6">
        <w:rPr>
          <w:rFonts w:ascii="Courier New" w:hAnsi="Courier New" w:cs="Courier New"/>
        </w:rPr>
        <w:t>s for Abatement as well as Statutory Exemption Forms 1B-3</w:t>
      </w:r>
      <w:r w:rsidR="0004773A">
        <w:rPr>
          <w:rFonts w:ascii="Courier New" w:hAnsi="Courier New" w:cs="Courier New"/>
        </w:rPr>
        <w:t xml:space="preserve"> for the subject properties</w:t>
      </w:r>
      <w:r w:rsidR="009E1023">
        <w:rPr>
          <w:rFonts w:ascii="Courier New" w:hAnsi="Courier New" w:cs="Courier New"/>
        </w:rPr>
        <w:t xml:space="preserve"> with the appellee, wh</w:t>
      </w:r>
      <w:r w:rsidR="00B77B58">
        <w:rPr>
          <w:rFonts w:ascii="Courier New" w:hAnsi="Courier New" w:cs="Courier New"/>
        </w:rPr>
        <w:t xml:space="preserve">ich the appellee denied </w:t>
      </w:r>
      <w:r w:rsidR="0004773A">
        <w:rPr>
          <w:rFonts w:ascii="Courier New" w:hAnsi="Courier New" w:cs="Courier New"/>
        </w:rPr>
        <w:t>by vote on February 12, 2015</w:t>
      </w:r>
      <w:r w:rsidR="009E1023" w:rsidRPr="00966943">
        <w:rPr>
          <w:rFonts w:ascii="Courier New" w:hAnsi="Courier New" w:cs="Courier New"/>
        </w:rPr>
        <w:t xml:space="preserve">. </w:t>
      </w:r>
      <w:r w:rsidR="009E1023">
        <w:rPr>
          <w:rFonts w:ascii="Courier New" w:hAnsi="Courier New" w:cs="Courier New"/>
        </w:rPr>
        <w:t xml:space="preserve"> </w:t>
      </w:r>
      <w:r w:rsidR="0004773A">
        <w:rPr>
          <w:rFonts w:ascii="Courier New" w:hAnsi="Courier New" w:cs="Courier New"/>
        </w:rPr>
        <w:t>On March 31, 2015, the appellant filed a Motion to Consolidate the</w:t>
      </w:r>
      <w:r w:rsidR="00223D5E">
        <w:rPr>
          <w:rFonts w:ascii="Courier New" w:hAnsi="Courier New" w:cs="Courier New"/>
        </w:rPr>
        <w:t xml:space="preserve"> appeals for fiscal year 2014 and fiscal year 2015, which the Board allowed.  </w:t>
      </w:r>
    </w:p>
    <w:p w14:paraId="37064456" w14:textId="3EB39129" w:rsidR="000E6CF6" w:rsidRDefault="000D2B14" w:rsidP="00831307">
      <w:pPr>
        <w:spacing w:line="480" w:lineRule="auto"/>
        <w:ind w:firstLine="720"/>
        <w:jc w:val="both"/>
        <w:rPr>
          <w:rFonts w:ascii="Courier New" w:hAnsi="Courier New" w:cs="Courier New"/>
        </w:rPr>
      </w:pPr>
      <w:r>
        <w:rPr>
          <w:rFonts w:ascii="Courier New" w:hAnsi="Courier New" w:cs="Courier New"/>
        </w:rPr>
        <w:t>On the basis of these facts</w:t>
      </w:r>
      <w:r w:rsidR="00572786">
        <w:rPr>
          <w:rFonts w:ascii="Courier New" w:hAnsi="Courier New" w:cs="Courier New"/>
        </w:rPr>
        <w:t>, t</w:t>
      </w:r>
      <w:r>
        <w:rPr>
          <w:rFonts w:ascii="Courier New" w:hAnsi="Courier New" w:cs="Courier New"/>
        </w:rPr>
        <w:t xml:space="preserve">he Board </w:t>
      </w:r>
      <w:r w:rsidR="00B57408">
        <w:rPr>
          <w:rFonts w:ascii="Courier New" w:hAnsi="Courier New" w:cs="Courier New"/>
        </w:rPr>
        <w:t>found that it had</w:t>
      </w:r>
      <w:r w:rsidR="00223D5E">
        <w:rPr>
          <w:rFonts w:ascii="Courier New" w:hAnsi="Courier New" w:cs="Courier New"/>
        </w:rPr>
        <w:t xml:space="preserve"> jurisdiction</w:t>
      </w:r>
      <w:r w:rsidR="009E1023" w:rsidRPr="00966943">
        <w:rPr>
          <w:rFonts w:ascii="Courier New" w:hAnsi="Courier New" w:cs="Courier New"/>
        </w:rPr>
        <w:t xml:space="preserve"> to hear and de</w:t>
      </w:r>
      <w:r w:rsidR="00223D5E">
        <w:rPr>
          <w:rFonts w:ascii="Courier New" w:hAnsi="Courier New" w:cs="Courier New"/>
        </w:rPr>
        <w:t xml:space="preserve">cide the </w:t>
      </w:r>
      <w:r w:rsidR="009E1023" w:rsidRPr="00966943">
        <w:rPr>
          <w:rFonts w:ascii="Courier New" w:hAnsi="Courier New" w:cs="Courier New"/>
        </w:rPr>
        <w:t>appeal</w:t>
      </w:r>
      <w:r w:rsidR="00223D5E">
        <w:rPr>
          <w:rFonts w:ascii="Courier New" w:hAnsi="Courier New" w:cs="Courier New"/>
        </w:rPr>
        <w:t xml:space="preserve"> for fiscal year 2015</w:t>
      </w:r>
      <w:r w:rsidR="009E1023" w:rsidRPr="00966943">
        <w:rPr>
          <w:rFonts w:ascii="Courier New" w:hAnsi="Courier New" w:cs="Courier New"/>
        </w:rPr>
        <w:t>.</w:t>
      </w:r>
    </w:p>
    <w:p w14:paraId="27A5E04E" w14:textId="763612CF" w:rsidR="00DA54D8" w:rsidRPr="00DA54D8" w:rsidRDefault="00DA54D8" w:rsidP="00DA54D8">
      <w:pPr>
        <w:spacing w:line="480" w:lineRule="auto"/>
        <w:jc w:val="both"/>
        <w:rPr>
          <w:rFonts w:ascii="Courier New" w:hAnsi="Courier New" w:cs="Courier New"/>
          <w:u w:val="single"/>
        </w:rPr>
      </w:pPr>
      <w:r>
        <w:rPr>
          <w:rFonts w:ascii="Courier New" w:hAnsi="Courier New" w:cs="Courier New"/>
          <w:u w:val="single"/>
        </w:rPr>
        <w:t xml:space="preserve">2. </w:t>
      </w:r>
      <w:r w:rsidR="003F5456">
        <w:rPr>
          <w:rFonts w:ascii="Courier New" w:hAnsi="Courier New" w:cs="Courier New"/>
          <w:u w:val="single"/>
        </w:rPr>
        <w:t xml:space="preserve">Facts relating to </w:t>
      </w:r>
      <w:r w:rsidR="00F040C7">
        <w:rPr>
          <w:rFonts w:ascii="Courier New" w:hAnsi="Courier New" w:cs="Courier New"/>
          <w:u w:val="single"/>
        </w:rPr>
        <w:t xml:space="preserve">TJMC’s claim of </w:t>
      </w:r>
      <w:r w:rsidR="003F5456">
        <w:rPr>
          <w:rFonts w:ascii="Courier New" w:hAnsi="Courier New" w:cs="Courier New"/>
          <w:u w:val="single"/>
        </w:rPr>
        <w:t>exemption</w:t>
      </w:r>
    </w:p>
    <w:p w14:paraId="1BB86570" w14:textId="77777777" w:rsidR="004F5231" w:rsidRDefault="000E6CF6" w:rsidP="00EB1059">
      <w:pPr>
        <w:spacing w:line="480" w:lineRule="auto"/>
        <w:ind w:firstLine="720"/>
        <w:jc w:val="both"/>
        <w:rPr>
          <w:rFonts w:ascii="Courier New" w:hAnsi="Courier New" w:cs="Courier New"/>
        </w:rPr>
      </w:pPr>
      <w:r>
        <w:rPr>
          <w:rFonts w:ascii="Courier New" w:hAnsi="Courier New" w:cs="Courier New"/>
        </w:rPr>
        <w:t>The subject properties are owned by TJMC, an entity recogn</w:t>
      </w:r>
      <w:r w:rsidR="006D4AFE">
        <w:rPr>
          <w:rFonts w:ascii="Courier New" w:hAnsi="Courier New" w:cs="Courier New"/>
        </w:rPr>
        <w:t>ized as a “private foundation”</w:t>
      </w:r>
      <w:r w:rsidR="00151E44">
        <w:rPr>
          <w:rFonts w:ascii="Courier New" w:hAnsi="Courier New" w:cs="Courier New"/>
        </w:rPr>
        <w:t xml:space="preserve"> </w:t>
      </w:r>
      <w:r w:rsidR="001E457B">
        <w:rPr>
          <w:rFonts w:ascii="Courier New" w:hAnsi="Courier New" w:cs="Courier New"/>
        </w:rPr>
        <w:t xml:space="preserve">and thus exempt from Federal income tax </w:t>
      </w:r>
      <w:r w:rsidR="00151E44">
        <w:rPr>
          <w:rFonts w:ascii="Courier New" w:hAnsi="Courier New" w:cs="Courier New"/>
        </w:rPr>
        <w:t>unde</w:t>
      </w:r>
      <w:r w:rsidR="001E457B">
        <w:rPr>
          <w:rFonts w:ascii="Courier New" w:hAnsi="Courier New" w:cs="Courier New"/>
        </w:rPr>
        <w:t>r Internal Revenue Code</w:t>
      </w:r>
      <w:r w:rsidR="00E625DE">
        <w:rPr>
          <w:rFonts w:ascii="Courier New" w:hAnsi="Courier New" w:cs="Courier New"/>
        </w:rPr>
        <w:t xml:space="preserve"> § 501</w:t>
      </w:r>
      <w:r w:rsidR="00151E44">
        <w:rPr>
          <w:rFonts w:ascii="Courier New" w:hAnsi="Courier New" w:cs="Courier New"/>
        </w:rPr>
        <w:t>(c)(3)</w:t>
      </w:r>
      <w:r w:rsidR="001E457B">
        <w:rPr>
          <w:rFonts w:ascii="Courier New" w:hAnsi="Courier New" w:cs="Courier New"/>
        </w:rPr>
        <w:t xml:space="preserve"> (“Code 501(c)(3) organization”)</w:t>
      </w:r>
      <w:r w:rsidR="001E3712">
        <w:rPr>
          <w:rFonts w:ascii="Courier New" w:hAnsi="Courier New" w:cs="Courier New"/>
        </w:rPr>
        <w:t xml:space="preserve">.  </w:t>
      </w:r>
      <w:r w:rsidR="007D720B">
        <w:rPr>
          <w:rFonts w:ascii="Courier New" w:hAnsi="Courier New" w:cs="Courier New"/>
        </w:rPr>
        <w:t xml:space="preserve">TJMC does not have employees but instead retains the services of independent contractors when needed, including a housekeeper and a property caretaker.  </w:t>
      </w:r>
    </w:p>
    <w:p w14:paraId="6FA3AEC1" w14:textId="2622B383" w:rsidR="004F5231" w:rsidRDefault="00494AB2" w:rsidP="00EB1059">
      <w:pPr>
        <w:spacing w:line="480" w:lineRule="auto"/>
        <w:ind w:firstLine="720"/>
        <w:jc w:val="both"/>
        <w:rPr>
          <w:rFonts w:ascii="Courier New" w:hAnsi="Courier New" w:cs="Courier New"/>
        </w:rPr>
      </w:pPr>
      <w:r>
        <w:rPr>
          <w:rFonts w:ascii="Courier New" w:hAnsi="Courier New" w:cs="Courier New"/>
        </w:rPr>
        <w:t xml:space="preserve">Dr. </w:t>
      </w:r>
      <w:proofErr w:type="spellStart"/>
      <w:r>
        <w:rPr>
          <w:rFonts w:ascii="Courier New" w:hAnsi="Courier New" w:cs="Courier New"/>
        </w:rPr>
        <w:t>Lastavica</w:t>
      </w:r>
      <w:proofErr w:type="spellEnd"/>
      <w:r w:rsidR="001E3712">
        <w:rPr>
          <w:rFonts w:ascii="Courier New" w:hAnsi="Courier New" w:cs="Courier New"/>
        </w:rPr>
        <w:t xml:space="preserve"> and her late husband,</w:t>
      </w:r>
      <w:r w:rsidR="009C2ECD">
        <w:rPr>
          <w:rFonts w:ascii="Courier New" w:hAnsi="Courier New" w:cs="Courier New"/>
        </w:rPr>
        <w:t xml:space="preserve"> John </w:t>
      </w:r>
      <w:proofErr w:type="spellStart"/>
      <w:r w:rsidR="009C2ECD">
        <w:rPr>
          <w:rFonts w:ascii="Courier New" w:hAnsi="Courier New" w:cs="Courier New"/>
        </w:rPr>
        <w:t>Lastavica</w:t>
      </w:r>
      <w:proofErr w:type="spellEnd"/>
      <w:r w:rsidR="004F5231">
        <w:rPr>
          <w:rFonts w:ascii="Courier New" w:hAnsi="Courier New" w:cs="Courier New"/>
        </w:rPr>
        <w:t>,</w:t>
      </w:r>
      <w:r w:rsidR="001E3712">
        <w:rPr>
          <w:rFonts w:ascii="Courier New" w:hAnsi="Courier New" w:cs="Courier New"/>
        </w:rPr>
        <w:t xml:space="preserve"> founded TJMC on September 29, 2011.  </w:t>
      </w:r>
      <w:r w:rsidR="006C3BE9">
        <w:rPr>
          <w:rFonts w:ascii="Courier New" w:hAnsi="Courier New" w:cs="Courier New"/>
        </w:rPr>
        <w:t>TJ</w:t>
      </w:r>
      <w:r w:rsidR="00D77041">
        <w:rPr>
          <w:rFonts w:ascii="Courier New" w:hAnsi="Courier New" w:cs="Courier New"/>
        </w:rPr>
        <w:t>MC was organized under Massachusetts law as a so-called “member charitable organization,” with its sole member being Vingo Trust III, another private foundation, which was established by</w:t>
      </w:r>
      <w:r w:rsidR="005F20EC">
        <w:rPr>
          <w:rFonts w:ascii="Courier New" w:hAnsi="Courier New" w:cs="Courier New"/>
        </w:rPr>
        <w:t xml:space="preserve"> Dr.</w:t>
      </w:r>
      <w:r w:rsidR="00754BD0">
        <w:rPr>
          <w:rFonts w:ascii="Courier New" w:hAnsi="Courier New" w:cs="Courier New"/>
        </w:rPr>
        <w:t> </w:t>
      </w:r>
      <w:proofErr w:type="spellStart"/>
      <w:r w:rsidR="005F20EC">
        <w:rPr>
          <w:rFonts w:ascii="Courier New" w:hAnsi="Courier New" w:cs="Courier New"/>
        </w:rPr>
        <w:t>Lastavica</w:t>
      </w:r>
      <w:proofErr w:type="spellEnd"/>
      <w:r w:rsidR="005F20EC">
        <w:rPr>
          <w:rFonts w:ascii="Courier New" w:hAnsi="Courier New" w:cs="Courier New"/>
        </w:rPr>
        <w:t xml:space="preserve">, John </w:t>
      </w:r>
      <w:proofErr w:type="spellStart"/>
      <w:r w:rsidR="005F20EC">
        <w:rPr>
          <w:rFonts w:ascii="Courier New" w:hAnsi="Courier New" w:cs="Courier New"/>
        </w:rPr>
        <w:t>Lastavica</w:t>
      </w:r>
      <w:proofErr w:type="spellEnd"/>
      <w:r w:rsidR="00FB4021">
        <w:rPr>
          <w:rFonts w:ascii="Courier New" w:hAnsi="Courier New" w:cs="Courier New"/>
        </w:rPr>
        <w:t xml:space="preserve">, and </w:t>
      </w:r>
      <w:r w:rsidR="00D77041">
        <w:rPr>
          <w:rFonts w:ascii="Courier New" w:hAnsi="Courier New" w:cs="Courier New"/>
        </w:rPr>
        <w:t xml:space="preserve">John Hughes.  Dr. </w:t>
      </w:r>
      <w:proofErr w:type="spellStart"/>
      <w:r w:rsidR="00D77041">
        <w:rPr>
          <w:rFonts w:ascii="Courier New" w:hAnsi="Courier New" w:cs="Courier New"/>
        </w:rPr>
        <w:t>Lastavica</w:t>
      </w:r>
      <w:proofErr w:type="spellEnd"/>
      <w:r w:rsidR="00D77041">
        <w:rPr>
          <w:rFonts w:ascii="Courier New" w:hAnsi="Courier New" w:cs="Courier New"/>
        </w:rPr>
        <w:t xml:space="preserve"> served as the chairman of TJMC.  </w:t>
      </w:r>
    </w:p>
    <w:p w14:paraId="3A082557" w14:textId="552010A0" w:rsidR="00EB1059" w:rsidRDefault="001E3712" w:rsidP="00EB1059">
      <w:pPr>
        <w:spacing w:line="480" w:lineRule="auto"/>
        <w:ind w:firstLine="720"/>
        <w:jc w:val="both"/>
        <w:rPr>
          <w:rFonts w:ascii="Courier New" w:hAnsi="Courier New" w:cs="Courier New"/>
        </w:rPr>
      </w:pPr>
      <w:r>
        <w:rPr>
          <w:rFonts w:ascii="Courier New" w:hAnsi="Courier New" w:cs="Courier New"/>
        </w:rPr>
        <w:t xml:space="preserve">Pursuant to its Articles of Organization, TJMC was organized to “promote on-going research and collaboration to </w:t>
      </w:r>
      <w:r>
        <w:rPr>
          <w:rFonts w:ascii="Courier New" w:hAnsi="Courier New" w:cs="Courier New"/>
        </w:rPr>
        <w:lastRenderedPageBreak/>
        <w:t>advance knowledge of our nation’s history</w:t>
      </w:r>
      <w:r w:rsidR="00407DDF">
        <w:rPr>
          <w:rFonts w:ascii="Courier New" w:hAnsi="Courier New" w:cs="Courier New"/>
        </w:rPr>
        <w:t>, its polity and the economic system which derived therefrom, while fostering an understanding and appreciation of the scholars, artists, philosophers and others who he</w:t>
      </w:r>
      <w:r w:rsidR="007D720B">
        <w:rPr>
          <w:rFonts w:ascii="Courier New" w:hAnsi="Courier New" w:cs="Courier New"/>
        </w:rPr>
        <w:t>lped shape the Early Republic.”</w:t>
      </w:r>
      <w:r w:rsidR="00407DDF">
        <w:rPr>
          <w:rFonts w:ascii="Courier New" w:hAnsi="Courier New" w:cs="Courier New"/>
        </w:rPr>
        <w:t xml:space="preserve">  According to these same Articles of Organization, </w:t>
      </w:r>
      <w:r w:rsidR="00EB0B9A">
        <w:rPr>
          <w:rFonts w:ascii="Courier New" w:hAnsi="Courier New" w:cs="Courier New"/>
        </w:rPr>
        <w:t>the methods by which TJMC achieves its charitable purposes are by “sponsoring programs of independent study, exhibits, lectures and receptions, as well as collaboration with other</w:t>
      </w:r>
      <w:r w:rsidR="00FB4021">
        <w:rPr>
          <w:rFonts w:ascii="Courier New" w:hAnsi="Courier New" w:cs="Courier New"/>
        </w:rPr>
        <w:t xml:space="preserve"> like-minded organizations</w:t>
      </w:r>
      <w:r w:rsidR="0099183E">
        <w:rPr>
          <w:rFonts w:ascii="Courier New" w:hAnsi="Courier New" w:cs="Courier New"/>
        </w:rPr>
        <w:t>.</w:t>
      </w:r>
      <w:r w:rsidR="00EB0B9A">
        <w:rPr>
          <w:rFonts w:ascii="Courier New" w:hAnsi="Courier New" w:cs="Courier New"/>
        </w:rPr>
        <w:t>”</w:t>
      </w:r>
      <w:r w:rsidR="0099183E">
        <w:rPr>
          <w:rFonts w:ascii="Courier New" w:hAnsi="Courier New" w:cs="Courier New"/>
        </w:rPr>
        <w:t xml:space="preserve">  </w:t>
      </w:r>
    </w:p>
    <w:p w14:paraId="7A0148B1" w14:textId="658D3AF8" w:rsidR="00891017" w:rsidRDefault="0099183E" w:rsidP="00EB1059">
      <w:pPr>
        <w:spacing w:line="480" w:lineRule="auto"/>
        <w:ind w:firstLine="720"/>
        <w:jc w:val="both"/>
        <w:rPr>
          <w:rFonts w:ascii="Courier New" w:hAnsi="Courier New" w:cs="Courier New"/>
        </w:rPr>
      </w:pPr>
      <w:r>
        <w:rPr>
          <w:rFonts w:ascii="Courier New" w:hAnsi="Courier New" w:cs="Courier New"/>
        </w:rPr>
        <w:t>In its first mission statement (the “Original Mission Statement”), approved by TJMC’s Board of Directors on February 2, 2012, TJMC further articulate</w:t>
      </w:r>
      <w:r w:rsidR="00891017">
        <w:rPr>
          <w:rFonts w:ascii="Courier New" w:hAnsi="Courier New" w:cs="Courier New"/>
        </w:rPr>
        <w:t>d its purpose, stating in pertinent part</w:t>
      </w:r>
      <w:r>
        <w:rPr>
          <w:rFonts w:ascii="Courier New" w:hAnsi="Courier New" w:cs="Courier New"/>
        </w:rPr>
        <w:t xml:space="preserve">: </w:t>
      </w:r>
    </w:p>
    <w:p w14:paraId="1E4E9C26" w14:textId="5C49B461" w:rsidR="00891017" w:rsidRDefault="00202F8B" w:rsidP="0099183E">
      <w:pPr>
        <w:ind w:left="720" w:right="720"/>
        <w:jc w:val="both"/>
        <w:rPr>
          <w:rFonts w:ascii="Courier New" w:hAnsi="Courier New" w:cs="Courier New"/>
        </w:rPr>
      </w:pPr>
      <w:r>
        <w:rPr>
          <w:rFonts w:ascii="Courier New" w:hAnsi="Courier New" w:cs="Courier New"/>
        </w:rPr>
        <w:t>[</w:t>
      </w:r>
      <w:r w:rsidR="00891017">
        <w:rPr>
          <w:rFonts w:ascii="Courier New" w:hAnsi="Courier New" w:cs="Courier New"/>
        </w:rPr>
        <w:t>TJ</w:t>
      </w:r>
      <w:r>
        <w:rPr>
          <w:rFonts w:ascii="Courier New" w:hAnsi="Courier New" w:cs="Courier New"/>
        </w:rPr>
        <w:t>M</w:t>
      </w:r>
      <w:r w:rsidR="00891017">
        <w:rPr>
          <w:rFonts w:ascii="Courier New" w:hAnsi="Courier New" w:cs="Courier New"/>
        </w:rPr>
        <w:t>C</w:t>
      </w:r>
      <w:r>
        <w:rPr>
          <w:rFonts w:ascii="Courier New" w:hAnsi="Courier New" w:cs="Courier New"/>
        </w:rPr>
        <w:t>]</w:t>
      </w:r>
      <w:r w:rsidR="00891017">
        <w:rPr>
          <w:rFonts w:ascii="Courier New" w:hAnsi="Courier New" w:cs="Courier New"/>
        </w:rPr>
        <w:t xml:space="preserve"> will make these facilities available to other organizations for use in ways which are consistent with the Vision of </w:t>
      </w:r>
      <w:r>
        <w:rPr>
          <w:rFonts w:ascii="Courier New" w:hAnsi="Courier New" w:cs="Courier New"/>
        </w:rPr>
        <w:t>[</w:t>
      </w:r>
      <w:r w:rsidR="00891017">
        <w:rPr>
          <w:rFonts w:ascii="Courier New" w:hAnsi="Courier New" w:cs="Courier New"/>
        </w:rPr>
        <w:t>TJ</w:t>
      </w:r>
      <w:r>
        <w:rPr>
          <w:rFonts w:ascii="Courier New" w:hAnsi="Courier New" w:cs="Courier New"/>
        </w:rPr>
        <w:t>M</w:t>
      </w:r>
      <w:r w:rsidR="00891017">
        <w:rPr>
          <w:rFonts w:ascii="Courier New" w:hAnsi="Courier New" w:cs="Courier New"/>
        </w:rPr>
        <w:t>C</w:t>
      </w:r>
      <w:r>
        <w:rPr>
          <w:rFonts w:ascii="Courier New" w:hAnsi="Courier New" w:cs="Courier New"/>
        </w:rPr>
        <w:t>]</w:t>
      </w:r>
      <w:r w:rsidR="00891017">
        <w:rPr>
          <w:rFonts w:ascii="Courier New" w:hAnsi="Courier New" w:cs="Courier New"/>
        </w:rPr>
        <w:t>, thereby providing a conducive environment for these organizations to foster educational programs and discussions between and among (1) scholars, (2) teachers in the fields of history, philosophy, government and other related disciplines and (3) the general public.</w:t>
      </w:r>
    </w:p>
    <w:p w14:paraId="4D95E1EC" w14:textId="77777777" w:rsidR="0099183E" w:rsidRDefault="0099183E" w:rsidP="0099183E">
      <w:pPr>
        <w:ind w:left="720" w:right="720"/>
        <w:jc w:val="both"/>
        <w:rPr>
          <w:rFonts w:ascii="Courier New" w:hAnsi="Courier New" w:cs="Courier New"/>
        </w:rPr>
      </w:pPr>
    </w:p>
    <w:p w14:paraId="31B34DB6" w14:textId="520DCA06" w:rsidR="00202F8B" w:rsidRDefault="00587368" w:rsidP="007D720B">
      <w:pPr>
        <w:spacing w:line="480" w:lineRule="auto"/>
        <w:jc w:val="both"/>
        <w:rPr>
          <w:rFonts w:ascii="Courier New" w:hAnsi="Courier New" w:cs="Courier New"/>
        </w:rPr>
      </w:pPr>
      <w:r>
        <w:rPr>
          <w:rFonts w:ascii="Courier New" w:hAnsi="Courier New" w:cs="Courier New"/>
        </w:rPr>
        <w:t>On June 19, 2014, TJMC’s Board of Directors voted to approve a revised mission statement (the “Revised Mission Statement”), whic</w:t>
      </w:r>
      <w:r w:rsidR="00F41D12">
        <w:rPr>
          <w:rFonts w:ascii="Courier New" w:hAnsi="Courier New" w:cs="Courier New"/>
        </w:rPr>
        <w:t xml:space="preserve">h </w:t>
      </w:r>
      <w:r w:rsidR="00D60508">
        <w:rPr>
          <w:rFonts w:ascii="Courier New" w:hAnsi="Courier New" w:cs="Courier New"/>
        </w:rPr>
        <w:t xml:space="preserve">stated TJMC’s commitment to (1) environmental conservation efforts, including preserving historically significant open spaces; (2) operating a public house museum and conference </w:t>
      </w:r>
      <w:r w:rsidR="00D60508">
        <w:rPr>
          <w:rFonts w:ascii="Courier New" w:hAnsi="Courier New" w:cs="Courier New"/>
        </w:rPr>
        <w:lastRenderedPageBreak/>
        <w:t>center; and (3) promoting the ideas of the scholars, teachers and organizations that make use of its facilities.</w:t>
      </w:r>
      <w:r w:rsidR="005E6C2C">
        <w:rPr>
          <w:rFonts w:ascii="Courier New" w:hAnsi="Courier New" w:cs="Courier New"/>
        </w:rPr>
        <w:t xml:space="preserve">  </w:t>
      </w:r>
    </w:p>
    <w:p w14:paraId="05F6A036" w14:textId="58C7F39E" w:rsidR="009866C7" w:rsidRDefault="00802584" w:rsidP="00202F8B">
      <w:pPr>
        <w:spacing w:line="480" w:lineRule="auto"/>
        <w:ind w:firstLine="720"/>
        <w:jc w:val="both"/>
        <w:rPr>
          <w:rFonts w:ascii="Courier New" w:hAnsi="Courier New" w:cs="Courier New"/>
        </w:rPr>
      </w:pPr>
      <w:r>
        <w:rPr>
          <w:rFonts w:ascii="Courier New" w:hAnsi="Courier New" w:cs="Courier New"/>
        </w:rPr>
        <w:t xml:space="preserve">Attorney David </w:t>
      </w:r>
      <w:proofErr w:type="spellStart"/>
      <w:r>
        <w:rPr>
          <w:rFonts w:ascii="Courier New" w:hAnsi="Courier New" w:cs="Courier New"/>
        </w:rPr>
        <w:t>Fitts</w:t>
      </w:r>
      <w:proofErr w:type="spellEnd"/>
      <w:r>
        <w:rPr>
          <w:rFonts w:ascii="Courier New" w:hAnsi="Courier New" w:cs="Courier New"/>
        </w:rPr>
        <w:t>, who was involved in the early discussions of the development of the TJMC Conference Center</w:t>
      </w:r>
      <w:r w:rsidR="008E4652">
        <w:rPr>
          <w:rFonts w:ascii="Courier New" w:hAnsi="Courier New" w:cs="Courier New"/>
        </w:rPr>
        <w:t xml:space="preserve"> and serves as the</w:t>
      </w:r>
      <w:r w:rsidR="00494AB2">
        <w:rPr>
          <w:rFonts w:ascii="Courier New" w:hAnsi="Courier New" w:cs="Courier New"/>
        </w:rPr>
        <w:t xml:space="preserve"> President</w:t>
      </w:r>
      <w:r w:rsidR="008E4652">
        <w:rPr>
          <w:rFonts w:ascii="Courier New" w:hAnsi="Courier New" w:cs="Courier New"/>
        </w:rPr>
        <w:t xml:space="preserve"> and member of the Board of Directors of TJMC</w:t>
      </w:r>
      <w:r>
        <w:rPr>
          <w:rFonts w:ascii="Courier New" w:hAnsi="Courier New" w:cs="Courier New"/>
        </w:rPr>
        <w:t xml:space="preserve">, testified at the hearing of these appeals.  </w:t>
      </w:r>
      <w:r w:rsidR="00BB0233">
        <w:rPr>
          <w:rFonts w:ascii="Courier New" w:hAnsi="Courier New" w:cs="Courier New"/>
        </w:rPr>
        <w:t xml:space="preserve">Attorney </w:t>
      </w:r>
      <w:proofErr w:type="spellStart"/>
      <w:r w:rsidR="00BB0233">
        <w:rPr>
          <w:rFonts w:ascii="Courier New" w:hAnsi="Courier New" w:cs="Courier New"/>
        </w:rPr>
        <w:t>Fitts</w:t>
      </w:r>
      <w:proofErr w:type="spellEnd"/>
      <w:r w:rsidR="00BB0233">
        <w:rPr>
          <w:rFonts w:ascii="Courier New" w:hAnsi="Courier New" w:cs="Courier New"/>
        </w:rPr>
        <w:t xml:space="preserve"> testified that TJMC was formed as an alter ego of</w:t>
      </w:r>
      <w:r>
        <w:rPr>
          <w:rFonts w:ascii="Courier New" w:hAnsi="Courier New" w:cs="Courier New"/>
        </w:rPr>
        <w:t xml:space="preserve"> </w:t>
      </w:r>
      <w:r w:rsidR="00CE25A6">
        <w:rPr>
          <w:rFonts w:ascii="Courier New" w:hAnsi="Courier New" w:cs="Courier New"/>
        </w:rPr>
        <w:t>Vingo Trust III</w:t>
      </w:r>
      <w:r w:rsidR="00BB0233">
        <w:rPr>
          <w:rFonts w:ascii="Courier New" w:hAnsi="Courier New" w:cs="Courier New"/>
        </w:rPr>
        <w:t>, and Vingo Trust III</w:t>
      </w:r>
      <w:r w:rsidR="00CE25A6">
        <w:rPr>
          <w:rFonts w:ascii="Courier New" w:hAnsi="Courier New" w:cs="Courier New"/>
        </w:rPr>
        <w:t xml:space="preserve"> contributed the subject properties to TJMC</w:t>
      </w:r>
      <w:r w:rsidR="00BB0233">
        <w:rPr>
          <w:rFonts w:ascii="Courier New" w:hAnsi="Courier New" w:cs="Courier New"/>
        </w:rPr>
        <w:t xml:space="preserve">.  </w:t>
      </w:r>
      <w:r>
        <w:rPr>
          <w:rFonts w:ascii="Courier New" w:hAnsi="Courier New" w:cs="Courier New"/>
        </w:rPr>
        <w:t xml:space="preserve">Attorney </w:t>
      </w:r>
      <w:proofErr w:type="spellStart"/>
      <w:r>
        <w:rPr>
          <w:rFonts w:ascii="Courier New" w:hAnsi="Courier New" w:cs="Courier New"/>
        </w:rPr>
        <w:t>Fitts</w:t>
      </w:r>
      <w:proofErr w:type="spellEnd"/>
      <w:r>
        <w:rPr>
          <w:rFonts w:ascii="Courier New" w:hAnsi="Courier New" w:cs="Courier New"/>
        </w:rPr>
        <w:t xml:space="preserve"> testified</w:t>
      </w:r>
      <w:r w:rsidR="007B74DC">
        <w:rPr>
          <w:rFonts w:ascii="Courier New" w:hAnsi="Courier New" w:cs="Courier New"/>
        </w:rPr>
        <w:t xml:space="preserve"> that</w:t>
      </w:r>
      <w:r w:rsidR="00BB0233">
        <w:rPr>
          <w:rFonts w:ascii="Courier New" w:hAnsi="Courier New" w:cs="Courier New"/>
        </w:rPr>
        <w:t>,</w:t>
      </w:r>
      <w:r w:rsidR="007B74DC">
        <w:rPr>
          <w:rFonts w:ascii="Courier New" w:hAnsi="Courier New" w:cs="Courier New"/>
        </w:rPr>
        <w:t xml:space="preserve"> while TJMC received some sma</w:t>
      </w:r>
      <w:r w:rsidR="00D000D3">
        <w:rPr>
          <w:rFonts w:ascii="Courier New" w:hAnsi="Courier New" w:cs="Courier New"/>
        </w:rPr>
        <w:t xml:space="preserve">ll gifts from other donors, </w:t>
      </w:r>
      <w:r w:rsidR="007B74DC">
        <w:rPr>
          <w:rFonts w:ascii="Courier New" w:hAnsi="Courier New" w:cs="Courier New"/>
        </w:rPr>
        <w:t>Vingo Trust II</w:t>
      </w:r>
      <w:r w:rsidR="00BB0233">
        <w:rPr>
          <w:rFonts w:ascii="Courier New" w:hAnsi="Courier New" w:cs="Courier New"/>
        </w:rPr>
        <w:t>I</w:t>
      </w:r>
      <w:r w:rsidR="007B74DC">
        <w:rPr>
          <w:rFonts w:ascii="Courier New" w:hAnsi="Courier New" w:cs="Courier New"/>
        </w:rPr>
        <w:t xml:space="preserve"> was, in essence, the “sole contributor” to TJMC.</w:t>
      </w:r>
      <w:r w:rsidR="00AA0BB8">
        <w:rPr>
          <w:rFonts w:ascii="Courier New" w:hAnsi="Courier New" w:cs="Courier New"/>
        </w:rPr>
        <w:t xml:space="preserve">  </w:t>
      </w:r>
      <w:r w:rsidR="008D4CAD">
        <w:rPr>
          <w:rFonts w:ascii="Courier New" w:hAnsi="Courier New" w:cs="Courier New"/>
        </w:rPr>
        <w:t xml:space="preserve">  </w:t>
      </w:r>
    </w:p>
    <w:p w14:paraId="269C9418" w14:textId="0851D960" w:rsidR="0042415F" w:rsidRDefault="00B65BA8" w:rsidP="0042415F">
      <w:pPr>
        <w:spacing w:line="480" w:lineRule="auto"/>
        <w:jc w:val="both"/>
        <w:rPr>
          <w:rFonts w:ascii="Courier New" w:hAnsi="Courier New" w:cs="Courier New"/>
        </w:rPr>
      </w:pPr>
      <w:r>
        <w:rPr>
          <w:rFonts w:ascii="Courier New" w:hAnsi="Courier New" w:cs="Courier New"/>
        </w:rPr>
        <w:tab/>
      </w:r>
      <w:r w:rsidR="007D720B">
        <w:rPr>
          <w:rFonts w:ascii="Courier New" w:hAnsi="Courier New" w:cs="Courier New"/>
        </w:rPr>
        <w:t xml:space="preserve">The subject properties are subject to conservation restrictions held by the Essex County Greenbelt Association, Inc. (“Essex County Greenbelt Association”), dated May 28, 1999 and recorded with the Southern Essex District Registry </w:t>
      </w:r>
      <w:r w:rsidR="0032574D">
        <w:rPr>
          <w:rFonts w:ascii="Courier New" w:hAnsi="Courier New" w:cs="Courier New"/>
        </w:rPr>
        <w:t>of Deeds</w:t>
      </w:r>
      <w:r w:rsidR="007D720B">
        <w:rPr>
          <w:rFonts w:ascii="Courier New" w:hAnsi="Courier New" w:cs="Courier New"/>
        </w:rPr>
        <w:t xml:space="preserve">.  Dr. </w:t>
      </w:r>
      <w:proofErr w:type="spellStart"/>
      <w:r w:rsidR="007D720B">
        <w:rPr>
          <w:rFonts w:ascii="Courier New" w:hAnsi="Courier New" w:cs="Courier New"/>
        </w:rPr>
        <w:t>Lastavica</w:t>
      </w:r>
      <w:proofErr w:type="spellEnd"/>
      <w:r w:rsidR="007D720B">
        <w:rPr>
          <w:rFonts w:ascii="Courier New" w:hAnsi="Courier New" w:cs="Courier New"/>
        </w:rPr>
        <w:t xml:space="preserve"> </w:t>
      </w:r>
      <w:r w:rsidR="00B460CD">
        <w:rPr>
          <w:rFonts w:ascii="Courier New" w:hAnsi="Courier New" w:cs="Courier New"/>
        </w:rPr>
        <w:t>voluntarily conveyed the conservation r</w:t>
      </w:r>
      <w:r w:rsidR="007D720B">
        <w:rPr>
          <w:rFonts w:ascii="Courier New" w:hAnsi="Courier New" w:cs="Courier New"/>
        </w:rPr>
        <w:t>estrictions to the Essex County Greenbelt Association</w:t>
      </w:r>
      <w:r w:rsidR="0032574D">
        <w:rPr>
          <w:rFonts w:ascii="Courier New" w:hAnsi="Courier New" w:cs="Courier New"/>
        </w:rPr>
        <w:t xml:space="preserve"> in October, 1999</w:t>
      </w:r>
      <w:r w:rsidR="0042415F">
        <w:rPr>
          <w:rFonts w:ascii="Courier New" w:hAnsi="Courier New" w:cs="Courier New"/>
        </w:rPr>
        <w:t>, prior to the incorporation of TJMC</w:t>
      </w:r>
      <w:r w:rsidR="0032574D">
        <w:rPr>
          <w:rFonts w:ascii="Courier New" w:hAnsi="Courier New" w:cs="Courier New"/>
        </w:rPr>
        <w:t>.</w:t>
      </w:r>
      <w:r w:rsidR="004F5231">
        <w:rPr>
          <w:rFonts w:ascii="Courier New" w:hAnsi="Courier New" w:cs="Courier New"/>
        </w:rPr>
        <w:t xml:space="preserve">  However</w:t>
      </w:r>
      <w:r w:rsidR="0042415F">
        <w:rPr>
          <w:rFonts w:ascii="Courier New" w:hAnsi="Courier New" w:cs="Courier New"/>
        </w:rPr>
        <w:t xml:space="preserve">, </w:t>
      </w:r>
      <w:r w:rsidR="0031022F">
        <w:rPr>
          <w:rFonts w:ascii="Courier New" w:hAnsi="Courier New" w:cs="Courier New"/>
        </w:rPr>
        <w:t xml:space="preserve">for calendar years 2012, 2013 and 2014, </w:t>
      </w:r>
      <w:r w:rsidR="00EE537A">
        <w:rPr>
          <w:rFonts w:ascii="Courier New" w:hAnsi="Courier New" w:cs="Courier New"/>
        </w:rPr>
        <w:t xml:space="preserve">TJMC’s </w:t>
      </w:r>
      <w:r w:rsidR="0042415F">
        <w:rPr>
          <w:rFonts w:ascii="Courier New" w:hAnsi="Courier New" w:cs="Courier New"/>
        </w:rPr>
        <w:t>federal tax retur</w:t>
      </w:r>
      <w:r w:rsidR="00EE537A">
        <w:rPr>
          <w:rFonts w:ascii="Courier New" w:hAnsi="Courier New" w:cs="Courier New"/>
        </w:rPr>
        <w:t>ns</w:t>
      </w:r>
      <w:r w:rsidR="0042415F">
        <w:rPr>
          <w:rFonts w:ascii="Courier New" w:hAnsi="Courier New" w:cs="Courier New"/>
        </w:rPr>
        <w:t xml:space="preserve"> do not list conservation efforts as a charitable activity, no</w:t>
      </w:r>
      <w:r w:rsidR="005F20EC">
        <w:rPr>
          <w:rFonts w:ascii="Courier New" w:hAnsi="Courier New" w:cs="Courier New"/>
        </w:rPr>
        <w:t>r</w:t>
      </w:r>
      <w:r w:rsidR="0042415F">
        <w:rPr>
          <w:rFonts w:ascii="Courier New" w:hAnsi="Courier New" w:cs="Courier New"/>
        </w:rPr>
        <w:t xml:space="preserve"> do its Applications for Statutory Exemption for calendar years 2013 or 2014 make any mention of conservation a</w:t>
      </w:r>
      <w:r w:rsidR="00EB1059">
        <w:rPr>
          <w:rFonts w:ascii="Courier New" w:hAnsi="Courier New" w:cs="Courier New"/>
        </w:rPr>
        <w:t>s a charitable activity.  Furth</w:t>
      </w:r>
      <w:r w:rsidR="0042415F">
        <w:rPr>
          <w:rFonts w:ascii="Courier New" w:hAnsi="Courier New" w:cs="Courier New"/>
        </w:rPr>
        <w:t xml:space="preserve">er, </w:t>
      </w:r>
      <w:r w:rsidR="009F695E">
        <w:rPr>
          <w:rFonts w:ascii="Courier New" w:hAnsi="Courier New" w:cs="Courier New"/>
        </w:rPr>
        <w:t xml:space="preserve">although </w:t>
      </w:r>
      <w:r w:rsidR="0042415F">
        <w:rPr>
          <w:rFonts w:ascii="Courier New" w:hAnsi="Courier New" w:cs="Courier New"/>
        </w:rPr>
        <w:t>watershed restoration work was performed to pres</w:t>
      </w:r>
      <w:r w:rsidR="00B460CD">
        <w:rPr>
          <w:rFonts w:ascii="Courier New" w:hAnsi="Courier New" w:cs="Courier New"/>
        </w:rPr>
        <w:t xml:space="preserve">erve the sea wall and </w:t>
      </w:r>
      <w:r w:rsidR="0042415F">
        <w:rPr>
          <w:rFonts w:ascii="Courier New" w:hAnsi="Courier New" w:cs="Courier New"/>
        </w:rPr>
        <w:t xml:space="preserve">to protect the shore line at the </w:t>
      </w:r>
      <w:r w:rsidR="0042415F">
        <w:rPr>
          <w:rFonts w:ascii="Courier New" w:hAnsi="Courier New" w:cs="Courier New"/>
        </w:rPr>
        <w:lastRenderedPageBreak/>
        <w:t xml:space="preserve">subject properties, an invoice for this work </w:t>
      </w:r>
      <w:r w:rsidR="009F695E">
        <w:rPr>
          <w:rFonts w:ascii="Courier New" w:hAnsi="Courier New" w:cs="Courier New"/>
        </w:rPr>
        <w:t>entered into the record indicated</w:t>
      </w:r>
      <w:r w:rsidR="0042415F">
        <w:rPr>
          <w:rFonts w:ascii="Courier New" w:hAnsi="Courier New" w:cs="Courier New"/>
        </w:rPr>
        <w:t xml:space="preserve"> that the work was perfor</w:t>
      </w:r>
      <w:r w:rsidR="002D5D97">
        <w:rPr>
          <w:rFonts w:ascii="Courier New" w:hAnsi="Courier New" w:cs="Courier New"/>
        </w:rPr>
        <w:t>med in June through September,</w:t>
      </w:r>
      <w:r w:rsidR="0042415F">
        <w:rPr>
          <w:rFonts w:ascii="Courier New" w:hAnsi="Courier New" w:cs="Courier New"/>
        </w:rPr>
        <w:t xml:space="preserve"> 2011</w:t>
      </w:r>
      <w:r w:rsidR="00F60F28">
        <w:rPr>
          <w:rFonts w:ascii="Courier New" w:hAnsi="Courier New" w:cs="Courier New"/>
        </w:rPr>
        <w:t xml:space="preserve"> and billed directly to “John and Kitty </w:t>
      </w:r>
      <w:proofErr w:type="spellStart"/>
      <w:r w:rsidR="00F60F28">
        <w:rPr>
          <w:rFonts w:ascii="Courier New" w:hAnsi="Courier New" w:cs="Courier New"/>
        </w:rPr>
        <w:t>Lastavica</w:t>
      </w:r>
      <w:proofErr w:type="spellEnd"/>
      <w:r w:rsidR="00F60F28">
        <w:rPr>
          <w:rFonts w:ascii="Courier New" w:hAnsi="Courier New" w:cs="Courier New"/>
        </w:rPr>
        <w:t>.”  Because the work was completed p</w:t>
      </w:r>
      <w:r w:rsidR="0042415F">
        <w:rPr>
          <w:rFonts w:ascii="Courier New" w:hAnsi="Courier New" w:cs="Courier New"/>
        </w:rPr>
        <w:t>rior t</w:t>
      </w:r>
      <w:r w:rsidR="007D3863">
        <w:rPr>
          <w:rFonts w:ascii="Courier New" w:hAnsi="Courier New" w:cs="Courier New"/>
        </w:rPr>
        <w:t xml:space="preserve">o the incorporation of </w:t>
      </w:r>
      <w:r w:rsidR="004D4F37">
        <w:rPr>
          <w:rFonts w:ascii="Courier New" w:hAnsi="Courier New" w:cs="Courier New"/>
        </w:rPr>
        <w:t xml:space="preserve">TJMC, </w:t>
      </w:r>
      <w:r w:rsidR="002D5D97">
        <w:rPr>
          <w:rFonts w:ascii="Courier New" w:hAnsi="Courier New" w:cs="Courier New"/>
        </w:rPr>
        <w:t>the</w:t>
      </w:r>
      <w:r w:rsidR="00F60F28">
        <w:rPr>
          <w:rFonts w:ascii="Courier New" w:hAnsi="Courier New" w:cs="Courier New"/>
        </w:rPr>
        <w:t xml:space="preserve"> </w:t>
      </w:r>
      <w:proofErr w:type="spellStart"/>
      <w:r w:rsidR="00F60F28">
        <w:rPr>
          <w:rFonts w:ascii="Courier New" w:hAnsi="Courier New" w:cs="Courier New"/>
        </w:rPr>
        <w:t>Lastavica</w:t>
      </w:r>
      <w:r w:rsidR="002D5D97">
        <w:rPr>
          <w:rFonts w:ascii="Courier New" w:hAnsi="Courier New" w:cs="Courier New"/>
        </w:rPr>
        <w:t>s</w:t>
      </w:r>
      <w:proofErr w:type="spellEnd"/>
      <w:r w:rsidR="00F60F28">
        <w:rPr>
          <w:rFonts w:ascii="Courier New" w:hAnsi="Courier New" w:cs="Courier New"/>
        </w:rPr>
        <w:t xml:space="preserve"> </w:t>
      </w:r>
      <w:r w:rsidR="007D3863">
        <w:rPr>
          <w:rFonts w:ascii="Courier New" w:hAnsi="Courier New" w:cs="Courier New"/>
        </w:rPr>
        <w:t>directed the bill to Vingo Trust III</w:t>
      </w:r>
      <w:r w:rsidR="00596D78">
        <w:rPr>
          <w:rFonts w:ascii="Courier New" w:hAnsi="Courier New" w:cs="Courier New"/>
        </w:rPr>
        <w:t>, not the appellant, for payment</w:t>
      </w:r>
      <w:r w:rsidR="007D3863">
        <w:rPr>
          <w:rFonts w:ascii="Courier New" w:hAnsi="Courier New" w:cs="Courier New"/>
        </w:rPr>
        <w:t>.</w:t>
      </w:r>
    </w:p>
    <w:p w14:paraId="22929DA9" w14:textId="2F3889CB" w:rsidR="005D371B" w:rsidRDefault="007D720B" w:rsidP="003612F4">
      <w:pPr>
        <w:spacing w:line="480" w:lineRule="auto"/>
        <w:ind w:firstLine="720"/>
        <w:jc w:val="both"/>
        <w:rPr>
          <w:rFonts w:ascii="Courier New" w:hAnsi="Courier New" w:cs="Courier New"/>
        </w:rPr>
      </w:pPr>
      <w:r>
        <w:rPr>
          <w:rFonts w:ascii="Courier New" w:hAnsi="Courier New" w:cs="Courier New"/>
        </w:rPr>
        <w:t>The subject properties are contiguous with certain property owned and preserved for public use by the Trustees of</w:t>
      </w:r>
      <w:r w:rsidR="002D5D97">
        <w:rPr>
          <w:rFonts w:ascii="Courier New" w:hAnsi="Courier New" w:cs="Courier New"/>
        </w:rPr>
        <w:t xml:space="preserve"> Reservations, a Massachusetts land t</w:t>
      </w:r>
      <w:r>
        <w:rPr>
          <w:rFonts w:ascii="Courier New" w:hAnsi="Courier New" w:cs="Courier New"/>
        </w:rPr>
        <w:t xml:space="preserve">rust.  They are also contiguous with a property owned by Dr. </w:t>
      </w:r>
      <w:proofErr w:type="spellStart"/>
      <w:r>
        <w:rPr>
          <w:rFonts w:ascii="Courier New" w:hAnsi="Courier New" w:cs="Courier New"/>
        </w:rPr>
        <w:t>Lastavica</w:t>
      </w:r>
      <w:proofErr w:type="spellEnd"/>
      <w:r>
        <w:rPr>
          <w:rFonts w:ascii="Courier New" w:hAnsi="Courier New" w:cs="Courier New"/>
        </w:rPr>
        <w:t xml:space="preserve">, on which her </w:t>
      </w:r>
      <w:r w:rsidR="00C0261B">
        <w:rPr>
          <w:rFonts w:ascii="Courier New" w:hAnsi="Courier New" w:cs="Courier New"/>
        </w:rPr>
        <w:t xml:space="preserve">current </w:t>
      </w:r>
      <w:r>
        <w:rPr>
          <w:rFonts w:ascii="Courier New" w:hAnsi="Courier New" w:cs="Courier New"/>
        </w:rPr>
        <w:t>personal residence is located.</w:t>
      </w:r>
      <w:r w:rsidR="00AB2DFF">
        <w:rPr>
          <w:rFonts w:ascii="Courier New" w:hAnsi="Courier New" w:cs="Courier New"/>
        </w:rPr>
        <w:t xml:space="preserve"> </w:t>
      </w:r>
      <w:r>
        <w:rPr>
          <w:rFonts w:ascii="Courier New" w:hAnsi="Courier New" w:cs="Courier New"/>
        </w:rPr>
        <w:t xml:space="preserve"> </w:t>
      </w:r>
      <w:r w:rsidR="008C12B5">
        <w:rPr>
          <w:rFonts w:ascii="Courier New" w:hAnsi="Courier New" w:cs="Courier New"/>
        </w:rPr>
        <w:t xml:space="preserve">Access to the subject properties is by a </w:t>
      </w:r>
      <w:r w:rsidR="008C12B5" w:rsidRPr="0077741F">
        <w:rPr>
          <w:rFonts w:ascii="Courier New" w:hAnsi="Courier New" w:cs="Courier New"/>
        </w:rPr>
        <w:t>private road that is marked by two signs, one stating “</w:t>
      </w:r>
      <w:r w:rsidR="008C12B5" w:rsidRPr="0027697F">
        <w:rPr>
          <w:rFonts w:ascii="Courier New" w:hAnsi="Courier New" w:cs="Courier New"/>
          <w:caps/>
        </w:rPr>
        <w:t>No Trespassing</w:t>
      </w:r>
      <w:r w:rsidR="003B6DF4" w:rsidRPr="0027697F">
        <w:rPr>
          <w:rFonts w:ascii="Courier New" w:hAnsi="Courier New" w:cs="Courier New"/>
          <w:caps/>
        </w:rPr>
        <w:t xml:space="preserve"> Recorded Video Surveillance In Use</w:t>
      </w:r>
      <w:r w:rsidR="008C12B5" w:rsidRPr="0077741F">
        <w:rPr>
          <w:rFonts w:ascii="Courier New" w:hAnsi="Courier New" w:cs="Courier New"/>
        </w:rPr>
        <w:t>”</w:t>
      </w:r>
      <w:r w:rsidR="008C12B5">
        <w:rPr>
          <w:rFonts w:ascii="Courier New" w:hAnsi="Courier New" w:cs="Courier New"/>
        </w:rPr>
        <w:t xml:space="preserve"> and the other stating “</w:t>
      </w:r>
      <w:r w:rsidR="008C12B5" w:rsidRPr="0027697F">
        <w:rPr>
          <w:rFonts w:ascii="Courier New" w:hAnsi="Courier New" w:cs="Courier New"/>
          <w:caps/>
        </w:rPr>
        <w:t>Visitors by appointment</w:t>
      </w:r>
      <w:r w:rsidR="008C12B5">
        <w:rPr>
          <w:rFonts w:ascii="Courier New" w:hAnsi="Courier New" w:cs="Courier New"/>
        </w:rPr>
        <w:t xml:space="preserve">.” </w:t>
      </w:r>
      <w:r w:rsidR="0027697F">
        <w:rPr>
          <w:rFonts w:ascii="Courier New" w:hAnsi="Courier New" w:cs="Courier New"/>
        </w:rPr>
        <w:t xml:space="preserve"> Another sign a</w:t>
      </w:r>
      <w:r w:rsidR="00B64AF2">
        <w:rPr>
          <w:rFonts w:ascii="Courier New" w:hAnsi="Courier New" w:cs="Courier New"/>
        </w:rPr>
        <w:t xml:space="preserve">t the subject properties </w:t>
      </w:r>
      <w:r w:rsidR="00D07B76">
        <w:rPr>
          <w:rFonts w:ascii="Courier New" w:hAnsi="Courier New" w:cs="Courier New"/>
        </w:rPr>
        <w:t>announces</w:t>
      </w:r>
      <w:r w:rsidR="00B64AF2">
        <w:rPr>
          <w:rFonts w:ascii="Courier New" w:hAnsi="Courier New" w:cs="Courier New"/>
        </w:rPr>
        <w:t>, “Private property, No trespassing.”</w:t>
      </w:r>
    </w:p>
    <w:p w14:paraId="0DBCF67A" w14:textId="62A5FDBF" w:rsidR="00AD2ED8" w:rsidRDefault="005D371B" w:rsidP="003612F4">
      <w:pPr>
        <w:spacing w:line="480" w:lineRule="auto"/>
        <w:ind w:firstLine="720"/>
        <w:jc w:val="both"/>
        <w:rPr>
          <w:rFonts w:ascii="Courier New" w:hAnsi="Courier New" w:cs="Courier New"/>
        </w:rPr>
      </w:pPr>
      <w:r>
        <w:rPr>
          <w:rFonts w:ascii="Courier New" w:hAnsi="Courier New" w:cs="Courier New"/>
        </w:rPr>
        <w:t xml:space="preserve">Dr. </w:t>
      </w:r>
      <w:proofErr w:type="spellStart"/>
      <w:r>
        <w:rPr>
          <w:rFonts w:ascii="Courier New" w:hAnsi="Courier New" w:cs="Courier New"/>
        </w:rPr>
        <w:t>Lastavica</w:t>
      </w:r>
      <w:proofErr w:type="spellEnd"/>
      <w:r>
        <w:rPr>
          <w:rFonts w:ascii="Courier New" w:hAnsi="Courier New" w:cs="Courier New"/>
        </w:rPr>
        <w:t xml:space="preserve"> testified</w:t>
      </w:r>
      <w:r w:rsidR="00616B8F">
        <w:rPr>
          <w:rFonts w:ascii="Courier New" w:hAnsi="Courier New" w:cs="Courier New"/>
        </w:rPr>
        <w:t xml:space="preserve"> that she</w:t>
      </w:r>
      <w:r w:rsidR="00033959">
        <w:rPr>
          <w:rFonts w:ascii="Courier New" w:hAnsi="Courier New" w:cs="Courier New"/>
        </w:rPr>
        <w:t xml:space="preserve"> and her husband</w:t>
      </w:r>
      <w:r w:rsidR="00616B8F">
        <w:rPr>
          <w:rFonts w:ascii="Courier New" w:hAnsi="Courier New" w:cs="Courier New"/>
        </w:rPr>
        <w:t xml:space="preserve"> had resided at the B</w:t>
      </w:r>
      <w:r>
        <w:rPr>
          <w:rFonts w:ascii="Courier New" w:hAnsi="Courier New" w:cs="Courier New"/>
        </w:rPr>
        <w:t xml:space="preserve">rick House when it was first constructed in 1968 and that </w:t>
      </w:r>
      <w:r w:rsidRPr="0077741F">
        <w:rPr>
          <w:rFonts w:ascii="Courier New" w:hAnsi="Courier New" w:cs="Courier New"/>
        </w:rPr>
        <w:t>many of the Brick House’s furnishings, including the period pieces and artwork, are act</w:t>
      </w:r>
      <w:r w:rsidR="00E33E8D">
        <w:rPr>
          <w:rFonts w:ascii="Courier New" w:hAnsi="Courier New" w:cs="Courier New"/>
        </w:rPr>
        <w:t xml:space="preserve">ually her personal property, which </w:t>
      </w:r>
      <w:r w:rsidRPr="0077741F">
        <w:rPr>
          <w:rFonts w:ascii="Courier New" w:hAnsi="Courier New" w:cs="Courier New"/>
        </w:rPr>
        <w:t xml:space="preserve">are currently “on loan” to the appellant.  However, </w:t>
      </w:r>
      <w:r w:rsidR="000029EF">
        <w:rPr>
          <w:rFonts w:ascii="Courier New" w:hAnsi="Courier New" w:cs="Courier New"/>
        </w:rPr>
        <w:t xml:space="preserve">the appellant offered </w:t>
      </w:r>
      <w:r w:rsidRPr="0077741F">
        <w:rPr>
          <w:rFonts w:ascii="Courier New" w:hAnsi="Courier New" w:cs="Courier New"/>
        </w:rPr>
        <w:t xml:space="preserve">no formal documents </w:t>
      </w:r>
      <w:r w:rsidR="000029EF">
        <w:rPr>
          <w:rFonts w:ascii="Courier New" w:hAnsi="Courier New" w:cs="Courier New"/>
        </w:rPr>
        <w:t>to reflect</w:t>
      </w:r>
      <w:r w:rsidRPr="0077741F">
        <w:rPr>
          <w:rFonts w:ascii="Courier New" w:hAnsi="Courier New" w:cs="Courier New"/>
        </w:rPr>
        <w:t xml:space="preserve"> any loan arrangement</w:t>
      </w:r>
      <w:r w:rsidR="000029EF">
        <w:rPr>
          <w:rFonts w:ascii="Courier New" w:hAnsi="Courier New" w:cs="Courier New"/>
        </w:rPr>
        <w:t>s</w:t>
      </w:r>
      <w:r>
        <w:rPr>
          <w:rFonts w:ascii="Courier New" w:hAnsi="Courier New" w:cs="Courier New"/>
        </w:rPr>
        <w:t xml:space="preserve">.  Dr. </w:t>
      </w:r>
      <w:proofErr w:type="spellStart"/>
      <w:r>
        <w:rPr>
          <w:rFonts w:ascii="Courier New" w:hAnsi="Courier New" w:cs="Courier New"/>
        </w:rPr>
        <w:t>Lastavica</w:t>
      </w:r>
      <w:proofErr w:type="spellEnd"/>
      <w:r>
        <w:rPr>
          <w:rFonts w:ascii="Courier New" w:hAnsi="Courier New" w:cs="Courier New"/>
        </w:rPr>
        <w:t xml:space="preserve"> also testified that </w:t>
      </w:r>
      <w:r w:rsidRPr="0077741F">
        <w:rPr>
          <w:rFonts w:ascii="Courier New" w:hAnsi="Courier New" w:cs="Courier New"/>
        </w:rPr>
        <w:t>TJMC paid the insurance premiums</w:t>
      </w:r>
      <w:r>
        <w:rPr>
          <w:rFonts w:ascii="Courier New" w:hAnsi="Courier New" w:cs="Courier New"/>
        </w:rPr>
        <w:t xml:space="preserve"> for insu</w:t>
      </w:r>
      <w:r w:rsidR="000029EF">
        <w:rPr>
          <w:rFonts w:ascii="Courier New" w:hAnsi="Courier New" w:cs="Courier New"/>
        </w:rPr>
        <w:t>ring her</w:t>
      </w:r>
      <w:r>
        <w:rPr>
          <w:rFonts w:ascii="Courier New" w:hAnsi="Courier New" w:cs="Courier New"/>
        </w:rPr>
        <w:t xml:space="preserve"> furnishings.  The seco</w:t>
      </w:r>
      <w:r w:rsidR="002D5D97">
        <w:rPr>
          <w:rFonts w:ascii="Courier New" w:hAnsi="Courier New" w:cs="Courier New"/>
        </w:rPr>
        <w:t xml:space="preserve">nd </w:t>
      </w:r>
      <w:r w:rsidR="002D5D97">
        <w:rPr>
          <w:rFonts w:ascii="Courier New" w:hAnsi="Courier New" w:cs="Courier New"/>
        </w:rPr>
        <w:lastRenderedPageBreak/>
        <w:t>floor of the Brick House is used to store</w:t>
      </w:r>
      <w:r>
        <w:rPr>
          <w:rFonts w:ascii="Courier New" w:hAnsi="Courier New" w:cs="Courier New"/>
        </w:rPr>
        <w:t xml:space="preserve"> some of Dr.</w:t>
      </w:r>
      <w:r w:rsidR="00754BD0">
        <w:rPr>
          <w:rFonts w:ascii="Courier New" w:hAnsi="Courier New" w:cs="Courier New"/>
        </w:rPr>
        <w:t>  </w:t>
      </w:r>
      <w:proofErr w:type="spellStart"/>
      <w:r>
        <w:rPr>
          <w:rFonts w:ascii="Courier New" w:hAnsi="Courier New" w:cs="Courier New"/>
        </w:rPr>
        <w:t>Lastavica’s</w:t>
      </w:r>
      <w:proofErr w:type="spellEnd"/>
      <w:r>
        <w:rPr>
          <w:rFonts w:ascii="Courier New" w:hAnsi="Courier New" w:cs="Courier New"/>
        </w:rPr>
        <w:t xml:space="preserve"> personal effects</w:t>
      </w:r>
      <w:r w:rsidR="00876593">
        <w:rPr>
          <w:rFonts w:ascii="Courier New" w:hAnsi="Courier New" w:cs="Courier New"/>
        </w:rPr>
        <w:t xml:space="preserve">, and </w:t>
      </w:r>
      <w:r w:rsidR="00616B8F">
        <w:rPr>
          <w:rFonts w:ascii="Courier New" w:hAnsi="Courier New" w:cs="Courier New"/>
        </w:rPr>
        <w:t xml:space="preserve">a portion of </w:t>
      </w:r>
      <w:r w:rsidR="00876593">
        <w:rPr>
          <w:rFonts w:ascii="Courier New" w:hAnsi="Courier New" w:cs="Courier New"/>
        </w:rPr>
        <w:t xml:space="preserve">the </w:t>
      </w:r>
      <w:r w:rsidR="00876593" w:rsidRPr="008E4652">
        <w:rPr>
          <w:rFonts w:ascii="Courier New" w:hAnsi="Courier New" w:cs="Courier New"/>
        </w:rPr>
        <w:t>Conference Center</w:t>
      </w:r>
      <w:r w:rsidR="008E4652">
        <w:rPr>
          <w:rFonts w:ascii="Courier New" w:hAnsi="Courier New" w:cs="Courier New"/>
        </w:rPr>
        <w:t xml:space="preserve"> </w:t>
      </w:r>
      <w:r w:rsidR="00616B8F">
        <w:rPr>
          <w:rFonts w:ascii="Courier New" w:hAnsi="Courier New" w:cs="Courier New"/>
        </w:rPr>
        <w:t xml:space="preserve">is used to store Dr. </w:t>
      </w:r>
      <w:proofErr w:type="spellStart"/>
      <w:r w:rsidR="00616B8F">
        <w:rPr>
          <w:rFonts w:ascii="Courier New" w:hAnsi="Courier New" w:cs="Courier New"/>
        </w:rPr>
        <w:t>Lastavica’s</w:t>
      </w:r>
      <w:proofErr w:type="spellEnd"/>
      <w:r w:rsidR="00616B8F">
        <w:rPr>
          <w:rFonts w:ascii="Courier New" w:hAnsi="Courier New" w:cs="Courier New"/>
        </w:rPr>
        <w:t xml:space="preserve"> personal snow removal equipment</w:t>
      </w:r>
      <w:r>
        <w:rPr>
          <w:rFonts w:ascii="Courier New" w:hAnsi="Courier New" w:cs="Courier New"/>
        </w:rPr>
        <w:t xml:space="preserve">.  </w:t>
      </w:r>
    </w:p>
    <w:p w14:paraId="5763A4AE" w14:textId="66472513" w:rsidR="008C12B5" w:rsidRDefault="000A60D6" w:rsidP="003612F4">
      <w:pPr>
        <w:spacing w:line="480" w:lineRule="auto"/>
        <w:ind w:firstLine="720"/>
        <w:jc w:val="both"/>
        <w:rPr>
          <w:rFonts w:ascii="Courier New" w:hAnsi="Courier New" w:cs="Courier New"/>
        </w:rPr>
      </w:pPr>
      <w:r>
        <w:rPr>
          <w:rFonts w:ascii="Courier New" w:hAnsi="Courier New" w:cs="Courier New"/>
        </w:rPr>
        <w:t>In a document provided to the appellee,</w:t>
      </w:r>
      <w:r w:rsidR="005102AA">
        <w:rPr>
          <w:rFonts w:ascii="Courier New" w:hAnsi="Courier New" w:cs="Courier New"/>
        </w:rPr>
        <w:t xml:space="preserve"> dated April 17, 2014,</w:t>
      </w:r>
      <w:r>
        <w:rPr>
          <w:rFonts w:ascii="Courier New" w:hAnsi="Courier New" w:cs="Courier New"/>
        </w:rPr>
        <w:t xml:space="preserve"> Attorney </w:t>
      </w:r>
      <w:proofErr w:type="spellStart"/>
      <w:r>
        <w:rPr>
          <w:rFonts w:ascii="Courier New" w:hAnsi="Courier New" w:cs="Courier New"/>
        </w:rPr>
        <w:t>Fitts</w:t>
      </w:r>
      <w:proofErr w:type="spellEnd"/>
      <w:r>
        <w:rPr>
          <w:rFonts w:ascii="Courier New" w:hAnsi="Courier New" w:cs="Courier New"/>
        </w:rPr>
        <w:t xml:space="preserve"> indicated that “the Property also recently became open to the public on Mondays from 2 p.m. to 4 p.m. by appointment” for t</w:t>
      </w:r>
      <w:r w:rsidR="00616033">
        <w:rPr>
          <w:rFonts w:ascii="Courier New" w:hAnsi="Courier New" w:cs="Courier New"/>
        </w:rPr>
        <w:t>ours</w:t>
      </w:r>
      <w:r w:rsidR="00927737">
        <w:rPr>
          <w:rFonts w:ascii="Courier New" w:hAnsi="Courier New" w:cs="Courier New"/>
        </w:rPr>
        <w:t xml:space="preserve"> of the Brick House</w:t>
      </w:r>
      <w:r w:rsidR="006A2DE1">
        <w:rPr>
          <w:rFonts w:ascii="Courier New" w:hAnsi="Courier New" w:cs="Courier New"/>
        </w:rPr>
        <w:t xml:space="preserve">.  </w:t>
      </w:r>
      <w:r w:rsidR="00AD2ED8">
        <w:rPr>
          <w:rFonts w:ascii="Courier New" w:hAnsi="Courier New" w:cs="Courier New"/>
        </w:rPr>
        <w:t>While there is no charge for visiting the subject properties, the t</w:t>
      </w:r>
      <w:r w:rsidR="0090467D">
        <w:rPr>
          <w:rFonts w:ascii="Courier New" w:hAnsi="Courier New" w:cs="Courier New"/>
        </w:rPr>
        <w:t xml:space="preserve">ours of the Brick House are </w:t>
      </w:r>
      <w:r w:rsidR="0090467D" w:rsidRPr="0077741F">
        <w:rPr>
          <w:rFonts w:ascii="Courier New" w:hAnsi="Courier New" w:cs="Courier New"/>
        </w:rPr>
        <w:t>restricted to the first floor, as the second floor comprises</w:t>
      </w:r>
      <w:r w:rsidR="00F040C7">
        <w:rPr>
          <w:rFonts w:ascii="Courier New" w:hAnsi="Courier New" w:cs="Courier New"/>
        </w:rPr>
        <w:t xml:space="preserve"> the residence of a person</w:t>
      </w:r>
      <w:r w:rsidR="0090467D">
        <w:rPr>
          <w:rFonts w:ascii="Courier New" w:hAnsi="Courier New" w:cs="Courier New"/>
        </w:rPr>
        <w:t xml:space="preserve"> who</w:t>
      </w:r>
      <w:r w:rsidR="00F33563">
        <w:rPr>
          <w:rFonts w:ascii="Courier New" w:hAnsi="Courier New" w:cs="Courier New"/>
        </w:rPr>
        <w:t>, with</w:t>
      </w:r>
      <w:r w:rsidR="002A39CF">
        <w:rPr>
          <w:rFonts w:ascii="Courier New" w:hAnsi="Courier New" w:cs="Courier New"/>
        </w:rPr>
        <w:t xml:space="preserve"> Dr.</w:t>
      </w:r>
      <w:r w:rsidR="00754BD0">
        <w:rPr>
          <w:rFonts w:ascii="Courier New" w:hAnsi="Courier New" w:cs="Courier New"/>
        </w:rPr>
        <w:t> </w:t>
      </w:r>
      <w:proofErr w:type="spellStart"/>
      <w:r w:rsidR="002A39CF">
        <w:rPr>
          <w:rFonts w:ascii="Courier New" w:hAnsi="Courier New" w:cs="Courier New"/>
        </w:rPr>
        <w:t>Lastavica’s</w:t>
      </w:r>
      <w:proofErr w:type="spellEnd"/>
      <w:r w:rsidR="002A39CF">
        <w:rPr>
          <w:rFonts w:ascii="Courier New" w:hAnsi="Courier New" w:cs="Courier New"/>
        </w:rPr>
        <w:t xml:space="preserve"> permission,</w:t>
      </w:r>
      <w:r w:rsidR="0090467D">
        <w:rPr>
          <w:rFonts w:ascii="Courier New" w:hAnsi="Courier New" w:cs="Courier New"/>
        </w:rPr>
        <w:t xml:space="preserve"> lives there rent-free.  </w:t>
      </w:r>
      <w:r w:rsidR="00AD2ED8">
        <w:rPr>
          <w:rFonts w:ascii="Courier New" w:hAnsi="Courier New" w:cs="Courier New"/>
        </w:rPr>
        <w:t xml:space="preserve">There are </w:t>
      </w:r>
      <w:r w:rsidR="00AD2ED8" w:rsidRPr="0077741F">
        <w:rPr>
          <w:rFonts w:ascii="Courier New" w:hAnsi="Courier New" w:cs="Courier New"/>
        </w:rPr>
        <w:t>no records of the daily operations</w:t>
      </w:r>
      <w:r w:rsidR="00AD2ED8">
        <w:rPr>
          <w:rFonts w:ascii="Courier New" w:hAnsi="Courier New" w:cs="Courier New"/>
        </w:rPr>
        <w:t xml:space="preserve"> of the subject properties, including its tours, and </w:t>
      </w:r>
      <w:r w:rsidR="0090467D">
        <w:rPr>
          <w:rFonts w:ascii="Courier New" w:hAnsi="Courier New" w:cs="Courier New"/>
        </w:rPr>
        <w:t xml:space="preserve">Dr. </w:t>
      </w:r>
      <w:proofErr w:type="spellStart"/>
      <w:r w:rsidR="0090467D">
        <w:rPr>
          <w:rFonts w:ascii="Courier New" w:hAnsi="Courier New" w:cs="Courier New"/>
        </w:rPr>
        <w:t>Lastavica</w:t>
      </w:r>
      <w:proofErr w:type="spellEnd"/>
      <w:r w:rsidR="0090467D">
        <w:rPr>
          <w:rFonts w:ascii="Courier New" w:hAnsi="Courier New" w:cs="Courier New"/>
        </w:rPr>
        <w:t xml:space="preserve"> is not generally at the</w:t>
      </w:r>
      <w:r w:rsidR="00AD2ED8">
        <w:rPr>
          <w:rFonts w:ascii="Courier New" w:hAnsi="Courier New" w:cs="Courier New"/>
        </w:rPr>
        <w:t xml:space="preserve"> subject properties during the</w:t>
      </w:r>
      <w:r w:rsidR="0090467D">
        <w:rPr>
          <w:rFonts w:ascii="Courier New" w:hAnsi="Courier New" w:cs="Courier New"/>
        </w:rPr>
        <w:t xml:space="preserve"> hours</w:t>
      </w:r>
      <w:r w:rsidR="00AD2ED8">
        <w:rPr>
          <w:rFonts w:ascii="Courier New" w:hAnsi="Courier New" w:cs="Courier New"/>
        </w:rPr>
        <w:t xml:space="preserve"> when tours are available to be scheduled</w:t>
      </w:r>
      <w:r w:rsidR="0090467D">
        <w:rPr>
          <w:rFonts w:ascii="Courier New" w:hAnsi="Courier New" w:cs="Courier New"/>
        </w:rPr>
        <w:t>.</w:t>
      </w:r>
      <w:r w:rsidR="00E43731">
        <w:rPr>
          <w:rFonts w:ascii="Courier New" w:hAnsi="Courier New" w:cs="Courier New"/>
        </w:rPr>
        <w:t xml:space="preserve">  </w:t>
      </w:r>
      <w:r>
        <w:rPr>
          <w:rFonts w:ascii="Courier New" w:hAnsi="Courier New" w:cs="Courier New"/>
        </w:rPr>
        <w:t>W</w:t>
      </w:r>
      <w:r w:rsidR="00927737">
        <w:rPr>
          <w:rFonts w:ascii="Courier New" w:hAnsi="Courier New" w:cs="Courier New"/>
        </w:rPr>
        <w:t>hen there are no tours or events taking place, the Brick House is closed.</w:t>
      </w:r>
      <w:r w:rsidR="005102AA">
        <w:rPr>
          <w:rFonts w:ascii="Courier New" w:hAnsi="Courier New" w:cs="Courier New"/>
        </w:rPr>
        <w:t xml:space="preserve">  The Brick House had not been renovated or reconfigured from when it was used as the personal residence of Dr. </w:t>
      </w:r>
      <w:proofErr w:type="spellStart"/>
      <w:r w:rsidR="005102AA">
        <w:rPr>
          <w:rFonts w:ascii="Courier New" w:hAnsi="Courier New" w:cs="Courier New"/>
        </w:rPr>
        <w:t>Lastavica</w:t>
      </w:r>
      <w:proofErr w:type="spellEnd"/>
      <w:r w:rsidR="005102AA">
        <w:rPr>
          <w:rFonts w:ascii="Courier New" w:hAnsi="Courier New" w:cs="Courier New"/>
        </w:rPr>
        <w:t xml:space="preserve"> and, a</w:t>
      </w:r>
      <w:r w:rsidR="00611BEF">
        <w:rPr>
          <w:rFonts w:ascii="Courier New" w:hAnsi="Courier New" w:cs="Courier New"/>
        </w:rPr>
        <w:t xml:space="preserve">s of the date of the hearing of these appeals, the Brick House was </w:t>
      </w:r>
      <w:r w:rsidR="00611BEF" w:rsidRPr="0077741F">
        <w:rPr>
          <w:rFonts w:ascii="Courier New" w:hAnsi="Courier New" w:cs="Courier New"/>
        </w:rPr>
        <w:t xml:space="preserve">not in compliance with American Disability </w:t>
      </w:r>
      <w:r w:rsidR="005D371B" w:rsidRPr="0077741F">
        <w:rPr>
          <w:rFonts w:ascii="Courier New" w:hAnsi="Courier New" w:cs="Courier New"/>
        </w:rPr>
        <w:t>Association (“ADA”)</w:t>
      </w:r>
      <w:r w:rsidR="005D371B">
        <w:rPr>
          <w:rFonts w:ascii="Courier New" w:hAnsi="Courier New" w:cs="Courier New"/>
        </w:rPr>
        <w:t xml:space="preserve"> standards.  </w:t>
      </w:r>
    </w:p>
    <w:p w14:paraId="2BAE422A" w14:textId="76FD364F" w:rsidR="00743720" w:rsidRDefault="009F695E" w:rsidP="00754BD0">
      <w:pPr>
        <w:spacing w:line="480" w:lineRule="auto"/>
        <w:ind w:firstLine="720"/>
        <w:jc w:val="both"/>
        <w:rPr>
          <w:rFonts w:ascii="Courier New" w:hAnsi="Courier New" w:cs="Courier New"/>
        </w:rPr>
      </w:pPr>
      <w:r>
        <w:rPr>
          <w:rFonts w:ascii="Courier New" w:hAnsi="Courier New" w:cs="Courier New"/>
        </w:rPr>
        <w:t>The evidence showed that a limited number of events took place at the subject properties during the time periods relevant to these appeals.</w:t>
      </w:r>
      <w:r w:rsidR="00C43D57">
        <w:rPr>
          <w:rFonts w:ascii="Courier New" w:hAnsi="Courier New" w:cs="Courier New"/>
        </w:rPr>
        <w:t xml:space="preserve">  During fiscal year 2014 (spanning July 1, </w:t>
      </w:r>
      <w:r w:rsidR="00C43D57">
        <w:rPr>
          <w:rFonts w:ascii="Courier New" w:hAnsi="Courier New" w:cs="Courier New"/>
        </w:rPr>
        <w:lastRenderedPageBreak/>
        <w:t>2013 throug</w:t>
      </w:r>
      <w:r w:rsidR="00620BC7">
        <w:rPr>
          <w:rFonts w:ascii="Courier New" w:hAnsi="Courier New" w:cs="Courier New"/>
        </w:rPr>
        <w:t xml:space="preserve">h June 30, 2014), </w:t>
      </w:r>
      <w:r w:rsidR="000029EF">
        <w:rPr>
          <w:rFonts w:ascii="Courier New" w:hAnsi="Courier New" w:cs="Courier New"/>
        </w:rPr>
        <w:t>6</w:t>
      </w:r>
      <w:r w:rsidR="00BD3F4F">
        <w:rPr>
          <w:rFonts w:ascii="Courier New" w:hAnsi="Courier New" w:cs="Courier New"/>
        </w:rPr>
        <w:t xml:space="preserve"> </w:t>
      </w:r>
      <w:r w:rsidR="005102AA">
        <w:rPr>
          <w:rFonts w:ascii="Courier New" w:hAnsi="Courier New" w:cs="Courier New"/>
        </w:rPr>
        <w:t xml:space="preserve">events </w:t>
      </w:r>
      <w:r>
        <w:rPr>
          <w:rFonts w:ascii="Courier New" w:hAnsi="Courier New" w:cs="Courier New"/>
        </w:rPr>
        <w:t xml:space="preserve">were </w:t>
      </w:r>
      <w:r w:rsidR="005102AA">
        <w:rPr>
          <w:rFonts w:ascii="Courier New" w:hAnsi="Courier New" w:cs="Courier New"/>
        </w:rPr>
        <w:t>booked,</w:t>
      </w:r>
      <w:r w:rsidR="00754BD0">
        <w:rPr>
          <w:rFonts w:ascii="Courier New" w:hAnsi="Courier New" w:cs="Courier New"/>
        </w:rPr>
        <w:t xml:space="preserve"> </w:t>
      </w:r>
      <w:r w:rsidR="00BD3F4F">
        <w:rPr>
          <w:rFonts w:ascii="Courier New" w:hAnsi="Courier New" w:cs="Courier New"/>
        </w:rPr>
        <w:t>but</w:t>
      </w:r>
      <w:r w:rsidR="00754BD0">
        <w:rPr>
          <w:rFonts w:ascii="Courier New" w:hAnsi="Courier New" w:cs="Courier New"/>
        </w:rPr>
        <w:t> </w:t>
      </w:r>
      <w:r w:rsidR="00620BC7">
        <w:rPr>
          <w:rFonts w:ascii="Courier New" w:hAnsi="Courier New" w:cs="Courier New"/>
        </w:rPr>
        <w:t>ultimately</w:t>
      </w:r>
      <w:r w:rsidR="002B6BE4">
        <w:rPr>
          <w:rFonts w:ascii="Courier New" w:hAnsi="Courier New" w:cs="Courier New"/>
        </w:rPr>
        <w:t xml:space="preserve"> </w:t>
      </w:r>
      <w:r>
        <w:rPr>
          <w:rFonts w:ascii="Courier New" w:hAnsi="Courier New" w:cs="Courier New"/>
        </w:rPr>
        <w:t xml:space="preserve">only </w:t>
      </w:r>
      <w:r w:rsidR="002B6BE4">
        <w:rPr>
          <w:rFonts w:ascii="Courier New" w:hAnsi="Courier New" w:cs="Courier New"/>
        </w:rPr>
        <w:t>4</w:t>
      </w:r>
      <w:r w:rsidR="00C43D57">
        <w:rPr>
          <w:rFonts w:ascii="Courier New" w:hAnsi="Courier New" w:cs="Courier New"/>
        </w:rPr>
        <w:t xml:space="preserve"> events</w:t>
      </w:r>
      <w:r w:rsidR="00C17613">
        <w:rPr>
          <w:rFonts w:ascii="Courier New" w:hAnsi="Courier New" w:cs="Courier New"/>
        </w:rPr>
        <w:t xml:space="preserve"> </w:t>
      </w:r>
      <w:r w:rsidR="00620BC7">
        <w:rPr>
          <w:rFonts w:ascii="Courier New" w:hAnsi="Courier New" w:cs="Courier New"/>
        </w:rPr>
        <w:t xml:space="preserve">occurred </w:t>
      </w:r>
      <w:r w:rsidR="00C17613">
        <w:rPr>
          <w:rFonts w:ascii="Courier New" w:hAnsi="Courier New" w:cs="Courier New"/>
        </w:rPr>
        <w:t>at the subject properties</w:t>
      </w:r>
      <w:r w:rsidR="000029EF">
        <w:rPr>
          <w:rFonts w:ascii="Courier New" w:hAnsi="Courier New" w:cs="Courier New"/>
        </w:rPr>
        <w:t>.</w:t>
      </w:r>
      <w:r w:rsidR="002B6BE4">
        <w:rPr>
          <w:rStyle w:val="FootnoteReference"/>
          <w:rFonts w:ascii="Courier New" w:hAnsi="Courier New" w:cs="Courier New"/>
        </w:rPr>
        <w:footnoteReference w:id="6"/>
      </w:r>
      <w:r w:rsidR="002B6BE4">
        <w:rPr>
          <w:rFonts w:ascii="Courier New" w:hAnsi="Courier New" w:cs="Courier New"/>
        </w:rPr>
        <w:t xml:space="preserve">  Of these 4 events, 2</w:t>
      </w:r>
      <w:r w:rsidR="000029EF">
        <w:rPr>
          <w:rFonts w:ascii="Courier New" w:hAnsi="Courier New" w:cs="Courier New"/>
        </w:rPr>
        <w:t xml:space="preserve"> were spons</w:t>
      </w:r>
      <w:r w:rsidR="002B6BE4">
        <w:rPr>
          <w:rFonts w:ascii="Courier New" w:hAnsi="Courier New" w:cs="Courier New"/>
        </w:rPr>
        <w:t>ored by TJMC and the remaining 2</w:t>
      </w:r>
      <w:r w:rsidR="000029EF">
        <w:rPr>
          <w:rFonts w:ascii="Courier New" w:hAnsi="Courier New" w:cs="Courier New"/>
        </w:rPr>
        <w:t xml:space="preserve"> were hosted by outside groups that </w:t>
      </w:r>
      <w:r w:rsidR="00F60F28">
        <w:rPr>
          <w:rFonts w:ascii="Courier New" w:hAnsi="Courier New" w:cs="Courier New"/>
        </w:rPr>
        <w:t>TJMC allowed to rent</w:t>
      </w:r>
      <w:r w:rsidR="000029EF">
        <w:rPr>
          <w:rFonts w:ascii="Courier New" w:hAnsi="Courier New" w:cs="Courier New"/>
        </w:rPr>
        <w:t xml:space="preserve"> space at </w:t>
      </w:r>
      <w:r w:rsidR="00F60F28">
        <w:rPr>
          <w:rFonts w:ascii="Courier New" w:hAnsi="Courier New" w:cs="Courier New"/>
        </w:rPr>
        <w:t>the subject properties</w:t>
      </w:r>
      <w:r w:rsidR="00C43D57">
        <w:rPr>
          <w:rFonts w:ascii="Courier New" w:hAnsi="Courier New" w:cs="Courier New"/>
        </w:rPr>
        <w:t>:</w:t>
      </w:r>
    </w:p>
    <w:p w14:paraId="5E4579F2" w14:textId="1FFA80E8" w:rsidR="00C43D57" w:rsidRDefault="00C43D57" w:rsidP="00C17613">
      <w:pPr>
        <w:pStyle w:val="ListParagraph"/>
        <w:numPr>
          <w:ilvl w:val="0"/>
          <w:numId w:val="1"/>
        </w:numPr>
        <w:jc w:val="both"/>
        <w:rPr>
          <w:rFonts w:ascii="Courier New" w:hAnsi="Courier New" w:cs="Courier New"/>
        </w:rPr>
      </w:pPr>
      <w:r>
        <w:rPr>
          <w:rFonts w:ascii="Courier New" w:hAnsi="Courier New" w:cs="Courier New"/>
        </w:rPr>
        <w:t xml:space="preserve">July 11, 2013: </w:t>
      </w:r>
      <w:r w:rsidR="007E53D3">
        <w:rPr>
          <w:rFonts w:ascii="Courier New" w:hAnsi="Courier New" w:cs="Courier New"/>
        </w:rPr>
        <w:t xml:space="preserve">TJMC </w:t>
      </w:r>
      <w:r>
        <w:rPr>
          <w:rFonts w:ascii="Courier New" w:hAnsi="Courier New" w:cs="Courier New"/>
        </w:rPr>
        <w:t>sponsors the first Jefferson Annual Lecture</w:t>
      </w:r>
      <w:r w:rsidR="00E40A2E">
        <w:rPr>
          <w:rFonts w:ascii="Courier New" w:hAnsi="Courier New" w:cs="Courier New"/>
        </w:rPr>
        <w:t xml:space="preserve"> at 9 Coolidge Point</w:t>
      </w:r>
      <w:r>
        <w:rPr>
          <w:rFonts w:ascii="Courier New" w:hAnsi="Courier New" w:cs="Courier New"/>
        </w:rPr>
        <w:t>, with tickets at $75 per person and approximately 80 attendees;</w:t>
      </w:r>
    </w:p>
    <w:p w14:paraId="24CCDBF4" w14:textId="6BB4D56C" w:rsidR="00C43D57" w:rsidRDefault="00C43D57" w:rsidP="00C17613">
      <w:pPr>
        <w:pStyle w:val="ListParagraph"/>
        <w:numPr>
          <w:ilvl w:val="0"/>
          <w:numId w:val="1"/>
        </w:numPr>
        <w:jc w:val="both"/>
        <w:rPr>
          <w:rFonts w:ascii="Courier New" w:hAnsi="Courier New" w:cs="Courier New"/>
        </w:rPr>
      </w:pPr>
      <w:r>
        <w:rPr>
          <w:rFonts w:ascii="Courier New" w:hAnsi="Courier New" w:cs="Courier New"/>
        </w:rPr>
        <w:t xml:space="preserve">July 28, 2013: </w:t>
      </w:r>
      <w:r w:rsidR="003C6690">
        <w:rPr>
          <w:rFonts w:ascii="Courier New" w:hAnsi="Courier New" w:cs="Courier New"/>
        </w:rPr>
        <w:t>TJMC allows</w:t>
      </w:r>
      <w:r w:rsidR="007E53D3">
        <w:rPr>
          <w:rFonts w:ascii="Courier New" w:hAnsi="Courier New" w:cs="Courier New"/>
        </w:rPr>
        <w:t xml:space="preserve"> </w:t>
      </w:r>
      <w:r>
        <w:rPr>
          <w:rFonts w:ascii="Courier New" w:hAnsi="Courier New" w:cs="Courier New"/>
        </w:rPr>
        <w:t>the Massachusetts Society for the Grandchildren of the American Revolution</w:t>
      </w:r>
      <w:r w:rsidR="003C6690">
        <w:rPr>
          <w:rFonts w:ascii="Courier New" w:hAnsi="Courier New" w:cs="Courier New"/>
        </w:rPr>
        <w:t xml:space="preserve"> to hold its</w:t>
      </w:r>
      <w:r w:rsidR="007E53D3">
        <w:rPr>
          <w:rFonts w:ascii="Courier New" w:hAnsi="Courier New" w:cs="Courier New"/>
        </w:rPr>
        <w:t xml:space="preserve"> </w:t>
      </w:r>
      <w:r>
        <w:rPr>
          <w:rFonts w:ascii="Courier New" w:hAnsi="Courier New" w:cs="Courier New"/>
        </w:rPr>
        <w:t>retreat</w:t>
      </w:r>
      <w:r w:rsidR="002730D1">
        <w:rPr>
          <w:rFonts w:ascii="Courier New" w:hAnsi="Courier New" w:cs="Courier New"/>
        </w:rPr>
        <w:t xml:space="preserve"> at the subject properties</w:t>
      </w:r>
      <w:r>
        <w:rPr>
          <w:rFonts w:ascii="Courier New" w:hAnsi="Courier New" w:cs="Courier New"/>
        </w:rPr>
        <w:t>, with approximately 50 attendees;</w:t>
      </w:r>
    </w:p>
    <w:p w14:paraId="0602835C" w14:textId="7E544466" w:rsidR="00C17613" w:rsidRPr="002B6BE4" w:rsidRDefault="00C43D57" w:rsidP="002B6BE4">
      <w:pPr>
        <w:pStyle w:val="ListParagraph"/>
        <w:numPr>
          <w:ilvl w:val="0"/>
          <w:numId w:val="1"/>
        </w:numPr>
        <w:jc w:val="both"/>
        <w:rPr>
          <w:rFonts w:ascii="Courier New" w:hAnsi="Courier New" w:cs="Courier New"/>
        </w:rPr>
      </w:pPr>
      <w:r>
        <w:rPr>
          <w:rFonts w:ascii="Courier New" w:hAnsi="Courier New" w:cs="Courier New"/>
        </w:rPr>
        <w:t xml:space="preserve">August 13-14, 2013: </w:t>
      </w:r>
      <w:r w:rsidR="003C6690">
        <w:rPr>
          <w:rFonts w:ascii="Courier New" w:hAnsi="Courier New" w:cs="Courier New"/>
        </w:rPr>
        <w:t>TJMC allows</w:t>
      </w:r>
      <w:r w:rsidR="007E53D3">
        <w:rPr>
          <w:rFonts w:ascii="Courier New" w:hAnsi="Courier New" w:cs="Courier New"/>
        </w:rPr>
        <w:t xml:space="preserve"> </w:t>
      </w:r>
      <w:r>
        <w:rPr>
          <w:rFonts w:ascii="Courier New" w:hAnsi="Courier New" w:cs="Courier New"/>
        </w:rPr>
        <w:t>the Massachusetts Historical Society</w:t>
      </w:r>
      <w:r w:rsidR="003C6690">
        <w:rPr>
          <w:rFonts w:ascii="Courier New" w:hAnsi="Courier New" w:cs="Courier New"/>
        </w:rPr>
        <w:t xml:space="preserve"> to hold its</w:t>
      </w:r>
      <w:r w:rsidR="00C17613">
        <w:rPr>
          <w:rFonts w:ascii="Courier New" w:hAnsi="Courier New" w:cs="Courier New"/>
        </w:rPr>
        <w:t xml:space="preserve"> conference called “Old Towns, New Country: </w:t>
      </w:r>
      <w:r w:rsidR="00E40A2E">
        <w:rPr>
          <w:rFonts w:ascii="Courier New" w:hAnsi="Courier New" w:cs="Courier New"/>
        </w:rPr>
        <w:t>The First Years of a New Nation</w:t>
      </w:r>
      <w:r w:rsidR="00C17613">
        <w:rPr>
          <w:rFonts w:ascii="Courier New" w:hAnsi="Courier New" w:cs="Courier New"/>
        </w:rPr>
        <w:t>”</w:t>
      </w:r>
      <w:r w:rsidR="00E40A2E">
        <w:rPr>
          <w:rFonts w:ascii="Courier New" w:hAnsi="Courier New" w:cs="Courier New"/>
        </w:rPr>
        <w:t xml:space="preserve"> at 9 Coolidge Point,</w:t>
      </w:r>
      <w:r w:rsidR="00C17613">
        <w:rPr>
          <w:rFonts w:ascii="Courier New" w:hAnsi="Courier New" w:cs="Courier New"/>
        </w:rPr>
        <w:t xml:space="preserve"> w</w:t>
      </w:r>
      <w:r w:rsidR="007E53D3">
        <w:rPr>
          <w:rFonts w:ascii="Courier New" w:hAnsi="Courier New" w:cs="Courier New"/>
        </w:rPr>
        <w:t>ith approximately 10 secondary-school teachers and educators in attendance</w:t>
      </w:r>
      <w:r w:rsidR="002C38D2">
        <w:rPr>
          <w:rFonts w:ascii="Courier New" w:hAnsi="Courier New" w:cs="Courier New"/>
        </w:rPr>
        <w:t>;</w:t>
      </w:r>
      <w:r w:rsidR="0027697F">
        <w:rPr>
          <w:rFonts w:ascii="Courier New" w:hAnsi="Courier New" w:cs="Courier New"/>
        </w:rPr>
        <w:t xml:space="preserve"> and</w:t>
      </w:r>
    </w:p>
    <w:p w14:paraId="72C965BA" w14:textId="4DF05CE4" w:rsidR="00C17613" w:rsidRPr="00C43D57" w:rsidRDefault="003D0AEA" w:rsidP="00C17613">
      <w:pPr>
        <w:pStyle w:val="ListParagraph"/>
        <w:numPr>
          <w:ilvl w:val="0"/>
          <w:numId w:val="1"/>
        </w:numPr>
        <w:jc w:val="both"/>
        <w:rPr>
          <w:rFonts w:ascii="Courier New" w:hAnsi="Courier New" w:cs="Courier New"/>
        </w:rPr>
      </w:pPr>
      <w:r>
        <w:rPr>
          <w:rFonts w:ascii="Courier New" w:hAnsi="Courier New" w:cs="Courier New"/>
        </w:rPr>
        <w:t xml:space="preserve">May 8, 2014: </w:t>
      </w:r>
      <w:r w:rsidR="002C38D2">
        <w:rPr>
          <w:rFonts w:ascii="Courier New" w:hAnsi="Courier New" w:cs="Courier New"/>
        </w:rPr>
        <w:t>TJMC sponsors</w:t>
      </w:r>
      <w:r>
        <w:rPr>
          <w:rFonts w:ascii="Courier New" w:hAnsi="Courier New" w:cs="Courier New"/>
        </w:rPr>
        <w:t xml:space="preserve"> a lecture entitled “Reducing the</w:t>
      </w:r>
      <w:r w:rsidR="0006453E">
        <w:rPr>
          <w:rFonts w:ascii="Courier New" w:hAnsi="Courier New" w:cs="Courier New"/>
        </w:rPr>
        <w:t xml:space="preserve"> Risk for Tick Borne Infections</w:t>
      </w:r>
      <w:r>
        <w:rPr>
          <w:rFonts w:ascii="Courier New" w:hAnsi="Courier New" w:cs="Courier New"/>
        </w:rPr>
        <w:t>”</w:t>
      </w:r>
      <w:r w:rsidR="0006453E">
        <w:rPr>
          <w:rFonts w:ascii="Courier New" w:hAnsi="Courier New" w:cs="Courier New"/>
        </w:rPr>
        <w:t xml:space="preserve"> at 9 Coolidge Point,</w:t>
      </w:r>
      <w:r>
        <w:rPr>
          <w:rFonts w:ascii="Courier New" w:hAnsi="Courier New" w:cs="Courier New"/>
        </w:rPr>
        <w:t xml:space="preserve"> with tickets at $100 per person and 28 attendees. </w:t>
      </w:r>
    </w:p>
    <w:p w14:paraId="79E62C47" w14:textId="77777777" w:rsidR="00743720" w:rsidRPr="003612F4" w:rsidRDefault="00743720" w:rsidP="0041110A">
      <w:pPr>
        <w:spacing w:line="480" w:lineRule="auto"/>
        <w:ind w:firstLine="720"/>
        <w:jc w:val="both"/>
        <w:rPr>
          <w:rFonts w:ascii="Courier New" w:hAnsi="Courier New" w:cs="Courier New"/>
        </w:rPr>
      </w:pPr>
    </w:p>
    <w:p w14:paraId="4F43BC36" w14:textId="5ED6974B" w:rsidR="003D0AEA" w:rsidRDefault="003D0AEA" w:rsidP="003D0AEA">
      <w:pPr>
        <w:spacing w:line="480" w:lineRule="auto"/>
        <w:jc w:val="both"/>
        <w:rPr>
          <w:rFonts w:ascii="Courier New" w:hAnsi="Courier New" w:cs="Courier New"/>
        </w:rPr>
      </w:pPr>
      <w:r>
        <w:rPr>
          <w:rFonts w:ascii="Courier New" w:hAnsi="Courier New" w:cs="Courier New"/>
        </w:rPr>
        <w:t xml:space="preserve">During fiscal year 2015 (spanning July 1, 2014 through June 30, 2015), TJMC hosted the following </w:t>
      </w:r>
      <w:r w:rsidR="008C0935">
        <w:rPr>
          <w:rFonts w:ascii="Courier New" w:hAnsi="Courier New" w:cs="Courier New"/>
        </w:rPr>
        <w:t xml:space="preserve">8 </w:t>
      </w:r>
      <w:r w:rsidR="001F48F4">
        <w:rPr>
          <w:rFonts w:ascii="Courier New" w:hAnsi="Courier New" w:cs="Courier New"/>
        </w:rPr>
        <w:t xml:space="preserve">events at the </w:t>
      </w:r>
      <w:r w:rsidR="00270C6F">
        <w:rPr>
          <w:rFonts w:ascii="Courier New" w:hAnsi="Courier New" w:cs="Courier New"/>
        </w:rPr>
        <w:t>subject properties</w:t>
      </w:r>
      <w:r w:rsidR="000029EF">
        <w:rPr>
          <w:rFonts w:ascii="Courier New" w:hAnsi="Courier New" w:cs="Courier New"/>
        </w:rPr>
        <w:t>, 4 of which were sponsored by TJMC with the remaining 4 being hosted by outside groups that</w:t>
      </w:r>
      <w:r w:rsidR="00CA15EB">
        <w:rPr>
          <w:rFonts w:ascii="Courier New" w:hAnsi="Courier New" w:cs="Courier New"/>
        </w:rPr>
        <w:t xml:space="preserve"> </w:t>
      </w:r>
      <w:r w:rsidR="00F60F28">
        <w:rPr>
          <w:rFonts w:ascii="Courier New" w:hAnsi="Courier New" w:cs="Courier New"/>
        </w:rPr>
        <w:t>T</w:t>
      </w:r>
      <w:r w:rsidR="00CA15EB">
        <w:rPr>
          <w:rFonts w:ascii="Courier New" w:hAnsi="Courier New" w:cs="Courier New"/>
        </w:rPr>
        <w:t>J</w:t>
      </w:r>
      <w:r w:rsidR="00F60F28">
        <w:rPr>
          <w:rFonts w:ascii="Courier New" w:hAnsi="Courier New" w:cs="Courier New"/>
        </w:rPr>
        <w:t>MC allow</w:t>
      </w:r>
      <w:r w:rsidR="005821A9">
        <w:rPr>
          <w:rFonts w:ascii="Courier New" w:hAnsi="Courier New" w:cs="Courier New"/>
        </w:rPr>
        <w:t>ed</w:t>
      </w:r>
      <w:r w:rsidR="00F60F28">
        <w:rPr>
          <w:rFonts w:ascii="Courier New" w:hAnsi="Courier New" w:cs="Courier New"/>
        </w:rPr>
        <w:t xml:space="preserve"> to rent</w:t>
      </w:r>
      <w:r w:rsidR="000029EF">
        <w:rPr>
          <w:rFonts w:ascii="Courier New" w:hAnsi="Courier New" w:cs="Courier New"/>
        </w:rPr>
        <w:t xml:space="preserve"> space at </w:t>
      </w:r>
      <w:r w:rsidR="00F60F28">
        <w:rPr>
          <w:rFonts w:ascii="Courier New" w:hAnsi="Courier New" w:cs="Courier New"/>
        </w:rPr>
        <w:t xml:space="preserve">the </w:t>
      </w:r>
      <w:r w:rsidR="00E934E0">
        <w:rPr>
          <w:rFonts w:ascii="Courier New" w:hAnsi="Courier New" w:cs="Courier New"/>
        </w:rPr>
        <w:t>subject properties</w:t>
      </w:r>
      <w:r>
        <w:rPr>
          <w:rFonts w:ascii="Courier New" w:hAnsi="Courier New" w:cs="Courier New"/>
        </w:rPr>
        <w:t>:</w:t>
      </w:r>
    </w:p>
    <w:p w14:paraId="0007B6FB" w14:textId="033E33FD" w:rsidR="003D0AEA" w:rsidRDefault="007E53D3" w:rsidP="007E53D3">
      <w:pPr>
        <w:pStyle w:val="ListParagraph"/>
        <w:numPr>
          <w:ilvl w:val="0"/>
          <w:numId w:val="3"/>
        </w:numPr>
        <w:jc w:val="both"/>
        <w:rPr>
          <w:rFonts w:ascii="Courier New" w:hAnsi="Courier New" w:cs="Courier New"/>
        </w:rPr>
      </w:pPr>
      <w:r>
        <w:rPr>
          <w:rFonts w:ascii="Courier New" w:hAnsi="Courier New" w:cs="Courier New"/>
        </w:rPr>
        <w:lastRenderedPageBreak/>
        <w:t xml:space="preserve">July 14, 2014: </w:t>
      </w:r>
      <w:r w:rsidR="003C6690">
        <w:rPr>
          <w:rFonts w:ascii="Courier New" w:hAnsi="Courier New" w:cs="Courier New"/>
        </w:rPr>
        <w:t xml:space="preserve">TJMC allows </w:t>
      </w:r>
      <w:r>
        <w:rPr>
          <w:rFonts w:ascii="Courier New" w:hAnsi="Courier New" w:cs="Courier New"/>
        </w:rPr>
        <w:t xml:space="preserve">painter Adele Ervin </w:t>
      </w:r>
      <w:r w:rsidR="003C6690">
        <w:rPr>
          <w:rFonts w:ascii="Courier New" w:hAnsi="Courier New" w:cs="Courier New"/>
        </w:rPr>
        <w:t>to lead</w:t>
      </w:r>
      <w:r>
        <w:rPr>
          <w:rFonts w:ascii="Courier New" w:hAnsi="Courier New" w:cs="Courier New"/>
        </w:rPr>
        <w:t xml:space="preserve"> a retreat for about 10 local artists, who visit</w:t>
      </w:r>
      <w:r w:rsidR="007610F3">
        <w:rPr>
          <w:rFonts w:ascii="Courier New" w:hAnsi="Courier New" w:cs="Courier New"/>
        </w:rPr>
        <w:t>ed</w:t>
      </w:r>
      <w:r w:rsidR="001346B6">
        <w:rPr>
          <w:rFonts w:ascii="Courier New" w:hAnsi="Courier New" w:cs="Courier New"/>
        </w:rPr>
        <w:t xml:space="preserve"> the </w:t>
      </w:r>
      <w:r w:rsidR="0027697F">
        <w:rPr>
          <w:rFonts w:ascii="Courier New" w:hAnsi="Courier New" w:cs="Courier New"/>
        </w:rPr>
        <w:t xml:space="preserve">subject </w:t>
      </w:r>
      <w:r w:rsidR="001346B6">
        <w:rPr>
          <w:rFonts w:ascii="Courier New" w:hAnsi="Courier New" w:cs="Courier New"/>
        </w:rPr>
        <w:t>properties</w:t>
      </w:r>
      <w:r w:rsidR="002C38D2">
        <w:rPr>
          <w:rFonts w:ascii="Courier New" w:hAnsi="Courier New" w:cs="Courier New"/>
        </w:rPr>
        <w:t xml:space="preserve"> to paint the landscape;</w:t>
      </w:r>
    </w:p>
    <w:p w14:paraId="0319E415" w14:textId="71E57825" w:rsidR="007E53D3" w:rsidRDefault="007E53D3" w:rsidP="007E53D3">
      <w:pPr>
        <w:pStyle w:val="ListParagraph"/>
        <w:numPr>
          <w:ilvl w:val="0"/>
          <w:numId w:val="3"/>
        </w:numPr>
        <w:jc w:val="both"/>
        <w:rPr>
          <w:rFonts w:ascii="Courier New" w:hAnsi="Courier New" w:cs="Courier New"/>
        </w:rPr>
      </w:pPr>
      <w:r>
        <w:rPr>
          <w:rFonts w:ascii="Courier New" w:hAnsi="Courier New" w:cs="Courier New"/>
        </w:rPr>
        <w:t xml:space="preserve">July 17, 2014: TJMC sponsors the second Jefferson </w:t>
      </w:r>
      <w:r w:rsidR="00F8666D">
        <w:rPr>
          <w:rFonts w:ascii="Courier New" w:hAnsi="Courier New" w:cs="Courier New"/>
        </w:rPr>
        <w:t>Annual Lecture at 9 Coolidge Point</w:t>
      </w:r>
      <w:r w:rsidR="002C38D2">
        <w:rPr>
          <w:rFonts w:ascii="Courier New" w:hAnsi="Courier New" w:cs="Courier New"/>
        </w:rPr>
        <w:t>, with tickets at $100 and approximately 80 attendees</w:t>
      </w:r>
      <w:r w:rsidR="00F8666D">
        <w:rPr>
          <w:rFonts w:ascii="Courier New" w:hAnsi="Courier New" w:cs="Courier New"/>
        </w:rPr>
        <w:t>.  Guests attending the lecture were allowed to tour the first floor of the Brick House</w:t>
      </w:r>
      <w:r w:rsidR="002C38D2">
        <w:rPr>
          <w:rFonts w:ascii="Courier New" w:hAnsi="Courier New" w:cs="Courier New"/>
        </w:rPr>
        <w:t>;</w:t>
      </w:r>
    </w:p>
    <w:p w14:paraId="2AB87BA4" w14:textId="144C5CE4" w:rsidR="002C38D2" w:rsidRDefault="00A21091" w:rsidP="007E53D3">
      <w:pPr>
        <w:pStyle w:val="ListParagraph"/>
        <w:numPr>
          <w:ilvl w:val="0"/>
          <w:numId w:val="3"/>
        </w:numPr>
        <w:jc w:val="both"/>
        <w:rPr>
          <w:rFonts w:ascii="Courier New" w:hAnsi="Courier New" w:cs="Courier New"/>
        </w:rPr>
      </w:pPr>
      <w:r>
        <w:rPr>
          <w:rFonts w:ascii="Courier New" w:hAnsi="Courier New" w:cs="Courier New"/>
        </w:rPr>
        <w:t>Au</w:t>
      </w:r>
      <w:r w:rsidR="003C6690">
        <w:rPr>
          <w:rFonts w:ascii="Courier New" w:hAnsi="Courier New" w:cs="Courier New"/>
        </w:rPr>
        <w:t>gust 2, 2014: TJMC allows</w:t>
      </w:r>
      <w:r>
        <w:rPr>
          <w:rFonts w:ascii="Courier New" w:hAnsi="Courier New" w:cs="Courier New"/>
        </w:rPr>
        <w:t xml:space="preserve"> the </w:t>
      </w:r>
      <w:proofErr w:type="spellStart"/>
      <w:r>
        <w:rPr>
          <w:rFonts w:ascii="Courier New" w:hAnsi="Courier New" w:cs="Courier New"/>
        </w:rPr>
        <w:t>Linzee</w:t>
      </w:r>
      <w:proofErr w:type="spellEnd"/>
      <w:r>
        <w:rPr>
          <w:rFonts w:ascii="Courier New" w:hAnsi="Courier New" w:cs="Courier New"/>
        </w:rPr>
        <w:t xml:space="preserve"> Family’s Foundation</w:t>
      </w:r>
      <w:r w:rsidR="003C6690">
        <w:rPr>
          <w:rFonts w:ascii="Courier New" w:hAnsi="Courier New" w:cs="Courier New"/>
        </w:rPr>
        <w:t xml:space="preserve"> to hold a</w:t>
      </w:r>
      <w:r>
        <w:rPr>
          <w:rFonts w:ascii="Courier New" w:hAnsi="Courier New" w:cs="Courier New"/>
        </w:rPr>
        <w:t xml:space="preserve"> retreat at the subject properties, with 45 attendees;</w:t>
      </w:r>
    </w:p>
    <w:p w14:paraId="40DE6BD2" w14:textId="327C26E4" w:rsidR="00A21091" w:rsidRDefault="003C6690" w:rsidP="007E53D3">
      <w:pPr>
        <w:pStyle w:val="ListParagraph"/>
        <w:numPr>
          <w:ilvl w:val="0"/>
          <w:numId w:val="3"/>
        </w:numPr>
        <w:jc w:val="both"/>
        <w:rPr>
          <w:rFonts w:ascii="Courier New" w:hAnsi="Courier New" w:cs="Courier New"/>
        </w:rPr>
      </w:pPr>
      <w:r>
        <w:rPr>
          <w:rFonts w:ascii="Courier New" w:hAnsi="Courier New" w:cs="Courier New"/>
        </w:rPr>
        <w:t>August 21, 2014: TJMC allows</w:t>
      </w:r>
      <w:r w:rsidR="00A21091">
        <w:rPr>
          <w:rFonts w:ascii="Courier New" w:hAnsi="Courier New" w:cs="Courier New"/>
        </w:rPr>
        <w:t xml:space="preserve"> a Manchester Summer Chamber Music concert</w:t>
      </w:r>
      <w:r w:rsidR="00E934E0">
        <w:rPr>
          <w:rFonts w:ascii="Courier New" w:hAnsi="Courier New" w:cs="Courier New"/>
        </w:rPr>
        <w:t xml:space="preserve"> at the subject properties</w:t>
      </w:r>
      <w:r w:rsidR="00A21091">
        <w:rPr>
          <w:rFonts w:ascii="Courier New" w:hAnsi="Courier New" w:cs="Courier New"/>
        </w:rPr>
        <w:t xml:space="preserve">; </w:t>
      </w:r>
    </w:p>
    <w:p w14:paraId="525AE504" w14:textId="05E0D136" w:rsidR="00A21091" w:rsidRDefault="00A21091" w:rsidP="007E53D3">
      <w:pPr>
        <w:pStyle w:val="ListParagraph"/>
        <w:numPr>
          <w:ilvl w:val="0"/>
          <w:numId w:val="3"/>
        </w:numPr>
        <w:jc w:val="both"/>
        <w:rPr>
          <w:rFonts w:ascii="Courier New" w:hAnsi="Courier New" w:cs="Courier New"/>
        </w:rPr>
      </w:pPr>
      <w:r>
        <w:rPr>
          <w:rFonts w:ascii="Courier New" w:hAnsi="Courier New" w:cs="Courier New"/>
        </w:rPr>
        <w:t>March 26, 2014: TJMC hosts a rescheduled lecture by Theodore St</w:t>
      </w:r>
      <w:r w:rsidR="00BA3014">
        <w:rPr>
          <w:rFonts w:ascii="Courier New" w:hAnsi="Courier New" w:cs="Courier New"/>
        </w:rPr>
        <w:t>ebbins entitled “Discovering</w:t>
      </w:r>
      <w:r>
        <w:rPr>
          <w:rFonts w:ascii="Courier New" w:hAnsi="Courier New" w:cs="Courier New"/>
        </w:rPr>
        <w:t xml:space="preserve"> Meaning in the A</w:t>
      </w:r>
      <w:r w:rsidR="00F8666D">
        <w:rPr>
          <w:rFonts w:ascii="Courier New" w:hAnsi="Courier New" w:cs="Courier New"/>
        </w:rPr>
        <w:t>merican Portrait</w:t>
      </w:r>
      <w:r w:rsidR="007610F3">
        <w:rPr>
          <w:rFonts w:ascii="Courier New" w:hAnsi="Courier New" w:cs="Courier New"/>
        </w:rPr>
        <w:t>”</w:t>
      </w:r>
      <w:r w:rsidR="00F8666D">
        <w:rPr>
          <w:rFonts w:ascii="Courier New" w:hAnsi="Courier New" w:cs="Courier New"/>
        </w:rPr>
        <w:t xml:space="preserve"> at 9 Coolidge Point,</w:t>
      </w:r>
      <w:r w:rsidR="007610F3">
        <w:rPr>
          <w:rFonts w:ascii="Courier New" w:hAnsi="Courier New" w:cs="Courier New"/>
        </w:rPr>
        <w:t xml:space="preserve"> with 19</w:t>
      </w:r>
      <w:r>
        <w:rPr>
          <w:rFonts w:ascii="Courier New" w:hAnsi="Courier New" w:cs="Courier New"/>
        </w:rPr>
        <w:t xml:space="preserve"> attendees;</w:t>
      </w:r>
    </w:p>
    <w:p w14:paraId="21D49086" w14:textId="7C7C9C24" w:rsidR="00A21091" w:rsidRDefault="008C0935" w:rsidP="007E53D3">
      <w:pPr>
        <w:pStyle w:val="ListParagraph"/>
        <w:numPr>
          <w:ilvl w:val="0"/>
          <w:numId w:val="3"/>
        </w:numPr>
        <w:jc w:val="both"/>
        <w:rPr>
          <w:rFonts w:ascii="Courier New" w:hAnsi="Courier New" w:cs="Courier New"/>
        </w:rPr>
      </w:pPr>
      <w:r>
        <w:rPr>
          <w:rFonts w:ascii="Courier New" w:hAnsi="Courier New" w:cs="Courier New"/>
        </w:rPr>
        <w:t>April 23, 2015: TJ</w:t>
      </w:r>
      <w:r w:rsidR="00A21091">
        <w:rPr>
          <w:rFonts w:ascii="Courier New" w:hAnsi="Courier New" w:cs="Courier New"/>
        </w:rPr>
        <w:t>MC hosts an event to play the video from Theodore Stebbins’ lecture</w:t>
      </w:r>
      <w:r w:rsidR="00F8666D">
        <w:rPr>
          <w:rFonts w:ascii="Courier New" w:hAnsi="Courier New" w:cs="Courier New"/>
        </w:rPr>
        <w:t xml:space="preserve"> at the Brick House</w:t>
      </w:r>
      <w:r w:rsidR="00A21091">
        <w:rPr>
          <w:rFonts w:ascii="Courier New" w:hAnsi="Courier New" w:cs="Courier New"/>
        </w:rPr>
        <w:t>, with 12 attendees;</w:t>
      </w:r>
    </w:p>
    <w:p w14:paraId="72B91D53" w14:textId="5E4B0038" w:rsidR="00A21091" w:rsidRDefault="00A21091" w:rsidP="007E53D3">
      <w:pPr>
        <w:pStyle w:val="ListParagraph"/>
        <w:numPr>
          <w:ilvl w:val="0"/>
          <w:numId w:val="3"/>
        </w:numPr>
        <w:jc w:val="both"/>
        <w:rPr>
          <w:rFonts w:ascii="Courier New" w:hAnsi="Courier New" w:cs="Courier New"/>
        </w:rPr>
      </w:pPr>
      <w:r>
        <w:rPr>
          <w:rFonts w:ascii="Courier New" w:hAnsi="Courier New" w:cs="Courier New"/>
        </w:rPr>
        <w:t>June 8, 2015: TJMC organized educational tours</w:t>
      </w:r>
      <w:r w:rsidR="00F8666D">
        <w:rPr>
          <w:rFonts w:ascii="Courier New" w:hAnsi="Courier New" w:cs="Courier New"/>
        </w:rPr>
        <w:t xml:space="preserve"> of the subject properties</w:t>
      </w:r>
      <w:r>
        <w:rPr>
          <w:rFonts w:ascii="Courier New" w:hAnsi="Courier New" w:cs="Courier New"/>
        </w:rPr>
        <w:t xml:space="preserve"> for a group of homeschooled children, with 20 attendees;</w:t>
      </w:r>
      <w:r w:rsidR="0027697F">
        <w:rPr>
          <w:rFonts w:ascii="Courier New" w:hAnsi="Courier New" w:cs="Courier New"/>
        </w:rPr>
        <w:t xml:space="preserve"> and</w:t>
      </w:r>
    </w:p>
    <w:p w14:paraId="16D096D0" w14:textId="77C5B95F" w:rsidR="00A21091" w:rsidRPr="003D0AEA" w:rsidRDefault="00A21091" w:rsidP="007E53D3">
      <w:pPr>
        <w:pStyle w:val="ListParagraph"/>
        <w:numPr>
          <w:ilvl w:val="0"/>
          <w:numId w:val="3"/>
        </w:numPr>
        <w:jc w:val="both"/>
        <w:rPr>
          <w:rFonts w:ascii="Courier New" w:hAnsi="Courier New" w:cs="Courier New"/>
        </w:rPr>
      </w:pPr>
      <w:r>
        <w:rPr>
          <w:rFonts w:ascii="Courier New" w:hAnsi="Courier New" w:cs="Courier New"/>
        </w:rPr>
        <w:t>June 18, 2015</w:t>
      </w:r>
      <w:r w:rsidR="008C0935">
        <w:rPr>
          <w:rFonts w:ascii="Courier New" w:hAnsi="Courier New" w:cs="Courier New"/>
        </w:rPr>
        <w:t xml:space="preserve">: </w:t>
      </w:r>
      <w:r w:rsidR="00117D66">
        <w:rPr>
          <w:rFonts w:ascii="Courier New" w:hAnsi="Courier New" w:cs="Courier New"/>
        </w:rPr>
        <w:t>TJMC allow</w:t>
      </w:r>
      <w:r>
        <w:rPr>
          <w:rFonts w:ascii="Courier New" w:hAnsi="Courier New" w:cs="Courier New"/>
        </w:rPr>
        <w:t>s Gold Coast Mortgage Services, Inc. to utilize the subject properties for its annual outing, with 40 attendees.</w:t>
      </w:r>
    </w:p>
    <w:p w14:paraId="1A9C8766" w14:textId="77777777" w:rsidR="003D0AEA" w:rsidRPr="003D0AEA" w:rsidRDefault="003D0AEA" w:rsidP="003D0AEA">
      <w:pPr>
        <w:pStyle w:val="ListParagraph"/>
        <w:spacing w:line="480" w:lineRule="auto"/>
        <w:jc w:val="both"/>
        <w:rPr>
          <w:rFonts w:ascii="Courier New" w:hAnsi="Courier New" w:cs="Courier New"/>
        </w:rPr>
      </w:pPr>
    </w:p>
    <w:p w14:paraId="67881881" w14:textId="3D03AC55" w:rsidR="00247E92" w:rsidRDefault="00247E92" w:rsidP="00247E92">
      <w:pPr>
        <w:spacing w:line="480" w:lineRule="auto"/>
        <w:ind w:firstLine="720"/>
        <w:jc w:val="both"/>
        <w:rPr>
          <w:rFonts w:ascii="Courier New" w:hAnsi="Courier New" w:cs="Courier New"/>
        </w:rPr>
      </w:pPr>
      <w:r>
        <w:rPr>
          <w:rFonts w:ascii="Courier New" w:hAnsi="Courier New" w:cs="Courier New"/>
        </w:rPr>
        <w:t xml:space="preserve">TJMC has advertised certain TJMC-hosted events online via its website at </w:t>
      </w:r>
      <w:hyperlink r:id="rId9" w:history="1">
        <w:r w:rsidRPr="00D33257">
          <w:rPr>
            <w:rStyle w:val="Hyperlink"/>
            <w:rFonts w:ascii="Courier New" w:hAnsi="Courier New" w:cs="Courier New"/>
          </w:rPr>
          <w:t>http://jeffersonmemorialcenter.org</w:t>
        </w:r>
      </w:hyperlink>
      <w:r>
        <w:rPr>
          <w:rFonts w:ascii="Courier New" w:hAnsi="Courier New" w:cs="Courier New"/>
        </w:rPr>
        <w:t xml:space="preserve">.  The website, which was launched on June 24, 2013, invites proposals for events to be mailed or made via telephone.  </w:t>
      </w:r>
      <w:r w:rsidR="0027697F">
        <w:rPr>
          <w:rFonts w:ascii="Courier New" w:hAnsi="Courier New" w:cs="Courier New"/>
        </w:rPr>
        <w:t>Visitors to the website can</w:t>
      </w:r>
      <w:r>
        <w:rPr>
          <w:rFonts w:ascii="Courier New" w:hAnsi="Courier New" w:cs="Courier New"/>
        </w:rPr>
        <w:t xml:space="preserve"> sign up to receive news from TJMC.  TJMC also maintains a Facebook page, which it launched on April 12, 2015.  TJMC has maintained</w:t>
      </w:r>
      <w:r w:rsidR="0027697F">
        <w:rPr>
          <w:rFonts w:ascii="Courier New" w:hAnsi="Courier New" w:cs="Courier New"/>
        </w:rPr>
        <w:t xml:space="preserve"> an e-mail list since October,</w:t>
      </w:r>
      <w:r>
        <w:rPr>
          <w:rFonts w:ascii="Courier New" w:hAnsi="Courier New" w:cs="Courier New"/>
        </w:rPr>
        <w:t xml:space="preserve"> 2013, and as of December 3, 2015, there were </w:t>
      </w:r>
      <w:r w:rsidR="009F695E">
        <w:rPr>
          <w:rFonts w:ascii="Courier New" w:hAnsi="Courier New" w:cs="Courier New"/>
        </w:rPr>
        <w:t>approximately 330</w:t>
      </w:r>
      <w:r>
        <w:rPr>
          <w:rFonts w:ascii="Courier New" w:hAnsi="Courier New" w:cs="Courier New"/>
        </w:rPr>
        <w:t xml:space="preserve"> contacts on</w:t>
      </w:r>
      <w:r w:rsidR="0027697F">
        <w:rPr>
          <w:rFonts w:ascii="Courier New" w:hAnsi="Courier New" w:cs="Courier New"/>
        </w:rPr>
        <w:t xml:space="preserve"> that list. </w:t>
      </w:r>
    </w:p>
    <w:p w14:paraId="34D5BABD" w14:textId="50F71D48" w:rsidR="00425A9B" w:rsidRDefault="00425A9B" w:rsidP="003442B6">
      <w:pPr>
        <w:spacing w:line="480" w:lineRule="auto"/>
        <w:ind w:firstLine="720"/>
        <w:jc w:val="both"/>
        <w:rPr>
          <w:rFonts w:ascii="Courier New" w:hAnsi="Courier New" w:cs="Courier New"/>
        </w:rPr>
      </w:pPr>
      <w:r>
        <w:rPr>
          <w:rFonts w:ascii="Courier New" w:hAnsi="Courier New" w:cs="Courier New"/>
        </w:rPr>
        <w:lastRenderedPageBreak/>
        <w:t xml:space="preserve">Many of the events that took place at the subject properties </w:t>
      </w:r>
      <w:r w:rsidR="00FB1B72">
        <w:rPr>
          <w:rFonts w:ascii="Courier New" w:hAnsi="Courier New" w:cs="Courier New"/>
        </w:rPr>
        <w:t>during the fiscal years at issue</w:t>
      </w:r>
      <w:r w:rsidR="00D34A46">
        <w:rPr>
          <w:rFonts w:ascii="Courier New" w:hAnsi="Courier New" w:cs="Courier New"/>
        </w:rPr>
        <w:t>, particularly those hosted by third parties,</w:t>
      </w:r>
      <w:r w:rsidR="00FB1B72">
        <w:rPr>
          <w:rFonts w:ascii="Courier New" w:hAnsi="Courier New" w:cs="Courier New"/>
        </w:rPr>
        <w:t xml:space="preserve"> </w:t>
      </w:r>
      <w:r>
        <w:rPr>
          <w:rFonts w:ascii="Courier New" w:hAnsi="Courier New" w:cs="Courier New"/>
        </w:rPr>
        <w:t>were not open to the public</w:t>
      </w:r>
      <w:r w:rsidR="0027697F">
        <w:rPr>
          <w:rFonts w:ascii="Courier New" w:hAnsi="Courier New" w:cs="Courier New"/>
        </w:rPr>
        <w:t>.  Six of the 7</w:t>
      </w:r>
      <w:r w:rsidR="00D34A46">
        <w:rPr>
          <w:rFonts w:ascii="Courier New" w:hAnsi="Courier New" w:cs="Courier New"/>
        </w:rPr>
        <w:t xml:space="preserve"> </w:t>
      </w:r>
      <w:r w:rsidR="00CE4BE0">
        <w:rPr>
          <w:rFonts w:ascii="Courier New" w:hAnsi="Courier New" w:cs="Courier New"/>
        </w:rPr>
        <w:t xml:space="preserve">events </w:t>
      </w:r>
      <w:r w:rsidR="00D34A46">
        <w:rPr>
          <w:rFonts w:ascii="Courier New" w:hAnsi="Courier New" w:cs="Courier New"/>
        </w:rPr>
        <w:t>that TJMC hosted were advertised as</w:t>
      </w:r>
      <w:r w:rsidR="00B1654D">
        <w:rPr>
          <w:rFonts w:ascii="Courier New" w:hAnsi="Courier New" w:cs="Courier New"/>
        </w:rPr>
        <w:t xml:space="preserve"> “reservations limited</w:t>
      </w:r>
      <w:r w:rsidR="00CE4BE0">
        <w:rPr>
          <w:rFonts w:ascii="Courier New" w:hAnsi="Courier New" w:cs="Courier New"/>
        </w:rPr>
        <w:t>,</w:t>
      </w:r>
      <w:r w:rsidR="00B1654D">
        <w:rPr>
          <w:rFonts w:ascii="Courier New" w:hAnsi="Courier New" w:cs="Courier New"/>
        </w:rPr>
        <w:t>”</w:t>
      </w:r>
      <w:r w:rsidR="00D34A46">
        <w:rPr>
          <w:rFonts w:ascii="Courier New" w:hAnsi="Courier New" w:cs="Courier New"/>
        </w:rPr>
        <w:t xml:space="preserve"> and</w:t>
      </w:r>
      <w:r w:rsidR="00CE4BE0">
        <w:rPr>
          <w:rFonts w:ascii="Courier New" w:hAnsi="Courier New" w:cs="Courier New"/>
        </w:rPr>
        <w:t xml:space="preserve"> TJMC</w:t>
      </w:r>
      <w:r w:rsidR="00D34A46">
        <w:rPr>
          <w:rFonts w:ascii="Courier New" w:hAnsi="Courier New" w:cs="Courier New"/>
        </w:rPr>
        <w:t xml:space="preserve"> charged attendees </w:t>
      </w:r>
      <w:r w:rsidR="00BA3014">
        <w:rPr>
          <w:rFonts w:ascii="Courier New" w:hAnsi="Courier New" w:cs="Courier New"/>
        </w:rPr>
        <w:t>upwards of $10</w:t>
      </w:r>
      <w:r w:rsidR="00B1654D">
        <w:rPr>
          <w:rFonts w:ascii="Courier New" w:hAnsi="Courier New" w:cs="Courier New"/>
        </w:rPr>
        <w:t>0</w:t>
      </w:r>
      <w:r w:rsidR="00D34A46">
        <w:rPr>
          <w:rFonts w:ascii="Courier New" w:hAnsi="Courier New" w:cs="Courier New"/>
        </w:rPr>
        <w:t xml:space="preserve"> for admission</w:t>
      </w:r>
      <w:r>
        <w:rPr>
          <w:rFonts w:ascii="Courier New" w:hAnsi="Courier New" w:cs="Courier New"/>
        </w:rPr>
        <w:t>.</w:t>
      </w:r>
      <w:r w:rsidR="006A2DE1">
        <w:rPr>
          <w:rFonts w:ascii="Courier New" w:hAnsi="Courier New" w:cs="Courier New"/>
        </w:rPr>
        <w:t xml:space="preserve">  For events hosted by</w:t>
      </w:r>
      <w:r w:rsidR="00EC201E">
        <w:rPr>
          <w:rFonts w:ascii="Courier New" w:hAnsi="Courier New" w:cs="Courier New"/>
        </w:rPr>
        <w:t xml:space="preserve"> outside parties, TJMC usually</w:t>
      </w:r>
      <w:r w:rsidR="006A2DE1">
        <w:rPr>
          <w:rFonts w:ascii="Courier New" w:hAnsi="Courier New" w:cs="Courier New"/>
        </w:rPr>
        <w:t xml:space="preserve"> charged a fee to the host organization, which</w:t>
      </w:r>
      <w:r w:rsidR="00CE4BE0">
        <w:rPr>
          <w:rFonts w:ascii="Courier New" w:hAnsi="Courier New" w:cs="Courier New"/>
        </w:rPr>
        <w:t>, according to its Petition,</w:t>
      </w:r>
      <w:r w:rsidR="006A2DE1">
        <w:rPr>
          <w:rFonts w:ascii="Courier New" w:hAnsi="Courier New" w:cs="Courier New"/>
        </w:rPr>
        <w:t xml:space="preserve"> was typically “in the range of a few hundred dollars, based on the size of the organization and the support required by</w:t>
      </w:r>
      <w:r w:rsidR="00CE4BE0">
        <w:rPr>
          <w:rFonts w:ascii="Courier New" w:hAnsi="Courier New" w:cs="Courier New"/>
        </w:rPr>
        <w:t xml:space="preserve"> contractors retained by [TJMC].”</w:t>
      </w:r>
      <w:r w:rsidR="006A2DE1">
        <w:rPr>
          <w:rFonts w:ascii="Courier New" w:hAnsi="Courier New" w:cs="Courier New"/>
        </w:rPr>
        <w:t xml:space="preserve">  </w:t>
      </w:r>
      <w:r w:rsidR="00D34A46">
        <w:rPr>
          <w:rFonts w:ascii="Courier New" w:hAnsi="Courier New" w:cs="Courier New"/>
        </w:rPr>
        <w:t xml:space="preserve">Elizabeth Brown </w:t>
      </w:r>
      <w:r w:rsidR="00984C39">
        <w:rPr>
          <w:rFonts w:ascii="Courier New" w:hAnsi="Courier New" w:cs="Courier New"/>
        </w:rPr>
        <w:t>Mulholland</w:t>
      </w:r>
      <w:r w:rsidR="00B1654D">
        <w:rPr>
          <w:rFonts w:ascii="Courier New" w:hAnsi="Courier New" w:cs="Courier New"/>
        </w:rPr>
        <w:t xml:space="preserve">, a member of the Board of Directors of TJMC, </w:t>
      </w:r>
      <w:r w:rsidR="009145EC">
        <w:rPr>
          <w:rFonts w:ascii="Courier New" w:hAnsi="Courier New" w:cs="Courier New"/>
        </w:rPr>
        <w:t>in an e</w:t>
      </w:r>
      <w:r w:rsidR="0027697F">
        <w:rPr>
          <w:rFonts w:ascii="Courier New" w:hAnsi="Courier New" w:cs="Courier New"/>
        </w:rPr>
        <w:t>-</w:t>
      </w:r>
      <w:r w:rsidR="009145EC">
        <w:rPr>
          <w:rFonts w:ascii="Courier New" w:hAnsi="Courier New" w:cs="Courier New"/>
        </w:rPr>
        <w:t xml:space="preserve">mail dated October </w:t>
      </w:r>
      <w:r w:rsidR="00230BF5">
        <w:rPr>
          <w:rFonts w:ascii="Courier New" w:hAnsi="Courier New" w:cs="Courier New"/>
        </w:rPr>
        <w:t xml:space="preserve">15, 2014 to Attorney </w:t>
      </w:r>
      <w:proofErr w:type="spellStart"/>
      <w:r w:rsidR="00230BF5" w:rsidRPr="00230BF5">
        <w:rPr>
          <w:rFonts w:ascii="Courier New" w:hAnsi="Courier New" w:cs="Courier New"/>
        </w:rPr>
        <w:t>Fitts</w:t>
      </w:r>
      <w:proofErr w:type="spellEnd"/>
      <w:r w:rsidR="00CE4BE0" w:rsidRPr="00230BF5">
        <w:rPr>
          <w:rFonts w:ascii="Courier New" w:hAnsi="Courier New" w:cs="Courier New"/>
        </w:rPr>
        <w:t>,</w:t>
      </w:r>
      <w:r w:rsidR="00D47D1D">
        <w:rPr>
          <w:rFonts w:ascii="Courier New" w:hAnsi="Courier New" w:cs="Courier New"/>
        </w:rPr>
        <w:t xml:space="preserve"> voiced her concerns that TJMC had produced “very little programming and only to </w:t>
      </w:r>
      <w:r w:rsidR="003442B6">
        <w:rPr>
          <w:rFonts w:ascii="Courier New" w:hAnsi="Courier New" w:cs="Courier New"/>
        </w:rPr>
        <w:t>a very small part of the public</w:t>
      </w:r>
      <w:r w:rsidR="00D47D1D">
        <w:rPr>
          <w:rFonts w:ascii="Courier New" w:hAnsi="Courier New" w:cs="Courier New"/>
        </w:rPr>
        <w:t>”</w:t>
      </w:r>
      <w:r w:rsidR="003442B6">
        <w:rPr>
          <w:rFonts w:ascii="Courier New" w:hAnsi="Courier New" w:cs="Courier New"/>
        </w:rPr>
        <w:t xml:space="preserve"> and “</w:t>
      </w:r>
      <w:r w:rsidR="000D0518">
        <w:rPr>
          <w:rFonts w:ascii="Courier New" w:hAnsi="Courier New" w:cs="Courier New"/>
        </w:rPr>
        <w:t>I just don’t think it is sustainable over time with TJMC in its current iteration.</w:t>
      </w:r>
      <w:r w:rsidR="003442B6">
        <w:rPr>
          <w:rFonts w:ascii="Courier New" w:hAnsi="Courier New" w:cs="Courier New"/>
        </w:rPr>
        <w:t>”</w:t>
      </w:r>
    </w:p>
    <w:p w14:paraId="2F3CE37B" w14:textId="2AA5E491" w:rsidR="0034334F" w:rsidRDefault="0089626C" w:rsidP="00B8430D">
      <w:pPr>
        <w:spacing w:line="480" w:lineRule="auto"/>
        <w:ind w:firstLine="720"/>
        <w:jc w:val="both"/>
        <w:rPr>
          <w:rFonts w:ascii="Courier New" w:hAnsi="Courier New" w:cs="Courier New"/>
        </w:rPr>
      </w:pPr>
      <w:r>
        <w:rPr>
          <w:rFonts w:ascii="Courier New" w:hAnsi="Courier New" w:cs="Courier New"/>
        </w:rPr>
        <w:t>On the basis of the evidence, the Board found</w:t>
      </w:r>
      <w:r w:rsidR="00BA3014">
        <w:rPr>
          <w:rFonts w:ascii="Courier New" w:hAnsi="Courier New" w:cs="Courier New"/>
        </w:rPr>
        <w:t xml:space="preserve"> and ruled that the appellant failed to meet its burden of proving that its activities at the subject properties qualified it as a “charitable organ</w:t>
      </w:r>
      <w:r w:rsidR="009669A9">
        <w:rPr>
          <w:rFonts w:ascii="Courier New" w:hAnsi="Courier New" w:cs="Courier New"/>
        </w:rPr>
        <w:t>ization” for purposes of G.L.</w:t>
      </w:r>
      <w:r w:rsidR="009669A9" w:rsidRPr="005467FD">
        <w:rPr>
          <w:rFonts w:ascii="Courier New" w:hAnsi="Courier New" w:cs="Courier New"/>
        </w:rPr>
        <w:t xml:space="preserve"> c. 5</w:t>
      </w:r>
      <w:r w:rsidR="0027697F">
        <w:rPr>
          <w:rFonts w:ascii="Courier New" w:hAnsi="Courier New" w:cs="Courier New"/>
        </w:rPr>
        <w:t>9, § 5, Third</w:t>
      </w:r>
      <w:r w:rsidR="009669A9">
        <w:rPr>
          <w:rFonts w:ascii="Courier New" w:hAnsi="Courier New" w:cs="Courier New"/>
        </w:rPr>
        <w:t xml:space="preserve"> (“Clause Third”)</w:t>
      </w:r>
      <w:r w:rsidR="0034334F">
        <w:rPr>
          <w:rFonts w:ascii="Courier New" w:hAnsi="Courier New" w:cs="Courier New"/>
        </w:rPr>
        <w:t xml:space="preserve">. </w:t>
      </w:r>
      <w:r>
        <w:rPr>
          <w:rFonts w:ascii="Courier New" w:hAnsi="Courier New" w:cs="Courier New"/>
        </w:rPr>
        <w:t xml:space="preserve"> </w:t>
      </w:r>
      <w:r w:rsidR="0034334F">
        <w:rPr>
          <w:rFonts w:ascii="Courier New" w:hAnsi="Courier New" w:cs="Courier New"/>
        </w:rPr>
        <w:t xml:space="preserve">First, </w:t>
      </w:r>
      <w:r w:rsidR="00871D07">
        <w:rPr>
          <w:rFonts w:ascii="Courier New" w:hAnsi="Courier New" w:cs="Courier New"/>
        </w:rPr>
        <w:t>the various “no trespassing”</w:t>
      </w:r>
      <w:r w:rsidR="0034334F">
        <w:rPr>
          <w:rFonts w:ascii="Courier New" w:hAnsi="Courier New" w:cs="Courier New"/>
        </w:rPr>
        <w:t xml:space="preserve"> signs underscore that the subject properties are essentially private, unless guests are specifically invited by the appellant</w:t>
      </w:r>
      <w:r w:rsidR="0049193F">
        <w:rPr>
          <w:rFonts w:ascii="Courier New" w:hAnsi="Courier New" w:cs="Courier New"/>
        </w:rPr>
        <w:t xml:space="preserve">. </w:t>
      </w:r>
      <w:r w:rsidR="0034334F">
        <w:rPr>
          <w:rFonts w:ascii="Courier New" w:hAnsi="Courier New" w:cs="Courier New"/>
        </w:rPr>
        <w:t xml:space="preserve"> </w:t>
      </w:r>
    </w:p>
    <w:p w14:paraId="065B5BB7" w14:textId="50C0D52B" w:rsidR="009F695E" w:rsidRDefault="0089626C" w:rsidP="00F02E70">
      <w:pPr>
        <w:spacing w:line="480" w:lineRule="auto"/>
        <w:ind w:firstLine="720"/>
        <w:jc w:val="both"/>
        <w:rPr>
          <w:rFonts w:ascii="Courier New" w:hAnsi="Courier New" w:cs="Courier New"/>
        </w:rPr>
      </w:pPr>
      <w:r>
        <w:rPr>
          <w:rFonts w:ascii="Courier New" w:hAnsi="Courier New" w:cs="Courier New"/>
        </w:rPr>
        <w:t xml:space="preserve">With respect to the </w:t>
      </w:r>
      <w:r w:rsidR="003F5985">
        <w:rPr>
          <w:rFonts w:ascii="Courier New" w:hAnsi="Courier New" w:cs="Courier New"/>
        </w:rPr>
        <w:t>Brick House</w:t>
      </w:r>
      <w:r>
        <w:rPr>
          <w:rFonts w:ascii="Courier New" w:hAnsi="Courier New" w:cs="Courier New"/>
        </w:rPr>
        <w:t>, its</w:t>
      </w:r>
      <w:r w:rsidR="003F5985">
        <w:rPr>
          <w:rFonts w:ascii="Courier New" w:hAnsi="Courier New" w:cs="Courier New"/>
        </w:rPr>
        <w:t xml:space="preserve"> tours</w:t>
      </w:r>
      <w:r>
        <w:rPr>
          <w:rFonts w:ascii="Courier New" w:hAnsi="Courier New" w:cs="Courier New"/>
        </w:rPr>
        <w:t xml:space="preserve"> are</w:t>
      </w:r>
      <w:r w:rsidR="00C60863">
        <w:rPr>
          <w:rFonts w:ascii="Courier New" w:hAnsi="Courier New" w:cs="Courier New"/>
        </w:rPr>
        <w:t xml:space="preserve"> available only</w:t>
      </w:r>
      <w:r w:rsidR="003F5985">
        <w:rPr>
          <w:rFonts w:ascii="Courier New" w:hAnsi="Courier New" w:cs="Courier New"/>
        </w:rPr>
        <w:t xml:space="preserve"> </w:t>
      </w:r>
      <w:r w:rsidR="009F695E">
        <w:rPr>
          <w:rFonts w:ascii="Courier New" w:hAnsi="Courier New" w:cs="Courier New"/>
        </w:rPr>
        <w:t>for</w:t>
      </w:r>
      <w:r w:rsidR="003F5985">
        <w:rPr>
          <w:rFonts w:ascii="Courier New" w:hAnsi="Courier New" w:cs="Courier New"/>
        </w:rPr>
        <w:t xml:space="preserve"> </w:t>
      </w:r>
      <w:r>
        <w:rPr>
          <w:rFonts w:ascii="Courier New" w:hAnsi="Courier New" w:cs="Courier New"/>
        </w:rPr>
        <w:t xml:space="preserve">its </w:t>
      </w:r>
      <w:r w:rsidR="000029EF">
        <w:rPr>
          <w:rFonts w:ascii="Courier New" w:hAnsi="Courier New" w:cs="Courier New"/>
        </w:rPr>
        <w:t>ground</w:t>
      </w:r>
      <w:r w:rsidR="003F5985">
        <w:rPr>
          <w:rFonts w:ascii="Courier New" w:hAnsi="Courier New" w:cs="Courier New"/>
        </w:rPr>
        <w:t xml:space="preserve"> floor</w:t>
      </w:r>
      <w:r>
        <w:rPr>
          <w:rFonts w:ascii="Courier New" w:hAnsi="Courier New" w:cs="Courier New"/>
        </w:rPr>
        <w:t>,</w:t>
      </w:r>
      <w:r w:rsidR="003F5985">
        <w:rPr>
          <w:rFonts w:ascii="Courier New" w:hAnsi="Courier New" w:cs="Courier New"/>
        </w:rPr>
        <w:t xml:space="preserve"> as </w:t>
      </w:r>
      <w:r>
        <w:rPr>
          <w:rFonts w:ascii="Courier New" w:hAnsi="Courier New" w:cs="Courier New"/>
        </w:rPr>
        <w:t xml:space="preserve">its </w:t>
      </w:r>
      <w:r w:rsidR="003F5985">
        <w:rPr>
          <w:rFonts w:ascii="Courier New" w:hAnsi="Courier New" w:cs="Courier New"/>
        </w:rPr>
        <w:t>second floor</w:t>
      </w:r>
      <w:r w:rsidR="00C60863">
        <w:rPr>
          <w:rFonts w:ascii="Courier New" w:hAnsi="Courier New" w:cs="Courier New"/>
        </w:rPr>
        <w:t xml:space="preserve"> is used as a </w:t>
      </w:r>
      <w:r w:rsidR="00C60863">
        <w:rPr>
          <w:rFonts w:ascii="Courier New" w:hAnsi="Courier New" w:cs="Courier New"/>
        </w:rPr>
        <w:lastRenderedPageBreak/>
        <w:t>private residence</w:t>
      </w:r>
      <w:r w:rsidR="003B19D6">
        <w:rPr>
          <w:rFonts w:ascii="Courier New" w:hAnsi="Courier New" w:cs="Courier New"/>
        </w:rPr>
        <w:t xml:space="preserve"> by a person</w:t>
      </w:r>
      <w:r w:rsidR="000029EF">
        <w:rPr>
          <w:rFonts w:ascii="Courier New" w:hAnsi="Courier New" w:cs="Courier New"/>
        </w:rPr>
        <w:t xml:space="preserve"> unrelated to TJMC</w:t>
      </w:r>
      <w:r w:rsidR="00C60863">
        <w:rPr>
          <w:rFonts w:ascii="Courier New" w:hAnsi="Courier New" w:cs="Courier New"/>
        </w:rPr>
        <w:t xml:space="preserve">.  </w:t>
      </w:r>
      <w:r w:rsidR="005431FA">
        <w:rPr>
          <w:rFonts w:ascii="Courier New" w:hAnsi="Courier New" w:cs="Courier New"/>
        </w:rPr>
        <w:t>The second floor is also utiliz</w:t>
      </w:r>
      <w:r w:rsidR="00397DED">
        <w:rPr>
          <w:rFonts w:ascii="Courier New" w:hAnsi="Courier New" w:cs="Courier New"/>
        </w:rPr>
        <w:t>ed</w:t>
      </w:r>
      <w:r w:rsidR="005431FA">
        <w:rPr>
          <w:rFonts w:ascii="Courier New" w:hAnsi="Courier New" w:cs="Courier New"/>
        </w:rPr>
        <w:t xml:space="preserve"> as storage space for Dr. </w:t>
      </w:r>
      <w:proofErr w:type="spellStart"/>
      <w:r w:rsidR="005431FA">
        <w:rPr>
          <w:rFonts w:ascii="Courier New" w:hAnsi="Courier New" w:cs="Courier New"/>
        </w:rPr>
        <w:t>Lastavica’s</w:t>
      </w:r>
      <w:proofErr w:type="spellEnd"/>
      <w:r w:rsidR="005431FA">
        <w:rPr>
          <w:rFonts w:ascii="Courier New" w:hAnsi="Courier New" w:cs="Courier New"/>
        </w:rPr>
        <w:t xml:space="preserve"> personal effects. </w:t>
      </w:r>
      <w:r w:rsidR="00397DED">
        <w:rPr>
          <w:rFonts w:ascii="Courier New" w:hAnsi="Courier New" w:cs="Courier New"/>
        </w:rPr>
        <w:t xml:space="preserve"> </w:t>
      </w:r>
      <w:r w:rsidR="009F695E">
        <w:rPr>
          <w:rFonts w:ascii="Courier New" w:hAnsi="Courier New" w:cs="Courier New"/>
        </w:rPr>
        <w:t>Moreover, o</w:t>
      </w:r>
      <w:r w:rsidR="00FB26F3">
        <w:rPr>
          <w:rFonts w:ascii="Courier New" w:hAnsi="Courier New" w:cs="Courier New"/>
        </w:rPr>
        <w:t xml:space="preserve">nly 1 event occurred at the Brick House during the fiscal years at issue.  </w:t>
      </w:r>
    </w:p>
    <w:p w14:paraId="373F0421" w14:textId="1E1166C1" w:rsidR="0034334F" w:rsidRDefault="005D03C7" w:rsidP="00F02E70">
      <w:pPr>
        <w:spacing w:line="480" w:lineRule="auto"/>
        <w:ind w:firstLine="720"/>
        <w:jc w:val="both"/>
        <w:rPr>
          <w:rFonts w:ascii="Courier New" w:hAnsi="Courier New" w:cs="Courier New"/>
        </w:rPr>
      </w:pPr>
      <w:r>
        <w:rPr>
          <w:rFonts w:ascii="Courier New" w:hAnsi="Courier New" w:cs="Courier New"/>
        </w:rPr>
        <w:t>With respect to the Jefferson</w:t>
      </w:r>
      <w:r w:rsidR="003F5985">
        <w:rPr>
          <w:rFonts w:ascii="Courier New" w:hAnsi="Courier New" w:cs="Courier New"/>
        </w:rPr>
        <w:t xml:space="preserve"> memorabilia</w:t>
      </w:r>
      <w:r w:rsidR="00F71BAF">
        <w:rPr>
          <w:rFonts w:ascii="Courier New" w:hAnsi="Courier New" w:cs="Courier New"/>
        </w:rPr>
        <w:t xml:space="preserve"> located at the Brick House --</w:t>
      </w:r>
      <w:r w:rsidR="006372C1">
        <w:rPr>
          <w:rFonts w:ascii="Courier New" w:hAnsi="Courier New" w:cs="Courier New"/>
        </w:rPr>
        <w:t xml:space="preserve"> period furniture and artwork</w:t>
      </w:r>
      <w:r w:rsidR="003F5985">
        <w:rPr>
          <w:rFonts w:ascii="Courier New" w:hAnsi="Courier New" w:cs="Courier New"/>
        </w:rPr>
        <w:t xml:space="preserve"> </w:t>
      </w:r>
      <w:r w:rsidR="006372C1">
        <w:rPr>
          <w:rFonts w:ascii="Courier New" w:hAnsi="Courier New" w:cs="Courier New"/>
        </w:rPr>
        <w:t xml:space="preserve">that </w:t>
      </w:r>
      <w:r w:rsidR="00F71BAF">
        <w:rPr>
          <w:rFonts w:ascii="Courier New" w:hAnsi="Courier New" w:cs="Courier New"/>
        </w:rPr>
        <w:t>were purportedly</w:t>
      </w:r>
      <w:r>
        <w:rPr>
          <w:rFonts w:ascii="Courier New" w:hAnsi="Courier New" w:cs="Courier New"/>
        </w:rPr>
        <w:t xml:space="preserve"> </w:t>
      </w:r>
      <w:r w:rsidR="003F5985">
        <w:rPr>
          <w:rFonts w:ascii="Courier New" w:hAnsi="Courier New" w:cs="Courier New"/>
        </w:rPr>
        <w:t xml:space="preserve">“on loan” to </w:t>
      </w:r>
      <w:r w:rsidR="0027697F">
        <w:rPr>
          <w:rFonts w:ascii="Courier New" w:hAnsi="Courier New" w:cs="Courier New"/>
        </w:rPr>
        <w:t xml:space="preserve">the </w:t>
      </w:r>
      <w:r w:rsidR="003F5985">
        <w:rPr>
          <w:rFonts w:ascii="Courier New" w:hAnsi="Courier New" w:cs="Courier New"/>
        </w:rPr>
        <w:t>appellant</w:t>
      </w:r>
      <w:r>
        <w:rPr>
          <w:rFonts w:ascii="Courier New" w:hAnsi="Courier New" w:cs="Courier New"/>
        </w:rPr>
        <w:t xml:space="preserve"> from Dr. </w:t>
      </w:r>
      <w:proofErr w:type="spellStart"/>
      <w:r>
        <w:rPr>
          <w:rFonts w:ascii="Courier New" w:hAnsi="Courier New" w:cs="Courier New"/>
        </w:rPr>
        <w:t>Lastavica</w:t>
      </w:r>
      <w:proofErr w:type="spellEnd"/>
      <w:r w:rsidR="00F71BAF">
        <w:rPr>
          <w:rFonts w:ascii="Courier New" w:hAnsi="Courier New" w:cs="Courier New"/>
        </w:rPr>
        <w:t xml:space="preserve"> --</w:t>
      </w:r>
      <w:r w:rsidR="003F5985">
        <w:rPr>
          <w:rFonts w:ascii="Courier New" w:hAnsi="Courier New" w:cs="Courier New"/>
        </w:rPr>
        <w:t xml:space="preserve"> </w:t>
      </w:r>
      <w:r>
        <w:rPr>
          <w:rFonts w:ascii="Courier New" w:hAnsi="Courier New" w:cs="Courier New"/>
        </w:rPr>
        <w:t xml:space="preserve">there are </w:t>
      </w:r>
      <w:r w:rsidR="003F5985">
        <w:rPr>
          <w:rFonts w:ascii="Courier New" w:hAnsi="Courier New" w:cs="Courier New"/>
        </w:rPr>
        <w:t>no documents t</w:t>
      </w:r>
      <w:r w:rsidR="00586C0A">
        <w:rPr>
          <w:rFonts w:ascii="Courier New" w:hAnsi="Courier New" w:cs="Courier New"/>
        </w:rPr>
        <w:t>o memorialize this arrangement</w:t>
      </w:r>
      <w:r w:rsidR="005431FA">
        <w:rPr>
          <w:rFonts w:ascii="Courier New" w:hAnsi="Courier New" w:cs="Courier New"/>
        </w:rPr>
        <w:t xml:space="preserve"> and no credible evidence</w:t>
      </w:r>
      <w:r w:rsidR="006372C1">
        <w:rPr>
          <w:rFonts w:ascii="Courier New" w:hAnsi="Courier New" w:cs="Courier New"/>
        </w:rPr>
        <w:t xml:space="preserve"> that the appellant, as opposed to Dr. </w:t>
      </w:r>
      <w:proofErr w:type="spellStart"/>
      <w:r w:rsidR="006372C1">
        <w:rPr>
          <w:rFonts w:ascii="Courier New" w:hAnsi="Courier New" w:cs="Courier New"/>
        </w:rPr>
        <w:t>Lastavica</w:t>
      </w:r>
      <w:proofErr w:type="spellEnd"/>
      <w:r w:rsidR="006372C1">
        <w:rPr>
          <w:rFonts w:ascii="Courier New" w:hAnsi="Courier New" w:cs="Courier New"/>
        </w:rPr>
        <w:t>, had rights to them</w:t>
      </w:r>
      <w:r w:rsidR="00586C0A">
        <w:rPr>
          <w:rFonts w:ascii="Courier New" w:hAnsi="Courier New" w:cs="Courier New"/>
        </w:rPr>
        <w:t>.</w:t>
      </w:r>
      <w:r w:rsidR="0034334F">
        <w:rPr>
          <w:rFonts w:ascii="Courier New" w:hAnsi="Courier New" w:cs="Courier New"/>
        </w:rPr>
        <w:t xml:space="preserve">  </w:t>
      </w:r>
      <w:r w:rsidR="00F02E70">
        <w:rPr>
          <w:rFonts w:ascii="Courier New" w:hAnsi="Courier New" w:cs="Courier New"/>
        </w:rPr>
        <w:t xml:space="preserve">Further, TJMC failed to demonstrate </w:t>
      </w:r>
      <w:r w:rsidR="00F71BAF">
        <w:rPr>
          <w:rFonts w:ascii="Courier New" w:hAnsi="Courier New" w:cs="Courier New"/>
        </w:rPr>
        <w:t>that it engaged in historic</w:t>
      </w:r>
      <w:r w:rsidR="00F02E70">
        <w:rPr>
          <w:rFonts w:ascii="Courier New" w:hAnsi="Courier New" w:cs="Courier New"/>
        </w:rPr>
        <w:t xml:space="preserve"> preservation given that </w:t>
      </w:r>
      <w:r w:rsidR="00F71BAF">
        <w:rPr>
          <w:rFonts w:ascii="Courier New" w:hAnsi="Courier New" w:cs="Courier New"/>
        </w:rPr>
        <w:t xml:space="preserve">it failed to show that </w:t>
      </w:r>
      <w:r w:rsidR="00F02E70">
        <w:rPr>
          <w:rFonts w:ascii="Courier New" w:hAnsi="Courier New" w:cs="Courier New"/>
        </w:rPr>
        <w:t xml:space="preserve">the Brick House </w:t>
      </w:r>
      <w:r w:rsidR="00F71BAF">
        <w:rPr>
          <w:rFonts w:ascii="Courier New" w:hAnsi="Courier New" w:cs="Courier New"/>
        </w:rPr>
        <w:t>had any</w:t>
      </w:r>
      <w:r w:rsidR="00F02E70">
        <w:rPr>
          <w:rFonts w:ascii="Courier New" w:hAnsi="Courier New" w:cs="Courier New"/>
        </w:rPr>
        <w:t xml:space="preserve"> historic significance</w:t>
      </w:r>
      <w:r w:rsidR="00B62AFA">
        <w:rPr>
          <w:rFonts w:ascii="Courier New" w:hAnsi="Courier New" w:cs="Courier New"/>
        </w:rPr>
        <w:t xml:space="preserve">.  The Brick House was constructed in 1968 to serve as Dr. </w:t>
      </w:r>
      <w:proofErr w:type="spellStart"/>
      <w:r w:rsidR="00B62AFA">
        <w:rPr>
          <w:rFonts w:ascii="Courier New" w:hAnsi="Courier New" w:cs="Courier New"/>
        </w:rPr>
        <w:t>Lastavica’s</w:t>
      </w:r>
      <w:proofErr w:type="spellEnd"/>
      <w:r w:rsidR="00B62AFA">
        <w:rPr>
          <w:rFonts w:ascii="Courier New" w:hAnsi="Courier New" w:cs="Courier New"/>
        </w:rPr>
        <w:t xml:space="preserve"> personal residence and has a modern interior</w:t>
      </w:r>
      <w:r w:rsidR="00F02E70">
        <w:rPr>
          <w:rFonts w:ascii="Courier New" w:hAnsi="Courier New" w:cs="Courier New"/>
        </w:rPr>
        <w:t xml:space="preserve">; it </w:t>
      </w:r>
      <w:r w:rsidR="00B62AFA">
        <w:rPr>
          <w:rFonts w:ascii="Courier New" w:hAnsi="Courier New" w:cs="Courier New"/>
        </w:rPr>
        <w:t xml:space="preserve">is </w:t>
      </w:r>
      <w:r w:rsidR="00552033">
        <w:rPr>
          <w:rFonts w:ascii="Courier New" w:hAnsi="Courier New" w:cs="Courier New"/>
        </w:rPr>
        <w:t>neither</w:t>
      </w:r>
      <w:r w:rsidR="00F71BAF">
        <w:rPr>
          <w:rFonts w:ascii="Courier New" w:hAnsi="Courier New" w:cs="Courier New"/>
        </w:rPr>
        <w:t xml:space="preserve"> </w:t>
      </w:r>
      <w:r w:rsidR="00B62AFA">
        <w:rPr>
          <w:rFonts w:ascii="Courier New" w:hAnsi="Courier New" w:cs="Courier New"/>
        </w:rPr>
        <w:t xml:space="preserve">a </w:t>
      </w:r>
      <w:r w:rsidR="00067169">
        <w:rPr>
          <w:rFonts w:ascii="Courier New" w:hAnsi="Courier New" w:cs="Courier New"/>
        </w:rPr>
        <w:t>replica of</w:t>
      </w:r>
      <w:r w:rsidR="00F02E70">
        <w:rPr>
          <w:rFonts w:ascii="Courier New" w:hAnsi="Courier New" w:cs="Courier New"/>
        </w:rPr>
        <w:t xml:space="preserve"> </w:t>
      </w:r>
      <w:r w:rsidR="00B62AFA">
        <w:rPr>
          <w:rFonts w:ascii="Courier New" w:hAnsi="Courier New" w:cs="Courier New"/>
        </w:rPr>
        <w:t xml:space="preserve">Jefferson’s </w:t>
      </w:r>
      <w:r w:rsidR="00552033">
        <w:rPr>
          <w:rFonts w:ascii="Courier New" w:hAnsi="Courier New" w:cs="Courier New"/>
        </w:rPr>
        <w:t>home</w:t>
      </w:r>
      <w:r w:rsidR="00F02E70">
        <w:rPr>
          <w:rFonts w:ascii="Courier New" w:hAnsi="Courier New" w:cs="Courier New"/>
        </w:rPr>
        <w:t xml:space="preserve"> nor is it even registered as a historic building.  </w:t>
      </w:r>
      <w:r w:rsidR="0034334F">
        <w:rPr>
          <w:rFonts w:ascii="Courier New" w:hAnsi="Courier New" w:cs="Courier New"/>
        </w:rPr>
        <w:t xml:space="preserve">Accordingly, the Board found that </w:t>
      </w:r>
      <w:r w:rsidR="002B420E">
        <w:rPr>
          <w:rFonts w:ascii="Courier New" w:hAnsi="Courier New" w:cs="Courier New"/>
        </w:rPr>
        <w:t xml:space="preserve">the Brick House did not further the appellant’s charitable purpose of educating the public on the life and times of Thomas Jefferson; rather, </w:t>
      </w:r>
      <w:r w:rsidR="0034334F">
        <w:rPr>
          <w:rFonts w:ascii="Courier New" w:hAnsi="Courier New" w:cs="Courier New"/>
        </w:rPr>
        <w:t>the Brick House is essentially private property</w:t>
      </w:r>
      <w:r w:rsidR="0027697F">
        <w:rPr>
          <w:rFonts w:ascii="Courier New" w:hAnsi="Courier New" w:cs="Courier New"/>
        </w:rPr>
        <w:t xml:space="preserve"> with limited historic</w:t>
      </w:r>
      <w:r w:rsidR="00F02E70">
        <w:rPr>
          <w:rFonts w:ascii="Courier New" w:hAnsi="Courier New" w:cs="Courier New"/>
        </w:rPr>
        <w:t xml:space="preserve"> significance, to which a small</w:t>
      </w:r>
      <w:r w:rsidR="0034334F">
        <w:rPr>
          <w:rFonts w:ascii="Courier New" w:hAnsi="Courier New" w:cs="Courier New"/>
        </w:rPr>
        <w:t xml:space="preserve"> number of people are invited to enter on a sporadic basis.  </w:t>
      </w:r>
    </w:p>
    <w:p w14:paraId="6BE754D1" w14:textId="31AC927E" w:rsidR="0034334F" w:rsidRDefault="0034334F" w:rsidP="0034334F">
      <w:pPr>
        <w:spacing w:line="480" w:lineRule="auto"/>
        <w:ind w:firstLine="720"/>
        <w:jc w:val="both"/>
        <w:rPr>
          <w:rFonts w:ascii="Courier New" w:hAnsi="Courier New" w:cs="Courier New"/>
        </w:rPr>
      </w:pPr>
      <w:r>
        <w:rPr>
          <w:rFonts w:ascii="Courier New" w:hAnsi="Courier New" w:cs="Courier New"/>
        </w:rPr>
        <w:t>Re</w:t>
      </w:r>
      <w:r w:rsidR="000C0E1C">
        <w:rPr>
          <w:rFonts w:ascii="Courier New" w:hAnsi="Courier New" w:cs="Courier New"/>
        </w:rPr>
        <w:t>garding the Conference Center, a</w:t>
      </w:r>
      <w:r w:rsidR="00F02E70">
        <w:rPr>
          <w:rFonts w:ascii="Courier New" w:hAnsi="Courier New" w:cs="Courier New"/>
        </w:rPr>
        <w:t>s recognized</w:t>
      </w:r>
      <w:r w:rsidR="000C0E1C">
        <w:rPr>
          <w:rFonts w:ascii="Courier New" w:hAnsi="Courier New" w:cs="Courier New"/>
        </w:rPr>
        <w:t xml:space="preserve"> by Ms.</w:t>
      </w:r>
      <w:r w:rsidR="00416C7A">
        <w:rPr>
          <w:rFonts w:ascii="Courier New" w:hAnsi="Courier New" w:cs="Courier New"/>
        </w:rPr>
        <w:t> </w:t>
      </w:r>
      <w:r w:rsidR="000C0E1C">
        <w:rPr>
          <w:rFonts w:ascii="Courier New" w:hAnsi="Courier New" w:cs="Courier New"/>
        </w:rPr>
        <w:t>Mulholland, its programming</w:t>
      </w:r>
      <w:r w:rsidR="00F02E70">
        <w:rPr>
          <w:rFonts w:ascii="Courier New" w:hAnsi="Courier New" w:cs="Courier New"/>
        </w:rPr>
        <w:t xml:space="preserve"> was extremely </w:t>
      </w:r>
      <w:r>
        <w:rPr>
          <w:rFonts w:ascii="Courier New" w:hAnsi="Courier New" w:cs="Courier New"/>
        </w:rPr>
        <w:t>limited</w:t>
      </w:r>
      <w:r w:rsidR="00F71BAF">
        <w:rPr>
          <w:rFonts w:ascii="Courier New" w:hAnsi="Courier New" w:cs="Courier New"/>
        </w:rPr>
        <w:t xml:space="preserve">.  There were </w:t>
      </w:r>
      <w:r w:rsidR="0027697F">
        <w:rPr>
          <w:rFonts w:ascii="Courier New" w:hAnsi="Courier New" w:cs="Courier New"/>
        </w:rPr>
        <w:t>just 12 events held</w:t>
      </w:r>
      <w:r w:rsidR="00F02E70">
        <w:rPr>
          <w:rFonts w:ascii="Courier New" w:hAnsi="Courier New" w:cs="Courier New"/>
        </w:rPr>
        <w:t xml:space="preserve"> between July 1, 2013 and June 30, 2015, </w:t>
      </w:r>
      <w:r w:rsidR="00F71BAF">
        <w:rPr>
          <w:rFonts w:ascii="Courier New" w:hAnsi="Courier New" w:cs="Courier New"/>
        </w:rPr>
        <w:lastRenderedPageBreak/>
        <w:t xml:space="preserve">and </w:t>
      </w:r>
      <w:r w:rsidR="00F02E70">
        <w:rPr>
          <w:rFonts w:ascii="Courier New" w:hAnsi="Courier New" w:cs="Courier New"/>
        </w:rPr>
        <w:t xml:space="preserve">only 6 of those events </w:t>
      </w:r>
      <w:r w:rsidR="00F71BAF">
        <w:rPr>
          <w:rFonts w:ascii="Courier New" w:hAnsi="Courier New" w:cs="Courier New"/>
        </w:rPr>
        <w:t>were</w:t>
      </w:r>
      <w:r w:rsidR="00F02E70">
        <w:rPr>
          <w:rFonts w:ascii="Courier New" w:hAnsi="Courier New" w:cs="Courier New"/>
        </w:rPr>
        <w:t xml:space="preserve"> sponsored by TJMC</w:t>
      </w:r>
      <w:r w:rsidR="00F71BAF">
        <w:rPr>
          <w:rFonts w:ascii="Courier New" w:hAnsi="Courier New" w:cs="Courier New"/>
        </w:rPr>
        <w:t xml:space="preserve">; the remainder were conducted by third parties in exchange for a rental fee.  </w:t>
      </w:r>
      <w:r w:rsidR="00F02E70">
        <w:rPr>
          <w:rFonts w:ascii="Courier New" w:hAnsi="Courier New" w:cs="Courier New"/>
        </w:rPr>
        <w:t xml:space="preserve">Furthermore, the events were available only </w:t>
      </w:r>
      <w:r>
        <w:rPr>
          <w:rFonts w:ascii="Courier New" w:hAnsi="Courier New" w:cs="Courier New"/>
        </w:rPr>
        <w:t xml:space="preserve">to a small </w:t>
      </w:r>
      <w:r w:rsidR="00F71BAF">
        <w:rPr>
          <w:rFonts w:ascii="Courier New" w:hAnsi="Courier New" w:cs="Courier New"/>
        </w:rPr>
        <w:t>sector</w:t>
      </w:r>
      <w:r>
        <w:rPr>
          <w:rFonts w:ascii="Courier New" w:hAnsi="Courier New" w:cs="Courier New"/>
        </w:rPr>
        <w:t xml:space="preserve"> of the public</w:t>
      </w:r>
      <w:r w:rsidR="00DB6DB7">
        <w:rPr>
          <w:rFonts w:ascii="Courier New" w:hAnsi="Courier New" w:cs="Courier New"/>
        </w:rPr>
        <w:t xml:space="preserve"> and </w:t>
      </w:r>
      <w:r w:rsidR="00587CE3">
        <w:rPr>
          <w:rFonts w:ascii="Courier New" w:hAnsi="Courier New" w:cs="Courier New"/>
        </w:rPr>
        <w:t>many events had no connection to</w:t>
      </w:r>
      <w:r w:rsidR="00DB6DB7">
        <w:rPr>
          <w:rFonts w:ascii="Courier New" w:hAnsi="Courier New" w:cs="Courier New"/>
        </w:rPr>
        <w:t xml:space="preserve"> TJMC’s stated charitable goals of promoting history, education or the arts</w:t>
      </w:r>
      <w:r w:rsidR="00587CE3">
        <w:rPr>
          <w:rFonts w:ascii="Courier New" w:hAnsi="Courier New" w:cs="Courier New"/>
        </w:rPr>
        <w:t>.</w:t>
      </w:r>
      <w:r w:rsidR="00587CE3">
        <w:rPr>
          <w:rStyle w:val="FootnoteReference"/>
          <w:rFonts w:ascii="Courier New" w:hAnsi="Courier New" w:cs="Courier New"/>
        </w:rPr>
        <w:footnoteReference w:id="7"/>
      </w:r>
      <w:r>
        <w:rPr>
          <w:rFonts w:ascii="Courier New" w:hAnsi="Courier New" w:cs="Courier New"/>
        </w:rPr>
        <w:t xml:space="preserve">  </w:t>
      </w:r>
      <w:r w:rsidR="00587CE3">
        <w:rPr>
          <w:rFonts w:ascii="Courier New" w:hAnsi="Courier New" w:cs="Courier New"/>
        </w:rPr>
        <w:t>On the basis of t</w:t>
      </w:r>
      <w:r w:rsidR="00F02E70">
        <w:rPr>
          <w:rFonts w:ascii="Courier New" w:hAnsi="Courier New" w:cs="Courier New"/>
        </w:rPr>
        <w:t>he Conference Center’s limited use and availability</w:t>
      </w:r>
      <w:r w:rsidR="00587CE3">
        <w:rPr>
          <w:rFonts w:ascii="Courier New" w:hAnsi="Courier New" w:cs="Courier New"/>
        </w:rPr>
        <w:t xml:space="preserve"> for charitable purposes</w:t>
      </w:r>
      <w:r w:rsidR="009D4743">
        <w:rPr>
          <w:rFonts w:ascii="Courier New" w:hAnsi="Courier New" w:cs="Courier New"/>
        </w:rPr>
        <w:t xml:space="preserve"> </w:t>
      </w:r>
      <w:r w:rsidR="0081059F">
        <w:rPr>
          <w:rFonts w:ascii="Courier New" w:hAnsi="Courier New" w:cs="Courier New"/>
        </w:rPr>
        <w:t xml:space="preserve">and </w:t>
      </w:r>
      <w:r w:rsidR="00587CE3">
        <w:rPr>
          <w:rFonts w:ascii="Courier New" w:hAnsi="Courier New" w:cs="Courier New"/>
        </w:rPr>
        <w:t xml:space="preserve">its use </w:t>
      </w:r>
      <w:r w:rsidR="000C0E1C">
        <w:rPr>
          <w:rFonts w:ascii="Courier New" w:hAnsi="Courier New" w:cs="Courier New"/>
        </w:rPr>
        <w:t xml:space="preserve">in part to store Dr. </w:t>
      </w:r>
      <w:proofErr w:type="spellStart"/>
      <w:r w:rsidR="000C0E1C">
        <w:rPr>
          <w:rFonts w:ascii="Courier New" w:hAnsi="Courier New" w:cs="Courier New"/>
        </w:rPr>
        <w:t>Lastavica’s</w:t>
      </w:r>
      <w:proofErr w:type="spellEnd"/>
      <w:r w:rsidR="000C0E1C">
        <w:rPr>
          <w:rFonts w:ascii="Courier New" w:hAnsi="Courier New" w:cs="Courier New"/>
        </w:rPr>
        <w:t xml:space="preserve"> personal </w:t>
      </w:r>
      <w:r w:rsidR="00587CE3">
        <w:rPr>
          <w:rFonts w:ascii="Courier New" w:hAnsi="Courier New" w:cs="Courier New"/>
        </w:rPr>
        <w:t>property</w:t>
      </w:r>
      <w:r w:rsidR="00C14A14">
        <w:rPr>
          <w:rFonts w:ascii="Courier New" w:hAnsi="Courier New" w:cs="Courier New"/>
        </w:rPr>
        <w:t xml:space="preserve">, </w:t>
      </w:r>
      <w:r w:rsidR="00587CE3">
        <w:rPr>
          <w:rFonts w:ascii="Courier New" w:hAnsi="Courier New" w:cs="Courier New"/>
        </w:rPr>
        <w:t xml:space="preserve">the Board found and ruled that the dominant use of the Conference </w:t>
      </w:r>
      <w:r w:rsidR="0009229E">
        <w:rPr>
          <w:rFonts w:ascii="Courier New" w:hAnsi="Courier New" w:cs="Courier New"/>
        </w:rPr>
        <w:t xml:space="preserve">Center was not </w:t>
      </w:r>
      <w:r w:rsidR="00F02E70">
        <w:rPr>
          <w:rFonts w:ascii="Courier New" w:hAnsi="Courier New" w:cs="Courier New"/>
        </w:rPr>
        <w:t>for charitable purposes</w:t>
      </w:r>
      <w:r w:rsidR="009D4743">
        <w:rPr>
          <w:rFonts w:ascii="Courier New" w:hAnsi="Courier New" w:cs="Courier New"/>
        </w:rPr>
        <w:t>.</w:t>
      </w:r>
    </w:p>
    <w:p w14:paraId="00C5F832" w14:textId="6E1597F6" w:rsidR="00B56C3C" w:rsidRDefault="0009229E" w:rsidP="00C10512">
      <w:pPr>
        <w:spacing w:line="480" w:lineRule="auto"/>
        <w:ind w:firstLine="720"/>
        <w:jc w:val="both"/>
        <w:rPr>
          <w:rFonts w:ascii="Courier New" w:hAnsi="Courier New" w:cs="Courier New"/>
        </w:rPr>
      </w:pPr>
      <w:r>
        <w:rPr>
          <w:rFonts w:ascii="Courier New" w:hAnsi="Courier New" w:cs="Courier New"/>
        </w:rPr>
        <w:t>With respect to the appellant’s argument that it engaged in conservation activities as the subject property, t</w:t>
      </w:r>
      <w:r w:rsidR="00670E86">
        <w:rPr>
          <w:rFonts w:ascii="Courier New" w:hAnsi="Courier New" w:cs="Courier New"/>
        </w:rPr>
        <w:t xml:space="preserve">he Board noted </w:t>
      </w:r>
      <w:r w:rsidR="00DB6DB7">
        <w:rPr>
          <w:rFonts w:ascii="Courier New" w:hAnsi="Courier New" w:cs="Courier New"/>
        </w:rPr>
        <w:t xml:space="preserve">several </w:t>
      </w:r>
      <w:r w:rsidR="00670E86">
        <w:rPr>
          <w:rFonts w:ascii="Courier New" w:hAnsi="Courier New" w:cs="Courier New"/>
        </w:rPr>
        <w:t>flaws</w:t>
      </w:r>
      <w:r>
        <w:rPr>
          <w:rFonts w:ascii="Courier New" w:hAnsi="Courier New" w:cs="Courier New"/>
        </w:rPr>
        <w:t>.</w:t>
      </w:r>
      <w:r w:rsidR="00B8430D">
        <w:rPr>
          <w:rFonts w:ascii="Courier New" w:hAnsi="Courier New" w:cs="Courier New"/>
        </w:rPr>
        <w:t xml:space="preserve"> </w:t>
      </w:r>
      <w:r w:rsidR="00C14A14">
        <w:rPr>
          <w:rFonts w:ascii="Courier New" w:hAnsi="Courier New" w:cs="Courier New"/>
        </w:rPr>
        <w:t xml:space="preserve"> </w:t>
      </w:r>
      <w:r w:rsidR="00F02E70">
        <w:rPr>
          <w:rFonts w:ascii="Courier New" w:hAnsi="Courier New" w:cs="Courier New"/>
        </w:rPr>
        <w:t>First</w:t>
      </w:r>
      <w:r w:rsidR="002966DF">
        <w:rPr>
          <w:rFonts w:ascii="Courier New" w:hAnsi="Courier New" w:cs="Courier New"/>
        </w:rPr>
        <w:t>, the Articles of Organization of TJMC make no mention whatsoever of any conservation purposes, nor have they been amended to include conservation as a corporate purpose.  Similarly, none of TJMC’s Returns of Private Foundation for calendar years 2012, 2013 or 2014, or its Applications for Statutory Exemption</w:t>
      </w:r>
      <w:r w:rsidR="00E72445">
        <w:rPr>
          <w:rFonts w:ascii="Courier New" w:hAnsi="Courier New" w:cs="Courier New"/>
        </w:rPr>
        <w:t xml:space="preserve"> for fiscal year 2014,</w:t>
      </w:r>
      <w:r w:rsidR="002966DF">
        <w:rPr>
          <w:rFonts w:ascii="Courier New" w:hAnsi="Courier New" w:cs="Courier New"/>
        </w:rPr>
        <w:t xml:space="preserve"> make any mention of conservation purposes</w:t>
      </w:r>
      <w:r>
        <w:rPr>
          <w:rFonts w:ascii="Courier New" w:hAnsi="Courier New" w:cs="Courier New"/>
        </w:rPr>
        <w:t>.</w:t>
      </w:r>
      <w:r w:rsidR="002966DF">
        <w:rPr>
          <w:rFonts w:ascii="Courier New" w:hAnsi="Courier New" w:cs="Courier New"/>
        </w:rPr>
        <w:t xml:space="preserve">  Moreover, w</w:t>
      </w:r>
      <w:r w:rsidR="007055F8">
        <w:rPr>
          <w:rFonts w:ascii="Courier New" w:hAnsi="Courier New" w:cs="Courier New"/>
        </w:rPr>
        <w:t xml:space="preserve">hile the revised mission statement </w:t>
      </w:r>
      <w:r w:rsidR="002966DF">
        <w:rPr>
          <w:rFonts w:ascii="Courier New" w:hAnsi="Courier New" w:cs="Courier New"/>
        </w:rPr>
        <w:t xml:space="preserve">does </w:t>
      </w:r>
      <w:r>
        <w:rPr>
          <w:rFonts w:ascii="Courier New" w:hAnsi="Courier New" w:cs="Courier New"/>
        </w:rPr>
        <w:t xml:space="preserve">make </w:t>
      </w:r>
      <w:r w:rsidR="00670E86">
        <w:rPr>
          <w:rFonts w:ascii="Courier New" w:hAnsi="Courier New" w:cs="Courier New"/>
        </w:rPr>
        <w:t>a nondescript</w:t>
      </w:r>
      <w:r w:rsidR="007055F8">
        <w:rPr>
          <w:rFonts w:ascii="Courier New" w:hAnsi="Courier New" w:cs="Courier New"/>
        </w:rPr>
        <w:t xml:space="preserve"> </w:t>
      </w:r>
      <w:r>
        <w:rPr>
          <w:rFonts w:ascii="Courier New" w:hAnsi="Courier New" w:cs="Courier New"/>
        </w:rPr>
        <w:t xml:space="preserve">reference </w:t>
      </w:r>
      <w:r w:rsidR="007055F8">
        <w:rPr>
          <w:rFonts w:ascii="Courier New" w:hAnsi="Courier New" w:cs="Courier New"/>
        </w:rPr>
        <w:t xml:space="preserve">to conservation and </w:t>
      </w:r>
      <w:r>
        <w:rPr>
          <w:rFonts w:ascii="Courier New" w:hAnsi="Courier New" w:cs="Courier New"/>
        </w:rPr>
        <w:t xml:space="preserve">historic </w:t>
      </w:r>
      <w:r w:rsidR="007055F8">
        <w:rPr>
          <w:rFonts w:ascii="Courier New" w:hAnsi="Courier New" w:cs="Courier New"/>
        </w:rPr>
        <w:t xml:space="preserve">preservation, TJMC nonetheless </w:t>
      </w:r>
      <w:r>
        <w:rPr>
          <w:rFonts w:ascii="Courier New" w:hAnsi="Courier New" w:cs="Courier New"/>
        </w:rPr>
        <w:t>failed to demonstrate</w:t>
      </w:r>
      <w:r w:rsidR="007055F8">
        <w:rPr>
          <w:rFonts w:ascii="Courier New" w:hAnsi="Courier New" w:cs="Courier New"/>
        </w:rPr>
        <w:t xml:space="preserve"> </w:t>
      </w:r>
      <w:r>
        <w:rPr>
          <w:rFonts w:ascii="Courier New" w:hAnsi="Courier New" w:cs="Courier New"/>
        </w:rPr>
        <w:t xml:space="preserve">any </w:t>
      </w:r>
      <w:r w:rsidR="00670E86">
        <w:rPr>
          <w:rFonts w:ascii="Courier New" w:hAnsi="Courier New" w:cs="Courier New"/>
        </w:rPr>
        <w:t>specific</w:t>
      </w:r>
      <w:r w:rsidR="00351A13">
        <w:rPr>
          <w:rFonts w:ascii="Courier New" w:hAnsi="Courier New" w:cs="Courier New"/>
        </w:rPr>
        <w:t xml:space="preserve"> conservation activities </w:t>
      </w:r>
      <w:r w:rsidR="007055F8">
        <w:rPr>
          <w:rFonts w:ascii="Courier New" w:hAnsi="Courier New" w:cs="Courier New"/>
        </w:rPr>
        <w:t>that took</w:t>
      </w:r>
      <w:r w:rsidR="00351A13">
        <w:rPr>
          <w:rFonts w:ascii="Courier New" w:hAnsi="Courier New" w:cs="Courier New"/>
        </w:rPr>
        <w:t xml:space="preserve"> </w:t>
      </w:r>
      <w:r w:rsidR="00351A13">
        <w:rPr>
          <w:rFonts w:ascii="Courier New" w:hAnsi="Courier New" w:cs="Courier New"/>
        </w:rPr>
        <w:lastRenderedPageBreak/>
        <w:t xml:space="preserve">place on </w:t>
      </w:r>
      <w:r w:rsidR="007055F8">
        <w:rPr>
          <w:rFonts w:ascii="Courier New" w:hAnsi="Courier New" w:cs="Courier New"/>
        </w:rPr>
        <w:t>the subject properties</w:t>
      </w:r>
      <w:r w:rsidR="00AD7688">
        <w:rPr>
          <w:rFonts w:ascii="Courier New" w:hAnsi="Courier New" w:cs="Courier New"/>
        </w:rPr>
        <w:t xml:space="preserve">, such as active trail maintenance or </w:t>
      </w:r>
      <w:r>
        <w:rPr>
          <w:rFonts w:ascii="Courier New" w:hAnsi="Courier New" w:cs="Courier New"/>
        </w:rPr>
        <w:t>wildlife preservation</w:t>
      </w:r>
      <w:r w:rsidR="00AD7688">
        <w:rPr>
          <w:rFonts w:ascii="Courier New" w:hAnsi="Courier New" w:cs="Courier New"/>
        </w:rPr>
        <w:t xml:space="preserve">.  The Board found that </w:t>
      </w:r>
      <w:r>
        <w:rPr>
          <w:rFonts w:ascii="Courier New" w:hAnsi="Courier New" w:cs="Courier New"/>
        </w:rPr>
        <w:t>mere compliance with</w:t>
      </w:r>
      <w:r w:rsidR="00AD7688">
        <w:rPr>
          <w:rFonts w:ascii="Courier New" w:hAnsi="Courier New" w:cs="Courier New"/>
        </w:rPr>
        <w:t xml:space="preserve"> conservation restrictions, which </w:t>
      </w:r>
      <w:r w:rsidR="00FD1D78">
        <w:rPr>
          <w:rFonts w:ascii="Courier New" w:hAnsi="Courier New" w:cs="Courier New"/>
        </w:rPr>
        <w:t>were in effect before TJMC took title to the subject properties</w:t>
      </w:r>
      <w:r w:rsidR="00AD7688">
        <w:rPr>
          <w:rFonts w:ascii="Courier New" w:hAnsi="Courier New" w:cs="Courier New"/>
        </w:rPr>
        <w:t>, was not an active appropriat</w:t>
      </w:r>
      <w:r w:rsidR="00FD1D78">
        <w:rPr>
          <w:rFonts w:ascii="Courier New" w:hAnsi="Courier New" w:cs="Courier New"/>
        </w:rPr>
        <w:t xml:space="preserve">ion of </w:t>
      </w:r>
      <w:r>
        <w:rPr>
          <w:rFonts w:ascii="Courier New" w:hAnsi="Courier New" w:cs="Courier New"/>
        </w:rPr>
        <w:t>the subject properties for conservation purposes</w:t>
      </w:r>
      <w:r w:rsidR="00545AF3">
        <w:rPr>
          <w:rFonts w:ascii="Courier New" w:hAnsi="Courier New" w:cs="Courier New"/>
        </w:rPr>
        <w:t>, but</w:t>
      </w:r>
      <w:r w:rsidR="00AD7688">
        <w:rPr>
          <w:rFonts w:ascii="Courier New" w:hAnsi="Courier New" w:cs="Courier New"/>
        </w:rPr>
        <w:t xml:space="preserve"> instead more akin to maintaining the </w:t>
      </w:r>
      <w:r w:rsidR="0027697F">
        <w:rPr>
          <w:rFonts w:ascii="Courier New" w:hAnsi="Courier New" w:cs="Courier New"/>
        </w:rPr>
        <w:t>subject properties</w:t>
      </w:r>
      <w:r w:rsidR="00AD7688">
        <w:rPr>
          <w:rFonts w:ascii="Courier New" w:hAnsi="Courier New" w:cs="Courier New"/>
        </w:rPr>
        <w:t xml:space="preserve"> as a buffer zone around </w:t>
      </w:r>
      <w:r w:rsidR="00FD1D78">
        <w:rPr>
          <w:rFonts w:ascii="Courier New" w:hAnsi="Courier New" w:cs="Courier New"/>
        </w:rPr>
        <w:t xml:space="preserve">Dr. </w:t>
      </w:r>
      <w:proofErr w:type="spellStart"/>
      <w:r w:rsidR="00FD1D78">
        <w:rPr>
          <w:rFonts w:ascii="Courier New" w:hAnsi="Courier New" w:cs="Courier New"/>
        </w:rPr>
        <w:t>Lastavica’s</w:t>
      </w:r>
      <w:proofErr w:type="spellEnd"/>
      <w:r w:rsidR="00FD1D78">
        <w:rPr>
          <w:rFonts w:ascii="Courier New" w:hAnsi="Courier New" w:cs="Courier New"/>
        </w:rPr>
        <w:t xml:space="preserve"> </w:t>
      </w:r>
      <w:r w:rsidR="00AD7688">
        <w:rPr>
          <w:rFonts w:ascii="Courier New" w:hAnsi="Courier New" w:cs="Courier New"/>
        </w:rPr>
        <w:t xml:space="preserve">private property.  </w:t>
      </w:r>
      <w:r w:rsidR="00D05C5B">
        <w:rPr>
          <w:rFonts w:ascii="Courier New" w:hAnsi="Courier New" w:cs="Courier New"/>
        </w:rPr>
        <w:t>Also, w</w:t>
      </w:r>
      <w:r w:rsidR="00994A06">
        <w:rPr>
          <w:rFonts w:ascii="Courier New" w:hAnsi="Courier New" w:cs="Courier New"/>
        </w:rPr>
        <w:t>hile the watershed restoration was an ac</w:t>
      </w:r>
      <w:r w:rsidR="00871D07">
        <w:rPr>
          <w:rFonts w:ascii="Courier New" w:hAnsi="Courier New" w:cs="Courier New"/>
        </w:rPr>
        <w:t>tive use of the subject properties</w:t>
      </w:r>
      <w:r w:rsidR="00994A06">
        <w:rPr>
          <w:rFonts w:ascii="Courier New" w:hAnsi="Courier New" w:cs="Courier New"/>
        </w:rPr>
        <w:t>, t</w:t>
      </w:r>
      <w:r w:rsidR="009D4743">
        <w:rPr>
          <w:rFonts w:ascii="Courier New" w:hAnsi="Courier New" w:cs="Courier New"/>
        </w:rPr>
        <w:t xml:space="preserve">he undisputed facts </w:t>
      </w:r>
      <w:r w:rsidR="00871D07">
        <w:rPr>
          <w:rFonts w:ascii="Courier New" w:hAnsi="Courier New" w:cs="Courier New"/>
        </w:rPr>
        <w:t>establish that this</w:t>
      </w:r>
      <w:r w:rsidR="00994A06">
        <w:rPr>
          <w:rFonts w:ascii="Courier New" w:hAnsi="Courier New" w:cs="Courier New"/>
        </w:rPr>
        <w:t xml:space="preserve"> work was performed prior to TJMC’s ownership of the subject properties, </w:t>
      </w:r>
      <w:r w:rsidR="0081059F">
        <w:rPr>
          <w:rFonts w:ascii="Courier New" w:hAnsi="Courier New" w:cs="Courier New"/>
        </w:rPr>
        <w:t xml:space="preserve">not paid for by TJMC, </w:t>
      </w:r>
      <w:r w:rsidR="000B7C9B">
        <w:rPr>
          <w:rFonts w:ascii="Courier New" w:hAnsi="Courier New" w:cs="Courier New"/>
        </w:rPr>
        <w:t xml:space="preserve">and therefore it cannot add </w:t>
      </w:r>
      <w:r w:rsidR="00100875">
        <w:rPr>
          <w:rFonts w:ascii="Courier New" w:hAnsi="Courier New" w:cs="Courier New"/>
        </w:rPr>
        <w:t>to TJMC’s claim for</w:t>
      </w:r>
      <w:r w:rsidR="00B56C3C">
        <w:rPr>
          <w:rFonts w:ascii="Courier New" w:hAnsi="Courier New" w:cs="Courier New"/>
        </w:rPr>
        <w:t xml:space="preserve"> </w:t>
      </w:r>
      <w:r w:rsidR="00994A06">
        <w:rPr>
          <w:rFonts w:ascii="Courier New" w:hAnsi="Courier New" w:cs="Courier New"/>
        </w:rPr>
        <w:t>charitable exemption.</w:t>
      </w:r>
      <w:r w:rsidR="0049193F">
        <w:rPr>
          <w:rFonts w:ascii="Courier New" w:hAnsi="Courier New" w:cs="Courier New"/>
        </w:rPr>
        <w:t xml:space="preserve">  </w:t>
      </w:r>
    </w:p>
    <w:p w14:paraId="01D0A501" w14:textId="14BBD990" w:rsidR="00DA5911" w:rsidRDefault="00670E86" w:rsidP="0041110A">
      <w:pPr>
        <w:spacing w:line="480" w:lineRule="auto"/>
        <w:ind w:firstLine="720"/>
        <w:jc w:val="both"/>
        <w:rPr>
          <w:rFonts w:ascii="Courier New" w:hAnsi="Courier New" w:cs="Courier New"/>
        </w:rPr>
      </w:pPr>
      <w:r>
        <w:rPr>
          <w:rFonts w:ascii="Courier New" w:hAnsi="Courier New" w:cs="Courier New"/>
        </w:rPr>
        <w:t>On the basis of the Board’s findings, the Board found and ruled that TJMC did not meet its burden of proving that the subject properties were entitled to an exemption for charitable or conservation purposes.  Accordingly, the Board issued a decision for the appellee in the appeal for fiscal year 2015.</w:t>
      </w:r>
    </w:p>
    <w:p w14:paraId="06F58A7B" w14:textId="67F1AB5E" w:rsidR="00416C7A" w:rsidRDefault="00416C7A">
      <w:pPr>
        <w:rPr>
          <w:rFonts w:ascii="Courier New" w:hAnsi="Courier New" w:cs="Courier New"/>
        </w:rPr>
      </w:pPr>
      <w:r>
        <w:rPr>
          <w:rFonts w:ascii="Courier New" w:hAnsi="Courier New" w:cs="Courier New"/>
        </w:rPr>
        <w:br w:type="page"/>
      </w:r>
    </w:p>
    <w:p w14:paraId="60D97ABA" w14:textId="12462351" w:rsidR="007F59FD" w:rsidRPr="007F59FD" w:rsidRDefault="007F59FD" w:rsidP="007F59FD">
      <w:pPr>
        <w:pStyle w:val="BodyText"/>
        <w:jc w:val="center"/>
        <w:rPr>
          <w:rFonts w:ascii="Courier New" w:hAnsi="Courier New" w:cs="Courier New"/>
          <w:b/>
          <w:szCs w:val="24"/>
        </w:rPr>
      </w:pPr>
      <w:r w:rsidRPr="007F59FD">
        <w:rPr>
          <w:rFonts w:ascii="Courier New" w:hAnsi="Courier New" w:cs="Courier New"/>
          <w:b/>
          <w:szCs w:val="24"/>
        </w:rPr>
        <w:lastRenderedPageBreak/>
        <w:t>OPINION</w:t>
      </w:r>
    </w:p>
    <w:p w14:paraId="76899C9F" w14:textId="184A6631" w:rsidR="001958B6" w:rsidRPr="001958B6" w:rsidRDefault="001958B6" w:rsidP="005467FD">
      <w:pPr>
        <w:pStyle w:val="BodyText"/>
        <w:jc w:val="both"/>
        <w:rPr>
          <w:rFonts w:ascii="Courier New" w:hAnsi="Courier New" w:cs="Courier New"/>
          <w:i/>
          <w:szCs w:val="24"/>
        </w:rPr>
      </w:pPr>
      <w:r w:rsidRPr="001958B6">
        <w:rPr>
          <w:rFonts w:ascii="Courier New" w:hAnsi="Courier New" w:cs="Courier New"/>
          <w:i/>
          <w:szCs w:val="24"/>
        </w:rPr>
        <w:t>1. Jurisdiction for fiscal year 2014 appeal</w:t>
      </w:r>
    </w:p>
    <w:p w14:paraId="1983FF50" w14:textId="79AB2372" w:rsidR="005467FD" w:rsidRPr="005467FD" w:rsidRDefault="00D64324" w:rsidP="005467FD">
      <w:pPr>
        <w:pStyle w:val="BodyText"/>
        <w:jc w:val="both"/>
        <w:rPr>
          <w:rFonts w:ascii="Courier New" w:hAnsi="Courier New" w:cs="Courier New"/>
          <w:szCs w:val="24"/>
        </w:rPr>
      </w:pPr>
      <w:r>
        <w:rPr>
          <w:rFonts w:ascii="Courier New" w:hAnsi="Courier New" w:cs="Courier New"/>
          <w:szCs w:val="24"/>
        </w:rPr>
        <w:tab/>
        <w:t xml:space="preserve">Clause </w:t>
      </w:r>
      <w:proofErr w:type="gramStart"/>
      <w:r>
        <w:rPr>
          <w:rFonts w:ascii="Courier New" w:hAnsi="Courier New" w:cs="Courier New"/>
          <w:szCs w:val="24"/>
        </w:rPr>
        <w:t>Third</w:t>
      </w:r>
      <w:proofErr w:type="gramEnd"/>
      <w:r w:rsidR="005467FD" w:rsidRPr="005467FD">
        <w:rPr>
          <w:rFonts w:ascii="Courier New" w:hAnsi="Courier New" w:cs="Courier New"/>
          <w:szCs w:val="24"/>
        </w:rPr>
        <w:t xml:space="preserve"> provides an exemption for:</w:t>
      </w:r>
    </w:p>
    <w:p w14:paraId="2ED4EE8C" w14:textId="4660F8C1" w:rsidR="00394713" w:rsidRDefault="005467FD" w:rsidP="006D25DC">
      <w:pPr>
        <w:pStyle w:val="BodyText"/>
        <w:spacing w:line="240" w:lineRule="auto"/>
        <w:ind w:left="720" w:right="720"/>
        <w:jc w:val="both"/>
        <w:rPr>
          <w:rFonts w:ascii="Courier New" w:hAnsi="Courier New" w:cs="Courier New"/>
          <w:szCs w:val="24"/>
        </w:rPr>
      </w:pPr>
      <w:proofErr w:type="gramStart"/>
      <w:r w:rsidRPr="005467FD">
        <w:rPr>
          <w:rFonts w:ascii="Courier New" w:hAnsi="Courier New" w:cs="Courier New"/>
          <w:szCs w:val="24"/>
        </w:rPr>
        <w:t>real</w:t>
      </w:r>
      <w:proofErr w:type="gramEnd"/>
      <w:r w:rsidRPr="005467FD">
        <w:rPr>
          <w:rFonts w:ascii="Courier New" w:hAnsi="Courier New" w:cs="Courier New"/>
          <w:szCs w:val="24"/>
        </w:rPr>
        <w:t xml:space="preserve"> estate owned by or held in trust for a charitable organization and occupied by it or its officers for the purposes for which it is organized or by another charitable organization or organizations or its or their officers for the purpose of such other charitable organization or organizations.</w:t>
      </w:r>
    </w:p>
    <w:p w14:paraId="1133E560" w14:textId="77777777" w:rsidR="006D25DC" w:rsidRPr="006D25DC" w:rsidRDefault="006D25DC" w:rsidP="006D25DC">
      <w:pPr>
        <w:pStyle w:val="BodyText"/>
        <w:spacing w:line="240" w:lineRule="auto"/>
        <w:ind w:left="720" w:right="720"/>
        <w:jc w:val="both"/>
        <w:rPr>
          <w:rFonts w:ascii="Courier New" w:hAnsi="Courier New" w:cs="Courier New"/>
          <w:szCs w:val="24"/>
        </w:rPr>
      </w:pPr>
    </w:p>
    <w:p w14:paraId="69EC50F7" w14:textId="12C216D7" w:rsidR="00A92E40" w:rsidRDefault="00361D74" w:rsidP="00703B57">
      <w:pPr>
        <w:spacing w:line="480" w:lineRule="auto"/>
        <w:ind w:firstLine="720"/>
        <w:jc w:val="both"/>
        <w:rPr>
          <w:rFonts w:ascii="Courier New" w:hAnsi="Courier New" w:cs="Courier New"/>
        </w:rPr>
      </w:pPr>
      <w:r w:rsidRPr="005467FD">
        <w:rPr>
          <w:rFonts w:ascii="Courier New" w:hAnsi="Courier New" w:cs="Courier New"/>
          <w:bCs/>
          <w:iCs/>
        </w:rPr>
        <w:t>Where, as here, a tax bill is issued</w:t>
      </w:r>
      <w:r w:rsidR="0009229E">
        <w:rPr>
          <w:rFonts w:ascii="Courier New" w:hAnsi="Courier New" w:cs="Courier New"/>
          <w:bCs/>
          <w:iCs/>
        </w:rPr>
        <w:t xml:space="preserve"> for property that is claimed to be </w:t>
      </w:r>
      <w:r w:rsidRPr="005467FD">
        <w:rPr>
          <w:rFonts w:ascii="Courier New" w:hAnsi="Courier New" w:cs="Courier New"/>
          <w:bCs/>
          <w:iCs/>
        </w:rPr>
        <w:t xml:space="preserve">exempt under Clause Third, </w:t>
      </w:r>
      <w:r w:rsidR="0009229E">
        <w:rPr>
          <w:rFonts w:ascii="Courier New" w:hAnsi="Courier New" w:cs="Courier New"/>
          <w:bCs/>
          <w:iCs/>
        </w:rPr>
        <w:t xml:space="preserve">a taxpayer </w:t>
      </w:r>
      <w:r w:rsidRPr="005467FD">
        <w:rPr>
          <w:rFonts w:ascii="Courier New" w:hAnsi="Courier New" w:cs="Courier New"/>
          <w:bCs/>
          <w:iCs/>
        </w:rPr>
        <w:t xml:space="preserve">has two </w:t>
      </w:r>
      <w:r w:rsidR="00790098" w:rsidRPr="005467FD">
        <w:rPr>
          <w:rFonts w:ascii="Courier New" w:hAnsi="Courier New" w:cs="Courier New"/>
          <w:bCs/>
          <w:iCs/>
        </w:rPr>
        <w:t xml:space="preserve">procedural </w:t>
      </w:r>
      <w:r w:rsidRPr="005467FD">
        <w:rPr>
          <w:rFonts w:ascii="Courier New" w:hAnsi="Courier New" w:cs="Courier New"/>
          <w:bCs/>
          <w:iCs/>
        </w:rPr>
        <w:t xml:space="preserve">choices: </w:t>
      </w:r>
      <w:r w:rsidR="003D78DD">
        <w:rPr>
          <w:rFonts w:ascii="Courier New" w:hAnsi="Courier New" w:cs="Courier New"/>
          <w:bCs/>
          <w:iCs/>
        </w:rPr>
        <w:t>(1)</w:t>
      </w:r>
      <w:r w:rsidRPr="005467FD">
        <w:rPr>
          <w:rFonts w:ascii="Courier New" w:hAnsi="Courier New" w:cs="Courier New"/>
          <w:bCs/>
          <w:iCs/>
        </w:rPr>
        <w:t xml:space="preserve"> it may apply to the assessors for an abatement under G.L. c. 59, § 59</w:t>
      </w:r>
      <w:r w:rsidR="003D78DD">
        <w:rPr>
          <w:rFonts w:ascii="Courier New" w:hAnsi="Courier New" w:cs="Courier New"/>
          <w:bCs/>
          <w:iCs/>
        </w:rPr>
        <w:t>;</w:t>
      </w:r>
      <w:r w:rsidRPr="005467FD">
        <w:rPr>
          <w:rFonts w:ascii="Courier New" w:hAnsi="Courier New" w:cs="Courier New"/>
          <w:bCs/>
          <w:iCs/>
        </w:rPr>
        <w:t xml:space="preserve"> or </w:t>
      </w:r>
      <w:r w:rsidR="003D78DD">
        <w:rPr>
          <w:rFonts w:ascii="Courier New" w:hAnsi="Courier New" w:cs="Courier New"/>
          <w:bCs/>
          <w:iCs/>
        </w:rPr>
        <w:t xml:space="preserve">(2) </w:t>
      </w:r>
      <w:r w:rsidRPr="005467FD">
        <w:rPr>
          <w:rFonts w:ascii="Courier New" w:hAnsi="Courier New" w:cs="Courier New"/>
          <w:bCs/>
          <w:iCs/>
        </w:rPr>
        <w:t xml:space="preserve">it may appeal directly to the Board under G.L. c. 59, § 5B.  </w:t>
      </w:r>
      <w:r w:rsidRPr="005467FD">
        <w:rPr>
          <w:rFonts w:ascii="Courier New" w:hAnsi="Courier New" w:cs="Courier New"/>
          <w:bCs/>
          <w:i/>
        </w:rPr>
        <w:t xml:space="preserve">See </w:t>
      </w:r>
      <w:r w:rsidRPr="005467FD">
        <w:rPr>
          <w:rFonts w:ascii="Courier New" w:hAnsi="Courier New" w:cs="Courier New"/>
          <w:b/>
          <w:i/>
        </w:rPr>
        <w:t xml:space="preserve">Trustees of Reservations v. Assessors of Windsor, </w:t>
      </w:r>
      <w:r w:rsidR="008147FE">
        <w:rPr>
          <w:rFonts w:ascii="Courier New" w:hAnsi="Courier New" w:cs="Courier New"/>
        </w:rPr>
        <w:t>Mass. ATB Findings of Fact and Reports 1991-</w:t>
      </w:r>
      <w:r w:rsidR="00A92E40">
        <w:rPr>
          <w:rFonts w:ascii="Courier New" w:hAnsi="Courier New" w:cs="Courier New"/>
        </w:rPr>
        <w:t>225</w:t>
      </w:r>
      <w:r w:rsidRPr="005467FD">
        <w:rPr>
          <w:rFonts w:ascii="Courier New" w:hAnsi="Courier New" w:cs="Courier New"/>
        </w:rPr>
        <w:t>.</w:t>
      </w:r>
      <w:r w:rsidR="00790098" w:rsidRPr="005467FD">
        <w:rPr>
          <w:rFonts w:ascii="Courier New" w:hAnsi="Courier New" w:cs="Courier New"/>
        </w:rPr>
        <w:t xml:space="preserve">  </w:t>
      </w:r>
    </w:p>
    <w:p w14:paraId="663B63E9" w14:textId="50F53482" w:rsidR="00361D74" w:rsidRPr="00361D74" w:rsidRDefault="00790098" w:rsidP="005467FD">
      <w:pPr>
        <w:spacing w:line="480" w:lineRule="auto"/>
        <w:ind w:firstLine="720"/>
        <w:jc w:val="both"/>
        <w:rPr>
          <w:rFonts w:ascii="Courier New" w:hAnsi="Courier New" w:cs="Courier New"/>
        </w:rPr>
      </w:pPr>
      <w:r w:rsidRPr="005467FD">
        <w:rPr>
          <w:rFonts w:ascii="Courier New" w:hAnsi="Courier New" w:cs="Courier New"/>
        </w:rPr>
        <w:t>The authority of the Board to</w:t>
      </w:r>
      <w:r w:rsidRPr="007F59FD">
        <w:rPr>
          <w:rFonts w:ascii="Courier New" w:hAnsi="Courier New" w:cs="Courier New"/>
        </w:rPr>
        <w:t xml:space="preserve"> hear and decide appeals relating to the assessment </w:t>
      </w:r>
      <w:r>
        <w:rPr>
          <w:rFonts w:ascii="Courier New" w:hAnsi="Courier New" w:cs="Courier New"/>
        </w:rPr>
        <w:t>of taxes is derived solely by statute</w:t>
      </w:r>
      <w:r w:rsidRPr="007F59FD">
        <w:rPr>
          <w:rFonts w:ascii="Courier New" w:hAnsi="Courier New" w:cs="Courier New"/>
        </w:rPr>
        <w:t xml:space="preserve">. </w:t>
      </w:r>
      <w:r>
        <w:rPr>
          <w:rFonts w:ascii="Courier New" w:hAnsi="Courier New" w:cs="Courier New"/>
        </w:rPr>
        <w:t xml:space="preserve"> </w:t>
      </w:r>
      <w:r w:rsidRPr="007F59FD">
        <w:rPr>
          <w:rFonts w:ascii="Courier New" w:hAnsi="Courier New" w:cs="Courier New"/>
          <w:i/>
        </w:rPr>
        <w:t xml:space="preserve">See </w:t>
      </w:r>
      <w:proofErr w:type="spellStart"/>
      <w:r w:rsidRPr="007F59FD">
        <w:rPr>
          <w:rFonts w:ascii="Courier New" w:hAnsi="Courier New" w:cs="Courier New"/>
          <w:b/>
          <w:i/>
        </w:rPr>
        <w:t>Stilson</w:t>
      </w:r>
      <w:proofErr w:type="spellEnd"/>
      <w:r w:rsidRPr="007F59FD">
        <w:rPr>
          <w:rFonts w:ascii="Courier New" w:hAnsi="Courier New" w:cs="Courier New"/>
          <w:b/>
          <w:i/>
        </w:rPr>
        <w:t xml:space="preserve"> v. Assessors of Gloucester, </w:t>
      </w:r>
      <w:r w:rsidRPr="007F59FD">
        <w:rPr>
          <w:rFonts w:ascii="Courier New" w:hAnsi="Courier New" w:cs="Courier New"/>
        </w:rPr>
        <w:t>385 Mass. 724, 732 (1982).</w:t>
      </w:r>
      <w:r w:rsidRPr="007F59FD">
        <w:rPr>
          <w:rFonts w:ascii="Courier New" w:hAnsi="Courier New" w:cs="Courier New"/>
          <w:i/>
        </w:rPr>
        <w:t xml:space="preserve"> </w:t>
      </w:r>
      <w:r>
        <w:rPr>
          <w:rFonts w:ascii="Courier New" w:hAnsi="Courier New" w:cs="Courier New"/>
          <w:i/>
        </w:rPr>
        <w:t xml:space="preserve"> </w:t>
      </w:r>
      <w:r w:rsidRPr="007F59FD">
        <w:rPr>
          <w:rFonts w:ascii="Courier New" w:hAnsi="Courier New" w:cs="Courier New"/>
        </w:rPr>
        <w:t>Accordingly,</w:t>
      </w:r>
      <w:r>
        <w:rPr>
          <w:rFonts w:ascii="Courier New" w:hAnsi="Courier New" w:cs="Courier New"/>
        </w:rPr>
        <w:t xml:space="preserve"> regardless of which procedural choice a taxpayer pursues,</w:t>
      </w:r>
      <w:r w:rsidRPr="007F59FD">
        <w:rPr>
          <w:rFonts w:ascii="Courier New" w:hAnsi="Courier New" w:cs="Courier New"/>
        </w:rPr>
        <w:t xml:space="preserve"> “[t]he case law is abundant in stern pronouncements requiring strict adherence by the taxpayer to the timelines and other procedural commands of the taxing statutes.”</w:t>
      </w:r>
      <w:r>
        <w:rPr>
          <w:rFonts w:ascii="Courier New" w:hAnsi="Courier New" w:cs="Courier New"/>
        </w:rPr>
        <w:t xml:space="preserve"> </w:t>
      </w:r>
      <w:r w:rsidRPr="007F59FD">
        <w:rPr>
          <w:rFonts w:ascii="Courier New" w:hAnsi="Courier New" w:cs="Courier New"/>
        </w:rPr>
        <w:t xml:space="preserve"> </w:t>
      </w:r>
      <w:proofErr w:type="gramStart"/>
      <w:r w:rsidRPr="007F59FD">
        <w:rPr>
          <w:rFonts w:ascii="Courier New" w:hAnsi="Courier New" w:cs="Courier New"/>
          <w:b/>
          <w:i/>
        </w:rPr>
        <w:t xml:space="preserve">Tambrands, Inc. v. Commissioner of Revenue, </w:t>
      </w:r>
      <w:r w:rsidRPr="007F59FD">
        <w:rPr>
          <w:rFonts w:ascii="Courier New" w:hAnsi="Courier New" w:cs="Courier New"/>
        </w:rPr>
        <w:t>46 Mass. App. Ct. 522, 525 (1999).</w:t>
      </w:r>
      <w:proofErr w:type="gramEnd"/>
      <w:r>
        <w:rPr>
          <w:rFonts w:ascii="Courier New" w:hAnsi="Courier New" w:cs="Courier New"/>
        </w:rPr>
        <w:t xml:space="preserve">   </w:t>
      </w:r>
    </w:p>
    <w:p w14:paraId="3C216522" w14:textId="0A5A5913" w:rsidR="00E80EB1" w:rsidRPr="00F5612A" w:rsidRDefault="001B28E6" w:rsidP="00E80EB1">
      <w:pPr>
        <w:spacing w:line="480" w:lineRule="auto"/>
        <w:ind w:firstLine="720"/>
        <w:jc w:val="both"/>
        <w:rPr>
          <w:rFonts w:ascii="Courier New" w:hAnsi="Courier New" w:cs="Courier New"/>
        </w:rPr>
      </w:pPr>
      <w:r>
        <w:rPr>
          <w:rFonts w:ascii="Courier New" w:hAnsi="Courier New" w:cs="Courier New"/>
        </w:rPr>
        <w:lastRenderedPageBreak/>
        <w:t xml:space="preserve">The first method </w:t>
      </w:r>
      <w:r w:rsidRPr="001B28E6">
        <w:rPr>
          <w:rFonts w:ascii="Courier New" w:hAnsi="Courier New" w:cs="Courier New"/>
          <w:bCs/>
          <w:iCs/>
        </w:rPr>
        <w:t>of challenging the denial of a claim of exe</w:t>
      </w:r>
      <w:r>
        <w:rPr>
          <w:rFonts w:ascii="Courier New" w:hAnsi="Courier New" w:cs="Courier New"/>
          <w:bCs/>
          <w:iCs/>
        </w:rPr>
        <w:t>mption under Clause Third</w:t>
      </w:r>
      <w:r w:rsidRPr="001B28E6">
        <w:rPr>
          <w:rFonts w:ascii="Courier New" w:hAnsi="Courier New" w:cs="Courier New"/>
          <w:bCs/>
          <w:iCs/>
        </w:rPr>
        <w:t xml:space="preserve"> is</w:t>
      </w:r>
      <w:r>
        <w:rPr>
          <w:rFonts w:ascii="Courier New" w:hAnsi="Courier New" w:cs="Courier New"/>
        </w:rPr>
        <w:t xml:space="preserve"> </w:t>
      </w:r>
      <w:r w:rsidR="00790098">
        <w:rPr>
          <w:rFonts w:ascii="Courier New" w:hAnsi="Courier New" w:cs="Courier New"/>
        </w:rPr>
        <w:t>an ap</w:t>
      </w:r>
      <w:r>
        <w:rPr>
          <w:rFonts w:ascii="Courier New" w:hAnsi="Courier New" w:cs="Courier New"/>
        </w:rPr>
        <w:t>peal to the assessors under G.L. c. 59, § 59.  T</w:t>
      </w:r>
      <w:r w:rsidR="007F59FD" w:rsidRPr="007F59FD">
        <w:rPr>
          <w:rFonts w:ascii="Courier New" w:hAnsi="Courier New" w:cs="Courier New"/>
        </w:rPr>
        <w:t xml:space="preserve">he Board derives its authority </w:t>
      </w:r>
      <w:r w:rsidR="00E80EB1">
        <w:rPr>
          <w:rFonts w:ascii="Courier New" w:hAnsi="Courier New" w:cs="Courier New"/>
        </w:rPr>
        <w:t>t</w:t>
      </w:r>
      <w:r w:rsidR="00E80EB1" w:rsidRPr="007F59FD">
        <w:rPr>
          <w:rFonts w:ascii="Courier New" w:hAnsi="Courier New" w:cs="Courier New"/>
        </w:rPr>
        <w:t xml:space="preserve">o review the decisions of municipal boards of assessors </w:t>
      </w:r>
      <w:r w:rsidR="007F59FD" w:rsidRPr="007F59FD">
        <w:rPr>
          <w:rFonts w:ascii="Courier New" w:hAnsi="Courier New" w:cs="Courier New"/>
        </w:rPr>
        <w:t xml:space="preserve">from G.L. </w:t>
      </w:r>
      <w:r w:rsidR="00136CB0">
        <w:rPr>
          <w:rFonts w:ascii="Courier New" w:hAnsi="Courier New" w:cs="Courier New"/>
        </w:rPr>
        <w:t>c. 59, §</w:t>
      </w:r>
      <w:r w:rsidR="00D04210">
        <w:rPr>
          <w:rFonts w:ascii="Courier New" w:hAnsi="Courier New" w:cs="Courier New"/>
        </w:rPr>
        <w:t>§</w:t>
      </w:r>
      <w:r w:rsidR="00136CB0">
        <w:rPr>
          <w:rFonts w:ascii="Courier New" w:hAnsi="Courier New" w:cs="Courier New"/>
        </w:rPr>
        <w:t xml:space="preserve"> 64</w:t>
      </w:r>
      <w:r w:rsidR="00D04210">
        <w:rPr>
          <w:rFonts w:ascii="Courier New" w:hAnsi="Courier New" w:cs="Courier New"/>
        </w:rPr>
        <w:t xml:space="preserve"> and 65</w:t>
      </w:r>
      <w:r w:rsidR="002359E7">
        <w:rPr>
          <w:rFonts w:ascii="Courier New" w:hAnsi="Courier New" w:cs="Courier New"/>
        </w:rPr>
        <w:t>.  Those</w:t>
      </w:r>
      <w:r w:rsidR="00E80EB1">
        <w:rPr>
          <w:rFonts w:ascii="Courier New" w:hAnsi="Courier New" w:cs="Courier New"/>
        </w:rPr>
        <w:t xml:space="preserve"> statute</w:t>
      </w:r>
      <w:r w:rsidR="002359E7">
        <w:rPr>
          <w:rFonts w:ascii="Courier New" w:hAnsi="Courier New" w:cs="Courier New"/>
        </w:rPr>
        <w:t>s permit</w:t>
      </w:r>
      <w:r w:rsidR="00E80EB1">
        <w:rPr>
          <w:rFonts w:ascii="Courier New" w:hAnsi="Courier New" w:cs="Courier New"/>
        </w:rPr>
        <w:t xml:space="preserve"> </w:t>
      </w:r>
      <w:r w:rsidR="00E80EB1" w:rsidRPr="00F5612A">
        <w:rPr>
          <w:rFonts w:ascii="Courier New" w:hAnsi="Courier New" w:cs="Courier New"/>
        </w:rPr>
        <w:t xml:space="preserve">a </w:t>
      </w:r>
      <w:r w:rsidR="00E80EB1">
        <w:rPr>
          <w:rFonts w:ascii="Courier New" w:hAnsi="Courier New" w:cs="Courier New"/>
        </w:rPr>
        <w:t>taxpayer aggrieved by the assessors’ refusal to abate a tax on real property to</w:t>
      </w:r>
      <w:r w:rsidR="00E80EB1" w:rsidRPr="00F5612A">
        <w:rPr>
          <w:rFonts w:ascii="Courier New" w:hAnsi="Courier New" w:cs="Courier New"/>
        </w:rPr>
        <w:t xml:space="preserve"> file an appeal with the Board, provided that:</w:t>
      </w:r>
    </w:p>
    <w:p w14:paraId="68319B3F" w14:textId="78AD74ED" w:rsidR="00E80EB1" w:rsidRPr="00F5612A" w:rsidRDefault="00790098" w:rsidP="00E80EB1">
      <w:pPr>
        <w:ind w:left="720" w:right="720"/>
        <w:jc w:val="both"/>
        <w:rPr>
          <w:rFonts w:ascii="Courier New" w:hAnsi="Courier New" w:cs="Courier New"/>
        </w:rPr>
      </w:pPr>
      <w:r>
        <w:rPr>
          <w:rFonts w:ascii="Courier New" w:hAnsi="Courier New" w:cs="Courier New"/>
        </w:rPr>
        <w:t>i</w:t>
      </w:r>
      <w:r w:rsidR="00E80EB1" w:rsidRPr="00F5612A">
        <w:rPr>
          <w:rFonts w:ascii="Courier New" w:hAnsi="Courier New" w:cs="Courier New"/>
        </w:rPr>
        <w:t>f the tax due for the full fiscal year on a parcel of real estate is more than $3,000,</w:t>
      </w:r>
      <w:r w:rsidR="00F33563">
        <w:rPr>
          <w:rStyle w:val="FootnoteReference"/>
          <w:rFonts w:ascii="Courier New" w:hAnsi="Courier New" w:cs="Courier New"/>
        </w:rPr>
        <w:footnoteReference w:id="8"/>
      </w:r>
      <w:r w:rsidR="00E80EB1" w:rsidRPr="00F5612A">
        <w:rPr>
          <w:rFonts w:ascii="Courier New" w:hAnsi="Courier New" w:cs="Courier New"/>
        </w:rPr>
        <w:t xml:space="preserve"> said </w:t>
      </w:r>
      <w:r w:rsidR="00E80EB1" w:rsidRPr="00F5612A">
        <w:rPr>
          <w:rFonts w:ascii="Courier New" w:hAnsi="Courier New" w:cs="Courier New"/>
          <w:b/>
          <w:i/>
        </w:rPr>
        <w:t xml:space="preserve">tax shall not be abated unless the full amount of said tax due has been paid without the incurring of any interest </w:t>
      </w:r>
      <w:r w:rsidR="00E80EB1" w:rsidRPr="00E44078">
        <w:rPr>
          <w:rFonts w:ascii="Courier New" w:hAnsi="Courier New" w:cs="Courier New"/>
          <w:b/>
          <w:i/>
        </w:rPr>
        <w:t>charges on any part of said tax</w:t>
      </w:r>
      <w:r w:rsidR="00E80EB1" w:rsidRPr="00F5612A">
        <w:rPr>
          <w:rFonts w:ascii="Courier New" w:hAnsi="Courier New" w:cs="Courier New"/>
        </w:rPr>
        <w:t xml:space="preserve"> pursuant to section fifty-seven of chapter fifty-nine of the General Laws.  </w:t>
      </w:r>
    </w:p>
    <w:p w14:paraId="521DAE2E" w14:textId="77777777" w:rsidR="00E80EB1" w:rsidRPr="00F5612A" w:rsidRDefault="00E80EB1" w:rsidP="00E80EB1">
      <w:pPr>
        <w:ind w:left="720"/>
        <w:jc w:val="both"/>
        <w:rPr>
          <w:rFonts w:ascii="Courier New" w:hAnsi="Courier New" w:cs="Courier New"/>
        </w:rPr>
      </w:pPr>
    </w:p>
    <w:p w14:paraId="037C1CDA" w14:textId="77777777" w:rsidR="00AB0750" w:rsidRDefault="00E80EB1" w:rsidP="00E80EB1">
      <w:pPr>
        <w:spacing w:line="480" w:lineRule="auto"/>
        <w:jc w:val="both"/>
        <w:rPr>
          <w:rFonts w:ascii="Courier New" w:hAnsi="Courier New" w:cs="Courier New"/>
        </w:rPr>
      </w:pPr>
      <w:r w:rsidRPr="00F5612A">
        <w:rPr>
          <w:rFonts w:ascii="Courier New" w:hAnsi="Courier New" w:cs="Courier New"/>
        </w:rPr>
        <w:t xml:space="preserve">G.L. c. 59, § 64 (emphasis added). </w:t>
      </w:r>
      <w:r>
        <w:rPr>
          <w:rFonts w:ascii="Courier New" w:hAnsi="Courier New" w:cs="Courier New"/>
        </w:rPr>
        <w:t xml:space="preserve"> </w:t>
      </w:r>
    </w:p>
    <w:p w14:paraId="12357BD6" w14:textId="4717DB3C" w:rsidR="00743720" w:rsidRPr="001B28E6" w:rsidRDefault="00AB0750" w:rsidP="001B28E6">
      <w:pPr>
        <w:spacing w:line="480" w:lineRule="auto"/>
        <w:jc w:val="both"/>
        <w:rPr>
          <w:rFonts w:ascii="Courier New" w:hAnsi="Courier New" w:cs="Courier New"/>
        </w:rPr>
      </w:pPr>
      <w:r>
        <w:rPr>
          <w:rFonts w:ascii="Courier New" w:hAnsi="Courier New" w:cs="Courier New"/>
        </w:rPr>
        <w:tab/>
      </w:r>
      <w:r w:rsidR="00E80EB1">
        <w:rPr>
          <w:rFonts w:ascii="Courier New" w:hAnsi="Courier New" w:cs="Courier New"/>
        </w:rPr>
        <w:t>For t</w:t>
      </w:r>
      <w:r w:rsidR="00B235DB">
        <w:rPr>
          <w:rFonts w:ascii="Courier New" w:hAnsi="Courier New" w:cs="Courier New"/>
        </w:rPr>
        <w:t xml:space="preserve">he fiscal year 2014 appeal, the collective </w:t>
      </w:r>
      <w:r w:rsidR="00E80EB1">
        <w:rPr>
          <w:rFonts w:ascii="Courier New" w:hAnsi="Courier New" w:cs="Courier New"/>
        </w:rPr>
        <w:t>tax on the subject properties</w:t>
      </w:r>
      <w:r w:rsidR="00E80EB1" w:rsidRPr="00F5612A">
        <w:rPr>
          <w:rFonts w:ascii="Courier New" w:hAnsi="Courier New" w:cs="Courier New"/>
        </w:rPr>
        <w:t xml:space="preserve"> exceeded th</w:t>
      </w:r>
      <w:r w:rsidR="00D7134E">
        <w:rPr>
          <w:rFonts w:ascii="Courier New" w:hAnsi="Courier New" w:cs="Courier New"/>
        </w:rPr>
        <w:t>e $3,000 threshold and,</w:t>
      </w:r>
      <w:r w:rsidR="00E80EB1">
        <w:rPr>
          <w:rFonts w:ascii="Courier New" w:hAnsi="Courier New" w:cs="Courier New"/>
        </w:rPr>
        <w:t xml:space="preserve"> as stipulated by the parties</w:t>
      </w:r>
      <w:r w:rsidR="005B7715">
        <w:rPr>
          <w:rFonts w:ascii="Courier New" w:hAnsi="Courier New" w:cs="Courier New"/>
        </w:rPr>
        <w:t xml:space="preserve">, the tax due was </w:t>
      </w:r>
      <w:r w:rsidR="00E80EB1" w:rsidRPr="00F5612A">
        <w:rPr>
          <w:rFonts w:ascii="Courier New" w:hAnsi="Courier New" w:cs="Courier New"/>
        </w:rPr>
        <w:t>paid</w:t>
      </w:r>
      <w:r w:rsidR="005B7715">
        <w:rPr>
          <w:rFonts w:ascii="Courier New" w:hAnsi="Courier New" w:cs="Courier New"/>
        </w:rPr>
        <w:t xml:space="preserve"> late, thereby </w:t>
      </w:r>
      <w:r w:rsidR="00E80EB1" w:rsidRPr="00F5612A">
        <w:rPr>
          <w:rFonts w:ascii="Courier New" w:hAnsi="Courier New" w:cs="Courier New"/>
        </w:rPr>
        <w:t xml:space="preserve">incurring </w:t>
      </w:r>
      <w:r w:rsidR="00E80EB1">
        <w:rPr>
          <w:rFonts w:ascii="Courier New" w:hAnsi="Courier New" w:cs="Courier New"/>
        </w:rPr>
        <w:t>interest</w:t>
      </w:r>
      <w:r w:rsidR="002A160A">
        <w:rPr>
          <w:rFonts w:ascii="Courier New" w:hAnsi="Courier New" w:cs="Courier New"/>
        </w:rPr>
        <w:t>.</w:t>
      </w:r>
      <w:r w:rsidR="00372EF6">
        <w:rPr>
          <w:rFonts w:ascii="Courier New" w:hAnsi="Courier New" w:cs="Courier New"/>
        </w:rPr>
        <w:t xml:space="preserve">  However,</w:t>
      </w:r>
      <w:r w:rsidR="006D25DC">
        <w:rPr>
          <w:rFonts w:ascii="Courier New" w:hAnsi="Courier New" w:cs="Courier New"/>
        </w:rPr>
        <w:t xml:space="preserve"> if interest is incurred, a taxpayer nonetheless can</w:t>
      </w:r>
      <w:r w:rsidR="002A160A">
        <w:rPr>
          <w:rFonts w:ascii="Courier New" w:hAnsi="Courier New" w:cs="Courier New"/>
        </w:rPr>
        <w:t xml:space="preserve"> appeal to the Board if it</w:t>
      </w:r>
      <w:r w:rsidR="00E80EB1" w:rsidRPr="009C666B">
        <w:rPr>
          <w:rFonts w:ascii="Courier New" w:hAnsi="Courier New" w:cs="Courier New"/>
        </w:rPr>
        <w:t xml:space="preserve"> has made a </w:t>
      </w:r>
      <w:r w:rsidR="00E80EB1">
        <w:rPr>
          <w:rFonts w:ascii="Courier New" w:hAnsi="Courier New" w:cs="Courier New"/>
        </w:rPr>
        <w:t xml:space="preserve">timely </w:t>
      </w:r>
      <w:r w:rsidR="00E80EB1" w:rsidRPr="009C666B">
        <w:rPr>
          <w:rFonts w:ascii="Courier New" w:hAnsi="Courier New" w:cs="Courier New"/>
        </w:rPr>
        <w:t xml:space="preserve">payment of </w:t>
      </w:r>
      <w:r w:rsidR="00E80EB1" w:rsidRPr="009C666B">
        <w:rPr>
          <w:rFonts w:ascii="Courier New" w:hAnsi="Courier New" w:cs="Courier New"/>
          <w:color w:val="333333"/>
        </w:rPr>
        <w:t xml:space="preserve">tax </w:t>
      </w:r>
      <w:r w:rsidR="00E80EB1">
        <w:rPr>
          <w:rFonts w:ascii="Courier New" w:hAnsi="Courier New" w:cs="Courier New"/>
          <w:color w:val="333333"/>
        </w:rPr>
        <w:t>that is at least equal to the average tax for the</w:t>
      </w:r>
      <w:r w:rsidR="00E80EB1" w:rsidRPr="009C666B">
        <w:rPr>
          <w:rFonts w:ascii="Courier New" w:hAnsi="Courier New" w:cs="Courier New"/>
          <w:color w:val="333333"/>
        </w:rPr>
        <w:t xml:space="preserve"> three</w:t>
      </w:r>
      <w:r w:rsidR="00E80EB1">
        <w:rPr>
          <w:rFonts w:ascii="Courier New" w:hAnsi="Courier New" w:cs="Courier New"/>
          <w:color w:val="333333"/>
        </w:rPr>
        <w:t xml:space="preserve"> preceding</w:t>
      </w:r>
      <w:r w:rsidR="00E80EB1" w:rsidRPr="009C666B">
        <w:rPr>
          <w:rFonts w:ascii="Courier New" w:hAnsi="Courier New" w:cs="Courier New"/>
          <w:color w:val="333333"/>
        </w:rPr>
        <w:t xml:space="preserve"> years</w:t>
      </w:r>
      <w:r w:rsidR="006D25DC">
        <w:rPr>
          <w:rFonts w:ascii="Courier New" w:hAnsi="Courier New" w:cs="Courier New"/>
          <w:color w:val="333333"/>
        </w:rPr>
        <w:t>; this alternative is</w:t>
      </w:r>
      <w:r w:rsidR="000719AD">
        <w:rPr>
          <w:rFonts w:ascii="Courier New" w:hAnsi="Courier New" w:cs="Courier New"/>
          <w:color w:val="333333"/>
        </w:rPr>
        <w:t xml:space="preserve"> commonly referred to as the </w:t>
      </w:r>
      <w:r w:rsidR="005B7715">
        <w:rPr>
          <w:rFonts w:ascii="Courier New" w:hAnsi="Courier New" w:cs="Courier New"/>
          <w:color w:val="333333"/>
        </w:rPr>
        <w:t>“</w:t>
      </w:r>
      <w:r w:rsidR="00C3757C">
        <w:rPr>
          <w:rFonts w:ascii="Courier New" w:hAnsi="Courier New" w:cs="Courier New"/>
          <w:color w:val="333333"/>
        </w:rPr>
        <w:t>three-year average provision</w:t>
      </w:r>
      <w:r w:rsidR="00E80EB1" w:rsidRPr="009C666B">
        <w:rPr>
          <w:rFonts w:ascii="Courier New" w:hAnsi="Courier New" w:cs="Courier New"/>
          <w:color w:val="333333"/>
        </w:rPr>
        <w:t>.</w:t>
      </w:r>
      <w:r w:rsidR="005B7715">
        <w:rPr>
          <w:rFonts w:ascii="Courier New" w:hAnsi="Courier New" w:cs="Courier New"/>
          <w:color w:val="333333"/>
        </w:rPr>
        <w:t>”</w:t>
      </w:r>
      <w:r w:rsidR="00790098">
        <w:rPr>
          <w:rFonts w:ascii="Courier New" w:hAnsi="Courier New" w:cs="Courier New"/>
          <w:color w:val="333333"/>
        </w:rPr>
        <w:t xml:space="preserve">  </w:t>
      </w:r>
      <w:r w:rsidR="00790098" w:rsidRPr="009C666B">
        <w:rPr>
          <w:rFonts w:ascii="Courier New" w:hAnsi="Courier New" w:cs="Courier New"/>
        </w:rPr>
        <w:t>G.L. c. 59, §</w:t>
      </w:r>
      <w:r w:rsidR="00790098">
        <w:rPr>
          <w:rFonts w:ascii="Courier New" w:hAnsi="Courier New" w:cs="Courier New"/>
        </w:rPr>
        <w:t> </w:t>
      </w:r>
      <w:r w:rsidR="00790098" w:rsidRPr="009C666B">
        <w:rPr>
          <w:rFonts w:ascii="Courier New" w:hAnsi="Courier New" w:cs="Courier New"/>
        </w:rPr>
        <w:t>64</w:t>
      </w:r>
      <w:r w:rsidR="00790098">
        <w:rPr>
          <w:rFonts w:ascii="Courier New" w:hAnsi="Courier New" w:cs="Courier New"/>
        </w:rPr>
        <w:t xml:space="preserve">; </w:t>
      </w:r>
      <w:r w:rsidR="00790098" w:rsidRPr="00790098">
        <w:rPr>
          <w:rFonts w:ascii="Courier New" w:hAnsi="Courier New" w:cs="Courier New"/>
          <w:i/>
        </w:rPr>
        <w:t>see also</w:t>
      </w:r>
      <w:r w:rsidR="00E80EB1">
        <w:rPr>
          <w:rFonts w:ascii="Courier New" w:hAnsi="Courier New" w:cs="Courier New"/>
          <w:color w:val="333333"/>
        </w:rPr>
        <w:t xml:space="preserve"> </w:t>
      </w:r>
      <w:r w:rsidR="00E80EB1" w:rsidRPr="009C666B">
        <w:rPr>
          <w:rFonts w:ascii="Courier New" w:hAnsi="Courier New" w:cs="Courier New"/>
          <w:b/>
          <w:i/>
        </w:rPr>
        <w:t>Assessors</w:t>
      </w:r>
      <w:r w:rsidR="00E80EB1">
        <w:rPr>
          <w:rFonts w:ascii="Courier New" w:hAnsi="Courier New" w:cs="Courier New"/>
          <w:b/>
          <w:i/>
        </w:rPr>
        <w:t> of New Braintree</w:t>
      </w:r>
      <w:r w:rsidR="00E80EB1" w:rsidRPr="009C666B">
        <w:rPr>
          <w:rFonts w:ascii="Courier New" w:hAnsi="Courier New" w:cs="Courier New"/>
          <w:b/>
          <w:i/>
        </w:rPr>
        <w:t xml:space="preserve"> v. Pioneer Valley Academy, Inc</w:t>
      </w:r>
      <w:r w:rsidR="00E80EB1" w:rsidRPr="009C666B">
        <w:rPr>
          <w:rFonts w:ascii="Courier New" w:hAnsi="Courier New" w:cs="Courier New"/>
        </w:rPr>
        <w:t>., 355</w:t>
      </w:r>
      <w:r w:rsidR="00E80EB1">
        <w:rPr>
          <w:rFonts w:ascii="Courier New" w:hAnsi="Courier New" w:cs="Courier New"/>
        </w:rPr>
        <w:t> </w:t>
      </w:r>
      <w:r w:rsidR="00790098">
        <w:rPr>
          <w:rFonts w:ascii="Courier New" w:hAnsi="Courier New" w:cs="Courier New"/>
        </w:rPr>
        <w:t>Mass. 610, 617 (1969)</w:t>
      </w:r>
      <w:r w:rsidR="00E80EB1" w:rsidRPr="009C666B">
        <w:rPr>
          <w:rFonts w:ascii="Courier New" w:hAnsi="Courier New" w:cs="Courier New"/>
        </w:rPr>
        <w:t xml:space="preserve">. </w:t>
      </w:r>
      <w:r w:rsidR="000719AD">
        <w:rPr>
          <w:rFonts w:ascii="Courier New" w:hAnsi="Courier New" w:cs="Courier New"/>
        </w:rPr>
        <w:t xml:space="preserve"> </w:t>
      </w:r>
      <w:r w:rsidR="00DC7064">
        <w:rPr>
          <w:rFonts w:ascii="Courier New" w:hAnsi="Courier New" w:cs="Courier New"/>
        </w:rPr>
        <w:t>U</w:t>
      </w:r>
      <w:r w:rsidR="006D25DC">
        <w:rPr>
          <w:rFonts w:ascii="Courier New" w:hAnsi="Courier New" w:cs="Courier New"/>
        </w:rPr>
        <w:t xml:space="preserve">nder the facts of these appeals, TJMC </w:t>
      </w:r>
      <w:r w:rsidR="00DC7064">
        <w:rPr>
          <w:rFonts w:ascii="Courier New" w:hAnsi="Courier New" w:cs="Courier New"/>
        </w:rPr>
        <w:t>did not</w:t>
      </w:r>
      <w:r w:rsidR="00F324B1">
        <w:rPr>
          <w:rFonts w:ascii="Courier New" w:hAnsi="Courier New" w:cs="Courier New"/>
        </w:rPr>
        <w:t xml:space="preserve"> meet the requirement</w:t>
      </w:r>
      <w:r w:rsidR="00C3757C">
        <w:rPr>
          <w:rFonts w:ascii="Courier New" w:hAnsi="Courier New" w:cs="Courier New"/>
        </w:rPr>
        <w:t>s of the three-</w:t>
      </w:r>
      <w:r w:rsidR="00C3757C">
        <w:rPr>
          <w:rFonts w:ascii="Courier New" w:hAnsi="Courier New" w:cs="Courier New"/>
        </w:rPr>
        <w:lastRenderedPageBreak/>
        <w:t>year average provision</w:t>
      </w:r>
      <w:r w:rsidR="00E80EB1" w:rsidRPr="00F5612A">
        <w:rPr>
          <w:rFonts w:ascii="Courier New" w:hAnsi="Courier New" w:cs="Courier New"/>
        </w:rPr>
        <w:t>.</w:t>
      </w:r>
      <w:r w:rsidR="00FA122B">
        <w:rPr>
          <w:rFonts w:ascii="Courier New" w:hAnsi="Courier New" w:cs="Courier New"/>
        </w:rPr>
        <w:t xml:space="preserve">  The Board thu</w:t>
      </w:r>
      <w:r w:rsidR="00C3757C">
        <w:rPr>
          <w:rFonts w:ascii="Courier New" w:hAnsi="Courier New" w:cs="Courier New"/>
        </w:rPr>
        <w:t>s found and ruled that it</w:t>
      </w:r>
      <w:r w:rsidR="00FA122B">
        <w:rPr>
          <w:rFonts w:ascii="Courier New" w:hAnsi="Courier New" w:cs="Courier New"/>
        </w:rPr>
        <w:t xml:space="preserve"> lacked jurisdiction to hear the appeal for fiscal year 2014 und</w:t>
      </w:r>
      <w:r w:rsidR="00FA5975">
        <w:rPr>
          <w:rFonts w:ascii="Courier New" w:hAnsi="Courier New" w:cs="Courier New"/>
        </w:rPr>
        <w:t xml:space="preserve">er the </w:t>
      </w:r>
      <w:r w:rsidR="00FA5975" w:rsidRPr="001B28E6">
        <w:rPr>
          <w:rFonts w:ascii="Courier New" w:hAnsi="Courier New" w:cs="Courier New"/>
        </w:rPr>
        <w:t>provisions</w:t>
      </w:r>
      <w:r w:rsidR="00FA122B" w:rsidRPr="001B28E6">
        <w:rPr>
          <w:rFonts w:ascii="Courier New" w:hAnsi="Courier New" w:cs="Courier New"/>
        </w:rPr>
        <w:t xml:space="preserve"> of G.L. c. 59, </w:t>
      </w:r>
      <w:r w:rsidR="00FA5975" w:rsidRPr="001B28E6">
        <w:rPr>
          <w:rFonts w:ascii="Courier New" w:hAnsi="Courier New" w:cs="Courier New"/>
        </w:rPr>
        <w:t>§</w:t>
      </w:r>
      <w:r w:rsidR="009D4743">
        <w:rPr>
          <w:rFonts w:ascii="Courier New" w:hAnsi="Courier New" w:cs="Courier New"/>
        </w:rPr>
        <w:t>§</w:t>
      </w:r>
      <w:r w:rsidR="00FA5975" w:rsidRPr="001B28E6">
        <w:rPr>
          <w:rFonts w:ascii="Courier New" w:hAnsi="Courier New" w:cs="Courier New"/>
        </w:rPr>
        <w:t xml:space="preserve"> 59</w:t>
      </w:r>
      <w:r w:rsidR="009D4743">
        <w:rPr>
          <w:rFonts w:ascii="Courier New" w:hAnsi="Courier New" w:cs="Courier New"/>
        </w:rPr>
        <w:t>, 64 and 65</w:t>
      </w:r>
      <w:r w:rsidR="00D04210" w:rsidRPr="001B28E6">
        <w:rPr>
          <w:rFonts w:ascii="Courier New" w:hAnsi="Courier New" w:cs="Courier New"/>
        </w:rPr>
        <w:t>.</w:t>
      </w:r>
    </w:p>
    <w:p w14:paraId="7A61834A" w14:textId="18B16C51" w:rsidR="001B28E6" w:rsidRPr="001B28E6" w:rsidRDefault="001B28E6" w:rsidP="001B28E6">
      <w:pPr>
        <w:pStyle w:val="BodyText"/>
        <w:ind w:firstLine="720"/>
        <w:jc w:val="both"/>
        <w:rPr>
          <w:rFonts w:ascii="Courier New" w:hAnsi="Courier New" w:cs="Courier New"/>
          <w:szCs w:val="24"/>
        </w:rPr>
      </w:pPr>
      <w:r>
        <w:rPr>
          <w:rFonts w:ascii="Courier New" w:hAnsi="Courier New" w:cs="Courier New"/>
          <w:bCs/>
          <w:iCs/>
          <w:szCs w:val="24"/>
        </w:rPr>
        <w:t>T</w:t>
      </w:r>
      <w:r w:rsidRPr="001B28E6">
        <w:rPr>
          <w:rFonts w:ascii="Courier New" w:hAnsi="Courier New" w:cs="Courier New"/>
          <w:bCs/>
          <w:iCs/>
          <w:szCs w:val="24"/>
        </w:rPr>
        <w:t>he second method of challenging the denial of a claim of exe</w:t>
      </w:r>
      <w:r>
        <w:rPr>
          <w:rFonts w:ascii="Courier New" w:hAnsi="Courier New" w:cs="Courier New"/>
          <w:bCs/>
          <w:iCs/>
          <w:szCs w:val="24"/>
        </w:rPr>
        <w:t>mption under Clause Third</w:t>
      </w:r>
      <w:r w:rsidRPr="001B28E6">
        <w:rPr>
          <w:rFonts w:ascii="Courier New" w:hAnsi="Courier New" w:cs="Courier New"/>
          <w:bCs/>
          <w:iCs/>
          <w:szCs w:val="24"/>
        </w:rPr>
        <w:t xml:space="preserve"> is a direct appeal to the Board pursuant to G.L. c. 59, § 5B.  Under § 5B, any </w:t>
      </w:r>
      <w:r w:rsidR="002B7E69">
        <w:rPr>
          <w:rFonts w:ascii="Courier New" w:hAnsi="Courier New" w:cs="Courier New"/>
          <w:bCs/>
          <w:iCs/>
          <w:szCs w:val="24"/>
        </w:rPr>
        <w:t>taxpayer who is aggrieved by a “determination”</w:t>
      </w:r>
      <w:r w:rsidRPr="001B28E6">
        <w:rPr>
          <w:rFonts w:ascii="Courier New" w:hAnsi="Courier New" w:cs="Courier New"/>
          <w:bCs/>
          <w:iCs/>
          <w:szCs w:val="24"/>
        </w:rPr>
        <w:t xml:space="preserve"> of a board of assessors </w:t>
      </w:r>
      <w:r w:rsidR="002B7E69">
        <w:rPr>
          <w:rFonts w:ascii="Courier New" w:hAnsi="Courier New" w:cs="Courier New"/>
          <w:bCs/>
          <w:iCs/>
          <w:szCs w:val="24"/>
        </w:rPr>
        <w:t xml:space="preserve">with respect to the </w:t>
      </w:r>
      <w:r w:rsidRPr="001B28E6">
        <w:rPr>
          <w:rFonts w:ascii="Courier New" w:hAnsi="Courier New" w:cs="Courier New"/>
          <w:bCs/>
          <w:iCs/>
          <w:szCs w:val="24"/>
        </w:rPr>
        <w:t xml:space="preserve">eligibility or </w:t>
      </w:r>
      <w:proofErr w:type="spellStart"/>
      <w:r w:rsidRPr="001B28E6">
        <w:rPr>
          <w:rFonts w:ascii="Courier New" w:hAnsi="Courier New" w:cs="Courier New"/>
          <w:bCs/>
          <w:iCs/>
          <w:szCs w:val="24"/>
        </w:rPr>
        <w:t>noneligi</w:t>
      </w:r>
      <w:r w:rsidR="009D4743">
        <w:rPr>
          <w:rFonts w:ascii="Courier New" w:hAnsi="Courier New" w:cs="Courier New"/>
          <w:bCs/>
          <w:iCs/>
          <w:szCs w:val="24"/>
        </w:rPr>
        <w:t>bility</w:t>
      </w:r>
      <w:proofErr w:type="spellEnd"/>
      <w:r w:rsidR="009D4743">
        <w:rPr>
          <w:rFonts w:ascii="Courier New" w:hAnsi="Courier New" w:cs="Courier New"/>
          <w:bCs/>
          <w:iCs/>
          <w:szCs w:val="24"/>
        </w:rPr>
        <w:t xml:space="preserve"> of a corporation or trust</w:t>
      </w:r>
      <w:r w:rsidR="00AA42AE">
        <w:rPr>
          <w:rFonts w:ascii="Courier New" w:hAnsi="Courier New" w:cs="Courier New"/>
          <w:bCs/>
          <w:iCs/>
          <w:szCs w:val="24"/>
        </w:rPr>
        <w:t xml:space="preserve"> for</w:t>
      </w:r>
      <w:r w:rsidRPr="001B28E6">
        <w:rPr>
          <w:rFonts w:ascii="Courier New" w:hAnsi="Courier New" w:cs="Courier New"/>
          <w:bCs/>
          <w:iCs/>
          <w:szCs w:val="24"/>
        </w:rPr>
        <w:t xml:space="preserve"> exemption under Clause Third may appeal directly to this Board withi</w:t>
      </w:r>
      <w:r w:rsidR="00FA6014">
        <w:rPr>
          <w:rFonts w:ascii="Courier New" w:hAnsi="Courier New" w:cs="Courier New"/>
          <w:bCs/>
          <w:iCs/>
          <w:szCs w:val="24"/>
        </w:rPr>
        <w:t>n three months of that</w:t>
      </w:r>
      <w:r w:rsidRPr="001B28E6">
        <w:rPr>
          <w:rFonts w:ascii="Courier New" w:hAnsi="Courier New" w:cs="Courier New"/>
          <w:bCs/>
          <w:iCs/>
          <w:szCs w:val="24"/>
        </w:rPr>
        <w:t xml:space="preserve"> </w:t>
      </w:r>
      <w:r w:rsidR="002B7E69">
        <w:rPr>
          <w:rFonts w:ascii="Courier New" w:hAnsi="Courier New" w:cs="Courier New"/>
          <w:bCs/>
          <w:iCs/>
          <w:szCs w:val="24"/>
        </w:rPr>
        <w:t>“</w:t>
      </w:r>
      <w:r w:rsidRPr="001B28E6">
        <w:rPr>
          <w:rFonts w:ascii="Courier New" w:hAnsi="Courier New" w:cs="Courier New"/>
          <w:bCs/>
          <w:iCs/>
          <w:szCs w:val="24"/>
        </w:rPr>
        <w:t>determination.</w:t>
      </w:r>
      <w:r w:rsidR="00FA6014">
        <w:rPr>
          <w:rFonts w:ascii="Courier New" w:hAnsi="Courier New" w:cs="Courier New"/>
          <w:bCs/>
          <w:iCs/>
          <w:szCs w:val="24"/>
        </w:rPr>
        <w:t>”</w:t>
      </w:r>
      <w:r w:rsidRPr="001B28E6">
        <w:rPr>
          <w:rFonts w:ascii="Courier New" w:hAnsi="Courier New" w:cs="Courier New"/>
          <w:bCs/>
          <w:iCs/>
          <w:szCs w:val="24"/>
        </w:rPr>
        <w:t xml:space="preserve">  </w:t>
      </w:r>
      <w:r w:rsidRPr="00C1013C">
        <w:rPr>
          <w:rFonts w:ascii="Courier New" w:hAnsi="Courier New" w:cs="Courier New"/>
          <w:bCs/>
          <w:iCs/>
          <w:szCs w:val="24"/>
        </w:rPr>
        <w:t xml:space="preserve">The Board in </w:t>
      </w:r>
      <w:r w:rsidR="003E39F8" w:rsidRPr="00C1013C">
        <w:rPr>
          <w:rFonts w:ascii="Courier New" w:hAnsi="Courier New" w:cs="Courier New"/>
          <w:b/>
          <w:bCs/>
          <w:i/>
          <w:iCs/>
          <w:szCs w:val="24"/>
        </w:rPr>
        <w:t>Trustees of Reservations</w:t>
      </w:r>
      <w:r w:rsidRPr="00C1013C">
        <w:rPr>
          <w:rFonts w:ascii="Courier New" w:hAnsi="Courier New" w:cs="Courier New"/>
          <w:b/>
          <w:bCs/>
          <w:i/>
          <w:iCs/>
          <w:szCs w:val="24"/>
        </w:rPr>
        <w:t xml:space="preserve"> </w:t>
      </w:r>
      <w:r w:rsidRPr="00C1013C">
        <w:rPr>
          <w:rFonts w:ascii="Courier New" w:hAnsi="Courier New" w:cs="Courier New"/>
          <w:bCs/>
          <w:iCs/>
          <w:szCs w:val="24"/>
        </w:rPr>
        <w:t>ruled</w:t>
      </w:r>
      <w:r w:rsidRPr="001B28E6">
        <w:rPr>
          <w:rFonts w:ascii="Courier New" w:hAnsi="Courier New" w:cs="Courier New"/>
          <w:bCs/>
          <w:iCs/>
          <w:szCs w:val="24"/>
        </w:rPr>
        <w:t xml:space="preserve"> that </w:t>
      </w:r>
      <w:r w:rsidR="00AA42AE">
        <w:rPr>
          <w:rFonts w:ascii="Courier New" w:hAnsi="Courier New" w:cs="Courier New"/>
          <w:bCs/>
          <w:iCs/>
          <w:szCs w:val="24"/>
        </w:rPr>
        <w:t>t</w:t>
      </w:r>
      <w:r w:rsidRPr="001B28E6">
        <w:rPr>
          <w:rFonts w:ascii="Courier New" w:hAnsi="Courier New" w:cs="Courier New"/>
          <w:szCs w:val="24"/>
        </w:rPr>
        <w:t>he “</w:t>
      </w:r>
      <w:r w:rsidR="00FA6014">
        <w:rPr>
          <w:rFonts w:ascii="Courier New" w:hAnsi="Courier New" w:cs="Courier New"/>
          <w:szCs w:val="24"/>
        </w:rPr>
        <w:t xml:space="preserve">determination” </w:t>
      </w:r>
      <w:r w:rsidR="00AA42AE">
        <w:rPr>
          <w:rFonts w:ascii="Courier New" w:hAnsi="Courier New" w:cs="Courier New"/>
          <w:szCs w:val="24"/>
        </w:rPr>
        <w:t xml:space="preserve">from </w:t>
      </w:r>
      <w:r w:rsidRPr="001B28E6">
        <w:rPr>
          <w:rFonts w:ascii="Courier New" w:hAnsi="Courier New" w:cs="Courier New"/>
          <w:szCs w:val="24"/>
        </w:rPr>
        <w:t xml:space="preserve">which the charitable entity appeals under § 5B is </w:t>
      </w:r>
      <w:r w:rsidR="00492D46">
        <w:rPr>
          <w:rFonts w:ascii="Courier New" w:hAnsi="Courier New" w:cs="Courier New"/>
          <w:szCs w:val="24"/>
        </w:rPr>
        <w:t>the mailing</w:t>
      </w:r>
      <w:r w:rsidR="009D4743">
        <w:rPr>
          <w:rFonts w:ascii="Courier New" w:hAnsi="Courier New" w:cs="Courier New"/>
          <w:szCs w:val="24"/>
        </w:rPr>
        <w:t xml:space="preserve"> of the tax bill </w:t>
      </w:r>
      <w:r w:rsidR="00DA67C4">
        <w:rPr>
          <w:rFonts w:ascii="Courier New" w:hAnsi="Courier New" w:cs="Courier New"/>
          <w:szCs w:val="24"/>
        </w:rPr>
        <w:t>relating to</w:t>
      </w:r>
      <w:r w:rsidR="008A31FE">
        <w:rPr>
          <w:rFonts w:ascii="Courier New" w:hAnsi="Courier New" w:cs="Courier New"/>
          <w:szCs w:val="24"/>
        </w:rPr>
        <w:t xml:space="preserve"> the property that</w:t>
      </w:r>
      <w:r w:rsidRPr="001B28E6">
        <w:rPr>
          <w:rFonts w:ascii="Courier New" w:hAnsi="Courier New" w:cs="Courier New"/>
          <w:szCs w:val="24"/>
        </w:rPr>
        <w:t xml:space="preserve"> the entity claims is exempt under Clause Third</w:t>
      </w:r>
      <w:r w:rsidR="009D4743">
        <w:rPr>
          <w:rFonts w:ascii="Courier New" w:hAnsi="Courier New" w:cs="Courier New"/>
          <w:szCs w:val="24"/>
        </w:rPr>
        <w:t>.</w:t>
      </w:r>
      <w:r w:rsidR="003E39F8">
        <w:rPr>
          <w:rFonts w:ascii="Courier New" w:hAnsi="Courier New" w:cs="Courier New"/>
          <w:szCs w:val="24"/>
        </w:rPr>
        <w:t xml:space="preserve"> </w:t>
      </w:r>
      <w:r w:rsidR="00AF1C54">
        <w:rPr>
          <w:rFonts w:ascii="Courier New" w:hAnsi="Courier New" w:cs="Courier New"/>
          <w:szCs w:val="24"/>
        </w:rPr>
        <w:t xml:space="preserve"> </w:t>
      </w:r>
      <w:r w:rsidR="00AF1C54">
        <w:rPr>
          <w:rFonts w:ascii="Courier New" w:hAnsi="Courier New" w:cs="Courier New"/>
        </w:rPr>
        <w:t>Mass. ATB Findings of Fact and Reports at 1991-</w:t>
      </w:r>
      <w:r w:rsidR="00C1013C" w:rsidRPr="00C1013C">
        <w:rPr>
          <w:rFonts w:ascii="Courier New" w:hAnsi="Courier New" w:cs="Courier New"/>
        </w:rPr>
        <w:t>235</w:t>
      </w:r>
      <w:r w:rsidR="00C1013C">
        <w:rPr>
          <w:rFonts w:ascii="Courier New" w:hAnsi="Courier New" w:cs="Courier New"/>
        </w:rPr>
        <w:t xml:space="preserve">-37; </w:t>
      </w:r>
      <w:r w:rsidR="00C1013C" w:rsidRPr="00B26992">
        <w:rPr>
          <w:rFonts w:ascii="Courier New" w:hAnsi="Courier New" w:cs="Courier New"/>
          <w:i/>
        </w:rPr>
        <w:t>see also</w:t>
      </w:r>
      <w:r w:rsidR="00C1013C">
        <w:rPr>
          <w:rFonts w:ascii="Courier New" w:hAnsi="Courier New" w:cs="Courier New"/>
        </w:rPr>
        <w:t xml:space="preserve"> </w:t>
      </w:r>
      <w:r w:rsidR="00C1013C" w:rsidRPr="004E797B">
        <w:rPr>
          <w:rFonts w:ascii="Courier New" w:hAnsi="Courier New" w:cs="Courier New"/>
          <w:b/>
          <w:i/>
        </w:rPr>
        <w:t>Samson Foundation Charitable Trust v. Board of Assessors of the City of Springfield</w:t>
      </w:r>
      <w:r w:rsidR="00C1013C">
        <w:rPr>
          <w:rFonts w:ascii="Courier New" w:hAnsi="Courier New" w:cs="Courier New"/>
        </w:rPr>
        <w:t xml:space="preserve">, </w:t>
      </w:r>
      <w:r w:rsidR="00492D46">
        <w:rPr>
          <w:rFonts w:ascii="Courier New" w:hAnsi="Courier New" w:cs="Courier New"/>
        </w:rPr>
        <w:t xml:space="preserve">Mass. </w:t>
      </w:r>
      <w:r w:rsidR="00C1013C">
        <w:rPr>
          <w:rFonts w:ascii="Courier New" w:hAnsi="Courier New" w:cs="Courier New"/>
        </w:rPr>
        <w:t xml:space="preserve">ATB </w:t>
      </w:r>
      <w:r w:rsidR="00C1013C" w:rsidRPr="004E797B">
        <w:rPr>
          <w:rFonts w:ascii="Courier New" w:hAnsi="Courier New" w:cs="Courier New"/>
        </w:rPr>
        <w:t>Findings of Fact and Reports</w:t>
      </w:r>
      <w:r w:rsidR="00C1013C">
        <w:rPr>
          <w:rFonts w:ascii="Courier New" w:hAnsi="Courier New" w:cs="Courier New"/>
        </w:rPr>
        <w:t xml:space="preserve"> 2004-150, 158. </w:t>
      </w:r>
      <w:r w:rsidR="00746072">
        <w:rPr>
          <w:rFonts w:ascii="Courier New" w:hAnsi="Courier New" w:cs="Courier New"/>
          <w:szCs w:val="24"/>
        </w:rPr>
        <w:t xml:space="preserve"> </w:t>
      </w:r>
      <w:r w:rsidR="00AF1C54">
        <w:rPr>
          <w:rFonts w:ascii="Courier New" w:hAnsi="Courier New" w:cs="Courier New"/>
          <w:szCs w:val="24"/>
        </w:rPr>
        <w:t xml:space="preserve">The </w:t>
      </w:r>
      <w:r w:rsidR="003E39F8">
        <w:rPr>
          <w:rFonts w:ascii="Courier New" w:hAnsi="Courier New" w:cs="Courier New"/>
          <w:szCs w:val="24"/>
        </w:rPr>
        <w:t xml:space="preserve">Appeals </w:t>
      </w:r>
      <w:r w:rsidR="00AF1C54">
        <w:rPr>
          <w:rFonts w:ascii="Courier New" w:hAnsi="Courier New" w:cs="Courier New"/>
          <w:szCs w:val="24"/>
        </w:rPr>
        <w:t>C</w:t>
      </w:r>
      <w:r w:rsidR="001939A1">
        <w:rPr>
          <w:rFonts w:ascii="Courier New" w:hAnsi="Courier New" w:cs="Courier New"/>
          <w:szCs w:val="24"/>
        </w:rPr>
        <w:t xml:space="preserve">ourt agreed that the determination date </w:t>
      </w:r>
      <w:r w:rsidR="0049523B">
        <w:rPr>
          <w:rFonts w:ascii="Courier New" w:hAnsi="Courier New" w:cs="Courier New"/>
          <w:szCs w:val="24"/>
        </w:rPr>
        <w:t>“</w:t>
      </w:r>
      <w:r w:rsidR="001939A1">
        <w:rPr>
          <w:rFonts w:ascii="Courier New" w:hAnsi="Courier New" w:cs="Courier New"/>
          <w:szCs w:val="24"/>
        </w:rPr>
        <w:t>will ordinarily be the date a local board of assessors mail</w:t>
      </w:r>
      <w:r w:rsidR="009F26AA">
        <w:rPr>
          <w:rFonts w:ascii="Courier New" w:hAnsi="Courier New" w:cs="Courier New"/>
          <w:szCs w:val="24"/>
        </w:rPr>
        <w:t>[s]</w:t>
      </w:r>
      <w:r w:rsidR="001939A1">
        <w:rPr>
          <w:rFonts w:ascii="Courier New" w:hAnsi="Courier New" w:cs="Courier New"/>
          <w:szCs w:val="24"/>
        </w:rPr>
        <w:t xml:space="preserve"> the fiscal year tax bills.”</w:t>
      </w:r>
      <w:r w:rsidR="00746072">
        <w:rPr>
          <w:rFonts w:ascii="Courier New" w:hAnsi="Courier New" w:cs="Courier New"/>
          <w:szCs w:val="24"/>
        </w:rPr>
        <w:t xml:space="preserve"> </w:t>
      </w:r>
      <w:r w:rsidR="00BC72E5">
        <w:rPr>
          <w:rFonts w:ascii="Courier New" w:hAnsi="Courier New" w:cs="Courier New"/>
          <w:szCs w:val="24"/>
        </w:rPr>
        <w:t xml:space="preserve"> </w:t>
      </w:r>
      <w:proofErr w:type="gramStart"/>
      <w:r w:rsidR="00746072" w:rsidRPr="00746072">
        <w:rPr>
          <w:rFonts w:ascii="Courier New" w:hAnsi="Courier New" w:cs="Courier New"/>
          <w:b/>
          <w:i/>
          <w:szCs w:val="24"/>
        </w:rPr>
        <w:t>William B. Rice Eventide Home, Inc. v. Assessors of Quincy</w:t>
      </w:r>
      <w:r w:rsidR="00746072">
        <w:rPr>
          <w:rFonts w:ascii="Courier New" w:hAnsi="Courier New" w:cs="Courier New"/>
          <w:szCs w:val="24"/>
        </w:rPr>
        <w:t>, 69</w:t>
      </w:r>
      <w:r w:rsidR="00BC72E5">
        <w:rPr>
          <w:rFonts w:ascii="Courier New" w:hAnsi="Courier New" w:cs="Courier New"/>
          <w:szCs w:val="24"/>
        </w:rPr>
        <w:t xml:space="preserve"> Mass. App. Ct. 867,</w:t>
      </w:r>
      <w:r w:rsidR="0049523B">
        <w:rPr>
          <w:rFonts w:ascii="Courier New" w:hAnsi="Courier New" w:cs="Courier New"/>
          <w:szCs w:val="24"/>
        </w:rPr>
        <w:t xml:space="preserve"> 876</w:t>
      </w:r>
      <w:r w:rsidR="00BC72E5">
        <w:rPr>
          <w:rFonts w:ascii="Courier New" w:hAnsi="Courier New" w:cs="Courier New"/>
          <w:szCs w:val="24"/>
        </w:rPr>
        <w:t xml:space="preserve"> (2007).</w:t>
      </w:r>
      <w:proofErr w:type="gramEnd"/>
    </w:p>
    <w:p w14:paraId="6105A207" w14:textId="7EBA9E34" w:rsidR="00057124" w:rsidRDefault="00E759BB" w:rsidP="001B28E6">
      <w:pPr>
        <w:spacing w:line="480" w:lineRule="auto"/>
        <w:ind w:firstLine="720"/>
        <w:jc w:val="both"/>
        <w:rPr>
          <w:rFonts w:ascii="Courier New" w:hAnsi="Courier New" w:cs="Courier New"/>
        </w:rPr>
      </w:pPr>
      <w:r>
        <w:rPr>
          <w:rFonts w:ascii="Courier New" w:hAnsi="Courier New" w:cs="Courier New"/>
        </w:rPr>
        <w:t>Under the facts of</w:t>
      </w:r>
      <w:r w:rsidR="009159DC">
        <w:rPr>
          <w:rFonts w:ascii="Courier New" w:hAnsi="Courier New" w:cs="Courier New"/>
        </w:rPr>
        <w:t xml:space="preserve"> this appeal</w:t>
      </w:r>
      <w:r>
        <w:rPr>
          <w:rFonts w:ascii="Courier New" w:hAnsi="Courier New" w:cs="Courier New"/>
        </w:rPr>
        <w:t>, the date of the assessors’ “determination</w:t>
      </w:r>
      <w:r w:rsidR="00C54798">
        <w:rPr>
          <w:rFonts w:ascii="Courier New" w:hAnsi="Courier New" w:cs="Courier New"/>
        </w:rPr>
        <w:t>” was December 27, 2013, the date of the mailing of</w:t>
      </w:r>
      <w:r>
        <w:rPr>
          <w:rFonts w:ascii="Courier New" w:hAnsi="Courier New" w:cs="Courier New"/>
        </w:rPr>
        <w:t xml:space="preserve"> the </w:t>
      </w:r>
      <w:r w:rsidR="00C54798">
        <w:rPr>
          <w:rFonts w:ascii="Courier New" w:hAnsi="Courier New" w:cs="Courier New"/>
        </w:rPr>
        <w:t xml:space="preserve">town’s </w:t>
      </w:r>
      <w:r w:rsidR="005F5069">
        <w:rPr>
          <w:rFonts w:ascii="Courier New" w:hAnsi="Courier New" w:cs="Courier New"/>
        </w:rPr>
        <w:t>third-</w:t>
      </w:r>
      <w:r>
        <w:rPr>
          <w:rFonts w:ascii="Courier New" w:hAnsi="Courier New" w:cs="Courier New"/>
        </w:rPr>
        <w:t xml:space="preserve">quarter </w:t>
      </w:r>
      <w:r w:rsidR="003D596B">
        <w:rPr>
          <w:rFonts w:ascii="Courier New" w:hAnsi="Courier New" w:cs="Courier New"/>
        </w:rPr>
        <w:t>tax bill</w:t>
      </w:r>
      <w:r w:rsidR="00C54798">
        <w:rPr>
          <w:rFonts w:ascii="Courier New" w:hAnsi="Courier New" w:cs="Courier New"/>
        </w:rPr>
        <w:t>s</w:t>
      </w:r>
      <w:r w:rsidR="003E7CC6">
        <w:rPr>
          <w:rFonts w:ascii="Courier New" w:hAnsi="Courier New" w:cs="Courier New"/>
        </w:rPr>
        <w:t xml:space="preserve"> for fiscal year 2014</w:t>
      </w:r>
      <w:r>
        <w:rPr>
          <w:rFonts w:ascii="Courier New" w:hAnsi="Courier New" w:cs="Courier New"/>
        </w:rPr>
        <w:t>.</w:t>
      </w:r>
      <w:r w:rsidR="006D0C47">
        <w:rPr>
          <w:rFonts w:ascii="Courier New" w:hAnsi="Courier New" w:cs="Courier New"/>
        </w:rPr>
        <w:t xml:space="preserve">  </w:t>
      </w:r>
      <w:r w:rsidR="006D0C47">
        <w:rPr>
          <w:rFonts w:ascii="Courier New" w:hAnsi="Courier New" w:cs="Courier New"/>
        </w:rPr>
        <w:lastRenderedPageBreak/>
        <w:t>Pursuant to § 5B, TJMC would have had</w:t>
      </w:r>
      <w:r w:rsidR="00744CDC">
        <w:rPr>
          <w:rFonts w:ascii="Courier New" w:hAnsi="Courier New" w:cs="Courier New"/>
        </w:rPr>
        <w:t xml:space="preserve"> three months from that date, until</w:t>
      </w:r>
      <w:r w:rsidR="006D0C47">
        <w:rPr>
          <w:rFonts w:ascii="Courier New" w:hAnsi="Courier New" w:cs="Courier New"/>
        </w:rPr>
        <w:t xml:space="preserve"> March 27, 2014, to</w:t>
      </w:r>
      <w:r>
        <w:rPr>
          <w:rFonts w:ascii="Courier New" w:hAnsi="Courier New" w:cs="Courier New"/>
        </w:rPr>
        <w:t xml:space="preserve"> </w:t>
      </w:r>
      <w:r w:rsidR="006D0C47">
        <w:rPr>
          <w:rFonts w:ascii="Courier New" w:hAnsi="Courier New" w:cs="Courier New"/>
        </w:rPr>
        <w:t xml:space="preserve">file its appeal with the Board.  However, TJMC did not file the appeal for fiscal year 2014 until July 23, </w:t>
      </w:r>
      <w:r w:rsidR="005F5069">
        <w:rPr>
          <w:rFonts w:ascii="Courier New" w:hAnsi="Courier New" w:cs="Courier New"/>
        </w:rPr>
        <w:t>2014, well beyond the three-month</w:t>
      </w:r>
      <w:r w:rsidR="006D0C47">
        <w:rPr>
          <w:rFonts w:ascii="Courier New" w:hAnsi="Courier New" w:cs="Courier New"/>
        </w:rPr>
        <w:t xml:space="preserve"> period of §</w:t>
      </w:r>
      <w:r w:rsidR="000F096F">
        <w:rPr>
          <w:rFonts w:ascii="Courier New" w:hAnsi="Courier New" w:cs="Courier New"/>
        </w:rPr>
        <w:t xml:space="preserve"> 5B.  Therefore, the Board </w:t>
      </w:r>
      <w:r w:rsidR="006D0C47">
        <w:rPr>
          <w:rFonts w:ascii="Courier New" w:hAnsi="Courier New" w:cs="Courier New"/>
        </w:rPr>
        <w:t>does not have jurisdiction to hear and decide the appeal for fiscal year 2014 pursuant to § 5B.</w:t>
      </w:r>
    </w:p>
    <w:p w14:paraId="4D09EA2C" w14:textId="3FBA781E" w:rsidR="000F096F" w:rsidRDefault="000F096F" w:rsidP="00051665">
      <w:pPr>
        <w:spacing w:line="480" w:lineRule="auto"/>
        <w:ind w:firstLine="720"/>
        <w:jc w:val="both"/>
        <w:rPr>
          <w:rFonts w:ascii="Courier New" w:hAnsi="Courier New" w:cs="Courier New"/>
        </w:rPr>
      </w:pPr>
      <w:r>
        <w:rPr>
          <w:rFonts w:ascii="Courier New" w:hAnsi="Courier New" w:cs="Courier New"/>
        </w:rPr>
        <w:t>Because the Board has no jurisdiction under either § 5B or §§ 64 and 65,</w:t>
      </w:r>
      <w:r w:rsidR="00426898">
        <w:rPr>
          <w:rFonts w:ascii="Courier New" w:hAnsi="Courier New" w:cs="Courier New"/>
        </w:rPr>
        <w:t xml:space="preserve"> the Board allowed the appellee’s Post-Trial Motion to Dismiss</w:t>
      </w:r>
      <w:r w:rsidR="006D0C47">
        <w:rPr>
          <w:rFonts w:ascii="Courier New" w:hAnsi="Courier New" w:cs="Courier New"/>
        </w:rPr>
        <w:t xml:space="preserve"> </w:t>
      </w:r>
      <w:r w:rsidR="00192E37">
        <w:rPr>
          <w:rFonts w:ascii="Courier New" w:hAnsi="Courier New" w:cs="Courier New"/>
        </w:rPr>
        <w:t xml:space="preserve">for Lack of Jurisdiction </w:t>
      </w:r>
      <w:r>
        <w:rPr>
          <w:rFonts w:ascii="Courier New" w:hAnsi="Courier New" w:cs="Courier New"/>
        </w:rPr>
        <w:t xml:space="preserve">and issued a decision for the appellee </w:t>
      </w:r>
      <w:r w:rsidR="006D0C47">
        <w:rPr>
          <w:rFonts w:ascii="Courier New" w:hAnsi="Courier New" w:cs="Courier New"/>
        </w:rPr>
        <w:t>for fiscal year 2014.</w:t>
      </w:r>
    </w:p>
    <w:p w14:paraId="77C19804" w14:textId="72325622" w:rsidR="00D05674" w:rsidRDefault="001958B6" w:rsidP="001958B6">
      <w:pPr>
        <w:jc w:val="both"/>
        <w:rPr>
          <w:rFonts w:ascii="Courier New" w:hAnsi="Courier New" w:cs="Courier New"/>
          <w:i/>
        </w:rPr>
      </w:pPr>
      <w:r w:rsidRPr="001958B6">
        <w:rPr>
          <w:rFonts w:ascii="Courier New" w:hAnsi="Courier New" w:cs="Courier New"/>
          <w:i/>
        </w:rPr>
        <w:t xml:space="preserve">2. </w:t>
      </w:r>
      <w:r w:rsidR="00D05674">
        <w:rPr>
          <w:rFonts w:ascii="Courier New" w:hAnsi="Courier New" w:cs="Courier New"/>
          <w:i/>
        </w:rPr>
        <w:t xml:space="preserve"> </w:t>
      </w:r>
      <w:r w:rsidR="00530EA7">
        <w:rPr>
          <w:rFonts w:ascii="Courier New" w:hAnsi="Courier New" w:cs="Courier New"/>
          <w:i/>
        </w:rPr>
        <w:t>The subject properties do not</w:t>
      </w:r>
      <w:r w:rsidRPr="001958B6">
        <w:rPr>
          <w:rFonts w:ascii="Courier New" w:hAnsi="Courier New" w:cs="Courier New"/>
          <w:i/>
        </w:rPr>
        <w:t xml:space="preserve"> q</w:t>
      </w:r>
      <w:r w:rsidR="00530EA7">
        <w:rPr>
          <w:rFonts w:ascii="Courier New" w:hAnsi="Courier New" w:cs="Courier New"/>
          <w:i/>
        </w:rPr>
        <w:t>ualify</w:t>
      </w:r>
      <w:r w:rsidRPr="001958B6">
        <w:rPr>
          <w:rFonts w:ascii="Courier New" w:hAnsi="Courier New" w:cs="Courier New"/>
          <w:i/>
        </w:rPr>
        <w:t xml:space="preserve"> for the charitable </w:t>
      </w:r>
    </w:p>
    <w:p w14:paraId="0D2D6E83" w14:textId="57CC87DF" w:rsidR="001958B6" w:rsidRPr="001958B6" w:rsidRDefault="00D05674" w:rsidP="001958B6">
      <w:pPr>
        <w:jc w:val="both"/>
        <w:rPr>
          <w:rFonts w:ascii="Courier New" w:hAnsi="Courier New" w:cs="Courier New"/>
          <w:i/>
        </w:rPr>
      </w:pPr>
      <w:r>
        <w:rPr>
          <w:rFonts w:ascii="Courier New" w:hAnsi="Courier New" w:cs="Courier New"/>
          <w:i/>
        </w:rPr>
        <w:t xml:space="preserve">    </w:t>
      </w:r>
      <w:proofErr w:type="gramStart"/>
      <w:r w:rsidR="001958B6" w:rsidRPr="001958B6">
        <w:rPr>
          <w:rFonts w:ascii="Courier New" w:hAnsi="Courier New" w:cs="Courier New"/>
          <w:i/>
        </w:rPr>
        <w:t>exemption</w:t>
      </w:r>
      <w:proofErr w:type="gramEnd"/>
      <w:r w:rsidR="00530EA7">
        <w:rPr>
          <w:rFonts w:ascii="Courier New" w:hAnsi="Courier New" w:cs="Courier New"/>
          <w:i/>
        </w:rPr>
        <w:t xml:space="preserve"> of Clause Third</w:t>
      </w:r>
      <w:r w:rsidR="005268B6">
        <w:rPr>
          <w:rFonts w:ascii="Courier New" w:hAnsi="Courier New" w:cs="Courier New"/>
          <w:i/>
        </w:rPr>
        <w:t>.</w:t>
      </w:r>
    </w:p>
    <w:p w14:paraId="6409A9CA" w14:textId="77777777" w:rsidR="00743720" w:rsidRDefault="00743720" w:rsidP="001958B6">
      <w:pPr>
        <w:ind w:firstLine="720"/>
        <w:jc w:val="both"/>
      </w:pPr>
    </w:p>
    <w:p w14:paraId="167A205D" w14:textId="0B082FFD" w:rsidR="00242BDD" w:rsidRDefault="00492D46" w:rsidP="00242BDD">
      <w:pPr>
        <w:spacing w:line="480" w:lineRule="auto"/>
        <w:ind w:firstLine="720"/>
        <w:jc w:val="both"/>
        <w:rPr>
          <w:rFonts w:ascii="Courier New" w:hAnsi="Courier New" w:cs="Courier New"/>
        </w:rPr>
      </w:pPr>
      <w:r>
        <w:rPr>
          <w:rFonts w:ascii="Courier New" w:hAnsi="Courier New" w:cs="Courier New"/>
        </w:rPr>
        <w:t>Massachusetts</w:t>
      </w:r>
      <w:r w:rsidR="00242BDD">
        <w:rPr>
          <w:rFonts w:ascii="Courier New" w:hAnsi="Courier New" w:cs="Courier New"/>
        </w:rPr>
        <w:t xml:space="preserve"> Courts and this Board have historically understood that taxation is the rule and exemptions from taxation are the exception:  “Normally all property of a taxable nature should contribute its proportionate share to the support of the State.”  </w:t>
      </w:r>
      <w:proofErr w:type="gramStart"/>
      <w:r w:rsidR="00242BDD" w:rsidRPr="001303A3">
        <w:rPr>
          <w:rFonts w:ascii="Courier New" w:hAnsi="Courier New" w:cs="Courier New"/>
          <w:b/>
          <w:i/>
        </w:rPr>
        <w:t>Boston Chamber of Commerce v. Assessors of Boston</w:t>
      </w:r>
      <w:r w:rsidR="00242BDD">
        <w:rPr>
          <w:rFonts w:ascii="Courier New" w:hAnsi="Courier New" w:cs="Courier New"/>
        </w:rPr>
        <w:t>, 315 Mass. 712, 716 (1944).</w:t>
      </w:r>
      <w:proofErr w:type="gramEnd"/>
      <w:r w:rsidR="00242BDD">
        <w:rPr>
          <w:rFonts w:ascii="Courier New" w:hAnsi="Courier New" w:cs="Courier New"/>
        </w:rPr>
        <w:t xml:space="preserve">  Exemptions from property taxation thus “have generally been viewed with a ‘hostile eye,’ . . . as matters of special favor or grace to be recognized only where the property falls ‘clearly and unequivocally . . . within the terms of the exemption.’” </w:t>
      </w:r>
      <w:proofErr w:type="gramStart"/>
      <w:r w:rsidR="00242BDD" w:rsidRPr="001303A3">
        <w:rPr>
          <w:rFonts w:ascii="Courier New" w:hAnsi="Courier New" w:cs="Courier New"/>
          <w:b/>
          <w:i/>
        </w:rPr>
        <w:t>Trustees of Boston University v. Assessors of Brookline</w:t>
      </w:r>
      <w:r w:rsidR="00242BDD">
        <w:rPr>
          <w:rFonts w:ascii="Courier New" w:hAnsi="Courier New" w:cs="Courier New"/>
        </w:rPr>
        <w:t>, 11 Mass. App. Ct. 325, 331 (1981).</w:t>
      </w:r>
      <w:proofErr w:type="gramEnd"/>
      <w:r w:rsidR="00242BDD">
        <w:rPr>
          <w:rFonts w:ascii="Courier New" w:hAnsi="Courier New" w:cs="Courier New"/>
        </w:rPr>
        <w:t xml:space="preserve">  </w:t>
      </w:r>
    </w:p>
    <w:p w14:paraId="3A38B32E" w14:textId="2DD4EF5D" w:rsidR="00116317" w:rsidRDefault="00242BDD" w:rsidP="00242BDD">
      <w:pPr>
        <w:spacing w:line="480" w:lineRule="auto"/>
        <w:ind w:firstLine="720"/>
        <w:jc w:val="both"/>
        <w:rPr>
          <w:rFonts w:ascii="Courier New" w:hAnsi="Courier New" w:cs="Courier New"/>
        </w:rPr>
      </w:pPr>
      <w:r w:rsidRPr="00970686">
        <w:rPr>
          <w:rFonts w:ascii="Courier New" w:hAnsi="Courier New" w:cs="Courier New"/>
        </w:rPr>
        <w:lastRenderedPageBreak/>
        <w:t xml:space="preserve"> </w:t>
      </w:r>
      <w:r w:rsidR="008D16DE" w:rsidRPr="00970686">
        <w:rPr>
          <w:rFonts w:ascii="Courier New" w:hAnsi="Courier New" w:cs="Courier New"/>
        </w:rPr>
        <w:t xml:space="preserve">“A corporation claiming that its property is exempt under § 5, Third, has the burden of proving that it comes within the exemption, and that it is in fact operated as a public charity.”  </w:t>
      </w:r>
      <w:r w:rsidR="008D16DE" w:rsidRPr="00970686">
        <w:rPr>
          <w:rFonts w:ascii="Courier New" w:hAnsi="Courier New" w:cs="Courier New"/>
          <w:b/>
          <w:i/>
        </w:rPr>
        <w:t>Town of Norwood v. Norwood Civic Association</w:t>
      </w:r>
      <w:r w:rsidR="008D16DE" w:rsidRPr="00970686">
        <w:rPr>
          <w:rFonts w:ascii="Courier New" w:hAnsi="Courier New" w:cs="Courier New"/>
        </w:rPr>
        <w:t>, 340 Mass. 518, 525 (1960) (</w:t>
      </w:r>
      <w:r w:rsidR="008D16DE" w:rsidRPr="00970686">
        <w:rPr>
          <w:rFonts w:ascii="Courier New" w:hAnsi="Courier New" w:cs="Courier New"/>
          <w:iCs/>
        </w:rPr>
        <w:t>citing</w:t>
      </w:r>
      <w:r w:rsidR="008D16DE" w:rsidRPr="00970686">
        <w:rPr>
          <w:rFonts w:ascii="Courier New" w:hAnsi="Courier New" w:cs="Courier New"/>
        </w:rPr>
        <w:t xml:space="preserve"> </w:t>
      </w:r>
      <w:r w:rsidR="008D16DE" w:rsidRPr="00970686">
        <w:rPr>
          <w:rFonts w:ascii="Courier New" w:hAnsi="Courier New" w:cs="Courier New"/>
          <w:b/>
          <w:i/>
        </w:rPr>
        <w:t>American Inst. for Economic Research v. Assessors of Great Barrington</w:t>
      </w:r>
      <w:r w:rsidR="008D16DE" w:rsidRPr="00970686">
        <w:rPr>
          <w:rFonts w:ascii="Courier New" w:hAnsi="Courier New" w:cs="Courier New"/>
        </w:rPr>
        <w:t xml:space="preserve">, 324 Mass. 509, 512-14 (1949)).  </w:t>
      </w:r>
      <w:r w:rsidR="00FB36D5">
        <w:rPr>
          <w:rFonts w:ascii="Courier New" w:hAnsi="Courier New" w:cs="Courier New"/>
        </w:rPr>
        <w:t>The mere fact that an entity claiming a property tax exemption is organized as a charitable corporation or has Code § 501(c</w:t>
      </w:r>
      <w:proofErr w:type="gramStart"/>
      <w:r w:rsidR="00FB36D5">
        <w:rPr>
          <w:rFonts w:ascii="Courier New" w:hAnsi="Courier New" w:cs="Courier New"/>
        </w:rPr>
        <w:t>)(</w:t>
      </w:r>
      <w:proofErr w:type="gramEnd"/>
      <w:r w:rsidR="00FB36D5">
        <w:rPr>
          <w:rFonts w:ascii="Courier New" w:hAnsi="Courier New" w:cs="Courier New"/>
        </w:rPr>
        <w:t>3) status</w:t>
      </w:r>
      <w:r w:rsidR="00116317" w:rsidRPr="0018754A">
        <w:rPr>
          <w:rFonts w:ascii="Courier New" w:hAnsi="Courier New" w:cs="Courier New"/>
          <w:color w:val="333333"/>
        </w:rPr>
        <w:t xml:space="preserve"> is not sufficient to establish it as a “charitable organization” for purposes of Clause Third.  </w:t>
      </w:r>
      <w:proofErr w:type="gramStart"/>
      <w:r w:rsidR="00116317" w:rsidRPr="0018754A">
        <w:rPr>
          <w:rFonts w:ascii="Courier New" w:hAnsi="Courier New" w:cs="Courier New"/>
          <w:b/>
          <w:i/>
        </w:rPr>
        <w:t xml:space="preserve">Western Massachusetts </w:t>
      </w:r>
      <w:proofErr w:type="spellStart"/>
      <w:r w:rsidR="00116317" w:rsidRPr="0018754A">
        <w:rPr>
          <w:rFonts w:ascii="Courier New" w:hAnsi="Courier New" w:cs="Courier New"/>
          <w:b/>
          <w:i/>
        </w:rPr>
        <w:t>Lifecare</w:t>
      </w:r>
      <w:proofErr w:type="spellEnd"/>
      <w:r w:rsidR="00116317" w:rsidRPr="0018754A">
        <w:rPr>
          <w:rFonts w:ascii="Courier New" w:hAnsi="Courier New" w:cs="Courier New"/>
          <w:b/>
          <w:i/>
        </w:rPr>
        <w:t xml:space="preserve"> Corp.</w:t>
      </w:r>
      <w:r w:rsidR="00CB07AF">
        <w:rPr>
          <w:rFonts w:ascii="Courier New" w:hAnsi="Courier New" w:cs="Courier New"/>
          <w:b/>
          <w:i/>
        </w:rPr>
        <w:t xml:space="preserve"> v. Assessors of Springfield</w:t>
      </w:r>
      <w:r w:rsidR="00116317" w:rsidRPr="0018754A">
        <w:rPr>
          <w:rFonts w:ascii="Courier New" w:hAnsi="Courier New" w:cs="Courier New"/>
          <w:b/>
          <w:i/>
        </w:rPr>
        <w:t xml:space="preserve">, </w:t>
      </w:r>
      <w:r w:rsidR="00CB07AF">
        <w:rPr>
          <w:rFonts w:ascii="Courier New" w:hAnsi="Courier New" w:cs="Courier New"/>
        </w:rPr>
        <w:t>434</w:t>
      </w:r>
      <w:r w:rsidR="00416C7A">
        <w:rPr>
          <w:rFonts w:ascii="Courier New" w:hAnsi="Courier New" w:cs="Courier New"/>
        </w:rPr>
        <w:t> </w:t>
      </w:r>
      <w:r w:rsidR="00CB07AF">
        <w:rPr>
          <w:rFonts w:ascii="Courier New" w:hAnsi="Courier New" w:cs="Courier New"/>
        </w:rPr>
        <w:t>Mass. 96,</w:t>
      </w:r>
      <w:r w:rsidR="00116317" w:rsidRPr="0018754A">
        <w:rPr>
          <w:rFonts w:ascii="Courier New" w:hAnsi="Courier New" w:cs="Courier New"/>
        </w:rPr>
        <w:t xml:space="preserve"> 102</w:t>
      </w:r>
      <w:r w:rsidR="00CB07AF">
        <w:rPr>
          <w:rFonts w:ascii="Courier New" w:hAnsi="Courier New" w:cs="Courier New"/>
        </w:rPr>
        <w:t xml:space="preserve"> (2001)</w:t>
      </w:r>
      <w:r w:rsidR="00116317" w:rsidRPr="0018754A">
        <w:rPr>
          <w:rFonts w:ascii="Courier New" w:hAnsi="Courier New" w:cs="Courier New"/>
        </w:rPr>
        <w:t>.</w:t>
      </w:r>
      <w:proofErr w:type="gramEnd"/>
      <w:r w:rsidR="00116317" w:rsidRPr="0018754A">
        <w:rPr>
          <w:rFonts w:ascii="Courier New" w:hAnsi="Courier New" w:cs="Courier New"/>
        </w:rPr>
        <w:t xml:space="preserve">  Nor are the stated purposes in its articles of organization sufficient to qualify it as a charity for </w:t>
      </w:r>
      <w:r w:rsidR="00F91D51">
        <w:rPr>
          <w:rFonts w:ascii="Courier New" w:hAnsi="Courier New" w:cs="Courier New"/>
        </w:rPr>
        <w:t>purposes of Clause Third; r</w:t>
      </w:r>
      <w:r w:rsidR="00116317" w:rsidRPr="0018754A">
        <w:rPr>
          <w:rFonts w:ascii="Courier New" w:hAnsi="Courier New" w:cs="Courier New"/>
        </w:rPr>
        <w:t xml:space="preserve">ather, it must prove that “it is in fact so conducted that in actual operation it is a public charity.”  </w:t>
      </w:r>
      <w:proofErr w:type="gramStart"/>
      <w:r w:rsidR="00116317" w:rsidRPr="0018754A">
        <w:rPr>
          <w:rFonts w:ascii="Courier New" w:hAnsi="Courier New" w:cs="Courier New"/>
          <w:b/>
          <w:i/>
        </w:rPr>
        <w:t xml:space="preserve">Jacob’s Pillow Dance Festival, Inc. v. Assessors of Becket, </w:t>
      </w:r>
      <w:r w:rsidR="00116317" w:rsidRPr="0018754A">
        <w:rPr>
          <w:rFonts w:ascii="Courier New" w:hAnsi="Courier New" w:cs="Courier New"/>
        </w:rPr>
        <w:t>320 Mass. 311, 313 (1946).</w:t>
      </w:r>
      <w:proofErr w:type="gramEnd"/>
      <w:r w:rsidR="00116317" w:rsidRPr="0018754A">
        <w:rPr>
          <w:rFonts w:ascii="Courier New" w:hAnsi="Courier New" w:cs="Courier New"/>
        </w:rPr>
        <w:t xml:space="preserve">  </w:t>
      </w:r>
    </w:p>
    <w:p w14:paraId="2E260EB3" w14:textId="69951140" w:rsidR="008F040F" w:rsidRDefault="00941DC9" w:rsidP="007566AA">
      <w:pPr>
        <w:spacing w:line="480" w:lineRule="auto"/>
        <w:jc w:val="both"/>
        <w:rPr>
          <w:rFonts w:ascii="Courier New" w:hAnsi="Courier New" w:cs="Courier New"/>
          <w:color w:val="000000"/>
        </w:rPr>
      </w:pPr>
      <w:r>
        <w:rPr>
          <w:rFonts w:ascii="Courier New" w:hAnsi="Courier New" w:cs="Courier New"/>
        </w:rPr>
        <w:tab/>
      </w:r>
      <w:r w:rsidR="007D38E0">
        <w:rPr>
          <w:rFonts w:ascii="Courier New" w:hAnsi="Courier New" w:cs="Courier New"/>
        </w:rPr>
        <w:t>C</w:t>
      </w:r>
      <w:r w:rsidR="0070451A" w:rsidRPr="0018754A">
        <w:rPr>
          <w:rFonts w:ascii="Courier New" w:hAnsi="Courier New" w:cs="Courier New"/>
        </w:rPr>
        <w:t xml:space="preserve">ourts and this Board have </w:t>
      </w:r>
      <w:r w:rsidR="007D38E0">
        <w:rPr>
          <w:rFonts w:ascii="Courier New" w:hAnsi="Courier New" w:cs="Courier New"/>
        </w:rPr>
        <w:t xml:space="preserve">customarily </w:t>
      </w:r>
      <w:r w:rsidR="00F7632C">
        <w:rPr>
          <w:rFonts w:ascii="Courier New" w:hAnsi="Courier New" w:cs="Courier New"/>
        </w:rPr>
        <w:t>considered a number</w:t>
      </w:r>
      <w:r w:rsidR="0070451A" w:rsidRPr="0018754A">
        <w:rPr>
          <w:rFonts w:ascii="Courier New" w:hAnsi="Courier New" w:cs="Courier New"/>
        </w:rPr>
        <w:t xml:space="preserve"> of </w:t>
      </w:r>
      <w:r w:rsidR="00FB36D5">
        <w:rPr>
          <w:rFonts w:ascii="Courier New" w:hAnsi="Courier New" w:cs="Courier New"/>
        </w:rPr>
        <w:t>“</w:t>
      </w:r>
      <w:r w:rsidR="0070451A" w:rsidRPr="0018754A">
        <w:rPr>
          <w:rFonts w:ascii="Courier New" w:hAnsi="Courier New" w:cs="Courier New"/>
        </w:rPr>
        <w:t>non-determinative factors</w:t>
      </w:r>
      <w:r w:rsidR="00FB36D5">
        <w:rPr>
          <w:rFonts w:ascii="Courier New" w:hAnsi="Courier New" w:cs="Courier New"/>
        </w:rPr>
        <w:t>”</w:t>
      </w:r>
      <w:r w:rsidR="0070451A" w:rsidRPr="0018754A">
        <w:rPr>
          <w:rFonts w:ascii="Courier New" w:hAnsi="Courier New" w:cs="Courier New"/>
        </w:rPr>
        <w:t xml:space="preserve"> in deciding whether an organization is charitable</w:t>
      </w:r>
      <w:r w:rsidR="00A16A76">
        <w:rPr>
          <w:rFonts w:ascii="Courier New" w:hAnsi="Courier New" w:cs="Courier New"/>
        </w:rPr>
        <w:t xml:space="preserve"> for purposes of Clause Third.</w:t>
      </w:r>
      <w:r w:rsidR="0070451A" w:rsidRPr="0018754A">
        <w:rPr>
          <w:rFonts w:ascii="Courier New" w:hAnsi="Courier New" w:cs="Courier New"/>
        </w:rPr>
        <w:t xml:space="preserve"> </w:t>
      </w:r>
      <w:r w:rsidR="005B284F">
        <w:rPr>
          <w:rFonts w:ascii="Courier New" w:hAnsi="Courier New" w:cs="Courier New"/>
        </w:rPr>
        <w:t xml:space="preserve"> </w:t>
      </w:r>
      <w:proofErr w:type="gramStart"/>
      <w:r w:rsidR="005B284F" w:rsidRPr="0018754A">
        <w:rPr>
          <w:rFonts w:ascii="Courier New" w:hAnsi="Courier New" w:cs="Courier New"/>
          <w:b/>
          <w:i/>
        </w:rPr>
        <w:t>New Habitat, Inc.</w:t>
      </w:r>
      <w:r w:rsidR="005B284F">
        <w:rPr>
          <w:rFonts w:ascii="Courier New" w:hAnsi="Courier New" w:cs="Courier New"/>
          <w:b/>
          <w:i/>
        </w:rPr>
        <w:t xml:space="preserve"> v. Tax Collector of Cambridge</w:t>
      </w:r>
      <w:r w:rsidR="005B284F" w:rsidRPr="0018754A">
        <w:rPr>
          <w:rFonts w:ascii="Courier New" w:hAnsi="Courier New" w:cs="Courier New"/>
          <w:b/>
          <w:i/>
        </w:rPr>
        <w:t xml:space="preserve">, </w:t>
      </w:r>
      <w:r w:rsidR="005B284F">
        <w:rPr>
          <w:rFonts w:ascii="Courier New" w:hAnsi="Courier New" w:cs="Courier New"/>
        </w:rPr>
        <w:t>451 Mass. 729,</w:t>
      </w:r>
      <w:r w:rsidR="005B284F" w:rsidRPr="0018754A">
        <w:rPr>
          <w:rFonts w:ascii="Courier New" w:hAnsi="Courier New" w:cs="Courier New"/>
        </w:rPr>
        <w:t xml:space="preserve"> 73</w:t>
      </w:r>
      <w:r w:rsidR="005B284F">
        <w:rPr>
          <w:rFonts w:ascii="Courier New" w:hAnsi="Courier New" w:cs="Courier New"/>
        </w:rPr>
        <w:t>2 (2008).</w:t>
      </w:r>
      <w:proofErr w:type="gramEnd"/>
      <w:r w:rsidR="005B284F" w:rsidRPr="0018754A">
        <w:rPr>
          <w:rFonts w:ascii="Courier New" w:hAnsi="Courier New" w:cs="Courier New"/>
        </w:rPr>
        <w:t xml:space="preserve"> </w:t>
      </w:r>
      <w:r w:rsidR="0070451A" w:rsidRPr="0018754A">
        <w:rPr>
          <w:rFonts w:ascii="Courier New" w:hAnsi="Courier New" w:cs="Courier New"/>
        </w:rPr>
        <w:t xml:space="preserve"> How much weight any particular factor will be given depends on how close an organization’s “dominant purposes and methods are to traditionally charitable purposes and methods.”  </w:t>
      </w:r>
      <w:r w:rsidR="005B284F" w:rsidRPr="005B284F">
        <w:rPr>
          <w:rFonts w:ascii="Courier New" w:hAnsi="Courier New" w:cs="Courier New"/>
          <w:b/>
          <w:i/>
        </w:rPr>
        <w:lastRenderedPageBreak/>
        <w:t>Id</w:t>
      </w:r>
      <w:r w:rsidR="005B284F">
        <w:rPr>
          <w:rFonts w:ascii="Courier New" w:hAnsi="Courier New" w:cs="Courier New"/>
        </w:rPr>
        <w:t xml:space="preserve">. at 733 </w:t>
      </w:r>
      <w:r w:rsidR="00970686">
        <w:rPr>
          <w:rFonts w:ascii="Courier New" w:hAnsi="Courier New" w:cs="Courier New"/>
        </w:rPr>
        <w:t>(citing</w:t>
      </w:r>
      <w:r w:rsidR="00970686" w:rsidRPr="00970686">
        <w:rPr>
          <w:rFonts w:ascii="Courier New" w:hAnsi="Courier New" w:cs="Courier New"/>
          <w:color w:val="000000"/>
        </w:rPr>
        <w:t xml:space="preserve"> </w:t>
      </w:r>
      <w:r w:rsidR="00970686" w:rsidRPr="00970686">
        <w:rPr>
          <w:rFonts w:ascii="Courier New" w:hAnsi="Courier New" w:cs="Courier New"/>
          <w:b/>
          <w:i/>
          <w:color w:val="000000"/>
        </w:rPr>
        <w:t>Boston Chamber of Commerce v. Assessors of Boston</w:t>
      </w:r>
      <w:r w:rsidR="0040189F">
        <w:rPr>
          <w:rFonts w:ascii="Courier New" w:hAnsi="Courier New" w:cs="Courier New"/>
          <w:color w:val="000000"/>
        </w:rPr>
        <w:t>, 315 Mass. 712,</w:t>
      </w:r>
      <w:r w:rsidR="00970686" w:rsidRPr="00970686">
        <w:rPr>
          <w:rFonts w:ascii="Courier New" w:hAnsi="Courier New" w:cs="Courier New"/>
          <w:color w:val="000000"/>
        </w:rPr>
        <w:t xml:space="preserve"> 718</w:t>
      </w:r>
      <w:r w:rsidR="0040189F">
        <w:rPr>
          <w:rFonts w:ascii="Courier New" w:hAnsi="Courier New" w:cs="Courier New"/>
          <w:color w:val="000000"/>
        </w:rPr>
        <w:t xml:space="preserve"> (1941)</w:t>
      </w:r>
      <w:r w:rsidR="00970686">
        <w:rPr>
          <w:rFonts w:ascii="Courier New" w:hAnsi="Courier New" w:cs="Courier New"/>
          <w:color w:val="000000"/>
        </w:rPr>
        <w:t>)</w:t>
      </w:r>
      <w:r w:rsidR="00970686" w:rsidRPr="00970686">
        <w:rPr>
          <w:rFonts w:ascii="Courier New" w:hAnsi="Courier New" w:cs="Courier New"/>
          <w:color w:val="000000"/>
        </w:rPr>
        <w:t xml:space="preserve">. </w:t>
      </w:r>
      <w:r w:rsidR="007566AA">
        <w:rPr>
          <w:rFonts w:ascii="Courier New" w:hAnsi="Courier New" w:cs="Courier New"/>
          <w:color w:val="000000"/>
        </w:rPr>
        <w:t xml:space="preserve"> </w:t>
      </w:r>
      <w:r w:rsidR="00F7400D">
        <w:rPr>
          <w:rFonts w:ascii="Courier New" w:hAnsi="Courier New" w:cs="Courier New"/>
          <w:color w:val="000000"/>
        </w:rPr>
        <w:t>“T</w:t>
      </w:r>
      <w:r w:rsidR="00970686" w:rsidRPr="00970686">
        <w:rPr>
          <w:rFonts w:ascii="Courier New" w:hAnsi="Courier New" w:cs="Courier New"/>
          <w:color w:val="000000"/>
        </w:rPr>
        <w:t>he farther an organization's dominant purposes and methods are from traditionally charitable purposes and methods, the more significant these factors will be.</w:t>
      </w:r>
      <w:r w:rsidR="00970686">
        <w:rPr>
          <w:rFonts w:ascii="Courier New" w:hAnsi="Courier New" w:cs="Courier New"/>
          <w:color w:val="000000"/>
        </w:rPr>
        <w:t xml:space="preserve">” </w:t>
      </w:r>
      <w:r w:rsidR="00970686" w:rsidRPr="00B532B1">
        <w:rPr>
          <w:rFonts w:ascii="Courier New" w:hAnsi="Courier New" w:cs="Courier New"/>
          <w:b/>
          <w:i/>
          <w:color w:val="000000"/>
        </w:rPr>
        <w:t>Id</w:t>
      </w:r>
      <w:r w:rsidR="00970686">
        <w:rPr>
          <w:rFonts w:ascii="Courier New" w:hAnsi="Courier New" w:cs="Courier New"/>
          <w:color w:val="000000"/>
        </w:rPr>
        <w:t>.</w:t>
      </w:r>
      <w:r w:rsidR="00970686" w:rsidRPr="00970686">
        <w:rPr>
          <w:rFonts w:ascii="Courier New" w:hAnsi="Courier New" w:cs="Courier New"/>
          <w:color w:val="000000"/>
        </w:rPr>
        <w:t xml:space="preserve"> </w:t>
      </w:r>
      <w:r w:rsidR="0049193F">
        <w:rPr>
          <w:rFonts w:ascii="Courier New" w:hAnsi="Courier New" w:cs="Courier New"/>
          <w:color w:val="000000"/>
        </w:rPr>
        <w:t>(cit</w:t>
      </w:r>
      <w:r w:rsidR="00970686">
        <w:rPr>
          <w:rFonts w:ascii="Courier New" w:hAnsi="Courier New" w:cs="Courier New"/>
          <w:color w:val="000000"/>
        </w:rPr>
        <w:t xml:space="preserve">ing </w:t>
      </w:r>
      <w:r w:rsidR="00970686" w:rsidRPr="00B532B1">
        <w:rPr>
          <w:rFonts w:ascii="Courier New" w:hAnsi="Courier New" w:cs="Courier New"/>
          <w:b/>
          <w:i/>
          <w:color w:val="000000"/>
        </w:rPr>
        <w:t>Boston Chamber of Commerce</w:t>
      </w:r>
      <w:r w:rsidR="0040189F">
        <w:rPr>
          <w:rFonts w:ascii="Courier New" w:hAnsi="Courier New" w:cs="Courier New"/>
          <w:color w:val="000000"/>
        </w:rPr>
        <w:t>, 315 Mass. at</w:t>
      </w:r>
      <w:r w:rsidR="00970686">
        <w:rPr>
          <w:rFonts w:ascii="Courier New" w:hAnsi="Courier New" w:cs="Courier New"/>
          <w:color w:val="000000"/>
        </w:rPr>
        <w:t xml:space="preserve"> 718 (</w:t>
      </w:r>
      <w:r w:rsidR="00F91D51">
        <w:rPr>
          <w:rFonts w:ascii="Courier New" w:hAnsi="Courier New" w:cs="Courier New"/>
          <w:color w:val="000000"/>
        </w:rPr>
        <w:t xml:space="preserve">ruling that </w:t>
      </w:r>
      <w:r w:rsidR="00970686">
        <w:rPr>
          <w:rFonts w:ascii="Courier New" w:hAnsi="Courier New" w:cs="Courier New"/>
          <w:color w:val="000000"/>
        </w:rPr>
        <w:t>“</w:t>
      </w:r>
      <w:r w:rsidR="00970686" w:rsidRPr="00970686">
        <w:rPr>
          <w:rFonts w:ascii="Courier New" w:hAnsi="Courier New" w:cs="Courier New"/>
          <w:color w:val="000000"/>
        </w:rPr>
        <w:t>the more remote the objects and methods become from the traditionally recognized objects and methods the more care must be taken to preserve sound principles and to avoid unwarranted exemptions</w:t>
      </w:r>
      <w:r w:rsidR="00970686">
        <w:rPr>
          <w:rFonts w:ascii="Courier New" w:hAnsi="Courier New" w:cs="Courier New"/>
          <w:color w:val="000000"/>
        </w:rPr>
        <w:t xml:space="preserve"> from the burdens of government</w:t>
      </w:r>
      <w:r w:rsidR="00DA67C4">
        <w:rPr>
          <w:rFonts w:ascii="Courier New" w:hAnsi="Courier New" w:cs="Courier New"/>
          <w:color w:val="000000"/>
        </w:rPr>
        <w:t>.</w:t>
      </w:r>
      <w:r w:rsidR="00970686">
        <w:rPr>
          <w:rFonts w:ascii="Courier New" w:hAnsi="Courier New" w:cs="Courier New"/>
          <w:color w:val="000000"/>
        </w:rPr>
        <w:t>”</w:t>
      </w:r>
      <w:r w:rsidR="00970686" w:rsidRPr="00970686">
        <w:rPr>
          <w:rFonts w:ascii="Courier New" w:hAnsi="Courier New" w:cs="Courier New"/>
          <w:color w:val="000000"/>
        </w:rPr>
        <w:t>)</w:t>
      </w:r>
      <w:r w:rsidR="00970686">
        <w:rPr>
          <w:rFonts w:ascii="Courier New" w:hAnsi="Courier New" w:cs="Courier New"/>
          <w:color w:val="000000"/>
        </w:rPr>
        <w:t>) (other citation omitted).</w:t>
      </w:r>
      <w:r w:rsidR="00970686" w:rsidRPr="00970686">
        <w:rPr>
          <w:rFonts w:ascii="Courier New" w:hAnsi="Courier New" w:cs="Courier New"/>
          <w:color w:val="000000"/>
        </w:rPr>
        <w:t xml:space="preserve"> </w:t>
      </w:r>
    </w:p>
    <w:p w14:paraId="1AB89C40" w14:textId="518C4B6C" w:rsidR="000D3C9A" w:rsidRPr="00970686" w:rsidRDefault="000D3C9A" w:rsidP="000D3C9A">
      <w:pPr>
        <w:spacing w:line="480" w:lineRule="auto"/>
        <w:ind w:firstLine="720"/>
        <w:jc w:val="both"/>
        <w:rPr>
          <w:rFonts w:ascii="Courier New" w:hAnsi="Courier New" w:cs="Courier New"/>
        </w:rPr>
      </w:pPr>
      <w:r w:rsidRPr="00A16A76">
        <w:rPr>
          <w:rFonts w:ascii="Courier New" w:hAnsi="Courier New" w:cs="Courier New"/>
        </w:rPr>
        <w:t>Among the factors to consider</w:t>
      </w:r>
      <w:r>
        <w:rPr>
          <w:rFonts w:ascii="Courier New" w:hAnsi="Courier New" w:cs="Courier New"/>
        </w:rPr>
        <w:t xml:space="preserve"> i</w:t>
      </w:r>
      <w:r w:rsidRPr="00E34C3F">
        <w:rPr>
          <w:rFonts w:ascii="Courier New" w:hAnsi="Courier New" w:cs="Courier New"/>
        </w:rPr>
        <w:t>n determining whether an organization is in fact occupying property in furtherance of its charitabl</w:t>
      </w:r>
      <w:r w:rsidR="0049193F">
        <w:rPr>
          <w:rFonts w:ascii="Courier New" w:hAnsi="Courier New" w:cs="Courier New"/>
        </w:rPr>
        <w:t>e purpose is</w:t>
      </w:r>
      <w:r w:rsidRPr="00E34C3F">
        <w:rPr>
          <w:rFonts w:ascii="Courier New" w:hAnsi="Courier New" w:cs="Courier New"/>
        </w:rPr>
        <w:t xml:space="preserve"> </w:t>
      </w:r>
      <w:r w:rsidRPr="00A16A76">
        <w:rPr>
          <w:rFonts w:ascii="Courier New" w:hAnsi="Courier New" w:cs="Courier New"/>
        </w:rPr>
        <w:t>whether the organization at issue offers its services or benefits “to a large and ‘fluid’ group of beneficiaries.”  </w:t>
      </w:r>
      <w:r w:rsidRPr="00A16A76">
        <w:rPr>
          <w:rFonts w:ascii="Courier New" w:hAnsi="Courier New" w:cs="Courier New"/>
          <w:i/>
        </w:rPr>
        <w:t xml:space="preserve">See, e.g. </w:t>
      </w:r>
      <w:r w:rsidR="005B4CFE">
        <w:rPr>
          <w:rFonts w:ascii="Courier New" w:hAnsi="Courier New" w:cs="Courier New"/>
          <w:b/>
          <w:i/>
        </w:rPr>
        <w:t>New Habitat</w:t>
      </w:r>
      <w:r w:rsidRPr="00A16A76">
        <w:rPr>
          <w:rFonts w:ascii="Courier New" w:hAnsi="Courier New" w:cs="Courier New"/>
          <w:b/>
          <w:i/>
        </w:rPr>
        <w:t xml:space="preserve">, </w:t>
      </w:r>
      <w:r w:rsidR="00101465">
        <w:rPr>
          <w:rFonts w:ascii="Courier New" w:hAnsi="Courier New" w:cs="Courier New"/>
        </w:rPr>
        <w:t>451 Mass. at 732</w:t>
      </w:r>
      <w:r w:rsidRPr="00A16A76">
        <w:rPr>
          <w:rFonts w:ascii="Courier New" w:hAnsi="Courier New" w:cs="Courier New"/>
        </w:rPr>
        <w:t xml:space="preserve"> (quoting </w:t>
      </w:r>
      <w:r w:rsidRPr="00A16A76">
        <w:rPr>
          <w:rFonts w:ascii="Courier New" w:hAnsi="Courier New" w:cs="Courier New"/>
          <w:b/>
          <w:i/>
        </w:rPr>
        <w:t>New England Legal Foundation</w:t>
      </w:r>
      <w:r w:rsidR="003C306B">
        <w:rPr>
          <w:rFonts w:ascii="Courier New" w:hAnsi="Courier New" w:cs="Courier New"/>
          <w:b/>
          <w:i/>
        </w:rPr>
        <w:t xml:space="preserve"> v. Assessors of Boston</w:t>
      </w:r>
      <w:r w:rsidRPr="00A16A76">
        <w:rPr>
          <w:rFonts w:ascii="Courier New" w:hAnsi="Courier New" w:cs="Courier New"/>
          <w:b/>
          <w:i/>
        </w:rPr>
        <w:t xml:space="preserve">, </w:t>
      </w:r>
      <w:r w:rsidR="003C306B">
        <w:rPr>
          <w:rFonts w:ascii="Courier New" w:hAnsi="Courier New" w:cs="Courier New"/>
        </w:rPr>
        <w:t>423 Mass. 602, 609 (1996)</w:t>
      </w:r>
      <w:r w:rsidRPr="00A16A76">
        <w:rPr>
          <w:rFonts w:ascii="Courier New" w:hAnsi="Courier New" w:cs="Courier New"/>
        </w:rPr>
        <w:t>).</w:t>
      </w:r>
      <w:r>
        <w:rPr>
          <w:rFonts w:ascii="Courier New" w:hAnsi="Courier New" w:cs="Courier New"/>
        </w:rPr>
        <w:t xml:space="preserve">  </w:t>
      </w:r>
      <w:r w:rsidRPr="00E34C3F">
        <w:rPr>
          <w:rFonts w:ascii="Courier New" w:hAnsi="Courier New" w:cs="Courier New"/>
        </w:rPr>
        <w:t xml:space="preserve">While charging a fee for services will not necessarily preclude charitable exemption, “the organization’s services must still be accessible to a sufficiently large and indefinite class of beneficiaries in order to be treated as a charitable organization.”  </w:t>
      </w:r>
      <w:r w:rsidRPr="00E34C3F">
        <w:rPr>
          <w:rFonts w:ascii="Courier New" w:hAnsi="Courier New" w:cs="Courier New"/>
          <w:b/>
          <w:bCs/>
          <w:i/>
          <w:iCs/>
        </w:rPr>
        <w:t xml:space="preserve">Western Massachusetts </w:t>
      </w:r>
      <w:proofErr w:type="spellStart"/>
      <w:r w:rsidRPr="00E34C3F">
        <w:rPr>
          <w:rFonts w:ascii="Courier New" w:hAnsi="Courier New" w:cs="Courier New"/>
          <w:b/>
          <w:bCs/>
          <w:i/>
          <w:iCs/>
        </w:rPr>
        <w:t>Lifecare</w:t>
      </w:r>
      <w:proofErr w:type="spellEnd"/>
      <w:r w:rsidRPr="00E34C3F">
        <w:rPr>
          <w:rFonts w:ascii="Courier New" w:hAnsi="Courier New" w:cs="Courier New"/>
        </w:rPr>
        <w:t xml:space="preserve">, 434 Mass. at 105.  In other words, it is necessary that “the persons who are to benefit are of a sufficiently large or indefinite class so that the community is </w:t>
      </w:r>
      <w:r w:rsidRPr="00E34C3F">
        <w:rPr>
          <w:rFonts w:ascii="Courier New" w:hAnsi="Courier New" w:cs="Courier New"/>
        </w:rPr>
        <w:lastRenderedPageBreak/>
        <w:t xml:space="preserve">benefited by its operations.”  </w:t>
      </w:r>
      <w:r w:rsidRPr="00E34C3F">
        <w:rPr>
          <w:rFonts w:ascii="Courier New" w:hAnsi="Courier New" w:cs="Courier New"/>
          <w:b/>
          <w:i/>
        </w:rPr>
        <w:t>Harvard Community Health Plan, Inc. v. Assessors of Cambridge</w:t>
      </w:r>
      <w:r w:rsidRPr="00E34C3F">
        <w:rPr>
          <w:rFonts w:ascii="Courier New" w:hAnsi="Courier New" w:cs="Courier New"/>
        </w:rPr>
        <w:t xml:space="preserve">, 384 Mass. 536, 543 (1981) (citing </w:t>
      </w:r>
      <w:r w:rsidRPr="00E34C3F">
        <w:rPr>
          <w:rFonts w:ascii="Courier New" w:hAnsi="Courier New" w:cs="Courier New"/>
          <w:b/>
          <w:bCs/>
          <w:i/>
          <w:iCs/>
        </w:rPr>
        <w:t>Children’s Hosp</w:t>
      </w:r>
      <w:r w:rsidR="00375A34">
        <w:rPr>
          <w:rFonts w:ascii="Courier New" w:hAnsi="Courier New" w:cs="Courier New"/>
          <w:b/>
          <w:bCs/>
          <w:i/>
          <w:iCs/>
        </w:rPr>
        <w:t xml:space="preserve">ital Medical Center v. </w:t>
      </w:r>
      <w:r w:rsidRPr="00E34C3F">
        <w:rPr>
          <w:rFonts w:ascii="Courier New" w:hAnsi="Courier New" w:cs="Courier New"/>
          <w:b/>
          <w:bCs/>
          <w:i/>
          <w:iCs/>
        </w:rPr>
        <w:t>Assessors of Boston</w:t>
      </w:r>
      <w:r w:rsidRPr="00E34C3F">
        <w:rPr>
          <w:rFonts w:ascii="Courier New" w:hAnsi="Courier New" w:cs="Courier New"/>
        </w:rPr>
        <w:t xml:space="preserve">, 353 Mass. 35, 44 (1967), </w:t>
      </w:r>
      <w:r w:rsidRPr="00E34C3F">
        <w:rPr>
          <w:rFonts w:ascii="Courier New" w:hAnsi="Courier New" w:cs="Courier New"/>
          <w:b/>
          <w:bCs/>
          <w:i/>
          <w:iCs/>
        </w:rPr>
        <w:t>Assessors of Boston v. Garland School of Home Making</w:t>
      </w:r>
      <w:r w:rsidRPr="00E34C3F">
        <w:rPr>
          <w:rFonts w:ascii="Courier New" w:hAnsi="Courier New" w:cs="Courier New"/>
        </w:rPr>
        <w:t xml:space="preserve">, 296 Mass. 378, 388-89 (1937), and 4 A. Scott, </w:t>
      </w:r>
      <w:r w:rsidRPr="00E34C3F">
        <w:rPr>
          <w:rFonts w:ascii="Courier New" w:hAnsi="Courier New" w:cs="Courier New"/>
          <w:b/>
          <w:bCs/>
          <w:i/>
          <w:iCs/>
        </w:rPr>
        <w:t>Trusts</w:t>
      </w:r>
      <w:r w:rsidRPr="00E34C3F">
        <w:rPr>
          <w:rFonts w:ascii="Courier New" w:hAnsi="Courier New" w:cs="Courier New"/>
        </w:rPr>
        <w:t xml:space="preserve"> at 2897-2898 (3d ed. 1967)).</w:t>
      </w:r>
      <w:r>
        <w:rPr>
          <w:rFonts w:ascii="Courier New" w:hAnsi="Courier New" w:cs="Courier New"/>
        </w:rPr>
        <w:t xml:space="preserve">  </w:t>
      </w:r>
    </w:p>
    <w:p w14:paraId="27613DE9" w14:textId="09C8F4BE" w:rsidR="000803CD" w:rsidRPr="00B555C8" w:rsidRDefault="007566AA" w:rsidP="007566AA">
      <w:pPr>
        <w:pStyle w:val="FootnoteText"/>
        <w:spacing w:line="480" w:lineRule="auto"/>
        <w:jc w:val="both"/>
        <w:rPr>
          <w:rFonts w:ascii="Courier New" w:hAnsi="Courier New" w:cs="Courier New"/>
        </w:rPr>
      </w:pPr>
      <w:r>
        <w:rPr>
          <w:rFonts w:ascii="Courier New" w:hAnsi="Courier New" w:cs="Courier New"/>
        </w:rPr>
        <w:tab/>
      </w:r>
      <w:r w:rsidR="000803CD" w:rsidRPr="00B555C8">
        <w:rPr>
          <w:rFonts w:ascii="Courier New" w:hAnsi="Courier New" w:cs="Courier New"/>
        </w:rPr>
        <w:t xml:space="preserve">The court in </w:t>
      </w:r>
      <w:r w:rsidR="000803CD" w:rsidRPr="00B555C8">
        <w:rPr>
          <w:rFonts w:ascii="Courier New" w:hAnsi="Courier New" w:cs="Courier New"/>
          <w:b/>
          <w:i/>
        </w:rPr>
        <w:t xml:space="preserve">New Habitat, </w:t>
      </w:r>
      <w:r w:rsidR="000803CD" w:rsidRPr="00B555C8">
        <w:rPr>
          <w:rFonts w:ascii="Courier New" w:hAnsi="Courier New" w:cs="Courier New"/>
        </w:rPr>
        <w:t>quoting a long-standing charitable-exemption precedent, characterized the “traditional ob</w:t>
      </w:r>
      <w:r w:rsidR="000803CD">
        <w:rPr>
          <w:rFonts w:ascii="Courier New" w:hAnsi="Courier New" w:cs="Courier New"/>
        </w:rPr>
        <w:t>jects and methods” of a Clause Third</w:t>
      </w:r>
      <w:r w:rsidR="000803CD" w:rsidRPr="00B555C8">
        <w:rPr>
          <w:rFonts w:ascii="Courier New" w:hAnsi="Courier New" w:cs="Courier New"/>
        </w:rPr>
        <w:t xml:space="preserve"> charity as follows: </w:t>
      </w:r>
    </w:p>
    <w:p w14:paraId="5890D462" w14:textId="77777777" w:rsidR="000803CD" w:rsidRPr="00E34E76" w:rsidRDefault="000803CD" w:rsidP="000803CD">
      <w:pPr>
        <w:ind w:left="810" w:right="720"/>
        <w:jc w:val="both"/>
        <w:rPr>
          <w:rFonts w:ascii="Courier New" w:hAnsi="Courier New" w:cs="Courier New"/>
        </w:rPr>
      </w:pPr>
      <w:r w:rsidRPr="00B555C8">
        <w:rPr>
          <w:rFonts w:ascii="Courier New" w:hAnsi="Courier New" w:cs="Courier New"/>
        </w:rPr>
        <w:t>“A charity in the legal sense, may be more fully</w:t>
      </w:r>
      <w:r w:rsidRPr="00E34E76">
        <w:rPr>
          <w:rFonts w:ascii="Courier New" w:hAnsi="Courier New" w:cs="Courier New"/>
        </w:rPr>
        <w:t xml:space="preserve"> defined as a gift, to be applied consistently with existing laws, for the benefit of an indefinite number of persons, either </w:t>
      </w:r>
      <w:r w:rsidRPr="00FB750D">
        <w:rPr>
          <w:rFonts w:ascii="Courier New" w:hAnsi="Courier New" w:cs="Courier New"/>
        </w:rPr>
        <w:t>by bringing their minds or hearts under the influence of</w:t>
      </w:r>
      <w:r w:rsidRPr="00E34E76">
        <w:rPr>
          <w:rFonts w:ascii="Courier New" w:hAnsi="Courier New" w:cs="Courier New"/>
          <w:b/>
          <w:i/>
        </w:rPr>
        <w:t xml:space="preserve"> </w:t>
      </w:r>
      <w:r w:rsidRPr="00A23EC2">
        <w:rPr>
          <w:rFonts w:ascii="Courier New" w:hAnsi="Courier New" w:cs="Courier New"/>
        </w:rPr>
        <w:t>education or</w:t>
      </w:r>
      <w:r w:rsidRPr="00E34E76">
        <w:rPr>
          <w:rFonts w:ascii="Courier New" w:hAnsi="Courier New" w:cs="Courier New"/>
          <w:b/>
          <w:i/>
        </w:rPr>
        <w:t xml:space="preserve"> </w:t>
      </w:r>
      <w:r w:rsidRPr="00FB750D">
        <w:rPr>
          <w:rFonts w:ascii="Courier New" w:hAnsi="Courier New" w:cs="Courier New"/>
        </w:rPr>
        <w:t>religion, by relieving their bodies from disease, suffering or constraint, by assisting them to establish themselves in life,</w:t>
      </w:r>
      <w:r w:rsidRPr="00E34E76">
        <w:rPr>
          <w:rFonts w:ascii="Courier New" w:hAnsi="Courier New" w:cs="Courier New"/>
          <w:b/>
          <w:i/>
        </w:rPr>
        <w:t xml:space="preserve"> </w:t>
      </w:r>
      <w:r w:rsidRPr="00A23EC2">
        <w:rPr>
          <w:rFonts w:ascii="Courier New" w:hAnsi="Courier New" w:cs="Courier New"/>
        </w:rPr>
        <w:t>or by erecting or maintaining public buildings or works or otherwise lesse</w:t>
      </w:r>
      <w:r>
        <w:rPr>
          <w:rFonts w:ascii="Courier New" w:hAnsi="Courier New" w:cs="Courier New"/>
        </w:rPr>
        <w:t>ning the burdens of government.”</w:t>
      </w:r>
    </w:p>
    <w:p w14:paraId="47308B0B" w14:textId="77777777" w:rsidR="000803CD" w:rsidRDefault="000803CD" w:rsidP="000803CD">
      <w:pPr>
        <w:spacing w:line="480" w:lineRule="auto"/>
        <w:jc w:val="both"/>
        <w:rPr>
          <w:rFonts w:ascii="Courier New" w:hAnsi="Courier New" w:cs="Courier New"/>
          <w:b/>
          <w:i/>
        </w:rPr>
      </w:pPr>
    </w:p>
    <w:p w14:paraId="66A86D2A" w14:textId="6DCBC9A4" w:rsidR="007D5801" w:rsidRDefault="000803CD" w:rsidP="000803CD">
      <w:pPr>
        <w:spacing w:line="480" w:lineRule="auto"/>
        <w:jc w:val="both"/>
        <w:rPr>
          <w:rFonts w:ascii="Courier New" w:hAnsi="Courier New" w:cs="Courier New"/>
        </w:rPr>
      </w:pPr>
      <w:r w:rsidRPr="008A3D8D">
        <w:rPr>
          <w:rFonts w:ascii="Courier New" w:hAnsi="Courier New" w:cs="Courier New"/>
          <w:b/>
          <w:i/>
        </w:rPr>
        <w:t>New Habitat</w:t>
      </w:r>
      <w:r>
        <w:rPr>
          <w:rFonts w:ascii="Courier New" w:hAnsi="Courier New" w:cs="Courier New"/>
          <w:b/>
          <w:i/>
        </w:rPr>
        <w:t xml:space="preserve">, </w:t>
      </w:r>
      <w:r w:rsidRPr="008A3D8D">
        <w:rPr>
          <w:rFonts w:ascii="Courier New" w:hAnsi="Courier New" w:cs="Courier New"/>
        </w:rPr>
        <w:t xml:space="preserve">451 Mass. at 732 (quoting </w:t>
      </w:r>
      <w:r w:rsidRPr="008A3D8D">
        <w:rPr>
          <w:rFonts w:ascii="Courier New" w:hAnsi="Courier New" w:cs="Courier New"/>
          <w:b/>
          <w:i/>
        </w:rPr>
        <w:t xml:space="preserve">Jackson v. Phillips, </w:t>
      </w:r>
      <w:r w:rsidR="00375A34">
        <w:rPr>
          <w:rFonts w:ascii="Courier New" w:hAnsi="Courier New" w:cs="Courier New"/>
        </w:rPr>
        <w:t>96</w:t>
      </w:r>
      <w:r w:rsidR="00416C7A">
        <w:rPr>
          <w:rFonts w:ascii="Courier New" w:hAnsi="Courier New" w:cs="Courier New"/>
        </w:rPr>
        <w:t> </w:t>
      </w:r>
      <w:r w:rsidR="00375A34">
        <w:rPr>
          <w:rFonts w:ascii="Courier New" w:hAnsi="Courier New" w:cs="Courier New"/>
        </w:rPr>
        <w:t>Mass. 539,</w:t>
      </w:r>
      <w:r w:rsidRPr="008A3D8D">
        <w:rPr>
          <w:rFonts w:ascii="Courier New" w:hAnsi="Courier New" w:cs="Courier New"/>
        </w:rPr>
        <w:t xml:space="preserve"> 556 (1867)</w:t>
      </w:r>
      <w:r>
        <w:rPr>
          <w:rFonts w:ascii="Courier New" w:hAnsi="Courier New" w:cs="Courier New"/>
        </w:rPr>
        <w:t>)</w:t>
      </w:r>
      <w:r w:rsidRPr="008A3D8D">
        <w:rPr>
          <w:rFonts w:ascii="Courier New" w:hAnsi="Courier New" w:cs="Courier New"/>
        </w:rPr>
        <w:t>.</w:t>
      </w:r>
      <w:r>
        <w:rPr>
          <w:rFonts w:ascii="Courier New" w:hAnsi="Courier New" w:cs="Courier New"/>
        </w:rPr>
        <w:t xml:space="preserve">  </w:t>
      </w:r>
    </w:p>
    <w:p w14:paraId="1E5652D2" w14:textId="44554173" w:rsidR="00B0000D" w:rsidRDefault="00B0000D" w:rsidP="00B0000D">
      <w:pPr>
        <w:spacing w:line="480" w:lineRule="auto"/>
        <w:ind w:firstLine="720"/>
        <w:jc w:val="both"/>
        <w:rPr>
          <w:rFonts w:ascii="Courier New" w:hAnsi="Courier New" w:cs="Courier New"/>
        </w:rPr>
      </w:pPr>
      <w:r>
        <w:rPr>
          <w:rFonts w:ascii="Courier New" w:hAnsi="Courier New" w:cs="Courier New"/>
        </w:rPr>
        <w:t xml:space="preserve">While TJMC does not separately analyze the applicability of the charitable exemption to each of the two separate parcels of the subject properties, the Board recognized that the improved parcel and the vacant parcel function differently and therefore should be addressed separately.  </w:t>
      </w:r>
    </w:p>
    <w:p w14:paraId="16C3BC70" w14:textId="77777777" w:rsidR="00DA67C4" w:rsidRDefault="00DA67C4" w:rsidP="00B0000D">
      <w:pPr>
        <w:spacing w:line="480" w:lineRule="auto"/>
        <w:ind w:firstLine="720"/>
        <w:jc w:val="both"/>
        <w:rPr>
          <w:rFonts w:ascii="Courier New" w:hAnsi="Courier New" w:cs="Courier New"/>
        </w:rPr>
      </w:pPr>
    </w:p>
    <w:p w14:paraId="6E20D5A6" w14:textId="77777777" w:rsidR="00DA67C4" w:rsidRDefault="00DA67C4" w:rsidP="00B0000D">
      <w:pPr>
        <w:spacing w:line="480" w:lineRule="auto"/>
        <w:ind w:firstLine="720"/>
        <w:jc w:val="both"/>
        <w:rPr>
          <w:rFonts w:ascii="Courier New" w:hAnsi="Courier New" w:cs="Courier New"/>
        </w:rPr>
      </w:pPr>
    </w:p>
    <w:p w14:paraId="192C5E35" w14:textId="3DB31178" w:rsidR="00941DC9" w:rsidRPr="00B0000D" w:rsidRDefault="00B0000D" w:rsidP="00941DC9">
      <w:pPr>
        <w:spacing w:line="480" w:lineRule="auto"/>
        <w:jc w:val="both"/>
        <w:rPr>
          <w:rFonts w:ascii="Courier New" w:hAnsi="Courier New" w:cs="Courier New"/>
          <w:i/>
        </w:rPr>
      </w:pPr>
      <w:r>
        <w:rPr>
          <w:rFonts w:ascii="Courier New" w:hAnsi="Courier New" w:cs="Courier New"/>
          <w:i/>
        </w:rPr>
        <w:lastRenderedPageBreak/>
        <w:tab/>
      </w:r>
      <w:proofErr w:type="gramStart"/>
      <w:r w:rsidRPr="00941DC9">
        <w:rPr>
          <w:rFonts w:ascii="Courier New" w:hAnsi="Courier New" w:cs="Courier New"/>
          <w:i/>
        </w:rPr>
        <w:t>a</w:t>
      </w:r>
      <w:proofErr w:type="gramEnd"/>
      <w:r w:rsidRPr="00941DC9">
        <w:rPr>
          <w:rFonts w:ascii="Courier New" w:hAnsi="Courier New" w:cs="Courier New"/>
          <w:i/>
        </w:rPr>
        <w:t>. improved parcel</w:t>
      </w:r>
      <w:r>
        <w:rPr>
          <w:rFonts w:ascii="Courier New" w:hAnsi="Courier New" w:cs="Courier New"/>
        </w:rPr>
        <w:tab/>
      </w:r>
    </w:p>
    <w:p w14:paraId="141762E7" w14:textId="172F7F60" w:rsidR="00B54FA5" w:rsidRPr="00B57D56" w:rsidRDefault="00BA5C10" w:rsidP="00B57D56">
      <w:pPr>
        <w:pStyle w:val="BodyTextIndent2"/>
        <w:spacing w:after="0"/>
        <w:ind w:left="0" w:firstLine="720"/>
        <w:jc w:val="both"/>
        <w:rPr>
          <w:rFonts w:ascii="Courier New" w:hAnsi="Courier New" w:cs="Courier New"/>
        </w:rPr>
      </w:pPr>
      <w:r>
        <w:rPr>
          <w:rFonts w:ascii="Courier New" w:hAnsi="Courier New" w:cs="Courier New"/>
        </w:rPr>
        <w:t xml:space="preserve">TJMC contends that </w:t>
      </w:r>
      <w:r w:rsidR="00DA67C4">
        <w:rPr>
          <w:rFonts w:ascii="Courier New" w:hAnsi="Courier New" w:cs="Courier New"/>
        </w:rPr>
        <w:t xml:space="preserve">it used the subject properties in furtherance of its charitable purpose of promoting </w:t>
      </w:r>
      <w:r>
        <w:rPr>
          <w:rFonts w:ascii="Courier New" w:hAnsi="Courier New" w:cs="Courier New"/>
        </w:rPr>
        <w:t>patriotism, education of the public in the history of the Early Republi</w:t>
      </w:r>
      <w:r w:rsidR="00375A34">
        <w:rPr>
          <w:rFonts w:ascii="Courier New" w:hAnsi="Courier New" w:cs="Courier New"/>
        </w:rPr>
        <w:t>c, and maintenance of historic</w:t>
      </w:r>
      <w:r>
        <w:rPr>
          <w:rFonts w:ascii="Courier New" w:hAnsi="Courier New" w:cs="Courier New"/>
        </w:rPr>
        <w:t xml:space="preserve"> public buildings.  </w:t>
      </w:r>
      <w:r w:rsidR="00F7632C">
        <w:rPr>
          <w:rFonts w:ascii="Courier New" w:hAnsi="Courier New" w:cs="Courier New"/>
        </w:rPr>
        <w:t>Fostering patriotism and</w:t>
      </w:r>
      <w:r w:rsidR="00596D78">
        <w:rPr>
          <w:rFonts w:ascii="Courier New" w:hAnsi="Courier New" w:cs="Courier New"/>
        </w:rPr>
        <w:t xml:space="preserve"> </w:t>
      </w:r>
      <w:r w:rsidR="0049193F">
        <w:rPr>
          <w:rFonts w:ascii="Courier New" w:hAnsi="Courier New" w:cs="Courier New"/>
        </w:rPr>
        <w:t>educating the public</w:t>
      </w:r>
      <w:r w:rsidR="00F7632C">
        <w:rPr>
          <w:rFonts w:ascii="Courier New" w:hAnsi="Courier New" w:cs="Courier New"/>
        </w:rPr>
        <w:t xml:space="preserve"> concerning history</w:t>
      </w:r>
      <w:r w:rsidR="0049193F">
        <w:rPr>
          <w:rFonts w:ascii="Courier New" w:hAnsi="Courier New" w:cs="Courier New"/>
        </w:rPr>
        <w:t xml:space="preserve"> can be charitable activities within the meaning of Clause Third.  </w:t>
      </w:r>
      <w:proofErr w:type="gramStart"/>
      <w:r w:rsidR="0049193F" w:rsidRPr="0049193F">
        <w:rPr>
          <w:rFonts w:ascii="Courier New" w:hAnsi="Courier New" w:cs="Courier New"/>
          <w:i/>
        </w:rPr>
        <w:t>See</w:t>
      </w:r>
      <w:r w:rsidR="007566AA">
        <w:rPr>
          <w:rFonts w:ascii="Courier New" w:hAnsi="Courier New" w:cs="Courier New"/>
        </w:rPr>
        <w:t xml:space="preserve"> </w:t>
      </w:r>
      <w:r w:rsidR="00320CF0" w:rsidRPr="0045292C">
        <w:rPr>
          <w:rFonts w:ascii="Courier New" w:hAnsi="Courier New" w:cs="Courier New"/>
          <w:b/>
          <w:i/>
        </w:rPr>
        <w:t xml:space="preserve">Molly </w:t>
      </w:r>
      <w:proofErr w:type="spellStart"/>
      <w:r w:rsidR="00320CF0" w:rsidRPr="0045292C">
        <w:rPr>
          <w:rFonts w:ascii="Courier New" w:hAnsi="Courier New" w:cs="Courier New"/>
          <w:b/>
          <w:i/>
        </w:rPr>
        <w:t>Varnum</w:t>
      </w:r>
      <w:proofErr w:type="spellEnd"/>
      <w:r w:rsidR="0045292C" w:rsidRPr="0045292C">
        <w:rPr>
          <w:rFonts w:ascii="Courier New" w:hAnsi="Courier New" w:cs="Courier New"/>
          <w:b/>
          <w:i/>
        </w:rPr>
        <w:t xml:space="preserve"> Chapter, D.A.R. v. City of Lowell</w:t>
      </w:r>
      <w:r w:rsidR="0045292C">
        <w:rPr>
          <w:rFonts w:ascii="Courier New" w:hAnsi="Courier New" w:cs="Courier New"/>
        </w:rPr>
        <w:t>, 204 Mass. 487, 490-91 (1910)</w:t>
      </w:r>
      <w:r w:rsidR="0049193F">
        <w:rPr>
          <w:rFonts w:ascii="Courier New" w:hAnsi="Courier New" w:cs="Courier New"/>
        </w:rPr>
        <w:t>.</w:t>
      </w:r>
      <w:proofErr w:type="gramEnd"/>
      <w:r w:rsidR="0049193F">
        <w:rPr>
          <w:rFonts w:ascii="Courier New" w:hAnsi="Courier New" w:cs="Courier New"/>
        </w:rPr>
        <w:t xml:space="preserve">  The organization in </w:t>
      </w:r>
      <w:r w:rsidR="0049193F" w:rsidRPr="0049193F">
        <w:rPr>
          <w:rFonts w:ascii="Courier New" w:hAnsi="Courier New" w:cs="Courier New"/>
          <w:b/>
          <w:i/>
        </w:rPr>
        <w:t xml:space="preserve">Molly </w:t>
      </w:r>
      <w:proofErr w:type="spellStart"/>
      <w:r w:rsidR="0049193F" w:rsidRPr="0049193F">
        <w:rPr>
          <w:rFonts w:ascii="Courier New" w:hAnsi="Courier New" w:cs="Courier New"/>
          <w:b/>
          <w:i/>
        </w:rPr>
        <w:t>Varnum</w:t>
      </w:r>
      <w:proofErr w:type="spellEnd"/>
      <w:r w:rsidR="0045292C">
        <w:rPr>
          <w:rFonts w:ascii="Courier New" w:hAnsi="Courier New" w:cs="Courier New"/>
        </w:rPr>
        <w:t xml:space="preserve"> had as its stated main purpose</w:t>
      </w:r>
      <w:r w:rsidR="00320CF0">
        <w:rPr>
          <w:rFonts w:ascii="Courier New" w:hAnsi="Courier New" w:cs="Courier New"/>
        </w:rPr>
        <w:t xml:space="preserve"> to “perpetuate the memory of those who helped achieve American independence, acquire and protect historical spots, preserve documents . . . fostering true patriotism and love of country.”  </w:t>
      </w:r>
      <w:r w:rsidR="00F91D51">
        <w:rPr>
          <w:rFonts w:ascii="Courier New" w:hAnsi="Courier New" w:cs="Courier New"/>
        </w:rPr>
        <w:t>The court</w:t>
      </w:r>
      <w:r w:rsidR="00320CF0">
        <w:rPr>
          <w:rFonts w:ascii="Courier New" w:hAnsi="Courier New" w:cs="Courier New"/>
        </w:rPr>
        <w:t xml:space="preserve"> held that</w:t>
      </w:r>
      <w:r w:rsidR="00DA67C4">
        <w:rPr>
          <w:rFonts w:ascii="Courier New" w:hAnsi="Courier New" w:cs="Courier New"/>
        </w:rPr>
        <w:t xml:space="preserve"> these purposes qualified as charitable purposes and, consistent with those purposes, the </w:t>
      </w:r>
      <w:r w:rsidR="00135DD9">
        <w:rPr>
          <w:rFonts w:ascii="Courier New" w:hAnsi="Courier New" w:cs="Courier New"/>
        </w:rPr>
        <w:t>taxpayer had assisted in the creation of a public library, maintained clubs and classes for the education of children, and contributed money to historical research</w:t>
      </w:r>
      <w:r w:rsidR="00F10449">
        <w:rPr>
          <w:rFonts w:ascii="Courier New" w:hAnsi="Courier New" w:cs="Courier New"/>
        </w:rPr>
        <w:t xml:space="preserve">. Therefore, the court concluded that </w:t>
      </w:r>
      <w:r w:rsidR="007D1B48">
        <w:rPr>
          <w:rFonts w:ascii="Courier New" w:hAnsi="Courier New" w:cs="Courier New"/>
        </w:rPr>
        <w:t xml:space="preserve">the taxpayer </w:t>
      </w:r>
      <w:r w:rsidR="00F10449">
        <w:rPr>
          <w:rFonts w:ascii="Courier New" w:hAnsi="Courier New" w:cs="Courier New"/>
        </w:rPr>
        <w:t xml:space="preserve">in </w:t>
      </w:r>
      <w:r w:rsidR="00F10449" w:rsidRPr="0049193F">
        <w:rPr>
          <w:rFonts w:ascii="Courier New" w:hAnsi="Courier New" w:cs="Courier New"/>
          <w:b/>
          <w:i/>
        </w:rPr>
        <w:t xml:space="preserve">Molly </w:t>
      </w:r>
      <w:proofErr w:type="spellStart"/>
      <w:r w:rsidR="00F10449" w:rsidRPr="0049193F">
        <w:rPr>
          <w:rFonts w:ascii="Courier New" w:hAnsi="Courier New" w:cs="Courier New"/>
          <w:b/>
          <w:i/>
        </w:rPr>
        <w:t>Varnum</w:t>
      </w:r>
      <w:proofErr w:type="spellEnd"/>
      <w:r w:rsidR="00F10449">
        <w:rPr>
          <w:rFonts w:ascii="Courier New" w:hAnsi="Courier New" w:cs="Courier New"/>
        </w:rPr>
        <w:t xml:space="preserve"> demonstrated its entitlement to</w:t>
      </w:r>
      <w:r w:rsidR="00320CF0" w:rsidRPr="00B57D56">
        <w:rPr>
          <w:rFonts w:ascii="Courier New" w:hAnsi="Courier New" w:cs="Courier New"/>
        </w:rPr>
        <w:t xml:space="preserve"> the exemption.  </w:t>
      </w:r>
      <w:proofErr w:type="gramStart"/>
      <w:r w:rsidR="0045292C" w:rsidRPr="00B57D56">
        <w:rPr>
          <w:rFonts w:ascii="Courier New" w:hAnsi="Courier New" w:cs="Courier New"/>
          <w:b/>
          <w:i/>
        </w:rPr>
        <w:t>Id</w:t>
      </w:r>
      <w:r>
        <w:rPr>
          <w:rFonts w:ascii="Courier New" w:hAnsi="Courier New" w:cs="Courier New"/>
        </w:rPr>
        <w:t>.</w:t>
      </w:r>
      <w:r w:rsidR="00416C7A">
        <w:rPr>
          <w:rFonts w:ascii="Courier New" w:hAnsi="Courier New" w:cs="Courier New"/>
        </w:rPr>
        <w:t> </w:t>
      </w:r>
      <w:r>
        <w:rPr>
          <w:rFonts w:ascii="Courier New" w:hAnsi="Courier New" w:cs="Courier New"/>
        </w:rPr>
        <w:t>at 494.</w:t>
      </w:r>
      <w:proofErr w:type="gramEnd"/>
      <w:r>
        <w:rPr>
          <w:rFonts w:ascii="Courier New" w:hAnsi="Courier New" w:cs="Courier New"/>
        </w:rPr>
        <w:t xml:space="preserve"> </w:t>
      </w:r>
    </w:p>
    <w:p w14:paraId="0F1C7797" w14:textId="05B31709" w:rsidR="00B57D56" w:rsidRPr="00AA7DDA" w:rsidRDefault="00247C26" w:rsidP="00AA7DDA">
      <w:pPr>
        <w:spacing w:line="480" w:lineRule="auto"/>
        <w:ind w:firstLine="720"/>
        <w:jc w:val="both"/>
        <w:rPr>
          <w:rFonts w:ascii="Verdana" w:hAnsi="Verdana"/>
          <w:color w:val="333333"/>
          <w:shd w:val="clear" w:color="auto" w:fill="FFFFFF"/>
        </w:rPr>
      </w:pPr>
      <w:r w:rsidRPr="003467A4">
        <w:rPr>
          <w:rFonts w:ascii="Courier New" w:hAnsi="Courier New" w:cs="Courier New"/>
        </w:rPr>
        <w:t>However, in addition to proving a ch</w:t>
      </w:r>
      <w:r w:rsidR="0051191D" w:rsidRPr="003467A4">
        <w:rPr>
          <w:rFonts w:ascii="Courier New" w:hAnsi="Courier New" w:cs="Courier New"/>
        </w:rPr>
        <w:t xml:space="preserve">aritable purpose, TJMC </w:t>
      </w:r>
      <w:r w:rsidRPr="003467A4">
        <w:rPr>
          <w:rFonts w:ascii="Courier New" w:hAnsi="Courier New" w:cs="Courier New"/>
        </w:rPr>
        <w:t>mus</w:t>
      </w:r>
      <w:r w:rsidR="0051191D" w:rsidRPr="003467A4">
        <w:rPr>
          <w:rFonts w:ascii="Courier New" w:hAnsi="Courier New" w:cs="Courier New"/>
        </w:rPr>
        <w:t xml:space="preserve">t also demonstrate </w:t>
      </w:r>
      <w:r w:rsidR="003467A4" w:rsidRPr="003467A4">
        <w:rPr>
          <w:rFonts w:ascii="Courier New" w:hAnsi="Courier New" w:cs="Courier New"/>
        </w:rPr>
        <w:t>“</w:t>
      </w:r>
      <w:r w:rsidR="005F61C7" w:rsidRPr="003467A4">
        <w:rPr>
          <w:rFonts w:ascii="Courier New" w:hAnsi="Courier New" w:cs="Courier New"/>
        </w:rPr>
        <w:t xml:space="preserve">an active appropriation to the immediate uses of the charitable cause for which the owner was organized.”  </w:t>
      </w:r>
      <w:proofErr w:type="gramStart"/>
      <w:r w:rsidR="005F61C7" w:rsidRPr="003467A4">
        <w:rPr>
          <w:rFonts w:ascii="Courier New" w:hAnsi="Courier New" w:cs="Courier New"/>
          <w:b/>
          <w:i/>
        </w:rPr>
        <w:t>Assessors of Boston v. Vincent Club</w:t>
      </w:r>
      <w:r w:rsidR="005F61C7" w:rsidRPr="003467A4">
        <w:rPr>
          <w:rFonts w:ascii="Courier New" w:hAnsi="Courier New" w:cs="Courier New"/>
        </w:rPr>
        <w:t>, 351 Mass. 10, 14 (1966)</w:t>
      </w:r>
      <w:r w:rsidR="00D73E87" w:rsidRPr="003467A4">
        <w:rPr>
          <w:rFonts w:ascii="Courier New" w:hAnsi="Courier New" w:cs="Courier New"/>
        </w:rPr>
        <w:t xml:space="preserve"> (other citations omitted</w:t>
      </w:r>
      <w:r w:rsidR="005F61C7" w:rsidRPr="003467A4">
        <w:rPr>
          <w:rFonts w:ascii="Courier New" w:hAnsi="Courier New" w:cs="Courier New"/>
        </w:rPr>
        <w:t>)</w:t>
      </w:r>
      <w:r w:rsidR="00D73E87" w:rsidRPr="003467A4">
        <w:rPr>
          <w:rFonts w:ascii="Courier New" w:hAnsi="Courier New" w:cs="Courier New"/>
        </w:rPr>
        <w:t>)</w:t>
      </w:r>
      <w:r w:rsidR="005F61C7" w:rsidRPr="003467A4">
        <w:rPr>
          <w:rFonts w:ascii="Courier New" w:hAnsi="Courier New" w:cs="Courier New"/>
        </w:rPr>
        <w:t>.</w:t>
      </w:r>
      <w:proofErr w:type="gramEnd"/>
      <w:r w:rsidR="0051191D" w:rsidRPr="003467A4">
        <w:rPr>
          <w:rFonts w:ascii="Courier New" w:hAnsi="Courier New" w:cs="Courier New"/>
        </w:rPr>
        <w:t xml:space="preserve">  </w:t>
      </w:r>
      <w:r w:rsidR="002A1257" w:rsidRPr="003467A4">
        <w:rPr>
          <w:rFonts w:ascii="Courier New" w:hAnsi="Courier New" w:cs="Courier New"/>
        </w:rPr>
        <w:t>For</w:t>
      </w:r>
      <w:r w:rsidR="0051191D" w:rsidRPr="003467A4">
        <w:rPr>
          <w:rFonts w:ascii="Courier New" w:hAnsi="Courier New" w:cs="Courier New"/>
        </w:rPr>
        <w:t xml:space="preserve"> example</w:t>
      </w:r>
      <w:r w:rsidR="002A1257" w:rsidRPr="003467A4">
        <w:rPr>
          <w:rFonts w:ascii="Courier New" w:hAnsi="Courier New" w:cs="Courier New"/>
        </w:rPr>
        <w:t xml:space="preserve">, </w:t>
      </w:r>
      <w:r w:rsidR="000034AA" w:rsidRPr="003467A4">
        <w:rPr>
          <w:rFonts w:ascii="Courier New" w:hAnsi="Courier New" w:cs="Courier New"/>
        </w:rPr>
        <w:t xml:space="preserve">in </w:t>
      </w:r>
      <w:r w:rsidR="00753537" w:rsidRPr="003467A4">
        <w:rPr>
          <w:rFonts w:ascii="Courier New" w:hAnsi="Courier New" w:cs="Courier New"/>
          <w:b/>
          <w:i/>
        </w:rPr>
        <w:t>C</w:t>
      </w:r>
      <w:r w:rsidR="00A62444">
        <w:rPr>
          <w:rFonts w:ascii="Courier New" w:hAnsi="Courier New" w:cs="Courier New"/>
          <w:b/>
          <w:i/>
          <w:iCs/>
          <w:color w:val="333333"/>
          <w:shd w:val="clear" w:color="auto" w:fill="FFFFFF"/>
        </w:rPr>
        <w:t xml:space="preserve">hildren's Hospital </w:t>
      </w:r>
      <w:r w:rsidR="00A62444">
        <w:rPr>
          <w:rFonts w:ascii="Courier New" w:hAnsi="Courier New" w:cs="Courier New"/>
          <w:b/>
          <w:i/>
          <w:iCs/>
          <w:color w:val="333333"/>
          <w:shd w:val="clear" w:color="auto" w:fill="FFFFFF"/>
        </w:rPr>
        <w:lastRenderedPageBreak/>
        <w:t>Medical Center</w:t>
      </w:r>
      <w:r w:rsidR="00753537" w:rsidRPr="003467A4">
        <w:rPr>
          <w:rFonts w:ascii="Courier New" w:hAnsi="Courier New" w:cs="Courier New"/>
          <w:b/>
          <w:i/>
          <w:iCs/>
          <w:color w:val="333333"/>
          <w:shd w:val="clear" w:color="auto" w:fill="FFFFFF"/>
        </w:rPr>
        <w:t xml:space="preserve">, </w:t>
      </w:r>
      <w:r w:rsidR="006948A1">
        <w:rPr>
          <w:rFonts w:ascii="Courier New" w:hAnsi="Courier New" w:cs="Courier New"/>
          <w:iCs/>
          <w:color w:val="333333"/>
          <w:shd w:val="clear" w:color="auto" w:fill="FFFFFF"/>
        </w:rPr>
        <w:t>353 Mass. at</w:t>
      </w:r>
      <w:r w:rsidR="006948A1" w:rsidRPr="003467A4">
        <w:rPr>
          <w:rFonts w:ascii="Courier New" w:hAnsi="Courier New" w:cs="Courier New"/>
          <w:iCs/>
          <w:color w:val="333333"/>
          <w:shd w:val="clear" w:color="auto" w:fill="FFFFFF"/>
        </w:rPr>
        <w:t xml:space="preserve"> 37</w:t>
      </w:r>
      <w:r w:rsidR="006948A1">
        <w:rPr>
          <w:rFonts w:ascii="Courier New" w:hAnsi="Courier New" w:cs="Courier New"/>
          <w:iCs/>
          <w:color w:val="333333"/>
          <w:shd w:val="clear" w:color="auto" w:fill="FFFFFF"/>
        </w:rPr>
        <w:t xml:space="preserve">, </w:t>
      </w:r>
      <w:r w:rsidR="00753537" w:rsidRPr="003467A4">
        <w:rPr>
          <w:rFonts w:ascii="Courier New" w:hAnsi="Courier New" w:cs="Courier New"/>
          <w:color w:val="333333"/>
          <w:shd w:val="clear" w:color="auto" w:fill="FFFFFF"/>
        </w:rPr>
        <w:t>the hos</w:t>
      </w:r>
      <w:r w:rsidR="00981376">
        <w:rPr>
          <w:rFonts w:ascii="Courier New" w:hAnsi="Courier New" w:cs="Courier New"/>
          <w:color w:val="333333"/>
          <w:shd w:val="clear" w:color="auto" w:fill="FFFFFF"/>
        </w:rPr>
        <w:t>pital, a charitable corporation</w:t>
      </w:r>
      <w:r w:rsidR="00753537" w:rsidRPr="003467A4">
        <w:rPr>
          <w:rFonts w:ascii="Courier New" w:hAnsi="Courier New" w:cs="Courier New"/>
          <w:color w:val="333333"/>
          <w:shd w:val="clear" w:color="auto" w:fill="FFFFFF"/>
        </w:rPr>
        <w:t xml:space="preserve"> </w:t>
      </w:r>
      <w:r w:rsidR="00F10449">
        <w:rPr>
          <w:rFonts w:ascii="Courier New" w:hAnsi="Courier New" w:cs="Courier New"/>
          <w:color w:val="333333"/>
          <w:shd w:val="clear" w:color="auto" w:fill="FFFFFF"/>
        </w:rPr>
        <w:t>and, later, its successor in interest</w:t>
      </w:r>
      <w:r w:rsidR="00981376">
        <w:rPr>
          <w:rFonts w:ascii="Courier New" w:hAnsi="Courier New" w:cs="Courier New"/>
          <w:color w:val="333333"/>
          <w:shd w:val="clear" w:color="auto" w:fill="FFFFFF"/>
        </w:rPr>
        <w:t>,</w:t>
      </w:r>
      <w:r w:rsidR="00753537" w:rsidRPr="003467A4">
        <w:rPr>
          <w:rFonts w:ascii="Courier New" w:hAnsi="Courier New" w:cs="Courier New"/>
          <w:color w:val="333333"/>
          <w:shd w:val="clear" w:color="auto" w:fill="FFFFFF"/>
        </w:rPr>
        <w:t xml:space="preserve"> owned a parcel of land, which was used as a central hospi</w:t>
      </w:r>
      <w:r w:rsidR="00981376">
        <w:rPr>
          <w:rFonts w:ascii="Courier New" w:hAnsi="Courier New" w:cs="Courier New"/>
          <w:color w:val="333333"/>
          <w:shd w:val="clear" w:color="auto" w:fill="FFFFFF"/>
        </w:rPr>
        <w:t>tal laundry for a total of 7</w:t>
      </w:r>
      <w:r w:rsidR="00753537" w:rsidRPr="003467A4">
        <w:rPr>
          <w:rFonts w:ascii="Courier New" w:hAnsi="Courier New" w:cs="Courier New"/>
          <w:color w:val="333333"/>
          <w:shd w:val="clear" w:color="auto" w:fill="FFFFFF"/>
        </w:rPr>
        <w:t xml:space="preserve"> Boston hospitals.</w:t>
      </w:r>
      <w:r w:rsidR="00BE43EC">
        <w:rPr>
          <w:rFonts w:ascii="Courier New" w:hAnsi="Courier New" w:cs="Courier New"/>
          <w:color w:val="333333"/>
          <w:shd w:val="clear" w:color="auto" w:fill="FFFFFF"/>
        </w:rPr>
        <w:t xml:space="preserve"> </w:t>
      </w:r>
      <w:r w:rsidR="00753537" w:rsidRPr="003467A4">
        <w:rPr>
          <w:rFonts w:ascii="Courier New" w:hAnsi="Courier New" w:cs="Courier New"/>
          <w:color w:val="333333"/>
          <w:shd w:val="clear" w:color="auto" w:fill="FFFFFF"/>
        </w:rPr>
        <w:t xml:space="preserve"> The SJC found that “laundry </w:t>
      </w:r>
      <w:proofErr w:type="gramStart"/>
      <w:r w:rsidR="00753537" w:rsidRPr="003467A4">
        <w:rPr>
          <w:rFonts w:ascii="Courier New" w:hAnsi="Courier New" w:cs="Courier New"/>
          <w:color w:val="333333"/>
          <w:shd w:val="clear" w:color="auto" w:fill="FFFFFF"/>
        </w:rPr>
        <w:t>work</w:t>
      </w:r>
      <w:r w:rsidR="00416C7A">
        <w:rPr>
          <w:rFonts w:ascii="Courier New" w:hAnsi="Courier New" w:cs="Courier New"/>
          <w:color w:val="333333"/>
          <w:shd w:val="clear" w:color="auto" w:fill="FFFFFF"/>
        </w:rPr>
        <w:t> </w:t>
      </w:r>
      <w:r w:rsidR="00753537" w:rsidRPr="003467A4">
        <w:rPr>
          <w:rFonts w:ascii="Courier New" w:hAnsi="Courier New" w:cs="Courier New"/>
          <w:color w:val="333333"/>
          <w:shd w:val="clear" w:color="auto" w:fill="FFFFFF"/>
        </w:rPr>
        <w:t>.</w:t>
      </w:r>
      <w:proofErr w:type="gramEnd"/>
      <w:r w:rsidR="00416C7A">
        <w:rPr>
          <w:rFonts w:ascii="Courier New" w:hAnsi="Courier New" w:cs="Courier New"/>
          <w:color w:val="333333"/>
          <w:shd w:val="clear" w:color="auto" w:fill="FFFFFF"/>
        </w:rPr>
        <w:t> </w:t>
      </w:r>
      <w:r w:rsidR="00753537" w:rsidRPr="003467A4">
        <w:rPr>
          <w:rFonts w:ascii="Courier New" w:hAnsi="Courier New" w:cs="Courier New"/>
          <w:color w:val="333333"/>
          <w:shd w:val="clear" w:color="auto" w:fill="FFFFFF"/>
        </w:rPr>
        <w:t>. .</w:t>
      </w:r>
      <w:r w:rsidR="00416C7A">
        <w:rPr>
          <w:rFonts w:ascii="Courier New" w:hAnsi="Courier New" w:cs="Courier New"/>
          <w:color w:val="333333"/>
          <w:shd w:val="clear" w:color="auto" w:fill="FFFFFF"/>
        </w:rPr>
        <w:t> </w:t>
      </w:r>
      <w:r w:rsidR="00753537" w:rsidRPr="003467A4">
        <w:rPr>
          <w:rFonts w:ascii="Courier New" w:hAnsi="Courier New" w:cs="Courier New"/>
          <w:color w:val="333333"/>
          <w:shd w:val="clear" w:color="auto" w:fill="FFFFFF"/>
        </w:rPr>
        <w:t xml:space="preserve">is an indispensable feature of hospital operation,” and that such work was part of the hospital’s charitable purpose. </w:t>
      </w:r>
      <w:r w:rsidR="00753537" w:rsidRPr="003467A4">
        <w:rPr>
          <w:rStyle w:val="apple-converted-space"/>
          <w:rFonts w:ascii="Courier New" w:hAnsi="Courier New" w:cs="Courier New"/>
          <w:color w:val="333333"/>
          <w:shd w:val="clear" w:color="auto" w:fill="FFFFFF"/>
        </w:rPr>
        <w:t> </w:t>
      </w:r>
      <w:r w:rsidR="00753537" w:rsidRPr="003467A4">
        <w:rPr>
          <w:rFonts w:ascii="Courier New" w:hAnsi="Courier New" w:cs="Courier New"/>
          <w:b/>
          <w:i/>
          <w:iCs/>
          <w:shd w:val="clear" w:color="auto" w:fill="FFFFFF"/>
        </w:rPr>
        <w:t>Id</w:t>
      </w:r>
      <w:r w:rsidR="00981376">
        <w:rPr>
          <w:rFonts w:ascii="Courier New" w:hAnsi="Courier New" w:cs="Courier New"/>
          <w:shd w:val="clear" w:color="auto" w:fill="FFFFFF"/>
        </w:rPr>
        <w:t>. at 40-41.  Therefore, the Supreme Judicial Court</w:t>
      </w:r>
      <w:r w:rsidR="00753537" w:rsidRPr="003467A4">
        <w:rPr>
          <w:rFonts w:ascii="Courier New" w:hAnsi="Courier New" w:cs="Courier New"/>
          <w:shd w:val="clear" w:color="auto" w:fill="FFFFFF"/>
        </w:rPr>
        <w:t xml:space="preserve"> ruled that the hospital “occupied</w:t>
      </w:r>
      <w:r w:rsidR="00753537" w:rsidRPr="003467A4">
        <w:rPr>
          <w:rFonts w:ascii="Courier New" w:hAnsi="Courier New" w:cs="Courier New"/>
          <w:color w:val="333333"/>
          <w:shd w:val="clear" w:color="auto" w:fill="FFFFFF"/>
        </w:rPr>
        <w:t xml:space="preserve"> the property in connection with its charitable purpose,” and accordingly, the property qualified for the charitable exemption.  </w:t>
      </w:r>
      <w:r w:rsidR="00753537" w:rsidRPr="003467A4">
        <w:rPr>
          <w:rFonts w:ascii="Courier New" w:hAnsi="Courier New" w:cs="Courier New"/>
          <w:b/>
          <w:i/>
          <w:color w:val="333333"/>
          <w:shd w:val="clear" w:color="auto" w:fill="FFFFFF"/>
        </w:rPr>
        <w:t>Id</w:t>
      </w:r>
      <w:r w:rsidR="00741FF9" w:rsidRPr="003467A4">
        <w:rPr>
          <w:rFonts w:ascii="Courier New" w:hAnsi="Courier New" w:cs="Courier New"/>
          <w:color w:val="333333"/>
          <w:shd w:val="clear" w:color="auto" w:fill="FFFFFF"/>
        </w:rPr>
        <w:t>.</w:t>
      </w:r>
    </w:p>
    <w:p w14:paraId="688DF6AF" w14:textId="25A40A21" w:rsidR="0076131A" w:rsidRDefault="00584C49" w:rsidP="00B57D56">
      <w:pPr>
        <w:pStyle w:val="BodyTextIndent2"/>
        <w:spacing w:after="0"/>
        <w:ind w:left="0" w:firstLine="720"/>
        <w:jc w:val="both"/>
        <w:rPr>
          <w:rFonts w:ascii="Courier New" w:hAnsi="Courier New" w:cs="Courier New"/>
        </w:rPr>
      </w:pPr>
      <w:r>
        <w:rPr>
          <w:rFonts w:ascii="Courier New" w:hAnsi="Courier New" w:cs="Courier New"/>
        </w:rPr>
        <w:t xml:space="preserve">By contrast, </w:t>
      </w:r>
      <w:r w:rsidR="000733DC">
        <w:rPr>
          <w:rFonts w:ascii="Courier New" w:hAnsi="Courier New" w:cs="Courier New"/>
        </w:rPr>
        <w:t xml:space="preserve">TJMC failed to demonstrate how </w:t>
      </w:r>
      <w:r w:rsidR="00565D62">
        <w:rPr>
          <w:rFonts w:ascii="Courier New" w:hAnsi="Courier New" w:cs="Courier New"/>
        </w:rPr>
        <w:t xml:space="preserve">it occupied </w:t>
      </w:r>
      <w:r w:rsidR="005821A9">
        <w:rPr>
          <w:rFonts w:ascii="Courier New" w:hAnsi="Courier New" w:cs="Courier New"/>
        </w:rPr>
        <w:t>the improved</w:t>
      </w:r>
      <w:r w:rsidR="00B0000D">
        <w:rPr>
          <w:rFonts w:ascii="Courier New" w:hAnsi="Courier New" w:cs="Courier New"/>
        </w:rPr>
        <w:t xml:space="preserve"> parcel to </w:t>
      </w:r>
      <w:r w:rsidR="00981376">
        <w:rPr>
          <w:rFonts w:ascii="Courier New" w:hAnsi="Courier New" w:cs="Courier New"/>
        </w:rPr>
        <w:t>advance patriotism, educate</w:t>
      </w:r>
      <w:r w:rsidR="00B0000D">
        <w:rPr>
          <w:rFonts w:ascii="Courier New" w:hAnsi="Courier New" w:cs="Courier New"/>
        </w:rPr>
        <w:t xml:space="preserve"> the public in the history of the Early Republ</w:t>
      </w:r>
      <w:r w:rsidR="00981376">
        <w:rPr>
          <w:rFonts w:ascii="Courier New" w:hAnsi="Courier New" w:cs="Courier New"/>
        </w:rPr>
        <w:t>ic, or maintain historic</w:t>
      </w:r>
      <w:r w:rsidR="00B0000D">
        <w:rPr>
          <w:rFonts w:ascii="Courier New" w:hAnsi="Courier New" w:cs="Courier New"/>
        </w:rPr>
        <w:t xml:space="preserve"> public buildings</w:t>
      </w:r>
      <w:r w:rsidR="00F10449">
        <w:rPr>
          <w:rFonts w:ascii="Courier New" w:hAnsi="Courier New" w:cs="Courier New"/>
        </w:rPr>
        <w:t xml:space="preserve"> during the relevant time period</w:t>
      </w:r>
      <w:r w:rsidR="00565D62">
        <w:rPr>
          <w:rFonts w:ascii="Courier New" w:hAnsi="Courier New" w:cs="Courier New"/>
        </w:rPr>
        <w:t xml:space="preserve">.  No </w:t>
      </w:r>
      <w:r w:rsidR="00F10449">
        <w:rPr>
          <w:rFonts w:ascii="Courier New" w:hAnsi="Courier New" w:cs="Courier New"/>
        </w:rPr>
        <w:t xml:space="preserve">public </w:t>
      </w:r>
      <w:r w:rsidR="00565D62">
        <w:rPr>
          <w:rFonts w:ascii="Courier New" w:hAnsi="Courier New" w:cs="Courier New"/>
        </w:rPr>
        <w:t xml:space="preserve">events </w:t>
      </w:r>
      <w:r w:rsidR="0009099F">
        <w:rPr>
          <w:rFonts w:ascii="Courier New" w:hAnsi="Courier New" w:cs="Courier New"/>
        </w:rPr>
        <w:t xml:space="preserve">took place at the Brick House during the relevant time period. </w:t>
      </w:r>
      <w:r w:rsidR="00B11594">
        <w:rPr>
          <w:rFonts w:ascii="Courier New" w:hAnsi="Courier New" w:cs="Courier New"/>
        </w:rPr>
        <w:t xml:space="preserve"> </w:t>
      </w:r>
      <w:r w:rsidR="00AB153F">
        <w:rPr>
          <w:rFonts w:ascii="Courier New" w:hAnsi="Courier New" w:cs="Courier New"/>
        </w:rPr>
        <w:t>While</w:t>
      </w:r>
      <w:r w:rsidR="00F10449">
        <w:rPr>
          <w:rFonts w:ascii="Courier New" w:hAnsi="Courier New" w:cs="Courier New"/>
        </w:rPr>
        <w:t xml:space="preserve"> some tours of the Brick House we</w:t>
      </w:r>
      <w:r w:rsidR="00AB153F">
        <w:rPr>
          <w:rFonts w:ascii="Courier New" w:hAnsi="Courier New" w:cs="Courier New"/>
        </w:rPr>
        <w:t>re offered, a</w:t>
      </w:r>
      <w:r w:rsidR="00C760A9">
        <w:rPr>
          <w:rFonts w:ascii="Courier New" w:hAnsi="Courier New" w:cs="Courier New"/>
        </w:rPr>
        <w:t>ccess to the</w:t>
      </w:r>
      <w:r w:rsidR="00F35784">
        <w:rPr>
          <w:rFonts w:ascii="Courier New" w:hAnsi="Courier New" w:cs="Courier New"/>
        </w:rPr>
        <w:t xml:space="preserve"> Brick House</w:t>
      </w:r>
      <w:r w:rsidR="00AB153F">
        <w:rPr>
          <w:rFonts w:ascii="Courier New" w:hAnsi="Courier New" w:cs="Courier New"/>
        </w:rPr>
        <w:t xml:space="preserve"> </w:t>
      </w:r>
      <w:r w:rsidR="00C221D1">
        <w:rPr>
          <w:rFonts w:ascii="Courier New" w:hAnsi="Courier New" w:cs="Courier New"/>
        </w:rPr>
        <w:t>was</w:t>
      </w:r>
      <w:r w:rsidR="00C760A9">
        <w:rPr>
          <w:rFonts w:ascii="Courier New" w:hAnsi="Courier New" w:cs="Courier New"/>
        </w:rPr>
        <w:t xml:space="preserve"> restricted to its first</w:t>
      </w:r>
      <w:r w:rsidR="00F35784">
        <w:rPr>
          <w:rFonts w:ascii="Courier New" w:hAnsi="Courier New" w:cs="Courier New"/>
        </w:rPr>
        <w:t xml:space="preserve"> </w:t>
      </w:r>
      <w:r w:rsidR="00C760A9">
        <w:rPr>
          <w:rFonts w:ascii="Courier New" w:hAnsi="Courier New" w:cs="Courier New"/>
        </w:rPr>
        <w:t xml:space="preserve">floor, </w:t>
      </w:r>
      <w:r w:rsidR="00F35784">
        <w:rPr>
          <w:rFonts w:ascii="Courier New" w:hAnsi="Courier New" w:cs="Courier New"/>
        </w:rPr>
        <w:t>because it</w:t>
      </w:r>
      <w:r w:rsidR="00D372AA">
        <w:rPr>
          <w:rFonts w:ascii="Courier New" w:hAnsi="Courier New" w:cs="Courier New"/>
        </w:rPr>
        <w:t>s second floor</w:t>
      </w:r>
      <w:r w:rsidR="00F35784">
        <w:rPr>
          <w:rFonts w:ascii="Courier New" w:hAnsi="Courier New" w:cs="Courier New"/>
        </w:rPr>
        <w:t xml:space="preserve"> </w:t>
      </w:r>
      <w:r w:rsidR="00F10449">
        <w:rPr>
          <w:rFonts w:ascii="Courier New" w:hAnsi="Courier New" w:cs="Courier New"/>
        </w:rPr>
        <w:t>served</w:t>
      </w:r>
      <w:r w:rsidR="00F35784">
        <w:rPr>
          <w:rFonts w:ascii="Courier New" w:hAnsi="Courier New" w:cs="Courier New"/>
        </w:rPr>
        <w:t xml:space="preserve"> as a private residence</w:t>
      </w:r>
      <w:r w:rsidR="00051665">
        <w:rPr>
          <w:rFonts w:ascii="Courier New" w:hAnsi="Courier New" w:cs="Courier New"/>
        </w:rPr>
        <w:t xml:space="preserve"> to an individual unrelated to TJMC</w:t>
      </w:r>
      <w:r w:rsidR="00C221D1">
        <w:rPr>
          <w:rFonts w:ascii="Courier New" w:hAnsi="Courier New" w:cs="Courier New"/>
        </w:rPr>
        <w:t>.  The second floor was also used</w:t>
      </w:r>
      <w:r w:rsidR="00051665">
        <w:rPr>
          <w:rFonts w:ascii="Courier New" w:hAnsi="Courier New" w:cs="Courier New"/>
        </w:rPr>
        <w:t xml:space="preserve"> as</w:t>
      </w:r>
      <w:r w:rsidR="00D372AA">
        <w:rPr>
          <w:rFonts w:ascii="Courier New" w:hAnsi="Courier New" w:cs="Courier New"/>
        </w:rPr>
        <w:t xml:space="preserve"> storage space for Dr.</w:t>
      </w:r>
      <w:r w:rsidR="00416C7A">
        <w:rPr>
          <w:rFonts w:ascii="Courier New" w:hAnsi="Courier New" w:cs="Courier New"/>
        </w:rPr>
        <w:t> </w:t>
      </w:r>
      <w:proofErr w:type="spellStart"/>
      <w:r w:rsidR="00D372AA">
        <w:rPr>
          <w:rFonts w:ascii="Courier New" w:hAnsi="Courier New" w:cs="Courier New"/>
        </w:rPr>
        <w:t>Lastavica’s</w:t>
      </w:r>
      <w:proofErr w:type="spellEnd"/>
      <w:r w:rsidR="00D372AA">
        <w:rPr>
          <w:rFonts w:ascii="Courier New" w:hAnsi="Courier New" w:cs="Courier New"/>
        </w:rPr>
        <w:t xml:space="preserve"> personal belongings</w:t>
      </w:r>
      <w:r w:rsidR="000C767E">
        <w:rPr>
          <w:rFonts w:ascii="Courier New" w:hAnsi="Courier New" w:cs="Courier New"/>
        </w:rPr>
        <w:t>.  T</w:t>
      </w:r>
      <w:r w:rsidR="00C760A9">
        <w:rPr>
          <w:rFonts w:ascii="Courier New" w:hAnsi="Courier New" w:cs="Courier New"/>
        </w:rPr>
        <w:t>he appellant d</w:t>
      </w:r>
      <w:r w:rsidR="00C221D1">
        <w:rPr>
          <w:rFonts w:ascii="Courier New" w:hAnsi="Courier New" w:cs="Courier New"/>
        </w:rPr>
        <w:t>id</w:t>
      </w:r>
      <w:r w:rsidR="00C760A9">
        <w:rPr>
          <w:rFonts w:ascii="Courier New" w:hAnsi="Courier New" w:cs="Courier New"/>
        </w:rPr>
        <w:t xml:space="preserve"> not </w:t>
      </w:r>
      <w:r w:rsidR="000C767E">
        <w:rPr>
          <w:rFonts w:ascii="Courier New" w:hAnsi="Courier New" w:cs="Courier New"/>
        </w:rPr>
        <w:t xml:space="preserve">maintain records of its tours, so the Board had no basis for determining how often tours </w:t>
      </w:r>
      <w:r w:rsidR="00C221D1">
        <w:rPr>
          <w:rFonts w:ascii="Courier New" w:hAnsi="Courier New" w:cs="Courier New"/>
        </w:rPr>
        <w:t>were</w:t>
      </w:r>
      <w:r w:rsidR="000C767E">
        <w:rPr>
          <w:rFonts w:ascii="Courier New" w:hAnsi="Courier New" w:cs="Courier New"/>
        </w:rPr>
        <w:t xml:space="preserve"> actually conducted on the premises</w:t>
      </w:r>
      <w:r w:rsidR="001B5239">
        <w:rPr>
          <w:rFonts w:ascii="Courier New" w:hAnsi="Courier New" w:cs="Courier New"/>
        </w:rPr>
        <w:t xml:space="preserve"> or how many visitors attended the tours</w:t>
      </w:r>
      <w:r w:rsidR="00D372AA">
        <w:rPr>
          <w:rFonts w:ascii="Courier New" w:hAnsi="Courier New" w:cs="Courier New"/>
        </w:rPr>
        <w:t xml:space="preserve">. </w:t>
      </w:r>
      <w:r w:rsidR="00342179">
        <w:rPr>
          <w:rFonts w:ascii="Courier New" w:hAnsi="Courier New" w:cs="Courier New"/>
        </w:rPr>
        <w:t xml:space="preserve"> </w:t>
      </w:r>
      <w:r w:rsidR="00342179" w:rsidRPr="00342179">
        <w:rPr>
          <w:rFonts w:ascii="Courier New" w:hAnsi="Courier New" w:cs="Courier New"/>
          <w:i/>
        </w:rPr>
        <w:t>See</w:t>
      </w:r>
      <w:r w:rsidR="00342179">
        <w:rPr>
          <w:rFonts w:ascii="Courier New" w:hAnsi="Courier New" w:cs="Courier New"/>
        </w:rPr>
        <w:t xml:space="preserve"> </w:t>
      </w:r>
      <w:r w:rsidR="00342179" w:rsidRPr="00D22DE0">
        <w:rPr>
          <w:rFonts w:ascii="Courier New" w:hAnsi="Courier New" w:cs="Courier New"/>
          <w:b/>
          <w:i/>
        </w:rPr>
        <w:t>Jewish Geriatric Services</w:t>
      </w:r>
      <w:r w:rsidR="00EE3D2D">
        <w:rPr>
          <w:rFonts w:ascii="Courier New" w:hAnsi="Courier New" w:cs="Courier New"/>
          <w:b/>
          <w:i/>
        </w:rPr>
        <w:t>, Inc. et al v. Assessors of Longmeadow</w:t>
      </w:r>
      <w:r w:rsidR="00342179">
        <w:rPr>
          <w:rFonts w:ascii="Courier New" w:hAnsi="Courier New" w:cs="Courier New"/>
        </w:rPr>
        <w:t xml:space="preserve">, Mass. </w:t>
      </w:r>
      <w:r w:rsidR="00342179">
        <w:rPr>
          <w:rFonts w:ascii="Courier New" w:hAnsi="Courier New" w:cs="Courier New"/>
        </w:rPr>
        <w:lastRenderedPageBreak/>
        <w:t xml:space="preserve">ATB </w:t>
      </w:r>
      <w:r w:rsidR="00342179" w:rsidRPr="00D22DE0">
        <w:rPr>
          <w:rFonts w:ascii="Courier New" w:hAnsi="Courier New" w:cs="Courier New"/>
        </w:rPr>
        <w:t>Findings of Fact and Reports</w:t>
      </w:r>
      <w:r w:rsidR="00342179">
        <w:rPr>
          <w:rFonts w:ascii="Courier New" w:hAnsi="Courier New" w:cs="Courier New"/>
        </w:rPr>
        <w:t xml:space="preserve"> 2002-</w:t>
      </w:r>
      <w:r w:rsidR="00EE3D2D">
        <w:rPr>
          <w:rFonts w:ascii="Courier New" w:hAnsi="Courier New" w:cs="Courier New"/>
        </w:rPr>
        <w:t xml:space="preserve">337, </w:t>
      </w:r>
      <w:r w:rsidR="00342179">
        <w:rPr>
          <w:rFonts w:ascii="Courier New" w:hAnsi="Courier New" w:cs="Courier New"/>
        </w:rPr>
        <w:t>359 (in determining whether an organization is in fact charitable for Massachusetts real estate tax purposes, Massachusetts courts and the Board must consider whether the organization’s benefits are readily available to a sufficiently inclusive segment of the p</w:t>
      </w:r>
      <w:r w:rsidR="008722A0">
        <w:rPr>
          <w:rFonts w:ascii="Courier New" w:hAnsi="Courier New" w:cs="Courier New"/>
        </w:rPr>
        <w:t>opulation).</w:t>
      </w:r>
      <w:r w:rsidR="0076131A">
        <w:rPr>
          <w:rFonts w:ascii="Courier New" w:hAnsi="Courier New" w:cs="Courier New"/>
        </w:rPr>
        <w:t xml:space="preserve"> </w:t>
      </w:r>
      <w:r w:rsidR="00327683">
        <w:rPr>
          <w:rFonts w:ascii="Courier New" w:hAnsi="Courier New" w:cs="Courier New"/>
        </w:rPr>
        <w:t xml:space="preserve"> Finally, while it contains </w:t>
      </w:r>
      <w:r w:rsidR="008E4EBD">
        <w:rPr>
          <w:rFonts w:ascii="Courier New" w:hAnsi="Courier New" w:cs="Courier New"/>
        </w:rPr>
        <w:t>some</w:t>
      </w:r>
      <w:r w:rsidR="00B94DAB">
        <w:rPr>
          <w:rFonts w:ascii="Courier New" w:hAnsi="Courier New" w:cs="Courier New"/>
        </w:rPr>
        <w:t xml:space="preserve"> period pieces</w:t>
      </w:r>
      <w:r w:rsidR="00327683">
        <w:rPr>
          <w:rFonts w:ascii="Courier New" w:hAnsi="Courier New" w:cs="Courier New"/>
        </w:rPr>
        <w:t xml:space="preserve">, the Brick House </w:t>
      </w:r>
      <w:r w:rsidR="000054EB">
        <w:rPr>
          <w:rFonts w:ascii="Courier New" w:hAnsi="Courier New" w:cs="Courier New"/>
        </w:rPr>
        <w:t>has no historic</w:t>
      </w:r>
      <w:r w:rsidR="00CC1AEB">
        <w:rPr>
          <w:rFonts w:ascii="Courier New" w:hAnsi="Courier New" w:cs="Courier New"/>
        </w:rPr>
        <w:t xml:space="preserve"> significance; </w:t>
      </w:r>
      <w:r w:rsidR="00C221D1">
        <w:rPr>
          <w:rFonts w:ascii="Courier New" w:hAnsi="Courier New" w:cs="Courier New"/>
        </w:rPr>
        <w:t>Jefferson never lived there</w:t>
      </w:r>
      <w:r w:rsidR="005F20EC">
        <w:rPr>
          <w:rFonts w:ascii="Courier New" w:hAnsi="Courier New" w:cs="Courier New"/>
        </w:rPr>
        <w:t>, nor was it a replica of his</w:t>
      </w:r>
      <w:r w:rsidR="00327683">
        <w:rPr>
          <w:rFonts w:ascii="Courier New" w:hAnsi="Courier New" w:cs="Courier New"/>
        </w:rPr>
        <w:t xml:space="preserve"> house</w:t>
      </w:r>
      <w:r w:rsidR="00C221D1">
        <w:rPr>
          <w:rFonts w:ascii="Courier New" w:hAnsi="Courier New" w:cs="Courier New"/>
        </w:rPr>
        <w:t xml:space="preserve"> or</w:t>
      </w:r>
      <w:r w:rsidR="00327683">
        <w:rPr>
          <w:rFonts w:ascii="Courier New" w:hAnsi="Courier New" w:cs="Courier New"/>
        </w:rPr>
        <w:t xml:space="preserve"> even register</w:t>
      </w:r>
      <w:r w:rsidR="00CC1AEB">
        <w:rPr>
          <w:rFonts w:ascii="Courier New" w:hAnsi="Courier New" w:cs="Courier New"/>
        </w:rPr>
        <w:t xml:space="preserve">ed </w:t>
      </w:r>
      <w:r w:rsidR="00637824">
        <w:rPr>
          <w:rFonts w:ascii="Courier New" w:hAnsi="Courier New" w:cs="Courier New"/>
        </w:rPr>
        <w:t>as a historic building.  In fact</w:t>
      </w:r>
      <w:r w:rsidR="00CC1AEB">
        <w:rPr>
          <w:rFonts w:ascii="Courier New" w:hAnsi="Courier New" w:cs="Courier New"/>
        </w:rPr>
        <w:t>, t</w:t>
      </w:r>
      <w:r w:rsidR="00327683">
        <w:rPr>
          <w:rFonts w:ascii="Courier New" w:hAnsi="Courier New" w:cs="Courier New"/>
        </w:rPr>
        <w:t xml:space="preserve">he memorabilia </w:t>
      </w:r>
      <w:r w:rsidR="00CC1AEB">
        <w:rPr>
          <w:rFonts w:ascii="Courier New" w:hAnsi="Courier New" w:cs="Courier New"/>
        </w:rPr>
        <w:t>and period pieces are</w:t>
      </w:r>
      <w:r w:rsidR="00327683">
        <w:rPr>
          <w:rFonts w:ascii="Courier New" w:hAnsi="Courier New" w:cs="Courier New"/>
        </w:rPr>
        <w:t xml:space="preserve"> actually Dr. </w:t>
      </w:r>
      <w:proofErr w:type="spellStart"/>
      <w:r w:rsidR="00327683">
        <w:rPr>
          <w:rFonts w:ascii="Courier New" w:hAnsi="Courier New" w:cs="Courier New"/>
        </w:rPr>
        <w:t>Last</w:t>
      </w:r>
      <w:r w:rsidR="00CC1AEB">
        <w:rPr>
          <w:rFonts w:ascii="Courier New" w:hAnsi="Courier New" w:cs="Courier New"/>
        </w:rPr>
        <w:t>avica’s</w:t>
      </w:r>
      <w:proofErr w:type="spellEnd"/>
      <w:r w:rsidR="00CC1AEB">
        <w:rPr>
          <w:rFonts w:ascii="Courier New" w:hAnsi="Courier New" w:cs="Courier New"/>
        </w:rPr>
        <w:t xml:space="preserve"> private property that </w:t>
      </w:r>
      <w:r w:rsidR="00C221D1">
        <w:rPr>
          <w:rFonts w:ascii="Courier New" w:hAnsi="Courier New" w:cs="Courier New"/>
        </w:rPr>
        <w:t>were purportedly</w:t>
      </w:r>
      <w:r w:rsidR="00327683">
        <w:rPr>
          <w:rFonts w:ascii="Courier New" w:hAnsi="Courier New" w:cs="Courier New"/>
        </w:rPr>
        <w:t xml:space="preserve"> “o</w:t>
      </w:r>
      <w:r w:rsidR="00E833AF">
        <w:rPr>
          <w:rFonts w:ascii="Courier New" w:hAnsi="Courier New" w:cs="Courier New"/>
        </w:rPr>
        <w:t>n loan” to the appellant,</w:t>
      </w:r>
      <w:r w:rsidR="00327683">
        <w:rPr>
          <w:rFonts w:ascii="Courier New" w:hAnsi="Courier New" w:cs="Courier New"/>
        </w:rPr>
        <w:t xml:space="preserve"> with no formal document memor</w:t>
      </w:r>
      <w:r w:rsidR="00E833AF">
        <w:rPr>
          <w:rFonts w:ascii="Courier New" w:hAnsi="Courier New" w:cs="Courier New"/>
        </w:rPr>
        <w:t>ializing any supposed agreement</w:t>
      </w:r>
      <w:r w:rsidR="00327683">
        <w:rPr>
          <w:rFonts w:ascii="Courier New" w:hAnsi="Courier New" w:cs="Courier New"/>
        </w:rPr>
        <w:t>.</w:t>
      </w:r>
      <w:r w:rsidR="00C760A9">
        <w:rPr>
          <w:rFonts w:ascii="Courier New" w:hAnsi="Courier New" w:cs="Courier New"/>
        </w:rPr>
        <w:t xml:space="preserve"> </w:t>
      </w:r>
      <w:r w:rsidR="00D2036A">
        <w:rPr>
          <w:rFonts w:ascii="Courier New" w:hAnsi="Courier New" w:cs="Courier New"/>
        </w:rPr>
        <w:t xml:space="preserve"> </w:t>
      </w:r>
    </w:p>
    <w:p w14:paraId="17AF47D9" w14:textId="45DAD9E6" w:rsidR="00D33B13" w:rsidRDefault="0076131A" w:rsidP="00A24C69">
      <w:pPr>
        <w:spacing w:line="480" w:lineRule="auto"/>
        <w:ind w:firstLine="720"/>
        <w:jc w:val="both"/>
        <w:rPr>
          <w:rFonts w:ascii="Courier New" w:hAnsi="Courier New" w:cs="Courier New"/>
        </w:rPr>
      </w:pPr>
      <w:r>
        <w:rPr>
          <w:rFonts w:ascii="Courier New" w:hAnsi="Courier New" w:cs="Courier New"/>
        </w:rPr>
        <w:t>With respect to the Conference Center</w:t>
      </w:r>
      <w:r w:rsidR="00D2036A">
        <w:rPr>
          <w:rFonts w:ascii="Courier New" w:hAnsi="Courier New" w:cs="Courier New"/>
        </w:rPr>
        <w:t>,</w:t>
      </w:r>
      <w:r w:rsidR="00637A5F">
        <w:rPr>
          <w:rFonts w:ascii="Courier New" w:hAnsi="Courier New" w:cs="Courier New"/>
        </w:rPr>
        <w:t xml:space="preserve"> the programming sponsor</w:t>
      </w:r>
      <w:r w:rsidR="002D09A7">
        <w:rPr>
          <w:rFonts w:ascii="Courier New" w:hAnsi="Courier New" w:cs="Courier New"/>
        </w:rPr>
        <w:t>ed b</w:t>
      </w:r>
      <w:r w:rsidR="00CC1AEB">
        <w:rPr>
          <w:rFonts w:ascii="Courier New" w:hAnsi="Courier New" w:cs="Courier New"/>
        </w:rPr>
        <w:t>y TJMC or</w:t>
      </w:r>
      <w:r w:rsidR="002D09A7">
        <w:rPr>
          <w:rFonts w:ascii="Courier New" w:hAnsi="Courier New" w:cs="Courier New"/>
        </w:rPr>
        <w:t xml:space="preserve"> held by outside gro</w:t>
      </w:r>
      <w:r w:rsidR="00CC1AEB">
        <w:rPr>
          <w:rFonts w:ascii="Courier New" w:hAnsi="Courier New" w:cs="Courier New"/>
        </w:rPr>
        <w:t>ups that rented space from TJMC</w:t>
      </w:r>
      <w:r w:rsidR="002D09A7">
        <w:rPr>
          <w:rFonts w:ascii="Courier New" w:hAnsi="Courier New" w:cs="Courier New"/>
        </w:rPr>
        <w:t xml:space="preserve"> </w:t>
      </w:r>
      <w:r w:rsidR="00E833AF">
        <w:rPr>
          <w:rFonts w:ascii="Courier New" w:hAnsi="Courier New" w:cs="Courier New"/>
        </w:rPr>
        <w:t>were</w:t>
      </w:r>
      <w:r w:rsidR="00D2036A">
        <w:rPr>
          <w:rFonts w:ascii="Courier New" w:hAnsi="Courier New" w:cs="Courier New"/>
        </w:rPr>
        <w:t xml:space="preserve"> sporadic and often geared towards a very small audience or altogether </w:t>
      </w:r>
      <w:r w:rsidR="00C760A9">
        <w:rPr>
          <w:rFonts w:ascii="Courier New" w:hAnsi="Courier New" w:cs="Courier New"/>
        </w:rPr>
        <w:t>closed to the public.</w:t>
      </w:r>
      <w:r w:rsidR="00327683">
        <w:rPr>
          <w:rFonts w:ascii="Courier New" w:hAnsi="Courier New" w:cs="Courier New"/>
        </w:rPr>
        <w:t xml:space="preserve">  </w:t>
      </w:r>
      <w:r w:rsidR="00160563">
        <w:rPr>
          <w:rFonts w:ascii="Courier New" w:hAnsi="Courier New" w:cs="Courier New"/>
        </w:rPr>
        <w:t xml:space="preserve">As Ms. </w:t>
      </w:r>
      <w:r w:rsidR="00160563" w:rsidRPr="00232B35">
        <w:rPr>
          <w:rFonts w:ascii="Courier New" w:hAnsi="Courier New" w:cs="Courier New"/>
        </w:rPr>
        <w:t>Mulholland</w:t>
      </w:r>
      <w:r w:rsidR="00E833AF">
        <w:rPr>
          <w:rFonts w:ascii="Courier New" w:hAnsi="Courier New" w:cs="Courier New"/>
        </w:rPr>
        <w:t xml:space="preserve"> ack</w:t>
      </w:r>
      <w:r w:rsidR="002D09A7">
        <w:rPr>
          <w:rFonts w:ascii="Courier New" w:hAnsi="Courier New" w:cs="Courier New"/>
        </w:rPr>
        <w:t>nowledged in her email, TJMC had</w:t>
      </w:r>
      <w:r w:rsidR="00E833AF">
        <w:rPr>
          <w:rFonts w:ascii="Courier New" w:hAnsi="Courier New" w:cs="Courier New"/>
        </w:rPr>
        <w:t xml:space="preserve"> produced “very little programming and only to a very small part of the p</w:t>
      </w:r>
      <w:r w:rsidR="002D09A7">
        <w:rPr>
          <w:rFonts w:ascii="Courier New" w:hAnsi="Courier New" w:cs="Courier New"/>
        </w:rPr>
        <w:t>ublic</w:t>
      </w:r>
      <w:r w:rsidR="00E833AF">
        <w:rPr>
          <w:rFonts w:ascii="Courier New" w:hAnsi="Courier New" w:cs="Courier New"/>
        </w:rPr>
        <w:t>”</w:t>
      </w:r>
      <w:r w:rsidR="002D09A7">
        <w:rPr>
          <w:rFonts w:ascii="Courier New" w:hAnsi="Courier New" w:cs="Courier New"/>
        </w:rPr>
        <w:t xml:space="preserve"> during the tax years at issue.</w:t>
      </w:r>
      <w:r w:rsidR="00160563">
        <w:rPr>
          <w:rFonts w:ascii="Courier New" w:hAnsi="Courier New" w:cs="Courier New"/>
        </w:rPr>
        <w:t xml:space="preserve">  </w:t>
      </w:r>
      <w:r w:rsidR="004654BE">
        <w:rPr>
          <w:rFonts w:ascii="Courier New" w:hAnsi="Courier New" w:cs="Courier New"/>
        </w:rPr>
        <w:t xml:space="preserve">Moreover, many of the events </w:t>
      </w:r>
      <w:r w:rsidR="00DD62E0">
        <w:rPr>
          <w:rFonts w:ascii="Courier New" w:hAnsi="Courier New" w:cs="Courier New"/>
        </w:rPr>
        <w:t xml:space="preserve">conducted at the Conference Center were rentals by outside groups having no connection to American history –- for example, the Gold Coast Mortgage </w:t>
      </w:r>
      <w:r w:rsidR="000054EB">
        <w:rPr>
          <w:rFonts w:ascii="Courier New" w:hAnsi="Courier New" w:cs="Courier New"/>
        </w:rPr>
        <w:t xml:space="preserve">Services’ </w:t>
      </w:r>
      <w:r w:rsidR="00DD62E0">
        <w:rPr>
          <w:rFonts w:ascii="Courier New" w:hAnsi="Courier New" w:cs="Courier New"/>
        </w:rPr>
        <w:t xml:space="preserve">annual outing for its employees -- and therefore did nothing to further TJMC’s stated charitable purpose.  </w:t>
      </w:r>
      <w:r w:rsidR="00327683">
        <w:rPr>
          <w:rFonts w:ascii="Courier New" w:hAnsi="Courier New" w:cs="Courier New"/>
        </w:rPr>
        <w:t xml:space="preserve">The Board thus found insufficient evidence linking the </w:t>
      </w:r>
      <w:r w:rsidR="00327683">
        <w:rPr>
          <w:rFonts w:ascii="Courier New" w:hAnsi="Courier New" w:cs="Courier New"/>
        </w:rPr>
        <w:lastRenderedPageBreak/>
        <w:t>appellant’s use of the subject properties to further its</w:t>
      </w:r>
      <w:r w:rsidR="005F20EC">
        <w:rPr>
          <w:rFonts w:ascii="Courier New" w:hAnsi="Courier New" w:cs="Courier New"/>
        </w:rPr>
        <w:t xml:space="preserve"> stated charitable purposes related</w:t>
      </w:r>
      <w:r w:rsidR="00327683">
        <w:rPr>
          <w:rFonts w:ascii="Courier New" w:hAnsi="Courier New" w:cs="Courier New"/>
        </w:rPr>
        <w:t xml:space="preserve"> to history or patriotism. </w:t>
      </w:r>
      <w:r w:rsidR="007E2879">
        <w:rPr>
          <w:rFonts w:ascii="Courier New" w:hAnsi="Courier New" w:cs="Courier New"/>
        </w:rPr>
        <w:t xml:space="preserve"> </w:t>
      </w:r>
      <w:r w:rsidR="007E2879" w:rsidRPr="007E2879">
        <w:rPr>
          <w:rFonts w:ascii="Courier New" w:hAnsi="Courier New" w:cs="Courier New"/>
          <w:i/>
        </w:rPr>
        <w:t>See</w:t>
      </w:r>
      <w:r w:rsidR="007E2879">
        <w:rPr>
          <w:rFonts w:ascii="Courier New" w:hAnsi="Courier New" w:cs="Courier New"/>
        </w:rPr>
        <w:t xml:space="preserve"> </w:t>
      </w:r>
      <w:proofErr w:type="gramStart"/>
      <w:r w:rsidR="007E2879" w:rsidRPr="00530BE1">
        <w:rPr>
          <w:rFonts w:ascii="Courier New" w:hAnsi="Courier New" w:cs="Courier New"/>
          <w:b/>
          <w:i/>
        </w:rPr>
        <w:t>The</w:t>
      </w:r>
      <w:proofErr w:type="gramEnd"/>
      <w:r w:rsidR="007E2879" w:rsidRPr="00530BE1">
        <w:rPr>
          <w:rFonts w:ascii="Courier New" w:hAnsi="Courier New" w:cs="Courier New"/>
          <w:b/>
          <w:i/>
        </w:rPr>
        <w:t xml:space="preserve"> Vincent Club</w:t>
      </w:r>
      <w:r w:rsidR="000054EB">
        <w:rPr>
          <w:rFonts w:ascii="Courier New" w:hAnsi="Courier New" w:cs="Courier New"/>
        </w:rPr>
        <w:t>, 351 Mass. at 14</w:t>
      </w:r>
      <w:r w:rsidR="003C2A8D">
        <w:rPr>
          <w:rFonts w:ascii="Courier New" w:hAnsi="Courier New" w:cs="Courier New"/>
        </w:rPr>
        <w:t xml:space="preserve"> (quoting</w:t>
      </w:r>
      <w:r w:rsidR="007E2879" w:rsidRPr="00530BE1">
        <w:rPr>
          <w:rFonts w:ascii="Courier New" w:hAnsi="Courier New" w:cs="Courier New"/>
        </w:rPr>
        <w:t xml:space="preserve"> </w:t>
      </w:r>
      <w:r w:rsidR="007E2879" w:rsidRPr="00530BE1">
        <w:rPr>
          <w:rFonts w:ascii="Courier New" w:hAnsi="Courier New" w:cs="Courier New"/>
          <w:b/>
          <w:i/>
        </w:rPr>
        <w:t>Babcock v. Leopold Morse Home for Infirm Hebrew &amp; Orphanage</w:t>
      </w:r>
      <w:r w:rsidR="007E2879" w:rsidRPr="00530BE1">
        <w:rPr>
          <w:rFonts w:ascii="Courier New" w:hAnsi="Courier New" w:cs="Courier New"/>
        </w:rPr>
        <w:t>, 225 Mass. 418, 421 (1917))</w:t>
      </w:r>
      <w:r w:rsidR="003C2A8D">
        <w:rPr>
          <w:rFonts w:ascii="Courier New" w:hAnsi="Courier New" w:cs="Courier New"/>
        </w:rPr>
        <w:t xml:space="preserve"> (a charitable organization</w:t>
      </w:r>
      <w:r w:rsidR="003C2A8D" w:rsidRPr="00530BE1">
        <w:rPr>
          <w:rFonts w:ascii="Courier New" w:hAnsi="Courier New" w:cs="Courier New"/>
        </w:rPr>
        <w:t xml:space="preserve"> must demonstrate “an </w:t>
      </w:r>
      <w:r w:rsidR="003C2A8D" w:rsidRPr="003C2A8D">
        <w:rPr>
          <w:rFonts w:ascii="Courier New" w:hAnsi="Courier New" w:cs="Courier New"/>
        </w:rPr>
        <w:t>active appropriation</w:t>
      </w:r>
      <w:r w:rsidR="003C2A8D" w:rsidRPr="00530BE1">
        <w:rPr>
          <w:rFonts w:ascii="Courier New" w:hAnsi="Courier New" w:cs="Courier New"/>
        </w:rPr>
        <w:t xml:space="preserve"> to the immediate uses </w:t>
      </w:r>
      <w:r w:rsidR="003C2A8D" w:rsidRPr="00A24C69">
        <w:rPr>
          <w:rFonts w:ascii="Courier New" w:hAnsi="Courier New" w:cs="Courier New"/>
        </w:rPr>
        <w:t>of the charitable cause for which the owner was organized”)</w:t>
      </w:r>
      <w:r w:rsidR="007E2879" w:rsidRPr="00A24C69">
        <w:rPr>
          <w:rFonts w:ascii="Courier New" w:hAnsi="Courier New" w:cs="Courier New"/>
        </w:rPr>
        <w:t>.</w:t>
      </w:r>
      <w:r w:rsidR="005A184B">
        <w:rPr>
          <w:rFonts w:ascii="Courier New" w:hAnsi="Courier New" w:cs="Courier New"/>
        </w:rPr>
        <w:t xml:space="preserve">  Finally</w:t>
      </w:r>
      <w:r w:rsidR="00D372AA">
        <w:rPr>
          <w:rFonts w:ascii="Courier New" w:hAnsi="Courier New" w:cs="Courier New"/>
        </w:rPr>
        <w:t xml:space="preserve">, Dr. </w:t>
      </w:r>
      <w:proofErr w:type="spellStart"/>
      <w:r w:rsidR="00D372AA">
        <w:rPr>
          <w:rFonts w:ascii="Courier New" w:hAnsi="Courier New" w:cs="Courier New"/>
        </w:rPr>
        <w:t>Lastavica</w:t>
      </w:r>
      <w:proofErr w:type="spellEnd"/>
      <w:r w:rsidR="00D372AA">
        <w:rPr>
          <w:rFonts w:ascii="Courier New" w:hAnsi="Courier New" w:cs="Courier New"/>
        </w:rPr>
        <w:t xml:space="preserve"> also use</w:t>
      </w:r>
      <w:r w:rsidR="00B3465E">
        <w:rPr>
          <w:rFonts w:ascii="Courier New" w:hAnsi="Courier New" w:cs="Courier New"/>
        </w:rPr>
        <w:t>d</w:t>
      </w:r>
      <w:r w:rsidR="00D372AA">
        <w:rPr>
          <w:rFonts w:ascii="Courier New" w:hAnsi="Courier New" w:cs="Courier New"/>
        </w:rPr>
        <w:t xml:space="preserve"> the Conference Center to store her personal belongings</w:t>
      </w:r>
      <w:r w:rsidR="00637A5F">
        <w:rPr>
          <w:rFonts w:ascii="Courier New" w:hAnsi="Courier New" w:cs="Courier New"/>
        </w:rPr>
        <w:t xml:space="preserve">, </w:t>
      </w:r>
      <w:r w:rsidR="00B3465E">
        <w:rPr>
          <w:rFonts w:ascii="Courier New" w:hAnsi="Courier New" w:cs="Courier New"/>
        </w:rPr>
        <w:t>which led the Board to conclude that the subject properties were used more as private property than for public charitable purposes</w:t>
      </w:r>
      <w:r w:rsidR="00D372AA">
        <w:rPr>
          <w:rFonts w:ascii="Courier New" w:hAnsi="Courier New" w:cs="Courier New"/>
        </w:rPr>
        <w:t>.</w:t>
      </w:r>
      <w:r w:rsidR="007E2879" w:rsidRPr="00A24C69">
        <w:rPr>
          <w:rFonts w:ascii="Courier New" w:hAnsi="Courier New" w:cs="Courier New"/>
        </w:rPr>
        <w:t xml:space="preserve">  </w:t>
      </w:r>
    </w:p>
    <w:p w14:paraId="6AD5D03D" w14:textId="6F87961F" w:rsidR="00327683" w:rsidRDefault="00D33B13" w:rsidP="00A24C69">
      <w:pPr>
        <w:spacing w:line="480" w:lineRule="auto"/>
        <w:ind w:firstLine="720"/>
        <w:jc w:val="both"/>
        <w:rPr>
          <w:rFonts w:ascii="Courier New" w:hAnsi="Courier New" w:cs="Courier New"/>
        </w:rPr>
      </w:pPr>
      <w:r>
        <w:rPr>
          <w:rFonts w:ascii="Courier New" w:hAnsi="Courier New" w:cs="Courier New"/>
        </w:rPr>
        <w:t xml:space="preserve">Based on the evidence, the Board found and ruled that TJMC failed to actively appropriate </w:t>
      </w:r>
      <w:r w:rsidR="00B0000D">
        <w:rPr>
          <w:rFonts w:ascii="Courier New" w:hAnsi="Courier New" w:cs="Courier New"/>
        </w:rPr>
        <w:t>the improved parcel</w:t>
      </w:r>
      <w:r>
        <w:rPr>
          <w:rFonts w:ascii="Courier New" w:hAnsi="Courier New" w:cs="Courier New"/>
        </w:rPr>
        <w:t xml:space="preserve"> for its stated charitable purposes of </w:t>
      </w:r>
      <w:r w:rsidR="00B3465E">
        <w:rPr>
          <w:rFonts w:ascii="Courier New" w:hAnsi="Courier New" w:cs="Courier New"/>
        </w:rPr>
        <w:t>promoting</w:t>
      </w:r>
      <w:r>
        <w:rPr>
          <w:rFonts w:ascii="Courier New" w:hAnsi="Courier New" w:cs="Courier New"/>
        </w:rPr>
        <w:t xml:space="preserve"> </w:t>
      </w:r>
      <w:r w:rsidR="00B3465E">
        <w:rPr>
          <w:rFonts w:ascii="Courier New" w:hAnsi="Courier New" w:cs="Courier New"/>
        </w:rPr>
        <w:t>patriotism, educating</w:t>
      </w:r>
      <w:r w:rsidR="00B0000D">
        <w:rPr>
          <w:rFonts w:ascii="Courier New" w:hAnsi="Courier New" w:cs="Courier New"/>
        </w:rPr>
        <w:t xml:space="preserve"> the public in the history of the Early Republ</w:t>
      </w:r>
      <w:r w:rsidR="000054EB">
        <w:rPr>
          <w:rFonts w:ascii="Courier New" w:hAnsi="Courier New" w:cs="Courier New"/>
        </w:rPr>
        <w:t>ic, or maint</w:t>
      </w:r>
      <w:r w:rsidR="00B3465E">
        <w:rPr>
          <w:rFonts w:ascii="Courier New" w:hAnsi="Courier New" w:cs="Courier New"/>
        </w:rPr>
        <w:t>aining</w:t>
      </w:r>
      <w:r w:rsidR="000054EB">
        <w:rPr>
          <w:rFonts w:ascii="Courier New" w:hAnsi="Courier New" w:cs="Courier New"/>
        </w:rPr>
        <w:t xml:space="preserve"> historic</w:t>
      </w:r>
      <w:r w:rsidR="00B0000D">
        <w:rPr>
          <w:rFonts w:ascii="Courier New" w:hAnsi="Courier New" w:cs="Courier New"/>
        </w:rPr>
        <w:t xml:space="preserve"> public buildings</w:t>
      </w:r>
      <w:r w:rsidR="007B7572">
        <w:rPr>
          <w:rFonts w:ascii="Courier New" w:hAnsi="Courier New" w:cs="Courier New"/>
        </w:rPr>
        <w:t>.</w:t>
      </w:r>
    </w:p>
    <w:p w14:paraId="6D243E1C" w14:textId="226F9D2D" w:rsidR="00B0000D" w:rsidRPr="00B0000D" w:rsidRDefault="00B0000D" w:rsidP="00A24C69">
      <w:pPr>
        <w:spacing w:line="480" w:lineRule="auto"/>
        <w:ind w:firstLine="720"/>
        <w:jc w:val="both"/>
        <w:rPr>
          <w:rFonts w:ascii="Courier New" w:hAnsi="Courier New" w:cs="Courier New"/>
          <w:i/>
        </w:rPr>
      </w:pPr>
      <w:proofErr w:type="gramStart"/>
      <w:r w:rsidRPr="00B0000D">
        <w:rPr>
          <w:rFonts w:ascii="Courier New" w:hAnsi="Courier New" w:cs="Courier New"/>
          <w:i/>
        </w:rPr>
        <w:t>b</w:t>
      </w:r>
      <w:proofErr w:type="gramEnd"/>
      <w:r w:rsidRPr="00B0000D">
        <w:rPr>
          <w:rFonts w:ascii="Courier New" w:hAnsi="Courier New" w:cs="Courier New"/>
          <w:i/>
        </w:rPr>
        <w:t>. vacant parcel</w:t>
      </w:r>
    </w:p>
    <w:p w14:paraId="08A6E7F3" w14:textId="33ABC30C" w:rsidR="0051191D" w:rsidRDefault="00B0000D" w:rsidP="00B0000D">
      <w:pPr>
        <w:pStyle w:val="BodyTextIndent2"/>
        <w:spacing w:after="0"/>
        <w:ind w:left="0" w:firstLine="720"/>
        <w:jc w:val="both"/>
        <w:rPr>
          <w:rFonts w:ascii="Courier New" w:hAnsi="Courier New" w:cs="Courier New"/>
        </w:rPr>
      </w:pPr>
      <w:r w:rsidRPr="00B0000D">
        <w:rPr>
          <w:rFonts w:ascii="Courier New" w:hAnsi="Courier New" w:cs="Courier New"/>
        </w:rPr>
        <w:t xml:space="preserve">The appellant </w:t>
      </w:r>
      <w:r w:rsidR="00B3465E">
        <w:rPr>
          <w:rFonts w:ascii="Courier New" w:hAnsi="Courier New" w:cs="Courier New"/>
        </w:rPr>
        <w:t xml:space="preserve">also </w:t>
      </w:r>
      <w:r w:rsidRPr="00B0000D">
        <w:rPr>
          <w:rFonts w:ascii="Courier New" w:hAnsi="Courier New" w:cs="Courier New"/>
        </w:rPr>
        <w:t xml:space="preserve">contended that it preserves open space and serves an environmental benefit for the public by preserving and maintaining </w:t>
      </w:r>
      <w:r w:rsidR="00B3465E">
        <w:rPr>
          <w:rFonts w:ascii="Courier New" w:hAnsi="Courier New" w:cs="Courier New"/>
        </w:rPr>
        <w:t>conservation land</w:t>
      </w:r>
      <w:r w:rsidRPr="00B0000D">
        <w:rPr>
          <w:rFonts w:ascii="Courier New" w:hAnsi="Courier New" w:cs="Courier New"/>
        </w:rPr>
        <w:t>.</w:t>
      </w:r>
      <w:r>
        <w:rPr>
          <w:rFonts w:ascii="Courier New" w:hAnsi="Courier New" w:cs="Courier New"/>
        </w:rPr>
        <w:t xml:space="preserve">  However</w:t>
      </w:r>
      <w:r w:rsidR="00A26DCF">
        <w:rPr>
          <w:rFonts w:ascii="Courier New" w:hAnsi="Courier New" w:cs="Courier New"/>
        </w:rPr>
        <w:t xml:space="preserve">, </w:t>
      </w:r>
      <w:r w:rsidR="00EB3250">
        <w:rPr>
          <w:rFonts w:ascii="Courier New" w:hAnsi="Courier New" w:cs="Courier New"/>
        </w:rPr>
        <w:t>the appellant</w:t>
      </w:r>
      <w:r w:rsidR="00E539C8">
        <w:rPr>
          <w:rFonts w:ascii="Courier New" w:hAnsi="Courier New" w:cs="Courier New"/>
        </w:rPr>
        <w:t xml:space="preserve"> </w:t>
      </w:r>
      <w:r w:rsidR="00E539C8" w:rsidRPr="0018754A">
        <w:rPr>
          <w:rFonts w:ascii="Courier New" w:hAnsi="Courier New" w:cs="Courier New"/>
        </w:rPr>
        <w:t>offered no evidence that it engaged in meaningful</w:t>
      </w:r>
      <w:r w:rsidR="005821A9">
        <w:rPr>
          <w:rFonts w:ascii="Courier New" w:hAnsi="Courier New" w:cs="Courier New"/>
        </w:rPr>
        <w:t>, active</w:t>
      </w:r>
      <w:r w:rsidR="00E539C8" w:rsidRPr="0018754A">
        <w:rPr>
          <w:rFonts w:ascii="Courier New" w:hAnsi="Courier New" w:cs="Courier New"/>
        </w:rPr>
        <w:t xml:space="preserve"> conservation </w:t>
      </w:r>
      <w:r w:rsidR="00E539C8">
        <w:rPr>
          <w:rFonts w:ascii="Courier New" w:hAnsi="Courier New" w:cs="Courier New"/>
        </w:rPr>
        <w:t xml:space="preserve">or preservation </w:t>
      </w:r>
      <w:r>
        <w:rPr>
          <w:rFonts w:ascii="Courier New" w:hAnsi="Courier New" w:cs="Courier New"/>
        </w:rPr>
        <w:t>efforts at the vacant parcel</w:t>
      </w:r>
      <w:r w:rsidR="000354CF">
        <w:rPr>
          <w:rFonts w:ascii="Courier New" w:hAnsi="Courier New" w:cs="Courier New"/>
        </w:rPr>
        <w:t xml:space="preserve">.  </w:t>
      </w:r>
      <w:r w:rsidR="00E54223">
        <w:rPr>
          <w:rFonts w:ascii="Courier New" w:hAnsi="Courier New" w:cs="Courier New"/>
        </w:rPr>
        <w:t>First of all</w:t>
      </w:r>
      <w:r w:rsidR="00A26DCF">
        <w:rPr>
          <w:rFonts w:ascii="Courier New" w:hAnsi="Courier New" w:cs="Courier New"/>
        </w:rPr>
        <w:t>, the appellant did not include</w:t>
      </w:r>
      <w:r w:rsidR="00102192">
        <w:rPr>
          <w:rFonts w:ascii="Courier New" w:hAnsi="Courier New" w:cs="Courier New"/>
        </w:rPr>
        <w:t xml:space="preserve"> a</w:t>
      </w:r>
      <w:r w:rsidR="00A26DCF">
        <w:rPr>
          <w:rFonts w:ascii="Courier New" w:hAnsi="Courier New" w:cs="Courier New"/>
        </w:rPr>
        <w:t xml:space="preserve"> conservation purpose</w:t>
      </w:r>
      <w:r w:rsidR="00102192">
        <w:rPr>
          <w:rFonts w:ascii="Courier New" w:hAnsi="Courier New" w:cs="Courier New"/>
        </w:rPr>
        <w:t xml:space="preserve"> in its Original Mission Statement, but instead approved </w:t>
      </w:r>
      <w:r w:rsidR="00102192">
        <w:rPr>
          <w:rFonts w:ascii="Courier New" w:hAnsi="Courier New" w:cs="Courier New"/>
        </w:rPr>
        <w:lastRenderedPageBreak/>
        <w:t>a Revised Mission Statement</w:t>
      </w:r>
      <w:r w:rsidR="00A26DCF">
        <w:rPr>
          <w:rFonts w:ascii="Courier New" w:hAnsi="Courier New" w:cs="Courier New"/>
        </w:rPr>
        <w:t xml:space="preserve"> </w:t>
      </w:r>
      <w:r w:rsidR="00102192">
        <w:rPr>
          <w:rFonts w:ascii="Courier New" w:hAnsi="Courier New" w:cs="Courier New"/>
        </w:rPr>
        <w:t xml:space="preserve">on June 19, 2014, after the Supreme Judicial Court’s decision </w:t>
      </w:r>
      <w:r w:rsidR="000354CF">
        <w:rPr>
          <w:rFonts w:ascii="Courier New" w:hAnsi="Courier New" w:cs="Courier New"/>
        </w:rPr>
        <w:t xml:space="preserve">in </w:t>
      </w:r>
      <w:r w:rsidR="00370487" w:rsidRPr="00370487">
        <w:rPr>
          <w:rFonts w:ascii="Courier New" w:hAnsi="Courier New" w:cs="Courier New"/>
          <w:b/>
          <w:i/>
        </w:rPr>
        <w:t>N</w:t>
      </w:r>
      <w:r w:rsidR="00E54223">
        <w:rPr>
          <w:rFonts w:ascii="Courier New" w:hAnsi="Courier New" w:cs="Courier New"/>
          <w:b/>
          <w:i/>
        </w:rPr>
        <w:t xml:space="preserve">ew England </w:t>
      </w:r>
      <w:r w:rsidR="001E29D4">
        <w:rPr>
          <w:rFonts w:ascii="Courier New" w:hAnsi="Courier New" w:cs="Courier New"/>
          <w:b/>
          <w:i/>
        </w:rPr>
        <w:t xml:space="preserve">Forestry </w:t>
      </w:r>
      <w:r w:rsidR="000054EB">
        <w:rPr>
          <w:rFonts w:ascii="Courier New" w:hAnsi="Courier New" w:cs="Courier New"/>
          <w:b/>
          <w:i/>
        </w:rPr>
        <w:t xml:space="preserve">Foundation, Inc. v. </w:t>
      </w:r>
      <w:r w:rsidR="001E29D4">
        <w:rPr>
          <w:rFonts w:ascii="Courier New" w:hAnsi="Courier New" w:cs="Courier New"/>
          <w:b/>
          <w:i/>
        </w:rPr>
        <w:t>Assessors of the Town of Hawley</w:t>
      </w:r>
      <w:r w:rsidR="00370487">
        <w:rPr>
          <w:rFonts w:ascii="Courier New" w:hAnsi="Courier New" w:cs="Courier New"/>
        </w:rPr>
        <w:t xml:space="preserve">, </w:t>
      </w:r>
      <w:r w:rsidR="001E29D4">
        <w:rPr>
          <w:rFonts w:ascii="Courier New" w:hAnsi="Courier New" w:cs="Courier New"/>
        </w:rPr>
        <w:t>(“</w:t>
      </w:r>
      <w:r w:rsidR="001E29D4" w:rsidRPr="001E29D4">
        <w:rPr>
          <w:rFonts w:ascii="Courier New" w:hAnsi="Courier New" w:cs="Courier New"/>
          <w:b/>
          <w:i/>
        </w:rPr>
        <w:t>NEFF</w:t>
      </w:r>
      <w:r w:rsidR="001E29D4">
        <w:rPr>
          <w:rFonts w:ascii="Courier New" w:hAnsi="Courier New" w:cs="Courier New"/>
        </w:rPr>
        <w:t xml:space="preserve">”), </w:t>
      </w:r>
      <w:r w:rsidR="00AD52A0">
        <w:rPr>
          <w:rFonts w:ascii="Courier New" w:hAnsi="Courier New" w:cs="Courier New"/>
        </w:rPr>
        <w:t>468 Mass. 138 (2014), w</w:t>
      </w:r>
      <w:r w:rsidR="00370487">
        <w:rPr>
          <w:rFonts w:ascii="Courier New" w:hAnsi="Courier New" w:cs="Courier New"/>
        </w:rPr>
        <w:t>hich approved a charitable exemption for an organization</w:t>
      </w:r>
      <w:r w:rsidR="00725E0B">
        <w:rPr>
          <w:rFonts w:ascii="Courier New" w:hAnsi="Courier New" w:cs="Courier New"/>
        </w:rPr>
        <w:t xml:space="preserve"> based on its </w:t>
      </w:r>
      <w:r w:rsidR="006910E2">
        <w:rPr>
          <w:rFonts w:ascii="Courier New" w:hAnsi="Courier New" w:cs="Courier New"/>
        </w:rPr>
        <w:t xml:space="preserve">active </w:t>
      </w:r>
      <w:r w:rsidR="00725E0B">
        <w:rPr>
          <w:rFonts w:ascii="Courier New" w:hAnsi="Courier New" w:cs="Courier New"/>
        </w:rPr>
        <w:t xml:space="preserve">conservation efforts </w:t>
      </w:r>
      <w:r w:rsidR="00B3465E">
        <w:rPr>
          <w:rFonts w:ascii="Courier New" w:hAnsi="Courier New" w:cs="Courier New"/>
        </w:rPr>
        <w:t>on the propert</w:t>
      </w:r>
      <w:r w:rsidR="00725E0B">
        <w:rPr>
          <w:rFonts w:ascii="Courier New" w:hAnsi="Courier New" w:cs="Courier New"/>
        </w:rPr>
        <w:t>y</w:t>
      </w:r>
      <w:r w:rsidR="00B3465E">
        <w:rPr>
          <w:rFonts w:ascii="Courier New" w:hAnsi="Courier New" w:cs="Courier New"/>
        </w:rPr>
        <w:t xml:space="preserve"> at issue in that case</w:t>
      </w:r>
      <w:r w:rsidR="00725E0B">
        <w:rPr>
          <w:rFonts w:ascii="Courier New" w:hAnsi="Courier New" w:cs="Courier New"/>
        </w:rPr>
        <w:t xml:space="preserve">.  </w:t>
      </w:r>
    </w:p>
    <w:p w14:paraId="23A35D40" w14:textId="1083DA7F" w:rsidR="0051191D" w:rsidRDefault="0051191D" w:rsidP="0051191D">
      <w:pPr>
        <w:pStyle w:val="BodyTextIndent2"/>
        <w:spacing w:after="0"/>
        <w:ind w:left="0" w:firstLine="720"/>
        <w:jc w:val="both"/>
        <w:rPr>
          <w:rFonts w:ascii="Courier New" w:hAnsi="Courier New" w:cs="Courier New"/>
        </w:rPr>
      </w:pPr>
      <w:r>
        <w:rPr>
          <w:rFonts w:ascii="Courier New" w:hAnsi="Courier New" w:cs="Courier New"/>
        </w:rPr>
        <w:t xml:space="preserve">In </w:t>
      </w:r>
      <w:r w:rsidRPr="00202049">
        <w:rPr>
          <w:rFonts w:ascii="Courier New" w:hAnsi="Courier New" w:cs="Courier New"/>
          <w:b/>
          <w:i/>
        </w:rPr>
        <w:t>NEFF</w:t>
      </w:r>
      <w:r w:rsidR="00AD52A0">
        <w:rPr>
          <w:rFonts w:ascii="Courier New" w:hAnsi="Courier New" w:cs="Courier New"/>
        </w:rPr>
        <w:t>, the SJC</w:t>
      </w:r>
      <w:r>
        <w:rPr>
          <w:rFonts w:ascii="Courier New" w:hAnsi="Courier New" w:cs="Courier New"/>
        </w:rPr>
        <w:t xml:space="preserve"> pointed to several instances of the taxpayer’s active appropriation of the property towards its charitable conservation purposes, including</w:t>
      </w:r>
      <w:r w:rsidR="00496432">
        <w:rPr>
          <w:rFonts w:ascii="Courier New" w:hAnsi="Courier New" w:cs="Courier New"/>
        </w:rPr>
        <w:t>:</w:t>
      </w:r>
      <w:r>
        <w:rPr>
          <w:rFonts w:ascii="Courier New" w:hAnsi="Courier New" w:cs="Courier New"/>
        </w:rPr>
        <w:t xml:space="preserve"> producing and disseminating awareness-</w:t>
      </w:r>
      <w:r w:rsidR="00496432">
        <w:rPr>
          <w:rFonts w:ascii="Courier New" w:hAnsi="Courier New" w:cs="Courier New"/>
        </w:rPr>
        <w:t>raising materials;</w:t>
      </w:r>
      <w:r>
        <w:rPr>
          <w:rFonts w:ascii="Courier New" w:hAnsi="Courier New" w:cs="Courier New"/>
        </w:rPr>
        <w:t xml:space="preserve"> sponsoring edu</w:t>
      </w:r>
      <w:r w:rsidR="00496432">
        <w:rPr>
          <w:rFonts w:ascii="Courier New" w:hAnsi="Courier New" w:cs="Courier New"/>
        </w:rPr>
        <w:t>cational programs for foresters;</w:t>
      </w:r>
      <w:r>
        <w:rPr>
          <w:rFonts w:ascii="Courier New" w:hAnsi="Courier New" w:cs="Courier New"/>
        </w:rPr>
        <w:t xml:space="preserve"> and the placement of the property under a forest management program using an independent outside consultant.  </w:t>
      </w:r>
      <w:proofErr w:type="gramStart"/>
      <w:r w:rsidRPr="000449CE">
        <w:rPr>
          <w:rFonts w:ascii="Courier New" w:hAnsi="Courier New" w:cs="Courier New"/>
          <w:b/>
          <w:i/>
        </w:rPr>
        <w:t>Id</w:t>
      </w:r>
      <w:r>
        <w:rPr>
          <w:rFonts w:ascii="Courier New" w:hAnsi="Courier New" w:cs="Courier New"/>
        </w:rPr>
        <w:t>. at 158.</w:t>
      </w:r>
      <w:proofErr w:type="gramEnd"/>
      <w:r>
        <w:rPr>
          <w:rFonts w:ascii="Courier New" w:hAnsi="Courier New" w:cs="Courier New"/>
        </w:rPr>
        <w:t xml:space="preserve">  NEFF’s staff included licen</w:t>
      </w:r>
      <w:r w:rsidR="005F0556">
        <w:rPr>
          <w:rFonts w:ascii="Courier New" w:hAnsi="Courier New" w:cs="Courier New"/>
        </w:rPr>
        <w:t>sed foresters, and the taxpayer</w:t>
      </w:r>
      <w:r>
        <w:rPr>
          <w:rFonts w:ascii="Courier New" w:hAnsi="Courier New" w:cs="Courier New"/>
        </w:rPr>
        <w:t xml:space="preserve"> offered evidence showing that it engaged in sustainable forestry practices to track the effects of its land management.  </w:t>
      </w:r>
      <w:r w:rsidRPr="000449CE">
        <w:rPr>
          <w:rFonts w:ascii="Courier New" w:hAnsi="Courier New" w:cs="Courier New"/>
          <w:b/>
          <w:i/>
        </w:rPr>
        <w:t>Id</w:t>
      </w:r>
      <w:r>
        <w:rPr>
          <w:rFonts w:ascii="Courier New" w:hAnsi="Courier New" w:cs="Courier New"/>
        </w:rPr>
        <w:t>.  NEFF’s activities under its forest management plan included removal of “mature and poor quality” logs to “release good quality growing stock”; “[c]</w:t>
      </w:r>
      <w:proofErr w:type="spellStart"/>
      <w:r>
        <w:rPr>
          <w:rFonts w:ascii="Courier New" w:hAnsi="Courier New" w:cs="Courier New"/>
        </w:rPr>
        <w:t>ombination</w:t>
      </w:r>
      <w:proofErr w:type="spellEnd"/>
      <w:r>
        <w:rPr>
          <w:rFonts w:ascii="Courier New" w:hAnsi="Courier New" w:cs="Courier New"/>
        </w:rPr>
        <w:t xml:space="preserve"> strip cuts and patch cuts for wildlife and s</w:t>
      </w:r>
      <w:r w:rsidR="005F0556">
        <w:rPr>
          <w:rFonts w:ascii="Courier New" w:hAnsi="Courier New" w:cs="Courier New"/>
        </w:rPr>
        <w:t>oftwood regeneration</w:t>
      </w:r>
      <w:r>
        <w:rPr>
          <w:rFonts w:ascii="Courier New" w:hAnsi="Courier New" w:cs="Courier New"/>
        </w:rPr>
        <w:t>”</w:t>
      </w:r>
      <w:r w:rsidR="005F0556">
        <w:rPr>
          <w:rFonts w:ascii="Courier New" w:hAnsi="Courier New" w:cs="Courier New"/>
        </w:rPr>
        <w:t>;</w:t>
      </w:r>
      <w:r>
        <w:rPr>
          <w:rFonts w:ascii="Courier New" w:hAnsi="Courier New" w:cs="Courier New"/>
        </w:rPr>
        <w:t xml:space="preserve"> and the layout of a “loop demonstration trail,” taking into consideration “erosion of fragile soils.”  </w:t>
      </w:r>
      <w:proofErr w:type="gramStart"/>
      <w:r w:rsidRPr="000449CE">
        <w:rPr>
          <w:rFonts w:ascii="Courier New" w:hAnsi="Courier New" w:cs="Courier New"/>
          <w:b/>
          <w:i/>
        </w:rPr>
        <w:t>Id</w:t>
      </w:r>
      <w:r>
        <w:rPr>
          <w:rFonts w:ascii="Courier New" w:hAnsi="Courier New" w:cs="Courier New"/>
        </w:rPr>
        <w:t>. at 141.</w:t>
      </w:r>
      <w:proofErr w:type="gramEnd"/>
      <w:r>
        <w:rPr>
          <w:rFonts w:ascii="Courier New" w:hAnsi="Courier New" w:cs="Courier New"/>
        </w:rPr>
        <w:t xml:space="preserve">  NEFF later updated its forestry plan and conducted a tree inventory, which resulted in a patch harvest of approximately 65 acres.  </w:t>
      </w:r>
      <w:r w:rsidRPr="00584C49">
        <w:rPr>
          <w:rFonts w:ascii="Courier New" w:hAnsi="Courier New" w:cs="Courier New"/>
          <w:b/>
          <w:i/>
        </w:rPr>
        <w:t>Id.</w:t>
      </w:r>
      <w:r>
        <w:rPr>
          <w:rFonts w:ascii="Courier New" w:hAnsi="Courier New" w:cs="Courier New"/>
        </w:rPr>
        <w:t xml:space="preserve">   </w:t>
      </w:r>
    </w:p>
    <w:p w14:paraId="22CCAE58" w14:textId="44959AF6" w:rsidR="004E54A6" w:rsidRDefault="0051191D" w:rsidP="001958B6">
      <w:pPr>
        <w:spacing w:line="480" w:lineRule="auto"/>
        <w:ind w:firstLine="720"/>
        <w:jc w:val="both"/>
        <w:rPr>
          <w:rFonts w:ascii="Courier New" w:hAnsi="Courier New" w:cs="Courier New"/>
        </w:rPr>
      </w:pPr>
      <w:r>
        <w:rPr>
          <w:rFonts w:ascii="Courier New" w:hAnsi="Courier New" w:cs="Courier New"/>
        </w:rPr>
        <w:lastRenderedPageBreak/>
        <w:t>While t</w:t>
      </w:r>
      <w:r w:rsidR="000354CF">
        <w:rPr>
          <w:rFonts w:ascii="Courier New" w:hAnsi="Courier New" w:cs="Courier New"/>
        </w:rPr>
        <w:t xml:space="preserve">he taxpayer </w:t>
      </w:r>
      <w:r w:rsidR="006910E2">
        <w:rPr>
          <w:rFonts w:ascii="Courier New" w:hAnsi="Courier New" w:cs="Courier New"/>
        </w:rPr>
        <w:t xml:space="preserve">in </w:t>
      </w:r>
      <w:r w:rsidR="006910E2" w:rsidRPr="006910E2">
        <w:rPr>
          <w:rFonts w:ascii="Courier New" w:hAnsi="Courier New" w:cs="Courier New"/>
          <w:b/>
          <w:i/>
        </w:rPr>
        <w:t>NEFF</w:t>
      </w:r>
      <w:r w:rsidR="006910E2">
        <w:rPr>
          <w:rFonts w:ascii="Courier New" w:hAnsi="Courier New" w:cs="Courier New"/>
        </w:rPr>
        <w:t xml:space="preserve"> </w:t>
      </w:r>
      <w:r w:rsidR="000354CF">
        <w:rPr>
          <w:rFonts w:ascii="Courier New" w:hAnsi="Courier New" w:cs="Courier New"/>
        </w:rPr>
        <w:t xml:space="preserve">offered </w:t>
      </w:r>
      <w:r w:rsidR="00B3465E">
        <w:rPr>
          <w:rFonts w:ascii="Courier New" w:hAnsi="Courier New" w:cs="Courier New"/>
        </w:rPr>
        <w:t>substantial</w:t>
      </w:r>
      <w:r w:rsidR="00725E0B">
        <w:rPr>
          <w:rFonts w:ascii="Courier New" w:hAnsi="Courier New" w:cs="Courier New"/>
        </w:rPr>
        <w:t xml:space="preserve"> </w:t>
      </w:r>
      <w:r w:rsidR="000354CF">
        <w:rPr>
          <w:rFonts w:ascii="Courier New" w:hAnsi="Courier New" w:cs="Courier New"/>
        </w:rPr>
        <w:t>evidence that it</w:t>
      </w:r>
      <w:r w:rsidR="00E539C8">
        <w:rPr>
          <w:rFonts w:ascii="Courier New" w:hAnsi="Courier New" w:cs="Courier New"/>
        </w:rPr>
        <w:t xml:space="preserve"> </w:t>
      </w:r>
      <w:r w:rsidR="008A0CC4">
        <w:rPr>
          <w:rFonts w:ascii="Courier New" w:hAnsi="Courier New" w:cs="Courier New"/>
        </w:rPr>
        <w:t>w</w:t>
      </w:r>
      <w:r w:rsidR="00BB3DCD">
        <w:rPr>
          <w:rFonts w:ascii="Courier New" w:hAnsi="Courier New" w:cs="Courier New"/>
        </w:rPr>
        <w:t xml:space="preserve">as </w:t>
      </w:r>
      <w:r w:rsidR="006910E2">
        <w:rPr>
          <w:rFonts w:ascii="Courier New" w:hAnsi="Courier New" w:cs="Courier New"/>
        </w:rPr>
        <w:t xml:space="preserve">actively </w:t>
      </w:r>
      <w:r w:rsidR="00BB3DCD">
        <w:rPr>
          <w:rFonts w:ascii="Courier New" w:hAnsi="Courier New" w:cs="Courier New"/>
        </w:rPr>
        <w:t xml:space="preserve">engaging in </w:t>
      </w:r>
      <w:r w:rsidR="00B3465E">
        <w:rPr>
          <w:rFonts w:ascii="Courier New" w:hAnsi="Courier New" w:cs="Courier New"/>
        </w:rPr>
        <w:t>conservation and educational programs</w:t>
      </w:r>
      <w:r w:rsidR="00892D63">
        <w:rPr>
          <w:rFonts w:ascii="Courier New" w:hAnsi="Courier New" w:cs="Courier New"/>
        </w:rPr>
        <w:t xml:space="preserve"> at the subject property, thereby actively appropriating the property in furtherance of its </w:t>
      </w:r>
      <w:r w:rsidR="00B3465E">
        <w:rPr>
          <w:rFonts w:ascii="Courier New" w:hAnsi="Courier New" w:cs="Courier New"/>
        </w:rPr>
        <w:t>charitable</w:t>
      </w:r>
      <w:r w:rsidR="00892D63">
        <w:rPr>
          <w:rFonts w:ascii="Courier New" w:hAnsi="Courier New" w:cs="Courier New"/>
        </w:rPr>
        <w:t xml:space="preserve"> purpose</w:t>
      </w:r>
      <w:r>
        <w:rPr>
          <w:rFonts w:ascii="Courier New" w:hAnsi="Courier New" w:cs="Courier New"/>
        </w:rPr>
        <w:t>, TJMC merely</w:t>
      </w:r>
      <w:r w:rsidR="00B3465E">
        <w:rPr>
          <w:rFonts w:ascii="Courier New" w:hAnsi="Courier New" w:cs="Courier New"/>
        </w:rPr>
        <w:t xml:space="preserve"> cited</w:t>
      </w:r>
      <w:r w:rsidR="00C435F9">
        <w:rPr>
          <w:rFonts w:ascii="Courier New" w:hAnsi="Courier New" w:cs="Courier New"/>
        </w:rPr>
        <w:t xml:space="preserve"> the watershed restoration work that was performed at the subject properties to preserve the sea wall</w:t>
      </w:r>
      <w:r w:rsidR="000B7C7A">
        <w:rPr>
          <w:rFonts w:ascii="Courier New" w:hAnsi="Courier New" w:cs="Courier New"/>
        </w:rPr>
        <w:t xml:space="preserve">.  However, this work was performed </w:t>
      </w:r>
      <w:r w:rsidR="006910E2">
        <w:rPr>
          <w:rFonts w:ascii="Courier New" w:hAnsi="Courier New" w:cs="Courier New"/>
        </w:rPr>
        <w:t xml:space="preserve">for </w:t>
      </w:r>
      <w:r w:rsidR="00AA1ED7">
        <w:rPr>
          <w:rFonts w:ascii="Courier New" w:hAnsi="Courier New" w:cs="Courier New"/>
        </w:rPr>
        <w:t xml:space="preserve">the </w:t>
      </w:r>
      <w:proofErr w:type="spellStart"/>
      <w:r w:rsidR="00AA1ED7">
        <w:rPr>
          <w:rFonts w:ascii="Courier New" w:hAnsi="Courier New" w:cs="Courier New"/>
        </w:rPr>
        <w:t>Lastavicas</w:t>
      </w:r>
      <w:proofErr w:type="spellEnd"/>
      <w:r w:rsidR="00AA1ED7">
        <w:rPr>
          <w:rFonts w:ascii="Courier New" w:hAnsi="Courier New" w:cs="Courier New"/>
        </w:rPr>
        <w:t xml:space="preserve"> </w:t>
      </w:r>
      <w:r w:rsidR="006910E2">
        <w:rPr>
          <w:rFonts w:ascii="Courier New" w:hAnsi="Courier New" w:cs="Courier New"/>
        </w:rPr>
        <w:t xml:space="preserve">and paid </w:t>
      </w:r>
      <w:r w:rsidR="00B3465E">
        <w:rPr>
          <w:rFonts w:ascii="Courier New" w:hAnsi="Courier New" w:cs="Courier New"/>
        </w:rPr>
        <w:t xml:space="preserve">for </w:t>
      </w:r>
      <w:r w:rsidR="006910E2">
        <w:rPr>
          <w:rFonts w:ascii="Courier New" w:hAnsi="Courier New" w:cs="Courier New"/>
        </w:rPr>
        <w:t>by</w:t>
      </w:r>
      <w:r w:rsidR="00AA1ED7">
        <w:rPr>
          <w:rFonts w:ascii="Courier New" w:hAnsi="Courier New" w:cs="Courier New"/>
        </w:rPr>
        <w:t xml:space="preserve"> Vingo Trust III</w:t>
      </w:r>
      <w:r w:rsidR="008B0620">
        <w:rPr>
          <w:rFonts w:ascii="Courier New" w:hAnsi="Courier New" w:cs="Courier New"/>
        </w:rPr>
        <w:t xml:space="preserve"> </w:t>
      </w:r>
      <w:r w:rsidR="000B7C7A">
        <w:rPr>
          <w:rFonts w:ascii="Courier New" w:hAnsi="Courier New" w:cs="Courier New"/>
        </w:rPr>
        <w:t>before the appellant</w:t>
      </w:r>
      <w:r w:rsidR="005821A9">
        <w:rPr>
          <w:rFonts w:ascii="Courier New" w:hAnsi="Courier New" w:cs="Courier New"/>
        </w:rPr>
        <w:t xml:space="preserve"> even</w:t>
      </w:r>
      <w:r w:rsidR="000B7C7A">
        <w:rPr>
          <w:rFonts w:ascii="Courier New" w:hAnsi="Courier New" w:cs="Courier New"/>
        </w:rPr>
        <w:t xml:space="preserve"> existed</w:t>
      </w:r>
      <w:r w:rsidR="004E54A6">
        <w:rPr>
          <w:rFonts w:ascii="Courier New" w:hAnsi="Courier New" w:cs="Courier New"/>
        </w:rPr>
        <w:t>,</w:t>
      </w:r>
      <w:r w:rsidR="000B7C7A">
        <w:rPr>
          <w:rFonts w:ascii="Courier New" w:hAnsi="Courier New" w:cs="Courier New"/>
        </w:rPr>
        <w:t xml:space="preserve"> and </w:t>
      </w:r>
      <w:r w:rsidR="004E54A6">
        <w:rPr>
          <w:rFonts w:ascii="Courier New" w:hAnsi="Courier New" w:cs="Courier New"/>
        </w:rPr>
        <w:t xml:space="preserve">it </w:t>
      </w:r>
      <w:r w:rsidR="000B7C7A">
        <w:rPr>
          <w:rFonts w:ascii="Courier New" w:hAnsi="Courier New" w:cs="Courier New"/>
        </w:rPr>
        <w:t xml:space="preserve">therefore could not be credited to the appellant.  </w:t>
      </w:r>
    </w:p>
    <w:p w14:paraId="5C4D124F" w14:textId="00F95A60" w:rsidR="00C96012" w:rsidRDefault="000B7C7A" w:rsidP="001958B6">
      <w:pPr>
        <w:spacing w:line="480" w:lineRule="auto"/>
        <w:ind w:firstLine="720"/>
        <w:jc w:val="both"/>
        <w:rPr>
          <w:rFonts w:ascii="Courier New" w:hAnsi="Courier New" w:cs="Courier New"/>
        </w:rPr>
      </w:pPr>
      <w:r>
        <w:rPr>
          <w:rFonts w:ascii="Courier New" w:hAnsi="Courier New" w:cs="Courier New"/>
        </w:rPr>
        <w:t>Aside from that work, the appellant</w:t>
      </w:r>
      <w:r w:rsidR="00B3465E">
        <w:rPr>
          <w:rFonts w:ascii="Courier New" w:hAnsi="Courier New" w:cs="Courier New"/>
        </w:rPr>
        <w:t xml:space="preserve">’s only other argument was that it complied with the </w:t>
      </w:r>
      <w:r>
        <w:rPr>
          <w:rFonts w:ascii="Courier New" w:hAnsi="Courier New" w:cs="Courier New"/>
        </w:rPr>
        <w:t>conservation restriction</w:t>
      </w:r>
      <w:r w:rsidR="00B3465E">
        <w:rPr>
          <w:rFonts w:ascii="Courier New" w:hAnsi="Courier New" w:cs="Courier New"/>
        </w:rPr>
        <w:t>s impacting the vacant parcel</w:t>
      </w:r>
      <w:r>
        <w:rPr>
          <w:rFonts w:ascii="Courier New" w:hAnsi="Courier New" w:cs="Courier New"/>
        </w:rPr>
        <w:t>.</w:t>
      </w:r>
      <w:r w:rsidR="00EB3250">
        <w:rPr>
          <w:rFonts w:ascii="Courier New" w:hAnsi="Courier New" w:cs="Courier New"/>
        </w:rPr>
        <w:t xml:space="preserve"> </w:t>
      </w:r>
      <w:r w:rsidR="0017300F">
        <w:rPr>
          <w:rFonts w:ascii="Courier New" w:hAnsi="Courier New" w:cs="Courier New"/>
        </w:rPr>
        <w:t xml:space="preserve"> As the</w:t>
      </w:r>
      <w:r>
        <w:rPr>
          <w:rFonts w:ascii="Courier New" w:hAnsi="Courier New" w:cs="Courier New"/>
        </w:rPr>
        <w:t xml:space="preserve"> Board has previously found, the charitable exemption requires more than passively holding land in a natural state:  </w:t>
      </w:r>
    </w:p>
    <w:p w14:paraId="3E58ABDB" w14:textId="21A8E8EA" w:rsidR="00C96012" w:rsidRDefault="00C96012" w:rsidP="00C96012">
      <w:pPr>
        <w:ind w:left="720" w:right="720"/>
        <w:jc w:val="both"/>
        <w:rPr>
          <w:rFonts w:ascii="Courier New" w:hAnsi="Courier New" w:cs="Courier New"/>
          <w:b/>
          <w:i/>
        </w:rPr>
      </w:pPr>
      <w:r>
        <w:rPr>
          <w:rFonts w:ascii="Courier New" w:hAnsi="Courier New" w:cs="Courier New"/>
        </w:rPr>
        <w:t>[A]</w:t>
      </w:r>
      <w:proofErr w:type="spellStart"/>
      <w:r w:rsidR="00C75445">
        <w:rPr>
          <w:rFonts w:ascii="Courier New" w:hAnsi="Courier New" w:cs="Courier New"/>
        </w:rPr>
        <w:t>lthough</w:t>
      </w:r>
      <w:proofErr w:type="spellEnd"/>
      <w:r w:rsidR="00C75445">
        <w:rPr>
          <w:rFonts w:ascii="Courier New" w:hAnsi="Courier New" w:cs="Courier New"/>
        </w:rPr>
        <w:t xml:space="preserve"> ‘</w:t>
      </w:r>
      <w:r w:rsidR="00E539C8" w:rsidRPr="0018754A">
        <w:rPr>
          <w:rFonts w:ascii="Courier New" w:hAnsi="Courier New" w:cs="Courier New"/>
        </w:rPr>
        <w:t>holding land in its natural pristine condition and thereby protecting wildlife habitats, filtering the air and water supply, and absorbing carbon emissions</w:t>
      </w:r>
      <w:r w:rsidR="00E539C8">
        <w:rPr>
          <w:rFonts w:ascii="Courier New" w:hAnsi="Courier New" w:cs="Courier New"/>
        </w:rPr>
        <w:t>,</w:t>
      </w:r>
      <w:r w:rsidR="00C75445">
        <w:rPr>
          <w:rFonts w:ascii="Courier New" w:hAnsi="Courier New" w:cs="Courier New"/>
        </w:rPr>
        <w:t>’</w:t>
      </w:r>
      <w:r w:rsidR="00E539C8" w:rsidRPr="0018754A">
        <w:rPr>
          <w:rFonts w:ascii="Courier New" w:hAnsi="Courier New" w:cs="Courier New"/>
        </w:rPr>
        <w:t xml:space="preserve"> </w:t>
      </w:r>
      <w:r w:rsidR="00E539C8" w:rsidRPr="0018754A">
        <w:rPr>
          <w:rFonts w:ascii="Courier New" w:hAnsi="Courier New" w:cs="Courier New"/>
          <w:b/>
          <w:i/>
        </w:rPr>
        <w:t>New England Forestry Foundation, Inc.</w:t>
      </w:r>
      <w:r w:rsidR="00E539C8">
        <w:rPr>
          <w:rFonts w:ascii="Courier New" w:hAnsi="Courier New" w:cs="Courier New"/>
          <w:b/>
          <w:i/>
        </w:rPr>
        <w:t xml:space="preserve">, </w:t>
      </w:r>
      <w:r w:rsidR="00E539C8">
        <w:rPr>
          <w:rFonts w:ascii="Courier New" w:hAnsi="Courier New" w:cs="Courier New"/>
        </w:rPr>
        <w:t>468 Mass. at 152</w:t>
      </w:r>
      <w:r w:rsidR="00E539C8" w:rsidRPr="0018754A">
        <w:rPr>
          <w:rFonts w:ascii="Courier New" w:hAnsi="Courier New" w:cs="Courier New"/>
        </w:rPr>
        <w:t xml:space="preserve">, undoubtedly provides some benefit to the public in general, the Trust did not demonstrate a pattern of consistent or concerted conservation </w:t>
      </w:r>
      <w:r w:rsidR="00E539C8">
        <w:rPr>
          <w:rFonts w:ascii="Courier New" w:hAnsi="Courier New" w:cs="Courier New"/>
        </w:rPr>
        <w:t xml:space="preserve">or preservation </w:t>
      </w:r>
      <w:r w:rsidR="00E539C8" w:rsidRPr="0018754A">
        <w:rPr>
          <w:rFonts w:ascii="Courier New" w:hAnsi="Courier New" w:cs="Courier New"/>
        </w:rPr>
        <w:t>efforts sufficient to distinguish it from any other private la</w:t>
      </w:r>
      <w:r w:rsidR="00E539C8">
        <w:rPr>
          <w:rFonts w:ascii="Courier New" w:hAnsi="Courier New" w:cs="Courier New"/>
        </w:rPr>
        <w:t xml:space="preserve">ndowner who simply holds </w:t>
      </w:r>
      <w:r w:rsidR="00E539C8" w:rsidRPr="0018754A">
        <w:rPr>
          <w:rFonts w:ascii="Courier New" w:hAnsi="Courier New" w:cs="Courier New"/>
        </w:rPr>
        <w:t xml:space="preserve">several acres of land in an undeveloped state.  </w:t>
      </w:r>
      <w:r w:rsidR="00E539C8" w:rsidRPr="0018754A">
        <w:rPr>
          <w:rFonts w:ascii="Courier New" w:hAnsi="Courier New" w:cs="Courier New"/>
          <w:i/>
        </w:rPr>
        <w:t xml:space="preserve">See </w:t>
      </w:r>
      <w:r w:rsidR="005F0556">
        <w:rPr>
          <w:rFonts w:ascii="Courier New" w:hAnsi="Courier New" w:cs="Courier New"/>
          <w:b/>
          <w:i/>
        </w:rPr>
        <w:t>i</w:t>
      </w:r>
      <w:r w:rsidR="00E539C8">
        <w:rPr>
          <w:rFonts w:ascii="Courier New" w:hAnsi="Courier New" w:cs="Courier New"/>
          <w:b/>
          <w:i/>
        </w:rPr>
        <w:t xml:space="preserve">d. </w:t>
      </w:r>
      <w:proofErr w:type="gramStart"/>
      <w:r w:rsidR="00E539C8" w:rsidRPr="00B65E2B">
        <w:rPr>
          <w:rFonts w:ascii="Courier New" w:hAnsi="Courier New" w:cs="Courier New"/>
        </w:rPr>
        <w:t>at</w:t>
      </w:r>
      <w:proofErr w:type="gramEnd"/>
      <w:r w:rsidR="00E539C8" w:rsidRPr="00B65E2B">
        <w:rPr>
          <w:rFonts w:ascii="Courier New" w:hAnsi="Courier New" w:cs="Courier New"/>
        </w:rPr>
        <w:t xml:space="preserve"> 156</w:t>
      </w:r>
      <w:r w:rsidR="00E539C8">
        <w:rPr>
          <w:rFonts w:ascii="Courier New" w:hAnsi="Courier New" w:cs="Courier New"/>
          <w:b/>
          <w:i/>
        </w:rPr>
        <w:t>.</w:t>
      </w:r>
      <w:r w:rsidR="00B46AD2">
        <w:rPr>
          <w:rFonts w:ascii="Courier New" w:hAnsi="Courier New" w:cs="Courier New"/>
          <w:b/>
          <w:i/>
        </w:rPr>
        <w:t xml:space="preserve"> </w:t>
      </w:r>
    </w:p>
    <w:p w14:paraId="02C8654C" w14:textId="6AC5BEA2" w:rsidR="00C96012" w:rsidRDefault="00B46AD2" w:rsidP="00C96012">
      <w:pPr>
        <w:ind w:left="720" w:right="720"/>
        <w:jc w:val="both"/>
        <w:rPr>
          <w:rFonts w:ascii="Courier New" w:hAnsi="Courier New" w:cs="Courier New"/>
          <w:b/>
          <w:i/>
        </w:rPr>
      </w:pPr>
      <w:r>
        <w:rPr>
          <w:rFonts w:ascii="Courier New" w:hAnsi="Courier New" w:cs="Courier New"/>
          <w:b/>
          <w:i/>
        </w:rPr>
        <w:t xml:space="preserve"> </w:t>
      </w:r>
    </w:p>
    <w:p w14:paraId="7F08DF3B" w14:textId="71008DD3" w:rsidR="003B4AE1" w:rsidRDefault="00C96012" w:rsidP="00C96012">
      <w:pPr>
        <w:spacing w:line="480" w:lineRule="auto"/>
        <w:jc w:val="both"/>
        <w:rPr>
          <w:rFonts w:ascii="Courier New" w:hAnsi="Courier New" w:cs="Courier New"/>
        </w:rPr>
      </w:pPr>
      <w:r w:rsidRPr="00C96012">
        <w:rPr>
          <w:rFonts w:ascii="Courier New" w:hAnsi="Courier New" w:cs="Courier New"/>
          <w:b/>
          <w:i/>
        </w:rPr>
        <w:t>Anna Harris Smith Conservation Trust, Inc. v. Assessors of Pembroke</w:t>
      </w:r>
      <w:r>
        <w:rPr>
          <w:rFonts w:ascii="Courier New" w:hAnsi="Courier New" w:cs="Courier New"/>
          <w:i/>
        </w:rPr>
        <w:t xml:space="preserve">, </w:t>
      </w:r>
      <w:r>
        <w:rPr>
          <w:rFonts w:ascii="Courier New" w:hAnsi="Courier New" w:cs="Courier New"/>
        </w:rPr>
        <w:t xml:space="preserve">Mass. ATB Findings of Fact and Reports 2015-123, 142. </w:t>
      </w:r>
      <w:r w:rsidR="00E539C8" w:rsidRPr="0018754A">
        <w:rPr>
          <w:rFonts w:ascii="Courier New" w:hAnsi="Courier New" w:cs="Courier New"/>
          <w:i/>
        </w:rPr>
        <w:t>See</w:t>
      </w:r>
      <w:r w:rsidR="000B7C7A">
        <w:rPr>
          <w:rFonts w:ascii="Courier New" w:hAnsi="Courier New" w:cs="Courier New"/>
          <w:i/>
        </w:rPr>
        <w:t xml:space="preserve"> also</w:t>
      </w:r>
      <w:r w:rsidR="00E539C8" w:rsidRPr="0018754A">
        <w:rPr>
          <w:rFonts w:ascii="Courier New" w:hAnsi="Courier New" w:cs="Courier New"/>
        </w:rPr>
        <w:t xml:space="preserve"> </w:t>
      </w:r>
      <w:r w:rsidR="00E539C8" w:rsidRPr="0018754A">
        <w:rPr>
          <w:rFonts w:ascii="Courier New" w:hAnsi="Courier New" w:cs="Courier New"/>
          <w:b/>
          <w:i/>
        </w:rPr>
        <w:t>Wing’s Neck Conservation Foundation, Inc.</w:t>
      </w:r>
      <w:r w:rsidR="005D3AF6">
        <w:rPr>
          <w:rFonts w:ascii="Courier New" w:hAnsi="Courier New" w:cs="Courier New"/>
          <w:b/>
          <w:i/>
        </w:rPr>
        <w:t xml:space="preserve"> v. Assessors of Bourne</w:t>
      </w:r>
      <w:r w:rsidR="00E539C8" w:rsidRPr="0018754A">
        <w:rPr>
          <w:rFonts w:ascii="Courier New" w:hAnsi="Courier New" w:cs="Courier New"/>
          <w:b/>
          <w:i/>
        </w:rPr>
        <w:t xml:space="preserve">, </w:t>
      </w:r>
      <w:r w:rsidR="00E539C8" w:rsidRPr="0018754A">
        <w:rPr>
          <w:rFonts w:ascii="Courier New" w:hAnsi="Courier New" w:cs="Courier New"/>
        </w:rPr>
        <w:t>Mass. ATB Findings</w:t>
      </w:r>
      <w:r w:rsidR="005D3AF6">
        <w:rPr>
          <w:rFonts w:ascii="Courier New" w:hAnsi="Courier New" w:cs="Courier New"/>
        </w:rPr>
        <w:t xml:space="preserve"> of Fact and Reports </w:t>
      </w:r>
      <w:r w:rsidR="00E539C8" w:rsidRPr="0018754A">
        <w:rPr>
          <w:rFonts w:ascii="Courier New" w:hAnsi="Courier New" w:cs="Courier New"/>
        </w:rPr>
        <w:t>2003-</w:t>
      </w:r>
      <w:r w:rsidR="005D3AF6">
        <w:rPr>
          <w:rFonts w:ascii="Courier New" w:hAnsi="Courier New" w:cs="Courier New"/>
        </w:rPr>
        <w:t xml:space="preserve">329, </w:t>
      </w:r>
      <w:r w:rsidR="00E539C8" w:rsidRPr="0018754A">
        <w:rPr>
          <w:rFonts w:ascii="Courier New" w:hAnsi="Courier New" w:cs="Courier New"/>
        </w:rPr>
        <w:t xml:space="preserve">336 </w:t>
      </w:r>
      <w:r w:rsidR="00E539C8" w:rsidRPr="0018754A">
        <w:rPr>
          <w:rFonts w:ascii="Courier New" w:hAnsi="Courier New" w:cs="Courier New"/>
        </w:rPr>
        <w:lastRenderedPageBreak/>
        <w:t>(“[A]</w:t>
      </w:r>
      <w:proofErr w:type="spellStart"/>
      <w:r w:rsidR="00E539C8" w:rsidRPr="0018754A">
        <w:rPr>
          <w:rFonts w:ascii="Courier New" w:hAnsi="Courier New" w:cs="Courier New"/>
        </w:rPr>
        <w:t>lthough</w:t>
      </w:r>
      <w:proofErr w:type="spellEnd"/>
      <w:r w:rsidR="00E539C8" w:rsidRPr="0018754A">
        <w:rPr>
          <w:rFonts w:ascii="Courier New" w:hAnsi="Courier New" w:cs="Courier New"/>
        </w:rPr>
        <w:t xml:space="preserve"> the conservation of open space for the benefit of the general public is a most laudable goal, [the evidence failed to establish that the organization in question] was in actual operation a charitable organization.”).</w:t>
      </w:r>
      <w:r w:rsidR="00F73E60">
        <w:rPr>
          <w:rFonts w:ascii="Courier New" w:hAnsi="Courier New" w:cs="Courier New"/>
        </w:rPr>
        <w:t xml:space="preserve">  Moreover, </w:t>
      </w:r>
      <w:r w:rsidR="00F73E60" w:rsidRPr="00F73E60">
        <w:rPr>
          <w:rFonts w:ascii="Courier New" w:hAnsi="Courier New" w:cs="Courier New"/>
        </w:rPr>
        <w:t>a</w:t>
      </w:r>
      <w:r w:rsidR="00B11594" w:rsidRPr="00F73E60">
        <w:rPr>
          <w:rFonts w:ascii="Courier New" w:hAnsi="Courier New" w:cs="Courier New"/>
        </w:rPr>
        <w:t xml:space="preserve">ccess to the subject properties is by a private road that is marked by two </w:t>
      </w:r>
      <w:r w:rsidR="005F0556">
        <w:rPr>
          <w:rFonts w:ascii="Courier New" w:hAnsi="Courier New" w:cs="Courier New"/>
        </w:rPr>
        <w:t xml:space="preserve">“no trespassing” </w:t>
      </w:r>
      <w:r w:rsidR="00B11594" w:rsidRPr="00F73E60">
        <w:rPr>
          <w:rFonts w:ascii="Courier New" w:hAnsi="Courier New" w:cs="Courier New"/>
        </w:rPr>
        <w:t xml:space="preserve">signs, </w:t>
      </w:r>
      <w:r w:rsidR="005F0556">
        <w:rPr>
          <w:rFonts w:ascii="Courier New" w:hAnsi="Courier New" w:cs="Courier New"/>
        </w:rPr>
        <w:t>which give</w:t>
      </w:r>
      <w:r w:rsidR="00B11594" w:rsidRPr="00F73E60">
        <w:rPr>
          <w:rFonts w:ascii="Courier New" w:hAnsi="Courier New" w:cs="Courier New"/>
        </w:rPr>
        <w:t xml:space="preserve"> the impression that the subject properties are secluded proper</w:t>
      </w:r>
      <w:r w:rsidR="006910E2">
        <w:rPr>
          <w:rFonts w:ascii="Courier New" w:hAnsi="Courier New" w:cs="Courier New"/>
        </w:rPr>
        <w:t>ties used as buffer areas surrounding</w:t>
      </w:r>
      <w:r w:rsidR="00B11594" w:rsidRPr="00F73E60">
        <w:rPr>
          <w:rFonts w:ascii="Courier New" w:hAnsi="Courier New" w:cs="Courier New"/>
        </w:rPr>
        <w:t xml:space="preserve"> Dr. </w:t>
      </w:r>
      <w:proofErr w:type="spellStart"/>
      <w:r w:rsidR="00B11594" w:rsidRPr="00F73E60">
        <w:rPr>
          <w:rFonts w:ascii="Courier New" w:hAnsi="Courier New" w:cs="Courier New"/>
        </w:rPr>
        <w:t>Lastavica’s</w:t>
      </w:r>
      <w:proofErr w:type="spellEnd"/>
      <w:r w:rsidR="00B11594" w:rsidRPr="00F73E60">
        <w:rPr>
          <w:rFonts w:ascii="Courier New" w:hAnsi="Courier New" w:cs="Courier New"/>
        </w:rPr>
        <w:t xml:space="preserve"> </w:t>
      </w:r>
      <w:r w:rsidR="006910E2">
        <w:rPr>
          <w:rFonts w:ascii="Courier New" w:hAnsi="Courier New" w:cs="Courier New"/>
        </w:rPr>
        <w:t xml:space="preserve">abutting </w:t>
      </w:r>
      <w:r w:rsidR="00B11594" w:rsidRPr="00F73E60">
        <w:rPr>
          <w:rFonts w:ascii="Courier New" w:hAnsi="Courier New" w:cs="Courier New"/>
        </w:rPr>
        <w:t xml:space="preserve">private residence.  </w:t>
      </w:r>
      <w:r w:rsidR="00B11594" w:rsidRPr="00F73E60">
        <w:rPr>
          <w:rFonts w:ascii="Courier New" w:hAnsi="Courier New" w:cs="Courier New"/>
          <w:i/>
        </w:rPr>
        <w:t>See</w:t>
      </w:r>
      <w:r w:rsidR="00B11594" w:rsidRPr="00F73E60">
        <w:rPr>
          <w:rFonts w:ascii="Courier New" w:hAnsi="Courier New" w:cs="Courier New"/>
        </w:rPr>
        <w:t xml:space="preserve"> </w:t>
      </w:r>
      <w:r w:rsidR="00B11594" w:rsidRPr="00F73E60">
        <w:rPr>
          <w:rFonts w:ascii="Courier New" w:hAnsi="Courier New" w:cs="Courier New"/>
          <w:b/>
          <w:i/>
        </w:rPr>
        <w:t>Brookline Conservation Land Trust v. Assessors of Brookline</w:t>
      </w:r>
      <w:r w:rsidR="00B11594" w:rsidRPr="00F73E60">
        <w:rPr>
          <w:rFonts w:ascii="Courier New" w:hAnsi="Courier New" w:cs="Courier New"/>
        </w:rPr>
        <w:t>, Mass. ATB Findings of Fact and Reports 2008-679, 698.</w:t>
      </w:r>
      <w:r w:rsidR="003B4AE1">
        <w:rPr>
          <w:rFonts w:ascii="Courier New" w:hAnsi="Courier New" w:cs="Courier New"/>
        </w:rPr>
        <w:t xml:space="preserve">  </w:t>
      </w:r>
      <w:r w:rsidR="00B3465E">
        <w:rPr>
          <w:rFonts w:ascii="Courier New" w:hAnsi="Courier New" w:cs="Courier New"/>
        </w:rPr>
        <w:t>Accordingly, t</w:t>
      </w:r>
      <w:r w:rsidR="003B4AE1">
        <w:rPr>
          <w:rFonts w:ascii="Courier New" w:hAnsi="Courier New" w:cs="Courier New"/>
        </w:rPr>
        <w:t xml:space="preserve">he Board found and ruled that </w:t>
      </w:r>
      <w:r w:rsidR="00B3465E">
        <w:rPr>
          <w:rFonts w:ascii="Courier New" w:hAnsi="Courier New" w:cs="Courier New"/>
        </w:rPr>
        <w:t xml:space="preserve">the appellant failed to establish that it had actively engaged in conservation or preservation efforts on the subject properties </w:t>
      </w:r>
      <w:r w:rsidR="00552033">
        <w:rPr>
          <w:rFonts w:ascii="Courier New" w:hAnsi="Courier New" w:cs="Courier New"/>
        </w:rPr>
        <w:t>in furtherance of its stated charitable purposes.</w:t>
      </w:r>
      <w:r w:rsidR="00B11594">
        <w:rPr>
          <w:rFonts w:ascii="Courier New" w:hAnsi="Courier New" w:cs="Courier New"/>
        </w:rPr>
        <w:t xml:space="preserve"> </w:t>
      </w:r>
    </w:p>
    <w:p w14:paraId="119A004C" w14:textId="1268C68F" w:rsidR="00B11594" w:rsidRDefault="00B11594" w:rsidP="00C96012">
      <w:pPr>
        <w:spacing w:line="480" w:lineRule="auto"/>
        <w:jc w:val="both"/>
        <w:rPr>
          <w:rFonts w:ascii="Courier New" w:hAnsi="Courier New" w:cs="Courier New"/>
        </w:rPr>
      </w:pPr>
      <w:r>
        <w:rPr>
          <w:rFonts w:ascii="Courier New" w:hAnsi="Courier New" w:cs="Courier New"/>
        </w:rPr>
        <w:t xml:space="preserve"> </w:t>
      </w:r>
    </w:p>
    <w:p w14:paraId="5B1CBE81" w14:textId="77777777" w:rsidR="00192E37" w:rsidRDefault="00192E37">
      <w:pPr>
        <w:rPr>
          <w:rFonts w:ascii="Courier New" w:hAnsi="Courier New" w:cs="Courier New"/>
          <w:u w:val="single"/>
        </w:rPr>
      </w:pPr>
      <w:r>
        <w:rPr>
          <w:rFonts w:ascii="Courier New" w:hAnsi="Courier New" w:cs="Courier New"/>
          <w:u w:val="single"/>
        </w:rPr>
        <w:br w:type="page"/>
      </w:r>
    </w:p>
    <w:p w14:paraId="03EFE80C" w14:textId="7A6A4D19" w:rsidR="003B4AE1" w:rsidRPr="003B4AE1" w:rsidRDefault="003B4AE1" w:rsidP="00C96012">
      <w:pPr>
        <w:spacing w:line="480" w:lineRule="auto"/>
        <w:jc w:val="both"/>
        <w:rPr>
          <w:rFonts w:ascii="Courier New" w:hAnsi="Courier New" w:cs="Courier New"/>
          <w:u w:val="single"/>
        </w:rPr>
      </w:pPr>
      <w:r w:rsidRPr="003B4AE1">
        <w:rPr>
          <w:rFonts w:ascii="Courier New" w:hAnsi="Courier New" w:cs="Courier New"/>
          <w:u w:val="single"/>
        </w:rPr>
        <w:lastRenderedPageBreak/>
        <w:t>Conclusion</w:t>
      </w:r>
    </w:p>
    <w:p w14:paraId="56571124" w14:textId="1F44A4E7" w:rsidR="00816788" w:rsidRDefault="008B0620" w:rsidP="00816788">
      <w:pPr>
        <w:spacing w:line="480" w:lineRule="auto"/>
        <w:ind w:firstLine="720"/>
        <w:jc w:val="both"/>
        <w:rPr>
          <w:rFonts w:ascii="Courier New" w:hAnsi="Courier New" w:cs="Courier New"/>
        </w:rPr>
      </w:pPr>
      <w:r>
        <w:rPr>
          <w:rFonts w:ascii="Courier New" w:hAnsi="Courier New" w:cs="Courier New"/>
        </w:rPr>
        <w:t>A</w:t>
      </w:r>
      <w:r w:rsidR="00816788">
        <w:rPr>
          <w:rFonts w:ascii="Courier New" w:hAnsi="Courier New" w:cs="Courier New"/>
        </w:rPr>
        <w:t>fter considering the evidence of record, and applying</w:t>
      </w:r>
      <w:r>
        <w:rPr>
          <w:rFonts w:ascii="Courier New" w:hAnsi="Courier New" w:cs="Courier New"/>
        </w:rPr>
        <w:t xml:space="preserve"> the analysis set forth by</w:t>
      </w:r>
      <w:r w:rsidR="00816788">
        <w:rPr>
          <w:rFonts w:ascii="Courier New" w:hAnsi="Courier New" w:cs="Courier New"/>
        </w:rPr>
        <w:t xml:space="preserve"> relevant precedents, the Board found and ruled that TJMC </w:t>
      </w:r>
      <w:r w:rsidR="00B62AFA">
        <w:rPr>
          <w:rFonts w:ascii="Courier New" w:hAnsi="Courier New" w:cs="Courier New"/>
        </w:rPr>
        <w:t>did not meet the requirement of</w:t>
      </w:r>
      <w:r w:rsidR="00F64EE4">
        <w:rPr>
          <w:rFonts w:ascii="Courier New" w:hAnsi="Courier New" w:cs="Courier New"/>
        </w:rPr>
        <w:t xml:space="preserve"> a “</w:t>
      </w:r>
      <w:r w:rsidR="003B4AE1">
        <w:rPr>
          <w:rFonts w:ascii="Courier New" w:hAnsi="Courier New" w:cs="Courier New"/>
        </w:rPr>
        <w:t>charitable organization” and that the</w:t>
      </w:r>
      <w:r w:rsidR="00F64EE4">
        <w:rPr>
          <w:rFonts w:ascii="Courier New" w:hAnsi="Courier New" w:cs="Courier New"/>
        </w:rPr>
        <w:t xml:space="preserve"> subject properties were no</w:t>
      </w:r>
      <w:r w:rsidR="00CB2531">
        <w:rPr>
          <w:rFonts w:ascii="Courier New" w:hAnsi="Courier New" w:cs="Courier New"/>
        </w:rPr>
        <w:t>t</w:t>
      </w:r>
      <w:r w:rsidR="00F64EE4">
        <w:rPr>
          <w:rFonts w:ascii="Courier New" w:hAnsi="Courier New" w:cs="Courier New"/>
        </w:rPr>
        <w:t xml:space="preserve"> “occupied</w:t>
      </w:r>
      <w:r w:rsidR="00552033">
        <w:rPr>
          <w:rFonts w:ascii="Courier New" w:hAnsi="Courier New" w:cs="Courier New"/>
        </w:rPr>
        <w:t>”</w:t>
      </w:r>
      <w:r w:rsidR="00F64EE4">
        <w:rPr>
          <w:rFonts w:ascii="Courier New" w:hAnsi="Courier New" w:cs="Courier New"/>
        </w:rPr>
        <w:t xml:space="preserve"> by it</w:t>
      </w:r>
      <w:r w:rsidR="00816788">
        <w:rPr>
          <w:rFonts w:ascii="Courier New" w:hAnsi="Courier New" w:cs="Courier New"/>
        </w:rPr>
        <w:t xml:space="preserve"> in furtherance of charitable purposes as contemplated </w:t>
      </w:r>
      <w:r>
        <w:rPr>
          <w:rFonts w:ascii="Courier New" w:hAnsi="Courier New" w:cs="Courier New"/>
        </w:rPr>
        <w:t>by Clause Third.  T</w:t>
      </w:r>
      <w:r w:rsidR="00816788">
        <w:rPr>
          <w:rFonts w:ascii="Courier New" w:hAnsi="Courier New" w:cs="Courier New"/>
        </w:rPr>
        <w:t xml:space="preserve">he Board </w:t>
      </w:r>
      <w:r>
        <w:rPr>
          <w:rFonts w:ascii="Courier New" w:hAnsi="Courier New" w:cs="Courier New"/>
        </w:rPr>
        <w:t xml:space="preserve">therefore </w:t>
      </w:r>
      <w:r w:rsidR="00816788">
        <w:rPr>
          <w:rFonts w:ascii="Courier New" w:hAnsi="Courier New" w:cs="Courier New"/>
        </w:rPr>
        <w:t>found and ruled that the subject properties were not exempt from tax under Clause Third.</w:t>
      </w:r>
    </w:p>
    <w:p w14:paraId="5FF5B205" w14:textId="49420B4E" w:rsidR="00816788" w:rsidRDefault="00816788" w:rsidP="00816788">
      <w:pPr>
        <w:spacing w:line="480" w:lineRule="auto"/>
        <w:ind w:firstLine="720"/>
        <w:jc w:val="both"/>
        <w:rPr>
          <w:rFonts w:ascii="Courier New" w:hAnsi="Courier New" w:cs="Courier New"/>
        </w:rPr>
      </w:pPr>
      <w:r>
        <w:rPr>
          <w:rFonts w:ascii="Courier New" w:hAnsi="Courier New" w:cs="Courier New"/>
        </w:rPr>
        <w:t xml:space="preserve">Accordingly, the Board issued a decision for the </w:t>
      </w:r>
      <w:r w:rsidR="00416C7A">
        <w:rPr>
          <w:rFonts w:ascii="Courier New" w:hAnsi="Courier New" w:cs="Courier New"/>
        </w:rPr>
        <w:t>appellee</w:t>
      </w:r>
      <w:r>
        <w:rPr>
          <w:rFonts w:ascii="Courier New" w:hAnsi="Courier New" w:cs="Courier New"/>
        </w:rPr>
        <w:t xml:space="preserve"> in the appeal for fiscal year 2015.  The Board also dismissed the appeal for fiscal year 2014 for lack of jurisdiction.</w:t>
      </w:r>
    </w:p>
    <w:p w14:paraId="78C52F74" w14:textId="77777777" w:rsidR="00192E37" w:rsidRDefault="00192E37" w:rsidP="00816788">
      <w:pPr>
        <w:spacing w:line="480" w:lineRule="auto"/>
        <w:ind w:firstLine="720"/>
        <w:jc w:val="both"/>
        <w:rPr>
          <w:rFonts w:ascii="Courier New" w:hAnsi="Courier New" w:cs="Courier New"/>
        </w:rPr>
      </w:pPr>
    </w:p>
    <w:p w14:paraId="6FBB65D2" w14:textId="77777777" w:rsidR="00816788" w:rsidRDefault="00816788" w:rsidP="00816788">
      <w:pPr>
        <w:spacing w:line="480" w:lineRule="auto"/>
        <w:ind w:firstLine="720"/>
        <w:jc w:val="both"/>
        <w:rPr>
          <w:rFonts w:ascii="Courier New" w:hAnsi="Courier New" w:cs="Courier New"/>
        </w:rPr>
      </w:pPr>
    </w:p>
    <w:p w14:paraId="033E1ABC" w14:textId="4054573F" w:rsidR="00816788" w:rsidRDefault="00816788" w:rsidP="00816788">
      <w:pPr>
        <w:pStyle w:val="BodyTextIndent3"/>
        <w:rPr>
          <w:rFonts w:ascii="Courier New" w:hAnsi="Courier New" w:cs="Courier New"/>
          <w:b/>
          <w:sz w:val="24"/>
          <w:szCs w:val="24"/>
        </w:rPr>
      </w:pPr>
      <w:r>
        <w:rPr>
          <w:b/>
        </w:rPr>
        <w:tab/>
      </w:r>
      <w:r>
        <w:rPr>
          <w:b/>
        </w:rPr>
        <w:tab/>
      </w:r>
      <w:r>
        <w:rPr>
          <w:b/>
        </w:rPr>
        <w:tab/>
      </w:r>
      <w:r>
        <w:rPr>
          <w:b/>
        </w:rPr>
        <w:tab/>
      </w:r>
      <w:r>
        <w:rPr>
          <w:b/>
        </w:rPr>
        <w:tab/>
      </w:r>
      <w:r w:rsidR="00416C7A">
        <w:rPr>
          <w:b/>
        </w:rPr>
        <w:t>            </w:t>
      </w:r>
      <w:r w:rsidRPr="00816788">
        <w:rPr>
          <w:rFonts w:ascii="Courier New" w:hAnsi="Courier New" w:cs="Courier New"/>
          <w:b/>
          <w:sz w:val="24"/>
          <w:szCs w:val="24"/>
        </w:rPr>
        <w:t>THE APPELLATE TAX BOARD</w:t>
      </w:r>
    </w:p>
    <w:p w14:paraId="110D74B7" w14:textId="77777777" w:rsidR="00416C7A" w:rsidRPr="00816788" w:rsidRDefault="00416C7A" w:rsidP="00816788">
      <w:pPr>
        <w:pStyle w:val="BodyTextIndent3"/>
        <w:rPr>
          <w:rFonts w:ascii="Courier New" w:hAnsi="Courier New" w:cs="Courier New"/>
          <w:b/>
          <w:sz w:val="24"/>
          <w:szCs w:val="24"/>
        </w:rPr>
      </w:pPr>
    </w:p>
    <w:p w14:paraId="00945214" w14:textId="77777777" w:rsidR="00816788" w:rsidRPr="00816788" w:rsidRDefault="00816788" w:rsidP="00816788">
      <w:pPr>
        <w:pStyle w:val="BodyTextIndent3"/>
        <w:rPr>
          <w:rFonts w:ascii="Courier New" w:hAnsi="Courier New" w:cs="Courier New"/>
          <w:b/>
          <w:sz w:val="24"/>
          <w:szCs w:val="24"/>
        </w:rPr>
      </w:pPr>
    </w:p>
    <w:p w14:paraId="551D6A16" w14:textId="77777777" w:rsidR="00816788" w:rsidRPr="00816788" w:rsidRDefault="00816788" w:rsidP="00816788">
      <w:pPr>
        <w:jc w:val="both"/>
        <w:rPr>
          <w:rFonts w:ascii="Courier New" w:hAnsi="Courier New" w:cs="Courier New"/>
          <w:b/>
        </w:rPr>
      </w:pPr>
      <w:r w:rsidRPr="00816788">
        <w:rPr>
          <w:rFonts w:ascii="Courier New" w:hAnsi="Courier New" w:cs="Courier New"/>
          <w:b/>
        </w:rPr>
        <w:t xml:space="preserve"> </w:t>
      </w:r>
      <w:r w:rsidRPr="00816788">
        <w:rPr>
          <w:rFonts w:ascii="Courier New" w:hAnsi="Courier New" w:cs="Courier New"/>
          <w:b/>
        </w:rPr>
        <w:tab/>
      </w:r>
      <w:r w:rsidRPr="00816788">
        <w:rPr>
          <w:rFonts w:ascii="Courier New" w:hAnsi="Courier New" w:cs="Courier New"/>
          <w:b/>
        </w:rPr>
        <w:tab/>
        <w:t xml:space="preserve">    </w:t>
      </w:r>
    </w:p>
    <w:p w14:paraId="647BADE5" w14:textId="71A2C6D8" w:rsidR="00816788" w:rsidRPr="00816788" w:rsidRDefault="00816788" w:rsidP="00816788">
      <w:pPr>
        <w:jc w:val="both"/>
        <w:rPr>
          <w:rFonts w:ascii="Courier New" w:hAnsi="Courier New" w:cs="Courier New"/>
          <w:b/>
          <w:u w:val="single"/>
        </w:rPr>
      </w:pPr>
      <w:r w:rsidRPr="00816788">
        <w:rPr>
          <w:rFonts w:ascii="Courier New" w:hAnsi="Courier New" w:cs="Courier New"/>
          <w:b/>
        </w:rPr>
        <w:tab/>
      </w:r>
      <w:r w:rsidRPr="00816788">
        <w:rPr>
          <w:rFonts w:ascii="Courier New" w:hAnsi="Courier New" w:cs="Courier New"/>
          <w:b/>
        </w:rPr>
        <w:tab/>
      </w:r>
      <w:r w:rsidRPr="00816788">
        <w:rPr>
          <w:rFonts w:ascii="Courier New" w:hAnsi="Courier New" w:cs="Courier New"/>
          <w:b/>
        </w:rPr>
        <w:tab/>
      </w:r>
      <w:r w:rsidRPr="00816788">
        <w:rPr>
          <w:rFonts w:ascii="Courier New" w:hAnsi="Courier New" w:cs="Courier New"/>
          <w:b/>
        </w:rPr>
        <w:tab/>
      </w:r>
      <w:r w:rsidRPr="00816788">
        <w:rPr>
          <w:rFonts w:ascii="Courier New" w:hAnsi="Courier New" w:cs="Courier New"/>
          <w:b/>
        </w:rPr>
        <w:tab/>
        <w:t>By:</w:t>
      </w:r>
      <w:r>
        <w:rPr>
          <w:rFonts w:ascii="Courier New" w:hAnsi="Courier New" w:cs="Courier New"/>
          <w:b/>
        </w:rPr>
        <w:t xml:space="preserve"> </w:t>
      </w:r>
      <w:r>
        <w:rPr>
          <w:rFonts w:ascii="Courier New" w:hAnsi="Courier New" w:cs="Courier New"/>
          <w:b/>
          <w:u w:val="single"/>
        </w:rPr>
        <w:t>_________________________________</w:t>
      </w:r>
    </w:p>
    <w:p w14:paraId="77CB041A" w14:textId="77777777" w:rsidR="00816788" w:rsidRPr="00816788" w:rsidRDefault="00816788" w:rsidP="00816788">
      <w:pPr>
        <w:ind w:left="2880" w:firstLine="720"/>
        <w:jc w:val="both"/>
        <w:rPr>
          <w:rFonts w:ascii="Courier New" w:hAnsi="Courier New" w:cs="Courier New"/>
          <w:b/>
        </w:rPr>
      </w:pPr>
      <w:r w:rsidRPr="00816788">
        <w:rPr>
          <w:rFonts w:ascii="Courier New" w:hAnsi="Courier New" w:cs="Courier New"/>
          <w:b/>
        </w:rPr>
        <w:t xml:space="preserve">    Thomas W. Hammond, Jr., Chairman</w:t>
      </w:r>
    </w:p>
    <w:p w14:paraId="42695873" w14:textId="77777777" w:rsidR="00816788" w:rsidRPr="00816788" w:rsidRDefault="00816788" w:rsidP="00816788">
      <w:pPr>
        <w:jc w:val="both"/>
        <w:rPr>
          <w:rFonts w:ascii="Courier New" w:hAnsi="Courier New" w:cs="Courier New"/>
          <w:b/>
        </w:rPr>
      </w:pPr>
    </w:p>
    <w:p w14:paraId="5E73091E" w14:textId="77777777" w:rsidR="00816788" w:rsidRDefault="00816788" w:rsidP="00816788">
      <w:pPr>
        <w:jc w:val="both"/>
        <w:rPr>
          <w:rFonts w:ascii="Courier New" w:hAnsi="Courier New" w:cs="Courier New"/>
          <w:b/>
        </w:rPr>
      </w:pPr>
    </w:p>
    <w:p w14:paraId="7EA3DC0E" w14:textId="77777777" w:rsidR="00416C7A" w:rsidRDefault="00416C7A" w:rsidP="00816788">
      <w:pPr>
        <w:jc w:val="both"/>
        <w:rPr>
          <w:rFonts w:ascii="Courier New" w:hAnsi="Courier New" w:cs="Courier New"/>
          <w:b/>
        </w:rPr>
      </w:pPr>
    </w:p>
    <w:p w14:paraId="6F3E12EC" w14:textId="77777777" w:rsidR="00416C7A" w:rsidRPr="00816788" w:rsidRDefault="00416C7A" w:rsidP="00816788">
      <w:pPr>
        <w:jc w:val="both"/>
        <w:rPr>
          <w:rFonts w:ascii="Courier New" w:hAnsi="Courier New" w:cs="Courier New"/>
          <w:b/>
        </w:rPr>
      </w:pPr>
    </w:p>
    <w:p w14:paraId="7E31BFD4" w14:textId="77777777" w:rsidR="00816788" w:rsidRPr="00816788" w:rsidRDefault="00816788" w:rsidP="00816788">
      <w:pPr>
        <w:jc w:val="both"/>
        <w:rPr>
          <w:rFonts w:ascii="Courier New" w:hAnsi="Courier New" w:cs="Courier New"/>
          <w:b/>
        </w:rPr>
      </w:pPr>
    </w:p>
    <w:p w14:paraId="06FD4CF3" w14:textId="77777777" w:rsidR="00355C0F" w:rsidRDefault="00355C0F" w:rsidP="00355C0F">
      <w:pPr>
        <w:jc w:val="both"/>
        <w:rPr>
          <w:rFonts w:ascii="Courier New" w:hAnsi="Courier New" w:cs="Courier New"/>
          <w:b/>
        </w:rPr>
      </w:pPr>
      <w:r w:rsidRPr="00816788">
        <w:rPr>
          <w:rFonts w:ascii="Courier New" w:hAnsi="Courier New" w:cs="Courier New"/>
          <w:b/>
        </w:rPr>
        <w:t>A true copy,</w:t>
      </w:r>
    </w:p>
    <w:p w14:paraId="3E7DB3E9" w14:textId="77777777" w:rsidR="00355C0F" w:rsidRPr="00816788" w:rsidRDefault="00355C0F" w:rsidP="00355C0F">
      <w:pPr>
        <w:jc w:val="both"/>
        <w:rPr>
          <w:rFonts w:ascii="Courier New" w:hAnsi="Courier New" w:cs="Courier New"/>
          <w:b/>
        </w:rPr>
      </w:pPr>
    </w:p>
    <w:p w14:paraId="776BBCDF" w14:textId="77777777" w:rsidR="00355C0F" w:rsidRPr="00816788" w:rsidRDefault="00355C0F" w:rsidP="00355C0F">
      <w:pPr>
        <w:jc w:val="both"/>
        <w:rPr>
          <w:rFonts w:ascii="Courier New" w:hAnsi="Courier New" w:cs="Courier New"/>
          <w:b/>
        </w:rPr>
      </w:pPr>
    </w:p>
    <w:p w14:paraId="7B399EEF" w14:textId="77777777" w:rsidR="00355C0F" w:rsidRPr="00816788" w:rsidRDefault="00355C0F" w:rsidP="00355C0F">
      <w:pPr>
        <w:jc w:val="both"/>
        <w:rPr>
          <w:rFonts w:ascii="Courier New" w:hAnsi="Courier New" w:cs="Courier New"/>
          <w:b/>
          <w:u w:val="single"/>
        </w:rPr>
      </w:pPr>
      <w:r w:rsidRPr="00816788">
        <w:rPr>
          <w:rFonts w:ascii="Courier New" w:hAnsi="Courier New" w:cs="Courier New"/>
          <w:b/>
        </w:rPr>
        <w:t>Attest</w:t>
      </w:r>
      <w:r>
        <w:rPr>
          <w:rFonts w:ascii="Courier New" w:hAnsi="Courier New" w:cs="Courier New"/>
          <w:b/>
        </w:rPr>
        <w:t xml:space="preserve">:  </w:t>
      </w:r>
      <w:r w:rsidRPr="00816788">
        <w:rPr>
          <w:rFonts w:ascii="Courier New" w:hAnsi="Courier New" w:cs="Courier New"/>
          <w:b/>
          <w:u w:val="single"/>
        </w:rPr>
        <w:t>________</w:t>
      </w:r>
      <w:r>
        <w:rPr>
          <w:rFonts w:ascii="Courier New" w:hAnsi="Courier New" w:cs="Courier New"/>
          <w:b/>
          <w:u w:val="single"/>
        </w:rPr>
        <w:t>________________</w:t>
      </w:r>
    </w:p>
    <w:p w14:paraId="6C9334A0" w14:textId="77777777" w:rsidR="00355C0F" w:rsidRPr="00816788" w:rsidRDefault="00355C0F" w:rsidP="00355C0F">
      <w:pPr>
        <w:jc w:val="both"/>
        <w:rPr>
          <w:rFonts w:ascii="Courier New" w:hAnsi="Courier New" w:cs="Courier New"/>
          <w:b/>
        </w:rPr>
      </w:pPr>
      <w:r w:rsidRPr="00816788">
        <w:rPr>
          <w:rFonts w:ascii="Courier New" w:hAnsi="Courier New" w:cs="Courier New"/>
          <w:b/>
        </w:rPr>
        <w:tab/>
        <w:t xml:space="preserve">     Clerk of the Board</w:t>
      </w:r>
    </w:p>
    <w:p w14:paraId="61C3A44A" w14:textId="77777777" w:rsidR="00743720" w:rsidRDefault="00743720" w:rsidP="00F518C2">
      <w:pPr>
        <w:spacing w:line="480" w:lineRule="auto"/>
        <w:jc w:val="both"/>
      </w:pPr>
      <w:bookmarkStart w:id="0" w:name="_GoBack"/>
      <w:bookmarkEnd w:id="0"/>
    </w:p>
    <w:sectPr w:rsidR="00743720" w:rsidSect="00355C0F">
      <w:footerReference w:type="default" r:id="rId10"/>
      <w:pgSz w:w="12240" w:h="15840"/>
      <w:pgMar w:top="1440" w:right="1440" w:bottom="1440" w:left="1440" w:header="720" w:footer="720" w:gutter="0"/>
      <w:pgNumType w:start="8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0140D2" w14:textId="77777777" w:rsidR="00496432" w:rsidRDefault="00496432" w:rsidP="0004773A">
      <w:r>
        <w:separator/>
      </w:r>
    </w:p>
  </w:endnote>
  <w:endnote w:type="continuationSeparator" w:id="0">
    <w:p w14:paraId="26D512D6" w14:textId="77777777" w:rsidR="00496432" w:rsidRDefault="00496432" w:rsidP="00047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urier New" w:hAnsi="Courier New" w:cs="Courier New"/>
        <w:b/>
      </w:rPr>
      <w:id w:val="-1291577751"/>
      <w:docPartObj>
        <w:docPartGallery w:val="Page Numbers (Bottom of Page)"/>
        <w:docPartUnique/>
      </w:docPartObj>
    </w:sdtPr>
    <w:sdtEndPr>
      <w:rPr>
        <w:rFonts w:ascii="Times New Roman" w:hAnsi="Times New Roman" w:cs="Times New Roman"/>
        <w:b w:val="0"/>
        <w:noProof/>
      </w:rPr>
    </w:sdtEndPr>
    <w:sdtContent>
      <w:p w14:paraId="51145EC4" w14:textId="46DF1AF3" w:rsidR="00496432" w:rsidRDefault="00355C0F" w:rsidP="00355C0F">
        <w:pPr>
          <w:pStyle w:val="Footer"/>
          <w:jc w:val="center"/>
        </w:pPr>
        <w:r w:rsidRPr="00355C0F">
          <w:rPr>
            <w:rFonts w:ascii="Courier New" w:hAnsi="Courier New" w:cs="Courier New"/>
            <w:b/>
          </w:rPr>
          <w:t>ATB 2018-</w:t>
        </w:r>
        <w:r w:rsidR="00496432" w:rsidRPr="00355C0F">
          <w:rPr>
            <w:rFonts w:ascii="Courier New" w:hAnsi="Courier New" w:cs="Courier New"/>
            <w:b/>
          </w:rPr>
          <w:fldChar w:fldCharType="begin"/>
        </w:r>
        <w:r w:rsidR="00496432" w:rsidRPr="00355C0F">
          <w:rPr>
            <w:rFonts w:ascii="Courier New" w:hAnsi="Courier New" w:cs="Courier New"/>
            <w:b/>
          </w:rPr>
          <w:instrText xml:space="preserve"> PAGE   \* MERGEFORMAT </w:instrText>
        </w:r>
        <w:r w:rsidR="00496432" w:rsidRPr="00355C0F">
          <w:rPr>
            <w:rFonts w:ascii="Courier New" w:hAnsi="Courier New" w:cs="Courier New"/>
            <w:b/>
          </w:rPr>
          <w:fldChar w:fldCharType="separate"/>
        </w:r>
        <w:r>
          <w:rPr>
            <w:rFonts w:ascii="Courier New" w:hAnsi="Courier New" w:cs="Courier New"/>
            <w:b/>
            <w:noProof/>
          </w:rPr>
          <w:t>119</w:t>
        </w:r>
        <w:r w:rsidR="00496432" w:rsidRPr="00355C0F">
          <w:rPr>
            <w:rFonts w:ascii="Courier New" w:hAnsi="Courier New" w:cs="Courier New"/>
            <w:b/>
            <w:noProof/>
          </w:rPr>
          <w:fldChar w:fldCharType="end"/>
        </w:r>
      </w:p>
    </w:sdtContent>
  </w:sdt>
  <w:p w14:paraId="0CEAB5FB" w14:textId="77777777" w:rsidR="00496432" w:rsidRDefault="004964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66633" w14:textId="77777777" w:rsidR="00496432" w:rsidRDefault="00496432" w:rsidP="0004773A">
      <w:r>
        <w:separator/>
      </w:r>
    </w:p>
  </w:footnote>
  <w:footnote w:type="continuationSeparator" w:id="0">
    <w:p w14:paraId="67DC73CE" w14:textId="77777777" w:rsidR="00496432" w:rsidRDefault="00496432" w:rsidP="0004773A">
      <w:r>
        <w:continuationSeparator/>
      </w:r>
    </w:p>
  </w:footnote>
  <w:footnote w:id="1">
    <w:p w14:paraId="16CE1886" w14:textId="77777777" w:rsidR="00496432" w:rsidRPr="008E3756" w:rsidRDefault="00496432" w:rsidP="00754075">
      <w:pPr>
        <w:pStyle w:val="FootnoteText"/>
        <w:jc w:val="both"/>
        <w:rPr>
          <w:rFonts w:ascii="Courier New" w:hAnsi="Courier New" w:cs="Courier New"/>
          <w:sz w:val="20"/>
          <w:szCs w:val="20"/>
        </w:rPr>
      </w:pPr>
      <w:r w:rsidRPr="008E3756">
        <w:rPr>
          <w:rStyle w:val="FootnoteReference"/>
          <w:rFonts w:ascii="Courier New" w:hAnsi="Courier New" w:cs="Courier New"/>
          <w:sz w:val="20"/>
          <w:szCs w:val="20"/>
        </w:rPr>
        <w:footnoteRef/>
      </w:r>
      <w:r w:rsidRPr="008E3756">
        <w:rPr>
          <w:rFonts w:ascii="Courier New" w:hAnsi="Courier New" w:cs="Courier New"/>
          <w:sz w:val="20"/>
          <w:szCs w:val="20"/>
        </w:rPr>
        <w:t xml:space="preserve"> This amount includes a Community Property Act (“CPA”) surcharge of $724.51.</w:t>
      </w:r>
    </w:p>
  </w:footnote>
  <w:footnote w:id="2">
    <w:p w14:paraId="7B8F8E63" w14:textId="77777777" w:rsidR="00496432" w:rsidRPr="008E3756" w:rsidRDefault="00496432" w:rsidP="00754075">
      <w:pPr>
        <w:pStyle w:val="FootnoteText"/>
        <w:jc w:val="both"/>
        <w:rPr>
          <w:rFonts w:ascii="Courier New" w:hAnsi="Courier New" w:cs="Courier New"/>
          <w:sz w:val="20"/>
          <w:szCs w:val="20"/>
        </w:rPr>
      </w:pPr>
      <w:r w:rsidRPr="008E3756">
        <w:rPr>
          <w:rStyle w:val="FootnoteReference"/>
          <w:rFonts w:ascii="Courier New" w:hAnsi="Courier New" w:cs="Courier New"/>
          <w:sz w:val="20"/>
          <w:szCs w:val="20"/>
        </w:rPr>
        <w:footnoteRef/>
      </w:r>
      <w:r w:rsidRPr="008E3756">
        <w:rPr>
          <w:rFonts w:ascii="Courier New" w:hAnsi="Courier New" w:cs="Courier New"/>
          <w:sz w:val="20"/>
          <w:szCs w:val="20"/>
        </w:rPr>
        <w:t xml:space="preserve"> This amount includes a CPA surcharge of $390.15</w:t>
      </w:r>
    </w:p>
  </w:footnote>
  <w:footnote w:id="3">
    <w:p w14:paraId="22B75301" w14:textId="6894ED54" w:rsidR="00496432" w:rsidRPr="00D33878" w:rsidRDefault="00496432" w:rsidP="00D33878">
      <w:pPr>
        <w:pStyle w:val="FootnoteText"/>
        <w:jc w:val="both"/>
        <w:rPr>
          <w:rFonts w:ascii="Courier New" w:hAnsi="Courier New" w:cs="Courier New"/>
          <w:sz w:val="20"/>
          <w:szCs w:val="20"/>
        </w:rPr>
      </w:pPr>
      <w:r w:rsidRPr="00D33878">
        <w:rPr>
          <w:rStyle w:val="FootnoteReference"/>
          <w:rFonts w:ascii="Courier New" w:hAnsi="Courier New" w:cs="Courier New"/>
          <w:sz w:val="20"/>
          <w:szCs w:val="20"/>
        </w:rPr>
        <w:footnoteRef/>
      </w:r>
      <w:r w:rsidRPr="00D33878">
        <w:rPr>
          <w:rFonts w:ascii="Courier New" w:hAnsi="Courier New" w:cs="Courier New"/>
          <w:sz w:val="20"/>
          <w:szCs w:val="20"/>
        </w:rPr>
        <w:t xml:space="preserve"> It is uncontested that TJMC timely filed Forms 3ABC and a copy of its Form PC with the assessors for each fiscal year at issue.</w:t>
      </w:r>
    </w:p>
  </w:footnote>
  <w:footnote w:id="4">
    <w:p w14:paraId="7530DDBC" w14:textId="633606F4" w:rsidR="00496432" w:rsidRPr="007A3EF7" w:rsidRDefault="00496432" w:rsidP="007A3EF7">
      <w:pPr>
        <w:pStyle w:val="FootnoteText"/>
        <w:jc w:val="both"/>
        <w:rPr>
          <w:rFonts w:ascii="Courier New" w:hAnsi="Courier New" w:cs="Courier New"/>
          <w:sz w:val="20"/>
          <w:szCs w:val="20"/>
        </w:rPr>
      </w:pPr>
      <w:r w:rsidRPr="007A3EF7">
        <w:rPr>
          <w:rStyle w:val="FootnoteReference"/>
          <w:rFonts w:ascii="Courier New" w:hAnsi="Courier New" w:cs="Courier New"/>
          <w:sz w:val="20"/>
          <w:szCs w:val="20"/>
        </w:rPr>
        <w:footnoteRef/>
      </w:r>
      <w:r w:rsidRPr="007A3EF7">
        <w:rPr>
          <w:rFonts w:ascii="Courier New" w:hAnsi="Courier New" w:cs="Courier New"/>
          <w:sz w:val="20"/>
          <w:szCs w:val="20"/>
        </w:rPr>
        <w:t xml:space="preserve"> This amount includes a CPA surcharge of $1,528.99.</w:t>
      </w:r>
    </w:p>
  </w:footnote>
  <w:footnote w:id="5">
    <w:p w14:paraId="5F82E39A" w14:textId="1F462194" w:rsidR="00496432" w:rsidRPr="008E69B0" w:rsidRDefault="00496432" w:rsidP="008E69B0">
      <w:pPr>
        <w:pStyle w:val="FootnoteText"/>
        <w:jc w:val="both"/>
        <w:rPr>
          <w:rFonts w:ascii="Courier New" w:hAnsi="Courier New" w:cs="Courier New"/>
          <w:sz w:val="20"/>
          <w:szCs w:val="20"/>
        </w:rPr>
      </w:pPr>
      <w:r w:rsidRPr="008E69B0">
        <w:rPr>
          <w:rStyle w:val="FootnoteReference"/>
          <w:rFonts w:ascii="Courier New" w:hAnsi="Courier New" w:cs="Courier New"/>
          <w:sz w:val="20"/>
          <w:szCs w:val="20"/>
        </w:rPr>
        <w:footnoteRef/>
      </w:r>
      <w:r w:rsidRPr="008E69B0">
        <w:rPr>
          <w:rFonts w:ascii="Courier New" w:hAnsi="Courier New" w:cs="Courier New"/>
          <w:sz w:val="20"/>
          <w:szCs w:val="20"/>
        </w:rPr>
        <w:t xml:space="preserve"> This amount includes a CPA surcharge of $809.42.</w:t>
      </w:r>
    </w:p>
  </w:footnote>
  <w:footnote w:id="6">
    <w:p w14:paraId="389C64D1" w14:textId="049C8245" w:rsidR="002B6BE4" w:rsidRPr="002B6BE4" w:rsidRDefault="002B6BE4" w:rsidP="002B6BE4">
      <w:pPr>
        <w:jc w:val="both"/>
        <w:rPr>
          <w:rFonts w:ascii="Courier New" w:hAnsi="Courier New" w:cs="Courier New"/>
          <w:sz w:val="20"/>
          <w:szCs w:val="20"/>
        </w:rPr>
      </w:pPr>
      <w:r w:rsidRPr="002B6BE4">
        <w:rPr>
          <w:rStyle w:val="FootnoteReference"/>
          <w:rFonts w:ascii="Courier New" w:hAnsi="Courier New" w:cs="Courier New"/>
          <w:sz w:val="20"/>
          <w:szCs w:val="20"/>
        </w:rPr>
        <w:footnoteRef/>
      </w:r>
      <w:r w:rsidR="0027697F">
        <w:rPr>
          <w:rFonts w:ascii="Courier New" w:hAnsi="Courier New" w:cs="Courier New"/>
          <w:sz w:val="20"/>
          <w:szCs w:val="20"/>
        </w:rPr>
        <w:t xml:space="preserve"> On January 23, 2014,</w:t>
      </w:r>
      <w:r w:rsidRPr="002B6BE4">
        <w:rPr>
          <w:rFonts w:ascii="Courier New" w:hAnsi="Courier New" w:cs="Courier New"/>
          <w:sz w:val="20"/>
          <w:szCs w:val="20"/>
        </w:rPr>
        <w:t xml:space="preserve"> TJMC sponsored a lecture on “The Makings of a Craftsman: An </w:t>
      </w:r>
      <w:proofErr w:type="gramStart"/>
      <w:r w:rsidRPr="002B6BE4">
        <w:rPr>
          <w:rFonts w:ascii="Courier New" w:hAnsi="Courier New" w:cs="Courier New"/>
          <w:sz w:val="20"/>
          <w:szCs w:val="20"/>
        </w:rPr>
        <w:t>Inside</w:t>
      </w:r>
      <w:proofErr w:type="gramEnd"/>
      <w:r w:rsidRPr="002B6BE4">
        <w:rPr>
          <w:rFonts w:ascii="Courier New" w:hAnsi="Courier New" w:cs="Courier New"/>
          <w:sz w:val="20"/>
          <w:szCs w:val="20"/>
        </w:rPr>
        <w:t xml:space="preserve"> Glimpse of a Furniture Maker’s World,” which was held at Dr. </w:t>
      </w:r>
      <w:proofErr w:type="spellStart"/>
      <w:r w:rsidRPr="002B6BE4">
        <w:rPr>
          <w:rFonts w:ascii="Courier New" w:hAnsi="Courier New" w:cs="Courier New"/>
          <w:sz w:val="20"/>
          <w:szCs w:val="20"/>
        </w:rPr>
        <w:t>Lastavica’s</w:t>
      </w:r>
      <w:proofErr w:type="spellEnd"/>
      <w:r w:rsidRPr="002B6BE4">
        <w:rPr>
          <w:rFonts w:ascii="Courier New" w:hAnsi="Courier New" w:cs="Courier New"/>
          <w:sz w:val="20"/>
          <w:szCs w:val="20"/>
        </w:rPr>
        <w:t xml:space="preserve"> personal residence because a</w:t>
      </w:r>
      <w:r w:rsidR="005821A9">
        <w:rPr>
          <w:rFonts w:ascii="Courier New" w:hAnsi="Courier New" w:cs="Courier New"/>
          <w:sz w:val="20"/>
          <w:szCs w:val="20"/>
        </w:rPr>
        <w:t>n interior</w:t>
      </w:r>
      <w:r w:rsidRPr="002B6BE4">
        <w:rPr>
          <w:rFonts w:ascii="Courier New" w:hAnsi="Courier New" w:cs="Courier New"/>
          <w:sz w:val="20"/>
          <w:szCs w:val="20"/>
        </w:rPr>
        <w:t xml:space="preserve"> flood</w:t>
      </w:r>
      <w:r w:rsidR="005821A9">
        <w:rPr>
          <w:rFonts w:ascii="Courier New" w:hAnsi="Courier New" w:cs="Courier New"/>
          <w:sz w:val="20"/>
          <w:szCs w:val="20"/>
        </w:rPr>
        <w:t xml:space="preserve"> caused by a burst pipe</w:t>
      </w:r>
      <w:r w:rsidRPr="002B6BE4">
        <w:rPr>
          <w:rFonts w:ascii="Courier New" w:hAnsi="Courier New" w:cs="Courier New"/>
          <w:sz w:val="20"/>
          <w:szCs w:val="20"/>
        </w:rPr>
        <w:t xml:space="preserve"> had prevented the event from being hos</w:t>
      </w:r>
      <w:r w:rsidR="0027697F">
        <w:rPr>
          <w:rFonts w:ascii="Courier New" w:hAnsi="Courier New" w:cs="Courier New"/>
          <w:sz w:val="20"/>
          <w:szCs w:val="20"/>
        </w:rPr>
        <w:t>ted at the Brick House.  Also, i</w:t>
      </w:r>
      <w:r w:rsidRPr="002B6BE4">
        <w:rPr>
          <w:rFonts w:ascii="Courier New" w:hAnsi="Courier New" w:cs="Courier New"/>
          <w:sz w:val="20"/>
          <w:szCs w:val="20"/>
        </w:rPr>
        <w:t>n February 2014, Theodore Stebbins, curator of American Paintings at the Harvard University Art Museums, was scheduled to give a lecture at the Brick House, but the event was cancelled because of the flood damage to the Brick House.</w:t>
      </w:r>
    </w:p>
  </w:footnote>
  <w:footnote w:id="7">
    <w:p w14:paraId="0553BACA" w14:textId="52820E46" w:rsidR="00587CE3" w:rsidRPr="00587CE3" w:rsidRDefault="00587CE3" w:rsidP="00587CE3">
      <w:pPr>
        <w:pStyle w:val="FootnoteText"/>
        <w:jc w:val="both"/>
        <w:rPr>
          <w:rFonts w:ascii="Courier New" w:hAnsi="Courier New" w:cs="Courier New"/>
          <w:sz w:val="20"/>
          <w:szCs w:val="20"/>
        </w:rPr>
      </w:pPr>
      <w:r w:rsidRPr="00587CE3">
        <w:rPr>
          <w:rStyle w:val="FootnoteReference"/>
          <w:rFonts w:ascii="Courier New" w:hAnsi="Courier New" w:cs="Courier New"/>
          <w:sz w:val="20"/>
          <w:szCs w:val="20"/>
        </w:rPr>
        <w:footnoteRef/>
      </w:r>
      <w:r w:rsidRPr="00587CE3">
        <w:rPr>
          <w:rFonts w:ascii="Courier New" w:hAnsi="Courier New" w:cs="Courier New"/>
          <w:sz w:val="20"/>
          <w:szCs w:val="20"/>
        </w:rPr>
        <w:t xml:space="preserve"> </w:t>
      </w:r>
      <w:r>
        <w:rPr>
          <w:rFonts w:ascii="Courier New" w:hAnsi="Courier New" w:cs="Courier New"/>
        </w:rPr>
        <w:t xml:space="preserve">For example, the appellant rented the subject properties for the Gold Coast Mortgage Services annual outing and the </w:t>
      </w:r>
      <w:proofErr w:type="spellStart"/>
      <w:r>
        <w:rPr>
          <w:rFonts w:ascii="Courier New" w:hAnsi="Courier New" w:cs="Courier New"/>
        </w:rPr>
        <w:t>Linzee</w:t>
      </w:r>
      <w:proofErr w:type="spellEnd"/>
      <w:r>
        <w:rPr>
          <w:rFonts w:ascii="Courier New" w:hAnsi="Courier New" w:cs="Courier New"/>
        </w:rPr>
        <w:t xml:space="preserve"> Family’s Foundation retreat.</w:t>
      </w:r>
    </w:p>
  </w:footnote>
  <w:footnote w:id="8">
    <w:p w14:paraId="316BA381" w14:textId="0C056DA6" w:rsidR="00496432" w:rsidRPr="00F33563" w:rsidRDefault="00496432" w:rsidP="00F33563">
      <w:pPr>
        <w:pStyle w:val="FootnoteText"/>
        <w:jc w:val="both"/>
        <w:rPr>
          <w:rFonts w:ascii="Courier New" w:hAnsi="Courier New" w:cs="Courier New"/>
          <w:sz w:val="20"/>
          <w:szCs w:val="20"/>
        </w:rPr>
      </w:pPr>
      <w:r w:rsidRPr="00F33563">
        <w:rPr>
          <w:rStyle w:val="FootnoteReference"/>
          <w:rFonts w:ascii="Courier New" w:hAnsi="Courier New" w:cs="Courier New"/>
          <w:sz w:val="20"/>
          <w:szCs w:val="20"/>
        </w:rPr>
        <w:footnoteRef/>
      </w:r>
      <w:r w:rsidRPr="00F33563">
        <w:rPr>
          <w:rFonts w:ascii="Courier New" w:hAnsi="Courier New" w:cs="Courier New"/>
          <w:sz w:val="20"/>
          <w:szCs w:val="20"/>
        </w:rPr>
        <w:t xml:space="preserve">  An amendment to § 64, effective November 7, 2016 and therefore not applicable to these appeals, raised this amount to $5,000.  </w:t>
      </w:r>
      <w:r w:rsidRPr="00F33563">
        <w:rPr>
          <w:rFonts w:ascii="Courier New" w:hAnsi="Courier New" w:cs="Courier New"/>
          <w:i/>
          <w:sz w:val="20"/>
          <w:szCs w:val="20"/>
        </w:rPr>
        <w:t>See</w:t>
      </w:r>
      <w:r w:rsidRPr="00F33563">
        <w:rPr>
          <w:rFonts w:ascii="Courier New" w:hAnsi="Courier New" w:cs="Courier New"/>
          <w:sz w:val="20"/>
          <w:szCs w:val="20"/>
        </w:rPr>
        <w:t xml:space="preserve"> St. 2016, c. 218, § 149.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49F6"/>
    <w:multiLevelType w:val="hybridMultilevel"/>
    <w:tmpl w:val="44943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65762C"/>
    <w:multiLevelType w:val="hybridMultilevel"/>
    <w:tmpl w:val="7CB4A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95940A4"/>
    <w:multiLevelType w:val="hybridMultilevel"/>
    <w:tmpl w:val="07E2A9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7F621E1D"/>
    <w:multiLevelType w:val="hybridMultilevel"/>
    <w:tmpl w:val="0B04E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023"/>
    <w:rsid w:val="00000A17"/>
    <w:rsid w:val="000029EF"/>
    <w:rsid w:val="000034AA"/>
    <w:rsid w:val="000054EB"/>
    <w:rsid w:val="000133DD"/>
    <w:rsid w:val="00014533"/>
    <w:rsid w:val="00025442"/>
    <w:rsid w:val="0002644C"/>
    <w:rsid w:val="00033959"/>
    <w:rsid w:val="000354CF"/>
    <w:rsid w:val="00040C6D"/>
    <w:rsid w:val="00041175"/>
    <w:rsid w:val="000449CE"/>
    <w:rsid w:val="0004773A"/>
    <w:rsid w:val="0005162F"/>
    <w:rsid w:val="00051665"/>
    <w:rsid w:val="00057124"/>
    <w:rsid w:val="0006453E"/>
    <w:rsid w:val="0006650D"/>
    <w:rsid w:val="00067169"/>
    <w:rsid w:val="000700FD"/>
    <w:rsid w:val="000719AD"/>
    <w:rsid w:val="000733DC"/>
    <w:rsid w:val="00076110"/>
    <w:rsid w:val="000803CD"/>
    <w:rsid w:val="00081C09"/>
    <w:rsid w:val="00083DD8"/>
    <w:rsid w:val="0008482D"/>
    <w:rsid w:val="000861DF"/>
    <w:rsid w:val="00086D71"/>
    <w:rsid w:val="0009099F"/>
    <w:rsid w:val="0009229E"/>
    <w:rsid w:val="000949AF"/>
    <w:rsid w:val="00095599"/>
    <w:rsid w:val="00097ECD"/>
    <w:rsid w:val="000A5AF9"/>
    <w:rsid w:val="000A60D6"/>
    <w:rsid w:val="000B1D5C"/>
    <w:rsid w:val="000B5FAB"/>
    <w:rsid w:val="000B7334"/>
    <w:rsid w:val="000B7879"/>
    <w:rsid w:val="000B7C7A"/>
    <w:rsid w:val="000B7C9B"/>
    <w:rsid w:val="000C0E1C"/>
    <w:rsid w:val="000C2B1E"/>
    <w:rsid w:val="000C767E"/>
    <w:rsid w:val="000D0518"/>
    <w:rsid w:val="000D2B14"/>
    <w:rsid w:val="000D3C9A"/>
    <w:rsid w:val="000E08DD"/>
    <w:rsid w:val="000E6CF6"/>
    <w:rsid w:val="000F096F"/>
    <w:rsid w:val="000F25B7"/>
    <w:rsid w:val="00100875"/>
    <w:rsid w:val="00101465"/>
    <w:rsid w:val="00102192"/>
    <w:rsid w:val="001064B8"/>
    <w:rsid w:val="00107DD1"/>
    <w:rsid w:val="00116317"/>
    <w:rsid w:val="00117D66"/>
    <w:rsid w:val="0012102F"/>
    <w:rsid w:val="0012238A"/>
    <w:rsid w:val="001303A3"/>
    <w:rsid w:val="00130D0D"/>
    <w:rsid w:val="001346B6"/>
    <w:rsid w:val="00135DD9"/>
    <w:rsid w:val="00136CB0"/>
    <w:rsid w:val="00147329"/>
    <w:rsid w:val="00151E44"/>
    <w:rsid w:val="001603E3"/>
    <w:rsid w:val="00160563"/>
    <w:rsid w:val="00160882"/>
    <w:rsid w:val="0017300F"/>
    <w:rsid w:val="00192291"/>
    <w:rsid w:val="00192E37"/>
    <w:rsid w:val="001939A1"/>
    <w:rsid w:val="001958B6"/>
    <w:rsid w:val="001B28E6"/>
    <w:rsid w:val="001B5239"/>
    <w:rsid w:val="001C0338"/>
    <w:rsid w:val="001C5986"/>
    <w:rsid w:val="001C66BF"/>
    <w:rsid w:val="001D24E4"/>
    <w:rsid w:val="001D60A4"/>
    <w:rsid w:val="001D69F4"/>
    <w:rsid w:val="001D7529"/>
    <w:rsid w:val="001E0E97"/>
    <w:rsid w:val="001E29D4"/>
    <w:rsid w:val="001E3712"/>
    <w:rsid w:val="001E457B"/>
    <w:rsid w:val="001E4E8B"/>
    <w:rsid w:val="001F48F4"/>
    <w:rsid w:val="001F4FED"/>
    <w:rsid w:val="001F5F9A"/>
    <w:rsid w:val="002015CE"/>
    <w:rsid w:val="00202049"/>
    <w:rsid w:val="00202F8B"/>
    <w:rsid w:val="00206BA1"/>
    <w:rsid w:val="00223D5E"/>
    <w:rsid w:val="0022642E"/>
    <w:rsid w:val="00230BF5"/>
    <w:rsid w:val="00232B35"/>
    <w:rsid w:val="002359E7"/>
    <w:rsid w:val="00242BDD"/>
    <w:rsid w:val="002437B7"/>
    <w:rsid w:val="00243F21"/>
    <w:rsid w:val="00247C26"/>
    <w:rsid w:val="00247E92"/>
    <w:rsid w:val="00257D4A"/>
    <w:rsid w:val="00257D59"/>
    <w:rsid w:val="002604B7"/>
    <w:rsid w:val="00264927"/>
    <w:rsid w:val="00265233"/>
    <w:rsid w:val="00270C6F"/>
    <w:rsid w:val="002730D1"/>
    <w:rsid w:val="00276783"/>
    <w:rsid w:val="0027697F"/>
    <w:rsid w:val="00281C1D"/>
    <w:rsid w:val="00286043"/>
    <w:rsid w:val="0028742C"/>
    <w:rsid w:val="00294813"/>
    <w:rsid w:val="002952A0"/>
    <w:rsid w:val="002966DF"/>
    <w:rsid w:val="00296756"/>
    <w:rsid w:val="002A1257"/>
    <w:rsid w:val="002A160A"/>
    <w:rsid w:val="002A39CF"/>
    <w:rsid w:val="002B1F97"/>
    <w:rsid w:val="002B420E"/>
    <w:rsid w:val="002B6A3E"/>
    <w:rsid w:val="002B6BE4"/>
    <w:rsid w:val="002B7E69"/>
    <w:rsid w:val="002C18C6"/>
    <w:rsid w:val="002C2CB2"/>
    <w:rsid w:val="002C38D2"/>
    <w:rsid w:val="002C65D6"/>
    <w:rsid w:val="002C6F8A"/>
    <w:rsid w:val="002D097F"/>
    <w:rsid w:val="002D09A7"/>
    <w:rsid w:val="002D25EB"/>
    <w:rsid w:val="002D5D97"/>
    <w:rsid w:val="002E2CC2"/>
    <w:rsid w:val="002E3884"/>
    <w:rsid w:val="00301105"/>
    <w:rsid w:val="00301370"/>
    <w:rsid w:val="00306BAA"/>
    <w:rsid w:val="0031022F"/>
    <w:rsid w:val="003141EC"/>
    <w:rsid w:val="00320CF0"/>
    <w:rsid w:val="0032574D"/>
    <w:rsid w:val="00326692"/>
    <w:rsid w:val="00326830"/>
    <w:rsid w:val="00327476"/>
    <w:rsid w:val="00327683"/>
    <w:rsid w:val="00340A07"/>
    <w:rsid w:val="00342179"/>
    <w:rsid w:val="0034334F"/>
    <w:rsid w:val="003442B6"/>
    <w:rsid w:val="003467A4"/>
    <w:rsid w:val="00351A13"/>
    <w:rsid w:val="00351B91"/>
    <w:rsid w:val="00351F2A"/>
    <w:rsid w:val="003537E6"/>
    <w:rsid w:val="00355C0F"/>
    <w:rsid w:val="003612F4"/>
    <w:rsid w:val="00361D74"/>
    <w:rsid w:val="00363E56"/>
    <w:rsid w:val="003648C2"/>
    <w:rsid w:val="00370487"/>
    <w:rsid w:val="00370EFB"/>
    <w:rsid w:val="00371CB6"/>
    <w:rsid w:val="00372EF6"/>
    <w:rsid w:val="00373A3E"/>
    <w:rsid w:val="00373B65"/>
    <w:rsid w:val="00375A34"/>
    <w:rsid w:val="00390E04"/>
    <w:rsid w:val="00394713"/>
    <w:rsid w:val="00397DED"/>
    <w:rsid w:val="003A2A9E"/>
    <w:rsid w:val="003B19D6"/>
    <w:rsid w:val="003B4AE1"/>
    <w:rsid w:val="003B6DF4"/>
    <w:rsid w:val="003C2A8D"/>
    <w:rsid w:val="003C306B"/>
    <w:rsid w:val="003C4DF0"/>
    <w:rsid w:val="003C6690"/>
    <w:rsid w:val="003C6B6E"/>
    <w:rsid w:val="003D0AEA"/>
    <w:rsid w:val="003D0C9B"/>
    <w:rsid w:val="003D596B"/>
    <w:rsid w:val="003D78DD"/>
    <w:rsid w:val="003E062C"/>
    <w:rsid w:val="003E09AD"/>
    <w:rsid w:val="003E39F8"/>
    <w:rsid w:val="003E49EB"/>
    <w:rsid w:val="003E6BEA"/>
    <w:rsid w:val="003E7CC6"/>
    <w:rsid w:val="003F01BF"/>
    <w:rsid w:val="003F5401"/>
    <w:rsid w:val="003F5456"/>
    <w:rsid w:val="003F5985"/>
    <w:rsid w:val="0040189F"/>
    <w:rsid w:val="00407DDF"/>
    <w:rsid w:val="0041110A"/>
    <w:rsid w:val="00411595"/>
    <w:rsid w:val="0041630F"/>
    <w:rsid w:val="00416949"/>
    <w:rsid w:val="00416C7A"/>
    <w:rsid w:val="00420920"/>
    <w:rsid w:val="0042346F"/>
    <w:rsid w:val="0042415F"/>
    <w:rsid w:val="00425A9B"/>
    <w:rsid w:val="00426898"/>
    <w:rsid w:val="004421EC"/>
    <w:rsid w:val="00445EDB"/>
    <w:rsid w:val="0045292C"/>
    <w:rsid w:val="00457324"/>
    <w:rsid w:val="00463EC8"/>
    <w:rsid w:val="004651A4"/>
    <w:rsid w:val="004654BE"/>
    <w:rsid w:val="0047595B"/>
    <w:rsid w:val="00476BA9"/>
    <w:rsid w:val="00482DD5"/>
    <w:rsid w:val="0049193F"/>
    <w:rsid w:val="00492D46"/>
    <w:rsid w:val="00494AB2"/>
    <w:rsid w:val="0049523B"/>
    <w:rsid w:val="00496432"/>
    <w:rsid w:val="004A0186"/>
    <w:rsid w:val="004B30D8"/>
    <w:rsid w:val="004B691D"/>
    <w:rsid w:val="004B7747"/>
    <w:rsid w:val="004D00BF"/>
    <w:rsid w:val="004D39D5"/>
    <w:rsid w:val="004D4F37"/>
    <w:rsid w:val="004E3C66"/>
    <w:rsid w:val="004E54A6"/>
    <w:rsid w:val="004F5231"/>
    <w:rsid w:val="004F7056"/>
    <w:rsid w:val="004F7786"/>
    <w:rsid w:val="00504008"/>
    <w:rsid w:val="00504394"/>
    <w:rsid w:val="0050657F"/>
    <w:rsid w:val="005102AA"/>
    <w:rsid w:val="0051191D"/>
    <w:rsid w:val="00522D3C"/>
    <w:rsid w:val="005268B6"/>
    <w:rsid w:val="00530A69"/>
    <w:rsid w:val="00530EA7"/>
    <w:rsid w:val="0053244E"/>
    <w:rsid w:val="00540313"/>
    <w:rsid w:val="005431FA"/>
    <w:rsid w:val="00545AF3"/>
    <w:rsid w:val="005467FD"/>
    <w:rsid w:val="00552033"/>
    <w:rsid w:val="00553CDE"/>
    <w:rsid w:val="005569DB"/>
    <w:rsid w:val="00565D62"/>
    <w:rsid w:val="00570AD0"/>
    <w:rsid w:val="005723C9"/>
    <w:rsid w:val="00572786"/>
    <w:rsid w:val="005746DE"/>
    <w:rsid w:val="005821A9"/>
    <w:rsid w:val="00582433"/>
    <w:rsid w:val="00583C6A"/>
    <w:rsid w:val="00584C49"/>
    <w:rsid w:val="00586C0A"/>
    <w:rsid w:val="00587368"/>
    <w:rsid w:val="00587CE3"/>
    <w:rsid w:val="005917DF"/>
    <w:rsid w:val="00596D78"/>
    <w:rsid w:val="005A184B"/>
    <w:rsid w:val="005A64FF"/>
    <w:rsid w:val="005B1704"/>
    <w:rsid w:val="005B284F"/>
    <w:rsid w:val="005B4CFE"/>
    <w:rsid w:val="005B4D27"/>
    <w:rsid w:val="005B550D"/>
    <w:rsid w:val="005B74A3"/>
    <w:rsid w:val="005B7715"/>
    <w:rsid w:val="005C2665"/>
    <w:rsid w:val="005C682C"/>
    <w:rsid w:val="005D01D0"/>
    <w:rsid w:val="005D03C7"/>
    <w:rsid w:val="005D371B"/>
    <w:rsid w:val="005D3AF6"/>
    <w:rsid w:val="005D41E5"/>
    <w:rsid w:val="005E0583"/>
    <w:rsid w:val="005E6C2C"/>
    <w:rsid w:val="005F0556"/>
    <w:rsid w:val="005F20EC"/>
    <w:rsid w:val="005F2DE5"/>
    <w:rsid w:val="005F43A5"/>
    <w:rsid w:val="005F5069"/>
    <w:rsid w:val="005F61C7"/>
    <w:rsid w:val="005F7C54"/>
    <w:rsid w:val="00611BEF"/>
    <w:rsid w:val="00614F2D"/>
    <w:rsid w:val="00616033"/>
    <w:rsid w:val="00616A73"/>
    <w:rsid w:val="00616B8F"/>
    <w:rsid w:val="00620BC7"/>
    <w:rsid w:val="006252B7"/>
    <w:rsid w:val="00630A2E"/>
    <w:rsid w:val="006372C1"/>
    <w:rsid w:val="00637824"/>
    <w:rsid w:val="00637A5F"/>
    <w:rsid w:val="00667B9C"/>
    <w:rsid w:val="00670E86"/>
    <w:rsid w:val="00670FF1"/>
    <w:rsid w:val="00671787"/>
    <w:rsid w:val="00674D22"/>
    <w:rsid w:val="006910E2"/>
    <w:rsid w:val="006932E2"/>
    <w:rsid w:val="006948A1"/>
    <w:rsid w:val="0069594D"/>
    <w:rsid w:val="006A2DE1"/>
    <w:rsid w:val="006B3F4E"/>
    <w:rsid w:val="006C3BE9"/>
    <w:rsid w:val="006C714E"/>
    <w:rsid w:val="006D0C47"/>
    <w:rsid w:val="006D1B81"/>
    <w:rsid w:val="006D25DC"/>
    <w:rsid w:val="006D4AFE"/>
    <w:rsid w:val="006E4583"/>
    <w:rsid w:val="006F76D2"/>
    <w:rsid w:val="00702F3A"/>
    <w:rsid w:val="00703B57"/>
    <w:rsid w:val="0070451A"/>
    <w:rsid w:val="007055F8"/>
    <w:rsid w:val="00717AA4"/>
    <w:rsid w:val="00725E0B"/>
    <w:rsid w:val="0074123E"/>
    <w:rsid w:val="00741FF9"/>
    <w:rsid w:val="00743720"/>
    <w:rsid w:val="00744CDC"/>
    <w:rsid w:val="00746072"/>
    <w:rsid w:val="00752F7E"/>
    <w:rsid w:val="00753537"/>
    <w:rsid w:val="00754075"/>
    <w:rsid w:val="00754BD0"/>
    <w:rsid w:val="007566AA"/>
    <w:rsid w:val="007610F3"/>
    <w:rsid w:val="0076131A"/>
    <w:rsid w:val="0076184C"/>
    <w:rsid w:val="00763D00"/>
    <w:rsid w:val="00770517"/>
    <w:rsid w:val="007712AC"/>
    <w:rsid w:val="00774653"/>
    <w:rsid w:val="0077741F"/>
    <w:rsid w:val="007832D1"/>
    <w:rsid w:val="00787379"/>
    <w:rsid w:val="00790098"/>
    <w:rsid w:val="00794261"/>
    <w:rsid w:val="007A1101"/>
    <w:rsid w:val="007A3CEA"/>
    <w:rsid w:val="007A3EF7"/>
    <w:rsid w:val="007B4324"/>
    <w:rsid w:val="007B74DC"/>
    <w:rsid w:val="007B7572"/>
    <w:rsid w:val="007C0211"/>
    <w:rsid w:val="007C6044"/>
    <w:rsid w:val="007C63F6"/>
    <w:rsid w:val="007C766F"/>
    <w:rsid w:val="007D1B48"/>
    <w:rsid w:val="007D3863"/>
    <w:rsid w:val="007D38E0"/>
    <w:rsid w:val="007D5801"/>
    <w:rsid w:val="007D720B"/>
    <w:rsid w:val="007E2879"/>
    <w:rsid w:val="007E53D3"/>
    <w:rsid w:val="007F34D0"/>
    <w:rsid w:val="007F59FD"/>
    <w:rsid w:val="00802584"/>
    <w:rsid w:val="0081059F"/>
    <w:rsid w:val="008147FE"/>
    <w:rsid w:val="00815875"/>
    <w:rsid w:val="008161E9"/>
    <w:rsid w:val="0081644C"/>
    <w:rsid w:val="00816788"/>
    <w:rsid w:val="008209B5"/>
    <w:rsid w:val="008309A9"/>
    <w:rsid w:val="00831307"/>
    <w:rsid w:val="00833EEA"/>
    <w:rsid w:val="00837149"/>
    <w:rsid w:val="008416E5"/>
    <w:rsid w:val="008433E8"/>
    <w:rsid w:val="008462E9"/>
    <w:rsid w:val="00871D07"/>
    <w:rsid w:val="008722A0"/>
    <w:rsid w:val="0087400F"/>
    <w:rsid w:val="008758E0"/>
    <w:rsid w:val="00876593"/>
    <w:rsid w:val="0088335C"/>
    <w:rsid w:val="008833BD"/>
    <w:rsid w:val="00890BC4"/>
    <w:rsid w:val="00891017"/>
    <w:rsid w:val="00892D63"/>
    <w:rsid w:val="0089626C"/>
    <w:rsid w:val="00897CC1"/>
    <w:rsid w:val="008A0CC4"/>
    <w:rsid w:val="008A31FE"/>
    <w:rsid w:val="008B0620"/>
    <w:rsid w:val="008B3BC8"/>
    <w:rsid w:val="008B3F8F"/>
    <w:rsid w:val="008C0935"/>
    <w:rsid w:val="008C12B5"/>
    <w:rsid w:val="008D1612"/>
    <w:rsid w:val="008D16DE"/>
    <w:rsid w:val="008D4CAD"/>
    <w:rsid w:val="008E3756"/>
    <w:rsid w:val="008E4652"/>
    <w:rsid w:val="008E4EBD"/>
    <w:rsid w:val="008E69B0"/>
    <w:rsid w:val="008F040F"/>
    <w:rsid w:val="00900890"/>
    <w:rsid w:val="00902AFF"/>
    <w:rsid w:val="00903ED6"/>
    <w:rsid w:val="0090467D"/>
    <w:rsid w:val="0091052C"/>
    <w:rsid w:val="009145EC"/>
    <w:rsid w:val="009159DC"/>
    <w:rsid w:val="00922721"/>
    <w:rsid w:val="00927737"/>
    <w:rsid w:val="0093482C"/>
    <w:rsid w:val="009354C1"/>
    <w:rsid w:val="00935A40"/>
    <w:rsid w:val="00941DC9"/>
    <w:rsid w:val="00942069"/>
    <w:rsid w:val="0095005A"/>
    <w:rsid w:val="00951BD0"/>
    <w:rsid w:val="00957E0B"/>
    <w:rsid w:val="009669A9"/>
    <w:rsid w:val="00970686"/>
    <w:rsid w:val="0097412B"/>
    <w:rsid w:val="00975B62"/>
    <w:rsid w:val="0098036D"/>
    <w:rsid w:val="009806C9"/>
    <w:rsid w:val="00981376"/>
    <w:rsid w:val="00984C39"/>
    <w:rsid w:val="009866C7"/>
    <w:rsid w:val="00987D60"/>
    <w:rsid w:val="0099183E"/>
    <w:rsid w:val="00992169"/>
    <w:rsid w:val="00994A06"/>
    <w:rsid w:val="00996533"/>
    <w:rsid w:val="009A1A77"/>
    <w:rsid w:val="009A4FB8"/>
    <w:rsid w:val="009A79EA"/>
    <w:rsid w:val="009B042B"/>
    <w:rsid w:val="009B3C70"/>
    <w:rsid w:val="009B55C0"/>
    <w:rsid w:val="009B58B5"/>
    <w:rsid w:val="009B64FB"/>
    <w:rsid w:val="009C2ECD"/>
    <w:rsid w:val="009C46A5"/>
    <w:rsid w:val="009C4BB6"/>
    <w:rsid w:val="009D01CE"/>
    <w:rsid w:val="009D4743"/>
    <w:rsid w:val="009E1023"/>
    <w:rsid w:val="009F1EC0"/>
    <w:rsid w:val="009F26AA"/>
    <w:rsid w:val="009F50F8"/>
    <w:rsid w:val="009F5A0B"/>
    <w:rsid w:val="009F695E"/>
    <w:rsid w:val="00A02B6E"/>
    <w:rsid w:val="00A02BA2"/>
    <w:rsid w:val="00A05876"/>
    <w:rsid w:val="00A061E7"/>
    <w:rsid w:val="00A16A76"/>
    <w:rsid w:val="00A21091"/>
    <w:rsid w:val="00A24C69"/>
    <w:rsid w:val="00A26D35"/>
    <w:rsid w:val="00A26DCF"/>
    <w:rsid w:val="00A31A76"/>
    <w:rsid w:val="00A32D1C"/>
    <w:rsid w:val="00A3766E"/>
    <w:rsid w:val="00A466C2"/>
    <w:rsid w:val="00A601B9"/>
    <w:rsid w:val="00A62444"/>
    <w:rsid w:val="00A64A60"/>
    <w:rsid w:val="00A85484"/>
    <w:rsid w:val="00A85C19"/>
    <w:rsid w:val="00A92E40"/>
    <w:rsid w:val="00A968FD"/>
    <w:rsid w:val="00A97DB1"/>
    <w:rsid w:val="00AA0BB8"/>
    <w:rsid w:val="00AA1ED7"/>
    <w:rsid w:val="00AA42AE"/>
    <w:rsid w:val="00AA7DDA"/>
    <w:rsid w:val="00AB0750"/>
    <w:rsid w:val="00AB153F"/>
    <w:rsid w:val="00AB1E94"/>
    <w:rsid w:val="00AB2DFF"/>
    <w:rsid w:val="00AC34E7"/>
    <w:rsid w:val="00AD2ED8"/>
    <w:rsid w:val="00AD3767"/>
    <w:rsid w:val="00AD3DB5"/>
    <w:rsid w:val="00AD52A0"/>
    <w:rsid w:val="00AD7688"/>
    <w:rsid w:val="00AE0C3F"/>
    <w:rsid w:val="00AE2C40"/>
    <w:rsid w:val="00AE5237"/>
    <w:rsid w:val="00AE5810"/>
    <w:rsid w:val="00AE6C6A"/>
    <w:rsid w:val="00AF1C54"/>
    <w:rsid w:val="00AF2DA8"/>
    <w:rsid w:val="00B0000D"/>
    <w:rsid w:val="00B01F54"/>
    <w:rsid w:val="00B03CA5"/>
    <w:rsid w:val="00B11594"/>
    <w:rsid w:val="00B1654D"/>
    <w:rsid w:val="00B235DB"/>
    <w:rsid w:val="00B26992"/>
    <w:rsid w:val="00B2719A"/>
    <w:rsid w:val="00B3465E"/>
    <w:rsid w:val="00B4091F"/>
    <w:rsid w:val="00B460CD"/>
    <w:rsid w:val="00B46AD2"/>
    <w:rsid w:val="00B532B1"/>
    <w:rsid w:val="00B54FA5"/>
    <w:rsid w:val="00B56C3C"/>
    <w:rsid w:val="00B57408"/>
    <w:rsid w:val="00B57D56"/>
    <w:rsid w:val="00B60453"/>
    <w:rsid w:val="00B60966"/>
    <w:rsid w:val="00B62AFA"/>
    <w:rsid w:val="00B64AF2"/>
    <w:rsid w:val="00B65BA8"/>
    <w:rsid w:val="00B7163A"/>
    <w:rsid w:val="00B74D3F"/>
    <w:rsid w:val="00B77B58"/>
    <w:rsid w:val="00B801C6"/>
    <w:rsid w:val="00B8430D"/>
    <w:rsid w:val="00B8599F"/>
    <w:rsid w:val="00B91EEC"/>
    <w:rsid w:val="00B9311B"/>
    <w:rsid w:val="00B94DAB"/>
    <w:rsid w:val="00BA0C38"/>
    <w:rsid w:val="00BA1FFF"/>
    <w:rsid w:val="00BA3014"/>
    <w:rsid w:val="00BA5C10"/>
    <w:rsid w:val="00BB0233"/>
    <w:rsid w:val="00BB3DCD"/>
    <w:rsid w:val="00BC32AD"/>
    <w:rsid w:val="00BC66E0"/>
    <w:rsid w:val="00BC72E5"/>
    <w:rsid w:val="00BD3F4F"/>
    <w:rsid w:val="00BD7240"/>
    <w:rsid w:val="00BE283E"/>
    <w:rsid w:val="00BE3A8A"/>
    <w:rsid w:val="00BE43EC"/>
    <w:rsid w:val="00BE58B5"/>
    <w:rsid w:val="00C0261B"/>
    <w:rsid w:val="00C1013C"/>
    <w:rsid w:val="00C10512"/>
    <w:rsid w:val="00C11A8F"/>
    <w:rsid w:val="00C11F23"/>
    <w:rsid w:val="00C14A14"/>
    <w:rsid w:val="00C17613"/>
    <w:rsid w:val="00C21EF8"/>
    <w:rsid w:val="00C21F85"/>
    <w:rsid w:val="00C221D1"/>
    <w:rsid w:val="00C236DD"/>
    <w:rsid w:val="00C26B58"/>
    <w:rsid w:val="00C33169"/>
    <w:rsid w:val="00C35709"/>
    <w:rsid w:val="00C3757C"/>
    <w:rsid w:val="00C435F9"/>
    <w:rsid w:val="00C43D57"/>
    <w:rsid w:val="00C47C66"/>
    <w:rsid w:val="00C533B7"/>
    <w:rsid w:val="00C54798"/>
    <w:rsid w:val="00C56B07"/>
    <w:rsid w:val="00C57CA6"/>
    <w:rsid w:val="00C60863"/>
    <w:rsid w:val="00C62848"/>
    <w:rsid w:val="00C71AB7"/>
    <w:rsid w:val="00C742A2"/>
    <w:rsid w:val="00C75445"/>
    <w:rsid w:val="00C760A9"/>
    <w:rsid w:val="00C7797E"/>
    <w:rsid w:val="00C83FB5"/>
    <w:rsid w:val="00C84A6B"/>
    <w:rsid w:val="00C9130A"/>
    <w:rsid w:val="00C96012"/>
    <w:rsid w:val="00CA0D90"/>
    <w:rsid w:val="00CA15EB"/>
    <w:rsid w:val="00CA2AE3"/>
    <w:rsid w:val="00CA3C86"/>
    <w:rsid w:val="00CB07AF"/>
    <w:rsid w:val="00CB1557"/>
    <w:rsid w:val="00CB2531"/>
    <w:rsid w:val="00CC11DD"/>
    <w:rsid w:val="00CC1AEB"/>
    <w:rsid w:val="00CC2862"/>
    <w:rsid w:val="00CC7A00"/>
    <w:rsid w:val="00CD0B22"/>
    <w:rsid w:val="00CD1585"/>
    <w:rsid w:val="00CD1E5B"/>
    <w:rsid w:val="00CD79FD"/>
    <w:rsid w:val="00CE25A6"/>
    <w:rsid w:val="00CE4BE0"/>
    <w:rsid w:val="00CF45D0"/>
    <w:rsid w:val="00D000D3"/>
    <w:rsid w:val="00D02F0C"/>
    <w:rsid w:val="00D04210"/>
    <w:rsid w:val="00D05674"/>
    <w:rsid w:val="00D05C5B"/>
    <w:rsid w:val="00D07B76"/>
    <w:rsid w:val="00D179FB"/>
    <w:rsid w:val="00D2036A"/>
    <w:rsid w:val="00D2146E"/>
    <w:rsid w:val="00D22AA0"/>
    <w:rsid w:val="00D23BBE"/>
    <w:rsid w:val="00D33878"/>
    <w:rsid w:val="00D33B13"/>
    <w:rsid w:val="00D34A46"/>
    <w:rsid w:val="00D3557C"/>
    <w:rsid w:val="00D356BD"/>
    <w:rsid w:val="00D372AA"/>
    <w:rsid w:val="00D4355A"/>
    <w:rsid w:val="00D44592"/>
    <w:rsid w:val="00D47D1D"/>
    <w:rsid w:val="00D554EC"/>
    <w:rsid w:val="00D60508"/>
    <w:rsid w:val="00D64324"/>
    <w:rsid w:val="00D7134E"/>
    <w:rsid w:val="00D73E87"/>
    <w:rsid w:val="00D75E1B"/>
    <w:rsid w:val="00D77041"/>
    <w:rsid w:val="00D83370"/>
    <w:rsid w:val="00D87000"/>
    <w:rsid w:val="00DA13E5"/>
    <w:rsid w:val="00DA2B2C"/>
    <w:rsid w:val="00DA2DA8"/>
    <w:rsid w:val="00DA54D8"/>
    <w:rsid w:val="00DA5911"/>
    <w:rsid w:val="00DA5920"/>
    <w:rsid w:val="00DA67C4"/>
    <w:rsid w:val="00DA6A5C"/>
    <w:rsid w:val="00DB2623"/>
    <w:rsid w:val="00DB6DB7"/>
    <w:rsid w:val="00DC7064"/>
    <w:rsid w:val="00DD09B8"/>
    <w:rsid w:val="00DD167C"/>
    <w:rsid w:val="00DD3EDF"/>
    <w:rsid w:val="00DD5A54"/>
    <w:rsid w:val="00DD5CAE"/>
    <w:rsid w:val="00DD62E0"/>
    <w:rsid w:val="00DE7606"/>
    <w:rsid w:val="00DE7A18"/>
    <w:rsid w:val="00DF105A"/>
    <w:rsid w:val="00E0257C"/>
    <w:rsid w:val="00E05256"/>
    <w:rsid w:val="00E07695"/>
    <w:rsid w:val="00E1410B"/>
    <w:rsid w:val="00E218D3"/>
    <w:rsid w:val="00E27C2A"/>
    <w:rsid w:val="00E33E8D"/>
    <w:rsid w:val="00E34C3F"/>
    <w:rsid w:val="00E37778"/>
    <w:rsid w:val="00E40A2E"/>
    <w:rsid w:val="00E43731"/>
    <w:rsid w:val="00E539C8"/>
    <w:rsid w:val="00E54223"/>
    <w:rsid w:val="00E603DD"/>
    <w:rsid w:val="00E606BE"/>
    <w:rsid w:val="00E625DE"/>
    <w:rsid w:val="00E72445"/>
    <w:rsid w:val="00E73C09"/>
    <w:rsid w:val="00E757ED"/>
    <w:rsid w:val="00E759BB"/>
    <w:rsid w:val="00E80EB1"/>
    <w:rsid w:val="00E833AF"/>
    <w:rsid w:val="00E840F4"/>
    <w:rsid w:val="00E91230"/>
    <w:rsid w:val="00E934E0"/>
    <w:rsid w:val="00EA2EB0"/>
    <w:rsid w:val="00EA4AE5"/>
    <w:rsid w:val="00EA648F"/>
    <w:rsid w:val="00EB0B9A"/>
    <w:rsid w:val="00EB1059"/>
    <w:rsid w:val="00EB3250"/>
    <w:rsid w:val="00EB358D"/>
    <w:rsid w:val="00EB574A"/>
    <w:rsid w:val="00EC201E"/>
    <w:rsid w:val="00ED0992"/>
    <w:rsid w:val="00ED17CF"/>
    <w:rsid w:val="00ED7EE7"/>
    <w:rsid w:val="00EE1612"/>
    <w:rsid w:val="00EE3353"/>
    <w:rsid w:val="00EE3C00"/>
    <w:rsid w:val="00EE3D2D"/>
    <w:rsid w:val="00EE537A"/>
    <w:rsid w:val="00EE6E1F"/>
    <w:rsid w:val="00EF0AFA"/>
    <w:rsid w:val="00EF4598"/>
    <w:rsid w:val="00EF51E5"/>
    <w:rsid w:val="00F02E70"/>
    <w:rsid w:val="00F040C7"/>
    <w:rsid w:val="00F04618"/>
    <w:rsid w:val="00F0730A"/>
    <w:rsid w:val="00F10449"/>
    <w:rsid w:val="00F24386"/>
    <w:rsid w:val="00F324B1"/>
    <w:rsid w:val="00F33563"/>
    <w:rsid w:val="00F34ECF"/>
    <w:rsid w:val="00F35784"/>
    <w:rsid w:val="00F36BF2"/>
    <w:rsid w:val="00F41D12"/>
    <w:rsid w:val="00F518C2"/>
    <w:rsid w:val="00F52FA4"/>
    <w:rsid w:val="00F55DEC"/>
    <w:rsid w:val="00F563E2"/>
    <w:rsid w:val="00F605B2"/>
    <w:rsid w:val="00F60F28"/>
    <w:rsid w:val="00F61513"/>
    <w:rsid w:val="00F64EE4"/>
    <w:rsid w:val="00F71BAF"/>
    <w:rsid w:val="00F7215F"/>
    <w:rsid w:val="00F73E60"/>
    <w:rsid w:val="00F7400D"/>
    <w:rsid w:val="00F7632C"/>
    <w:rsid w:val="00F83861"/>
    <w:rsid w:val="00F8666D"/>
    <w:rsid w:val="00F91D51"/>
    <w:rsid w:val="00FA122B"/>
    <w:rsid w:val="00FA5975"/>
    <w:rsid w:val="00FA6014"/>
    <w:rsid w:val="00FB0C9F"/>
    <w:rsid w:val="00FB1B72"/>
    <w:rsid w:val="00FB26F3"/>
    <w:rsid w:val="00FB36D5"/>
    <w:rsid w:val="00FB4021"/>
    <w:rsid w:val="00FB750D"/>
    <w:rsid w:val="00FC0483"/>
    <w:rsid w:val="00FC2649"/>
    <w:rsid w:val="00FC6011"/>
    <w:rsid w:val="00FD1D78"/>
    <w:rsid w:val="00FE5327"/>
    <w:rsid w:val="00FE5CC0"/>
    <w:rsid w:val="00FE7510"/>
    <w:rsid w:val="00FF13E3"/>
    <w:rsid w:val="00FF1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E6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023"/>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1023"/>
    <w:rPr>
      <w:rFonts w:ascii="Calibri" w:eastAsia="Calibri" w:hAnsi="Calibri" w:cs="Times New Roman"/>
    </w:rPr>
  </w:style>
  <w:style w:type="paragraph" w:styleId="FootnoteText">
    <w:name w:val="footnote text"/>
    <w:basedOn w:val="Normal"/>
    <w:link w:val="FootnoteTextChar"/>
    <w:unhideWhenUsed/>
    <w:rsid w:val="0004773A"/>
  </w:style>
  <w:style w:type="character" w:customStyle="1" w:styleId="FootnoteTextChar">
    <w:name w:val="Footnote Text Char"/>
    <w:basedOn w:val="DefaultParagraphFont"/>
    <w:link w:val="FootnoteText"/>
    <w:rsid w:val="0004773A"/>
    <w:rPr>
      <w:rFonts w:ascii="Times New Roman" w:eastAsia="Times New Roman" w:hAnsi="Times New Roman" w:cs="Times New Roman"/>
      <w:sz w:val="24"/>
      <w:szCs w:val="24"/>
    </w:rPr>
  </w:style>
  <w:style w:type="character" w:styleId="FootnoteReference">
    <w:name w:val="footnote reference"/>
    <w:basedOn w:val="DefaultParagraphFont"/>
    <w:unhideWhenUsed/>
    <w:rsid w:val="0004773A"/>
    <w:rPr>
      <w:vertAlign w:val="superscript"/>
    </w:rPr>
  </w:style>
  <w:style w:type="paragraph" w:styleId="Header">
    <w:name w:val="header"/>
    <w:basedOn w:val="Normal"/>
    <w:link w:val="HeaderChar"/>
    <w:uiPriority w:val="99"/>
    <w:unhideWhenUsed/>
    <w:rsid w:val="009F50F8"/>
    <w:pPr>
      <w:tabs>
        <w:tab w:val="center" w:pos="4680"/>
        <w:tab w:val="right" w:pos="9360"/>
      </w:tabs>
    </w:pPr>
  </w:style>
  <w:style w:type="character" w:customStyle="1" w:styleId="HeaderChar">
    <w:name w:val="Header Char"/>
    <w:basedOn w:val="DefaultParagraphFont"/>
    <w:link w:val="Header"/>
    <w:uiPriority w:val="99"/>
    <w:rsid w:val="009F50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50F8"/>
    <w:pPr>
      <w:tabs>
        <w:tab w:val="center" w:pos="4680"/>
        <w:tab w:val="right" w:pos="9360"/>
      </w:tabs>
    </w:pPr>
  </w:style>
  <w:style w:type="character" w:customStyle="1" w:styleId="FooterChar">
    <w:name w:val="Footer Char"/>
    <w:basedOn w:val="DefaultParagraphFont"/>
    <w:link w:val="Footer"/>
    <w:uiPriority w:val="99"/>
    <w:rsid w:val="009F50F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A2AE3"/>
    <w:rPr>
      <w:color w:val="0000FF" w:themeColor="hyperlink"/>
      <w:u w:val="single"/>
    </w:rPr>
  </w:style>
  <w:style w:type="character" w:styleId="FollowedHyperlink">
    <w:name w:val="FollowedHyperlink"/>
    <w:basedOn w:val="DefaultParagraphFont"/>
    <w:uiPriority w:val="99"/>
    <w:semiHidden/>
    <w:unhideWhenUsed/>
    <w:rsid w:val="00CA2AE3"/>
    <w:rPr>
      <w:color w:val="800080" w:themeColor="followedHyperlink"/>
      <w:u w:val="single"/>
    </w:rPr>
  </w:style>
  <w:style w:type="paragraph" w:styleId="BodyText">
    <w:name w:val="Body Text"/>
    <w:basedOn w:val="Normal"/>
    <w:link w:val="BodyTextChar"/>
    <w:semiHidden/>
    <w:rsid w:val="00D83370"/>
    <w:pPr>
      <w:spacing w:line="480" w:lineRule="auto"/>
    </w:pPr>
    <w:rPr>
      <w:szCs w:val="20"/>
    </w:rPr>
  </w:style>
  <w:style w:type="character" w:customStyle="1" w:styleId="BodyTextChar">
    <w:name w:val="Body Text Char"/>
    <w:basedOn w:val="DefaultParagraphFont"/>
    <w:link w:val="BodyText"/>
    <w:semiHidden/>
    <w:rsid w:val="00D83370"/>
    <w:rPr>
      <w:rFonts w:ascii="Times New Roman" w:eastAsia="Times New Roman" w:hAnsi="Times New Roman" w:cs="Times New Roman"/>
      <w:sz w:val="24"/>
      <w:szCs w:val="20"/>
    </w:rPr>
  </w:style>
  <w:style w:type="paragraph" w:styleId="ListParagraph">
    <w:name w:val="List Paragraph"/>
    <w:basedOn w:val="Normal"/>
    <w:uiPriority w:val="34"/>
    <w:qFormat/>
    <w:rsid w:val="00C43D57"/>
    <w:pPr>
      <w:ind w:left="720"/>
      <w:contextualSpacing/>
    </w:pPr>
  </w:style>
  <w:style w:type="paragraph" w:styleId="BodyTextIndent2">
    <w:name w:val="Body Text Indent 2"/>
    <w:basedOn w:val="Normal"/>
    <w:link w:val="BodyTextIndent2Char"/>
    <w:uiPriority w:val="99"/>
    <w:unhideWhenUsed/>
    <w:rsid w:val="00E34C3F"/>
    <w:pPr>
      <w:spacing w:after="120" w:line="480" w:lineRule="auto"/>
      <w:ind w:left="360"/>
    </w:pPr>
  </w:style>
  <w:style w:type="character" w:customStyle="1" w:styleId="BodyTextIndent2Char">
    <w:name w:val="Body Text Indent 2 Char"/>
    <w:basedOn w:val="DefaultParagraphFont"/>
    <w:link w:val="BodyTextIndent2"/>
    <w:uiPriority w:val="99"/>
    <w:rsid w:val="00E34C3F"/>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81678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16788"/>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A32D1C"/>
    <w:rPr>
      <w:rFonts w:ascii="Tahoma" w:hAnsi="Tahoma" w:cs="Tahoma"/>
      <w:sz w:val="16"/>
      <w:szCs w:val="16"/>
    </w:rPr>
  </w:style>
  <w:style w:type="character" w:customStyle="1" w:styleId="BalloonTextChar">
    <w:name w:val="Balloon Text Char"/>
    <w:basedOn w:val="DefaultParagraphFont"/>
    <w:link w:val="BalloonText"/>
    <w:uiPriority w:val="99"/>
    <w:semiHidden/>
    <w:rsid w:val="00A32D1C"/>
    <w:rPr>
      <w:rFonts w:ascii="Tahoma" w:eastAsia="Times New Roman" w:hAnsi="Tahoma" w:cs="Tahoma"/>
      <w:sz w:val="16"/>
      <w:szCs w:val="16"/>
    </w:rPr>
  </w:style>
  <w:style w:type="character" w:customStyle="1" w:styleId="apple-converted-space">
    <w:name w:val="apple-converted-space"/>
    <w:basedOn w:val="DefaultParagraphFont"/>
    <w:rsid w:val="00B57D56"/>
  </w:style>
  <w:style w:type="character" w:customStyle="1" w:styleId="term">
    <w:name w:val="term"/>
    <w:basedOn w:val="DefaultParagraphFont"/>
    <w:rsid w:val="00B57D56"/>
  </w:style>
  <w:style w:type="character" w:customStyle="1" w:styleId="pmterms3">
    <w:name w:val="pmterms3"/>
    <w:basedOn w:val="DefaultParagraphFont"/>
    <w:rsid w:val="00B57D56"/>
  </w:style>
  <w:style w:type="character" w:customStyle="1" w:styleId="pmterms2">
    <w:name w:val="pmterms2"/>
    <w:basedOn w:val="DefaultParagraphFont"/>
    <w:rsid w:val="00B57D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023"/>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1023"/>
    <w:rPr>
      <w:rFonts w:ascii="Calibri" w:eastAsia="Calibri" w:hAnsi="Calibri" w:cs="Times New Roman"/>
    </w:rPr>
  </w:style>
  <w:style w:type="paragraph" w:styleId="FootnoteText">
    <w:name w:val="footnote text"/>
    <w:basedOn w:val="Normal"/>
    <w:link w:val="FootnoteTextChar"/>
    <w:unhideWhenUsed/>
    <w:rsid w:val="0004773A"/>
  </w:style>
  <w:style w:type="character" w:customStyle="1" w:styleId="FootnoteTextChar">
    <w:name w:val="Footnote Text Char"/>
    <w:basedOn w:val="DefaultParagraphFont"/>
    <w:link w:val="FootnoteText"/>
    <w:rsid w:val="0004773A"/>
    <w:rPr>
      <w:rFonts w:ascii="Times New Roman" w:eastAsia="Times New Roman" w:hAnsi="Times New Roman" w:cs="Times New Roman"/>
      <w:sz w:val="24"/>
      <w:szCs w:val="24"/>
    </w:rPr>
  </w:style>
  <w:style w:type="character" w:styleId="FootnoteReference">
    <w:name w:val="footnote reference"/>
    <w:basedOn w:val="DefaultParagraphFont"/>
    <w:unhideWhenUsed/>
    <w:rsid w:val="0004773A"/>
    <w:rPr>
      <w:vertAlign w:val="superscript"/>
    </w:rPr>
  </w:style>
  <w:style w:type="paragraph" w:styleId="Header">
    <w:name w:val="header"/>
    <w:basedOn w:val="Normal"/>
    <w:link w:val="HeaderChar"/>
    <w:uiPriority w:val="99"/>
    <w:unhideWhenUsed/>
    <w:rsid w:val="009F50F8"/>
    <w:pPr>
      <w:tabs>
        <w:tab w:val="center" w:pos="4680"/>
        <w:tab w:val="right" w:pos="9360"/>
      </w:tabs>
    </w:pPr>
  </w:style>
  <w:style w:type="character" w:customStyle="1" w:styleId="HeaderChar">
    <w:name w:val="Header Char"/>
    <w:basedOn w:val="DefaultParagraphFont"/>
    <w:link w:val="Header"/>
    <w:uiPriority w:val="99"/>
    <w:rsid w:val="009F50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50F8"/>
    <w:pPr>
      <w:tabs>
        <w:tab w:val="center" w:pos="4680"/>
        <w:tab w:val="right" w:pos="9360"/>
      </w:tabs>
    </w:pPr>
  </w:style>
  <w:style w:type="character" w:customStyle="1" w:styleId="FooterChar">
    <w:name w:val="Footer Char"/>
    <w:basedOn w:val="DefaultParagraphFont"/>
    <w:link w:val="Footer"/>
    <w:uiPriority w:val="99"/>
    <w:rsid w:val="009F50F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A2AE3"/>
    <w:rPr>
      <w:color w:val="0000FF" w:themeColor="hyperlink"/>
      <w:u w:val="single"/>
    </w:rPr>
  </w:style>
  <w:style w:type="character" w:styleId="FollowedHyperlink">
    <w:name w:val="FollowedHyperlink"/>
    <w:basedOn w:val="DefaultParagraphFont"/>
    <w:uiPriority w:val="99"/>
    <w:semiHidden/>
    <w:unhideWhenUsed/>
    <w:rsid w:val="00CA2AE3"/>
    <w:rPr>
      <w:color w:val="800080" w:themeColor="followedHyperlink"/>
      <w:u w:val="single"/>
    </w:rPr>
  </w:style>
  <w:style w:type="paragraph" w:styleId="BodyText">
    <w:name w:val="Body Text"/>
    <w:basedOn w:val="Normal"/>
    <w:link w:val="BodyTextChar"/>
    <w:semiHidden/>
    <w:rsid w:val="00D83370"/>
    <w:pPr>
      <w:spacing w:line="480" w:lineRule="auto"/>
    </w:pPr>
    <w:rPr>
      <w:szCs w:val="20"/>
    </w:rPr>
  </w:style>
  <w:style w:type="character" w:customStyle="1" w:styleId="BodyTextChar">
    <w:name w:val="Body Text Char"/>
    <w:basedOn w:val="DefaultParagraphFont"/>
    <w:link w:val="BodyText"/>
    <w:semiHidden/>
    <w:rsid w:val="00D83370"/>
    <w:rPr>
      <w:rFonts w:ascii="Times New Roman" w:eastAsia="Times New Roman" w:hAnsi="Times New Roman" w:cs="Times New Roman"/>
      <w:sz w:val="24"/>
      <w:szCs w:val="20"/>
    </w:rPr>
  </w:style>
  <w:style w:type="paragraph" w:styleId="ListParagraph">
    <w:name w:val="List Paragraph"/>
    <w:basedOn w:val="Normal"/>
    <w:uiPriority w:val="34"/>
    <w:qFormat/>
    <w:rsid w:val="00C43D57"/>
    <w:pPr>
      <w:ind w:left="720"/>
      <w:contextualSpacing/>
    </w:pPr>
  </w:style>
  <w:style w:type="paragraph" w:styleId="BodyTextIndent2">
    <w:name w:val="Body Text Indent 2"/>
    <w:basedOn w:val="Normal"/>
    <w:link w:val="BodyTextIndent2Char"/>
    <w:uiPriority w:val="99"/>
    <w:unhideWhenUsed/>
    <w:rsid w:val="00E34C3F"/>
    <w:pPr>
      <w:spacing w:after="120" w:line="480" w:lineRule="auto"/>
      <w:ind w:left="360"/>
    </w:pPr>
  </w:style>
  <w:style w:type="character" w:customStyle="1" w:styleId="BodyTextIndent2Char">
    <w:name w:val="Body Text Indent 2 Char"/>
    <w:basedOn w:val="DefaultParagraphFont"/>
    <w:link w:val="BodyTextIndent2"/>
    <w:uiPriority w:val="99"/>
    <w:rsid w:val="00E34C3F"/>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81678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16788"/>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A32D1C"/>
    <w:rPr>
      <w:rFonts w:ascii="Tahoma" w:hAnsi="Tahoma" w:cs="Tahoma"/>
      <w:sz w:val="16"/>
      <w:szCs w:val="16"/>
    </w:rPr>
  </w:style>
  <w:style w:type="character" w:customStyle="1" w:styleId="BalloonTextChar">
    <w:name w:val="Balloon Text Char"/>
    <w:basedOn w:val="DefaultParagraphFont"/>
    <w:link w:val="BalloonText"/>
    <w:uiPriority w:val="99"/>
    <w:semiHidden/>
    <w:rsid w:val="00A32D1C"/>
    <w:rPr>
      <w:rFonts w:ascii="Tahoma" w:eastAsia="Times New Roman" w:hAnsi="Tahoma" w:cs="Tahoma"/>
      <w:sz w:val="16"/>
      <w:szCs w:val="16"/>
    </w:rPr>
  </w:style>
  <w:style w:type="character" w:customStyle="1" w:styleId="apple-converted-space">
    <w:name w:val="apple-converted-space"/>
    <w:basedOn w:val="DefaultParagraphFont"/>
    <w:rsid w:val="00B57D56"/>
  </w:style>
  <w:style w:type="character" w:customStyle="1" w:styleId="term">
    <w:name w:val="term"/>
    <w:basedOn w:val="DefaultParagraphFont"/>
    <w:rsid w:val="00B57D56"/>
  </w:style>
  <w:style w:type="character" w:customStyle="1" w:styleId="pmterms3">
    <w:name w:val="pmterms3"/>
    <w:basedOn w:val="DefaultParagraphFont"/>
    <w:rsid w:val="00B57D56"/>
  </w:style>
  <w:style w:type="character" w:customStyle="1" w:styleId="pmterms2">
    <w:name w:val="pmterms2"/>
    <w:basedOn w:val="DefaultParagraphFont"/>
    <w:rsid w:val="00B57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01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jeffersonmemorial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80955-05E6-4873-9B26-6002536B2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6217</Words>
  <Characters>35441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2018-03-29T14:23:00Z</cp:lastPrinted>
  <dcterms:created xsi:type="dcterms:W3CDTF">2018-03-29T14:25:00Z</dcterms:created>
  <dcterms:modified xsi:type="dcterms:W3CDTF">2018-03-29T14:25:00Z</dcterms:modified>
</cp:coreProperties>
</file>